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9F968D">
      <w:pPr>
        <w:spacing w:line="360" w:lineRule="auto"/>
        <w:rPr>
          <w:rFonts w:hint="eastAsia" w:asciiTheme="majorEastAsia" w:hAnsiTheme="majorEastAsia" w:eastAsiaTheme="majorEastAsia" w:cstheme="majorEastAsia"/>
          <w:color w:val="auto"/>
          <w:sz w:val="36"/>
          <w:highlight w:val="none"/>
        </w:rPr>
      </w:pPr>
    </w:p>
    <w:p w14:paraId="6A5F582A">
      <w:pPr>
        <w:spacing w:line="360" w:lineRule="auto"/>
        <w:rPr>
          <w:rFonts w:hint="eastAsia" w:asciiTheme="majorEastAsia" w:hAnsiTheme="majorEastAsia" w:eastAsiaTheme="majorEastAsia" w:cstheme="majorEastAsia"/>
          <w:color w:val="auto"/>
          <w:sz w:val="36"/>
          <w:highlight w:val="none"/>
        </w:rPr>
      </w:pPr>
    </w:p>
    <w:p w14:paraId="66C64542">
      <w:pPr>
        <w:pStyle w:val="23"/>
        <w:widowControl w:val="0"/>
        <w:spacing w:before="120" w:beforeAutospacing="0" w:after="120" w:afterAutospacing="0" w:line="360" w:lineRule="auto"/>
        <w:jc w:val="center"/>
        <w:rPr>
          <w:rFonts w:hint="eastAsia" w:asciiTheme="majorEastAsia" w:hAnsiTheme="majorEastAsia" w:eastAsiaTheme="majorEastAsia" w:cstheme="majorEastAsia"/>
          <w:b/>
          <w:color w:val="auto"/>
          <w:sz w:val="72"/>
          <w:szCs w:val="20"/>
          <w:highlight w:val="none"/>
        </w:rPr>
      </w:pPr>
      <w:r>
        <w:rPr>
          <w:rFonts w:hint="eastAsia" w:asciiTheme="majorEastAsia" w:hAnsiTheme="majorEastAsia" w:eastAsiaTheme="majorEastAsia" w:cstheme="majorEastAsia"/>
          <w:b/>
          <w:color w:val="auto"/>
          <w:kern w:val="0"/>
          <w:sz w:val="72"/>
          <w:szCs w:val="72"/>
          <w:highlight w:val="none"/>
        </w:rPr>
        <w:t>招 标</w:t>
      </w:r>
      <w:r>
        <w:rPr>
          <w:rFonts w:hint="eastAsia" w:asciiTheme="majorEastAsia" w:hAnsiTheme="majorEastAsia" w:eastAsiaTheme="majorEastAsia" w:cstheme="majorEastAsia"/>
          <w:b/>
          <w:color w:val="auto"/>
          <w:sz w:val="72"/>
          <w:szCs w:val="20"/>
          <w:highlight w:val="none"/>
        </w:rPr>
        <w:t xml:space="preserve"> 文 件</w:t>
      </w:r>
    </w:p>
    <w:p w14:paraId="5F5BD46F">
      <w:pPr>
        <w:spacing w:line="360" w:lineRule="auto"/>
        <w:rPr>
          <w:rFonts w:hint="eastAsia" w:asciiTheme="majorEastAsia" w:hAnsiTheme="majorEastAsia" w:eastAsiaTheme="majorEastAsia" w:cstheme="majorEastAsia"/>
          <w:b/>
          <w:color w:val="auto"/>
          <w:sz w:val="32"/>
          <w:highlight w:val="none"/>
        </w:rPr>
      </w:pPr>
    </w:p>
    <w:p w14:paraId="60F18FE6">
      <w:pPr>
        <w:spacing w:line="360" w:lineRule="auto"/>
        <w:jc w:val="center"/>
        <w:rPr>
          <w:rFonts w:hint="eastAsia" w:asciiTheme="majorEastAsia" w:hAnsiTheme="majorEastAsia" w:eastAsiaTheme="majorEastAsia" w:cstheme="majorEastAsia"/>
          <w:b/>
          <w:color w:val="auto"/>
          <w:sz w:val="32"/>
          <w:highlight w:val="none"/>
        </w:rPr>
      </w:pPr>
    </w:p>
    <w:p w14:paraId="2E2A41C6">
      <w:pPr>
        <w:spacing w:line="360" w:lineRule="auto"/>
        <w:ind w:left="1807" w:hanging="1807" w:hangingChars="500"/>
        <w:rPr>
          <w:rFonts w:hint="eastAsia" w:asciiTheme="majorEastAsia" w:hAnsiTheme="majorEastAsia" w:eastAsiaTheme="majorEastAsia" w:cstheme="majorEastAsia"/>
          <w:b/>
          <w:color w:val="auto"/>
          <w:kern w:val="0"/>
          <w:sz w:val="36"/>
          <w:szCs w:val="36"/>
          <w:highlight w:val="none"/>
          <w:lang w:eastAsia="zh-CN"/>
        </w:rPr>
      </w:pPr>
      <w:r>
        <w:rPr>
          <w:rFonts w:hint="eastAsia" w:asciiTheme="majorEastAsia" w:hAnsiTheme="majorEastAsia" w:eastAsiaTheme="majorEastAsia" w:cstheme="majorEastAsia"/>
          <w:b/>
          <w:color w:val="auto"/>
          <w:kern w:val="0"/>
          <w:sz w:val="36"/>
          <w:szCs w:val="36"/>
          <w:highlight w:val="none"/>
        </w:rPr>
        <w:t>项目名称：</w:t>
      </w:r>
      <w:r>
        <w:rPr>
          <w:rFonts w:hint="eastAsia" w:asciiTheme="majorEastAsia" w:hAnsiTheme="majorEastAsia" w:eastAsiaTheme="majorEastAsia" w:cstheme="majorEastAsia"/>
          <w:b/>
          <w:color w:val="auto"/>
          <w:kern w:val="0"/>
          <w:sz w:val="36"/>
          <w:szCs w:val="36"/>
          <w:highlight w:val="none"/>
          <w:lang w:eastAsia="zh-CN"/>
        </w:rPr>
        <w:t>阜宁县2025年农村公路桥梁定期检查和特殊检查项目（二次）</w:t>
      </w:r>
    </w:p>
    <w:p w14:paraId="262A0CE4">
      <w:pPr>
        <w:pStyle w:val="23"/>
        <w:spacing w:beforeAutospacing="0" w:afterAutospacing="0" w:line="360" w:lineRule="auto"/>
        <w:ind w:firstLine="1084" w:firstLineChars="300"/>
        <w:jc w:val="both"/>
        <w:rPr>
          <w:rFonts w:hint="eastAsia" w:asciiTheme="majorEastAsia" w:hAnsiTheme="majorEastAsia" w:eastAsiaTheme="majorEastAsia" w:cstheme="majorEastAsia"/>
          <w:b/>
          <w:color w:val="auto"/>
          <w:kern w:val="0"/>
          <w:sz w:val="36"/>
          <w:szCs w:val="36"/>
          <w:highlight w:val="none"/>
        </w:rPr>
      </w:pPr>
    </w:p>
    <w:p w14:paraId="363D5701">
      <w:pPr>
        <w:pStyle w:val="23"/>
        <w:spacing w:beforeAutospacing="0" w:afterAutospacing="0" w:line="360" w:lineRule="auto"/>
        <w:jc w:val="both"/>
        <w:rPr>
          <w:rFonts w:hint="eastAsia" w:asciiTheme="majorEastAsia" w:hAnsiTheme="majorEastAsia" w:eastAsiaTheme="majorEastAsia" w:cstheme="majorEastAsia"/>
          <w:b/>
          <w:color w:val="auto"/>
          <w:kern w:val="0"/>
          <w:sz w:val="36"/>
          <w:szCs w:val="36"/>
          <w:highlight w:val="none"/>
        </w:rPr>
      </w:pPr>
      <w:r>
        <w:rPr>
          <w:rFonts w:hint="eastAsia" w:asciiTheme="majorEastAsia" w:hAnsiTheme="majorEastAsia" w:eastAsiaTheme="majorEastAsia" w:cstheme="majorEastAsia"/>
          <w:b/>
          <w:color w:val="auto"/>
          <w:kern w:val="0"/>
          <w:sz w:val="36"/>
          <w:szCs w:val="36"/>
          <w:highlight w:val="none"/>
        </w:rPr>
        <w:t>项目编号：</w:t>
      </w:r>
      <w:r>
        <w:rPr>
          <w:rFonts w:hint="eastAsia" w:asciiTheme="majorEastAsia" w:hAnsiTheme="majorEastAsia" w:eastAsiaTheme="majorEastAsia" w:cstheme="majorEastAsia"/>
          <w:b/>
          <w:color w:val="auto"/>
          <w:kern w:val="0"/>
          <w:sz w:val="36"/>
          <w:szCs w:val="36"/>
          <w:highlight w:val="none"/>
          <w:lang w:eastAsia="zh-CN"/>
        </w:rPr>
        <w:t>JSZC-320923-FNDY-G2025-0002</w:t>
      </w:r>
    </w:p>
    <w:p w14:paraId="6A3F8279">
      <w:pPr>
        <w:spacing w:line="360" w:lineRule="auto"/>
        <w:ind w:firstLine="2393" w:firstLineChars="745"/>
        <w:rPr>
          <w:rFonts w:hint="eastAsia" w:asciiTheme="majorEastAsia" w:hAnsiTheme="majorEastAsia" w:eastAsiaTheme="majorEastAsia" w:cstheme="majorEastAsia"/>
          <w:b/>
          <w:color w:val="auto"/>
          <w:sz w:val="32"/>
          <w:szCs w:val="32"/>
          <w:highlight w:val="none"/>
        </w:rPr>
      </w:pPr>
    </w:p>
    <w:p w14:paraId="217D563E">
      <w:pPr>
        <w:spacing w:line="360" w:lineRule="auto"/>
        <w:rPr>
          <w:rFonts w:hint="eastAsia" w:asciiTheme="majorEastAsia" w:hAnsiTheme="majorEastAsia" w:eastAsiaTheme="majorEastAsia" w:cstheme="majorEastAsia"/>
          <w:b/>
          <w:color w:val="auto"/>
          <w:sz w:val="32"/>
          <w:szCs w:val="32"/>
          <w:highlight w:val="none"/>
        </w:rPr>
      </w:pPr>
    </w:p>
    <w:p w14:paraId="60624CC8">
      <w:pPr>
        <w:pStyle w:val="23"/>
        <w:spacing w:before="120" w:beforeAutospacing="0" w:after="12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p>
    <w:p w14:paraId="362880B4">
      <w:pPr>
        <w:pStyle w:val="23"/>
        <w:spacing w:before="120" w:beforeAutospacing="0" w:after="120" w:afterAutospacing="0" w:line="360" w:lineRule="auto"/>
        <w:jc w:val="both"/>
        <w:rPr>
          <w:rFonts w:hint="eastAsia" w:asciiTheme="majorEastAsia" w:hAnsiTheme="majorEastAsia" w:eastAsiaTheme="majorEastAsia" w:cstheme="majorEastAsia"/>
          <w:color w:val="auto"/>
          <w:highlight w:val="none"/>
        </w:rPr>
      </w:pPr>
    </w:p>
    <w:p w14:paraId="4ADE5062">
      <w:pPr>
        <w:pStyle w:val="23"/>
        <w:spacing w:before="120" w:beforeAutospacing="0" w:after="120" w:afterAutospacing="0" w:line="360" w:lineRule="auto"/>
        <w:jc w:val="both"/>
        <w:rPr>
          <w:rFonts w:hint="eastAsia" w:asciiTheme="majorEastAsia" w:hAnsiTheme="majorEastAsia" w:eastAsiaTheme="majorEastAsia" w:cstheme="majorEastAsia"/>
          <w:color w:val="auto"/>
          <w:highlight w:val="none"/>
        </w:rPr>
      </w:pPr>
    </w:p>
    <w:p w14:paraId="4DBE9505">
      <w:pPr>
        <w:pStyle w:val="23"/>
        <w:spacing w:before="120" w:beforeAutospacing="0" w:after="120" w:afterAutospacing="0" w:line="360" w:lineRule="auto"/>
        <w:jc w:val="center"/>
        <w:rPr>
          <w:rFonts w:hint="eastAsia" w:asciiTheme="majorEastAsia" w:hAnsiTheme="majorEastAsia" w:eastAsiaTheme="majorEastAsia" w:cstheme="majorEastAsia"/>
          <w:b/>
          <w:color w:val="auto"/>
          <w:sz w:val="36"/>
          <w:szCs w:val="36"/>
          <w:highlight w:val="none"/>
        </w:rPr>
      </w:pPr>
    </w:p>
    <w:p w14:paraId="2367BD5B">
      <w:pPr>
        <w:pStyle w:val="23"/>
        <w:spacing w:before="120" w:beforeAutospacing="0" w:after="120" w:afterAutospacing="0" w:line="360" w:lineRule="auto"/>
        <w:jc w:val="center"/>
        <w:rPr>
          <w:rFonts w:hint="eastAsia" w:asciiTheme="majorEastAsia" w:hAnsiTheme="majorEastAsia" w:eastAsiaTheme="majorEastAsia" w:cstheme="majorEastAsia"/>
          <w:b/>
          <w:color w:val="auto"/>
          <w:sz w:val="36"/>
          <w:szCs w:val="36"/>
          <w:highlight w:val="none"/>
        </w:rPr>
      </w:pPr>
    </w:p>
    <w:p w14:paraId="5DD80C0C">
      <w:pPr>
        <w:pStyle w:val="23"/>
        <w:spacing w:before="120" w:beforeAutospacing="0" w:after="120" w:afterAutospacing="0" w:line="360" w:lineRule="auto"/>
        <w:jc w:val="center"/>
        <w:rPr>
          <w:rFonts w:hint="eastAsia" w:asciiTheme="majorEastAsia" w:hAnsiTheme="majorEastAsia" w:eastAsiaTheme="majorEastAsia" w:cstheme="majorEastAsia"/>
          <w:b/>
          <w:color w:val="auto"/>
          <w:sz w:val="36"/>
          <w:szCs w:val="36"/>
          <w:highlight w:val="none"/>
        </w:rPr>
      </w:pPr>
      <w:r>
        <w:rPr>
          <w:rFonts w:hint="eastAsia" w:asciiTheme="majorEastAsia" w:hAnsiTheme="majorEastAsia" w:eastAsiaTheme="majorEastAsia" w:cstheme="majorEastAsia"/>
          <w:b/>
          <w:color w:val="auto"/>
          <w:sz w:val="36"/>
          <w:szCs w:val="36"/>
          <w:highlight w:val="none"/>
        </w:rPr>
        <w:t>采购单位：阜宁县交通运输局</w:t>
      </w:r>
    </w:p>
    <w:p w14:paraId="445306D8">
      <w:pPr>
        <w:spacing w:line="360" w:lineRule="auto"/>
        <w:rPr>
          <w:rFonts w:hint="eastAsia" w:asciiTheme="majorEastAsia" w:hAnsiTheme="majorEastAsia" w:eastAsiaTheme="majorEastAsia" w:cstheme="majorEastAsia"/>
          <w:b/>
          <w:color w:val="auto"/>
          <w:sz w:val="32"/>
          <w:szCs w:val="32"/>
          <w:highlight w:val="none"/>
        </w:rPr>
      </w:pPr>
    </w:p>
    <w:p w14:paraId="403A682E">
      <w:pPr>
        <w:spacing w:before="120" w:after="120" w:line="360" w:lineRule="auto"/>
        <w:jc w:val="center"/>
        <w:rPr>
          <w:rFonts w:hint="eastAsia" w:asciiTheme="majorEastAsia" w:hAnsiTheme="majorEastAsia" w:eastAsiaTheme="majorEastAsia" w:cstheme="majorEastAsia"/>
          <w:b/>
          <w:bCs/>
          <w:color w:val="auto"/>
          <w:sz w:val="40"/>
          <w:szCs w:val="40"/>
          <w:highlight w:val="none"/>
          <w:lang w:val="en-US" w:eastAsia="zh-CN"/>
        </w:rPr>
      </w:pPr>
      <w:r>
        <w:rPr>
          <w:rFonts w:hint="eastAsia" w:asciiTheme="majorEastAsia" w:hAnsiTheme="majorEastAsia" w:eastAsiaTheme="majorEastAsia" w:cstheme="majorEastAsia"/>
          <w:b/>
          <w:bCs/>
          <w:color w:val="auto"/>
          <w:sz w:val="36"/>
          <w:szCs w:val="36"/>
          <w:highlight w:val="none"/>
        </w:rPr>
        <w:t>2025年</w:t>
      </w:r>
      <w:r>
        <w:rPr>
          <w:rFonts w:hint="eastAsia" w:asciiTheme="majorEastAsia" w:hAnsiTheme="majorEastAsia" w:eastAsiaTheme="majorEastAsia" w:cstheme="majorEastAsia"/>
          <w:b/>
          <w:bCs/>
          <w:color w:val="auto"/>
          <w:sz w:val="36"/>
          <w:szCs w:val="36"/>
          <w:highlight w:val="none"/>
          <w:lang w:val="en-US" w:eastAsia="zh-CN"/>
        </w:rPr>
        <w:t>9</w:t>
      </w:r>
      <w:r>
        <w:rPr>
          <w:rFonts w:hint="eastAsia" w:asciiTheme="majorEastAsia" w:hAnsiTheme="majorEastAsia" w:eastAsiaTheme="majorEastAsia" w:cstheme="majorEastAsia"/>
          <w:b/>
          <w:bCs/>
          <w:color w:val="auto"/>
          <w:sz w:val="36"/>
          <w:szCs w:val="36"/>
          <w:highlight w:val="none"/>
        </w:rPr>
        <w:t>月</w:t>
      </w:r>
      <w:r>
        <w:rPr>
          <w:rFonts w:hint="eastAsia" w:asciiTheme="majorEastAsia" w:hAnsiTheme="majorEastAsia" w:eastAsiaTheme="majorEastAsia" w:cstheme="majorEastAsia"/>
          <w:b/>
          <w:bCs/>
          <w:color w:val="auto"/>
          <w:sz w:val="36"/>
          <w:szCs w:val="36"/>
          <w:highlight w:val="none"/>
          <w:lang w:val="en-US" w:eastAsia="zh-CN"/>
        </w:rPr>
        <w:t xml:space="preserve"> 23 日</w:t>
      </w:r>
    </w:p>
    <w:p w14:paraId="1BBB9324">
      <w:pPr>
        <w:spacing w:line="360" w:lineRule="auto"/>
        <w:jc w:val="center"/>
        <w:rPr>
          <w:rFonts w:hint="eastAsia" w:asciiTheme="majorEastAsia" w:hAnsiTheme="majorEastAsia" w:eastAsiaTheme="majorEastAsia" w:cstheme="majorEastAsia"/>
          <w:b/>
          <w:color w:val="auto"/>
          <w:sz w:val="40"/>
          <w:szCs w:val="40"/>
          <w:highlight w:val="none"/>
        </w:rPr>
        <w:sectPr>
          <w:headerReference r:id="rId4" w:type="first"/>
          <w:headerReference r:id="rId3" w:type="default"/>
          <w:footerReference r:id="rId5" w:type="default"/>
          <w:footerReference r:id="rId6" w:type="even"/>
          <w:pgSz w:w="11906" w:h="16838"/>
          <w:pgMar w:top="1440" w:right="1587" w:bottom="1440" w:left="1587" w:header="851" w:footer="907" w:gutter="0"/>
          <w:pgNumType w:fmt="decimal"/>
          <w:cols w:space="720" w:num="1"/>
          <w:titlePg/>
          <w:docGrid w:type="lines" w:linePitch="290" w:charSpace="0"/>
        </w:sectPr>
      </w:pPr>
      <w:bookmarkStart w:id="0" w:name="_Toc120614210"/>
      <w:bookmarkStart w:id="1" w:name="_Toc479757206"/>
      <w:bookmarkStart w:id="2" w:name="_Toc16938516"/>
      <w:bookmarkStart w:id="3" w:name="_Toc20823272"/>
      <w:bookmarkStart w:id="4" w:name="_Toc513029200"/>
      <w:bookmarkStart w:id="5" w:name="_Toc523127445"/>
    </w:p>
    <w:sdt>
      <w:sdtPr>
        <w:rPr>
          <w:rFonts w:hint="eastAsia" w:asciiTheme="majorEastAsia" w:hAnsiTheme="majorEastAsia" w:eastAsiaTheme="majorEastAsia" w:cstheme="majorEastAsia"/>
          <w:color w:val="auto"/>
          <w:sz w:val="44"/>
          <w:szCs w:val="44"/>
          <w:highlight w:val="none"/>
        </w:rPr>
        <w:id w:val="147467632"/>
        <w15:color w:val="DBDBDB"/>
        <w:docPartObj>
          <w:docPartGallery w:val="Table of Contents"/>
          <w:docPartUnique/>
        </w:docPartObj>
      </w:sdtPr>
      <w:sdtEndPr>
        <w:rPr>
          <w:rFonts w:hint="eastAsia" w:asciiTheme="majorEastAsia" w:hAnsiTheme="majorEastAsia" w:eastAsiaTheme="majorEastAsia" w:cstheme="majorEastAsia"/>
          <w:color w:val="auto"/>
          <w:sz w:val="21"/>
          <w:szCs w:val="44"/>
          <w:highlight w:val="none"/>
        </w:rPr>
      </w:sdtEndPr>
      <w:sdtContent>
        <w:p w14:paraId="08F8C9D4">
          <w:pPr>
            <w:spacing w:line="360" w:lineRule="auto"/>
            <w:jc w:val="center"/>
            <w:rPr>
              <w:rFonts w:hint="eastAsia" w:asciiTheme="majorEastAsia" w:hAnsiTheme="majorEastAsia" w:eastAsiaTheme="majorEastAsia" w:cstheme="majorEastAsia"/>
              <w:color w:val="auto"/>
              <w:sz w:val="44"/>
              <w:szCs w:val="44"/>
              <w:highlight w:val="none"/>
            </w:rPr>
          </w:pPr>
        </w:p>
        <w:p w14:paraId="25AC195E">
          <w:pPr>
            <w:spacing w:line="360" w:lineRule="auto"/>
            <w:jc w:val="center"/>
            <w:rPr>
              <w:rFonts w:hint="eastAsia" w:asciiTheme="majorEastAsia" w:hAnsiTheme="majorEastAsia" w:eastAsiaTheme="majorEastAsia" w:cstheme="majorEastAsia"/>
              <w:color w:val="auto"/>
              <w:sz w:val="44"/>
              <w:szCs w:val="44"/>
              <w:highlight w:val="none"/>
            </w:rPr>
          </w:pPr>
        </w:p>
        <w:p w14:paraId="06088B2C">
          <w:pPr>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44"/>
              <w:highlight w:val="none"/>
            </w:rPr>
            <w:t>目 录</w:t>
          </w:r>
        </w:p>
        <w:p w14:paraId="10459903">
          <w:pPr>
            <w:pStyle w:val="44"/>
            <w:tabs>
              <w:tab w:val="right" w:leader="dot" w:pos="8732"/>
            </w:tabs>
            <w:spacing w:line="360" w:lineRule="auto"/>
            <w:rPr>
              <w:rFonts w:hint="eastAsia" w:asciiTheme="majorEastAsia" w:hAnsiTheme="majorEastAsia" w:eastAsiaTheme="majorEastAsia" w:cstheme="majorEastAsia"/>
              <w:color w:val="auto"/>
              <w:sz w:val="32"/>
              <w:szCs w:val="32"/>
              <w:highlight w:val="none"/>
            </w:rPr>
          </w:pPr>
        </w:p>
        <w:p w14:paraId="10CFC837">
          <w:pPr>
            <w:pStyle w:val="44"/>
            <w:tabs>
              <w:tab w:val="right" w:leader="dot" w:pos="8732"/>
            </w:tabs>
            <w:spacing w:line="360" w:lineRule="auto"/>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fldChar w:fldCharType="begin"/>
          </w:r>
          <w:r>
            <w:rPr>
              <w:rFonts w:hint="eastAsia" w:asciiTheme="majorEastAsia" w:hAnsiTheme="majorEastAsia" w:eastAsiaTheme="majorEastAsia" w:cstheme="majorEastAsia"/>
              <w:color w:val="auto"/>
              <w:sz w:val="32"/>
              <w:szCs w:val="32"/>
              <w:highlight w:val="none"/>
            </w:rPr>
            <w:instrText xml:space="preserve">TOC \o "1-1" \h \u </w:instrText>
          </w:r>
          <w:r>
            <w:rPr>
              <w:rFonts w:hint="eastAsia" w:asciiTheme="majorEastAsia" w:hAnsiTheme="majorEastAsia" w:eastAsiaTheme="majorEastAsia" w:cstheme="majorEastAsia"/>
              <w:color w:val="auto"/>
              <w:sz w:val="32"/>
              <w:szCs w:val="32"/>
              <w:highlight w:val="none"/>
            </w:rPr>
            <w:fldChar w:fldCharType="separate"/>
          </w:r>
        </w:p>
        <w:p w14:paraId="0E40A66C">
          <w:pPr>
            <w:pStyle w:val="44"/>
            <w:tabs>
              <w:tab w:val="right" w:leader="dot" w:pos="8732"/>
            </w:tabs>
            <w:spacing w:line="360" w:lineRule="auto"/>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highlight w:val="none"/>
            </w:rPr>
            <w:fldChar w:fldCharType="begin"/>
          </w:r>
          <w:r>
            <w:rPr>
              <w:rFonts w:hint="eastAsia" w:asciiTheme="majorEastAsia" w:hAnsiTheme="majorEastAsia" w:eastAsiaTheme="majorEastAsia" w:cstheme="majorEastAsia"/>
              <w:color w:val="auto"/>
              <w:highlight w:val="none"/>
            </w:rPr>
            <w:instrText xml:space="preserve"> HYPERLINK \l "_Toc31944" </w:instrText>
          </w:r>
          <w:r>
            <w:rPr>
              <w:rFonts w:hint="eastAsia" w:asciiTheme="majorEastAsia" w:hAnsiTheme="majorEastAsia" w:eastAsiaTheme="majorEastAsia" w:cstheme="majorEastAsia"/>
              <w:color w:val="auto"/>
              <w:highlight w:val="none"/>
            </w:rPr>
            <w:fldChar w:fldCharType="separate"/>
          </w:r>
          <w:r>
            <w:rPr>
              <w:rFonts w:hint="eastAsia" w:asciiTheme="majorEastAsia" w:hAnsiTheme="majorEastAsia" w:eastAsiaTheme="majorEastAsia" w:cstheme="majorEastAsia"/>
              <w:color w:val="auto"/>
              <w:sz w:val="32"/>
              <w:szCs w:val="32"/>
              <w:highlight w:val="none"/>
            </w:rPr>
            <w:t>第一章  招标公告</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begin"/>
          </w:r>
          <w:r>
            <w:rPr>
              <w:rFonts w:hint="eastAsia" w:asciiTheme="majorEastAsia" w:hAnsiTheme="majorEastAsia" w:eastAsiaTheme="majorEastAsia" w:cstheme="majorEastAsia"/>
              <w:color w:val="auto"/>
              <w:sz w:val="32"/>
              <w:szCs w:val="32"/>
              <w:highlight w:val="none"/>
            </w:rPr>
            <w:instrText xml:space="preserve"> PAGEREF _Toc31944 \h </w:instrText>
          </w:r>
          <w:r>
            <w:rPr>
              <w:rFonts w:hint="eastAsia" w:asciiTheme="majorEastAsia" w:hAnsiTheme="majorEastAsia" w:eastAsiaTheme="majorEastAsia" w:cstheme="majorEastAsia"/>
              <w:color w:val="auto"/>
              <w:sz w:val="32"/>
              <w:szCs w:val="32"/>
              <w:highlight w:val="none"/>
            </w:rPr>
            <w:fldChar w:fldCharType="separate"/>
          </w:r>
          <w:r>
            <w:rPr>
              <w:rFonts w:hint="eastAsia" w:asciiTheme="majorEastAsia" w:hAnsiTheme="majorEastAsia" w:eastAsiaTheme="majorEastAsia" w:cstheme="majorEastAsia"/>
              <w:color w:val="auto"/>
              <w:sz w:val="32"/>
              <w:szCs w:val="32"/>
              <w:highlight w:val="none"/>
            </w:rPr>
            <w:t>2</w:t>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sz w:val="32"/>
              <w:szCs w:val="32"/>
              <w:highlight w:val="none"/>
            </w:rPr>
            <w:fldChar w:fldCharType="end"/>
          </w:r>
        </w:p>
        <w:p w14:paraId="613D38CD">
          <w:pPr>
            <w:pStyle w:val="44"/>
            <w:tabs>
              <w:tab w:val="right" w:leader="dot" w:pos="8732"/>
            </w:tabs>
            <w:spacing w:line="360" w:lineRule="auto"/>
            <w:rPr>
              <w:rFonts w:hint="eastAsia" w:asciiTheme="majorEastAsia" w:hAnsiTheme="majorEastAsia" w:eastAsiaTheme="majorEastAsia" w:cstheme="majorEastAsia"/>
              <w:color w:val="auto"/>
              <w:sz w:val="32"/>
              <w:szCs w:val="32"/>
              <w:highlight w:val="none"/>
              <w:lang w:eastAsia="zh-CN"/>
            </w:rPr>
          </w:pPr>
          <w:r>
            <w:rPr>
              <w:rFonts w:hint="eastAsia" w:asciiTheme="majorEastAsia" w:hAnsiTheme="majorEastAsia" w:eastAsiaTheme="majorEastAsia" w:cstheme="majorEastAsia"/>
              <w:color w:val="auto"/>
              <w:highlight w:val="none"/>
            </w:rPr>
            <w:fldChar w:fldCharType="begin"/>
          </w:r>
          <w:r>
            <w:rPr>
              <w:rFonts w:hint="eastAsia" w:asciiTheme="majorEastAsia" w:hAnsiTheme="majorEastAsia" w:eastAsiaTheme="majorEastAsia" w:cstheme="majorEastAsia"/>
              <w:color w:val="auto"/>
              <w:highlight w:val="none"/>
            </w:rPr>
            <w:instrText xml:space="preserve"> HYPERLINK \l "_Toc13154" </w:instrText>
          </w:r>
          <w:r>
            <w:rPr>
              <w:rFonts w:hint="eastAsia" w:asciiTheme="majorEastAsia" w:hAnsiTheme="majorEastAsia" w:eastAsiaTheme="majorEastAsia" w:cstheme="majorEastAsia"/>
              <w:color w:val="auto"/>
              <w:highlight w:val="none"/>
            </w:rPr>
            <w:fldChar w:fldCharType="separate"/>
          </w:r>
          <w:r>
            <w:rPr>
              <w:rFonts w:hint="eastAsia" w:asciiTheme="majorEastAsia" w:hAnsiTheme="majorEastAsia" w:eastAsiaTheme="majorEastAsia" w:cstheme="majorEastAsia"/>
              <w:color w:val="auto"/>
              <w:sz w:val="32"/>
              <w:szCs w:val="32"/>
              <w:highlight w:val="none"/>
            </w:rPr>
            <w:t>第二章  投标人须知</w:t>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lang w:val="en-US" w:eastAsia="zh-CN"/>
            </w:rPr>
            <w:t>5</w:t>
          </w:r>
        </w:p>
        <w:p w14:paraId="04B8F9D3">
          <w:pPr>
            <w:pStyle w:val="44"/>
            <w:tabs>
              <w:tab w:val="right" w:leader="dot" w:pos="8732"/>
            </w:tabs>
            <w:spacing w:line="360" w:lineRule="auto"/>
            <w:rPr>
              <w:rFonts w:hint="eastAsia" w:asciiTheme="majorEastAsia" w:hAnsiTheme="majorEastAsia" w:eastAsiaTheme="majorEastAsia" w:cstheme="majorEastAsia"/>
              <w:color w:val="auto"/>
              <w:sz w:val="32"/>
              <w:szCs w:val="32"/>
              <w:highlight w:val="none"/>
              <w:lang w:eastAsia="zh-CN"/>
            </w:rPr>
          </w:pPr>
          <w:r>
            <w:rPr>
              <w:rFonts w:hint="eastAsia" w:asciiTheme="majorEastAsia" w:hAnsiTheme="majorEastAsia" w:eastAsiaTheme="majorEastAsia" w:cstheme="majorEastAsia"/>
              <w:color w:val="auto"/>
              <w:highlight w:val="none"/>
            </w:rPr>
            <w:fldChar w:fldCharType="begin"/>
          </w:r>
          <w:r>
            <w:rPr>
              <w:rFonts w:hint="eastAsia" w:asciiTheme="majorEastAsia" w:hAnsiTheme="majorEastAsia" w:eastAsiaTheme="majorEastAsia" w:cstheme="majorEastAsia"/>
              <w:color w:val="auto"/>
              <w:highlight w:val="none"/>
            </w:rPr>
            <w:instrText xml:space="preserve"> HYPERLINK \l "_Toc3090" </w:instrText>
          </w:r>
          <w:r>
            <w:rPr>
              <w:rFonts w:hint="eastAsia" w:asciiTheme="majorEastAsia" w:hAnsiTheme="majorEastAsia" w:eastAsiaTheme="majorEastAsia" w:cstheme="majorEastAsia"/>
              <w:color w:val="auto"/>
              <w:highlight w:val="none"/>
            </w:rPr>
            <w:fldChar w:fldCharType="separate"/>
          </w:r>
          <w:r>
            <w:rPr>
              <w:rFonts w:hint="eastAsia" w:asciiTheme="majorEastAsia" w:hAnsiTheme="majorEastAsia" w:eastAsiaTheme="majorEastAsia" w:cstheme="majorEastAsia"/>
              <w:bCs/>
              <w:color w:val="auto"/>
              <w:sz w:val="32"/>
              <w:szCs w:val="32"/>
              <w:highlight w:val="none"/>
            </w:rPr>
            <w:t>第三章  合同条款及格式</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t>2</w:t>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sz w:val="32"/>
              <w:szCs w:val="32"/>
              <w:highlight w:val="none"/>
              <w:lang w:val="en-US" w:eastAsia="zh-CN"/>
            </w:rPr>
            <w:t>1</w:t>
          </w:r>
        </w:p>
        <w:p w14:paraId="4754D5F7">
          <w:pPr>
            <w:pStyle w:val="44"/>
            <w:tabs>
              <w:tab w:val="right" w:leader="dot" w:pos="8732"/>
            </w:tabs>
            <w:spacing w:line="360" w:lineRule="auto"/>
            <w:rPr>
              <w:rFonts w:hint="default" w:asciiTheme="majorEastAsia" w:hAnsiTheme="majorEastAsia" w:eastAsiaTheme="majorEastAsia" w:cstheme="majorEastAsia"/>
              <w:color w:val="auto"/>
              <w:sz w:val="32"/>
              <w:szCs w:val="32"/>
              <w:highlight w:val="none"/>
              <w:lang w:val="en-US" w:eastAsia="zh-CN"/>
            </w:rPr>
          </w:pPr>
          <w:r>
            <w:rPr>
              <w:rFonts w:hint="eastAsia" w:asciiTheme="majorEastAsia" w:hAnsiTheme="majorEastAsia" w:eastAsiaTheme="majorEastAsia" w:cstheme="majorEastAsia"/>
              <w:color w:val="auto"/>
              <w:highlight w:val="none"/>
            </w:rPr>
            <w:fldChar w:fldCharType="begin"/>
          </w:r>
          <w:r>
            <w:rPr>
              <w:rFonts w:hint="eastAsia" w:asciiTheme="majorEastAsia" w:hAnsiTheme="majorEastAsia" w:eastAsiaTheme="majorEastAsia" w:cstheme="majorEastAsia"/>
              <w:color w:val="auto"/>
              <w:highlight w:val="none"/>
            </w:rPr>
            <w:instrText xml:space="preserve"> HYPERLINK \l "_Toc25912" </w:instrText>
          </w:r>
          <w:r>
            <w:rPr>
              <w:rFonts w:hint="eastAsia" w:asciiTheme="majorEastAsia" w:hAnsiTheme="majorEastAsia" w:eastAsiaTheme="majorEastAsia" w:cstheme="majorEastAsia"/>
              <w:color w:val="auto"/>
              <w:highlight w:val="none"/>
            </w:rPr>
            <w:fldChar w:fldCharType="separate"/>
          </w:r>
          <w:r>
            <w:rPr>
              <w:rFonts w:hint="eastAsia" w:asciiTheme="majorEastAsia" w:hAnsiTheme="majorEastAsia" w:eastAsiaTheme="majorEastAsia" w:cstheme="majorEastAsia"/>
              <w:color w:val="auto"/>
              <w:sz w:val="32"/>
              <w:szCs w:val="32"/>
              <w:highlight w:val="none"/>
            </w:rPr>
            <w:t xml:space="preserve">第四章  </w:t>
          </w:r>
          <w:r>
            <w:rPr>
              <w:rFonts w:hint="eastAsia" w:asciiTheme="majorEastAsia" w:hAnsiTheme="majorEastAsia" w:eastAsiaTheme="majorEastAsia" w:cstheme="majorEastAsia"/>
              <w:bCs/>
              <w:color w:val="auto"/>
              <w:sz w:val="32"/>
              <w:szCs w:val="32"/>
              <w:highlight w:val="none"/>
            </w:rPr>
            <w:t>项目需求</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sz w:val="32"/>
              <w:szCs w:val="32"/>
              <w:highlight w:val="none"/>
              <w:lang w:val="en-US" w:eastAsia="zh-CN"/>
            </w:rPr>
            <w:t>30</w:t>
          </w:r>
        </w:p>
        <w:p w14:paraId="1CA1350E">
          <w:pPr>
            <w:pStyle w:val="44"/>
            <w:tabs>
              <w:tab w:val="right" w:leader="dot" w:pos="8732"/>
            </w:tabs>
            <w:spacing w:line="360" w:lineRule="auto"/>
            <w:rPr>
              <w:rFonts w:hint="default" w:asciiTheme="majorEastAsia" w:hAnsiTheme="majorEastAsia" w:eastAsiaTheme="majorEastAsia" w:cstheme="majorEastAsia"/>
              <w:color w:val="auto"/>
              <w:sz w:val="32"/>
              <w:szCs w:val="32"/>
              <w:highlight w:val="none"/>
              <w:lang w:val="en-US" w:eastAsia="zh-CN"/>
            </w:rPr>
          </w:pPr>
          <w:r>
            <w:rPr>
              <w:rFonts w:hint="eastAsia" w:asciiTheme="majorEastAsia" w:hAnsiTheme="majorEastAsia" w:eastAsiaTheme="majorEastAsia" w:cstheme="majorEastAsia"/>
              <w:color w:val="auto"/>
              <w:highlight w:val="none"/>
            </w:rPr>
            <w:fldChar w:fldCharType="begin"/>
          </w:r>
          <w:r>
            <w:rPr>
              <w:rFonts w:hint="eastAsia" w:asciiTheme="majorEastAsia" w:hAnsiTheme="majorEastAsia" w:eastAsiaTheme="majorEastAsia" w:cstheme="majorEastAsia"/>
              <w:color w:val="auto"/>
              <w:highlight w:val="none"/>
            </w:rPr>
            <w:instrText xml:space="preserve"> HYPERLINK \l "_Toc26135" </w:instrText>
          </w:r>
          <w:r>
            <w:rPr>
              <w:rFonts w:hint="eastAsia" w:asciiTheme="majorEastAsia" w:hAnsiTheme="majorEastAsia" w:eastAsiaTheme="majorEastAsia" w:cstheme="majorEastAsia"/>
              <w:color w:val="auto"/>
              <w:highlight w:val="none"/>
            </w:rPr>
            <w:fldChar w:fldCharType="separate"/>
          </w:r>
          <w:r>
            <w:rPr>
              <w:rFonts w:hint="eastAsia" w:asciiTheme="majorEastAsia" w:hAnsiTheme="majorEastAsia" w:eastAsiaTheme="majorEastAsia" w:cstheme="majorEastAsia"/>
              <w:bCs/>
              <w:color w:val="auto"/>
              <w:sz w:val="32"/>
              <w:szCs w:val="32"/>
              <w:highlight w:val="none"/>
            </w:rPr>
            <w:t>第五章  定标原则与评标标准</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sz w:val="32"/>
              <w:szCs w:val="32"/>
              <w:highlight w:val="none"/>
              <w:lang w:val="en-US" w:eastAsia="zh-CN"/>
            </w:rPr>
            <w:t>35</w:t>
          </w:r>
        </w:p>
        <w:p w14:paraId="6F7D2922">
          <w:pPr>
            <w:pStyle w:val="44"/>
            <w:tabs>
              <w:tab w:val="right" w:leader="dot" w:pos="8732"/>
            </w:tabs>
            <w:spacing w:line="360" w:lineRule="auto"/>
            <w:rPr>
              <w:rFonts w:hint="default" w:asciiTheme="majorEastAsia" w:hAnsiTheme="majorEastAsia" w:eastAsiaTheme="majorEastAsia" w:cstheme="majorEastAsia"/>
              <w:color w:val="auto"/>
              <w:sz w:val="32"/>
              <w:szCs w:val="32"/>
              <w:highlight w:val="none"/>
              <w:lang w:val="en-US" w:eastAsia="zh-CN"/>
            </w:rPr>
          </w:pPr>
          <w:r>
            <w:rPr>
              <w:rFonts w:hint="eastAsia" w:asciiTheme="majorEastAsia" w:hAnsiTheme="majorEastAsia" w:eastAsiaTheme="majorEastAsia" w:cstheme="majorEastAsia"/>
              <w:color w:val="auto"/>
              <w:highlight w:val="none"/>
            </w:rPr>
            <w:fldChar w:fldCharType="begin"/>
          </w:r>
          <w:r>
            <w:rPr>
              <w:rFonts w:hint="eastAsia" w:asciiTheme="majorEastAsia" w:hAnsiTheme="majorEastAsia" w:eastAsiaTheme="majorEastAsia" w:cstheme="majorEastAsia"/>
              <w:color w:val="auto"/>
              <w:highlight w:val="none"/>
            </w:rPr>
            <w:instrText xml:space="preserve"> HYPERLINK \l "_Toc23734" </w:instrText>
          </w:r>
          <w:r>
            <w:rPr>
              <w:rFonts w:hint="eastAsia" w:asciiTheme="majorEastAsia" w:hAnsiTheme="majorEastAsia" w:eastAsiaTheme="majorEastAsia" w:cstheme="majorEastAsia"/>
              <w:color w:val="auto"/>
              <w:highlight w:val="none"/>
            </w:rPr>
            <w:fldChar w:fldCharType="separate"/>
          </w:r>
          <w:r>
            <w:rPr>
              <w:rFonts w:hint="eastAsia" w:asciiTheme="majorEastAsia" w:hAnsiTheme="majorEastAsia" w:eastAsiaTheme="majorEastAsia" w:cstheme="majorEastAsia"/>
              <w:bCs/>
              <w:color w:val="auto"/>
              <w:sz w:val="32"/>
              <w:szCs w:val="32"/>
              <w:highlight w:val="none"/>
            </w:rPr>
            <w:t>第六章  投标文件格式</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sz w:val="32"/>
              <w:szCs w:val="32"/>
              <w:highlight w:val="none"/>
              <w:lang w:val="en-US" w:eastAsia="zh-CN"/>
            </w:rPr>
            <w:t>39</w:t>
          </w:r>
        </w:p>
        <w:p w14:paraId="2F9FEF65">
          <w:pPr>
            <w:pStyle w:val="25"/>
            <w:spacing w:line="360" w:lineRule="auto"/>
            <w:ind w:firstLine="640"/>
            <w:rPr>
              <w:rFonts w:hint="eastAsia" w:asciiTheme="majorEastAsia" w:hAnsiTheme="majorEastAsia" w:eastAsiaTheme="majorEastAsia" w:cstheme="majorEastAsia"/>
              <w:color w:val="auto"/>
              <w:szCs w:val="44"/>
              <w:highlight w:val="none"/>
            </w:rPr>
          </w:pPr>
          <w:r>
            <w:rPr>
              <w:rFonts w:hint="eastAsia" w:asciiTheme="majorEastAsia" w:hAnsiTheme="majorEastAsia" w:eastAsiaTheme="majorEastAsia" w:cstheme="majorEastAsia"/>
              <w:color w:val="auto"/>
              <w:sz w:val="32"/>
              <w:szCs w:val="32"/>
              <w:highlight w:val="none"/>
            </w:rPr>
            <w:fldChar w:fldCharType="end"/>
          </w:r>
        </w:p>
      </w:sdtContent>
    </w:sdt>
    <w:p w14:paraId="25AFBADA">
      <w:pPr>
        <w:pStyle w:val="25"/>
        <w:spacing w:line="360" w:lineRule="auto"/>
        <w:rPr>
          <w:rFonts w:hint="eastAsia" w:asciiTheme="majorEastAsia" w:hAnsiTheme="majorEastAsia" w:eastAsiaTheme="majorEastAsia" w:cstheme="majorEastAsia"/>
          <w:color w:val="auto"/>
          <w:szCs w:val="44"/>
          <w:highlight w:val="none"/>
        </w:rPr>
      </w:pPr>
    </w:p>
    <w:p w14:paraId="61A009C5">
      <w:pPr>
        <w:tabs>
          <w:tab w:val="left" w:pos="286"/>
        </w:tabs>
        <w:spacing w:line="360" w:lineRule="auto"/>
        <w:jc w:val="left"/>
        <w:rPr>
          <w:rFonts w:hint="eastAsia" w:asciiTheme="majorEastAsia" w:hAnsiTheme="majorEastAsia" w:eastAsiaTheme="majorEastAsia" w:cstheme="majorEastAsia"/>
          <w:color w:val="auto"/>
          <w:highlight w:val="none"/>
        </w:rPr>
        <w:sectPr>
          <w:footerReference r:id="rId8" w:type="first"/>
          <w:footerReference r:id="rId7" w:type="default"/>
          <w:pgSz w:w="11906" w:h="16838"/>
          <w:pgMar w:top="1440" w:right="1587" w:bottom="1440" w:left="1587" w:header="851" w:footer="907" w:gutter="0"/>
          <w:pgNumType w:fmt="decimal" w:start="1"/>
          <w:cols w:space="720" w:num="1"/>
          <w:titlePg/>
          <w:docGrid w:type="lines" w:linePitch="290" w:charSpace="0"/>
        </w:sectPr>
      </w:pPr>
      <w:r>
        <w:rPr>
          <w:rFonts w:hint="eastAsia" w:asciiTheme="majorEastAsia" w:hAnsiTheme="majorEastAsia" w:eastAsiaTheme="majorEastAsia" w:cstheme="majorEastAsia"/>
          <w:color w:val="auto"/>
          <w:highlight w:val="none"/>
        </w:rPr>
        <w:tab/>
      </w:r>
    </w:p>
    <w:p w14:paraId="53A3BCD5">
      <w:pPr>
        <w:pStyle w:val="4"/>
        <w:spacing w:line="360" w:lineRule="auto"/>
        <w:rPr>
          <w:rFonts w:hint="eastAsia" w:asciiTheme="majorEastAsia" w:hAnsiTheme="majorEastAsia" w:eastAsiaTheme="majorEastAsia" w:cstheme="majorEastAsia"/>
          <w:b/>
          <w:bCs/>
          <w:color w:val="auto"/>
          <w:sz w:val="36"/>
          <w:szCs w:val="36"/>
          <w:highlight w:val="none"/>
        </w:rPr>
      </w:pPr>
      <w:bookmarkStart w:id="6" w:name="_Toc139298009"/>
      <w:bookmarkStart w:id="7" w:name="_Toc31944"/>
      <w:r>
        <w:rPr>
          <w:rFonts w:hint="eastAsia" w:asciiTheme="majorEastAsia" w:hAnsiTheme="majorEastAsia" w:eastAsiaTheme="majorEastAsia" w:cstheme="majorEastAsia"/>
          <w:b/>
          <w:bCs/>
          <w:color w:val="auto"/>
          <w:sz w:val="36"/>
          <w:szCs w:val="36"/>
          <w:highlight w:val="none"/>
        </w:rPr>
        <w:t xml:space="preserve">第一章  </w:t>
      </w:r>
      <w:bookmarkEnd w:id="0"/>
      <w:r>
        <w:rPr>
          <w:rFonts w:hint="eastAsia" w:asciiTheme="majorEastAsia" w:hAnsiTheme="majorEastAsia" w:eastAsiaTheme="majorEastAsia" w:cstheme="majorEastAsia"/>
          <w:b/>
          <w:bCs/>
          <w:color w:val="auto"/>
          <w:sz w:val="36"/>
          <w:szCs w:val="36"/>
          <w:highlight w:val="none"/>
        </w:rPr>
        <w:t>招标公告</w:t>
      </w:r>
      <w:bookmarkEnd w:id="6"/>
      <w:bookmarkEnd w:id="7"/>
    </w:p>
    <w:p w14:paraId="4B90114B">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ajorEastAsia" w:hAnsiTheme="majorEastAsia" w:eastAsiaTheme="majorEastAsia" w:cstheme="majorEastAsia"/>
          <w:color w:val="auto"/>
          <w:sz w:val="24"/>
          <w:szCs w:val="24"/>
          <w:highlight w:val="none"/>
          <w:u w:val="single"/>
        </w:rPr>
      </w:pPr>
      <w:bookmarkStart w:id="8" w:name="_Toc120614211"/>
      <w:r>
        <w:rPr>
          <w:rFonts w:hint="eastAsia" w:asciiTheme="majorEastAsia" w:hAnsiTheme="majorEastAsia" w:eastAsiaTheme="majorEastAsia" w:cstheme="majorEastAsia"/>
          <w:color w:val="auto"/>
          <w:sz w:val="24"/>
          <w:szCs w:val="24"/>
          <w:highlight w:val="none"/>
        </w:rPr>
        <w:t>项目概况</w:t>
      </w:r>
    </w:p>
    <w:p w14:paraId="70F442E2">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u w:val="single"/>
          <w:lang w:eastAsia="zh-CN"/>
        </w:rPr>
        <w:t>阜宁县2025年农村公路桥梁定期检查和特殊检查项目（二次）</w:t>
      </w:r>
      <w:r>
        <w:rPr>
          <w:rFonts w:hint="eastAsia" w:asciiTheme="majorEastAsia" w:hAnsiTheme="majorEastAsia" w:eastAsiaTheme="majorEastAsia" w:cstheme="majorEastAsia"/>
          <w:iCs/>
          <w:color w:val="auto"/>
          <w:sz w:val="24"/>
          <w:szCs w:val="24"/>
          <w:highlight w:val="none"/>
          <w:lang w:bidi="ar"/>
        </w:rPr>
        <w:t>招标项目的潜在投标人应在“苏采云”系统内免费下载（投标人必须在苏采云系统中获取采购文件，方能参与政府采购项目）获取招标文件，并于</w:t>
      </w:r>
      <w:r>
        <w:rPr>
          <w:rFonts w:hint="eastAsia" w:asciiTheme="majorEastAsia" w:hAnsiTheme="majorEastAsia" w:eastAsiaTheme="majorEastAsia" w:cstheme="majorEastAsia"/>
          <w:iCs/>
          <w:color w:val="auto"/>
          <w:sz w:val="24"/>
          <w:szCs w:val="24"/>
          <w:highlight w:val="none"/>
          <w:u w:val="single"/>
          <w:lang w:bidi="ar"/>
        </w:rPr>
        <w:t>2025年</w:t>
      </w:r>
      <w:r>
        <w:rPr>
          <w:rFonts w:hint="eastAsia" w:asciiTheme="majorEastAsia" w:hAnsiTheme="majorEastAsia" w:eastAsiaTheme="majorEastAsia" w:cstheme="majorEastAsia"/>
          <w:iCs/>
          <w:color w:val="auto"/>
          <w:sz w:val="24"/>
          <w:szCs w:val="24"/>
          <w:highlight w:val="none"/>
          <w:u w:val="single"/>
          <w:lang w:val="en-US" w:eastAsia="zh-CN" w:bidi="ar"/>
        </w:rPr>
        <w:t>10</w:t>
      </w:r>
      <w:r>
        <w:rPr>
          <w:rFonts w:hint="eastAsia" w:asciiTheme="majorEastAsia" w:hAnsiTheme="majorEastAsia" w:eastAsiaTheme="majorEastAsia" w:cstheme="majorEastAsia"/>
          <w:iCs/>
          <w:color w:val="auto"/>
          <w:sz w:val="24"/>
          <w:szCs w:val="24"/>
          <w:highlight w:val="none"/>
          <w:u w:val="single"/>
          <w:lang w:bidi="ar"/>
        </w:rPr>
        <w:t>月</w:t>
      </w:r>
      <w:r>
        <w:rPr>
          <w:rFonts w:hint="eastAsia" w:asciiTheme="majorEastAsia" w:hAnsiTheme="majorEastAsia" w:eastAsiaTheme="majorEastAsia" w:cstheme="majorEastAsia"/>
          <w:iCs/>
          <w:color w:val="auto"/>
          <w:sz w:val="24"/>
          <w:szCs w:val="24"/>
          <w:highlight w:val="none"/>
          <w:u w:val="single"/>
          <w:lang w:val="en-US" w:eastAsia="zh-CN" w:bidi="ar"/>
        </w:rPr>
        <w:t>15日</w:t>
      </w:r>
      <w:r>
        <w:rPr>
          <w:rFonts w:hint="eastAsia" w:asciiTheme="majorEastAsia" w:hAnsiTheme="majorEastAsia" w:eastAsiaTheme="majorEastAsia" w:cstheme="majorEastAsia"/>
          <w:iCs/>
          <w:color w:val="auto"/>
          <w:sz w:val="24"/>
          <w:szCs w:val="24"/>
          <w:highlight w:val="none"/>
          <w:u w:val="single"/>
          <w:lang w:bidi="ar"/>
        </w:rPr>
        <w:t>9点00分</w:t>
      </w:r>
      <w:r>
        <w:rPr>
          <w:rFonts w:hint="eastAsia" w:asciiTheme="majorEastAsia" w:hAnsiTheme="majorEastAsia" w:eastAsiaTheme="majorEastAsia" w:cstheme="majorEastAsia"/>
          <w:iCs/>
          <w:color w:val="auto"/>
          <w:sz w:val="24"/>
          <w:szCs w:val="24"/>
          <w:highlight w:val="none"/>
          <w:lang w:bidi="ar"/>
        </w:rPr>
        <w:t>（北京时间）前递交投标文件。</w:t>
      </w:r>
    </w:p>
    <w:p w14:paraId="65B6D3BB">
      <w:pPr>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一、项目基本情况</w:t>
      </w:r>
    </w:p>
    <w:p w14:paraId="31E5A20C">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1、项目编号：</w:t>
      </w:r>
      <w:r>
        <w:rPr>
          <w:rFonts w:hint="eastAsia" w:asciiTheme="majorEastAsia" w:hAnsiTheme="majorEastAsia" w:eastAsiaTheme="majorEastAsia" w:cstheme="majorEastAsia"/>
          <w:color w:val="auto"/>
          <w:sz w:val="24"/>
          <w:szCs w:val="24"/>
          <w:highlight w:val="none"/>
          <w:lang w:eastAsia="zh-CN"/>
        </w:rPr>
        <w:t>JSZC-320923-FNDY-G2025-0002</w:t>
      </w:r>
    </w:p>
    <w:p w14:paraId="51867C87">
      <w:pPr>
        <w:spacing w:line="360" w:lineRule="auto"/>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2、项目名称：</w:t>
      </w:r>
      <w:r>
        <w:rPr>
          <w:rFonts w:hint="eastAsia" w:asciiTheme="majorEastAsia" w:hAnsiTheme="majorEastAsia" w:eastAsiaTheme="majorEastAsia" w:cstheme="majorEastAsia"/>
          <w:color w:val="auto"/>
          <w:sz w:val="24"/>
          <w:szCs w:val="24"/>
          <w:highlight w:val="none"/>
          <w:lang w:eastAsia="zh-CN"/>
        </w:rPr>
        <w:t>阜宁县2025年农村公路桥梁定期检查和特殊检查项目（二次）</w:t>
      </w:r>
    </w:p>
    <w:p w14:paraId="6E0EF1A8">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采购方式：公开招标</w:t>
      </w:r>
    </w:p>
    <w:p w14:paraId="2F641C8A">
      <w:pPr>
        <w:spacing w:line="360" w:lineRule="auto"/>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、预算金额：80万元</w:t>
      </w:r>
      <w:r>
        <w:rPr>
          <w:rFonts w:hint="eastAsia" w:asciiTheme="majorEastAsia" w:hAnsiTheme="majorEastAsia" w:eastAsiaTheme="majorEastAsia" w:cstheme="majorEastAsia"/>
          <w:color w:val="auto"/>
          <w:sz w:val="24"/>
          <w:szCs w:val="24"/>
          <w:highlight w:val="none"/>
          <w:lang w:eastAsia="zh-CN"/>
        </w:rPr>
        <w:t>。</w:t>
      </w:r>
    </w:p>
    <w:p w14:paraId="2EA79747">
      <w:pPr>
        <w:spacing w:line="360" w:lineRule="auto"/>
        <w:ind w:firstLine="480"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、最高限价：80</w:t>
      </w:r>
      <w:r>
        <w:rPr>
          <w:rFonts w:hint="eastAsia" w:asciiTheme="majorEastAsia" w:hAnsiTheme="majorEastAsia" w:eastAsiaTheme="majorEastAsia" w:cstheme="majorEastAsia"/>
          <w:iCs/>
          <w:color w:val="auto"/>
          <w:sz w:val="24"/>
          <w:szCs w:val="24"/>
          <w:highlight w:val="none"/>
          <w:lang w:bidi="ar"/>
        </w:rPr>
        <w:t>万元</w:t>
      </w:r>
      <w:r>
        <w:rPr>
          <w:rFonts w:hint="eastAsia" w:asciiTheme="majorEastAsia" w:hAnsiTheme="majorEastAsia" w:eastAsiaTheme="majorEastAsia" w:cstheme="majorEastAsia"/>
          <w:color w:val="auto"/>
          <w:sz w:val="24"/>
          <w:szCs w:val="24"/>
          <w:highlight w:val="none"/>
        </w:rPr>
        <w:t>。</w:t>
      </w:r>
    </w:p>
    <w:p w14:paraId="6E633AA8">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、服务需求：根据2025年全市农村公路建设管理养护重点工作清单要求和农村公路桥梁定检规定，今年需对全县农村公路桥梁进行全覆盖定检、部分特定结构桥梁和涉水桥梁的专项检查。 ①截至2024年底我县农村公路列养桥梁有1272座；②8座长大桥梁钢桁架主跨结构特殊检查及2座涉水桥梁水下桩专项检查；③即将完成的农村路网修编调整增加的约200座桥梁需补充纳入路网检查。农村公路桥梁定期检查和特殊检查项目业务范围包括：对桥梁定期及特殊检查的外业数据采集、病害记录，对桥梁检查数据录入农村公路桥梁管理系统（CBMS），通过系统和人工评定相结合的方式，准确评定桥梁技术状况；按时限要求提交桥梁定期检查报告，并提出桥梁养护技术方案。</w:t>
      </w:r>
      <w:r>
        <w:rPr>
          <w:rFonts w:hint="eastAsia" w:ascii="宋体" w:hAnsi="宋体" w:cs="宋体"/>
          <w:color w:val="auto"/>
          <w:kern w:val="0"/>
          <w:sz w:val="24"/>
          <w:highlight w:val="none"/>
        </w:rPr>
        <w:t>详细内容见本招标文件第四章。</w:t>
      </w:r>
    </w:p>
    <w:p w14:paraId="6FCE4440">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、合同履行期限：60日历天，具体时间以招标人通知为准。</w:t>
      </w:r>
    </w:p>
    <w:p w14:paraId="571D49F4">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、本项目不接受联合体投标。</w:t>
      </w:r>
    </w:p>
    <w:p w14:paraId="19AAF57A">
      <w:pPr>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二、申请人的资格要求：</w:t>
      </w:r>
    </w:p>
    <w:p w14:paraId="4E980902">
      <w:pPr>
        <w:widowControl/>
        <w:snapToGrid w:val="0"/>
        <w:spacing w:line="360" w:lineRule="auto"/>
        <w:ind w:firstLine="480" w:firstLineChars="200"/>
        <w:jc w:val="left"/>
        <w:rPr>
          <w:rFonts w:hint="eastAsia" w:asciiTheme="majorEastAsia" w:hAnsiTheme="majorEastAsia" w:eastAsiaTheme="majorEastAsia" w:cstheme="majorEastAsia"/>
          <w:iCs/>
          <w:color w:val="auto"/>
          <w:sz w:val="24"/>
          <w:szCs w:val="24"/>
          <w:highlight w:val="none"/>
          <w:lang w:bidi="ar"/>
        </w:rPr>
      </w:pPr>
      <w:bookmarkStart w:id="9" w:name="_Toc35393792"/>
      <w:r>
        <w:rPr>
          <w:rFonts w:hint="eastAsia" w:asciiTheme="majorEastAsia" w:hAnsiTheme="majorEastAsia" w:eastAsiaTheme="majorEastAsia" w:cstheme="majorEastAsia"/>
          <w:iCs/>
          <w:color w:val="auto"/>
          <w:sz w:val="24"/>
          <w:szCs w:val="24"/>
          <w:highlight w:val="none"/>
          <w:lang w:bidi="ar"/>
        </w:rPr>
        <w:t>1</w:t>
      </w:r>
      <w:r>
        <w:rPr>
          <w:rFonts w:hint="eastAsia" w:asciiTheme="majorEastAsia" w:hAnsiTheme="majorEastAsia" w:eastAsiaTheme="majorEastAsia" w:cstheme="majorEastAsia"/>
          <w:iCs/>
          <w:color w:val="auto"/>
          <w:sz w:val="24"/>
          <w:szCs w:val="24"/>
          <w:highlight w:val="none"/>
          <w:lang w:val="en-US" w:eastAsia="zh-CN" w:bidi="ar"/>
        </w:rPr>
        <w:t>.</w:t>
      </w:r>
      <w:r>
        <w:rPr>
          <w:rFonts w:hint="eastAsia" w:asciiTheme="majorEastAsia" w:hAnsiTheme="majorEastAsia" w:eastAsiaTheme="majorEastAsia" w:cstheme="majorEastAsia"/>
          <w:iCs/>
          <w:color w:val="auto"/>
          <w:sz w:val="24"/>
          <w:szCs w:val="24"/>
          <w:highlight w:val="none"/>
          <w:lang w:bidi="ar"/>
        </w:rPr>
        <w:t>满足《中华人民共和国政府采购法》第二十二条规定；</w:t>
      </w:r>
      <w:bookmarkEnd w:id="9"/>
      <w:r>
        <w:rPr>
          <w:rFonts w:hint="eastAsia" w:asciiTheme="majorEastAsia" w:hAnsiTheme="majorEastAsia" w:eastAsiaTheme="majorEastAsia" w:cstheme="majorEastAsia"/>
          <w:color w:val="auto"/>
          <w:sz w:val="24"/>
          <w:szCs w:val="24"/>
          <w:highlight w:val="none"/>
        </w:rPr>
        <w:t>并提供下列材料：</w:t>
      </w:r>
    </w:p>
    <w:p w14:paraId="399E7AB4">
      <w:pPr>
        <w:widowControl/>
        <w:snapToGrid w:val="0"/>
        <w:spacing w:line="360" w:lineRule="auto"/>
        <w:ind w:firstLine="480" w:firstLineChars="20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1.1.法人或者其他组织的营业执照等证明文件，自然人的身份证明。</w:t>
      </w:r>
    </w:p>
    <w:p w14:paraId="545E2D3D">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lang w:bidi="ar"/>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lang w:bidi="ar"/>
        </w:rPr>
        <w:t>具有良好的商业信誉和健全的财务会计制度【提供2024年度的财务状况报告（财务状况报告至少应包括资产负债表、利润表；距投标截止之日止，成立不足一年的供应商，可不提供财务状况报告。）】；</w:t>
      </w:r>
    </w:p>
    <w:p w14:paraId="36920620">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lang w:bidi="ar"/>
        </w:rPr>
      </w:pPr>
      <w:r>
        <w:rPr>
          <w:rFonts w:hint="eastAsia" w:asciiTheme="majorEastAsia" w:hAnsiTheme="majorEastAsia" w:eastAsiaTheme="majorEastAsia" w:cstheme="majorEastAsia"/>
          <w:iCs/>
          <w:color w:val="auto"/>
          <w:sz w:val="24"/>
          <w:szCs w:val="24"/>
          <w:highlight w:val="none"/>
          <w:lang w:bidi="ar"/>
        </w:rPr>
        <w:t>1.3.依法缴纳税收和社会保障资金的相关材料（提供提交响应文件截止时间前一年</w:t>
      </w:r>
    </w:p>
    <w:p w14:paraId="225F9CA3">
      <w:pPr>
        <w:widowControl/>
        <w:snapToGrid w:val="0"/>
        <w:spacing w:line="360" w:lineRule="auto"/>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内至少一个月依法缴纳税收及缴纳社会保障资金的证明材料。供应商依法享受缓缴、免缴税收、社会保障资金的提供证明材料。）</w:t>
      </w:r>
    </w:p>
    <w:p w14:paraId="4908E664">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1.4.具备履行合同所必需的设备和专业技术能力的书面声明。</w:t>
      </w:r>
    </w:p>
    <w:p w14:paraId="757B679C">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1.5.参加政府采购活动前3年内在经营活动中没有重大违法记录的书面声明。</w:t>
      </w:r>
    </w:p>
    <w:p w14:paraId="1A42D159">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1.6.法律、行政法规规定的其他条件。</w:t>
      </w:r>
    </w:p>
    <w:p w14:paraId="1065F89C">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51A5F44">
      <w:pPr>
        <w:widowControl/>
        <w:numPr>
          <w:ilvl w:val="0"/>
          <w:numId w:val="0"/>
        </w:numPr>
        <w:snapToGrid w:val="0"/>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iCs/>
          <w:color w:val="auto"/>
          <w:sz w:val="24"/>
          <w:szCs w:val="24"/>
          <w:highlight w:val="none"/>
          <w:lang w:bidi="ar"/>
        </w:rPr>
        <w:t>1.8.单位负责人为同一人或者存在直接控股、管理关系的不同供应商，不得参加同一合同项下的政府采购活动。</w:t>
      </w:r>
    </w:p>
    <w:p w14:paraId="47233068">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2.本项目的特定资格要求：</w:t>
      </w:r>
    </w:p>
    <w:p w14:paraId="14C59C00">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①投标人应具有交通行政主管部门颁发的公路工程综合乙级（或以上）试验检测机构等级证书【或公路工程乙级（或以上）检测机构资质证书】或公路工程桥梁隧道工程试验检测专项等级证书（或公路工程桥梁隧道工程试验检测专项资质证书）；同时具有省级或以上市场监督部门颁发的有效的资质认定证书（资质认定包括检验检测机构计量认证）或计量认证证书；</w:t>
      </w:r>
    </w:p>
    <w:p w14:paraId="593FCE77">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 xml:space="preserve">②项目负责人资格：具有交通运输行政主管部门核发的公路工程试验检测工程师（桥梁专业）资格证书或公路水运工程试验检测师（桥梁隧道工程专业）。 </w:t>
      </w:r>
    </w:p>
    <w:p w14:paraId="7FE07FF9">
      <w:pPr>
        <w:widowControl/>
        <w:snapToGrid w:val="0"/>
        <w:spacing w:line="360" w:lineRule="auto"/>
        <w:ind w:firstLine="480" w:firstLineChars="20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（2）业绩要求：</w:t>
      </w:r>
    </w:p>
    <w:p w14:paraId="629A5E01">
      <w:pPr>
        <w:widowControl/>
        <w:snapToGrid w:val="0"/>
        <w:spacing w:line="360" w:lineRule="auto"/>
        <w:ind w:firstLine="540"/>
        <w:jc w:val="left"/>
        <w:rPr>
          <w:rFonts w:hint="eastAsia" w:asciiTheme="majorEastAsia" w:hAnsiTheme="majorEastAsia" w:eastAsiaTheme="majorEastAsia" w:cstheme="majorEastAsia"/>
          <w:b/>
          <w:bCs/>
          <w:iCs/>
          <w:color w:val="auto"/>
          <w:sz w:val="44"/>
          <w:szCs w:val="44"/>
          <w:highlight w:val="none"/>
          <w:lang w:eastAsia="zh-CN" w:bidi="ar"/>
        </w:rPr>
      </w:pPr>
      <w:r>
        <w:rPr>
          <w:rFonts w:hint="eastAsia" w:asciiTheme="majorEastAsia" w:hAnsiTheme="majorEastAsia" w:eastAsiaTheme="majorEastAsia" w:cstheme="majorEastAsia"/>
          <w:iCs/>
          <w:color w:val="auto"/>
          <w:sz w:val="24"/>
          <w:szCs w:val="24"/>
          <w:highlight w:val="none"/>
          <w:lang w:bidi="ar"/>
        </w:rPr>
        <w:t>2022年1月1日以来（</w:t>
      </w:r>
      <w:r>
        <w:rPr>
          <w:rFonts w:hint="eastAsia" w:asciiTheme="majorEastAsia" w:hAnsiTheme="majorEastAsia" w:eastAsiaTheme="majorEastAsia" w:cstheme="majorEastAsia"/>
          <w:iCs/>
          <w:color w:val="auto"/>
          <w:sz w:val="24"/>
          <w:szCs w:val="24"/>
          <w:highlight w:val="none"/>
          <w:lang w:eastAsia="zh-CN" w:bidi="ar"/>
        </w:rPr>
        <w:t>以</w:t>
      </w:r>
      <w:r>
        <w:rPr>
          <w:rFonts w:hint="eastAsia" w:asciiTheme="majorEastAsia" w:hAnsiTheme="majorEastAsia" w:eastAsiaTheme="majorEastAsia" w:cstheme="majorEastAsia"/>
          <w:iCs/>
          <w:color w:val="auto"/>
          <w:sz w:val="24"/>
          <w:szCs w:val="24"/>
          <w:highlight w:val="none"/>
          <w:lang w:bidi="ar"/>
        </w:rPr>
        <w:t>合同完成时间为准），投标人承担过农村公路桥梁定期检查项目。</w:t>
      </w:r>
    </w:p>
    <w:p w14:paraId="583F68E6">
      <w:pPr>
        <w:spacing w:line="360" w:lineRule="auto"/>
        <w:ind w:firstLine="480" w:firstLineChars="200"/>
        <w:rPr>
          <w:rFonts w:hint="default"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3.本项目不属于专门面向中小企业采购的项目。</w:t>
      </w:r>
    </w:p>
    <w:p w14:paraId="57153197">
      <w:pPr>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三、获取招标文件</w:t>
      </w:r>
    </w:p>
    <w:p w14:paraId="631C56E7">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1、采购文件获取截止时间：自招标文件公告发布之日起5个工作日</w:t>
      </w:r>
    </w:p>
    <w:p w14:paraId="513ECF15">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2、地点：中国政府采购网、江苏政府采购网、盐城市政府采购网</w:t>
      </w:r>
    </w:p>
    <w:p w14:paraId="14F1D800">
      <w:pPr>
        <w:pStyle w:val="11"/>
        <w:spacing w:line="360" w:lineRule="auto"/>
        <w:ind w:firstLine="480" w:firstLineChars="200"/>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3、方式：在江苏政府采购网“政府采购一体化平台（苏采云）”自行免费下载</w:t>
      </w:r>
    </w:p>
    <w:p w14:paraId="5CE19E41">
      <w:pPr>
        <w:spacing w:line="360" w:lineRule="auto"/>
        <w:rPr>
          <w:rFonts w:hint="eastAsia"/>
          <w:color w:val="auto"/>
          <w:highlight w:val="none"/>
        </w:rPr>
      </w:pPr>
      <w:r>
        <w:rPr>
          <w:rFonts w:hint="eastAsia" w:asciiTheme="majorEastAsia" w:hAnsiTheme="majorEastAsia" w:eastAsiaTheme="majorEastAsia" w:cstheme="majorEastAsia"/>
          <w:iCs/>
          <w:color w:val="auto"/>
          <w:sz w:val="24"/>
          <w:szCs w:val="24"/>
          <w:highlight w:val="none"/>
          <w:lang w:bidi="ar"/>
        </w:rPr>
        <w:t>招标文件。（注：若决定参加投标的，须持投标人CA在上述时间内登录苏采云政府</w:t>
      </w:r>
    </w:p>
    <w:p w14:paraId="719B396F">
      <w:pPr>
        <w:widowControl/>
        <w:snapToGrid w:val="0"/>
        <w:spacing w:line="360" w:lineRule="auto"/>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 xml:space="preserve">采购交易系统下载。） </w:t>
      </w:r>
    </w:p>
    <w:p w14:paraId="6AF74B3C">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iCs/>
          <w:color w:val="auto"/>
          <w:sz w:val="24"/>
          <w:szCs w:val="24"/>
          <w:highlight w:val="none"/>
          <w:lang w:bidi="ar"/>
        </w:rPr>
        <w:t>4.售价：0元</w:t>
      </w:r>
    </w:p>
    <w:p w14:paraId="2C0E3D00">
      <w:pPr>
        <w:spacing w:line="360" w:lineRule="auto"/>
        <w:ind w:firstLine="482"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四、提交投标文件截止时间、开标时间和地点</w:t>
      </w:r>
    </w:p>
    <w:p w14:paraId="3946FABF">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1、提交投标文件截止时间：2025年</w:t>
      </w:r>
      <w:r>
        <w:rPr>
          <w:rFonts w:hint="eastAsia" w:asciiTheme="majorEastAsia" w:hAnsiTheme="majorEastAsia" w:eastAsiaTheme="majorEastAsia" w:cstheme="majorEastAsia"/>
          <w:iCs/>
          <w:color w:val="auto"/>
          <w:sz w:val="24"/>
          <w:szCs w:val="24"/>
          <w:highlight w:val="none"/>
          <w:lang w:val="en-US" w:eastAsia="zh-CN" w:bidi="ar"/>
        </w:rPr>
        <w:t>10</w:t>
      </w:r>
      <w:r>
        <w:rPr>
          <w:rFonts w:hint="eastAsia" w:asciiTheme="majorEastAsia" w:hAnsiTheme="majorEastAsia" w:eastAsiaTheme="majorEastAsia" w:cstheme="majorEastAsia"/>
          <w:iCs/>
          <w:color w:val="auto"/>
          <w:sz w:val="24"/>
          <w:szCs w:val="24"/>
          <w:highlight w:val="none"/>
          <w:lang w:bidi="ar"/>
        </w:rPr>
        <w:t>月</w:t>
      </w:r>
      <w:r>
        <w:rPr>
          <w:rFonts w:hint="eastAsia" w:asciiTheme="majorEastAsia" w:hAnsiTheme="majorEastAsia" w:eastAsiaTheme="majorEastAsia" w:cstheme="majorEastAsia"/>
          <w:iCs/>
          <w:color w:val="auto"/>
          <w:sz w:val="24"/>
          <w:szCs w:val="24"/>
          <w:highlight w:val="none"/>
          <w:lang w:val="en-US" w:eastAsia="zh-CN" w:bidi="ar"/>
        </w:rPr>
        <w:t>15日</w:t>
      </w:r>
      <w:r>
        <w:rPr>
          <w:rFonts w:hint="eastAsia" w:asciiTheme="majorEastAsia" w:hAnsiTheme="majorEastAsia" w:eastAsiaTheme="majorEastAsia" w:cstheme="majorEastAsia"/>
          <w:iCs/>
          <w:color w:val="auto"/>
          <w:sz w:val="24"/>
          <w:szCs w:val="24"/>
          <w:highlight w:val="none"/>
          <w:lang w:bidi="ar"/>
        </w:rPr>
        <w:t>9点00分（北京时间）</w:t>
      </w:r>
    </w:p>
    <w:p w14:paraId="730E51BE">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2、开标时间：2025年</w:t>
      </w:r>
      <w:r>
        <w:rPr>
          <w:rFonts w:hint="eastAsia" w:asciiTheme="majorEastAsia" w:hAnsiTheme="majorEastAsia" w:eastAsiaTheme="majorEastAsia" w:cstheme="majorEastAsia"/>
          <w:iCs/>
          <w:color w:val="auto"/>
          <w:sz w:val="24"/>
          <w:szCs w:val="24"/>
          <w:highlight w:val="none"/>
          <w:lang w:val="en-US" w:eastAsia="zh-CN" w:bidi="ar"/>
        </w:rPr>
        <w:t>10</w:t>
      </w:r>
      <w:r>
        <w:rPr>
          <w:rFonts w:hint="eastAsia" w:asciiTheme="majorEastAsia" w:hAnsiTheme="majorEastAsia" w:eastAsiaTheme="majorEastAsia" w:cstheme="majorEastAsia"/>
          <w:iCs/>
          <w:color w:val="auto"/>
          <w:sz w:val="24"/>
          <w:szCs w:val="24"/>
          <w:highlight w:val="none"/>
          <w:lang w:bidi="ar"/>
        </w:rPr>
        <w:t>月</w:t>
      </w:r>
      <w:r>
        <w:rPr>
          <w:rFonts w:hint="eastAsia" w:asciiTheme="majorEastAsia" w:hAnsiTheme="majorEastAsia" w:eastAsiaTheme="majorEastAsia" w:cstheme="majorEastAsia"/>
          <w:iCs/>
          <w:color w:val="auto"/>
          <w:sz w:val="24"/>
          <w:szCs w:val="24"/>
          <w:highlight w:val="none"/>
          <w:lang w:val="en-US" w:eastAsia="zh-CN" w:bidi="ar"/>
        </w:rPr>
        <w:t>15日</w:t>
      </w:r>
      <w:r>
        <w:rPr>
          <w:rFonts w:hint="eastAsia" w:asciiTheme="majorEastAsia" w:hAnsiTheme="majorEastAsia" w:eastAsiaTheme="majorEastAsia" w:cstheme="majorEastAsia"/>
          <w:iCs/>
          <w:color w:val="auto"/>
          <w:sz w:val="24"/>
          <w:szCs w:val="24"/>
          <w:highlight w:val="none"/>
          <w:lang w:bidi="ar"/>
        </w:rPr>
        <w:t>9点00分（北京时间）</w:t>
      </w:r>
    </w:p>
    <w:p w14:paraId="0762D67F">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3、开标地点：“苏采云”政府采购交易系统网上开标大厅。</w:t>
      </w:r>
    </w:p>
    <w:p w14:paraId="75CB6BF9">
      <w:pPr>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五、公告期限</w:t>
      </w:r>
    </w:p>
    <w:p w14:paraId="17FA253F">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自本公告发布之日起5个工作日。</w:t>
      </w:r>
    </w:p>
    <w:p w14:paraId="7273AA0A">
      <w:pPr>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六、其他补充事宜</w:t>
      </w:r>
    </w:p>
    <w:p w14:paraId="5A4F3EC3">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2D27A5DE">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http://www.ccgp-jiangsu.gov.cn/jiangsu/zlxz/ee/ee3a4bc5a3454aa2b0d9312230633ce9.html。</w:t>
      </w:r>
    </w:p>
    <w:p w14:paraId="6513061F">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25DEB040">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2.有关本次招标的事项若存在变动或修改，敬请及时关注在“中国政府采购网”、“江苏政府采购网”、“盐城市政府采购网”发布的更正公告。</w:t>
      </w:r>
    </w:p>
    <w:p w14:paraId="6B1C4AAF">
      <w:pPr>
        <w:widowControl/>
        <w:snapToGrid w:val="0"/>
        <w:spacing w:line="360" w:lineRule="auto"/>
        <w:ind w:firstLine="540"/>
        <w:jc w:val="left"/>
        <w:rPr>
          <w:rFonts w:hint="eastAsia" w:asciiTheme="majorEastAsia" w:hAnsiTheme="majorEastAsia" w:eastAsiaTheme="majorEastAsia" w:cstheme="majorEastAsia"/>
          <w:iCs/>
          <w:color w:val="auto"/>
          <w:sz w:val="24"/>
          <w:szCs w:val="24"/>
          <w:highlight w:val="none"/>
          <w:lang w:bidi="ar"/>
        </w:rPr>
      </w:pPr>
      <w:r>
        <w:rPr>
          <w:rFonts w:hint="eastAsia" w:asciiTheme="majorEastAsia" w:hAnsiTheme="majorEastAsia" w:eastAsiaTheme="majorEastAsia" w:cstheme="majorEastAsia"/>
          <w:iCs/>
          <w:color w:val="auto"/>
          <w:sz w:val="24"/>
          <w:szCs w:val="24"/>
          <w:highlight w:val="none"/>
          <w:lang w:bidi="ar"/>
        </w:rPr>
        <w:t>3.本次招标不收取投标保证金，不收取质量保证金。</w:t>
      </w:r>
    </w:p>
    <w:p w14:paraId="376A07B2">
      <w:pPr>
        <w:spacing w:line="360" w:lineRule="auto"/>
        <w:ind w:firstLine="482"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七、对本次招标提出询问，请按以下方式联系。</w:t>
      </w:r>
    </w:p>
    <w:p w14:paraId="79B615B2">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1.采购人信息 </w:t>
      </w:r>
    </w:p>
    <w:p w14:paraId="596B4C4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单位名称：阜宁县交通运输局</w:t>
      </w:r>
    </w:p>
    <w:p w14:paraId="045AB231">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单位地址：阜宁县香港路596号</w:t>
      </w:r>
    </w:p>
    <w:p w14:paraId="2672A638">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联系人：谢冬成  联系电话：0515-87213871</w:t>
      </w:r>
    </w:p>
    <w:p w14:paraId="175F7076">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2.采购代理机构信息</w:t>
      </w:r>
    </w:p>
    <w:p w14:paraId="436A2899">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单位名称：盐城帝易项目管理有限公司</w:t>
      </w:r>
    </w:p>
    <w:p w14:paraId="5AA4453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单位地址：阜宁县无锡路126号</w:t>
      </w:r>
    </w:p>
    <w:p w14:paraId="6B00C57E">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联系人：魏红艳  联系电话：0515-87992000 </w:t>
      </w:r>
    </w:p>
    <w:p w14:paraId="17A5638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3.项目联系方式</w:t>
      </w:r>
    </w:p>
    <w:p w14:paraId="3EE88D35">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项目联系人：谢冬成，魏红艳</w:t>
      </w:r>
    </w:p>
    <w:p w14:paraId="7A7E0F8E">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联系电话：0515-87213871，0515-87992000 </w:t>
      </w:r>
    </w:p>
    <w:p w14:paraId="5127AA9A">
      <w:pPr>
        <w:spacing w:line="360" w:lineRule="auto"/>
        <w:ind w:firstLine="480" w:firstLineChars="200"/>
        <w:jc w:val="righ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2025年</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 xml:space="preserve"> 23 </w:t>
      </w:r>
      <w:r>
        <w:rPr>
          <w:rFonts w:hint="eastAsia" w:asciiTheme="majorEastAsia" w:hAnsiTheme="majorEastAsia" w:eastAsiaTheme="majorEastAsia" w:cstheme="majorEastAsia"/>
          <w:color w:val="auto"/>
          <w:sz w:val="24"/>
          <w:szCs w:val="24"/>
          <w:highlight w:val="none"/>
        </w:rPr>
        <w:t>日</w:t>
      </w:r>
    </w:p>
    <w:bookmarkEnd w:id="1"/>
    <w:bookmarkEnd w:id="2"/>
    <w:bookmarkEnd w:id="3"/>
    <w:bookmarkEnd w:id="4"/>
    <w:bookmarkEnd w:id="5"/>
    <w:bookmarkEnd w:id="8"/>
    <w:p w14:paraId="79C8C510">
      <w:pPr>
        <w:pStyle w:val="23"/>
        <w:keepNext/>
        <w:keepLines/>
        <w:pageBreakBefore/>
        <w:spacing w:before="260" w:beforeAutospacing="0" w:after="260" w:afterAutospacing="0" w:line="360" w:lineRule="auto"/>
        <w:jc w:val="center"/>
        <w:rPr>
          <w:rFonts w:hint="eastAsia" w:asciiTheme="majorEastAsia" w:hAnsiTheme="majorEastAsia" w:eastAsiaTheme="majorEastAsia" w:cstheme="majorEastAsia"/>
          <w:color w:val="auto"/>
          <w:sz w:val="36"/>
          <w:szCs w:val="36"/>
          <w:highlight w:val="none"/>
        </w:rPr>
      </w:pPr>
      <w:bookmarkStart w:id="10" w:name="_Toc16938558"/>
      <w:bookmarkStart w:id="11" w:name="_Toc120614221"/>
      <w:bookmarkStart w:id="12" w:name="_Toc513029242"/>
      <w:bookmarkStart w:id="13" w:name="_Toc20823314"/>
      <w:bookmarkStart w:id="14" w:name="_Toc479757207"/>
      <w:bookmarkStart w:id="15" w:name="_Toc139298011"/>
      <w:r>
        <w:rPr>
          <w:rFonts w:hint="eastAsia" w:asciiTheme="majorEastAsia" w:hAnsiTheme="majorEastAsia" w:eastAsiaTheme="majorEastAsia" w:cstheme="majorEastAsia"/>
          <w:b/>
          <w:color w:val="auto"/>
          <w:sz w:val="36"/>
          <w:szCs w:val="36"/>
          <w:highlight w:val="none"/>
        </w:rPr>
        <w:t xml:space="preserve">第二章  </w:t>
      </w:r>
      <w:bookmarkStart w:id="16" w:name="_Toc20823274"/>
      <w:bookmarkStart w:id="17" w:name="_Toc16938518"/>
      <w:bookmarkStart w:id="18" w:name="_Toc513029202"/>
      <w:bookmarkStart w:id="19" w:name="_Toc120614213"/>
      <w:r>
        <w:rPr>
          <w:rFonts w:hint="eastAsia" w:asciiTheme="majorEastAsia" w:hAnsiTheme="majorEastAsia" w:eastAsiaTheme="majorEastAsia" w:cstheme="majorEastAsia"/>
          <w:b/>
          <w:color w:val="auto"/>
          <w:sz w:val="36"/>
          <w:szCs w:val="36"/>
          <w:highlight w:val="none"/>
        </w:rPr>
        <w:t>投标人须知</w:t>
      </w:r>
      <w:bookmarkEnd w:id="16"/>
      <w:bookmarkEnd w:id="17"/>
      <w:bookmarkEnd w:id="18"/>
      <w:bookmarkEnd w:id="19"/>
    </w:p>
    <w:p w14:paraId="263CDEF7">
      <w:pPr>
        <w:pStyle w:val="23"/>
        <w:keepNext/>
        <w:keepLines/>
        <w:spacing w:before="145" w:beforeAutospacing="0" w:after="145" w:afterAutospacing="0" w:line="360" w:lineRule="auto"/>
        <w:ind w:firstLine="498"/>
        <w:jc w:val="both"/>
        <w:rPr>
          <w:rFonts w:hint="eastAsia" w:asciiTheme="majorEastAsia" w:hAnsiTheme="majorEastAsia" w:eastAsiaTheme="majorEastAsia" w:cstheme="majorEastAsia"/>
          <w:b/>
          <w:bCs/>
          <w:color w:val="auto"/>
          <w:highlight w:val="none"/>
        </w:rPr>
      </w:pPr>
      <w:bookmarkStart w:id="20" w:name="_Toc513029203"/>
      <w:bookmarkStart w:id="21" w:name="_Toc16938519"/>
      <w:bookmarkStart w:id="22" w:name="_Toc20823275"/>
      <w:bookmarkStart w:id="23" w:name="_Toc120614214"/>
      <w:r>
        <w:rPr>
          <w:rFonts w:hint="eastAsia" w:asciiTheme="majorEastAsia" w:hAnsiTheme="majorEastAsia" w:eastAsiaTheme="majorEastAsia" w:cstheme="majorEastAsia"/>
          <w:b/>
          <w:bCs/>
          <w:color w:val="auto"/>
          <w:highlight w:val="none"/>
        </w:rPr>
        <w:t>一、总则</w:t>
      </w:r>
      <w:bookmarkEnd w:id="20"/>
      <w:bookmarkEnd w:id="21"/>
      <w:bookmarkEnd w:id="22"/>
      <w:bookmarkEnd w:id="23"/>
    </w:p>
    <w:p w14:paraId="08426FCB">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24" w:name="_Toc20823276"/>
      <w:bookmarkStart w:id="25" w:name="_Toc513029204"/>
      <w:bookmarkStart w:id="26" w:name="_Toc16938520"/>
      <w:bookmarkStart w:id="27" w:name="_Toc458694821"/>
      <w:r>
        <w:rPr>
          <w:rFonts w:hint="eastAsia" w:asciiTheme="majorEastAsia" w:hAnsiTheme="majorEastAsia" w:eastAsiaTheme="majorEastAsia" w:cstheme="majorEastAsia"/>
          <w:color w:val="auto"/>
          <w:highlight w:val="none"/>
        </w:rPr>
        <w:t>1</w:t>
      </w:r>
      <w:bookmarkEnd w:id="24"/>
      <w:r>
        <w:rPr>
          <w:rFonts w:hint="eastAsia" w:asciiTheme="majorEastAsia" w:hAnsiTheme="majorEastAsia" w:eastAsiaTheme="majorEastAsia" w:cstheme="majorEastAsia"/>
          <w:color w:val="auto"/>
          <w:highlight w:val="none"/>
        </w:rPr>
        <w:t>、招标方式</w:t>
      </w:r>
      <w:bookmarkEnd w:id="25"/>
      <w:bookmarkEnd w:id="26"/>
      <w:bookmarkEnd w:id="27"/>
    </w:p>
    <w:p w14:paraId="77C76BDA">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 本次招标采取公开招标方式，本招标文件仅适用于招标公告中所述项目。</w:t>
      </w:r>
    </w:p>
    <w:p w14:paraId="3881715F">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28" w:name="_Toc513029205"/>
      <w:bookmarkStart w:id="29" w:name="_Toc16938521"/>
      <w:bookmarkStart w:id="30" w:name="_Toc20823277"/>
      <w:r>
        <w:rPr>
          <w:rFonts w:hint="eastAsia" w:asciiTheme="majorEastAsia" w:hAnsiTheme="majorEastAsia" w:eastAsiaTheme="majorEastAsia" w:cstheme="majorEastAsia"/>
          <w:color w:val="auto"/>
          <w:highlight w:val="none"/>
        </w:rPr>
        <w:t>2、合格的投标人</w:t>
      </w:r>
      <w:bookmarkEnd w:id="28"/>
      <w:bookmarkEnd w:id="29"/>
      <w:bookmarkEnd w:id="30"/>
    </w:p>
    <w:p w14:paraId="58E727FF">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2.1满足招标公告中供应商的资格要求的规定。</w:t>
      </w:r>
    </w:p>
    <w:p w14:paraId="36F63D5A">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 满足本文件实质性要求和条件的规定。</w:t>
      </w:r>
    </w:p>
    <w:p w14:paraId="1F9C65C3">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31" w:name="_Toc16938522"/>
      <w:bookmarkStart w:id="32" w:name="_Toc513029206"/>
      <w:bookmarkStart w:id="33" w:name="_Toc20823278"/>
      <w:r>
        <w:rPr>
          <w:rFonts w:hint="eastAsia" w:asciiTheme="majorEastAsia" w:hAnsiTheme="majorEastAsia" w:eastAsiaTheme="majorEastAsia" w:cstheme="majorEastAsia"/>
          <w:color w:val="auto"/>
          <w:highlight w:val="none"/>
        </w:rPr>
        <w:t>3、适用法律</w:t>
      </w:r>
      <w:bookmarkEnd w:id="31"/>
      <w:bookmarkEnd w:id="32"/>
      <w:bookmarkEnd w:id="33"/>
    </w:p>
    <w:p w14:paraId="4DF8A8EE">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3.1 本次招标及由此产生的合同受中华人民共和国有关的法律法规制约和保护。</w:t>
      </w:r>
    </w:p>
    <w:p w14:paraId="57758A0D">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34" w:name="_Toc16938523"/>
      <w:bookmarkStart w:id="35" w:name="_Toc462564067"/>
      <w:bookmarkStart w:id="36" w:name="_Toc20823279"/>
      <w:bookmarkStart w:id="37" w:name="_Toc513029207"/>
      <w:r>
        <w:rPr>
          <w:rFonts w:hint="eastAsia" w:asciiTheme="majorEastAsia" w:hAnsiTheme="majorEastAsia" w:eastAsiaTheme="majorEastAsia" w:cstheme="majorEastAsia"/>
          <w:color w:val="auto"/>
          <w:highlight w:val="none"/>
        </w:rPr>
        <w:t>4、投标费用</w:t>
      </w:r>
      <w:bookmarkEnd w:id="34"/>
      <w:bookmarkEnd w:id="35"/>
      <w:bookmarkEnd w:id="36"/>
      <w:bookmarkEnd w:id="37"/>
    </w:p>
    <w:p w14:paraId="533DFB86">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4.1 投标人应自行承担所有与参加投标有关的费用，无论投标过程中的做法和结果如何，采购人及采购代理机构在任何情况下均无义务和责任承担这些费用。</w:t>
      </w:r>
    </w:p>
    <w:p w14:paraId="0BE7259D">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4.2 本项目代理机构将根据发改价格【2011】534号文件，按招标项目中标价的</w:t>
      </w:r>
      <w:r>
        <w:rPr>
          <w:rFonts w:hint="eastAsia" w:asciiTheme="majorEastAsia" w:hAnsiTheme="majorEastAsia" w:eastAsiaTheme="majorEastAsia" w:cstheme="majorEastAsia"/>
          <w:color w:val="auto"/>
          <w:highlight w:val="none"/>
          <w:lang w:val="en-US" w:eastAsia="zh-CN"/>
        </w:rPr>
        <w:t>1.5</w:t>
      </w:r>
      <w:r>
        <w:rPr>
          <w:rFonts w:hint="eastAsia" w:asciiTheme="majorEastAsia" w:hAnsiTheme="majorEastAsia" w:eastAsiaTheme="majorEastAsia" w:cstheme="majorEastAsia"/>
          <w:color w:val="auto"/>
          <w:highlight w:val="none"/>
        </w:rPr>
        <w:t>%向中标人收取服务费用，由中标人在领取中标通知书时向本项目代理机构一次性支付。</w:t>
      </w:r>
    </w:p>
    <w:p w14:paraId="3D9ABB06">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5、招标文件的约束力</w:t>
      </w:r>
    </w:p>
    <w:p w14:paraId="7405977D">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5.1 投标人一旦参加本项目采购活动，即被认为接受了本招标文件的规定和约束。</w:t>
      </w:r>
    </w:p>
    <w:p w14:paraId="15918D19">
      <w:pPr>
        <w:pStyle w:val="23"/>
        <w:keepNext/>
        <w:keepLines/>
        <w:spacing w:before="145" w:beforeAutospacing="0" w:after="145" w:afterAutospacing="0" w:line="360" w:lineRule="auto"/>
        <w:ind w:firstLine="482" w:firstLineChars="200"/>
        <w:jc w:val="both"/>
        <w:rPr>
          <w:rFonts w:hint="eastAsia" w:asciiTheme="majorEastAsia" w:hAnsiTheme="majorEastAsia" w:eastAsiaTheme="majorEastAsia" w:cstheme="majorEastAsia"/>
          <w:b/>
          <w:bCs/>
          <w:color w:val="auto"/>
          <w:highlight w:val="none"/>
        </w:rPr>
      </w:pPr>
      <w:bookmarkStart w:id="38" w:name="_Toc16938525"/>
      <w:bookmarkStart w:id="39" w:name="_Toc120614215"/>
      <w:bookmarkStart w:id="40" w:name="_Toc513029209"/>
      <w:bookmarkStart w:id="41" w:name="_Toc20823281"/>
      <w:r>
        <w:rPr>
          <w:rFonts w:hint="eastAsia" w:asciiTheme="majorEastAsia" w:hAnsiTheme="majorEastAsia" w:eastAsiaTheme="majorEastAsia" w:cstheme="majorEastAsia"/>
          <w:b/>
          <w:bCs/>
          <w:color w:val="auto"/>
          <w:highlight w:val="none"/>
        </w:rPr>
        <w:t>二、招标文件</w:t>
      </w:r>
      <w:bookmarkEnd w:id="38"/>
      <w:bookmarkEnd w:id="39"/>
      <w:bookmarkEnd w:id="40"/>
      <w:bookmarkEnd w:id="41"/>
    </w:p>
    <w:p w14:paraId="0BDEC723">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42" w:name="_Toc513029210"/>
      <w:bookmarkStart w:id="43" w:name="_Toc20823282"/>
      <w:bookmarkStart w:id="44" w:name="_Toc16938526"/>
      <w:r>
        <w:rPr>
          <w:rFonts w:hint="eastAsia" w:asciiTheme="majorEastAsia" w:hAnsiTheme="majorEastAsia" w:eastAsiaTheme="majorEastAsia" w:cstheme="majorEastAsia"/>
          <w:color w:val="auto"/>
          <w:highlight w:val="none"/>
        </w:rPr>
        <w:t>6、招标文件构成</w:t>
      </w:r>
      <w:bookmarkEnd w:id="42"/>
      <w:bookmarkEnd w:id="43"/>
      <w:bookmarkEnd w:id="44"/>
    </w:p>
    <w:p w14:paraId="7C8A2F07">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6.1 招标文件由以下部分组成：</w:t>
      </w:r>
    </w:p>
    <w:p w14:paraId="5C3B0AEA">
      <w:pPr>
        <w:pStyle w:val="23"/>
        <w:spacing w:beforeAutospacing="0" w:afterAutospacing="0" w:line="360" w:lineRule="auto"/>
        <w:ind w:firstLine="36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（1）招标公告</w:t>
      </w:r>
    </w:p>
    <w:p w14:paraId="601E9816">
      <w:pPr>
        <w:pStyle w:val="23"/>
        <w:spacing w:beforeAutospacing="0" w:afterAutospacing="0" w:line="360" w:lineRule="auto"/>
        <w:ind w:firstLine="36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（2）投标人须知</w:t>
      </w:r>
    </w:p>
    <w:p w14:paraId="10BD5F1C">
      <w:pPr>
        <w:pStyle w:val="23"/>
        <w:spacing w:beforeAutospacing="0" w:afterAutospacing="0" w:line="360" w:lineRule="auto"/>
        <w:ind w:firstLine="36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（3）合同文本</w:t>
      </w:r>
    </w:p>
    <w:p w14:paraId="4BF663DA">
      <w:pPr>
        <w:pStyle w:val="23"/>
        <w:spacing w:beforeAutospacing="0" w:afterAutospacing="0" w:line="360" w:lineRule="auto"/>
        <w:ind w:firstLine="36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（4）采购需求</w:t>
      </w:r>
    </w:p>
    <w:p w14:paraId="46618241">
      <w:pPr>
        <w:pStyle w:val="23"/>
        <w:spacing w:beforeAutospacing="0" w:afterAutospacing="0" w:line="360" w:lineRule="auto"/>
        <w:ind w:firstLine="36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（5）评标方法与评标标准</w:t>
      </w:r>
    </w:p>
    <w:p w14:paraId="25CECC36">
      <w:pPr>
        <w:pStyle w:val="23"/>
        <w:spacing w:beforeAutospacing="0" w:afterAutospacing="0" w:line="360" w:lineRule="auto"/>
        <w:ind w:firstLine="36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（6）投标文件格式</w:t>
      </w:r>
    </w:p>
    <w:p w14:paraId="32FFF085">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请仔细检查招标文件是否齐全，如有缺漏请立即与采购人或采购代理机构联系解决。</w:t>
      </w:r>
    </w:p>
    <w:p w14:paraId="1824B09C">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29804AC">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45" w:name="_Toc462564070"/>
      <w:bookmarkStart w:id="46" w:name="_Toc16938527"/>
      <w:bookmarkStart w:id="47" w:name="_Toc20823283"/>
      <w:bookmarkStart w:id="48" w:name="_Toc513029211"/>
      <w:r>
        <w:rPr>
          <w:rFonts w:hint="eastAsia" w:asciiTheme="majorEastAsia" w:hAnsiTheme="majorEastAsia" w:eastAsiaTheme="majorEastAsia" w:cstheme="majorEastAsia"/>
          <w:color w:val="auto"/>
          <w:highlight w:val="none"/>
        </w:rPr>
        <w:t>7、招标文件的澄清</w:t>
      </w:r>
      <w:bookmarkEnd w:id="45"/>
      <w:bookmarkEnd w:id="46"/>
      <w:bookmarkEnd w:id="47"/>
      <w:bookmarkEnd w:id="48"/>
    </w:p>
    <w:p w14:paraId="4CF1BD7B">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7.1任何要求对招标文件进行澄清的投标人，应在投标截止期</w:t>
      </w:r>
      <w:r>
        <w:rPr>
          <w:rFonts w:hint="eastAsia" w:asciiTheme="majorEastAsia" w:hAnsiTheme="majorEastAsia" w:eastAsiaTheme="majorEastAsia" w:cstheme="majorEastAsia"/>
          <w:b/>
          <w:color w:val="auto"/>
          <w:highlight w:val="none"/>
        </w:rPr>
        <w:t>十日</w:t>
      </w:r>
      <w:r>
        <w:rPr>
          <w:rFonts w:hint="eastAsia" w:asciiTheme="majorEastAsia" w:hAnsiTheme="majorEastAsia" w:eastAsiaTheme="majorEastAsia" w:cstheme="majorEastAsia"/>
          <w:color w:val="auto"/>
          <w:highlight w:val="none"/>
        </w:rPr>
        <w:t>前按招标公告中的通讯地址，以书面形式通知采购人或采购代理机构。</w:t>
      </w:r>
    </w:p>
    <w:p w14:paraId="4486C1F2">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49" w:name="_Toc16938528"/>
      <w:bookmarkStart w:id="50" w:name="_Toc20823284"/>
      <w:bookmarkStart w:id="51" w:name="_Toc462564071"/>
      <w:bookmarkStart w:id="52" w:name="_Toc513029212"/>
      <w:r>
        <w:rPr>
          <w:rFonts w:hint="eastAsia" w:asciiTheme="majorEastAsia" w:hAnsiTheme="majorEastAsia" w:eastAsiaTheme="majorEastAsia" w:cstheme="majorEastAsia"/>
          <w:color w:val="auto"/>
          <w:highlight w:val="none"/>
        </w:rPr>
        <w:t>8、招标文件的修改</w:t>
      </w:r>
      <w:bookmarkEnd w:id="49"/>
      <w:bookmarkEnd w:id="50"/>
      <w:bookmarkEnd w:id="51"/>
      <w:bookmarkEnd w:id="52"/>
    </w:p>
    <w:p w14:paraId="00CB31C4">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8.1 在投标截止时间前，采购人可以对招标文件进行修改。</w:t>
      </w:r>
    </w:p>
    <w:p w14:paraId="0E40DF4F">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8.2 采购人有权按照法定的要求推迟投标截止日期和开标日期。</w:t>
      </w:r>
    </w:p>
    <w:p w14:paraId="69C38887">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8.3 招标文件的修改将在中国政府采购网、江苏政府采购网、盐城市政府采购网公布，补充文件将作为招标文件的组成部分，并对投标人具有约束力。</w:t>
      </w:r>
    </w:p>
    <w:p w14:paraId="0D599C8B">
      <w:pPr>
        <w:pStyle w:val="23"/>
        <w:keepNext/>
        <w:keepLines/>
        <w:spacing w:before="145" w:beforeAutospacing="0" w:after="145" w:afterAutospacing="0" w:line="360" w:lineRule="auto"/>
        <w:ind w:firstLine="482"/>
        <w:jc w:val="both"/>
        <w:rPr>
          <w:rFonts w:hint="eastAsia" w:asciiTheme="majorEastAsia" w:hAnsiTheme="majorEastAsia" w:eastAsiaTheme="majorEastAsia" w:cstheme="majorEastAsia"/>
          <w:b/>
          <w:bCs/>
          <w:color w:val="auto"/>
          <w:highlight w:val="none"/>
        </w:rPr>
      </w:pPr>
      <w:bookmarkStart w:id="53" w:name="_Toc20823285"/>
      <w:bookmarkStart w:id="54" w:name="_Toc462564072"/>
      <w:bookmarkStart w:id="55" w:name="_Toc513029213"/>
      <w:bookmarkStart w:id="56" w:name="_Toc16938529"/>
      <w:bookmarkStart w:id="57" w:name="_Toc120614216"/>
      <w:r>
        <w:rPr>
          <w:rFonts w:hint="eastAsia" w:asciiTheme="majorEastAsia" w:hAnsiTheme="majorEastAsia" w:eastAsiaTheme="majorEastAsia" w:cstheme="majorEastAsia"/>
          <w:b/>
          <w:bCs/>
          <w:color w:val="auto"/>
          <w:highlight w:val="none"/>
        </w:rPr>
        <w:t>三、投标文件的编制</w:t>
      </w:r>
      <w:bookmarkEnd w:id="53"/>
      <w:bookmarkEnd w:id="54"/>
      <w:bookmarkEnd w:id="55"/>
      <w:bookmarkEnd w:id="56"/>
      <w:bookmarkEnd w:id="57"/>
    </w:p>
    <w:p w14:paraId="41D73519">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58" w:name="_Toc20823286"/>
      <w:bookmarkStart w:id="59" w:name="_Toc16938530"/>
      <w:bookmarkStart w:id="60" w:name="_Toc513029214"/>
      <w:bookmarkStart w:id="61" w:name="_Toc462564073"/>
      <w:r>
        <w:rPr>
          <w:rFonts w:hint="eastAsia" w:asciiTheme="majorEastAsia" w:hAnsiTheme="majorEastAsia" w:eastAsiaTheme="majorEastAsia" w:cstheme="majorEastAsia"/>
          <w:color w:val="auto"/>
          <w:highlight w:val="none"/>
        </w:rPr>
        <w:t>9、投标文件的语言及度量衡单位</w:t>
      </w:r>
      <w:bookmarkEnd w:id="58"/>
      <w:bookmarkEnd w:id="59"/>
      <w:bookmarkEnd w:id="60"/>
      <w:bookmarkEnd w:id="61"/>
    </w:p>
    <w:p w14:paraId="781CC730">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9.1 投标人提交的投标文件以及投标人与采购人或采购代理机构就有关投标的所有来往通知、函件和文件均应使用简体中文。</w:t>
      </w:r>
    </w:p>
    <w:p w14:paraId="031264BE">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9.2 除技术性能另有规定外，投标文件所使用的度量衡单位，均须采用国家法定计量单位。</w:t>
      </w:r>
    </w:p>
    <w:p w14:paraId="73AF7A81">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62" w:name="_Toc513029215"/>
      <w:bookmarkStart w:id="63" w:name="_Toc462564074"/>
      <w:bookmarkStart w:id="64" w:name="_Toc20823287"/>
      <w:bookmarkStart w:id="65" w:name="_Toc16938531"/>
      <w:r>
        <w:rPr>
          <w:rFonts w:hint="eastAsia" w:asciiTheme="majorEastAsia" w:hAnsiTheme="majorEastAsia" w:eastAsiaTheme="majorEastAsia" w:cstheme="majorEastAsia"/>
          <w:color w:val="auto"/>
          <w:highlight w:val="none"/>
        </w:rPr>
        <w:t>10、投标文件构成</w:t>
      </w:r>
      <w:bookmarkEnd w:id="62"/>
      <w:bookmarkEnd w:id="63"/>
      <w:bookmarkEnd w:id="64"/>
      <w:bookmarkEnd w:id="65"/>
    </w:p>
    <w:p w14:paraId="2DFB8A86">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10.1 投标人编写的投标文件应包括资格证明文件、符合性证明文件、投标分项报价表、技术要求响应及偏离表、商务要求响应及偏离表、其他证明文件、投标函、开标一览表等部分。</w:t>
      </w:r>
    </w:p>
    <w:p w14:paraId="25FDF133">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10.2 如标书制作工具中格式和内容与“中国政府采购网”、“江苏政府采购网”、“盐城市政府采购网”发布的招标文件不一致，请以中国政府采购网”、“江苏政府采购网”、“盐城市政府采购网”发布的招标文件为准。</w:t>
      </w:r>
    </w:p>
    <w:p w14:paraId="0D99FFFE">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11、证明投标人及投标标的符合招标文件规定的文件</w:t>
      </w:r>
    </w:p>
    <w:p w14:paraId="7865CF58">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11.1投标人应按照法律、法规、规章和规范性文件以及招标文件要求提交证明文件，</w:t>
      </w:r>
    </w:p>
    <w:p w14:paraId="07CB1D98">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证明其投标标的符合招标文件规定。</w:t>
      </w:r>
    </w:p>
    <w:p w14:paraId="080F8172">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11.2招标文件对证明文件无明确形式要求的，证明文件可以以文字资料、图纸和数据等形式提交。</w:t>
      </w:r>
    </w:p>
    <w:p w14:paraId="55E5A60A">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12、投标分项报价表</w:t>
      </w:r>
    </w:p>
    <w:p w14:paraId="661FAD3D">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12.1 投标人应按照招标文件规定格式填报投标分项报价表。</w:t>
      </w:r>
    </w:p>
    <w:p w14:paraId="6845F4AB">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12.2投标货币。投标文件中的单价和总价无特殊规定的采用人民币报价，以元为单位标注。招标文件中另有规定的按规定执行。</w:t>
      </w:r>
    </w:p>
    <w:p w14:paraId="5EC83975">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13、技术要求响应及偏离表、商务要求响应及偏离表</w:t>
      </w:r>
    </w:p>
    <w:p w14:paraId="182A16F6">
      <w:pPr>
        <w:autoSpaceDE w:val="0"/>
        <w:autoSpaceDN w:val="0"/>
        <w:adjustRightInd w:val="0"/>
        <w:spacing w:line="360" w:lineRule="auto"/>
        <w:ind w:firstLine="480"/>
        <w:rPr>
          <w:rFonts w:hint="eastAsia" w:asciiTheme="majorEastAsia" w:hAnsiTheme="majorEastAsia" w:eastAsiaTheme="majorEastAsia" w:cstheme="majorEastAsia"/>
          <w:color w:val="auto"/>
          <w:sz w:val="24"/>
          <w:szCs w:val="21"/>
          <w:highlight w:val="none"/>
          <w:lang w:val="zh-CN"/>
        </w:rPr>
      </w:pPr>
      <w:r>
        <w:rPr>
          <w:rFonts w:hint="eastAsia" w:asciiTheme="majorEastAsia" w:hAnsiTheme="majorEastAsia" w:eastAsiaTheme="majorEastAsia" w:cstheme="majorEastAsia"/>
          <w:bCs/>
          <w:color w:val="auto"/>
          <w:sz w:val="24"/>
          <w:szCs w:val="21"/>
          <w:highlight w:val="none"/>
          <w:lang w:val="zh-CN"/>
        </w:rPr>
        <w:t xml:space="preserve">13.1 </w:t>
      </w:r>
      <w:r>
        <w:rPr>
          <w:rFonts w:hint="eastAsia" w:asciiTheme="majorEastAsia" w:hAnsiTheme="majorEastAsia" w:eastAsiaTheme="majorEastAsia" w:cstheme="majorEastAsia"/>
          <w:color w:val="auto"/>
          <w:sz w:val="24"/>
          <w:szCs w:val="21"/>
          <w:highlight w:val="none"/>
          <w:lang w:val="zh-CN"/>
        </w:rPr>
        <w:t>投标人对招标文件中的技术要求与商务要求</w:t>
      </w:r>
      <w:r>
        <w:rPr>
          <w:rFonts w:hint="eastAsia" w:asciiTheme="majorEastAsia" w:hAnsiTheme="majorEastAsia" w:eastAsiaTheme="majorEastAsia" w:cstheme="majorEastAsia"/>
          <w:color w:val="auto"/>
          <w:sz w:val="24"/>
          <w:szCs w:val="21"/>
          <w:highlight w:val="none"/>
        </w:rPr>
        <w:t>,</w:t>
      </w:r>
      <w:r>
        <w:rPr>
          <w:rFonts w:hint="eastAsia" w:asciiTheme="majorEastAsia" w:hAnsiTheme="majorEastAsia" w:eastAsiaTheme="majorEastAsia" w:cstheme="majorEastAsia"/>
          <w:b/>
          <w:bCs/>
          <w:color w:val="auto"/>
          <w:sz w:val="24"/>
          <w:szCs w:val="21"/>
          <w:highlight w:val="none"/>
          <w:lang w:val="zh-CN"/>
        </w:rPr>
        <w:t>如有偏离</w:t>
      </w:r>
      <w:r>
        <w:rPr>
          <w:rFonts w:hint="eastAsia" w:asciiTheme="majorEastAsia" w:hAnsiTheme="majorEastAsia" w:eastAsiaTheme="majorEastAsia" w:cstheme="majorEastAsia"/>
          <w:color w:val="auto"/>
          <w:sz w:val="24"/>
          <w:szCs w:val="21"/>
          <w:highlight w:val="none"/>
          <w:lang w:val="zh-CN"/>
        </w:rPr>
        <w:t>，在偏离表中逐条说明，并说明原因。</w:t>
      </w:r>
    </w:p>
    <w:p w14:paraId="3E8E7EE5">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13.2 投标人可在投标文件中提供认为需要的其他技术文件或说明。</w:t>
      </w:r>
    </w:p>
    <w:p w14:paraId="3A9F4725">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lang w:eastAsia="zh-CN"/>
        </w:rPr>
      </w:pPr>
      <w:bookmarkStart w:id="66" w:name="_Toc49090510"/>
      <w:bookmarkStart w:id="67" w:name="_Toc14577359"/>
      <w:r>
        <w:rPr>
          <w:rFonts w:hint="eastAsia" w:asciiTheme="majorEastAsia" w:hAnsiTheme="majorEastAsia" w:eastAsiaTheme="majorEastAsia" w:cstheme="majorEastAsia"/>
          <w:b w:val="0"/>
          <w:bCs w:val="0"/>
          <w:color w:val="auto"/>
          <w:highlight w:val="none"/>
        </w:rPr>
        <w:t>1</w:t>
      </w:r>
      <w:r>
        <w:rPr>
          <w:rFonts w:hint="eastAsia" w:asciiTheme="majorEastAsia" w:hAnsiTheme="majorEastAsia" w:eastAsiaTheme="majorEastAsia" w:cstheme="majorEastAsia"/>
          <w:b w:val="0"/>
          <w:bCs w:val="0"/>
          <w:color w:val="auto"/>
          <w:highlight w:val="none"/>
          <w:lang w:val="en-US" w:eastAsia="zh-CN"/>
        </w:rPr>
        <w:t>4</w:t>
      </w:r>
      <w:r>
        <w:rPr>
          <w:rFonts w:hint="eastAsia" w:asciiTheme="majorEastAsia" w:hAnsiTheme="majorEastAsia" w:eastAsiaTheme="majorEastAsia" w:cstheme="majorEastAsia"/>
          <w:b w:val="0"/>
          <w:bCs w:val="0"/>
          <w:color w:val="auto"/>
          <w:highlight w:val="none"/>
        </w:rPr>
        <w:t>、投标函和开标一览表</w:t>
      </w:r>
      <w:bookmarkEnd w:id="66"/>
      <w:bookmarkEnd w:id="67"/>
    </w:p>
    <w:p w14:paraId="0B793C59">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4</w:t>
      </w:r>
      <w:r>
        <w:rPr>
          <w:rFonts w:hint="eastAsia" w:asciiTheme="majorEastAsia" w:hAnsiTheme="majorEastAsia" w:eastAsiaTheme="majorEastAsia" w:cstheme="majorEastAsia"/>
          <w:color w:val="auto"/>
          <w:highlight w:val="none"/>
        </w:rPr>
        <w:t>.1 投标人应按照招标文件中提供的格式完整、正确填写投标函、开标一览表。</w:t>
      </w:r>
    </w:p>
    <w:p w14:paraId="450CD702">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4</w:t>
      </w:r>
      <w:r>
        <w:rPr>
          <w:rFonts w:hint="eastAsia" w:asciiTheme="majorEastAsia" w:hAnsiTheme="majorEastAsia" w:eastAsiaTheme="majorEastAsia" w:cstheme="majorEastAsia"/>
          <w:color w:val="auto"/>
          <w:highlight w:val="none"/>
        </w:rPr>
        <w:t>.2 对于采用货币报价的项目，开标一览表中的投标总报价应与投标分项报价表中的投标总报价一致，如不一致，不作为无效投标处理，但评标时按开标一览表中价格为准。</w:t>
      </w:r>
    </w:p>
    <w:p w14:paraId="18A135CE">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lang w:eastAsia="zh-CN"/>
        </w:rPr>
      </w:pPr>
      <w:bookmarkStart w:id="68" w:name="_Toc49090511"/>
      <w:bookmarkStart w:id="69" w:name="_Toc14577360"/>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、投标有效期</w:t>
      </w:r>
      <w:bookmarkEnd w:id="68"/>
      <w:bookmarkEnd w:id="69"/>
    </w:p>
    <w:p w14:paraId="7B99DDA6">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.1投标有效期为采购人规定的开标之日后</w:t>
      </w:r>
      <w:r>
        <w:rPr>
          <w:rFonts w:hint="eastAsia" w:asciiTheme="majorEastAsia" w:hAnsiTheme="majorEastAsia" w:eastAsiaTheme="majorEastAsia" w:cstheme="majorEastAsia"/>
          <w:color w:val="auto"/>
          <w:highlight w:val="none"/>
          <w:u w:val="single"/>
        </w:rPr>
        <w:t>六十（60）</w:t>
      </w:r>
      <w:r>
        <w:rPr>
          <w:rFonts w:hint="eastAsia" w:asciiTheme="majorEastAsia" w:hAnsiTheme="majorEastAsia" w:eastAsiaTheme="majorEastAsia" w:cstheme="majorEastAsia"/>
          <w:color w:val="auto"/>
          <w:highlight w:val="none"/>
        </w:rPr>
        <w:t>天。投标有效期比规定短的将被视为未实质性响应招标文件而予以拒绝。</w:t>
      </w:r>
    </w:p>
    <w:p w14:paraId="74758A60">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、投标有效期的延长</w:t>
      </w:r>
      <w:r>
        <w:rPr>
          <w:rFonts w:hint="eastAsia" w:asciiTheme="majorEastAsia" w:hAnsiTheme="majorEastAsia" w:eastAsiaTheme="majorEastAsia" w:cstheme="majorEastAsia"/>
          <w:color w:val="auto"/>
          <w:highlight w:val="none"/>
          <w:lang w:eastAsia="zh-CN"/>
        </w:rPr>
        <w:t>。</w:t>
      </w:r>
    </w:p>
    <w:p w14:paraId="1AD1F6BC">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.1在特殊情况下，采购人或采购代理机构于原投标有效期满之前，可向投标</w:t>
      </w:r>
    </w:p>
    <w:p w14:paraId="1D429B9A">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1F581826">
      <w:pPr>
        <w:pStyle w:val="23"/>
        <w:keepNext/>
        <w:keepLines/>
        <w:spacing w:before="145" w:beforeAutospacing="0" w:after="145" w:afterAutospacing="0" w:line="360" w:lineRule="auto"/>
        <w:ind w:firstLine="482" w:firstLineChars="200"/>
        <w:jc w:val="both"/>
        <w:rPr>
          <w:rFonts w:hint="eastAsia" w:asciiTheme="majorEastAsia" w:hAnsiTheme="majorEastAsia" w:eastAsiaTheme="majorEastAsia" w:cstheme="majorEastAsia"/>
          <w:b/>
          <w:bCs/>
          <w:color w:val="auto"/>
          <w:highlight w:val="none"/>
        </w:rPr>
      </w:pPr>
      <w:bookmarkStart w:id="70" w:name="_Toc16938540"/>
      <w:bookmarkStart w:id="71" w:name="_Toc513029224"/>
      <w:bookmarkStart w:id="72" w:name="_Toc20823296"/>
      <w:bookmarkStart w:id="73" w:name="_Toc120614217"/>
      <w:r>
        <w:rPr>
          <w:rFonts w:hint="eastAsia" w:asciiTheme="majorEastAsia" w:hAnsiTheme="majorEastAsia" w:eastAsiaTheme="majorEastAsia" w:cstheme="majorEastAsia"/>
          <w:b/>
          <w:bCs/>
          <w:color w:val="auto"/>
          <w:highlight w:val="none"/>
        </w:rPr>
        <w:t>四、投标文件的递交</w:t>
      </w:r>
      <w:bookmarkEnd w:id="70"/>
      <w:bookmarkEnd w:id="71"/>
      <w:bookmarkEnd w:id="72"/>
      <w:bookmarkEnd w:id="73"/>
    </w:p>
    <w:p w14:paraId="54843D58">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sz w:val="24"/>
          <w:szCs w:val="24"/>
          <w:highlight w:val="none"/>
        </w:rPr>
      </w:pPr>
      <w:bookmarkStart w:id="74" w:name="_Toc462564084"/>
      <w:bookmarkStart w:id="75" w:name="_Toc20823297"/>
      <w:bookmarkStart w:id="76" w:name="_Toc16938541"/>
      <w:bookmarkStart w:id="77" w:name="_Toc513029225"/>
      <w:r>
        <w:rPr>
          <w:rFonts w:hint="eastAsia" w:asciiTheme="majorEastAsia" w:hAnsiTheme="majorEastAsia" w:eastAsiaTheme="majorEastAsia" w:cstheme="majorEastAsia"/>
          <w:color w:val="auto"/>
          <w:sz w:val="24"/>
          <w:szCs w:val="24"/>
          <w:highlight w:val="none"/>
        </w:rPr>
        <w:t>17、投标文件</w:t>
      </w:r>
      <w:bookmarkEnd w:id="74"/>
      <w:bookmarkEnd w:id="75"/>
      <w:bookmarkEnd w:id="76"/>
      <w:bookmarkEnd w:id="77"/>
      <w:r>
        <w:rPr>
          <w:rFonts w:hint="eastAsia" w:asciiTheme="majorEastAsia" w:hAnsiTheme="majorEastAsia" w:eastAsiaTheme="majorEastAsia" w:cstheme="majorEastAsia"/>
          <w:color w:val="auto"/>
          <w:sz w:val="24"/>
          <w:szCs w:val="24"/>
          <w:highlight w:val="none"/>
        </w:rPr>
        <w:t>的递交</w:t>
      </w:r>
    </w:p>
    <w:p w14:paraId="70322D1C">
      <w:pPr>
        <w:pStyle w:val="23"/>
        <w:spacing w:beforeAutospacing="0" w:afterAutospacing="0" w:line="360" w:lineRule="auto"/>
        <w:ind w:firstLine="482"/>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电子投标文件的递交</w:t>
      </w:r>
    </w:p>
    <w:p w14:paraId="4FF98AB3">
      <w:pPr>
        <w:pStyle w:val="23"/>
        <w:spacing w:beforeAutospacing="0" w:afterAutospacing="0" w:line="360" w:lineRule="auto"/>
        <w:ind w:firstLine="482"/>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投标人应当按照《操作手册》规定，在投标截止时间前制作并上传电子投标文件。</w:t>
      </w:r>
      <w:bookmarkStart w:id="78" w:name="_Toc16938542"/>
      <w:bookmarkEnd w:id="78"/>
      <w:bookmarkStart w:id="79" w:name="_Toc20823298"/>
      <w:bookmarkEnd w:id="79"/>
    </w:p>
    <w:p w14:paraId="334AD4DD">
      <w:pPr>
        <w:spacing w:line="360" w:lineRule="auto"/>
        <w:ind w:firstLine="48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17.2</w:t>
      </w:r>
      <w:r>
        <w:rPr>
          <w:rFonts w:hint="eastAsia" w:asciiTheme="majorEastAsia" w:hAnsiTheme="majorEastAsia" w:eastAsiaTheme="majorEastAsia" w:cstheme="majorEastAsia"/>
          <w:b/>
          <w:bCs/>
          <w:color w:val="auto"/>
          <w:sz w:val="24"/>
          <w:szCs w:val="24"/>
          <w:highlight w:val="none"/>
        </w:rPr>
        <w:t>中标人在领取中标通知书之前，必须提供三份与电子投标文件一致的纸质打印投标文件并且加盖投标人公章。</w:t>
      </w:r>
    </w:p>
    <w:p w14:paraId="64376A5B">
      <w:pPr>
        <w:pStyle w:val="23"/>
        <w:keepNext/>
        <w:keepLines/>
        <w:spacing w:before="280" w:beforeAutospacing="0" w:after="29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1</w:t>
      </w:r>
      <w:r>
        <w:rPr>
          <w:rFonts w:hint="eastAsia" w:asciiTheme="majorEastAsia" w:hAnsiTheme="majorEastAsia" w:eastAsiaTheme="majorEastAsia" w:cstheme="majorEastAsia"/>
          <w:b w:val="0"/>
          <w:bCs w:val="0"/>
          <w:color w:val="auto"/>
          <w:highlight w:val="none"/>
          <w:lang w:val="en-US" w:eastAsia="zh-CN"/>
        </w:rPr>
        <w:t>8</w:t>
      </w:r>
      <w:r>
        <w:rPr>
          <w:rFonts w:hint="eastAsia" w:asciiTheme="majorEastAsia" w:hAnsiTheme="majorEastAsia" w:eastAsiaTheme="majorEastAsia" w:cstheme="majorEastAsia"/>
          <w:b w:val="0"/>
          <w:bCs w:val="0"/>
          <w:color w:val="auto"/>
          <w:highlight w:val="none"/>
        </w:rPr>
        <w:t>、投标截止日期</w:t>
      </w:r>
    </w:p>
    <w:p w14:paraId="3CF809D6">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.1 投标人上传电子投标文件的时间不得迟于招标公告中规定的投标截止时间。</w:t>
      </w:r>
    </w:p>
    <w:p w14:paraId="129E3C59">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投标人应充分考虑到网络环境、网络带宽等风险因素，如因投标人自身原因造成的电子投标文件上传不成功的按照本招标文件第二章第2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.1.2条规定做无效投标处理。</w:t>
      </w:r>
    </w:p>
    <w:p w14:paraId="46A5D176">
      <w:pPr>
        <w:pStyle w:val="23"/>
        <w:spacing w:beforeAutospacing="0" w:afterAutospacing="0" w:line="360" w:lineRule="auto"/>
        <w:ind w:firstLine="482"/>
        <w:jc w:val="both"/>
        <w:rPr>
          <w:rFonts w:hint="eastAsia" w:asciiTheme="majorEastAsia" w:hAnsiTheme="majorEastAsia" w:eastAsiaTheme="majorEastAsia" w:cstheme="majorEastAsia"/>
          <w:b w:val="0"/>
          <w:bCs w:val="0"/>
          <w:color w:val="auto"/>
          <w:highlight w:val="none"/>
        </w:rPr>
      </w:pPr>
      <w:bookmarkStart w:id="80" w:name="_Toc513029227"/>
      <w:bookmarkStart w:id="81" w:name="_Toc16938543"/>
      <w:bookmarkStart w:id="82" w:name="_Toc20823299"/>
      <w:r>
        <w:rPr>
          <w:rFonts w:hint="eastAsia" w:asciiTheme="majorEastAsia" w:hAnsiTheme="majorEastAsia" w:eastAsiaTheme="majorEastAsia" w:cstheme="majorEastAsia"/>
          <w:color w:val="auto"/>
          <w:highlight w:val="none"/>
        </w:rPr>
        <w:t>18.2采购人可以按照规定，通过修改招标文件酌情延长投标截止时间，在此情况下，投标人的所有权利和义务以</w:t>
      </w:r>
      <w:r>
        <w:rPr>
          <w:rFonts w:hint="eastAsia" w:asciiTheme="majorEastAsia" w:hAnsiTheme="majorEastAsia" w:eastAsiaTheme="majorEastAsia" w:cstheme="majorEastAsia"/>
          <w:b w:val="0"/>
          <w:bCs w:val="0"/>
          <w:color w:val="auto"/>
          <w:highlight w:val="none"/>
        </w:rPr>
        <w:t>及投标人受制的截止时间均应以延长后新的截止时间为准。</w:t>
      </w:r>
    </w:p>
    <w:p w14:paraId="0740A3B3">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lang w:val="en-US" w:eastAsia="zh-CN"/>
        </w:rPr>
        <w:t>19</w:t>
      </w:r>
      <w:r>
        <w:rPr>
          <w:rFonts w:hint="eastAsia" w:asciiTheme="majorEastAsia" w:hAnsiTheme="majorEastAsia" w:eastAsiaTheme="majorEastAsia" w:cstheme="majorEastAsia"/>
          <w:b w:val="0"/>
          <w:bCs w:val="0"/>
          <w:color w:val="auto"/>
          <w:highlight w:val="none"/>
        </w:rPr>
        <w:t>、投标文件</w:t>
      </w:r>
      <w:bookmarkEnd w:id="80"/>
      <w:bookmarkEnd w:id="81"/>
      <w:bookmarkEnd w:id="82"/>
      <w:r>
        <w:rPr>
          <w:rFonts w:hint="eastAsia" w:asciiTheme="majorEastAsia" w:hAnsiTheme="majorEastAsia" w:eastAsiaTheme="majorEastAsia" w:cstheme="majorEastAsia"/>
          <w:b w:val="0"/>
          <w:bCs w:val="0"/>
          <w:color w:val="auto"/>
          <w:highlight w:val="none"/>
        </w:rPr>
        <w:t>的拒收</w:t>
      </w:r>
    </w:p>
    <w:p w14:paraId="4A5D17D4">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83" w:name="_Toc513029228"/>
      <w:bookmarkStart w:id="84" w:name="_Toc16938544"/>
      <w:bookmarkStart w:id="85" w:name="_Toc20823300"/>
      <w:r>
        <w:rPr>
          <w:rFonts w:hint="eastAsia" w:asciiTheme="majorEastAsia" w:hAnsiTheme="majorEastAsia" w:eastAsiaTheme="majorEastAsia" w:cstheme="majorEastAsia"/>
          <w:color w:val="auto"/>
          <w:highlight w:val="none"/>
        </w:rPr>
        <w:t>19.1采购人拒绝接收在其规定的投标截止时间后上传的任何投标文件。</w:t>
      </w:r>
    </w:p>
    <w:p w14:paraId="5ECA0046">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、投标文件的撤回和修改</w:t>
      </w:r>
      <w:bookmarkEnd w:id="83"/>
      <w:bookmarkEnd w:id="84"/>
      <w:bookmarkEnd w:id="85"/>
    </w:p>
    <w:p w14:paraId="06796343">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.1 投标文件的撤回</w:t>
      </w:r>
    </w:p>
    <w:p w14:paraId="79E1AF0B">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.1.1 电子投标文件的撤回</w:t>
      </w:r>
    </w:p>
    <w:p w14:paraId="6205318E">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投标人可在投标截止时间前，撤回其电子投标文件，具体操作方法见《操作手册》。</w:t>
      </w:r>
    </w:p>
    <w:p w14:paraId="7C4AF876">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.1.2 投标人撤回电子投标文件，则认为其不再参与本项目投标活动。</w:t>
      </w:r>
    </w:p>
    <w:p w14:paraId="632ACBF0">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.2 投标文件的修改</w:t>
      </w:r>
    </w:p>
    <w:p w14:paraId="7BDEA6CD">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.2.1投标人可在投标截止时间前，对其电子投标文件进行修改，具体操作方法见《操作手册》。</w:t>
      </w:r>
    </w:p>
    <w:p w14:paraId="27B206E7">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.2.2 在投标截止时间之后，投标人不得对其电子投标文件作任何修改。</w:t>
      </w:r>
    </w:p>
    <w:p w14:paraId="73BF8C47">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.3 在投标截止时间至招标文件中规定的投标有效期满之间的这段时间内，投标人不得撤回其投标。</w:t>
      </w:r>
    </w:p>
    <w:p w14:paraId="3CE4B5EE">
      <w:pPr>
        <w:pStyle w:val="23"/>
        <w:keepNext/>
        <w:keepLines/>
        <w:spacing w:before="145" w:beforeAutospacing="0" w:after="145" w:afterAutospacing="0" w:line="360" w:lineRule="auto"/>
        <w:ind w:firstLine="482"/>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五、开标与评标</w:t>
      </w:r>
    </w:p>
    <w:p w14:paraId="3C6ADF6C">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2</w:t>
      </w:r>
      <w:r>
        <w:rPr>
          <w:rFonts w:hint="eastAsia" w:asciiTheme="majorEastAsia" w:hAnsiTheme="majorEastAsia" w:eastAsiaTheme="majorEastAsia" w:cstheme="majorEastAsia"/>
          <w:b w:val="0"/>
          <w:bCs w:val="0"/>
          <w:color w:val="auto"/>
          <w:highlight w:val="none"/>
          <w:lang w:val="en-US" w:eastAsia="zh-CN"/>
        </w:rPr>
        <w:t>1</w:t>
      </w:r>
      <w:r>
        <w:rPr>
          <w:rFonts w:hint="eastAsia" w:asciiTheme="majorEastAsia" w:hAnsiTheme="majorEastAsia" w:eastAsiaTheme="majorEastAsia" w:cstheme="majorEastAsia"/>
          <w:b w:val="0"/>
          <w:bCs w:val="0"/>
          <w:color w:val="auto"/>
          <w:highlight w:val="none"/>
        </w:rPr>
        <w:t>、开标</w:t>
      </w:r>
    </w:p>
    <w:p w14:paraId="7A7F0A8A">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1</w:t>
      </w:r>
      <w:r>
        <w:rPr>
          <w:rFonts w:hint="eastAsia" w:asciiTheme="majorEastAsia" w:hAnsiTheme="majorEastAsia" w:eastAsiaTheme="majorEastAsia" w:cstheme="majorEastAsia"/>
          <w:color w:val="auto"/>
          <w:highlight w:val="none"/>
        </w:rPr>
        <w:t>.1 采购人或采购代理机构将在招标公告中规定的时间和地点组织公开开标。投</w:t>
      </w:r>
    </w:p>
    <w:p w14:paraId="17DFC918">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标人应当按照《操作手册》规定，参加开标活动和在苏采云系统规定的时间内对投标文</w:t>
      </w:r>
    </w:p>
    <w:p w14:paraId="27FC4331">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件进行解密。</w:t>
      </w:r>
    </w:p>
    <w:p w14:paraId="13AA7A68">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21.2开标仪式由采购人组织。苏采云系统将自动对项目进行开标，并宣布各投标人名称和投标价格。</w:t>
      </w:r>
    </w:p>
    <w:p w14:paraId="0E26A5D3">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1</w:t>
      </w:r>
      <w:r>
        <w:rPr>
          <w:rFonts w:hint="eastAsia" w:asciiTheme="majorEastAsia" w:hAnsiTheme="majorEastAsia" w:eastAsiaTheme="majorEastAsia" w:cstheme="majorEastAsia"/>
          <w:color w:val="auto"/>
          <w:highlight w:val="none"/>
        </w:rPr>
        <w:t>.3投标人在开标过程中涉及到的投标文件解密、开标结果确认等工作，应按照《操作手册》规定执行。</w:t>
      </w:r>
    </w:p>
    <w:p w14:paraId="7BB45269">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1</w:t>
      </w:r>
      <w:r>
        <w:rPr>
          <w:rFonts w:hint="eastAsia" w:asciiTheme="majorEastAsia" w:hAnsiTheme="majorEastAsia" w:eastAsiaTheme="majorEastAsia" w:cstheme="majorEastAsia"/>
          <w:color w:val="auto"/>
          <w:highlight w:val="none"/>
        </w:rPr>
        <w:t>.4投标人如果对开标过程和开标记录有疑义，应当根据《操作手册》规定提出，如 苏采云系统中《开标记录表》宣布后5分钟内未提出的，视同认可开标结果。</w:t>
      </w:r>
    </w:p>
    <w:p w14:paraId="4FCA8047">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bookmarkStart w:id="86" w:name="_Toc20823303"/>
      <w:bookmarkStart w:id="87" w:name="_Toc16938547"/>
      <w:bookmarkStart w:id="88" w:name="_Toc513029231"/>
      <w:r>
        <w:rPr>
          <w:rFonts w:hint="eastAsia" w:asciiTheme="majorEastAsia" w:hAnsiTheme="majorEastAsia" w:eastAsiaTheme="majorEastAsia" w:cstheme="majorEastAsia"/>
          <w:b w:val="0"/>
          <w:bCs w:val="0"/>
          <w:color w:val="auto"/>
          <w:highlight w:val="none"/>
        </w:rPr>
        <w:t>2</w:t>
      </w:r>
      <w:r>
        <w:rPr>
          <w:rFonts w:hint="eastAsia" w:asciiTheme="majorEastAsia" w:hAnsiTheme="majorEastAsia" w:eastAsiaTheme="majorEastAsia" w:cstheme="majorEastAsia"/>
          <w:b w:val="0"/>
          <w:bCs w:val="0"/>
          <w:color w:val="auto"/>
          <w:highlight w:val="none"/>
          <w:lang w:val="en-US" w:eastAsia="zh-CN"/>
        </w:rPr>
        <w:t>2</w:t>
      </w:r>
      <w:r>
        <w:rPr>
          <w:rFonts w:hint="eastAsia" w:asciiTheme="majorEastAsia" w:hAnsiTheme="majorEastAsia" w:eastAsiaTheme="majorEastAsia" w:cstheme="majorEastAsia"/>
          <w:b w:val="0"/>
          <w:bCs w:val="0"/>
          <w:color w:val="auto"/>
          <w:highlight w:val="none"/>
        </w:rPr>
        <w:t>、评标委员会</w:t>
      </w:r>
      <w:bookmarkEnd w:id="86"/>
      <w:bookmarkEnd w:id="87"/>
      <w:bookmarkEnd w:id="88"/>
    </w:p>
    <w:p w14:paraId="26A800A2">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2</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开标后，采购代理机构将立即组织评标委员会（以下简称评委会）进行评标。</w:t>
      </w:r>
    </w:p>
    <w:p w14:paraId="162CFC5A">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2</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.2 评委会由采购人代表和有关技术、经济等方面的专家组成，且人员构成符合政府采购有关规定。</w:t>
      </w:r>
    </w:p>
    <w:p w14:paraId="56D9D6B2">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2</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.3评委会独立工作，负责评审所有投标文件并确定中标候选人。</w:t>
      </w:r>
    </w:p>
    <w:p w14:paraId="7E0E47DF">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2</w:t>
      </w:r>
      <w:r>
        <w:rPr>
          <w:rFonts w:hint="eastAsia" w:asciiTheme="majorEastAsia" w:hAnsiTheme="majorEastAsia" w:eastAsiaTheme="majorEastAsia" w:cstheme="majorEastAsia"/>
          <w:b w:val="0"/>
          <w:bCs w:val="0"/>
          <w:color w:val="auto"/>
          <w:highlight w:val="none"/>
          <w:lang w:val="en-US" w:eastAsia="zh-CN"/>
        </w:rPr>
        <w:t>3</w:t>
      </w:r>
      <w:r>
        <w:rPr>
          <w:rFonts w:hint="eastAsia" w:asciiTheme="majorEastAsia" w:hAnsiTheme="majorEastAsia" w:eastAsiaTheme="majorEastAsia" w:cstheme="majorEastAsia"/>
          <w:b w:val="0"/>
          <w:bCs w:val="0"/>
          <w:color w:val="auto"/>
          <w:highlight w:val="none"/>
        </w:rPr>
        <w:t>、评标过程的保密与公正</w:t>
      </w:r>
    </w:p>
    <w:p w14:paraId="04E834B8">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3</w:t>
      </w:r>
      <w:r>
        <w:rPr>
          <w:rFonts w:hint="eastAsia" w:asciiTheme="majorEastAsia" w:hAnsiTheme="majorEastAsia" w:eastAsiaTheme="majorEastAsia" w:cstheme="majorEastAsia"/>
          <w:color w:val="auto"/>
          <w:highlight w:val="none"/>
        </w:rPr>
        <w:t>.1凡是与审查、澄清、评价和比较投标的有关资料以及授标建议等，采购人、评委、采购人均不得向投标人或与评标无关的其他人员透露。</w:t>
      </w:r>
    </w:p>
    <w:p w14:paraId="5B3B3050">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3</w:t>
      </w:r>
      <w:r>
        <w:rPr>
          <w:rFonts w:hint="eastAsia" w:asciiTheme="majorEastAsia" w:hAnsiTheme="majorEastAsia" w:eastAsiaTheme="majorEastAsia" w:cstheme="majorEastAsia"/>
          <w:color w:val="auto"/>
          <w:highlight w:val="none"/>
        </w:rPr>
        <w:t>.2在评标过程中，投标人不得以任何行为影响评标过程，否则其投标文件将被作为无效投标文件。</w:t>
      </w:r>
    </w:p>
    <w:p w14:paraId="106F569E">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23.3采购人、采购代理机构和评标委员会不向未中标的投标人解释未中标原因，也不公布评标过程中的相关细节。</w:t>
      </w:r>
    </w:p>
    <w:p w14:paraId="48B66882">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3</w:t>
      </w:r>
      <w:r>
        <w:rPr>
          <w:rFonts w:hint="eastAsia" w:asciiTheme="majorEastAsia" w:hAnsiTheme="majorEastAsia" w:eastAsiaTheme="majorEastAsia" w:cstheme="majorEastAsia"/>
          <w:color w:val="auto"/>
          <w:highlight w:val="none"/>
        </w:rPr>
        <w:t>.4 采用综合评分法的项目，未中标的投标人可于中标结果公告期限届满之日起通过苏采云系统查看自己的评审得分及排序情况。</w:t>
      </w:r>
    </w:p>
    <w:p w14:paraId="18D42F6D">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bookmarkStart w:id="89" w:name="_Toc16938548"/>
      <w:bookmarkStart w:id="90" w:name="_Toc513029232"/>
      <w:bookmarkStart w:id="91" w:name="_Toc20823304"/>
      <w:r>
        <w:rPr>
          <w:rFonts w:hint="eastAsia" w:asciiTheme="majorEastAsia" w:hAnsiTheme="majorEastAsia" w:eastAsiaTheme="majorEastAsia" w:cstheme="majorEastAsia"/>
          <w:b w:val="0"/>
          <w:bCs w:val="0"/>
          <w:color w:val="auto"/>
          <w:highlight w:val="none"/>
        </w:rPr>
        <w:t>2</w:t>
      </w:r>
      <w:r>
        <w:rPr>
          <w:rFonts w:hint="eastAsia" w:asciiTheme="majorEastAsia" w:hAnsiTheme="majorEastAsia" w:eastAsiaTheme="majorEastAsia" w:cstheme="majorEastAsia"/>
          <w:b w:val="0"/>
          <w:bCs w:val="0"/>
          <w:color w:val="auto"/>
          <w:highlight w:val="none"/>
          <w:lang w:val="en-US" w:eastAsia="zh-CN"/>
        </w:rPr>
        <w:t>4</w:t>
      </w:r>
      <w:r>
        <w:rPr>
          <w:rFonts w:hint="eastAsia" w:asciiTheme="majorEastAsia" w:hAnsiTheme="majorEastAsia" w:eastAsiaTheme="majorEastAsia" w:cstheme="majorEastAsia"/>
          <w:b w:val="0"/>
          <w:bCs w:val="0"/>
          <w:color w:val="auto"/>
          <w:highlight w:val="none"/>
        </w:rPr>
        <w:t>、投标文件的澄清</w:t>
      </w:r>
      <w:bookmarkEnd w:id="89"/>
      <w:bookmarkEnd w:id="90"/>
      <w:bookmarkEnd w:id="91"/>
    </w:p>
    <w:p w14:paraId="1F2C272A">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bookmarkStart w:id="92" w:name="_Toc16938549"/>
      <w:bookmarkStart w:id="93" w:name="_Toc20823305"/>
      <w:bookmarkStart w:id="94" w:name="_Toc513029233"/>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4</w:t>
      </w:r>
      <w:r>
        <w:rPr>
          <w:rFonts w:hint="eastAsia" w:asciiTheme="majorEastAsia" w:hAnsiTheme="majorEastAsia" w:eastAsiaTheme="majorEastAsia" w:cstheme="majorEastAsia"/>
          <w:color w:val="auto"/>
          <w:highlight w:val="none"/>
        </w:rPr>
        <w:t>.1评标期间，评委会对投标文件中含义不明确、同类问题表述不一致或者有明显文字和计算错误的内容，有权要求投标人作出必要的澄清、说明或者补正。</w:t>
      </w:r>
      <w:bookmarkEnd w:id="92"/>
      <w:bookmarkEnd w:id="93"/>
      <w:bookmarkEnd w:id="94"/>
    </w:p>
    <w:p w14:paraId="7BE7436E">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投标人的澄清、说明或者补正不得超出投标文件的范围或者改变投标文件的实质性内容。</w:t>
      </w:r>
    </w:p>
    <w:p w14:paraId="7212D69B">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评标委员会并非对每个投标人都做澄清要求。</w:t>
      </w:r>
    </w:p>
    <w:p w14:paraId="57BFFE0E">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4</w:t>
      </w:r>
      <w:r>
        <w:rPr>
          <w:rFonts w:hint="eastAsia" w:asciiTheme="majorEastAsia" w:hAnsiTheme="majorEastAsia" w:eastAsiaTheme="majorEastAsia" w:cstheme="majorEastAsia"/>
          <w:color w:val="auto"/>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B8241C3">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4</w:t>
      </w:r>
      <w:r>
        <w:rPr>
          <w:rFonts w:hint="eastAsia" w:asciiTheme="majorEastAsia" w:hAnsiTheme="majorEastAsia" w:eastAsiaTheme="majorEastAsia" w:cstheme="majorEastAsia"/>
          <w:color w:val="auto"/>
          <w:highlight w:val="none"/>
        </w:rPr>
        <w:t>.3 接到评委会澄清、说明和补正要求的投标人如未按规定做出澄清、说明和补正，其风险由投标人自行承担。</w:t>
      </w:r>
    </w:p>
    <w:p w14:paraId="4F21DE82">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、对投标文件的初审</w:t>
      </w:r>
    </w:p>
    <w:p w14:paraId="6162070D">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.1投标文件初审分为资格审查和符合性审查。</w:t>
      </w:r>
    </w:p>
    <w:p w14:paraId="0E8D379B">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25.1.1资格审查：依据法律法规和招标文件的规定，由采购人对投标文件中的资格证明文件进行审查。资格审查的结论，采购人以书面形式向评委会进行反馈。</w:t>
      </w:r>
    </w:p>
    <w:p w14:paraId="34CF68BB">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采购人在进行资格性审查的同时，将在“信用中国”网站（www.creditchina.gov.cn）查询投标人的信用记录，以确定投标人是否具备投标资格,查询结果留存并归档。</w:t>
      </w:r>
    </w:p>
    <w:p w14:paraId="13F18B61">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47CB99E">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.1.2 符合性审查：依据招标文件的规定，由评委会从投标文件的有效性、完整性和对招标文件的响应程度进行审查，以确定是否对招标文件的实质性要求作出响应。</w:t>
      </w:r>
    </w:p>
    <w:p w14:paraId="49C0AD7F">
      <w:pPr>
        <w:pStyle w:val="23"/>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25.1.3未通过资格审查或符合性审查的投标人，采购人或采购代理机构将在苏采云系统中告知未通过资格审查或符合性审查的原因，评标结束后，采购人或采购代理机构将不再告知未通过资格审查和符合性审查的原因。</w:t>
      </w:r>
    </w:p>
    <w:p w14:paraId="332F759F">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6F587605">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A78A1C4">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.3如果投标文件实质上没有响应招标文件的要求，评委会将予以拒绝，投标人不得通过修改或撤销不合要求的偏离或保留而使其投标成为实质性响应的投标。</w:t>
      </w:r>
    </w:p>
    <w:p w14:paraId="30E2D00B">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.4评委会将对确定为实质性响应的投标进行进一步审核，确定其是否有计算上或累加上的算术错误，修正错误的原则如下：</w:t>
      </w:r>
    </w:p>
    <w:p w14:paraId="085408CC">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（1）投标文件中开标一览表内容与投标文件中相应内容不一致的，以开标一览表为准。</w:t>
      </w:r>
    </w:p>
    <w:p w14:paraId="1AE22293">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（2）大写金额和小写金额不一致的，以大写金额为准。</w:t>
      </w:r>
    </w:p>
    <w:p w14:paraId="599049DE">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（3）单价金额小数点或者百分比有明显错位的，以开标一览表的总价为准，并</w:t>
      </w:r>
    </w:p>
    <w:p w14:paraId="7055182C">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修改单价。</w:t>
      </w:r>
    </w:p>
    <w:p w14:paraId="0B8D47B9">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（4）总价金额与按单价汇总金额不一致的，以单价金额计算结果为准。</w:t>
      </w:r>
    </w:p>
    <w:p w14:paraId="460541DF">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同时出现两种以上错误的，按照前款规定的顺序修正。</w:t>
      </w:r>
    </w:p>
    <w:p w14:paraId="52BCF4A8">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.5评委会将按上述修正错误的方法调整投标文件中的投标报价，并通过苏采云系统告知投标人，调整后的价格应对投标人具有约束力。如果投标人不接受修正后的价格，则其投标将被拒绝。</w:t>
      </w:r>
    </w:p>
    <w:p w14:paraId="435A914B">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投标人在开、评标全过程中应保持通讯畅通，及时登录苏采云系统查阅、答复相关信息，并安排专人与采购代理机构及评标委员会联系。</w:t>
      </w:r>
    </w:p>
    <w:p w14:paraId="0484BD58">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2</w:t>
      </w:r>
      <w:r>
        <w:rPr>
          <w:rFonts w:hint="eastAsia" w:asciiTheme="majorEastAsia" w:hAnsiTheme="majorEastAsia" w:eastAsiaTheme="majorEastAsia" w:cstheme="majorEastAsia"/>
          <w:b w:val="0"/>
          <w:bCs w:val="0"/>
          <w:color w:val="auto"/>
          <w:highlight w:val="none"/>
          <w:lang w:val="en-US" w:eastAsia="zh-CN"/>
        </w:rPr>
        <w:t>6</w:t>
      </w:r>
      <w:r>
        <w:rPr>
          <w:rFonts w:hint="eastAsia" w:asciiTheme="majorEastAsia" w:hAnsiTheme="majorEastAsia" w:eastAsiaTheme="majorEastAsia" w:cstheme="majorEastAsia"/>
          <w:b w:val="0"/>
          <w:bCs w:val="0"/>
          <w:color w:val="auto"/>
          <w:highlight w:val="none"/>
        </w:rPr>
        <w:t>、无效投标条款和废标条款</w:t>
      </w:r>
    </w:p>
    <w:p w14:paraId="73609D4D">
      <w:pPr>
        <w:pStyle w:val="23"/>
        <w:spacing w:beforeAutospacing="0" w:afterAutospacing="0" w:line="360" w:lineRule="auto"/>
        <w:ind w:left="479"/>
        <w:jc w:val="both"/>
        <w:rPr>
          <w:rFonts w:hint="eastAsia" w:asciiTheme="majorEastAsia" w:hAnsiTheme="majorEastAsia" w:eastAsiaTheme="majorEastAsia" w:cstheme="majorEastAsia"/>
          <w:color w:val="auto"/>
          <w:highlight w:val="none"/>
        </w:rPr>
      </w:pPr>
      <w:bookmarkStart w:id="95" w:name="_Toc20823307"/>
      <w:bookmarkStart w:id="96" w:name="_Toc16938551"/>
      <w:bookmarkStart w:id="97" w:name="_Toc513029235"/>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.1无效投标条款</w:t>
      </w:r>
      <w:bookmarkEnd w:id="95"/>
      <w:bookmarkEnd w:id="96"/>
      <w:bookmarkEnd w:id="97"/>
    </w:p>
    <w:p w14:paraId="5C7F85FC">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.1.1 投标人在苏采云系统规定的时间内未成功解密电子投标文件的。</w:t>
      </w:r>
    </w:p>
    <w:p w14:paraId="23440DDC">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.1.2 投标人未按照招标文件要求上传电子投标文件的。</w:t>
      </w:r>
    </w:p>
    <w:p w14:paraId="04D46753">
      <w:pPr>
        <w:pStyle w:val="23"/>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.1.3同一投标人提交两个（含两个）以上不同的投标报价的。</w:t>
      </w:r>
    </w:p>
    <w:p w14:paraId="638C89AE">
      <w:pPr>
        <w:pStyle w:val="23"/>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.1.4投标人不具备招标文件中规定资格要求的。</w:t>
      </w:r>
    </w:p>
    <w:p w14:paraId="218AD0B3">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.1.5投标人的报价超过了采购预算或最高限价的。</w:t>
      </w:r>
    </w:p>
    <w:p w14:paraId="65751980">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.1.6未通过符合性审查的。</w:t>
      </w:r>
    </w:p>
    <w:p w14:paraId="58601F5C">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.1.7不符合招标文件中规定的实质性要求和条件的（本招标文件中斜体且有下划线部分为实质性要求和条件）。</w:t>
      </w:r>
    </w:p>
    <w:p w14:paraId="1A1E626A">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26.1.8投标人被“信用中国”网站（www.creditchina.gov.cn）</w:t>
      </w:r>
      <w:r>
        <w:rPr>
          <w:rFonts w:hint="eastAsia" w:asciiTheme="majorEastAsia" w:hAnsiTheme="majorEastAsia" w:eastAsiaTheme="majorEastAsia" w:cstheme="majorEastAsia"/>
          <w:bCs/>
          <w:color w:val="auto"/>
          <w:szCs w:val="21"/>
          <w:highlight w:val="none"/>
        </w:rPr>
        <w:t>列入失信被执行人</w:t>
      </w:r>
    </w:p>
    <w:p w14:paraId="1707BAD2">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Cs/>
          <w:color w:val="auto"/>
          <w:szCs w:val="21"/>
          <w:highlight w:val="none"/>
        </w:rPr>
        <w:t>或重大税收违法失信主体或政府采购严重违法失信行为记录名单</w:t>
      </w:r>
      <w:r>
        <w:rPr>
          <w:rFonts w:hint="eastAsia" w:asciiTheme="majorEastAsia" w:hAnsiTheme="majorEastAsia" w:eastAsiaTheme="majorEastAsia" w:cstheme="majorEastAsia"/>
          <w:color w:val="auto"/>
          <w:highlight w:val="none"/>
        </w:rPr>
        <w:t>。或查询“信用中国”网站后发现投标人存在其他不符合《中华人民共和国政府采购法》第二十二条规定条件的信用记录。</w:t>
      </w:r>
    </w:p>
    <w:p w14:paraId="674AFC3A">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.1.9投标文件含有采购人不能接受的附加条件的。</w:t>
      </w:r>
    </w:p>
    <w:p w14:paraId="6EB92ED5">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6</w:t>
      </w:r>
      <w:r>
        <w:rPr>
          <w:rFonts w:hint="eastAsia" w:asciiTheme="majorEastAsia" w:hAnsiTheme="majorEastAsia" w:eastAsiaTheme="majorEastAsia" w:cstheme="majorEastAsia"/>
          <w:color w:val="auto"/>
          <w:highlight w:val="none"/>
        </w:rPr>
        <w:t>.1.10评标委员会认为投标人的报价明显低于其他通过符合性审查投标人的报价，有可能影响产品质量或者不能诚信履约的，将通过苏采云系统要求其在合理</w:t>
      </w:r>
    </w:p>
    <w:p w14:paraId="18947CB5">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的时间内提供说明，必要时提交相关证明材料；投标人不能证明其报价合理性的时</w:t>
      </w:r>
    </w:p>
    <w:p w14:paraId="29617884">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间内提供说明，必要时提交相关证明材料；投标人不能证明其报价合理性的，评标委员会应当将其作为无效投标处理。</w:t>
      </w:r>
    </w:p>
    <w:p w14:paraId="42BB3BC6">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的，即投标（响应）报价&lt;采购项目预算×50% ； 2．投标（响应）报价低于采购项目最高限价 45% 的，即投标（响应）报价&lt;采购项目最高限价×45% ； 3．评审委员会认定的供应商报价过低、有可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E27A245">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26.1.11投标文件未按照招标文件要求加盖CA电子公章的。</w:t>
      </w:r>
    </w:p>
    <w:p w14:paraId="01892030">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26.1.12其他法律、法规及本招标文件规定的属无效投标的情形。</w:t>
      </w:r>
    </w:p>
    <w:p w14:paraId="04A4934E">
      <w:pPr>
        <w:pStyle w:val="23"/>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26.2废标条款</w:t>
      </w:r>
    </w:p>
    <w:p w14:paraId="38B3BDDA">
      <w:pPr>
        <w:pStyle w:val="23"/>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26.2.1符合专业条件的供应商或者对招标文件作实质响应的供应商不足三家的。26.2.2出现影响采购公正的违法、违规行为的。</w:t>
      </w:r>
    </w:p>
    <w:p w14:paraId="6287211A">
      <w:pPr>
        <w:pStyle w:val="23"/>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26.2.3因重大变故，采购任务取消的。</w:t>
      </w:r>
    </w:p>
    <w:p w14:paraId="750DD947">
      <w:pPr>
        <w:pStyle w:val="23"/>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26.2.4评标委员会认定招标文件存在歧义、重大缺陷导致评审工作无法进行。</w:t>
      </w:r>
    </w:p>
    <w:p w14:paraId="2F557C25">
      <w:pPr>
        <w:pStyle w:val="23"/>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26.2.5因苏采云系统系统故障原因造成开标不成功的。</w:t>
      </w:r>
    </w:p>
    <w:p w14:paraId="7D885AF3">
      <w:pPr>
        <w:pStyle w:val="23"/>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26.3 投标截止时间结束后参加投标的供应商不足三家的处理：</w:t>
      </w:r>
    </w:p>
    <w:p w14:paraId="1AD563A8">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26.3.1如出现投标截止时间结束后参加投标的供应商或者在评标期间对招标文件做出实质响应的供应商不足三家情况，按政府采购相关规定执行。</w:t>
      </w:r>
    </w:p>
    <w:p w14:paraId="269607D0">
      <w:pPr>
        <w:pStyle w:val="23"/>
        <w:keepNext/>
        <w:keepLines/>
        <w:spacing w:before="145" w:beforeAutospacing="0" w:after="145" w:afterAutospacing="0" w:line="360" w:lineRule="auto"/>
        <w:ind w:firstLine="482"/>
        <w:jc w:val="both"/>
        <w:rPr>
          <w:rFonts w:hint="eastAsia" w:asciiTheme="majorEastAsia" w:hAnsiTheme="majorEastAsia" w:eastAsiaTheme="majorEastAsia" w:cstheme="majorEastAsia"/>
          <w:b/>
          <w:bCs/>
          <w:color w:val="auto"/>
          <w:highlight w:val="none"/>
        </w:rPr>
      </w:pPr>
      <w:bookmarkStart w:id="98" w:name="_Toc120614219"/>
      <w:r>
        <w:rPr>
          <w:rFonts w:hint="eastAsia" w:asciiTheme="majorEastAsia" w:hAnsiTheme="majorEastAsia" w:eastAsiaTheme="majorEastAsia" w:cstheme="majorEastAsia"/>
          <w:b/>
          <w:bCs/>
          <w:color w:val="auto"/>
          <w:highlight w:val="none"/>
        </w:rPr>
        <w:t>六、定标</w:t>
      </w:r>
      <w:bookmarkEnd w:id="98"/>
    </w:p>
    <w:p w14:paraId="64B67E1E">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bookmarkStart w:id="99" w:name="_Toc20823310"/>
      <w:bookmarkStart w:id="100" w:name="_Toc513029238"/>
      <w:bookmarkStart w:id="101" w:name="_Toc16938554"/>
      <w:r>
        <w:rPr>
          <w:rFonts w:hint="eastAsia" w:asciiTheme="majorEastAsia" w:hAnsiTheme="majorEastAsia" w:eastAsiaTheme="majorEastAsia" w:cstheme="majorEastAsia"/>
          <w:b w:val="0"/>
          <w:bCs w:val="0"/>
          <w:color w:val="auto"/>
          <w:highlight w:val="none"/>
        </w:rPr>
        <w:t>2</w:t>
      </w:r>
      <w:r>
        <w:rPr>
          <w:rFonts w:hint="eastAsia" w:asciiTheme="majorEastAsia" w:hAnsiTheme="majorEastAsia" w:eastAsiaTheme="majorEastAsia" w:cstheme="majorEastAsia"/>
          <w:b w:val="0"/>
          <w:bCs w:val="0"/>
          <w:color w:val="auto"/>
          <w:highlight w:val="none"/>
          <w:lang w:val="en-US" w:eastAsia="zh-CN"/>
        </w:rPr>
        <w:t>7</w:t>
      </w:r>
      <w:r>
        <w:rPr>
          <w:rFonts w:hint="eastAsia" w:asciiTheme="majorEastAsia" w:hAnsiTheme="majorEastAsia" w:eastAsiaTheme="majorEastAsia" w:cstheme="majorEastAsia"/>
          <w:b w:val="0"/>
          <w:bCs w:val="0"/>
          <w:color w:val="auto"/>
          <w:highlight w:val="none"/>
        </w:rPr>
        <w:t>、</w:t>
      </w:r>
      <w:bookmarkEnd w:id="99"/>
      <w:r>
        <w:rPr>
          <w:rFonts w:hint="eastAsia" w:asciiTheme="majorEastAsia" w:hAnsiTheme="majorEastAsia" w:eastAsiaTheme="majorEastAsia" w:cstheme="majorEastAsia"/>
          <w:b w:val="0"/>
          <w:bCs w:val="0"/>
          <w:color w:val="auto"/>
          <w:highlight w:val="none"/>
        </w:rPr>
        <w:t>确定</w:t>
      </w:r>
      <w:bookmarkEnd w:id="100"/>
      <w:bookmarkEnd w:id="101"/>
      <w:r>
        <w:rPr>
          <w:rFonts w:hint="eastAsia" w:asciiTheme="majorEastAsia" w:hAnsiTheme="majorEastAsia" w:eastAsiaTheme="majorEastAsia" w:cstheme="majorEastAsia"/>
          <w:b w:val="0"/>
          <w:bCs w:val="0"/>
          <w:color w:val="auto"/>
          <w:highlight w:val="none"/>
        </w:rPr>
        <w:t>中标单位</w:t>
      </w:r>
    </w:p>
    <w:p w14:paraId="481130A5">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7</w:t>
      </w:r>
      <w:r>
        <w:rPr>
          <w:rFonts w:hint="eastAsia" w:asciiTheme="majorEastAsia" w:hAnsiTheme="majorEastAsia" w:eastAsiaTheme="majorEastAsia" w:cstheme="majorEastAsia"/>
          <w:color w:val="auto"/>
          <w:highlight w:val="none"/>
        </w:rPr>
        <w:t xml:space="preserve">.1中标候选人的选取原则和数量见招标文件第五章规定。 </w:t>
      </w:r>
    </w:p>
    <w:p w14:paraId="56840B6C">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7</w:t>
      </w:r>
      <w:r>
        <w:rPr>
          <w:rFonts w:hint="eastAsia" w:asciiTheme="majorEastAsia" w:hAnsiTheme="majorEastAsia" w:eastAsiaTheme="majorEastAsia" w:cstheme="majorEastAsia"/>
          <w:color w:val="auto"/>
          <w:highlight w:val="none"/>
        </w:rPr>
        <w:t>.2 采购人应根据评委会推荐的中标候选人确定中标人。</w:t>
      </w:r>
    </w:p>
    <w:p w14:paraId="76F5D968">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27.3采购人或采购代理机构将在“中国政府采购网”、“江苏政府采购网”、“盐城市政府采购网”、“阜宁县公共资源电子化服务平台”发布中标公告，公告期限为1个工作日。</w:t>
      </w:r>
    </w:p>
    <w:p w14:paraId="098652BB">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27.4若有充分证据证明，中标人出现下列情况之一的，一经查实，将被取消中标资格：</w:t>
      </w:r>
    </w:p>
    <w:p w14:paraId="1D66A088">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27.4.1提供虚假材料谋取中标的。</w:t>
      </w:r>
    </w:p>
    <w:p w14:paraId="2B585823">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27.4.2向采购人、采购中心行贿或者提供其他不正当利益的。</w:t>
      </w:r>
    </w:p>
    <w:p w14:paraId="79EAAD0E">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bookmarkStart w:id="102" w:name="_Toc200451960"/>
      <w:r>
        <w:rPr>
          <w:rFonts w:hint="eastAsia" w:asciiTheme="majorEastAsia" w:hAnsiTheme="majorEastAsia" w:eastAsiaTheme="majorEastAsia" w:cstheme="majorEastAsia"/>
          <w:color w:val="auto"/>
          <w:highlight w:val="none"/>
        </w:rPr>
        <w:t>27.4.3属于本文件规定的无效条件，但在评标过程中又未被评委会发现的。</w:t>
      </w:r>
    </w:p>
    <w:p w14:paraId="3008C803">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27.4.4与采购人或者其他供应商恶意串通的。</w:t>
      </w:r>
    </w:p>
    <w:p w14:paraId="5BEDD815">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27.4.5采取不正当手段诋毁、排挤其他供应商的。</w:t>
      </w:r>
    </w:p>
    <w:p w14:paraId="7B19C4C9">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7</w:t>
      </w:r>
      <w:r>
        <w:rPr>
          <w:rFonts w:hint="eastAsia" w:asciiTheme="majorEastAsia" w:hAnsiTheme="majorEastAsia" w:eastAsiaTheme="majorEastAsia" w:cstheme="majorEastAsia"/>
          <w:color w:val="auto"/>
          <w:highlight w:val="none"/>
        </w:rPr>
        <w:t>.5.有下列情形之一的，视为投标人串通投标，投标无效：</w:t>
      </w:r>
      <w:bookmarkEnd w:id="102"/>
    </w:p>
    <w:p w14:paraId="269F3D58">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7</w:t>
      </w:r>
      <w:r>
        <w:rPr>
          <w:rFonts w:hint="eastAsia" w:asciiTheme="majorEastAsia" w:hAnsiTheme="majorEastAsia" w:eastAsiaTheme="majorEastAsia" w:cstheme="majorEastAsia"/>
          <w:color w:val="auto"/>
          <w:highlight w:val="none"/>
        </w:rPr>
        <w:t>.5.1不同投标人的投标文件由同一单位或者个人编制；</w:t>
      </w:r>
    </w:p>
    <w:p w14:paraId="46012938">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7</w:t>
      </w:r>
      <w:r>
        <w:rPr>
          <w:rFonts w:hint="eastAsia" w:asciiTheme="majorEastAsia" w:hAnsiTheme="majorEastAsia" w:eastAsiaTheme="majorEastAsia" w:cstheme="majorEastAsia"/>
          <w:color w:val="auto"/>
          <w:highlight w:val="none"/>
        </w:rPr>
        <w:t>.5.2不同投标人委托同一单位或者个人办理投标事宜；</w:t>
      </w:r>
    </w:p>
    <w:p w14:paraId="3597116D">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7</w:t>
      </w:r>
      <w:r>
        <w:rPr>
          <w:rFonts w:hint="eastAsia" w:asciiTheme="majorEastAsia" w:hAnsiTheme="majorEastAsia" w:eastAsiaTheme="majorEastAsia" w:cstheme="majorEastAsia"/>
          <w:color w:val="auto"/>
          <w:highlight w:val="none"/>
        </w:rPr>
        <w:t>.5.3 不同投标人的投标文件载明的项目管理成员或者联系人员为同一人；</w:t>
      </w:r>
    </w:p>
    <w:p w14:paraId="7F845265">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7</w:t>
      </w:r>
      <w:r>
        <w:rPr>
          <w:rFonts w:hint="eastAsia" w:asciiTheme="majorEastAsia" w:hAnsiTheme="majorEastAsia" w:eastAsiaTheme="majorEastAsia" w:cstheme="majorEastAsia"/>
          <w:color w:val="auto"/>
          <w:highlight w:val="none"/>
        </w:rPr>
        <w:t>.5.4不同投标人的投标文件异常一致或者投标报价呈规律性差异；</w:t>
      </w:r>
    </w:p>
    <w:p w14:paraId="1259D7B1">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2</w:t>
      </w:r>
      <w:r>
        <w:rPr>
          <w:rFonts w:hint="eastAsia" w:asciiTheme="majorEastAsia" w:hAnsiTheme="majorEastAsia" w:eastAsiaTheme="majorEastAsia" w:cstheme="majorEastAsia"/>
          <w:b w:val="0"/>
          <w:bCs w:val="0"/>
          <w:color w:val="auto"/>
          <w:highlight w:val="none"/>
          <w:lang w:val="en-US" w:eastAsia="zh-CN"/>
        </w:rPr>
        <w:t>8</w:t>
      </w:r>
      <w:r>
        <w:rPr>
          <w:rFonts w:hint="eastAsia" w:asciiTheme="majorEastAsia" w:hAnsiTheme="majorEastAsia" w:eastAsiaTheme="majorEastAsia" w:cstheme="majorEastAsia"/>
          <w:b w:val="0"/>
          <w:bCs w:val="0"/>
          <w:color w:val="auto"/>
          <w:highlight w:val="none"/>
        </w:rPr>
        <w:t>、质疑处理</w:t>
      </w:r>
    </w:p>
    <w:p w14:paraId="1BB46377">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.1 提出质疑的供应商应当是参与所质疑项目采购活动的供应商。潜在供应商依法获取其可质疑的采购文件的，可以对采购文件提出质疑。</w:t>
      </w:r>
    </w:p>
    <w:p w14:paraId="5A6305F0">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.2供应商认为采购文件、采购过程和采购结果使自己的权益受到损害的，可以在知道或应知其权益受到损害之日起七个工作日内，以书面形式根据下述2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.4条款的规定向采购人或采购代理机构或采购人提出质疑。上述应知其权益受到损害之日，是指：</w:t>
      </w:r>
    </w:p>
    <w:p w14:paraId="4A641AB1">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.2.1对可以质疑的采购文件提出质疑的，为收到采购文件之日或者采购文件公告期限届满之日；</w:t>
      </w:r>
    </w:p>
    <w:p w14:paraId="7D60C34D">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.2.2对采购过程提出质疑的，为各采购程序环节结束之日；</w:t>
      </w:r>
    </w:p>
    <w:p w14:paraId="04315A5C">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.2.3对中标或者成交结果提出质疑的，为中标或者成交结果公告期限届满之日。</w:t>
      </w:r>
    </w:p>
    <w:p w14:paraId="746438C9">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供应商应当在法定质疑期内一次性提出针对同一采购程序环节的质疑。供应商如在法定期限内对同一采购程序环节提出多次质疑的，采购人或代理机构将只对供应商第一次质疑作出答复。</w:t>
      </w:r>
    </w:p>
    <w:p w14:paraId="43E36E28">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0C9335D0">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或采购代理机构负责答复。</w:t>
      </w:r>
    </w:p>
    <w:p w14:paraId="03B6F09A">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采购人及采购代理机构只接收以纸质原件形式送达的质疑,采购人和采购代理机构不接受未填写快递运单的快件。</w:t>
      </w:r>
    </w:p>
    <w:p w14:paraId="152FD86C">
      <w:pPr>
        <w:spacing w:line="360" w:lineRule="auto"/>
        <w:ind w:firstLine="240" w:firstLineChars="100"/>
        <w:rPr>
          <w:rFonts w:hint="eastAsia" w:asciiTheme="majorEastAsia" w:hAnsiTheme="majorEastAsia" w:eastAsiaTheme="majorEastAsia" w:cstheme="majorEastAsia"/>
          <w:color w:val="auto"/>
          <w:sz w:val="26"/>
          <w:szCs w:val="26"/>
          <w:highlight w:val="none"/>
          <w:lang w:bidi="ar"/>
        </w:rPr>
      </w:pPr>
      <w:r>
        <w:rPr>
          <w:rFonts w:hint="eastAsia" w:asciiTheme="majorEastAsia" w:hAnsiTheme="majorEastAsia" w:eastAsiaTheme="majorEastAsia" w:cstheme="majorEastAsia"/>
          <w:color w:val="auto"/>
          <w:sz w:val="24"/>
          <w:highlight w:val="none"/>
        </w:rPr>
        <w:t>采购人、采购代理机构接收质疑联系人、联系电话和通讯地址等见招标公告</w:t>
      </w:r>
      <w:r>
        <w:rPr>
          <w:rFonts w:hint="eastAsia" w:asciiTheme="majorEastAsia" w:hAnsiTheme="majorEastAsia" w:eastAsiaTheme="majorEastAsia" w:cstheme="majorEastAsia"/>
          <w:color w:val="auto"/>
          <w:sz w:val="26"/>
          <w:szCs w:val="26"/>
          <w:highlight w:val="none"/>
          <w:lang w:bidi="ar"/>
        </w:rPr>
        <w:t>采购人信息、</w:t>
      </w:r>
      <w:r>
        <w:rPr>
          <w:rFonts w:hint="eastAsia" w:asciiTheme="majorEastAsia" w:hAnsiTheme="majorEastAsia" w:eastAsiaTheme="majorEastAsia" w:cstheme="majorEastAsia"/>
          <w:color w:val="auto"/>
          <w:sz w:val="24"/>
          <w:highlight w:val="none"/>
          <w:lang w:bidi="ar"/>
        </w:rPr>
        <w:t>采购代理机构信息。</w:t>
      </w:r>
    </w:p>
    <w:p w14:paraId="1C3902F6">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.5 以下情形的质疑不予受理</w:t>
      </w:r>
    </w:p>
    <w:p w14:paraId="523367FD">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.5.1 内容不符合《政府采购质疑和投诉办法》第十二条规定的质疑。</w:t>
      </w:r>
    </w:p>
    <w:p w14:paraId="19293FD6">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.5.2 超出政府采购法定期限的质疑。</w:t>
      </w:r>
    </w:p>
    <w:p w14:paraId="5E82AFEF">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.5.3 以传真、电子邮件等方式递交的非原件形式的质疑。</w:t>
      </w:r>
    </w:p>
    <w:p w14:paraId="56A450B2">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.5.4 未参加投标活动的供应商或在投标活动中自身权益未受到损害的供应商所提出的质疑。</w:t>
      </w:r>
    </w:p>
    <w:p w14:paraId="1EC4DD98">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.5.5供应商组成联合体参加投标，联合体中任何一方或多方未按要求签字、盖章、</w:t>
      </w:r>
    </w:p>
    <w:p w14:paraId="78B89394">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加盖公章的质疑。</w:t>
      </w:r>
    </w:p>
    <w:p w14:paraId="5C028994">
      <w:pPr>
        <w:pStyle w:val="23"/>
        <w:spacing w:beforeAutospacing="0" w:afterAutospacing="0" w:line="360" w:lineRule="auto"/>
        <w:ind w:firstLine="468"/>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lang w:val="en-US" w:eastAsia="zh-CN"/>
        </w:rPr>
        <w:t>8</w:t>
      </w:r>
      <w:r>
        <w:rPr>
          <w:rFonts w:hint="eastAsia" w:asciiTheme="majorEastAsia" w:hAnsiTheme="majorEastAsia" w:eastAsiaTheme="majorEastAsia" w:cstheme="majorEastAsia"/>
          <w:color w:val="auto"/>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864D37F">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lang w:val="en-US" w:eastAsia="zh-CN"/>
        </w:rPr>
        <w:t>29</w:t>
      </w:r>
      <w:r>
        <w:rPr>
          <w:rFonts w:hint="eastAsia" w:asciiTheme="majorEastAsia" w:hAnsiTheme="majorEastAsia" w:eastAsiaTheme="majorEastAsia" w:cstheme="majorEastAsia"/>
          <w:b w:val="0"/>
          <w:bCs w:val="0"/>
          <w:color w:val="auto"/>
          <w:highlight w:val="none"/>
        </w:rPr>
        <w:t>、中标通知书</w:t>
      </w:r>
    </w:p>
    <w:p w14:paraId="7F129C14">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29</w:t>
      </w:r>
      <w:r>
        <w:rPr>
          <w:rFonts w:hint="eastAsia" w:asciiTheme="majorEastAsia" w:hAnsiTheme="majorEastAsia" w:eastAsiaTheme="majorEastAsia" w:cstheme="majorEastAsia"/>
          <w:color w:val="auto"/>
          <w:highlight w:val="none"/>
        </w:rPr>
        <w:t>.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923EDC9">
      <w:pPr>
        <w:pStyle w:val="23"/>
        <w:keepNext/>
        <w:keepLines/>
        <w:spacing w:before="145" w:beforeAutospacing="0" w:after="145"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103" w:name="_Toc16938552"/>
      <w:bookmarkStart w:id="104" w:name="_Toc513029236"/>
      <w:bookmarkStart w:id="105" w:name="_Toc120614220"/>
      <w:bookmarkStart w:id="106" w:name="_Toc20823308"/>
      <w:r>
        <w:rPr>
          <w:rFonts w:hint="eastAsia" w:asciiTheme="majorEastAsia" w:hAnsiTheme="majorEastAsia" w:eastAsiaTheme="majorEastAsia" w:cstheme="majorEastAsia"/>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372C255C">
      <w:pPr>
        <w:pStyle w:val="23"/>
        <w:keepNext/>
        <w:keepLines/>
        <w:spacing w:before="145" w:beforeAutospacing="0" w:after="145" w:afterAutospacing="0" w:line="360" w:lineRule="auto"/>
        <w:ind w:firstLine="482" w:firstLineChars="200"/>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七、授予合同</w:t>
      </w:r>
      <w:bookmarkEnd w:id="103"/>
      <w:bookmarkEnd w:id="104"/>
      <w:bookmarkEnd w:id="105"/>
      <w:bookmarkEnd w:id="106"/>
    </w:p>
    <w:p w14:paraId="33A1FC0F">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107" w:name="_Toc513029237"/>
      <w:bookmarkStart w:id="108" w:name="_Toc20823309"/>
      <w:bookmarkStart w:id="109" w:name="_Toc16938553"/>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lang w:eastAsia="zh-CN"/>
        </w:rPr>
        <w:t>、</w:t>
      </w:r>
      <w:r>
        <w:rPr>
          <w:rFonts w:hint="eastAsia" w:asciiTheme="majorEastAsia" w:hAnsiTheme="majorEastAsia" w:eastAsiaTheme="majorEastAsia" w:cstheme="majorEastAsia"/>
          <w:color w:val="auto"/>
          <w:highlight w:val="none"/>
        </w:rPr>
        <w:t xml:space="preserve"> 签订合同</w:t>
      </w:r>
      <w:bookmarkEnd w:id="107"/>
      <w:bookmarkEnd w:id="108"/>
      <w:bookmarkEnd w:id="109"/>
    </w:p>
    <w:p w14:paraId="684FA9C8">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.l中标人应当在中标通知书发出之日起三十日内，按照招标文件确定的事项与采购人签订政府采购合同。</w:t>
      </w:r>
    </w:p>
    <w:p w14:paraId="533151CB">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.2 招标文件、中标人的投标文件及招标过程中有关澄清、承诺文件均应作为合同附件。</w:t>
      </w:r>
    </w:p>
    <w:p w14:paraId="261BC76B">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.3 签订合同后，</w:t>
      </w:r>
      <w:r>
        <w:rPr>
          <w:rFonts w:hint="eastAsia" w:asciiTheme="majorEastAsia" w:hAnsiTheme="majorEastAsia" w:eastAsiaTheme="majorEastAsia" w:cstheme="majorEastAsia"/>
          <w:color w:val="auto"/>
          <w:highlight w:val="none"/>
          <w:u w:val="single"/>
        </w:rPr>
        <w:t>中标人不得将合同标的进行转包</w:t>
      </w:r>
      <w:r>
        <w:rPr>
          <w:rFonts w:hint="eastAsia" w:asciiTheme="majorEastAsia" w:hAnsiTheme="majorEastAsia" w:eastAsiaTheme="majorEastAsia" w:cstheme="majorEastAsia"/>
          <w:color w:val="auto"/>
          <w:highlight w:val="none"/>
        </w:rPr>
        <w:t>。未经采购人同意，中标人也不得采用分包的形式履行合同，否则采购人有权终止合同。转包或分包造成采购人损失的，中标人应承担相应赔偿责任。</w:t>
      </w:r>
    </w:p>
    <w:p w14:paraId="12BE1237">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3</w:t>
      </w:r>
      <w:r>
        <w:rPr>
          <w:rFonts w:hint="eastAsia" w:asciiTheme="majorEastAsia" w:hAnsiTheme="majorEastAsia" w:eastAsiaTheme="majorEastAsia" w:cstheme="majorEastAsia"/>
          <w:b w:val="0"/>
          <w:bCs w:val="0"/>
          <w:color w:val="auto"/>
          <w:highlight w:val="none"/>
          <w:lang w:val="en-US" w:eastAsia="zh-CN"/>
        </w:rPr>
        <w:t>1、</w:t>
      </w:r>
      <w:r>
        <w:rPr>
          <w:rFonts w:hint="eastAsia" w:asciiTheme="majorEastAsia" w:hAnsiTheme="majorEastAsia" w:eastAsiaTheme="majorEastAsia" w:cstheme="majorEastAsia"/>
          <w:b w:val="0"/>
          <w:bCs w:val="0"/>
          <w:color w:val="auto"/>
          <w:highlight w:val="none"/>
        </w:rPr>
        <w:t>服务（包含与服务相关的货物）的追加</w:t>
      </w:r>
    </w:p>
    <w:p w14:paraId="20CD8041">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1</w:t>
      </w:r>
      <w:r>
        <w:rPr>
          <w:rFonts w:hint="eastAsia" w:asciiTheme="majorEastAsia" w:hAnsiTheme="majorEastAsia" w:eastAsiaTheme="majorEastAsia" w:cstheme="majorEastAsia"/>
          <w:color w:val="auto"/>
          <w:highlight w:val="none"/>
        </w:rPr>
        <w:t>.1政府采购合同履行中，采购人需追加与合同标的相同的服务（包含与服务相关的货物），在不改变合同其他条款的前提下，可以与中标人协商签订补充合同，但所有补充合同的采购金额不超过原合同金额10%。</w:t>
      </w:r>
    </w:p>
    <w:p w14:paraId="06BE00E7">
      <w:pPr>
        <w:pStyle w:val="23"/>
        <w:keepNext/>
        <w:keepLines/>
        <w:spacing w:beforeAutospacing="0" w:afterAutospacing="0" w:line="360" w:lineRule="auto"/>
        <w:ind w:firstLine="480" w:firstLineChars="200"/>
        <w:jc w:val="both"/>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3</w:t>
      </w:r>
      <w:r>
        <w:rPr>
          <w:rFonts w:hint="eastAsia" w:asciiTheme="majorEastAsia" w:hAnsiTheme="majorEastAsia" w:eastAsiaTheme="majorEastAsia" w:cstheme="majorEastAsia"/>
          <w:b w:val="0"/>
          <w:bCs w:val="0"/>
          <w:color w:val="auto"/>
          <w:highlight w:val="none"/>
          <w:lang w:val="en-US" w:eastAsia="zh-CN"/>
        </w:rPr>
        <w:t>2</w:t>
      </w:r>
      <w:r>
        <w:rPr>
          <w:rFonts w:hint="eastAsia" w:asciiTheme="majorEastAsia" w:hAnsiTheme="majorEastAsia" w:eastAsiaTheme="majorEastAsia" w:cstheme="majorEastAsia"/>
          <w:b w:val="0"/>
          <w:bCs w:val="0"/>
          <w:color w:val="auto"/>
          <w:highlight w:val="none"/>
          <w:lang w:eastAsia="zh-CN"/>
        </w:rPr>
        <w:t>、</w:t>
      </w:r>
      <w:r>
        <w:rPr>
          <w:rFonts w:hint="eastAsia" w:asciiTheme="majorEastAsia" w:hAnsiTheme="majorEastAsia" w:eastAsiaTheme="majorEastAsia" w:cstheme="majorEastAsia"/>
          <w:b w:val="0"/>
          <w:bCs w:val="0"/>
          <w:color w:val="auto"/>
          <w:highlight w:val="none"/>
        </w:rPr>
        <w:t>政府采购政策功能落实</w:t>
      </w:r>
    </w:p>
    <w:p w14:paraId="423555BD">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.1政府采购线上合同信用融资政策</w:t>
      </w:r>
    </w:p>
    <w:p w14:paraId="7C8A21EA">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根据《转发江苏省财政厅中国人民银行南京分行&lt;关于深入推进政府采购线上合同</w:t>
      </w:r>
    </w:p>
    <w:p w14:paraId="132719DE">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7D3D9F2F">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中标供应商如需获得合同信用融资支持，可凭政府采购合同办理“政采贷”融资贷款。</w:t>
      </w:r>
    </w:p>
    <w:p w14:paraId="5E1803D5">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.2进口产品</w:t>
      </w:r>
    </w:p>
    <w:p w14:paraId="5A57E655">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92C308E">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.3中小企业、监狱企业及残疾人福利性单位</w:t>
      </w:r>
    </w:p>
    <w:p w14:paraId="2F4FA415">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.3.1中小企业定义：</w:t>
      </w:r>
    </w:p>
    <w:p w14:paraId="1D569412">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D7B333C">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.3.2供应商提供的货物、工程或者服务符合下列情形的，享受中小企业扶持政策：</w:t>
      </w:r>
    </w:p>
    <w:p w14:paraId="1A693D38">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.3.2.1在货物采购项目中，货物由中小企业制造，即货物由中小企业生产且使用该中小企业商号或者注册商标；</w:t>
      </w:r>
    </w:p>
    <w:p w14:paraId="525E5E91">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.3.2.2在工程采购项目中，工程由中小企业承建，即工程施工单位为中小企业；</w:t>
      </w:r>
    </w:p>
    <w:p w14:paraId="73F7BD6C">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.3.2.3在服务采购项目中，服务由中小企业承接，即提供服务的人员为中小</w:t>
      </w:r>
    </w:p>
    <w:p w14:paraId="095EB69F">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企业依照《中华人民共和国劳动合同法》订立劳动合同的从业人员。</w:t>
      </w:r>
    </w:p>
    <w:p w14:paraId="418AC0C3">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.3.3在货物采购项目中，供应商提供的货物既有中小企业制造货物，也有大型企</w:t>
      </w:r>
    </w:p>
    <w:p w14:paraId="1190B25A">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业制造货物的，不享受中小企业扶持政策。</w:t>
      </w:r>
    </w:p>
    <w:p w14:paraId="358E222E">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.3.4以联合体形式参加政府采购活动，联合体各方均为中小企业的，联合体视同</w:t>
      </w:r>
    </w:p>
    <w:p w14:paraId="7716F032">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中小企业。其中，联合体各方均为小微企业的，联合体视同小微企业。</w:t>
      </w:r>
    </w:p>
    <w:p w14:paraId="4609B5A2">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89F146">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.3.6残疾人福利单位定义：享受政府采购支持政策的残疾人福利性单位应当同时满足以下条件：</w:t>
      </w:r>
    </w:p>
    <w:p w14:paraId="2FF9FA13">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.3.6.1安置的残疾人占本单位在职职工人数的比例不低于25%（含25%），并且安置的残疾人人数不少于10 人（含10 人）；</w:t>
      </w:r>
    </w:p>
    <w:p w14:paraId="23FB7742">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.3.6.2依法与安置的每位残疾人签订了一年以上（含一年）的劳动合同或服务协议；</w:t>
      </w:r>
    </w:p>
    <w:p w14:paraId="011AD5FA">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.3.6.3为安置的每位残疾人按月足额缴纳了基本养老保险、基本医疗保险、失业保险、工伤保险和生育保险等社会保险费；</w:t>
      </w:r>
    </w:p>
    <w:p w14:paraId="7D8F97BB">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.3.6.4通过银行等金融机构向安置的每位残疾人，按月支付了不低于单位所在区县适用的经省级人民政府批准的月最低工资标准的工资；</w:t>
      </w:r>
    </w:p>
    <w:p w14:paraId="08BCDED1">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.3.6.5提供本单位制造的货物、承担的工程或者服务（以下简称产品），或者提供其他残疾人福利性单位制造的货物（不包括使用非残疾人福利性单位注册商标的货物）；</w:t>
      </w:r>
    </w:p>
    <w:p w14:paraId="50BCBCEF">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2FA1CA1">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.3.7本项目是否专门面向中小企业预留采购份额见第一章《投标邀请》。</w:t>
      </w:r>
    </w:p>
    <w:p w14:paraId="35B7F629">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.3.8采购标的对应的中小企业划分标准所属行业见第四章《采购需求》。</w:t>
      </w:r>
    </w:p>
    <w:p w14:paraId="6D6B5C22">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.3.9小微企业价格评审优惠的政策：见第五章《评标方法和评标标准》。</w:t>
      </w:r>
    </w:p>
    <w:p w14:paraId="4ABA6B01">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.4政府采购节能产品、环境标志产品</w:t>
      </w:r>
    </w:p>
    <w:p w14:paraId="6CA7D981">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E502963">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450C129">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.5绿色包装</w:t>
      </w:r>
    </w:p>
    <w:p w14:paraId="090F2807">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57F37C3">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.6政府采购创新产品</w:t>
      </w:r>
    </w:p>
    <w:p w14:paraId="1C8AF58E">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采购人优先采购各级政府部门公开发布的有效期内的创新产品、创新服务、首台套、首购首用等《目录》的创新产品。</w:t>
      </w:r>
    </w:p>
    <w:p w14:paraId="19FB0787">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 xml:space="preserve">.7绿色数据中心政策 </w:t>
      </w:r>
    </w:p>
    <w:p w14:paraId="4E5C8FB2">
      <w:pPr>
        <w:pStyle w:val="23"/>
        <w:spacing w:beforeAutospacing="0"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文件中若涉及到数据中心采购，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0018EB5">
      <w:pPr>
        <w:pStyle w:val="23"/>
        <w:shd w:val="clear" w:color="auto" w:fill="FFFFFF"/>
        <w:spacing w:beforeAutospacing="0" w:afterAutospacing="0" w:line="360" w:lineRule="auto"/>
        <w:ind w:firstLine="480" w:firstLineChars="200"/>
        <w:jc w:val="left"/>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highlight w:val="none"/>
          <w:lang w:eastAsia="zh-CN"/>
        </w:rPr>
        <w:t>32</w:t>
      </w:r>
      <w:r>
        <w:rPr>
          <w:rFonts w:hint="eastAsia" w:asciiTheme="majorEastAsia" w:hAnsiTheme="majorEastAsia" w:eastAsiaTheme="majorEastAsia" w:cstheme="majorEastAsia"/>
          <w:color w:val="auto"/>
          <w:highlight w:val="none"/>
        </w:rPr>
        <w:t>.</w:t>
      </w:r>
      <w:r>
        <w:rPr>
          <w:rFonts w:hint="eastAsia" w:asciiTheme="majorEastAsia" w:hAnsiTheme="majorEastAsia" w:eastAsiaTheme="majorEastAsia" w:cstheme="majorEastAsia"/>
          <w:color w:val="auto"/>
          <w:sz w:val="24"/>
          <w:szCs w:val="24"/>
          <w:highlight w:val="none"/>
        </w:rPr>
        <w:t>8履约保证金缴纳</w:t>
      </w:r>
      <w:r>
        <w:rPr>
          <w:rFonts w:hint="eastAsia" w:asciiTheme="majorEastAsia" w:hAnsiTheme="majorEastAsia" w:eastAsiaTheme="majorEastAsia" w:cstheme="majorEastAsia"/>
          <w:color w:val="auto"/>
          <w:sz w:val="24"/>
          <w:szCs w:val="24"/>
          <w:highlight w:val="none"/>
          <w:lang w:eastAsia="zh-CN"/>
        </w:rPr>
        <w:t>：</w:t>
      </w:r>
    </w:p>
    <w:p w14:paraId="51C73F37">
      <w:pPr>
        <w:pStyle w:val="23"/>
        <w:spacing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项目履约保证金按中标（合同）价的5%执行，中标人应在签订合同前将履约保证金可以支票、汇票、本票或者金融机构、担保机构出具的保函等非现金形式提交履约保证金。以转帐、电汇或银行汇票等形式从乙方的帐户转至下列账户，收款单位名称：阜宁县农村公路建设管理办公室，开户银行：江苏阜宁农村商业银行股份有限公司营业部；帐号：3209230271010000212844。</w:t>
      </w:r>
    </w:p>
    <w:p w14:paraId="63D10C80">
      <w:pPr>
        <w:pStyle w:val="23"/>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供应商以履约保函（保险）形式缴纳履约保证金。供应商可通过政府采购电子履约保函（保险）平台（www.jsdzbh.com）在线申请履约保函（保险）。采用保函形式提交的，其受益人为甲方，保函的有效期不得低于合同的履行期限。</w:t>
      </w:r>
    </w:p>
    <w:p w14:paraId="4C64F8E8">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依据盐财购〔2021〕19号文件规定，乙方具有AA评级及以上（或80分及以上）信用等级的且信用报告通过信用管理部门备案并通过“信用盐城网”可查实或信用报告概述页等内容通过“信用盐城网”可查实（需向阜宁县交通运输局提供第三方信用报告原件和加盖乙方公章的第三方信用报告的复印件），履约保证金将减按3%缴纳。</w:t>
      </w:r>
    </w:p>
    <w:p w14:paraId="58ADB1C6">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p>
    <w:p w14:paraId="63AE23F4">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履约保证金的退还：</w:t>
      </w:r>
    </w:p>
    <w:p w14:paraId="2AA6218E">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方式：无息退还至投标人缴纳履约保证金的账户。如为保函，在到期时自行失效。</w:t>
      </w:r>
    </w:p>
    <w:p w14:paraId="42621D3A">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时间：验收合格且招标人收到发票后30日内。</w:t>
      </w:r>
    </w:p>
    <w:p w14:paraId="49080F57">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条件：按合同要求全部履约完成并经招标人验收合格，且招标人收到中标人出具的发票。</w:t>
      </w:r>
    </w:p>
    <w:p w14:paraId="55414B34">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不予退还情形：</w:t>
      </w:r>
    </w:p>
    <w:p w14:paraId="44EEF87C">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除不可抗力情况外，投标人出现下列情形之一的，其履约保证金，招标人将视情节决定不予退还或部分不予退还。</w:t>
      </w:r>
    </w:p>
    <w:p w14:paraId="1EBF8AC9">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（1）中标人无正当理由拒绝签订合同的，或者在签订合同时向招标人提出附加条件或者更改合同实质性内容要求的；</w:t>
      </w:r>
    </w:p>
    <w:p w14:paraId="353BFD6A">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（2）中标人不履行与招标人订立的合同的；</w:t>
      </w:r>
    </w:p>
    <w:p w14:paraId="59758E6B">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（3）中标人所供货物或服务不符合招标文件规定要求的；</w:t>
      </w:r>
    </w:p>
    <w:p w14:paraId="0DE58095">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（4）中标人采取欺骗、弄虚作假方式投标的或与其它投标人串通投标的；</w:t>
      </w:r>
    </w:p>
    <w:p w14:paraId="38828236">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（5）中标人将合同内容违法转包、分包的；</w:t>
      </w:r>
    </w:p>
    <w:p w14:paraId="01CA204C">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（6）中标人故意捏造事实或伪造证明材料，进行虚假恶意投诉或反映的。</w:t>
      </w:r>
    </w:p>
    <w:p w14:paraId="2255CD20">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逾期退还的违约责任：招标人逾期无故未退还履约保证金的，按中国人民银行同期</w:t>
      </w:r>
    </w:p>
    <w:p w14:paraId="4245AC72">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贷款基准利率上浮20%后的利率支付超期资金占用费，但因投标人自身原因导致无法及时退还的除外。</w:t>
      </w:r>
    </w:p>
    <w:p w14:paraId="3317E5AD">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r>
        <w:rPr>
          <w:rFonts w:hint="eastAsia" w:asciiTheme="majorEastAsia" w:hAnsiTheme="majorEastAsia" w:eastAsiaTheme="majorEastAsia" w:cstheme="majorEastAsia"/>
          <w:color w:val="auto"/>
          <w:highlight w:val="none"/>
          <w:lang w:val="en-US" w:eastAsia="zh-CN"/>
        </w:rPr>
        <w:t>3</w:t>
      </w:r>
      <w:r>
        <w:rPr>
          <w:rFonts w:hint="eastAsia" w:asciiTheme="majorEastAsia" w:hAnsiTheme="majorEastAsia" w:eastAsiaTheme="majorEastAsia" w:cstheme="majorEastAsia"/>
          <w:color w:val="auto"/>
          <w:highlight w:val="none"/>
        </w:rPr>
        <w:t>.预付款制度</w:t>
      </w:r>
    </w:p>
    <w:p w14:paraId="36D2FA89">
      <w:pPr>
        <w:pStyle w:val="23"/>
        <w:spacing w:beforeAutospacing="0" w:afterAutospacing="0" w:line="360" w:lineRule="auto"/>
        <w:ind w:firstLine="4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本项目落实预付款制度，预付款比例为30%。在签订合同时，中标、成交供应商若未提供发票或银行保函、明确书面表示无需预付款或者主动要求降低预付款比例的，采购人可就预付款比例作相应调整。</w:t>
      </w:r>
    </w:p>
    <w:p w14:paraId="2A308AD4">
      <w:pPr>
        <w:spacing w:before="50" w:line="360" w:lineRule="auto"/>
        <w:jc w:val="center"/>
        <w:rPr>
          <w:rFonts w:hint="eastAsia" w:asciiTheme="majorEastAsia" w:hAnsiTheme="majorEastAsia" w:eastAsiaTheme="majorEastAsia" w:cstheme="majorEastAsia"/>
          <w:bCs/>
          <w:color w:val="auto"/>
          <w:sz w:val="36"/>
          <w:szCs w:val="36"/>
          <w:highlight w:val="none"/>
        </w:rPr>
      </w:pPr>
    </w:p>
    <w:p w14:paraId="137CE71D">
      <w:pPr>
        <w:pStyle w:val="11"/>
        <w:spacing w:line="360" w:lineRule="auto"/>
        <w:rPr>
          <w:rFonts w:hint="eastAsia" w:asciiTheme="majorEastAsia" w:hAnsiTheme="majorEastAsia" w:eastAsiaTheme="majorEastAsia" w:cstheme="majorEastAsia"/>
          <w:bCs/>
          <w:color w:val="auto"/>
          <w:sz w:val="36"/>
          <w:szCs w:val="36"/>
          <w:highlight w:val="none"/>
        </w:rPr>
      </w:pPr>
    </w:p>
    <w:p w14:paraId="5747B3C0">
      <w:pPr>
        <w:spacing w:line="360" w:lineRule="auto"/>
        <w:rPr>
          <w:rFonts w:hint="eastAsia" w:asciiTheme="majorEastAsia" w:hAnsiTheme="majorEastAsia" w:eastAsiaTheme="majorEastAsia" w:cstheme="majorEastAsia"/>
          <w:bCs/>
          <w:color w:val="auto"/>
          <w:sz w:val="36"/>
          <w:szCs w:val="36"/>
          <w:highlight w:val="none"/>
        </w:rPr>
      </w:pPr>
    </w:p>
    <w:p w14:paraId="51FB5C3F">
      <w:pPr>
        <w:pStyle w:val="11"/>
        <w:spacing w:line="360" w:lineRule="auto"/>
        <w:rPr>
          <w:rFonts w:hint="eastAsia" w:asciiTheme="majorEastAsia" w:hAnsiTheme="majorEastAsia" w:eastAsiaTheme="majorEastAsia" w:cstheme="majorEastAsia"/>
          <w:bCs/>
          <w:color w:val="auto"/>
          <w:sz w:val="36"/>
          <w:szCs w:val="36"/>
          <w:highlight w:val="none"/>
        </w:rPr>
      </w:pPr>
    </w:p>
    <w:p w14:paraId="2883F019">
      <w:pPr>
        <w:spacing w:line="360" w:lineRule="auto"/>
        <w:rPr>
          <w:rFonts w:hint="eastAsia" w:asciiTheme="majorEastAsia" w:hAnsiTheme="majorEastAsia" w:eastAsiaTheme="majorEastAsia" w:cstheme="majorEastAsia"/>
          <w:bCs/>
          <w:color w:val="auto"/>
          <w:sz w:val="36"/>
          <w:szCs w:val="36"/>
          <w:highlight w:val="none"/>
        </w:rPr>
      </w:pPr>
    </w:p>
    <w:p w14:paraId="03B410B8">
      <w:pPr>
        <w:pStyle w:val="11"/>
        <w:spacing w:line="360" w:lineRule="auto"/>
        <w:rPr>
          <w:rFonts w:hint="eastAsia" w:asciiTheme="majorEastAsia" w:hAnsiTheme="majorEastAsia" w:eastAsiaTheme="majorEastAsia" w:cstheme="majorEastAsia"/>
          <w:bCs/>
          <w:color w:val="auto"/>
          <w:sz w:val="36"/>
          <w:szCs w:val="36"/>
          <w:highlight w:val="none"/>
        </w:rPr>
      </w:pPr>
    </w:p>
    <w:p w14:paraId="1505B623">
      <w:pPr>
        <w:spacing w:line="360" w:lineRule="auto"/>
        <w:rPr>
          <w:rFonts w:hint="eastAsia" w:asciiTheme="majorEastAsia" w:hAnsiTheme="majorEastAsia" w:eastAsiaTheme="majorEastAsia" w:cstheme="majorEastAsia"/>
          <w:bCs/>
          <w:color w:val="auto"/>
          <w:sz w:val="36"/>
          <w:szCs w:val="36"/>
          <w:highlight w:val="none"/>
        </w:rPr>
      </w:pPr>
    </w:p>
    <w:p w14:paraId="3C5439B0">
      <w:pPr>
        <w:pStyle w:val="11"/>
        <w:spacing w:line="360" w:lineRule="auto"/>
        <w:rPr>
          <w:rFonts w:hint="eastAsia" w:asciiTheme="majorEastAsia" w:hAnsiTheme="majorEastAsia" w:eastAsiaTheme="majorEastAsia" w:cstheme="majorEastAsia"/>
          <w:bCs/>
          <w:color w:val="auto"/>
          <w:sz w:val="36"/>
          <w:szCs w:val="36"/>
          <w:highlight w:val="none"/>
        </w:rPr>
      </w:pPr>
    </w:p>
    <w:p w14:paraId="6994A822">
      <w:pPr>
        <w:spacing w:line="360" w:lineRule="auto"/>
        <w:rPr>
          <w:rFonts w:hint="eastAsia" w:asciiTheme="majorEastAsia" w:hAnsiTheme="majorEastAsia" w:eastAsiaTheme="majorEastAsia" w:cstheme="majorEastAsia"/>
          <w:bCs/>
          <w:color w:val="auto"/>
          <w:sz w:val="36"/>
          <w:szCs w:val="36"/>
          <w:highlight w:val="none"/>
        </w:rPr>
      </w:pPr>
    </w:p>
    <w:p w14:paraId="1096CD74">
      <w:pPr>
        <w:pStyle w:val="11"/>
        <w:spacing w:line="360" w:lineRule="auto"/>
        <w:rPr>
          <w:rFonts w:hint="eastAsia" w:asciiTheme="majorEastAsia" w:hAnsiTheme="majorEastAsia" w:eastAsiaTheme="majorEastAsia" w:cstheme="majorEastAsia"/>
          <w:bCs/>
          <w:color w:val="auto"/>
          <w:sz w:val="36"/>
          <w:szCs w:val="36"/>
          <w:highlight w:val="none"/>
        </w:rPr>
      </w:pPr>
    </w:p>
    <w:p w14:paraId="177DC990">
      <w:pPr>
        <w:spacing w:line="360" w:lineRule="auto"/>
        <w:rPr>
          <w:rFonts w:hint="eastAsia" w:asciiTheme="majorEastAsia" w:hAnsiTheme="majorEastAsia" w:eastAsiaTheme="majorEastAsia" w:cstheme="majorEastAsia"/>
          <w:bCs/>
          <w:color w:val="auto"/>
          <w:sz w:val="36"/>
          <w:szCs w:val="36"/>
          <w:highlight w:val="none"/>
        </w:rPr>
      </w:pPr>
    </w:p>
    <w:p w14:paraId="42FDF57E">
      <w:pPr>
        <w:spacing w:line="360" w:lineRule="auto"/>
        <w:rPr>
          <w:rFonts w:hint="eastAsia" w:asciiTheme="majorEastAsia" w:hAnsiTheme="majorEastAsia" w:eastAsiaTheme="majorEastAsia" w:cstheme="majorEastAsia"/>
          <w:bCs/>
          <w:color w:val="auto"/>
          <w:sz w:val="36"/>
          <w:szCs w:val="36"/>
          <w:highlight w:val="none"/>
        </w:rPr>
      </w:pPr>
    </w:p>
    <w:p w14:paraId="0D3B54FC">
      <w:pPr>
        <w:spacing w:line="360" w:lineRule="auto"/>
        <w:rPr>
          <w:rFonts w:hint="eastAsia" w:asciiTheme="majorEastAsia" w:hAnsiTheme="majorEastAsia" w:eastAsiaTheme="majorEastAsia" w:cstheme="majorEastAsia"/>
          <w:bCs/>
          <w:color w:val="auto"/>
          <w:sz w:val="36"/>
          <w:szCs w:val="36"/>
          <w:highlight w:val="none"/>
        </w:rPr>
      </w:pPr>
    </w:p>
    <w:p w14:paraId="6D96F7C6">
      <w:pPr>
        <w:spacing w:line="360" w:lineRule="auto"/>
        <w:rPr>
          <w:rFonts w:hint="eastAsia" w:asciiTheme="majorEastAsia" w:hAnsiTheme="majorEastAsia" w:eastAsiaTheme="majorEastAsia" w:cstheme="majorEastAsia"/>
          <w:bCs/>
          <w:color w:val="auto"/>
          <w:sz w:val="36"/>
          <w:szCs w:val="36"/>
          <w:highlight w:val="none"/>
        </w:rPr>
      </w:pPr>
    </w:p>
    <w:p w14:paraId="62491813">
      <w:pPr>
        <w:spacing w:line="360" w:lineRule="auto"/>
        <w:rPr>
          <w:rFonts w:hint="eastAsia" w:asciiTheme="majorEastAsia" w:hAnsiTheme="majorEastAsia" w:eastAsiaTheme="majorEastAsia" w:cstheme="majorEastAsia"/>
          <w:bCs/>
          <w:color w:val="auto"/>
          <w:sz w:val="36"/>
          <w:szCs w:val="36"/>
          <w:highlight w:val="none"/>
        </w:rPr>
      </w:pPr>
    </w:p>
    <w:p w14:paraId="590FF9B7">
      <w:pPr>
        <w:spacing w:line="360" w:lineRule="auto"/>
        <w:rPr>
          <w:rFonts w:hint="eastAsia" w:asciiTheme="majorEastAsia" w:hAnsiTheme="majorEastAsia" w:eastAsiaTheme="majorEastAsia" w:cstheme="majorEastAsia"/>
          <w:bCs/>
          <w:color w:val="auto"/>
          <w:sz w:val="36"/>
          <w:szCs w:val="36"/>
          <w:highlight w:val="none"/>
        </w:rPr>
      </w:pPr>
    </w:p>
    <w:bookmarkEnd w:id="10"/>
    <w:bookmarkEnd w:id="11"/>
    <w:bookmarkEnd w:id="12"/>
    <w:bookmarkEnd w:id="13"/>
    <w:bookmarkEnd w:id="14"/>
    <w:bookmarkEnd w:id="15"/>
    <w:p w14:paraId="756F7E06">
      <w:pPr>
        <w:spacing w:before="50" w:line="360" w:lineRule="auto"/>
        <w:jc w:val="center"/>
        <w:rPr>
          <w:rFonts w:hint="eastAsia" w:asciiTheme="majorEastAsia" w:hAnsiTheme="majorEastAsia" w:eastAsiaTheme="majorEastAsia" w:cstheme="majorEastAsia"/>
          <w:b/>
          <w:bCs w:val="0"/>
          <w:color w:val="auto"/>
          <w:sz w:val="36"/>
          <w:szCs w:val="36"/>
          <w:highlight w:val="none"/>
        </w:rPr>
      </w:pPr>
      <w:bookmarkStart w:id="110" w:name="_Toc16938559"/>
      <w:bookmarkStart w:id="111" w:name="_Toc513029243"/>
      <w:bookmarkStart w:id="112" w:name="_Toc20823315"/>
      <w:bookmarkStart w:id="113" w:name="_Toc143763575"/>
      <w:bookmarkStart w:id="114" w:name="_Toc143763574"/>
      <w:r>
        <w:rPr>
          <w:rFonts w:hint="eastAsia" w:asciiTheme="majorEastAsia" w:hAnsiTheme="majorEastAsia" w:eastAsiaTheme="majorEastAsia" w:cstheme="majorEastAsia"/>
          <w:b/>
          <w:bCs w:val="0"/>
          <w:color w:val="auto"/>
          <w:sz w:val="36"/>
          <w:szCs w:val="36"/>
          <w:highlight w:val="none"/>
        </w:rPr>
        <w:t>第三章 合同条款及格式</w:t>
      </w:r>
    </w:p>
    <w:p w14:paraId="7535CAF6">
      <w:pPr>
        <w:spacing w:line="360" w:lineRule="auto"/>
        <w:ind w:firstLine="480" w:firstLineChars="200"/>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以下为中标后签定本项目合同的通用条款，中标人不得提出实质性的修改。</w:t>
      </w:r>
    </w:p>
    <w:p w14:paraId="2BB83BAD">
      <w:pPr>
        <w:snapToGrid w:val="0"/>
        <w:spacing w:before="145" w:beforeLines="50" w:after="145" w:afterLines="50" w:line="360" w:lineRule="auto"/>
        <w:jc w:val="center"/>
        <w:outlineLvl w:val="0"/>
        <w:rPr>
          <w:rFonts w:hint="eastAsia" w:asciiTheme="majorEastAsia" w:hAnsiTheme="majorEastAsia" w:eastAsiaTheme="majorEastAsia" w:cstheme="majorEastAsia"/>
          <w:b/>
          <w:bCs/>
          <w:color w:val="auto"/>
          <w:sz w:val="30"/>
          <w:szCs w:val="20"/>
          <w:highlight w:val="none"/>
        </w:rPr>
      </w:pPr>
      <w:r>
        <w:rPr>
          <w:rFonts w:hint="eastAsia" w:asciiTheme="majorEastAsia" w:hAnsiTheme="majorEastAsia" w:eastAsiaTheme="majorEastAsia" w:cstheme="majorEastAsia"/>
          <w:b/>
          <w:color w:val="auto"/>
          <w:sz w:val="30"/>
          <w:highlight w:val="none"/>
        </w:rPr>
        <w:t>江苏省政府采购合同（服务）</w:t>
      </w:r>
    </w:p>
    <w:p w14:paraId="55D61C83">
      <w:pPr>
        <w:pStyle w:val="36"/>
        <w:spacing w:before="0" w:after="0" w:line="360" w:lineRule="auto"/>
        <w:ind w:firstLineChars="200"/>
        <w:rPr>
          <w:rFonts w:hint="eastAsia" w:asciiTheme="majorEastAsia" w:hAnsiTheme="majorEastAsia" w:eastAsiaTheme="majorEastAsia" w:cstheme="majorEastAsia"/>
          <w:color w:val="auto"/>
          <w:highlight w:val="none"/>
          <w:u w:val="single"/>
          <w:lang w:eastAsia="zh-CN"/>
        </w:rPr>
      </w:pPr>
      <w:r>
        <w:rPr>
          <w:rFonts w:hint="eastAsia" w:asciiTheme="majorEastAsia" w:hAnsiTheme="majorEastAsia" w:eastAsiaTheme="majorEastAsia" w:cstheme="majorEastAsia"/>
          <w:color w:val="auto"/>
          <w:highlight w:val="none"/>
        </w:rPr>
        <w:t>项目名称：</w:t>
      </w:r>
      <w:r>
        <w:rPr>
          <w:rFonts w:hint="eastAsia" w:asciiTheme="majorEastAsia" w:hAnsiTheme="majorEastAsia" w:eastAsiaTheme="majorEastAsia" w:cstheme="majorEastAsia"/>
          <w:color w:val="auto"/>
          <w:highlight w:val="none"/>
          <w:u w:val="single"/>
          <w:lang w:eastAsia="zh-CN"/>
        </w:rPr>
        <w:t>阜宁县2025年农村公路桥梁定期检查和特殊检查项目（二次）</w:t>
      </w:r>
    </w:p>
    <w:p w14:paraId="12109E11">
      <w:pPr>
        <w:pStyle w:val="36"/>
        <w:spacing w:before="0" w:after="0" w:line="360" w:lineRule="auto"/>
        <w:ind w:firstLineChars="2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项目编号：</w:t>
      </w:r>
      <w:r>
        <w:rPr>
          <w:rFonts w:hint="eastAsia" w:asciiTheme="majorEastAsia" w:hAnsiTheme="majorEastAsia" w:eastAsiaTheme="majorEastAsia" w:cstheme="majorEastAsia"/>
          <w:b/>
          <w:color w:val="auto"/>
          <w:kern w:val="0"/>
          <w:sz w:val="24"/>
          <w:szCs w:val="24"/>
          <w:highlight w:val="none"/>
          <w:lang w:eastAsia="zh-CN"/>
        </w:rPr>
        <w:t>JSZC-320923-FNDY-G2025-0002</w:t>
      </w:r>
    </w:p>
    <w:p w14:paraId="228CA8CD">
      <w:pPr>
        <w:widowControl/>
        <w:spacing w:line="360" w:lineRule="auto"/>
        <w:ind w:firstLine="480" w:firstLineChars="20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甲方：（买方）</w:t>
      </w:r>
      <w:r>
        <w:rPr>
          <w:rFonts w:hint="eastAsia" w:asciiTheme="majorEastAsia" w:hAnsiTheme="majorEastAsia" w:eastAsiaTheme="majorEastAsia" w:cstheme="majorEastAsia"/>
          <w:color w:val="auto"/>
          <w:sz w:val="24"/>
          <w:highlight w:val="none"/>
          <w:u w:val="single"/>
          <w:lang w:bidi="ar"/>
        </w:rPr>
        <w:t>阜宁县交通运输局</w:t>
      </w:r>
      <w:r>
        <w:rPr>
          <w:rFonts w:hint="eastAsia" w:asciiTheme="majorEastAsia" w:hAnsiTheme="majorEastAsia" w:eastAsiaTheme="majorEastAsia" w:cstheme="majorEastAsia"/>
          <w:color w:val="auto"/>
          <w:sz w:val="24"/>
          <w:highlight w:val="none"/>
        </w:rPr>
        <w:t>_</w:t>
      </w:r>
    </w:p>
    <w:p w14:paraId="093483E9">
      <w:pPr>
        <w:pStyle w:val="14"/>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乙方：（卖方）</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   </w:t>
      </w:r>
    </w:p>
    <w:p w14:paraId="3EB54767">
      <w:pPr>
        <w:pStyle w:val="14"/>
        <w:snapToGrid w:val="0"/>
        <w:spacing w:line="360" w:lineRule="auto"/>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 xml:space="preserve">    </w:t>
      </w:r>
      <w:r>
        <w:rPr>
          <w:rFonts w:hint="eastAsia" w:asciiTheme="majorEastAsia" w:hAnsiTheme="majorEastAsia" w:eastAsiaTheme="majorEastAsia" w:cstheme="majorEastAsia"/>
          <w:color w:val="auto"/>
          <w:sz w:val="24"/>
          <w:highlight w:val="none"/>
        </w:rPr>
        <w:t>甲、乙双方根据</w:t>
      </w:r>
      <w:r>
        <w:rPr>
          <w:rFonts w:hint="eastAsia" w:asciiTheme="majorEastAsia" w:hAnsiTheme="majorEastAsia" w:eastAsiaTheme="majorEastAsia" w:cstheme="majorEastAsia"/>
          <w:color w:val="auto"/>
          <w:sz w:val="24"/>
          <w:highlight w:val="none"/>
          <w:u w:val="single"/>
          <w:lang w:eastAsia="zh-CN"/>
        </w:rPr>
        <w:t>阜宁县2025年农村公路桥梁定期检查和特殊检查项目（二次）</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项目公开招标的结果，签署本合同。</w:t>
      </w:r>
    </w:p>
    <w:p w14:paraId="4B811861">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一、合同内容</w:t>
      </w:r>
    </w:p>
    <w:p w14:paraId="32911289">
      <w:pPr>
        <w:snapToGrid w:val="0"/>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1.1 标的名称：</w:t>
      </w:r>
      <w:r>
        <w:rPr>
          <w:rFonts w:hint="eastAsia" w:asciiTheme="majorEastAsia" w:hAnsiTheme="majorEastAsia" w:eastAsiaTheme="majorEastAsia" w:cstheme="majorEastAsia"/>
          <w:color w:val="auto"/>
          <w:sz w:val="24"/>
          <w:highlight w:val="none"/>
          <w:lang w:eastAsia="zh-CN"/>
        </w:rPr>
        <w:t>阜宁县2025年农村公路桥梁定期检查和特殊检查项目（二次）</w:t>
      </w:r>
    </w:p>
    <w:p w14:paraId="0280EEAF">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1.2标的质量：乙方出具的成果须符合国家规范标准。</w:t>
      </w:r>
    </w:p>
    <w:p w14:paraId="27516C0B">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1.3 标的数量（规模）：</w:t>
      </w:r>
      <w:r>
        <w:rPr>
          <w:rFonts w:hint="eastAsia" w:asciiTheme="majorEastAsia" w:hAnsiTheme="majorEastAsia" w:eastAsiaTheme="majorEastAsia" w:cstheme="majorEastAsia"/>
          <w:color w:val="auto"/>
          <w:sz w:val="24"/>
          <w:highlight w:val="none"/>
          <w:lang w:eastAsia="zh-CN"/>
        </w:rPr>
        <w:t>阜宁县2025年农村公路桥梁定期检查和特殊检查项目（二次）</w:t>
      </w:r>
      <w:r>
        <w:rPr>
          <w:rFonts w:hint="eastAsia" w:asciiTheme="majorEastAsia" w:hAnsiTheme="majorEastAsia" w:eastAsiaTheme="majorEastAsia" w:cstheme="majorEastAsia"/>
          <w:color w:val="auto"/>
          <w:sz w:val="24"/>
          <w:highlight w:val="none"/>
        </w:rPr>
        <w:t>。</w:t>
      </w:r>
    </w:p>
    <w:p w14:paraId="79AAABE0">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1.4 履行时间（期限）：60日历天，具体时间以招标人通知为准。                          </w:t>
      </w:r>
    </w:p>
    <w:p w14:paraId="2390A4F7">
      <w:pPr>
        <w:pStyle w:val="14"/>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1.5 履行地点：阜宁县</w:t>
      </w:r>
    </w:p>
    <w:p w14:paraId="7F15637B">
      <w:pPr>
        <w:pStyle w:val="14"/>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1.6履行方式：符合招标文件相关要求。</w:t>
      </w:r>
    </w:p>
    <w:p w14:paraId="72965805">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二、合同金额</w:t>
      </w:r>
    </w:p>
    <w:p w14:paraId="0CBBBF37">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2.1本合同总金额(人民币大写)∶</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；(人民币小写)</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w:t>
      </w:r>
    </w:p>
    <w:p w14:paraId="19A35D27">
      <w:pPr>
        <w:pStyle w:val="14"/>
        <w:spacing w:line="360" w:lineRule="auto"/>
        <w:ind w:firstLine="48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2.2项目负责人为</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 ，人员名单详见附件。</w:t>
      </w:r>
    </w:p>
    <w:p w14:paraId="2B394F2D">
      <w:pPr>
        <w:pStyle w:val="14"/>
        <w:spacing w:line="360" w:lineRule="auto"/>
        <w:ind w:firstLine="48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2.3上述金额是乙方对本次采购及其伴随服务各项支付金额的总和。上述金额包括乙方</w:t>
      </w:r>
      <w:r>
        <w:rPr>
          <w:rFonts w:hint="eastAsia" w:asciiTheme="majorEastAsia" w:hAnsiTheme="majorEastAsia" w:eastAsiaTheme="majorEastAsia" w:cstheme="majorEastAsia"/>
          <w:bCs/>
          <w:color w:val="auto"/>
          <w:sz w:val="24"/>
          <w:highlight w:val="none"/>
        </w:rPr>
        <w:t>为完成本项目全部服务内容的全部费用。全费用综合单价主要包括（但不限于）：服务酬金（包含服务人员工资、社会福利费、保险、公司管理费、利润、外勤等特殊津贴费、专业服务人员驻场跟踪服务费、税金等）、可报销费用（指服务人员为执行本项目服务任务而发生的工作费用，包括国际与国内交通费旅行费、食宿费、通讯费、各种资料的编制、打印、复印和传递费、办公设备和用品费、设施费）、材料收集费、调研费、协调费、咨询费、审查费、专家评审费、会务费、出版费、研究费、售后服务、设备投入、管理费、利润、税金、代理费、交易服务费等政策性文件规定的各项所需的全部费用和不可预见费用（指在酬金和可报销费用之外，在执行本项目服务任务的过程中所发生的额外的其他所有费用）</w:t>
      </w:r>
      <w:r>
        <w:rPr>
          <w:rFonts w:hint="eastAsia" w:asciiTheme="majorEastAsia" w:hAnsiTheme="majorEastAsia" w:eastAsiaTheme="majorEastAsia" w:cstheme="majorEastAsia"/>
          <w:color w:val="auto"/>
          <w:sz w:val="24"/>
          <w:highlight w:val="none"/>
        </w:rPr>
        <w:t>。</w:t>
      </w:r>
    </w:p>
    <w:p w14:paraId="509F390E">
      <w:pPr>
        <w:pStyle w:val="14"/>
        <w:spacing w:line="360" w:lineRule="auto"/>
        <w:ind w:firstLine="48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2.4乙方在履行合同过程中,所发生的全部生产、生活费用均由乙方负责。</w:t>
      </w:r>
    </w:p>
    <w:p w14:paraId="075CA169">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三、技术资料</w:t>
      </w:r>
    </w:p>
    <w:p w14:paraId="07A8EC06">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3.1乙方应按招标文件规定的时间向甲方提供服务（包含与服务相关的货物）的有关技术资料。</w:t>
      </w:r>
    </w:p>
    <w:p w14:paraId="76736277">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3.2 没有甲方事先书面同意，乙方不得将由甲方提供的有关数据、文档、图纸、资料及建设工程有关信息提供给与履行本合同无关的任何其他人。即使向履行本合同有关的人员提供，也应注意保密并限于履行合同的必需范围。  </w:t>
      </w:r>
    </w:p>
    <w:p w14:paraId="43956997">
      <w:pPr>
        <w:snapToGrid w:val="0"/>
        <w:spacing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四、知识产权</w:t>
      </w:r>
    </w:p>
    <w:p w14:paraId="56009128">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1.乙方应保证甲方在使用、接受本合同服务（包含与服务相关的货物）或其任何一部分时不受第三方提出侵犯其专利权、版权、商标权和工业设计权等知识产权的起诉。一旦出现侵权，由乙方负全部责任。</w:t>
      </w:r>
    </w:p>
    <w:p w14:paraId="6ECD9A6C">
      <w:pPr>
        <w:spacing w:line="360" w:lineRule="auto"/>
        <w:ind w:firstLine="48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2.乙方在履行本合同服务期间产生的所有知识产权（包括但不限于专利、商标、著作权、商业秘密等），均归甲方所有。甲方有权自行使用、转让、许可第三方使用相关知识产权。</w:t>
      </w:r>
    </w:p>
    <w:p w14:paraId="60AA1AD7">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五、产权担保</w:t>
      </w:r>
    </w:p>
    <w:p w14:paraId="78D4A2D0">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乙方保证所交付的服务（包含与服务相关的货物）的所有权完全属于乙方且无任何抵押、查封等产权瑕疵。</w:t>
      </w:r>
    </w:p>
    <w:p w14:paraId="1076F74F">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 xml:space="preserve">六、合同转包或分包 </w:t>
      </w:r>
    </w:p>
    <w:p w14:paraId="3EFA3AFC">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6.1乙方不得将合同标的转包给他人履行。</w:t>
      </w:r>
    </w:p>
    <w:p w14:paraId="20B5B29C">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6.2乙方如有转包或未经甲方同意的分包行为，甲方有权解除合同。</w:t>
      </w:r>
    </w:p>
    <w:p w14:paraId="7591D513">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七、合同款项支付</w:t>
      </w:r>
    </w:p>
    <w:p w14:paraId="76A821E6">
      <w:pPr>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合同款支付以投标人完成此项工作任务为准，不需精准计量桥梁检查数量。</w:t>
      </w:r>
    </w:p>
    <w:p w14:paraId="2B297941">
      <w:pPr>
        <w:adjustRightInd w:val="0"/>
        <w:snapToGrid w:val="0"/>
        <w:spacing w:line="360" w:lineRule="auto"/>
        <w:ind w:firstLine="480" w:firstLineChars="200"/>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合同签订后，具备服务开工条件，付合同价的30%作为预付款（支付预付款前乙方须提供发票和等价格预付款银行保函），剩余款项待项目完成、提交全部检测报告后付至合同价的70%，待通过省级电子地图系统审核后付清余款。（以上付款均无息）</w:t>
      </w:r>
    </w:p>
    <w:p w14:paraId="711D8076">
      <w:pPr>
        <w:pStyle w:val="14"/>
        <w:snapToGrid w:val="0"/>
        <w:spacing w:before="120" w:after="120" w:line="360" w:lineRule="auto"/>
        <w:ind w:firstLine="480" w:firstLineChars="200"/>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注:在签订合同后，成交人明确表示无需预付款或者主动要求降低预付款比例的金额，采购人可不适用预付款规定。对于满足合同约定支付条件的，自收到发票后将资金支付到合同约定的供应商账户。</w:t>
      </w:r>
    </w:p>
    <w:p w14:paraId="13D62482">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八、税费</w:t>
      </w:r>
    </w:p>
    <w:p w14:paraId="19434999">
      <w:pPr>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w:t>
      </w:r>
      <w:r>
        <w:rPr>
          <w:rFonts w:hint="eastAsia" w:asciiTheme="majorEastAsia" w:hAnsiTheme="majorEastAsia" w:eastAsiaTheme="majorEastAsia" w:cstheme="majorEastAsia"/>
          <w:color w:val="auto"/>
          <w:sz w:val="24"/>
          <w:highlight w:val="none"/>
        </w:rPr>
        <w:tab/>
      </w:r>
      <w:r>
        <w:rPr>
          <w:rFonts w:hint="eastAsia" w:asciiTheme="majorEastAsia" w:hAnsiTheme="majorEastAsia" w:eastAsiaTheme="majorEastAsia" w:cstheme="majorEastAsia"/>
          <w:color w:val="auto"/>
          <w:sz w:val="24"/>
          <w:highlight w:val="none"/>
        </w:rPr>
        <w:t xml:space="preserve"> 1.中国政府根据现行税法规定对乙方征收的、与本合同有关的一切税费，均由乙方负担。</w:t>
      </w:r>
    </w:p>
    <w:p w14:paraId="456B392A">
      <w:pPr>
        <w:spacing w:line="360" w:lineRule="auto"/>
        <w:ind w:left="420" w:left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2.在中国境外发生的与本合同执行过程的一切税费由乙方负担。</w:t>
      </w:r>
    </w:p>
    <w:p w14:paraId="3D7CDE25">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九、项目验收</w:t>
      </w:r>
    </w:p>
    <w:p w14:paraId="7A62FBC4">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9.1 甲方依法组织履约验收工作。</w:t>
      </w:r>
    </w:p>
    <w:p w14:paraId="42619599">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4B4F11D">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9.3 对于实际使用人和甲方分离的项目，甲方邀请实际使用人参与验收。</w:t>
      </w:r>
    </w:p>
    <w:p w14:paraId="1C92B9E8">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9.4 如有必要，甲方邀请参加本项目的其他供应商或第三方专业机构及专家参与验收，相关意见将作为验收书的参考资料。</w:t>
      </w:r>
    </w:p>
    <w:p w14:paraId="43F2C0FD">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2E27D3B">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5EB19AC">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十、违约责任</w:t>
      </w:r>
    </w:p>
    <w:p w14:paraId="3744C223">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非甲方原因导致乙方逾期交付服务成果的，每逾期 1 天按本合同总金额的 1‰向甲方支付违约金，并赔偿甲方因此造成的全部损失。逾期 90 日仍未能完成约定的工作的或乙方累计3次逾期完成约定工作的，甲方有权解除合同；因此导致合同解除的，乙方应当立即归还已收到的甲方款项及甲方的全部资料，逾期归还的，每逾期1天按本合同总金额的 1‰向甲方支付违约金。</w:t>
      </w:r>
      <w:bookmarkStart w:id="115" w:name="page25"/>
      <w:bookmarkEnd w:id="115"/>
    </w:p>
    <w:p w14:paraId="63D88CB5">
      <w:pPr>
        <w:spacing w:line="360" w:lineRule="auto"/>
        <w:ind w:firstLine="482"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auto"/>
          <w:sz w:val="24"/>
          <w:highlight w:val="none"/>
        </w:rPr>
        <w:t>十一、</w:t>
      </w:r>
      <w:r>
        <w:rPr>
          <w:rFonts w:hint="eastAsia" w:asciiTheme="majorEastAsia" w:hAnsiTheme="majorEastAsia" w:eastAsiaTheme="majorEastAsia" w:cstheme="majorEastAsia"/>
          <w:b/>
          <w:bCs/>
          <w:color w:val="auto"/>
          <w:sz w:val="24"/>
          <w:highlight w:val="none"/>
        </w:rPr>
        <w:t>索赔</w:t>
      </w:r>
    </w:p>
    <w:p w14:paraId="059AED59">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根据合同规定的质量保证期内，如果乙方对甲方提出的索赔负有责任，乙方应按照甲方同意的下列一种或多种方式解决索赔事宜：</w:t>
      </w:r>
    </w:p>
    <w:p w14:paraId="239030E5">
      <w:pPr>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（1）根据服务的低劣程度以及甲方所遭受损失的数额，乙方必须按甲方所能接受的数额，降低服务的价格；</w:t>
      </w:r>
    </w:p>
    <w:p w14:paraId="6DB0988E">
      <w:pPr>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w:t>
      </w:r>
      <w:r>
        <w:rPr>
          <w:rFonts w:hint="eastAsia" w:asciiTheme="majorEastAsia" w:hAnsiTheme="majorEastAsia" w:eastAsiaTheme="majorEastAsia" w:cstheme="majorEastAsia"/>
          <w:color w:val="auto"/>
          <w:sz w:val="24"/>
          <w:highlight w:val="none"/>
        </w:rPr>
        <w:tab/>
      </w:r>
      <w:r>
        <w:rPr>
          <w:rFonts w:hint="eastAsia" w:asciiTheme="majorEastAsia" w:hAnsiTheme="majorEastAsia" w:eastAsiaTheme="majorEastAsia" w:cstheme="majorEastAsia"/>
          <w:color w:val="auto"/>
          <w:sz w:val="24"/>
          <w:highlight w:val="none"/>
        </w:rPr>
        <w:t>（2）如果在甲方发出索赔通知后20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Theme="majorEastAsia" w:hAnsiTheme="majorEastAsia" w:eastAsiaTheme="majorEastAsia" w:cstheme="majorEastAsia"/>
          <w:b/>
          <w:color w:val="auto"/>
          <w:sz w:val="24"/>
          <w:highlight w:val="none"/>
        </w:rPr>
        <w:t xml:space="preserve"> </w:t>
      </w:r>
    </w:p>
    <w:p w14:paraId="2AD977D9">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十二、不可抗力事件处理</w:t>
      </w:r>
    </w:p>
    <w:p w14:paraId="73D787D6">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12.1 在合同有效期内，任何一方因不可抗力事件导致不能履行合同，则合同履行期可延长，其延长期与不可抗力影响期相同。</w:t>
      </w:r>
    </w:p>
    <w:p w14:paraId="2E830BF0">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12.2 不可抗力事件发生后，应立即通知对方，并寄送有关权威机构出具的证明。</w:t>
      </w:r>
    </w:p>
    <w:p w14:paraId="746DBEF1">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12.3 不可抗力事件延续120天以上，双方应通过友好协商，确定是否继续履行合同。</w:t>
      </w:r>
    </w:p>
    <w:p w14:paraId="31430BB4">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十三、解决争议的方法</w:t>
      </w:r>
    </w:p>
    <w:p w14:paraId="7424BE72">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13.1双方在签订、履行合同中所发生的一切争议，应通过友好协商解决。如协商不成，由甲方住所地人民法院管辖。</w:t>
      </w:r>
    </w:p>
    <w:p w14:paraId="40AB153F">
      <w:pPr>
        <w:pStyle w:val="14"/>
        <w:snapToGrid w:val="0"/>
        <w:spacing w:before="120" w:after="120"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十四、合同生效及其他</w:t>
      </w:r>
    </w:p>
    <w:p w14:paraId="7E5AF936">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14.1 合同经双方法定代表人或授权委托代表人签字并加盖单位公章后生效。</w:t>
      </w:r>
    </w:p>
    <w:p w14:paraId="031778F8">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14.2本合同未尽事宜，遵照《中华人民共和国民法典》《中华人民共和国政府采购法》有关条文执行。</w:t>
      </w:r>
    </w:p>
    <w:p w14:paraId="36886862">
      <w:pPr>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14.3 本合同一式捌份，具有同等法律效力，甲方、乙方各执叁份，政府采购监管部门执贰份。</w:t>
      </w:r>
    </w:p>
    <w:p w14:paraId="7EFAAB06">
      <w:pPr>
        <w:pStyle w:val="11"/>
        <w:spacing w:line="360" w:lineRule="auto"/>
        <w:rPr>
          <w:rFonts w:hint="eastAsia"/>
          <w:color w:val="auto"/>
          <w:highlight w:val="none"/>
        </w:rPr>
      </w:pPr>
    </w:p>
    <w:p w14:paraId="274AF0C1">
      <w:pPr>
        <w:pStyle w:val="14"/>
        <w:snapToGrid w:val="0"/>
        <w:spacing w:before="120" w:after="120" w:line="360" w:lineRule="auto"/>
        <w:ind w:left="479" w:leftChars="114" w:hanging="240" w:hangingChars="1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甲方：                        </w:t>
      </w: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 xml:space="preserve">乙方： </w:t>
      </w:r>
    </w:p>
    <w:p w14:paraId="0102EC11">
      <w:pPr>
        <w:pStyle w:val="14"/>
        <w:snapToGrid w:val="0"/>
        <w:spacing w:before="120" w:after="120"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地址：                        </w:t>
      </w: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 xml:space="preserve">地址： </w:t>
      </w:r>
    </w:p>
    <w:p w14:paraId="6826F462">
      <w:pPr>
        <w:pStyle w:val="14"/>
        <w:snapToGrid w:val="0"/>
        <w:spacing w:before="120" w:after="120"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法定代表人                    </w:t>
      </w: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法定代表人</w:t>
      </w:r>
    </w:p>
    <w:p w14:paraId="397A33E3">
      <w:pPr>
        <w:pStyle w:val="14"/>
        <w:snapToGrid w:val="0"/>
        <w:spacing w:before="120" w:after="120" w:line="360" w:lineRule="auto"/>
        <w:ind w:firstLine="240" w:firstLineChars="1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或授权代表：（签字）          </w:t>
      </w: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或授权代表：（签字）</w:t>
      </w:r>
    </w:p>
    <w:p w14:paraId="20255A11">
      <w:pPr>
        <w:pStyle w:val="14"/>
        <w:snapToGrid w:val="0"/>
        <w:spacing w:before="120" w:after="120" w:line="360" w:lineRule="auto"/>
        <w:ind w:firstLine="240" w:firstLineChars="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highlight w:val="none"/>
        </w:rPr>
        <w:t xml:space="preserve">联系电话：                    </w:t>
      </w: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 xml:space="preserve">联系电话：          </w:t>
      </w:r>
    </w:p>
    <w:p w14:paraId="11FBED75">
      <w:pPr>
        <w:spacing w:line="360" w:lineRule="auto"/>
        <w:rPr>
          <w:rFonts w:hint="eastAsia" w:asciiTheme="majorEastAsia" w:hAnsiTheme="majorEastAsia" w:eastAsiaTheme="majorEastAsia" w:cstheme="majorEastAsia"/>
          <w:color w:val="auto"/>
          <w:kern w:val="2"/>
          <w:sz w:val="24"/>
          <w:szCs w:val="21"/>
          <w:highlight w:val="none"/>
          <w:lang w:val="en-US" w:eastAsia="zh-CN" w:bidi="ar-SA"/>
        </w:rPr>
      </w:pPr>
      <w:r>
        <w:rPr>
          <w:rFonts w:hint="eastAsia" w:asciiTheme="majorEastAsia" w:hAnsiTheme="majorEastAsia" w:eastAsiaTheme="majorEastAsia" w:cstheme="majorEastAsia"/>
          <w:color w:val="auto"/>
          <w:highlight w:val="none"/>
        </w:rPr>
        <w:t xml:space="preserve">                                         </w:t>
      </w:r>
      <w:r>
        <w:rPr>
          <w:rFonts w:hint="eastAsia" w:asciiTheme="majorEastAsia" w:hAnsiTheme="majorEastAsia" w:eastAsiaTheme="majorEastAsia" w:cstheme="majorEastAsia"/>
          <w:color w:val="auto"/>
          <w:kern w:val="2"/>
          <w:sz w:val="24"/>
          <w:szCs w:val="21"/>
          <w:highlight w:val="none"/>
          <w:lang w:val="en-US" w:eastAsia="zh-CN" w:bidi="ar-SA"/>
        </w:rPr>
        <w:t xml:space="preserve"> 签订日期：      年    月   日</w:t>
      </w:r>
      <w:bookmarkEnd w:id="110"/>
      <w:bookmarkEnd w:id="111"/>
      <w:bookmarkEnd w:id="112"/>
    </w:p>
    <w:p w14:paraId="47965FB5">
      <w:pPr>
        <w:spacing w:line="360" w:lineRule="auto"/>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附件二 廉政合同</w:t>
      </w:r>
    </w:p>
    <w:p w14:paraId="6EE26D28">
      <w:pPr>
        <w:spacing w:line="360" w:lineRule="auto"/>
        <w:rPr>
          <w:rFonts w:hint="eastAsia" w:asciiTheme="majorEastAsia" w:hAnsiTheme="majorEastAsia" w:eastAsiaTheme="majorEastAsia" w:cstheme="majorEastAsia"/>
          <w:color w:val="auto"/>
          <w:highlight w:val="none"/>
        </w:rPr>
      </w:pPr>
    </w:p>
    <w:p w14:paraId="7F827F87">
      <w:pPr>
        <w:spacing w:line="360" w:lineRule="auto"/>
        <w:jc w:val="cente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廉 政 合 同</w:t>
      </w:r>
    </w:p>
    <w:p w14:paraId="4C6362BE">
      <w:pPr>
        <w:spacing w:line="360" w:lineRule="auto"/>
        <w:rPr>
          <w:rFonts w:hint="eastAsia" w:asciiTheme="majorEastAsia" w:hAnsiTheme="majorEastAsia" w:eastAsiaTheme="majorEastAsia" w:cstheme="majorEastAsia"/>
          <w:color w:val="auto"/>
          <w:highlight w:val="none"/>
        </w:rPr>
      </w:pPr>
    </w:p>
    <w:p w14:paraId="1BCFE0E0">
      <w:pPr>
        <w:tabs>
          <w:tab w:val="left" w:pos="3024"/>
          <w:tab w:val="left" w:pos="6896"/>
        </w:tabs>
        <w:spacing w:before="26" w:after="120" w:line="360" w:lineRule="auto"/>
        <w:ind w:right="140" w:firstLine="616"/>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pacing w:val="-3"/>
          <w:sz w:val="24"/>
          <w:szCs w:val="24"/>
          <w:highlight w:val="none"/>
        </w:rPr>
        <w:t>根据《关于在交通基础设施建设中加强廉政建设的若干意见》以及有关工程建</w:t>
      </w:r>
      <w:r>
        <w:rPr>
          <w:rFonts w:hint="eastAsia" w:asciiTheme="majorEastAsia" w:hAnsiTheme="majorEastAsia" w:eastAsiaTheme="majorEastAsia" w:cstheme="majorEastAsia"/>
          <w:color w:val="auto"/>
          <w:spacing w:val="-6"/>
          <w:sz w:val="24"/>
          <w:szCs w:val="24"/>
          <w:highlight w:val="none"/>
        </w:rPr>
        <w:t>设、廉政建设的规定，为做好工程建设中的党风廉政建设，保证工程建设高效优质，</w:t>
      </w:r>
      <w:r>
        <w:rPr>
          <w:rFonts w:hint="eastAsia" w:asciiTheme="majorEastAsia" w:hAnsiTheme="majorEastAsia" w:eastAsiaTheme="majorEastAsia" w:cstheme="majorEastAsia"/>
          <w:color w:val="auto"/>
          <w:spacing w:val="-105"/>
          <w:sz w:val="24"/>
          <w:szCs w:val="24"/>
          <w:highlight w:val="none"/>
        </w:rPr>
        <w:t xml:space="preserve"> </w:t>
      </w:r>
      <w:r>
        <w:rPr>
          <w:rFonts w:hint="eastAsia" w:asciiTheme="majorEastAsia" w:hAnsiTheme="majorEastAsia" w:eastAsiaTheme="majorEastAsia" w:cstheme="majorEastAsia"/>
          <w:color w:val="auto"/>
          <w:sz w:val="24"/>
          <w:szCs w:val="24"/>
          <w:highlight w:val="none"/>
        </w:rPr>
        <w:t>保证建设资金的安全和有效使用以及投资效益，</w:t>
      </w:r>
      <w:r>
        <w:rPr>
          <w:rFonts w:hint="eastAsia" w:asciiTheme="majorEastAsia" w:hAnsiTheme="majorEastAsia" w:eastAsiaTheme="majorEastAsia" w:cstheme="majorEastAsia"/>
          <w:color w:val="auto"/>
          <w:spacing w:val="-1"/>
          <w:sz w:val="24"/>
          <w:szCs w:val="24"/>
          <w:highlight w:val="none"/>
          <w:u w:val="single" w:color="000000"/>
        </w:rPr>
        <w:tab/>
      </w:r>
      <w:r>
        <w:rPr>
          <w:rFonts w:hint="eastAsia" w:asciiTheme="majorEastAsia" w:hAnsiTheme="majorEastAsia" w:eastAsiaTheme="majorEastAsia" w:cstheme="majorEastAsia"/>
          <w:color w:val="auto"/>
          <w:spacing w:val="-1"/>
          <w:sz w:val="24"/>
          <w:szCs w:val="24"/>
          <w:highlight w:val="none"/>
          <w:u w:val="single" w:color="000000"/>
        </w:rPr>
        <w:t xml:space="preserve">               </w:t>
      </w:r>
      <w:r>
        <w:rPr>
          <w:rFonts w:hint="eastAsia" w:asciiTheme="majorEastAsia" w:hAnsiTheme="majorEastAsia" w:eastAsiaTheme="majorEastAsia" w:cstheme="majorEastAsia"/>
          <w:color w:val="auto"/>
          <w:sz w:val="24"/>
          <w:szCs w:val="24"/>
          <w:highlight w:val="none"/>
        </w:rPr>
        <w:t>（项目名称）的项</w:t>
      </w:r>
      <w:r>
        <w:rPr>
          <w:rFonts w:hint="eastAsia" w:asciiTheme="majorEastAsia" w:hAnsiTheme="majorEastAsia" w:eastAsiaTheme="majorEastAsia" w:cstheme="majorEastAsia"/>
          <w:color w:val="auto"/>
          <w:spacing w:val="-116"/>
          <w:sz w:val="24"/>
          <w:szCs w:val="24"/>
          <w:highlight w:val="none"/>
        </w:rPr>
        <w:t xml:space="preserve"> </w:t>
      </w:r>
      <w:r>
        <w:rPr>
          <w:rFonts w:hint="eastAsia" w:asciiTheme="majorEastAsia" w:hAnsiTheme="majorEastAsia" w:eastAsiaTheme="majorEastAsia" w:cstheme="majorEastAsia"/>
          <w:color w:val="auto"/>
          <w:sz w:val="24"/>
          <w:szCs w:val="24"/>
          <w:highlight w:val="none"/>
        </w:rPr>
        <w:t>目法人</w:t>
      </w:r>
      <w:r>
        <w:rPr>
          <w:rFonts w:hint="eastAsia" w:asciiTheme="majorEastAsia" w:hAnsiTheme="majorEastAsia" w:eastAsiaTheme="majorEastAsia" w:cstheme="majorEastAsia"/>
          <w:color w:val="auto"/>
          <w:spacing w:val="-1"/>
          <w:sz w:val="24"/>
          <w:szCs w:val="24"/>
          <w:highlight w:val="none"/>
          <w:u w:val="single" w:color="000000"/>
        </w:rPr>
        <w:t xml:space="preserve">                 </w:t>
      </w:r>
      <w:r>
        <w:rPr>
          <w:rFonts w:hint="eastAsia" w:asciiTheme="majorEastAsia" w:hAnsiTheme="majorEastAsia" w:eastAsiaTheme="majorEastAsia" w:cstheme="majorEastAsia"/>
          <w:color w:val="auto"/>
          <w:sz w:val="24"/>
          <w:szCs w:val="24"/>
          <w:highlight w:val="none"/>
        </w:rPr>
        <w:t>（项目法人名称，以下简称“甲方”）与该项目的技术服务单位</w:t>
      </w:r>
      <w:r>
        <w:rPr>
          <w:rFonts w:hint="eastAsia" w:asciiTheme="majorEastAsia" w:hAnsiTheme="majorEastAsia" w:eastAsiaTheme="majorEastAsia" w:cstheme="majorEastAsia"/>
          <w:color w:val="auto"/>
          <w:spacing w:val="-1"/>
          <w:sz w:val="24"/>
          <w:szCs w:val="24"/>
          <w:highlight w:val="none"/>
          <w:u w:val="single" w:color="000000"/>
        </w:rPr>
        <w:tab/>
      </w:r>
      <w:r>
        <w:rPr>
          <w:rFonts w:hint="eastAsia" w:asciiTheme="majorEastAsia" w:hAnsiTheme="majorEastAsia" w:eastAsiaTheme="majorEastAsia" w:cstheme="majorEastAsia"/>
          <w:color w:val="auto"/>
          <w:spacing w:val="-1"/>
          <w:sz w:val="24"/>
          <w:szCs w:val="24"/>
          <w:highlight w:val="none"/>
          <w:u w:val="single" w:color="000000"/>
        </w:rPr>
        <w:t xml:space="preserve">               </w:t>
      </w:r>
      <w:r>
        <w:rPr>
          <w:rFonts w:hint="eastAsia" w:asciiTheme="majorEastAsia" w:hAnsiTheme="majorEastAsia" w:eastAsiaTheme="majorEastAsia" w:cstheme="majorEastAsia"/>
          <w:color w:val="auto"/>
          <w:spacing w:val="-7"/>
          <w:sz w:val="24"/>
          <w:szCs w:val="24"/>
          <w:highlight w:val="none"/>
        </w:rPr>
        <w:t>（技术服务单位名称，以下简称“乙方”），特订立如下</w:t>
      </w:r>
      <w:r>
        <w:rPr>
          <w:rFonts w:hint="eastAsia" w:asciiTheme="majorEastAsia" w:hAnsiTheme="majorEastAsia" w:eastAsiaTheme="majorEastAsia" w:cstheme="majorEastAsia"/>
          <w:color w:val="auto"/>
          <w:spacing w:val="-98"/>
          <w:sz w:val="24"/>
          <w:szCs w:val="24"/>
          <w:highlight w:val="none"/>
        </w:rPr>
        <w:t xml:space="preserve"> </w:t>
      </w:r>
      <w:r>
        <w:rPr>
          <w:rFonts w:hint="eastAsia" w:asciiTheme="majorEastAsia" w:hAnsiTheme="majorEastAsia" w:eastAsiaTheme="majorEastAsia" w:cstheme="majorEastAsia"/>
          <w:color w:val="auto"/>
          <w:sz w:val="24"/>
          <w:szCs w:val="24"/>
          <w:highlight w:val="none"/>
        </w:rPr>
        <w:t>合同。</w:t>
      </w:r>
    </w:p>
    <w:p w14:paraId="10F2C0A7">
      <w:pPr>
        <w:spacing w:before="26" w:after="120"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  甲方和乙方双方的权利和义务</w:t>
      </w:r>
    </w:p>
    <w:p w14:paraId="4BD580E3">
      <w:pPr>
        <w:spacing w:before="68" w:after="120"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（1）严格遵守党的政策规定和国家有关法律法规及交通运输部的有关规定。</w:t>
      </w:r>
    </w:p>
    <w:p w14:paraId="58BE6379">
      <w:pPr>
        <w:tabs>
          <w:tab w:val="left" w:pos="3408"/>
        </w:tabs>
        <w:spacing w:before="66" w:after="120" w:line="360" w:lineRule="auto"/>
        <w:ind w:right="143"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（2）严格执行</w:t>
      </w:r>
      <w:r>
        <w:rPr>
          <w:rFonts w:hint="eastAsia" w:asciiTheme="majorEastAsia" w:hAnsiTheme="majorEastAsia" w:eastAsiaTheme="majorEastAsia" w:cstheme="majorEastAsia"/>
          <w:color w:val="auto"/>
          <w:spacing w:val="-1"/>
          <w:sz w:val="24"/>
          <w:szCs w:val="24"/>
          <w:highlight w:val="none"/>
          <w:u w:val="single" w:color="000000"/>
        </w:rPr>
        <w:tab/>
      </w:r>
      <w:r>
        <w:rPr>
          <w:rFonts w:hint="eastAsia" w:asciiTheme="majorEastAsia" w:hAnsiTheme="majorEastAsia" w:eastAsiaTheme="majorEastAsia" w:cstheme="majorEastAsia"/>
          <w:color w:val="auto"/>
          <w:spacing w:val="-1"/>
          <w:sz w:val="24"/>
          <w:szCs w:val="24"/>
          <w:highlight w:val="none"/>
          <w:u w:val="single" w:color="000000"/>
        </w:rPr>
        <w:t xml:space="preserve">               </w:t>
      </w:r>
      <w:r>
        <w:rPr>
          <w:rFonts w:hint="eastAsia" w:asciiTheme="majorEastAsia" w:hAnsiTheme="majorEastAsia" w:eastAsiaTheme="majorEastAsia" w:cstheme="majorEastAsia"/>
          <w:color w:val="auto"/>
          <w:sz w:val="24"/>
          <w:szCs w:val="24"/>
          <w:highlight w:val="none"/>
        </w:rPr>
        <w:t>（项目名称）合同文件，自觉按合同办事。</w:t>
      </w:r>
    </w:p>
    <w:p w14:paraId="1AFAFF16">
      <w:pPr>
        <w:spacing w:before="36" w:after="120" w:line="360" w:lineRule="auto"/>
        <w:ind w:right="145"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（3）双方的业务活动坚持公开、公正、诚信、透明的原则（法律认定的商业</w:t>
      </w:r>
      <w:r>
        <w:rPr>
          <w:rFonts w:hint="eastAsia" w:asciiTheme="majorEastAsia" w:hAnsiTheme="majorEastAsia" w:eastAsiaTheme="majorEastAsia" w:cstheme="majorEastAsia"/>
          <w:color w:val="auto"/>
          <w:spacing w:val="-6"/>
          <w:sz w:val="24"/>
          <w:szCs w:val="24"/>
          <w:highlight w:val="none"/>
        </w:rPr>
        <w:t>秘密和合同文件另有规定除外），不得损害国家和集体利益，不得违反工程建设管理</w:t>
      </w:r>
      <w:r>
        <w:rPr>
          <w:rFonts w:hint="eastAsia" w:asciiTheme="majorEastAsia" w:hAnsiTheme="majorEastAsia" w:eastAsiaTheme="majorEastAsia" w:cstheme="majorEastAsia"/>
          <w:color w:val="auto"/>
          <w:spacing w:val="-105"/>
          <w:sz w:val="24"/>
          <w:szCs w:val="24"/>
          <w:highlight w:val="none"/>
        </w:rPr>
        <w:t xml:space="preserve"> </w:t>
      </w:r>
      <w:r>
        <w:rPr>
          <w:rFonts w:hint="eastAsia" w:asciiTheme="majorEastAsia" w:hAnsiTheme="majorEastAsia" w:eastAsiaTheme="majorEastAsia" w:cstheme="majorEastAsia"/>
          <w:color w:val="auto"/>
          <w:sz w:val="24"/>
          <w:szCs w:val="24"/>
          <w:highlight w:val="none"/>
        </w:rPr>
        <w:t>规章制度。</w:t>
      </w:r>
    </w:p>
    <w:p w14:paraId="2A18B893">
      <w:pPr>
        <w:spacing w:before="29" w:after="120" w:line="360" w:lineRule="auto"/>
        <w:ind w:right="150"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（4）建立健全廉政制度，开展廉政教育，设立廉政告示牌，公布举报电话，监督并认真查处违法违纪行为。</w:t>
      </w:r>
    </w:p>
    <w:p w14:paraId="116DA11E">
      <w:pPr>
        <w:spacing w:before="38" w:after="120" w:line="360" w:lineRule="auto"/>
        <w:ind w:right="150"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（5）发现对方在业务活动中有违反廉政规定的行为，有及时提醒对方纠正的权利和义务。</w:t>
      </w:r>
    </w:p>
    <w:p w14:paraId="35CABAD7">
      <w:pPr>
        <w:spacing w:before="34" w:after="120" w:line="360" w:lineRule="auto"/>
        <w:ind w:right="150"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（6）发现对方严重违反本合同义务条款的行为，有向其上级有关部门举报、建议给予处理并要求告知处理结果的权利。</w:t>
      </w:r>
    </w:p>
    <w:p w14:paraId="3D6E93C3">
      <w:pPr>
        <w:spacing w:line="360" w:lineRule="auto"/>
        <w:ind w:firstLine="435"/>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2、甲方必须履行的责任和义务</w:t>
      </w:r>
    </w:p>
    <w:p w14:paraId="56276885">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（1）甲方及其工作人员不得索要或接受乙方的礼金、有价证券和贵重物品，不得在乙方报销任何应由甲方或甲方工作人员个人支付的费用等, 甲方及其工作人员不得与乙方发生其他经济往来。</w:t>
      </w:r>
    </w:p>
    <w:p w14:paraId="40E19780">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（2）甲方工作人员不得参加乙方安排的超标准宴请和娱乐活动；不得接受乙方提供的通讯工具、交通工具和高档办公用品等。</w:t>
      </w:r>
    </w:p>
    <w:p w14:paraId="297DD388">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（3）甲方及其工作人员不得要求或者接受乙方为其住房装修、婚丧嫁娶活动、配偶子女及其亲属的工作安排以及出国出境、旅游等提供方便等。</w:t>
      </w:r>
    </w:p>
    <w:p w14:paraId="5B28CD90">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（4）甲方工作人员的配偶、子女、亲属不得从事与甲方工程合同项目有关的材料设备供应、工程分包、劳务等经济活动等。</w:t>
      </w:r>
    </w:p>
    <w:p w14:paraId="47630041">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(5)甲方及其工作人员不得以任何理由向乙方推荐分包单位，不得要求乙方购买合同项目规定外的材料和设备。</w:t>
      </w:r>
    </w:p>
    <w:p w14:paraId="3C0D8984">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3、乙方必须履行责任的义务</w:t>
      </w:r>
    </w:p>
    <w:p w14:paraId="6E6166DD">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（1）乙方不得以任何理由向甲方及其工作人员行贿或馈赠礼金、有价证劵、贵重礼品。乙方不得与甲方及其工作人员发生其他经济往来。 </w:t>
      </w:r>
    </w:p>
    <w:p w14:paraId="29B42B4A">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（2）乙方不得以任何名义为甲方及其工作人员报销应由甲方单位或个人支付的任何费用。</w:t>
      </w:r>
    </w:p>
    <w:p w14:paraId="7FED8B39">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（3）乙方不得以任何理由安排甲方工作人员参加超标准宴请及娱乐活动。</w:t>
      </w:r>
    </w:p>
    <w:p w14:paraId="570305A3">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（4）乙方不得为甲方单位和个人购置或提供通讯工具、交通工具和高档办公用品等。</w:t>
      </w:r>
    </w:p>
    <w:p w14:paraId="29FC28D7">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4、责任追究</w:t>
      </w:r>
    </w:p>
    <w:p w14:paraId="49B785CA">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（1）甲方及其工作人员违反本告知书一、二条的，按管理权限，依据有关规定给予党纪、政纪或组织处理；涉嫌犯罪的，移交司法机关追究刑事责任；给乙方单位造成经济损失的，应予以赔偿。</w:t>
      </w:r>
    </w:p>
    <w:p w14:paraId="20946D60">
      <w:pPr>
        <w:spacing w:line="360" w:lineRule="auto"/>
        <w:ind w:firstLine="435"/>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乙方及其工作人员违反本告知书一、三条的，按管理权限，依据有关规定，给予党纪、政纪或组织处理；给甲方单位造成经济损失的，应予以赔偿；情节严重的，甲方建议交通工程建设主管部门给予乙方一年至三年内不得进入其主管的交通工程建设市场的处罚。</w:t>
      </w:r>
    </w:p>
    <w:p w14:paraId="7934D14A">
      <w:pPr>
        <w:spacing w:before="24" w:after="120" w:line="360" w:lineRule="auto"/>
        <w:ind w:right="225" w:firstLine="616"/>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p>
    <w:p w14:paraId="7A4E06C8">
      <w:pPr>
        <w:spacing w:before="26" w:after="120" w:line="360" w:lineRule="auto"/>
        <w:ind w:right="224" w:firstLine="720" w:firstLineChars="3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 本合同有效期为合同双方签署之日起至服务合同失效日止。</w:t>
      </w:r>
    </w:p>
    <w:p w14:paraId="1E670D16">
      <w:pPr>
        <w:tabs>
          <w:tab w:val="left" w:pos="3372"/>
        </w:tabs>
        <w:spacing w:before="68" w:after="120" w:line="360" w:lineRule="auto"/>
        <w:ind w:right="220" w:firstLine="720" w:firstLineChars="3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 本合同作为</w:t>
      </w:r>
      <w:r>
        <w:rPr>
          <w:rFonts w:hint="eastAsia" w:asciiTheme="majorEastAsia" w:hAnsiTheme="majorEastAsia" w:eastAsiaTheme="majorEastAsia" w:cstheme="majorEastAsia"/>
          <w:color w:val="auto"/>
          <w:spacing w:val="-1"/>
          <w:sz w:val="24"/>
          <w:szCs w:val="24"/>
          <w:highlight w:val="none"/>
          <w:u w:val="single" w:color="000000"/>
        </w:rPr>
        <w:tab/>
      </w:r>
      <w:r>
        <w:rPr>
          <w:rFonts w:hint="eastAsia" w:asciiTheme="majorEastAsia" w:hAnsiTheme="majorEastAsia" w:eastAsiaTheme="majorEastAsia" w:cstheme="majorEastAsia"/>
          <w:color w:val="auto"/>
          <w:spacing w:val="-1"/>
          <w:sz w:val="24"/>
          <w:szCs w:val="24"/>
          <w:highlight w:val="none"/>
          <w:u w:val="single" w:color="000000"/>
        </w:rPr>
        <w:t xml:space="preserve">               </w:t>
      </w:r>
      <w:r>
        <w:rPr>
          <w:rFonts w:hint="eastAsia" w:asciiTheme="majorEastAsia" w:hAnsiTheme="majorEastAsia" w:eastAsiaTheme="majorEastAsia" w:cstheme="majorEastAsia"/>
          <w:color w:val="auto"/>
          <w:sz w:val="24"/>
          <w:szCs w:val="24"/>
          <w:highlight w:val="none"/>
          <w:u w:val="single" w:color="000000"/>
        </w:rPr>
        <w:t>项目</w:t>
      </w:r>
      <w:r>
        <w:rPr>
          <w:rFonts w:hint="eastAsia" w:asciiTheme="majorEastAsia" w:hAnsiTheme="majorEastAsia" w:eastAsiaTheme="majorEastAsia" w:cstheme="majorEastAsia"/>
          <w:color w:val="auto"/>
          <w:sz w:val="24"/>
          <w:szCs w:val="24"/>
          <w:highlight w:val="none"/>
        </w:rPr>
        <w:t>合同的附件，与服务合同具有同等的法律效力，经合同双方签署后立即生效。</w:t>
      </w:r>
    </w:p>
    <w:p w14:paraId="726DC427">
      <w:pPr>
        <w:spacing w:line="360" w:lineRule="auto"/>
        <w:ind w:firstLine="720" w:firstLineChars="3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 本</w:t>
      </w:r>
      <w:r>
        <w:rPr>
          <w:rFonts w:hint="eastAsia" w:asciiTheme="majorEastAsia" w:hAnsiTheme="majorEastAsia" w:eastAsiaTheme="majorEastAsia" w:cstheme="majorEastAsia"/>
          <w:color w:val="auto"/>
          <w:sz w:val="24"/>
          <w:szCs w:val="24"/>
          <w:highlight w:val="none"/>
          <w:lang w:val="en-US" w:eastAsia="zh-CN"/>
        </w:rPr>
        <w:t>协议书</w:t>
      </w:r>
      <w:r>
        <w:rPr>
          <w:rFonts w:hint="eastAsia" w:asciiTheme="majorEastAsia" w:hAnsiTheme="majorEastAsia" w:eastAsiaTheme="majorEastAsia" w:cstheme="majorEastAsia"/>
          <w:color w:val="auto"/>
          <w:sz w:val="24"/>
          <w:szCs w:val="24"/>
          <w:highlight w:val="none"/>
        </w:rPr>
        <w:t>一式捌份，具有同等法律效力，甲方、乙方各执叁份，政府采购监管部门执贰份。</w:t>
      </w:r>
    </w:p>
    <w:p w14:paraId="2CF06276">
      <w:pPr>
        <w:rPr>
          <w:rFonts w:hint="eastAsia"/>
          <w:color w:val="auto"/>
          <w:highlight w:val="none"/>
        </w:rPr>
      </w:pPr>
    </w:p>
    <w:p w14:paraId="407A480E">
      <w:pPr>
        <w:rPr>
          <w:rFonts w:hint="eastAsia"/>
          <w:color w:val="auto"/>
          <w:highlight w:val="none"/>
        </w:rPr>
      </w:pPr>
    </w:p>
    <w:p w14:paraId="780B1116">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甲方：</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（盖章）            </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乙方：</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（盖章）    </w:t>
      </w:r>
    </w:p>
    <w:p w14:paraId="5B9B822F">
      <w:pPr>
        <w:spacing w:line="360" w:lineRule="auto"/>
        <w:ind w:firstLine="480" w:firstLineChars="200"/>
        <w:rPr>
          <w:rFonts w:hint="eastAsia" w:asciiTheme="majorEastAsia" w:hAnsiTheme="majorEastAsia" w:eastAsiaTheme="majorEastAsia" w:cstheme="majorEastAsia"/>
          <w:color w:val="auto"/>
          <w:sz w:val="24"/>
          <w:szCs w:val="24"/>
          <w:highlight w:val="none"/>
        </w:rPr>
      </w:pPr>
    </w:p>
    <w:p w14:paraId="77DE3563">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法定代表人                                  法定代表人                  </w:t>
      </w:r>
    </w:p>
    <w:p w14:paraId="22B321E2">
      <w:pPr>
        <w:spacing w:line="360" w:lineRule="auto"/>
        <w:ind w:firstLine="480" w:firstLineChars="200"/>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或其授权代理人：</w:t>
      </w:r>
      <w:r>
        <w:rPr>
          <w:rFonts w:hint="eastAsia" w:asciiTheme="majorEastAsia" w:hAnsiTheme="majorEastAsia" w:eastAsiaTheme="majorEastAsia" w:cstheme="majorEastAsia"/>
          <w:color w:val="auto"/>
          <w:sz w:val="24"/>
          <w:szCs w:val="24"/>
          <w:highlight w:val="none"/>
          <w:u w:val="single"/>
        </w:rPr>
        <w:t xml:space="preserve">  （签字）</w:t>
      </w:r>
      <w:r>
        <w:rPr>
          <w:rFonts w:hint="eastAsia" w:asciiTheme="majorEastAsia" w:hAnsiTheme="majorEastAsia" w:eastAsiaTheme="majorEastAsia" w:cstheme="majorEastAsia"/>
          <w:color w:val="auto"/>
          <w:sz w:val="24"/>
          <w:szCs w:val="24"/>
          <w:highlight w:val="none"/>
        </w:rPr>
        <w:t xml:space="preserve">                  或其授权代理人：</w:t>
      </w:r>
      <w:r>
        <w:rPr>
          <w:rFonts w:hint="eastAsia" w:asciiTheme="majorEastAsia" w:hAnsiTheme="majorEastAsia" w:eastAsiaTheme="majorEastAsia" w:cstheme="majorEastAsia"/>
          <w:color w:val="auto"/>
          <w:sz w:val="24"/>
          <w:szCs w:val="24"/>
          <w:highlight w:val="none"/>
          <w:u w:val="single"/>
        </w:rPr>
        <w:t xml:space="preserve"> （签字）  </w:t>
      </w:r>
      <w:r>
        <w:rPr>
          <w:rFonts w:hint="eastAsia" w:asciiTheme="majorEastAsia" w:hAnsiTheme="majorEastAsia" w:eastAsiaTheme="majorEastAsia" w:cstheme="majorEastAsia"/>
          <w:color w:val="auto"/>
          <w:sz w:val="24"/>
          <w:szCs w:val="24"/>
          <w:highlight w:val="none"/>
        </w:rPr>
        <w:t xml:space="preserve">         </w:t>
      </w:r>
    </w:p>
    <w:p w14:paraId="4D27ABF3">
      <w:pPr>
        <w:spacing w:line="360" w:lineRule="auto"/>
        <w:ind w:firstLine="480" w:firstLineChars="200"/>
        <w:rPr>
          <w:rFonts w:hint="eastAsia" w:asciiTheme="majorEastAsia" w:hAnsiTheme="majorEastAsia" w:eastAsiaTheme="majorEastAsia" w:cstheme="majorEastAsia"/>
          <w:color w:val="auto"/>
          <w:sz w:val="24"/>
          <w:szCs w:val="24"/>
          <w:highlight w:val="none"/>
        </w:rPr>
      </w:pPr>
    </w:p>
    <w:p w14:paraId="05FC62BF">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地址：                                       地址：</w:t>
      </w:r>
    </w:p>
    <w:p w14:paraId="3E64E838">
      <w:pPr>
        <w:spacing w:line="360" w:lineRule="auto"/>
        <w:ind w:firstLine="480" w:firstLineChars="200"/>
        <w:rPr>
          <w:rFonts w:hint="eastAsia" w:asciiTheme="majorEastAsia" w:hAnsiTheme="majorEastAsia" w:eastAsiaTheme="majorEastAsia" w:cstheme="majorEastAsia"/>
          <w:color w:val="auto"/>
          <w:sz w:val="24"/>
          <w:szCs w:val="24"/>
          <w:highlight w:val="none"/>
        </w:rPr>
      </w:pPr>
    </w:p>
    <w:p w14:paraId="402D73FA">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电话：                                       电话：</w:t>
      </w:r>
    </w:p>
    <w:p w14:paraId="2AC70A2D">
      <w:pPr>
        <w:tabs>
          <w:tab w:val="left" w:pos="4395"/>
          <w:tab w:val="left" w:pos="4678"/>
          <w:tab w:val="left" w:pos="4820"/>
        </w:tabs>
        <w:spacing w:line="360" w:lineRule="auto"/>
        <w:ind w:firstLine="240" w:firstLineChars="1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p>
    <w:p w14:paraId="30DE1759">
      <w:pPr>
        <w:tabs>
          <w:tab w:val="left" w:pos="4395"/>
          <w:tab w:val="left" w:pos="4678"/>
          <w:tab w:val="left" w:pos="4820"/>
        </w:tabs>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年     月    日                                年     月     日</w:t>
      </w:r>
    </w:p>
    <w:p w14:paraId="5332713F">
      <w:pPr>
        <w:spacing w:line="360" w:lineRule="auto"/>
        <w:rPr>
          <w:rFonts w:hint="eastAsia" w:asciiTheme="majorEastAsia" w:hAnsiTheme="majorEastAsia" w:eastAsiaTheme="majorEastAsia" w:cstheme="majorEastAsia"/>
          <w:color w:val="auto"/>
          <w:sz w:val="24"/>
          <w:szCs w:val="24"/>
          <w:highlight w:val="none"/>
        </w:rPr>
      </w:pPr>
    </w:p>
    <w:p w14:paraId="512F5567">
      <w:pPr>
        <w:pStyle w:val="32"/>
        <w:spacing w:line="360" w:lineRule="auto"/>
        <w:rPr>
          <w:rFonts w:hint="eastAsia" w:asciiTheme="majorEastAsia" w:hAnsiTheme="majorEastAsia" w:eastAsiaTheme="majorEastAsia" w:cstheme="majorEastAsia"/>
          <w:color w:val="auto"/>
          <w:highlight w:val="none"/>
        </w:rPr>
      </w:pPr>
    </w:p>
    <w:bookmarkEnd w:id="113"/>
    <w:bookmarkEnd w:id="114"/>
    <w:p w14:paraId="1FEC3041">
      <w:pPr>
        <w:pStyle w:val="21"/>
        <w:spacing w:line="360" w:lineRule="auto"/>
        <w:ind w:left="0"/>
        <w:rPr>
          <w:rFonts w:hint="eastAsia" w:asciiTheme="majorEastAsia" w:hAnsiTheme="majorEastAsia" w:eastAsiaTheme="majorEastAsia" w:cstheme="majorEastAsia"/>
          <w:b/>
          <w:color w:val="auto"/>
          <w:sz w:val="24"/>
          <w:szCs w:val="24"/>
          <w:highlight w:val="none"/>
        </w:rPr>
      </w:pPr>
      <w:bookmarkStart w:id="116" w:name="_Toc16938590"/>
      <w:bookmarkStart w:id="117" w:name="_Toc139298012"/>
      <w:bookmarkStart w:id="118" w:name="_Toc120614244"/>
      <w:bookmarkStart w:id="119" w:name="_Toc20823346"/>
      <w:bookmarkStart w:id="120" w:name="_Toc462564139"/>
      <w:bookmarkStart w:id="121" w:name="_Toc479757211"/>
    </w:p>
    <w:p w14:paraId="4303ED4D">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08B38BF3">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6B0CAF1C">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60A6AA19">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74D874B2">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2F01B4EB">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6F8676B5">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1484E7B5">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49B9B83C">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7AFCD7F1">
      <w:pPr>
        <w:spacing w:line="360" w:lineRule="auto"/>
        <w:rPr>
          <w:rFonts w:hint="eastAsia" w:asciiTheme="majorEastAsia" w:hAnsiTheme="majorEastAsia" w:eastAsiaTheme="majorEastAsia" w:cstheme="majorEastAsia"/>
          <w:b/>
          <w:color w:val="auto"/>
          <w:sz w:val="24"/>
          <w:szCs w:val="24"/>
          <w:highlight w:val="none"/>
        </w:rPr>
      </w:pPr>
    </w:p>
    <w:p w14:paraId="077D41AC">
      <w:pPr>
        <w:pStyle w:val="11"/>
        <w:spacing w:line="360" w:lineRule="auto"/>
        <w:rPr>
          <w:rFonts w:hint="eastAsia" w:asciiTheme="majorEastAsia" w:hAnsiTheme="majorEastAsia" w:eastAsiaTheme="majorEastAsia" w:cstheme="majorEastAsia"/>
          <w:b/>
          <w:color w:val="auto"/>
          <w:sz w:val="24"/>
          <w:szCs w:val="24"/>
          <w:highlight w:val="none"/>
        </w:rPr>
      </w:pPr>
    </w:p>
    <w:p w14:paraId="6C00BB85">
      <w:pPr>
        <w:spacing w:line="360" w:lineRule="auto"/>
        <w:rPr>
          <w:rFonts w:hint="eastAsia" w:asciiTheme="majorEastAsia" w:hAnsiTheme="majorEastAsia" w:eastAsiaTheme="majorEastAsia" w:cstheme="majorEastAsia"/>
          <w:b/>
          <w:color w:val="auto"/>
          <w:sz w:val="24"/>
          <w:szCs w:val="24"/>
          <w:highlight w:val="none"/>
        </w:rPr>
      </w:pPr>
    </w:p>
    <w:p w14:paraId="576C16A8">
      <w:pPr>
        <w:pStyle w:val="11"/>
        <w:spacing w:line="360" w:lineRule="auto"/>
        <w:rPr>
          <w:rFonts w:hint="eastAsia" w:asciiTheme="majorEastAsia" w:hAnsiTheme="majorEastAsia" w:eastAsiaTheme="majorEastAsia" w:cstheme="majorEastAsia"/>
          <w:b/>
          <w:color w:val="auto"/>
          <w:sz w:val="24"/>
          <w:szCs w:val="24"/>
          <w:highlight w:val="none"/>
        </w:rPr>
      </w:pPr>
    </w:p>
    <w:p w14:paraId="274BDEC0">
      <w:pPr>
        <w:spacing w:line="360" w:lineRule="auto"/>
        <w:rPr>
          <w:rFonts w:hint="eastAsia" w:asciiTheme="majorEastAsia" w:hAnsiTheme="majorEastAsia" w:eastAsiaTheme="majorEastAsia" w:cstheme="majorEastAsia"/>
          <w:b/>
          <w:color w:val="auto"/>
          <w:sz w:val="24"/>
          <w:szCs w:val="24"/>
          <w:highlight w:val="none"/>
        </w:rPr>
      </w:pPr>
    </w:p>
    <w:p w14:paraId="57A2F7F6">
      <w:pPr>
        <w:pStyle w:val="11"/>
        <w:spacing w:line="360" w:lineRule="auto"/>
        <w:rPr>
          <w:rFonts w:hint="eastAsia" w:asciiTheme="majorEastAsia" w:hAnsiTheme="majorEastAsia" w:eastAsiaTheme="majorEastAsia" w:cstheme="majorEastAsia"/>
          <w:b/>
          <w:color w:val="auto"/>
          <w:sz w:val="24"/>
          <w:szCs w:val="24"/>
          <w:highlight w:val="none"/>
        </w:rPr>
      </w:pPr>
    </w:p>
    <w:p w14:paraId="2A1A3C04">
      <w:pPr>
        <w:spacing w:line="360" w:lineRule="auto"/>
        <w:rPr>
          <w:rFonts w:hint="eastAsia" w:asciiTheme="majorEastAsia" w:hAnsiTheme="majorEastAsia" w:eastAsiaTheme="majorEastAsia" w:cstheme="majorEastAsia"/>
          <w:b/>
          <w:color w:val="auto"/>
          <w:sz w:val="24"/>
          <w:szCs w:val="24"/>
          <w:highlight w:val="none"/>
        </w:rPr>
      </w:pPr>
    </w:p>
    <w:p w14:paraId="55EDBDE1">
      <w:pPr>
        <w:pStyle w:val="11"/>
        <w:spacing w:line="360" w:lineRule="auto"/>
        <w:rPr>
          <w:rFonts w:hint="eastAsia"/>
          <w:color w:val="auto"/>
          <w:highlight w:val="none"/>
        </w:rPr>
      </w:pPr>
    </w:p>
    <w:p w14:paraId="74DDB973">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792060F1">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6A33FA9B">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6721EC4A">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1E95007A">
      <w:pPr>
        <w:pStyle w:val="21"/>
        <w:spacing w:line="360" w:lineRule="auto"/>
        <w:ind w:left="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附件三：安全生产合同</w:t>
      </w:r>
    </w:p>
    <w:p w14:paraId="554012F3">
      <w:pPr>
        <w:spacing w:line="360" w:lineRule="auto"/>
        <w:rPr>
          <w:rFonts w:hint="eastAsia" w:asciiTheme="majorEastAsia" w:hAnsiTheme="majorEastAsia" w:eastAsiaTheme="majorEastAsia" w:cstheme="majorEastAsia"/>
          <w:b/>
          <w:color w:val="auto"/>
          <w:sz w:val="24"/>
          <w:szCs w:val="24"/>
          <w:highlight w:val="none"/>
        </w:rPr>
      </w:pPr>
    </w:p>
    <w:p w14:paraId="1623CAD3">
      <w:pPr>
        <w:spacing w:before="63" w:line="360" w:lineRule="auto"/>
        <w:ind w:left="3922"/>
        <w:rPr>
          <w:rFonts w:hint="eastAsia" w:asciiTheme="majorEastAsia" w:hAnsiTheme="majorEastAsia" w:eastAsiaTheme="majorEastAsia" w:cstheme="majorEastAsia"/>
          <w:color w:val="auto"/>
          <w:sz w:val="30"/>
          <w:szCs w:val="30"/>
          <w:highlight w:val="none"/>
        </w:rPr>
      </w:pPr>
      <w:r>
        <w:rPr>
          <w:rFonts w:hint="eastAsia" w:asciiTheme="majorEastAsia" w:hAnsiTheme="majorEastAsia" w:eastAsiaTheme="majorEastAsia" w:cstheme="majorEastAsia"/>
          <w:color w:val="auto"/>
          <w:spacing w:val="8"/>
          <w:sz w:val="30"/>
          <w:szCs w:val="30"/>
          <w:highlight w:val="none"/>
          <w14:textOutline w14:w="5791" w14:cap="flat" w14:cmpd="sng" w14:algn="ctr">
            <w14:solidFill>
              <w14:srgbClr w14:val="000000"/>
            </w14:solidFill>
            <w14:prstDash w14:val="solid"/>
            <w14:miter w14:val="0"/>
          </w14:textOutline>
        </w:rPr>
        <w:t>安全生产合同</w:t>
      </w:r>
    </w:p>
    <w:p w14:paraId="7628AC42">
      <w:pPr>
        <w:spacing w:line="360" w:lineRule="auto"/>
        <w:rPr>
          <w:rFonts w:hint="eastAsia" w:asciiTheme="majorEastAsia" w:hAnsiTheme="majorEastAsia" w:eastAsiaTheme="majorEastAsia" w:cstheme="majorEastAsia"/>
          <w:color w:val="auto"/>
          <w:sz w:val="28"/>
          <w:szCs w:val="28"/>
          <w:highlight w:val="none"/>
        </w:rPr>
      </w:pPr>
    </w:p>
    <w:p w14:paraId="1165553E">
      <w:pPr>
        <w:spacing w:line="360" w:lineRule="auto"/>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甲 方：</w:t>
      </w:r>
      <w:r>
        <w:rPr>
          <w:rFonts w:hint="eastAsia" w:asciiTheme="majorEastAsia" w:hAnsiTheme="majorEastAsia" w:eastAsiaTheme="majorEastAsia" w:cstheme="majorEastAsia"/>
          <w:color w:val="auto"/>
          <w:spacing w:val="-3"/>
          <w:sz w:val="24"/>
          <w:szCs w:val="24"/>
          <w:highlight w:val="none"/>
          <w:u w:val="single"/>
        </w:rPr>
        <w:t xml:space="preserve">                            </w:t>
      </w:r>
      <w:r>
        <w:rPr>
          <w:rFonts w:hint="eastAsia" w:asciiTheme="majorEastAsia" w:hAnsiTheme="majorEastAsia" w:eastAsiaTheme="majorEastAsia" w:cstheme="majorEastAsia"/>
          <w:color w:val="auto"/>
          <w:spacing w:val="-3"/>
          <w:sz w:val="24"/>
          <w:szCs w:val="24"/>
          <w:highlight w:val="none"/>
        </w:rPr>
        <w:t xml:space="preserve"> </w:t>
      </w:r>
    </w:p>
    <w:p w14:paraId="7783E956">
      <w:pPr>
        <w:spacing w:line="360" w:lineRule="auto"/>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乙 方：</w:t>
      </w:r>
      <w:r>
        <w:rPr>
          <w:rFonts w:hint="eastAsia" w:asciiTheme="majorEastAsia" w:hAnsiTheme="majorEastAsia" w:eastAsiaTheme="majorEastAsia" w:cstheme="majorEastAsia"/>
          <w:color w:val="auto"/>
          <w:spacing w:val="-3"/>
          <w:sz w:val="24"/>
          <w:szCs w:val="24"/>
          <w:highlight w:val="none"/>
          <w:u w:val="single"/>
        </w:rPr>
        <w:t xml:space="preserve">                            </w:t>
      </w:r>
      <w:r>
        <w:rPr>
          <w:rFonts w:hint="eastAsia" w:asciiTheme="majorEastAsia" w:hAnsiTheme="majorEastAsia" w:eastAsiaTheme="majorEastAsia" w:cstheme="majorEastAsia"/>
          <w:color w:val="auto"/>
          <w:spacing w:val="-3"/>
          <w:sz w:val="24"/>
          <w:szCs w:val="24"/>
          <w:highlight w:val="none"/>
        </w:rPr>
        <w:t xml:space="preserve">    </w:t>
      </w:r>
    </w:p>
    <w:p w14:paraId="1A9B82D4">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为在</w:t>
      </w:r>
      <w:r>
        <w:rPr>
          <w:rFonts w:hint="eastAsia" w:asciiTheme="majorEastAsia" w:hAnsiTheme="majorEastAsia" w:eastAsiaTheme="majorEastAsia" w:cstheme="majorEastAsia"/>
          <w:color w:val="auto"/>
          <w:spacing w:val="-3"/>
          <w:sz w:val="24"/>
          <w:szCs w:val="24"/>
          <w:highlight w:val="none"/>
          <w:u w:val="single"/>
        </w:rPr>
        <w:t xml:space="preserve">                           项目</w:t>
      </w:r>
      <w:r>
        <w:rPr>
          <w:rFonts w:hint="eastAsia" w:asciiTheme="majorEastAsia" w:hAnsiTheme="majorEastAsia" w:eastAsiaTheme="majorEastAsia" w:cstheme="majorEastAsia"/>
          <w:color w:val="auto"/>
          <w:spacing w:val="-3"/>
          <w:sz w:val="24"/>
          <w:szCs w:val="24"/>
          <w:highlight w:val="none"/>
        </w:rPr>
        <w:t>服务合同的实施过程中创造安全、高效的实施环境，切实搞好本项目的安全管理工作，本项目甲方</w:t>
      </w:r>
      <w:r>
        <w:rPr>
          <w:rFonts w:hint="eastAsia" w:asciiTheme="majorEastAsia" w:hAnsiTheme="majorEastAsia" w:eastAsiaTheme="majorEastAsia" w:cstheme="majorEastAsia"/>
          <w:color w:val="auto"/>
          <w:spacing w:val="-3"/>
          <w:sz w:val="24"/>
          <w:szCs w:val="24"/>
          <w:highlight w:val="none"/>
          <w:u w:val="single"/>
        </w:rPr>
        <w:t xml:space="preserve">                   </w:t>
      </w:r>
      <w:r>
        <w:rPr>
          <w:rFonts w:hint="eastAsia" w:asciiTheme="majorEastAsia" w:hAnsiTheme="majorEastAsia" w:eastAsiaTheme="majorEastAsia" w:cstheme="majorEastAsia"/>
          <w:color w:val="auto"/>
          <w:spacing w:val="-3"/>
          <w:sz w:val="24"/>
          <w:szCs w:val="24"/>
          <w:highlight w:val="none"/>
        </w:rPr>
        <w:t>（以下简称“甲方”）与供应商</w:t>
      </w:r>
      <w:r>
        <w:rPr>
          <w:rFonts w:hint="eastAsia" w:asciiTheme="majorEastAsia" w:hAnsiTheme="majorEastAsia" w:eastAsiaTheme="majorEastAsia" w:cstheme="majorEastAsia"/>
          <w:color w:val="auto"/>
          <w:spacing w:val="-3"/>
          <w:sz w:val="24"/>
          <w:szCs w:val="24"/>
          <w:highlight w:val="none"/>
          <w:u w:val="single"/>
        </w:rPr>
        <w:t xml:space="preserve">                 </w:t>
      </w:r>
      <w:r>
        <w:rPr>
          <w:rFonts w:hint="eastAsia" w:asciiTheme="majorEastAsia" w:hAnsiTheme="majorEastAsia" w:eastAsiaTheme="majorEastAsia" w:cstheme="majorEastAsia"/>
          <w:color w:val="auto"/>
          <w:spacing w:val="-3"/>
          <w:sz w:val="24"/>
          <w:szCs w:val="24"/>
          <w:highlight w:val="none"/>
        </w:rPr>
        <w:t>（以下简称“乙方”）特此签订安全生产合同：</w:t>
      </w:r>
    </w:p>
    <w:p w14:paraId="5AF6B8C9">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一、甲方职责</w:t>
      </w:r>
    </w:p>
    <w:p w14:paraId="461BD295">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1、严格遵守国家有关安全生产的法律、认真执行项目服务合同中的有关安全要求。</w:t>
      </w:r>
    </w:p>
    <w:p w14:paraId="346A769F">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2、不得对乙方提出不符合项目安全生产法律、法规和强制性标准规定要求。</w:t>
      </w:r>
    </w:p>
    <w:p w14:paraId="73557917">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3、不得明示或暗示服务单位购买、租赁、使用不符合安全项目踏勘或实施过程中要求的全防护用具、机械设备、施工机具及配件。</w:t>
      </w:r>
    </w:p>
    <w:p w14:paraId="31136490">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二、乙方职责</w:t>
      </w:r>
    </w:p>
    <w:p w14:paraId="5005AFDE">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1、供应商应遵守国家安全生产有关管理规定，严格按安全标准进行项目实施，采取一切必要的安全措施，消除事故隐患，确保项目服务过程中的安全，并对服务过程中发生的一切安全问题负责。</w:t>
      </w:r>
    </w:p>
    <w:p w14:paraId="0538C366">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2、坚持“安全第一、预防为主”和“管生产必须管安全”的原则，加强安全生产宣传教育，增强全员安全生产意识，建立健全各项安全生产的管理机构和安全生产管理制度，配备专职及兼职安全坚持人员，有组织有计划地开展安全生产活动。各级领导、工程技术人员、生产管理人员和具体操作人员，必须熟悉和遵守本条款的各项规定，做到生产与安全工作同时计划、布置、检查、总结和评比。</w:t>
      </w:r>
    </w:p>
    <w:p w14:paraId="6DACDB2C">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3、建立健全安全生产责任制。乙方是本项目的安全主体，从派驻项目实施的项目经理（项目负责人）到项目组其他成员的安全生产管理系统必须做到纵向到底，一环不漏；各职能部门、人员的安全生产责任制做到横向到边，人人有责。项目经理（项目负责人）是安全生产的第一责任人。安全机构人员，有权按有关规定发布指令，并采取保护性措施防止事故发生。</w:t>
      </w:r>
    </w:p>
    <w:p w14:paraId="1B610CE4">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4、乙方在任何时候都应采取各种合理的预防措施，防止其员工发生任何违法、违禁、暴力或妨碍治安的行为。</w:t>
      </w:r>
    </w:p>
    <w:p w14:paraId="75383B80">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5、现场踏勘人员必须按规定穿戴防护用品，不按规定穿戴防护用品的人员不得踏勘现场。</w:t>
      </w:r>
    </w:p>
    <w:p w14:paraId="094F91F1">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6、乙方必须按照本项目特点，组织制定本项目服务实施中的生产安全专项方案和事故应急救援预案；如果发生安全事故，应按照有关规定，及时上报有关部门，并坚持“三不放过”的原则，严肃处理相关责任。</w:t>
      </w:r>
    </w:p>
    <w:p w14:paraId="4C9E8884">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三、违约责任</w:t>
      </w:r>
    </w:p>
    <w:p w14:paraId="78E8121B">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1、乙方应对发生在本项目服务期限内的交通安全、安全事故（包括人员）负全部法律责任，并承担由此而发生的一切经济损失。</w:t>
      </w:r>
    </w:p>
    <w:p w14:paraId="7A0B940F">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2、若发生意外情况后，乙方应第一时间上报主管部门，依法合规，妥善处理。如乙方发生安全事故不及时妥善处理，引起纠纷或诉讼，甲方有权扣留其未付合同价款用于支付事故处理费用。</w:t>
      </w:r>
    </w:p>
    <w:p w14:paraId="293C0633">
      <w:pPr>
        <w:spacing w:line="360" w:lineRule="auto"/>
        <w:ind w:firstLine="468" w:firstLineChars="200"/>
        <w:rPr>
          <w:rFonts w:hint="eastAsia" w:asciiTheme="majorEastAsia" w:hAnsiTheme="majorEastAsia" w:eastAsiaTheme="majorEastAsia" w:cstheme="majorEastAsia"/>
          <w:color w:val="auto"/>
          <w:spacing w:val="-3"/>
          <w:sz w:val="24"/>
          <w:szCs w:val="24"/>
          <w:highlight w:val="none"/>
        </w:rPr>
      </w:pPr>
      <w:r>
        <w:rPr>
          <w:rFonts w:hint="eastAsia" w:asciiTheme="majorEastAsia" w:hAnsiTheme="majorEastAsia" w:eastAsiaTheme="majorEastAsia" w:cstheme="majorEastAsia"/>
          <w:color w:val="auto"/>
          <w:spacing w:val="-3"/>
          <w:sz w:val="24"/>
          <w:szCs w:val="24"/>
          <w:highlight w:val="none"/>
        </w:rPr>
        <w:t>本合同由双方盖章、法定代表人或其授权的代理人签名与加盖公章后生效。</w:t>
      </w:r>
    </w:p>
    <w:p w14:paraId="59C84E72">
      <w:pPr>
        <w:pStyle w:val="11"/>
        <w:numPr>
          <w:ilvl w:val="0"/>
          <w:numId w:val="0"/>
        </w:numPr>
        <w:spacing w:line="360" w:lineRule="auto"/>
        <w:ind w:firstLine="480" w:firstLineChars="200"/>
        <w:rPr>
          <w:rFonts w:hint="eastAsia"/>
          <w:color w:val="auto"/>
          <w:highlight w:val="none"/>
        </w:rPr>
      </w:pPr>
      <w:bookmarkStart w:id="122" w:name="MOFFICE_OUTDOC_NTDOC__TITLE"/>
      <w:bookmarkStart w:id="123" w:name="_Toc25912"/>
      <w:r>
        <w:rPr>
          <w:rFonts w:hint="eastAsia" w:asciiTheme="majorEastAsia" w:hAnsiTheme="majorEastAsia" w:eastAsiaTheme="majorEastAsia" w:cstheme="majorEastAsia"/>
          <w:color w:val="auto"/>
          <w:sz w:val="24"/>
          <w:szCs w:val="24"/>
          <w:highlight w:val="none"/>
          <w:lang w:val="en-US" w:eastAsia="zh-CN"/>
        </w:rPr>
        <w:t>四、</w:t>
      </w:r>
      <w:r>
        <w:rPr>
          <w:rFonts w:hint="eastAsia" w:asciiTheme="majorEastAsia" w:hAnsiTheme="majorEastAsia" w:eastAsiaTheme="majorEastAsia" w:cstheme="majorEastAsia"/>
          <w:color w:val="auto"/>
          <w:sz w:val="24"/>
          <w:szCs w:val="24"/>
          <w:highlight w:val="none"/>
        </w:rPr>
        <w:t>本</w:t>
      </w:r>
      <w:r>
        <w:rPr>
          <w:rFonts w:hint="eastAsia" w:asciiTheme="majorEastAsia" w:hAnsiTheme="majorEastAsia" w:eastAsiaTheme="majorEastAsia" w:cstheme="majorEastAsia"/>
          <w:color w:val="auto"/>
          <w:sz w:val="24"/>
          <w:szCs w:val="24"/>
          <w:highlight w:val="none"/>
          <w:lang w:val="en-US" w:eastAsia="zh-CN"/>
        </w:rPr>
        <w:t>协议书</w:t>
      </w:r>
      <w:r>
        <w:rPr>
          <w:rFonts w:hint="eastAsia" w:asciiTheme="majorEastAsia" w:hAnsiTheme="majorEastAsia" w:eastAsiaTheme="majorEastAsia" w:cstheme="majorEastAsia"/>
          <w:color w:val="auto"/>
          <w:sz w:val="24"/>
          <w:szCs w:val="24"/>
          <w:highlight w:val="none"/>
        </w:rPr>
        <w:t>一式捌份，具有同等法律效力，甲方、乙方各执叁份，政府采购监管部门执贰份。</w:t>
      </w:r>
    </w:p>
    <w:p w14:paraId="73C6FB09">
      <w:pPr>
        <w:pStyle w:val="11"/>
        <w:spacing w:line="360" w:lineRule="auto"/>
        <w:rPr>
          <w:rFonts w:hint="eastAsia"/>
          <w:color w:val="auto"/>
          <w:highlight w:val="none"/>
        </w:rPr>
      </w:pPr>
    </w:p>
    <w:p w14:paraId="06CEDEC8">
      <w:pPr>
        <w:spacing w:line="360" w:lineRule="auto"/>
        <w:rPr>
          <w:rFonts w:hint="eastAsia"/>
          <w:color w:val="auto"/>
          <w:highlight w:val="none"/>
        </w:rPr>
      </w:pPr>
    </w:p>
    <w:p w14:paraId="269BA626">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甲方：</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（盖章）            </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乙方：</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（盖章）    </w:t>
      </w:r>
    </w:p>
    <w:p w14:paraId="3C41D6A6">
      <w:pPr>
        <w:spacing w:line="360" w:lineRule="auto"/>
        <w:ind w:firstLine="480" w:firstLineChars="200"/>
        <w:rPr>
          <w:rFonts w:hint="eastAsia" w:asciiTheme="majorEastAsia" w:hAnsiTheme="majorEastAsia" w:eastAsiaTheme="majorEastAsia" w:cstheme="majorEastAsia"/>
          <w:color w:val="auto"/>
          <w:sz w:val="24"/>
          <w:szCs w:val="24"/>
          <w:highlight w:val="none"/>
        </w:rPr>
      </w:pPr>
    </w:p>
    <w:p w14:paraId="44D465C9">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法定代表人                                  法定代表人                  </w:t>
      </w:r>
    </w:p>
    <w:p w14:paraId="2351B4CD">
      <w:pPr>
        <w:spacing w:line="360" w:lineRule="auto"/>
        <w:ind w:firstLine="480" w:firstLineChars="200"/>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或其授权代理人：</w:t>
      </w:r>
      <w:r>
        <w:rPr>
          <w:rFonts w:hint="eastAsia" w:asciiTheme="majorEastAsia" w:hAnsiTheme="majorEastAsia" w:eastAsiaTheme="majorEastAsia" w:cstheme="majorEastAsia"/>
          <w:color w:val="auto"/>
          <w:sz w:val="24"/>
          <w:szCs w:val="24"/>
          <w:highlight w:val="none"/>
          <w:u w:val="single"/>
        </w:rPr>
        <w:t xml:space="preserve">  （签字）</w:t>
      </w:r>
      <w:r>
        <w:rPr>
          <w:rFonts w:hint="eastAsia" w:asciiTheme="majorEastAsia" w:hAnsiTheme="majorEastAsia" w:eastAsiaTheme="majorEastAsia" w:cstheme="majorEastAsia"/>
          <w:color w:val="auto"/>
          <w:sz w:val="24"/>
          <w:szCs w:val="24"/>
          <w:highlight w:val="none"/>
        </w:rPr>
        <w:t xml:space="preserve">                  或其授权代理人：</w:t>
      </w:r>
      <w:r>
        <w:rPr>
          <w:rFonts w:hint="eastAsia" w:asciiTheme="majorEastAsia" w:hAnsiTheme="majorEastAsia" w:eastAsiaTheme="majorEastAsia" w:cstheme="majorEastAsia"/>
          <w:color w:val="auto"/>
          <w:sz w:val="24"/>
          <w:szCs w:val="24"/>
          <w:highlight w:val="none"/>
          <w:u w:val="single"/>
        </w:rPr>
        <w:t xml:space="preserve"> （签字）  </w:t>
      </w:r>
      <w:r>
        <w:rPr>
          <w:rFonts w:hint="eastAsia" w:asciiTheme="majorEastAsia" w:hAnsiTheme="majorEastAsia" w:eastAsiaTheme="majorEastAsia" w:cstheme="majorEastAsia"/>
          <w:color w:val="auto"/>
          <w:sz w:val="24"/>
          <w:szCs w:val="24"/>
          <w:highlight w:val="none"/>
        </w:rPr>
        <w:t xml:space="preserve">         </w:t>
      </w:r>
    </w:p>
    <w:p w14:paraId="1091DBB7">
      <w:pPr>
        <w:spacing w:line="360" w:lineRule="auto"/>
        <w:ind w:firstLine="480" w:firstLineChars="200"/>
        <w:rPr>
          <w:rFonts w:hint="eastAsia" w:asciiTheme="majorEastAsia" w:hAnsiTheme="majorEastAsia" w:eastAsiaTheme="majorEastAsia" w:cstheme="majorEastAsia"/>
          <w:color w:val="auto"/>
          <w:sz w:val="24"/>
          <w:szCs w:val="24"/>
          <w:highlight w:val="none"/>
        </w:rPr>
      </w:pPr>
    </w:p>
    <w:p w14:paraId="46A6BAA5">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地址：                                       地址：</w:t>
      </w:r>
    </w:p>
    <w:p w14:paraId="05532A81">
      <w:pPr>
        <w:spacing w:line="360" w:lineRule="auto"/>
        <w:ind w:firstLine="480" w:firstLineChars="200"/>
        <w:rPr>
          <w:rFonts w:hint="eastAsia" w:asciiTheme="majorEastAsia" w:hAnsiTheme="majorEastAsia" w:eastAsiaTheme="majorEastAsia" w:cstheme="majorEastAsia"/>
          <w:color w:val="auto"/>
          <w:sz w:val="24"/>
          <w:szCs w:val="24"/>
          <w:highlight w:val="none"/>
        </w:rPr>
      </w:pPr>
    </w:p>
    <w:p w14:paraId="6292532E">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电话：                                       电话：</w:t>
      </w:r>
    </w:p>
    <w:p w14:paraId="228DEE05">
      <w:pPr>
        <w:tabs>
          <w:tab w:val="left" w:pos="4395"/>
          <w:tab w:val="left" w:pos="4678"/>
          <w:tab w:val="left" w:pos="4820"/>
        </w:tabs>
        <w:spacing w:line="360" w:lineRule="auto"/>
        <w:ind w:firstLine="240" w:firstLineChars="1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p>
    <w:p w14:paraId="39F0F548">
      <w:pPr>
        <w:tabs>
          <w:tab w:val="left" w:pos="4395"/>
          <w:tab w:val="left" w:pos="4678"/>
          <w:tab w:val="left" w:pos="4820"/>
        </w:tabs>
        <w:spacing w:line="360" w:lineRule="auto"/>
        <w:ind w:firstLine="720" w:firstLineChars="3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年     月    日                              年     月     日</w:t>
      </w:r>
    </w:p>
    <w:p w14:paraId="6BFE9F39">
      <w:pPr>
        <w:pStyle w:val="21"/>
        <w:spacing w:line="360" w:lineRule="auto"/>
        <w:ind w:left="0"/>
        <w:rPr>
          <w:rFonts w:hint="eastAsia" w:asciiTheme="majorEastAsia" w:hAnsiTheme="majorEastAsia" w:eastAsiaTheme="majorEastAsia" w:cstheme="majorEastAsia"/>
          <w:b/>
          <w:color w:val="auto"/>
          <w:sz w:val="24"/>
          <w:szCs w:val="24"/>
          <w:highlight w:val="none"/>
        </w:rPr>
      </w:pPr>
    </w:p>
    <w:p w14:paraId="222F4645">
      <w:pPr>
        <w:tabs>
          <w:tab w:val="left" w:pos="6264"/>
        </w:tabs>
        <w:snapToGrid w:val="0"/>
        <w:spacing w:line="360" w:lineRule="auto"/>
        <w:jc w:val="center"/>
        <w:rPr>
          <w:rFonts w:hint="eastAsia" w:asciiTheme="majorEastAsia" w:hAnsiTheme="majorEastAsia" w:eastAsiaTheme="majorEastAsia" w:cstheme="majorEastAsia"/>
          <w:b/>
          <w:bCs/>
          <w:color w:val="auto"/>
          <w:sz w:val="40"/>
          <w:szCs w:val="40"/>
          <w:highlight w:val="none"/>
        </w:rPr>
      </w:pPr>
    </w:p>
    <w:p w14:paraId="0AA78296">
      <w:pPr>
        <w:tabs>
          <w:tab w:val="left" w:pos="6264"/>
        </w:tabs>
        <w:snapToGrid w:val="0"/>
        <w:spacing w:line="360" w:lineRule="auto"/>
        <w:jc w:val="center"/>
        <w:rPr>
          <w:rFonts w:hint="eastAsia" w:asciiTheme="majorEastAsia" w:hAnsiTheme="majorEastAsia" w:eastAsiaTheme="majorEastAsia" w:cstheme="majorEastAsia"/>
          <w:b/>
          <w:bCs/>
          <w:color w:val="auto"/>
          <w:sz w:val="40"/>
          <w:szCs w:val="40"/>
          <w:highlight w:val="none"/>
        </w:rPr>
      </w:pPr>
    </w:p>
    <w:p w14:paraId="57496CD6">
      <w:pPr>
        <w:tabs>
          <w:tab w:val="left" w:pos="6264"/>
        </w:tabs>
        <w:snapToGrid w:val="0"/>
        <w:spacing w:line="360" w:lineRule="auto"/>
        <w:jc w:val="center"/>
        <w:rPr>
          <w:rFonts w:hint="eastAsia" w:asciiTheme="majorEastAsia" w:hAnsiTheme="majorEastAsia" w:eastAsiaTheme="majorEastAsia" w:cstheme="majorEastAsia"/>
          <w:b/>
          <w:bCs/>
          <w:color w:val="auto"/>
          <w:sz w:val="40"/>
          <w:szCs w:val="40"/>
          <w:highlight w:val="none"/>
        </w:rPr>
      </w:pPr>
    </w:p>
    <w:bookmarkEnd w:id="122"/>
    <w:p w14:paraId="3EC4077C">
      <w:pPr>
        <w:pStyle w:val="4"/>
        <w:spacing w:line="360" w:lineRule="auto"/>
        <w:rPr>
          <w:rFonts w:hint="eastAsia" w:asciiTheme="majorEastAsia" w:hAnsiTheme="majorEastAsia" w:eastAsiaTheme="majorEastAsia" w:cstheme="majorEastAsia"/>
          <w:b/>
          <w:bCs/>
          <w:color w:val="auto"/>
          <w:sz w:val="36"/>
          <w:szCs w:val="36"/>
          <w:highlight w:val="none"/>
        </w:rPr>
      </w:pPr>
      <w:r>
        <w:rPr>
          <w:rFonts w:hint="eastAsia" w:asciiTheme="majorEastAsia" w:hAnsiTheme="majorEastAsia" w:eastAsiaTheme="majorEastAsia" w:cstheme="majorEastAsia"/>
          <w:b/>
          <w:bCs/>
          <w:color w:val="auto"/>
          <w:sz w:val="36"/>
          <w:szCs w:val="36"/>
          <w:highlight w:val="none"/>
        </w:rPr>
        <w:t>第四章  项目需求</w:t>
      </w:r>
      <w:bookmarkEnd w:id="116"/>
      <w:bookmarkEnd w:id="117"/>
      <w:bookmarkEnd w:id="118"/>
      <w:bookmarkEnd w:id="119"/>
      <w:bookmarkEnd w:id="123"/>
      <w:bookmarkStart w:id="124" w:name="_Toc139298013"/>
      <w:bookmarkStart w:id="125" w:name="_Toc26554093"/>
      <w:bookmarkStart w:id="126" w:name="_Toc120614281"/>
      <w:bookmarkStart w:id="127" w:name="_Toc49090575"/>
    </w:p>
    <w:p w14:paraId="015FF984">
      <w:pPr>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项目属性：服务类项目。</w:t>
      </w:r>
    </w:p>
    <w:p w14:paraId="59F3EBC8">
      <w:pPr>
        <w:spacing w:line="360" w:lineRule="auto"/>
        <w:ind w:firstLine="493"/>
        <w:rPr>
          <w:rFonts w:hint="eastAsia" w:asciiTheme="majorEastAsia" w:hAnsiTheme="majorEastAsia" w:eastAsiaTheme="majorEastAsia" w:cstheme="majorEastAsia"/>
          <w:b/>
          <w:bCs/>
          <w:color w:val="auto"/>
          <w:sz w:val="24"/>
          <w:szCs w:val="24"/>
          <w:highlight w:val="none"/>
        </w:rPr>
      </w:pPr>
    </w:p>
    <w:p w14:paraId="7DA945A6">
      <w:pPr>
        <w:spacing w:line="360" w:lineRule="auto"/>
        <w:ind w:firstLine="493"/>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一</w:t>
      </w:r>
      <w:r>
        <w:rPr>
          <w:rFonts w:hint="eastAsia" w:asciiTheme="majorEastAsia" w:hAnsiTheme="majorEastAsia" w:eastAsiaTheme="majorEastAsia" w:cstheme="majorEastAsia"/>
          <w:b/>
          <w:bCs/>
          <w:color w:val="auto"/>
          <w:sz w:val="24"/>
          <w:szCs w:val="24"/>
          <w:highlight w:val="none"/>
        </w:rPr>
        <w:t>.采购需求</w:t>
      </w:r>
    </w:p>
    <w:p w14:paraId="61E1EF7B">
      <w:pPr>
        <w:spacing w:line="360" w:lineRule="auto"/>
        <w:ind w:firstLine="493"/>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根据2025年全市农村公路建设管理养护重点工作清单要求和农村公路桥梁定检规定，今年需对全县农村公路桥梁进行全覆盖定检、部分特定结构桥梁和涉水桥梁的专项检查。 ①截至2024年底我县农村公路列养桥梁有1272座；②8座长大桥梁钢桁架主跨结构特殊检查及2座涉水桥梁水下桩专项检查；③即将完成的农村路网修编调整增加的约200座桥梁需补充纳入路网检查。农村公路桥梁定期检查和特殊检查项目业务范围包括：对桥梁定期及特殊检查的外业数据采集、病害记录，对桥梁检查数据录入农村公路桥梁管理系统（CBMS），通过系统和人工评定相结合的方式，准确评定桥梁技术状况；按时限要求提交桥梁定期检查报告，并提出桥梁养护技术方案。本次桥梁检测费用招标控制价为80万元。</w:t>
      </w:r>
    </w:p>
    <w:p w14:paraId="33AD3D64">
      <w:pPr>
        <w:spacing w:line="360" w:lineRule="auto"/>
        <w:ind w:firstLine="493"/>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二</w:t>
      </w:r>
      <w:r>
        <w:rPr>
          <w:rFonts w:hint="eastAsia" w:asciiTheme="majorEastAsia" w:hAnsiTheme="majorEastAsia" w:eastAsiaTheme="majorEastAsia" w:cstheme="majorEastAsia"/>
          <w:b/>
          <w:bCs/>
          <w:color w:val="auto"/>
          <w:sz w:val="24"/>
          <w:szCs w:val="24"/>
          <w:highlight w:val="none"/>
        </w:rPr>
        <w:t>.检测依据</w:t>
      </w:r>
    </w:p>
    <w:p w14:paraId="1818FAE6">
      <w:pPr>
        <w:pStyle w:val="46"/>
        <w:snapToGrid w:val="0"/>
        <w:spacing w:before="72" w:beforeLines="30" w:line="360" w:lineRule="auto"/>
        <w:ind w:left="0"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按照《公路技术状况评定标准》( JTG 5210--2018)和《农村公路技术状况评定标准》(JTG5211-2024)规定的评定指标、方法和等级组织实施路况的检测、分析和评定，及时报送评定结果和电子检评数据，确保具备检测条件的农村公路路况自动化检测保持全覆盖。开展农村公路路况自动化检评数据抽查复核，从数据完整性、检测工作有效性、成果质量等方面评价农村公路自动化检评数据质量情况。深化检测数据分析应用，有力支撑养护科学决策，持续提升农村公路养护精细化、精准化水平。  </w:t>
      </w:r>
    </w:p>
    <w:p w14:paraId="115E0DAB">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2.1当使用于试验检测的几种标准与规范出现意义不明或不一致时，在引用标准或规范发生分歧时应按以下顺序优先考虑：</w:t>
      </w:r>
    </w:p>
    <w:p w14:paraId="603F10DE">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1、现行的交通运输部的行业标准或规范；</w:t>
      </w:r>
    </w:p>
    <w:p w14:paraId="6E76F3E1">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2、中华人民共和国国家标准；</w:t>
      </w:r>
    </w:p>
    <w:p w14:paraId="6476F9C5">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3、现行相关行业的标准或规范。</w:t>
      </w:r>
    </w:p>
    <w:p w14:paraId="4358DE4C">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2.2标准与规范</w:t>
      </w:r>
    </w:p>
    <w:p w14:paraId="4354DA62">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1、在工程实施过程中，与本项目有关的标准或规范如果有局部修订或新颁，试验检测人有执行新的标准与规范的义务，并及时报委托人批准；</w:t>
      </w:r>
    </w:p>
    <w:p w14:paraId="294AB419">
      <w:pPr>
        <w:pStyle w:val="46"/>
        <w:snapToGrid w:val="0"/>
        <w:spacing w:before="72" w:beforeLines="30" w:line="360" w:lineRule="auto"/>
        <w:ind w:left="0" w:firstLine="480" w:firstLineChars="200"/>
        <w:rPr>
          <w:rFonts w:hint="eastAsia" w:asciiTheme="majorEastAsia" w:hAnsiTheme="majorEastAsia" w:eastAsiaTheme="majorEastAsia" w:cstheme="majorEastAsia"/>
          <w:b/>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2、列出项目的相关标准和规范。</w:t>
      </w:r>
    </w:p>
    <w:p w14:paraId="31EBFC66">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2.3技术要求</w:t>
      </w:r>
    </w:p>
    <w:p w14:paraId="453E9C50">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1、检查依据以下有关办法、规定要求执行：</w:t>
      </w:r>
    </w:p>
    <w:p w14:paraId="0DFF78F0">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《公路桥涵养护规范》JTG 5120-2021</w:t>
      </w:r>
    </w:p>
    <w:p w14:paraId="1CCF5ACB">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《公路桥梁技术状况评定标准》JTG∕T H21-2011</w:t>
      </w:r>
    </w:p>
    <w:p w14:paraId="59DADBC9">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《公路桥涵设计通用规范》（JTG D60-2015）</w:t>
      </w:r>
    </w:p>
    <w:p w14:paraId="3C2E9725">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《公路技术状况评定标准》（JTG 5210-2018）；</w:t>
      </w:r>
    </w:p>
    <w:p w14:paraId="62693A36">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《公路桥梁承载能力检测评定规程》（JTG/T J21-2011）；</w:t>
      </w:r>
    </w:p>
    <w:p w14:paraId="79EB064D">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《公路路基路面现场测试规程》（JTG 3450—2019）；</w:t>
      </w:r>
    </w:p>
    <w:p w14:paraId="485DAC43">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《低等级农村公路技术状况评定指南》；</w:t>
      </w:r>
    </w:p>
    <w:p w14:paraId="4CA65C95">
      <w:pPr>
        <w:pStyle w:val="46"/>
        <w:snapToGrid w:val="0"/>
        <w:spacing w:before="72" w:beforeLines="30" w:line="360" w:lineRule="auto"/>
        <w:ind w:left="0" w:firstLine="480" w:firstLineChars="200"/>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snapToGrid w:val="0"/>
          <w:color w:val="auto"/>
          <w:kern w:val="0"/>
          <w:szCs w:val="24"/>
          <w:highlight w:val="none"/>
        </w:rPr>
        <w:t>国家及交通运输部颁布的相关规范、规程、办法等。</w:t>
      </w:r>
    </w:p>
    <w:p w14:paraId="54962C3D">
      <w:pPr>
        <w:spacing w:line="360" w:lineRule="auto"/>
        <w:ind w:firstLine="493"/>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3.定期检查内容</w:t>
      </w:r>
    </w:p>
    <w:p w14:paraId="202C02C5">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3.1桥面系检测</w:t>
      </w:r>
    </w:p>
    <w:p w14:paraId="5372F48A">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3.1.1桥面铺装层纵、横坡是否顺适，有无严重的裂缝（龟裂、纵横裂缝）、坑槽、波浪、桥头跳车、防水层漏水；</w:t>
      </w:r>
    </w:p>
    <w:p w14:paraId="7C1C3C14">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3.1.2伸缩缝是否有异常变形、破损、脱落、漏水，是否造成明显的跳车；</w:t>
      </w:r>
    </w:p>
    <w:p w14:paraId="6239C552">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3.1.3人行道构件、栏杆、护栏有无撞坏、断裂、错位、缺件、剥落、锈蚀等；</w:t>
      </w:r>
    </w:p>
    <w:p w14:paraId="5D53D6F2">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3.1.4桥面排水是否顺畅，泄水管是否完好、畅通，桥头排水沟功能是否完好，锥坡有无冲蚀塌陷；</w:t>
      </w:r>
    </w:p>
    <w:p w14:paraId="7469DAED">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3.1.5桥上交通信号、标志、标线、照明设施是否损坏、老化、失效，是否需要更换；</w:t>
      </w:r>
    </w:p>
    <w:p w14:paraId="1C00AE36">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3.1.6桥上航道灯是否完好，能否保证正常照明。结构物内供养护检修的照明系统是否完好；</w:t>
      </w:r>
    </w:p>
    <w:p w14:paraId="612807AF">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3.1.7桥上的路用通信、供电线路及设备是否完好。</w:t>
      </w:r>
    </w:p>
    <w:p w14:paraId="57BBBC02">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3.2上部结构检测</w:t>
      </w:r>
    </w:p>
    <w:p w14:paraId="58288718">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3.2.1铰缝是否失效或破损； </w:t>
      </w:r>
    </w:p>
    <w:p w14:paraId="25D392EA">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3.2.2底板横向裂缝；</w:t>
      </w:r>
    </w:p>
    <w:p w14:paraId="40B7E3C3">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3.2.3底板纵向裂缝；</w:t>
      </w:r>
    </w:p>
    <w:p w14:paraId="69A997FD">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3.2.4梁体破损、露筋、麻面等。</w:t>
      </w:r>
    </w:p>
    <w:p w14:paraId="2A38B12F">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3.3下部结构检测</w:t>
      </w:r>
    </w:p>
    <w:p w14:paraId="5BF21D9B">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3.3.1台帽盖梁裂缝；</w:t>
      </w:r>
    </w:p>
    <w:p w14:paraId="7266B2B9">
      <w:pPr>
        <w:spacing w:line="360" w:lineRule="auto"/>
        <w:ind w:firstLine="49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3.3.2墩柱环向裂缝；</w:t>
      </w:r>
    </w:p>
    <w:p w14:paraId="68E3673B">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3.3.3柱顶竖向裂缝；</w:t>
      </w:r>
    </w:p>
    <w:p w14:paraId="76FC1E5E">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3.3.4挡块挤压破损；</w:t>
      </w:r>
    </w:p>
    <w:p w14:paraId="4125F77B">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3.3.5墩台基础是否有不均匀沉降、基础受冲刷掏空、麻面、露筋、桥台台身网裂、倾斜、桩头砼破损、漏筋、桩柱结合处砖块包裹、桩头位置偏位等。</w:t>
      </w:r>
    </w:p>
    <w:p w14:paraId="689402EC">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3.4支座检测</w:t>
      </w:r>
    </w:p>
    <w:p w14:paraId="1140FE64">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3.4.1板式支座是否偏位、环向开裂、脱空、老化破损等；</w:t>
      </w:r>
    </w:p>
    <w:p w14:paraId="056BEFF7">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3.4.2盆式橡胶支座是否偏压、四氟滑板滑出、限位挡块破损、倾斜、钢板变形。</w:t>
      </w:r>
    </w:p>
    <w:p w14:paraId="18E17B99">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4.桥梁技术状况评定</w:t>
      </w:r>
    </w:p>
    <w:p w14:paraId="08DB88D0">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4"/>
          <w:highlight w:val="none"/>
        </w:rPr>
        <w:t>桥梁技术状况评定包括桥梁构件、部件、桥面系、上部结构、下部结构和全桥评定。先分部再综合的办法对桥梁进行技术状况评定。当桥梁由两种或者多种不同结构形式组成，或者主桥与引桥结构形式不同时，可根据结构形式的分布情况划分评定单元的方式，逐一对各评定单元进行桥梁技术状况的等级评定，然后以技术状况等级评定结果最差的一个评定单元作为全桥的评定结构。</w:t>
      </w:r>
    </w:p>
    <w:p w14:paraId="691C3F18">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5.检测结论、建议</w:t>
      </w:r>
    </w:p>
    <w:p w14:paraId="7BAD6A03">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5.1</w:t>
      </w:r>
      <w:r>
        <w:rPr>
          <w:rFonts w:hint="eastAsia" w:asciiTheme="majorEastAsia" w:hAnsiTheme="majorEastAsia" w:eastAsiaTheme="majorEastAsia" w:cstheme="majorEastAsia"/>
          <w:color w:val="auto"/>
          <w:spacing w:val="-4"/>
          <w:sz w:val="24"/>
          <w:szCs w:val="24"/>
          <w:highlight w:val="none"/>
        </w:rPr>
        <w:t>“检查结论”中应对检查报告做出概括性归纳，作出总结，一般应包含</w:t>
      </w:r>
      <w:r>
        <w:rPr>
          <w:rFonts w:hint="eastAsia" w:asciiTheme="majorEastAsia" w:hAnsiTheme="majorEastAsia" w:eastAsiaTheme="majorEastAsia" w:cstheme="majorEastAsia"/>
          <w:color w:val="auto"/>
          <w:sz w:val="24"/>
          <w:szCs w:val="24"/>
          <w:highlight w:val="none"/>
        </w:rPr>
        <w:t>本次桥梁技术状况的类别；</w:t>
      </w:r>
    </w:p>
    <w:p w14:paraId="46C8DD51">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5.2此部分应针对检查结果，提出针对性技术建议，主要包括：</w:t>
      </w:r>
    </w:p>
    <w:p w14:paraId="22DF3961">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5.2.1后期是否需要进行桥梁承载能力评定或荷载试验的建议；</w:t>
      </w:r>
    </w:p>
    <w:p w14:paraId="68A9069E">
      <w:pPr>
        <w:keepNext w:val="0"/>
        <w:keepLines w:val="0"/>
        <w:pageBreakBefore w:val="0"/>
        <w:widowControl w:val="0"/>
        <w:kinsoku/>
        <w:wordWrap/>
        <w:overflowPunct/>
        <w:topLinePunct w:val="0"/>
        <w:bidi w:val="0"/>
        <w:spacing w:line="360" w:lineRule="auto"/>
        <w:ind w:firstLine="493"/>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5.2.2下一步养护的建议。</w:t>
      </w:r>
    </w:p>
    <w:p w14:paraId="376FC712">
      <w:pPr>
        <w:pStyle w:val="46"/>
        <w:keepNext w:val="0"/>
        <w:keepLines w:val="0"/>
        <w:pageBreakBefore w:val="0"/>
        <w:widowControl w:val="0"/>
        <w:kinsoku/>
        <w:wordWrap/>
        <w:overflowPunct/>
        <w:topLinePunct w:val="0"/>
        <w:bidi w:val="0"/>
        <w:snapToGrid w:val="0"/>
        <w:spacing w:before="72" w:beforeLines="30" w:line="360" w:lineRule="auto"/>
        <w:ind w:left="0" w:firstLine="480" w:firstLineChars="200"/>
        <w:textAlignment w:val="auto"/>
        <w:rPr>
          <w:rFonts w:hint="eastAsia" w:asciiTheme="majorEastAsia" w:hAnsiTheme="majorEastAsia" w:eastAsiaTheme="majorEastAsia" w:cstheme="majorEastAsia"/>
          <w:snapToGrid w:val="0"/>
          <w:color w:val="auto"/>
          <w:kern w:val="0"/>
          <w:szCs w:val="24"/>
          <w:highlight w:val="none"/>
        </w:rPr>
      </w:pPr>
      <w:r>
        <w:rPr>
          <w:rFonts w:hint="eastAsia" w:asciiTheme="majorEastAsia" w:hAnsiTheme="majorEastAsia" w:eastAsiaTheme="majorEastAsia" w:cstheme="majorEastAsia"/>
          <w:color w:val="auto"/>
          <w:szCs w:val="24"/>
          <w:highlight w:val="none"/>
        </w:rPr>
        <w:t>5.2.3</w:t>
      </w:r>
      <w:r>
        <w:rPr>
          <w:rFonts w:hint="eastAsia" w:asciiTheme="majorEastAsia" w:hAnsiTheme="majorEastAsia" w:eastAsiaTheme="majorEastAsia" w:cstheme="majorEastAsia"/>
          <w:snapToGrid w:val="0"/>
          <w:color w:val="auto"/>
          <w:kern w:val="0"/>
          <w:szCs w:val="24"/>
          <w:highlight w:val="none"/>
        </w:rPr>
        <w:t>提交的成果</w:t>
      </w:r>
    </w:p>
    <w:p w14:paraId="5634D80D">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按报送格式提交相关数据，并提交农村公路桥梁技术状况评定分析报告。</w:t>
      </w:r>
    </w:p>
    <w:p w14:paraId="72742DF2">
      <w:pPr>
        <w:pStyle w:val="32"/>
        <w:keepNext w:val="0"/>
        <w:keepLines w:val="0"/>
        <w:pageBreakBefore w:val="0"/>
        <w:widowControl w:val="0"/>
        <w:kinsoku/>
        <w:wordWrap/>
        <w:overflowPunct/>
        <w:topLinePunct w:val="0"/>
        <w:bidi w:val="0"/>
        <w:spacing w:line="360" w:lineRule="auto"/>
        <w:ind w:firstLine="482"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b/>
          <w:bCs/>
          <w:snapToGrid w:val="0"/>
          <w:color w:val="auto"/>
          <w:highlight w:val="none"/>
          <w:lang w:val="en-US" w:eastAsia="zh-CN"/>
        </w:rPr>
        <w:t>三</w:t>
      </w:r>
      <w:r>
        <w:rPr>
          <w:rFonts w:hint="eastAsia" w:asciiTheme="majorEastAsia" w:hAnsiTheme="majorEastAsia" w:eastAsiaTheme="majorEastAsia" w:cstheme="majorEastAsia"/>
          <w:b/>
          <w:bCs/>
          <w:snapToGrid w:val="0"/>
          <w:color w:val="auto"/>
          <w:highlight w:val="none"/>
        </w:rPr>
        <w:t xml:space="preserve">、商务要求：  </w:t>
      </w:r>
      <w:r>
        <w:rPr>
          <w:rFonts w:hint="eastAsia" w:asciiTheme="majorEastAsia" w:hAnsiTheme="majorEastAsia" w:eastAsiaTheme="majorEastAsia" w:cstheme="majorEastAsia"/>
          <w:snapToGrid w:val="0"/>
          <w:color w:val="auto"/>
          <w:highlight w:val="none"/>
        </w:rPr>
        <w:t xml:space="preserve"> </w:t>
      </w:r>
    </w:p>
    <w:p w14:paraId="4339C11E">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1</w:t>
      </w:r>
      <w:r>
        <w:rPr>
          <w:rFonts w:hint="eastAsia" w:asciiTheme="majorEastAsia" w:hAnsiTheme="majorEastAsia" w:eastAsiaTheme="majorEastAsia" w:cstheme="majorEastAsia"/>
          <w:b/>
          <w:bCs/>
          <w:snapToGrid w:val="0"/>
          <w:color w:val="auto"/>
          <w:highlight w:val="none"/>
        </w:rPr>
        <w:t>.服务期限：60日历天，具体时间以招标人通知为准。</w:t>
      </w:r>
    </w:p>
    <w:p w14:paraId="625FE5C2">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2.货款支付</w:t>
      </w:r>
    </w:p>
    <w:p w14:paraId="2969286A">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2.1结付程序</w:t>
      </w:r>
    </w:p>
    <w:p w14:paraId="580D2F4C">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供方合格地履行服务义务后，凭采购方签字认可的服务报告（服务报告中包含具体的服务内容，维修工程师信息，所更换的零配件等,及采购方签字确认的服务报告）到采购单位办理款项结算手续。</w:t>
      </w:r>
    </w:p>
    <w:p w14:paraId="610B4DE2">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b/>
          <w:bCs/>
          <w:snapToGrid w:val="0"/>
          <w:color w:val="auto"/>
          <w:highlight w:val="none"/>
        </w:rPr>
      </w:pPr>
      <w:r>
        <w:rPr>
          <w:rFonts w:hint="eastAsia" w:asciiTheme="majorEastAsia" w:hAnsiTheme="majorEastAsia" w:eastAsiaTheme="majorEastAsia" w:cstheme="majorEastAsia"/>
          <w:snapToGrid w:val="0"/>
          <w:color w:val="auto"/>
          <w:highlight w:val="none"/>
        </w:rPr>
        <w:t>2.2</w:t>
      </w:r>
      <w:r>
        <w:rPr>
          <w:rFonts w:hint="eastAsia" w:asciiTheme="majorEastAsia" w:hAnsiTheme="majorEastAsia" w:eastAsiaTheme="majorEastAsia" w:cstheme="majorEastAsia"/>
          <w:b/>
          <w:bCs/>
          <w:snapToGrid w:val="0"/>
          <w:color w:val="auto"/>
          <w:highlight w:val="none"/>
        </w:rPr>
        <w:t>结付期限</w:t>
      </w:r>
    </w:p>
    <w:p w14:paraId="33DFF295">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0000FF"/>
          <w:highlight w:val="none"/>
        </w:rPr>
      </w:pPr>
      <w:r>
        <w:rPr>
          <w:rFonts w:hint="eastAsia" w:asciiTheme="majorEastAsia" w:hAnsiTheme="majorEastAsia" w:eastAsiaTheme="majorEastAsia" w:cstheme="majorEastAsia"/>
          <w:snapToGrid w:val="0"/>
          <w:color w:val="0000FF"/>
          <w:highlight w:val="none"/>
        </w:rPr>
        <w:t>合同签订后，具备服务开工条件，付合同价的30%作为预付款（支付预付款前乙方须提供发票和等价格预付款银行保函），剩余款项待项目完成、提交全部检测报告后付至合同价的70%，待通过省级电子地图系统审核后付清余款。（以上付款均无息）。</w:t>
      </w:r>
    </w:p>
    <w:p w14:paraId="156D23FB">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3.投标货币</w:t>
      </w:r>
    </w:p>
    <w:p w14:paraId="4A1A22ED">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3.1投标货币</w:t>
      </w:r>
    </w:p>
    <w:p w14:paraId="32F6A238">
      <w:pPr>
        <w:pStyle w:val="32"/>
        <w:keepNext w:val="0"/>
        <w:keepLines w:val="0"/>
        <w:pageBreakBefore w:val="0"/>
        <w:widowControl w:val="0"/>
        <w:kinsoku/>
        <w:wordWrap/>
        <w:overflowPunct/>
        <w:topLinePunct w:val="0"/>
        <w:bidi w:val="0"/>
        <w:spacing w:line="360" w:lineRule="auto"/>
        <w:ind w:firstLine="960" w:firstLineChars="4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人民币。</w:t>
      </w:r>
    </w:p>
    <w:p w14:paraId="24D3347B">
      <w:pPr>
        <w:pStyle w:val="32"/>
        <w:keepNext w:val="0"/>
        <w:keepLines w:val="0"/>
        <w:pageBreakBefore w:val="0"/>
        <w:widowControl w:val="0"/>
        <w:kinsoku/>
        <w:wordWrap/>
        <w:overflowPunct/>
        <w:topLinePunct w:val="0"/>
        <w:bidi w:val="0"/>
        <w:spacing w:line="360" w:lineRule="auto"/>
        <w:ind w:firstLine="482" w:firstLineChars="200"/>
        <w:textAlignment w:val="auto"/>
        <w:rPr>
          <w:rFonts w:hint="eastAsia" w:asciiTheme="majorEastAsia" w:hAnsiTheme="majorEastAsia" w:eastAsiaTheme="majorEastAsia" w:cstheme="majorEastAsia"/>
          <w:b/>
          <w:bCs/>
          <w:snapToGrid w:val="0"/>
          <w:color w:val="auto"/>
          <w:highlight w:val="none"/>
        </w:rPr>
      </w:pPr>
      <w:r>
        <w:rPr>
          <w:rFonts w:hint="eastAsia" w:asciiTheme="majorEastAsia" w:hAnsiTheme="majorEastAsia" w:eastAsiaTheme="majorEastAsia" w:cstheme="majorEastAsia"/>
          <w:b/>
          <w:bCs/>
          <w:snapToGrid w:val="0"/>
          <w:color w:val="auto"/>
          <w:highlight w:val="none"/>
          <w:lang w:val="en-US" w:eastAsia="zh-CN"/>
        </w:rPr>
        <w:t>四</w:t>
      </w:r>
      <w:r>
        <w:rPr>
          <w:rFonts w:hint="eastAsia" w:asciiTheme="majorEastAsia" w:hAnsiTheme="majorEastAsia" w:eastAsiaTheme="majorEastAsia" w:cstheme="majorEastAsia"/>
          <w:b/>
          <w:bCs/>
          <w:snapToGrid w:val="0"/>
          <w:color w:val="auto"/>
          <w:highlight w:val="none"/>
        </w:rPr>
        <w:t>、报价要求</w:t>
      </w:r>
    </w:p>
    <w:p w14:paraId="4CA75B3A">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1、本采购项目最高限价为人民币8</w:t>
      </w:r>
      <w:r>
        <w:rPr>
          <w:rFonts w:hint="eastAsia" w:asciiTheme="majorEastAsia" w:hAnsiTheme="majorEastAsia" w:eastAsiaTheme="majorEastAsia" w:cstheme="majorEastAsia"/>
          <w:snapToGrid w:val="0"/>
          <w:color w:val="auto"/>
          <w:highlight w:val="none"/>
          <w:lang w:val="en-US" w:eastAsia="zh-CN"/>
        </w:rPr>
        <w:t>0</w:t>
      </w:r>
      <w:r>
        <w:rPr>
          <w:rFonts w:hint="eastAsia" w:asciiTheme="majorEastAsia" w:hAnsiTheme="majorEastAsia" w:eastAsiaTheme="majorEastAsia" w:cstheme="majorEastAsia"/>
          <w:snapToGrid w:val="0"/>
          <w:color w:val="auto"/>
          <w:highlight w:val="none"/>
        </w:rPr>
        <w:t>万元，采购人不接受高于此限价的投标文件，高于此限价的投标文件为无效投标。</w:t>
      </w:r>
    </w:p>
    <w:p w14:paraId="0DDCEAD3">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2、供应商应在对采购项目内容、数量、质量和技术指标内容全部认可的前提下报价。无论情况如何，招标人均认为供应商已对所采购项目的所有条件有了充分了解。招标人对供应商做出的任何推论、理解和结论均不负责任。</w:t>
      </w:r>
    </w:p>
    <w:p w14:paraId="11B9B18B">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3、供应商在投标报价单中未填报综合单价、合价的清单项目，招标人视为已包括在清单计价的其他报价中，无论何种原因，结算时均不作调整。</w:t>
      </w:r>
    </w:p>
    <w:p w14:paraId="5DE63636">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4、报价中要求包括此次招标采购、安装及衍生服务的所有费用。报价是供应商对本次采购、安装及衍生服务提出的各项支付金额的总和。报价应包括供应商为完成本次采购文件所确定的采购、安装及衍生服务范围内的全部内容，以及供应商为完成上述内容所必须的质量保证与技术支持、供货（含运输及保险、送货至指定安装地点的上、下力资等）、安装、验收、检测（含提供检测报告等技术资料）、售后服务以及辅材、劳务、机械投入、利润、税金、代理服务费用和政策性文件规定的各项所需的全部费用。</w:t>
      </w:r>
    </w:p>
    <w:p w14:paraId="377C48F2">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5、供应商根据自己的经营状况和掌握的市场信息自主报价。决定供应商投标文件的响应性只根据投标文件本身的内容，而不寻求外部的证据。</w:t>
      </w:r>
    </w:p>
    <w:p w14:paraId="4C5C9209">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6、供应商应对采购文件中的条款做到正确理解，有疑义的条款应在采购答疑时提出，有疑义又没有在采购答疑时提出的，应按招标人的解释为准。</w:t>
      </w:r>
    </w:p>
    <w:p w14:paraId="218DB878">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7、要求报价单的每一页都必须盖投标单位公章。</w:t>
      </w:r>
    </w:p>
    <w:p w14:paraId="3CD60D91">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六、应充分响应的技术规范和商务条款</w:t>
      </w:r>
    </w:p>
    <w:p w14:paraId="3401A161">
      <w:pPr>
        <w:pStyle w:val="32"/>
        <w:keepNext w:val="0"/>
        <w:keepLines w:val="0"/>
        <w:pageBreakBefore w:val="0"/>
        <w:widowControl w:val="0"/>
        <w:kinsoku/>
        <w:wordWrap/>
        <w:overflowPunct/>
        <w:topLinePunct w:val="0"/>
        <w:bidi w:val="0"/>
        <w:spacing w:line="360" w:lineRule="auto"/>
        <w:ind w:firstLine="480" w:firstLineChars="200"/>
        <w:textAlignment w:val="auto"/>
        <w:rPr>
          <w:rFonts w:hint="eastAsia" w:asciiTheme="majorEastAsia" w:hAnsiTheme="majorEastAsia" w:eastAsiaTheme="majorEastAsia" w:cstheme="majorEastAsia"/>
          <w:snapToGrid w:val="0"/>
          <w:color w:val="auto"/>
          <w:highlight w:val="none"/>
        </w:rPr>
      </w:pPr>
      <w:r>
        <w:rPr>
          <w:rFonts w:hint="eastAsia" w:asciiTheme="majorEastAsia" w:hAnsiTheme="majorEastAsia" w:eastAsiaTheme="majorEastAsia" w:cstheme="majorEastAsia"/>
          <w:snapToGrid w:val="0"/>
          <w:color w:val="auto"/>
          <w:highlight w:val="none"/>
        </w:rPr>
        <w:t>本文件所提出的技术规范及要求、付款方式、交货地点、交货时间、保修期限、服务内容等重要商务要求，投标人应充分响应，否则评标委员会有权酌情认定为实质性或重大负偏离。</w:t>
      </w:r>
    </w:p>
    <w:p w14:paraId="445154BF">
      <w:pPr>
        <w:keepNext w:val="0"/>
        <w:keepLines w:val="0"/>
        <w:pageBreakBefore w:val="0"/>
        <w:widowControl w:val="0"/>
        <w:kinsoku/>
        <w:wordWrap/>
        <w:overflowPunct/>
        <w:topLinePunct w:val="0"/>
        <w:bidi w:val="0"/>
        <w:spacing w:line="360" w:lineRule="auto"/>
        <w:ind w:firstLine="482" w:firstLineChars="200"/>
        <w:textAlignment w:val="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五</w:t>
      </w:r>
      <w:r>
        <w:rPr>
          <w:rFonts w:hint="eastAsia" w:asciiTheme="majorEastAsia" w:hAnsiTheme="majorEastAsia" w:eastAsiaTheme="majorEastAsia" w:cstheme="majorEastAsia"/>
          <w:b/>
          <w:bCs/>
          <w:color w:val="auto"/>
          <w:sz w:val="24"/>
          <w:szCs w:val="24"/>
          <w:highlight w:val="none"/>
        </w:rPr>
        <w:t>.采购标的对应的中小企业划分标准所属行业一览表</w:t>
      </w:r>
    </w:p>
    <w:tbl>
      <w:tblPr>
        <w:tblStyle w:val="27"/>
        <w:tblpPr w:leftFromText="180" w:rightFromText="180" w:vertAnchor="text" w:horzAnchor="page" w:tblpX="2302" w:tblpY="18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3687"/>
        <w:gridCol w:w="4092"/>
      </w:tblGrid>
      <w:tr w14:paraId="0AFBC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43" w:type="dxa"/>
          </w:tcPr>
          <w:p w14:paraId="7F2CFE0C">
            <w:pPr>
              <w:pStyle w:val="23"/>
              <w:widowControl w:val="0"/>
              <w:spacing w:before="240" w:beforeAutospacing="0" w:after="240" w:afterAutospacing="0" w:line="360" w:lineRule="auto"/>
              <w:jc w:val="center"/>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color w:val="auto"/>
                <w:highlight w:val="none"/>
              </w:rPr>
              <w:t>序号</w:t>
            </w:r>
          </w:p>
        </w:tc>
        <w:tc>
          <w:tcPr>
            <w:tcW w:w="3687" w:type="dxa"/>
          </w:tcPr>
          <w:p w14:paraId="7C1B0A51">
            <w:pPr>
              <w:pStyle w:val="23"/>
              <w:widowControl w:val="0"/>
              <w:spacing w:before="240" w:beforeAutospacing="0" w:after="240" w:afterAutospacing="0" w:line="360" w:lineRule="auto"/>
              <w:jc w:val="center"/>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color w:val="auto"/>
                <w:highlight w:val="none"/>
              </w:rPr>
              <w:t>采购标的</w:t>
            </w:r>
          </w:p>
        </w:tc>
        <w:tc>
          <w:tcPr>
            <w:tcW w:w="4092" w:type="dxa"/>
          </w:tcPr>
          <w:p w14:paraId="3467BE49">
            <w:pPr>
              <w:pStyle w:val="23"/>
              <w:widowControl w:val="0"/>
              <w:spacing w:before="240" w:beforeAutospacing="0" w:after="240" w:afterAutospacing="0" w:line="360" w:lineRule="auto"/>
              <w:jc w:val="center"/>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color w:val="auto"/>
                <w:highlight w:val="none"/>
              </w:rPr>
              <w:t>对应中小企业划分标准所属行业</w:t>
            </w:r>
          </w:p>
        </w:tc>
      </w:tr>
      <w:tr w14:paraId="0850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743" w:type="dxa"/>
          </w:tcPr>
          <w:p w14:paraId="7963EBDE">
            <w:pPr>
              <w:spacing w:line="360" w:lineRule="auto"/>
              <w:jc w:val="center"/>
              <w:rPr>
                <w:rFonts w:hint="eastAsia" w:asciiTheme="majorEastAsia" w:hAnsiTheme="majorEastAsia" w:eastAsiaTheme="majorEastAsia" w:cstheme="majorEastAsia"/>
                <w:color w:val="auto"/>
                <w:sz w:val="24"/>
                <w:szCs w:val="24"/>
                <w:highlight w:val="none"/>
              </w:rPr>
            </w:pPr>
          </w:p>
          <w:p w14:paraId="095C95C5">
            <w:pPr>
              <w:spacing w:line="360" w:lineRule="auto"/>
              <w:ind w:firstLine="240" w:firstLineChars="1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3687" w:type="dxa"/>
          </w:tcPr>
          <w:p w14:paraId="3FEA4C41">
            <w:pPr>
              <w:pStyle w:val="23"/>
              <w:widowControl w:val="0"/>
              <w:spacing w:before="240" w:beforeAutospacing="0" w:after="240" w:afterAutospacing="0" w:line="360" w:lineRule="auto"/>
              <w:jc w:val="center"/>
              <w:rPr>
                <w:rFonts w:hint="eastAsia" w:asciiTheme="majorEastAsia" w:hAnsiTheme="majorEastAsia" w:eastAsiaTheme="majorEastAsia" w:cstheme="majorEastAsia"/>
                <w:b/>
                <w:bCs/>
                <w:color w:val="auto"/>
                <w:highlight w:val="none"/>
                <w:lang w:eastAsia="zh-CN"/>
              </w:rPr>
            </w:pPr>
            <w:r>
              <w:rPr>
                <w:rFonts w:hint="eastAsia" w:asciiTheme="majorEastAsia" w:hAnsiTheme="majorEastAsia" w:eastAsiaTheme="majorEastAsia" w:cstheme="majorEastAsia"/>
                <w:color w:val="auto"/>
                <w:highlight w:val="none"/>
                <w:lang w:eastAsia="zh-CN"/>
              </w:rPr>
              <w:t>阜宁县2025年农村公路桥梁定期检查和特殊检查项目（二次）</w:t>
            </w:r>
          </w:p>
        </w:tc>
        <w:tc>
          <w:tcPr>
            <w:tcW w:w="4092" w:type="dxa"/>
          </w:tcPr>
          <w:p w14:paraId="1A7C4177">
            <w:pPr>
              <w:pStyle w:val="23"/>
              <w:widowControl w:val="0"/>
              <w:spacing w:before="240" w:beforeAutospacing="0" w:after="240" w:afterAutospacing="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其他未列明行业 </w:t>
            </w:r>
          </w:p>
          <w:p w14:paraId="2BE842A1">
            <w:pPr>
              <w:spacing w:line="360" w:lineRule="auto"/>
              <w:rPr>
                <w:rFonts w:hint="eastAsia" w:asciiTheme="majorEastAsia" w:hAnsiTheme="majorEastAsia" w:eastAsiaTheme="majorEastAsia" w:cstheme="majorEastAsia"/>
                <w:b/>
                <w:bCs/>
                <w:color w:val="auto"/>
                <w:sz w:val="24"/>
                <w:szCs w:val="24"/>
                <w:highlight w:val="none"/>
              </w:rPr>
            </w:pPr>
          </w:p>
        </w:tc>
      </w:tr>
    </w:tbl>
    <w:p w14:paraId="242772C9">
      <w:pPr>
        <w:spacing w:line="360" w:lineRule="auto"/>
        <w:rPr>
          <w:rFonts w:hint="eastAsia" w:asciiTheme="majorEastAsia" w:hAnsiTheme="majorEastAsia" w:eastAsiaTheme="majorEastAsia" w:cstheme="majorEastAsia"/>
          <w:b/>
          <w:bCs/>
          <w:color w:val="auto"/>
          <w:sz w:val="24"/>
          <w:szCs w:val="24"/>
          <w:highlight w:val="none"/>
        </w:rPr>
      </w:pPr>
    </w:p>
    <w:p w14:paraId="186B4E68">
      <w:pPr>
        <w:spacing w:line="360" w:lineRule="auto"/>
        <w:ind w:firstLine="493"/>
        <w:rPr>
          <w:rFonts w:hint="eastAsia" w:asciiTheme="majorEastAsia" w:hAnsiTheme="majorEastAsia" w:eastAsiaTheme="majorEastAsia" w:cstheme="majorEastAsia"/>
          <w:bCs/>
          <w:color w:val="auto"/>
          <w:sz w:val="36"/>
          <w:szCs w:val="36"/>
          <w:highlight w:val="none"/>
        </w:rPr>
      </w:pPr>
      <w:r>
        <w:rPr>
          <w:rFonts w:hint="eastAsia" w:asciiTheme="majorEastAsia" w:hAnsiTheme="majorEastAsia" w:eastAsiaTheme="majorEastAsia" w:cstheme="majorEastAsia"/>
          <w:bCs/>
          <w:color w:val="auto"/>
          <w:sz w:val="36"/>
          <w:szCs w:val="36"/>
          <w:highlight w:val="none"/>
        </w:rPr>
        <w:br w:type="page"/>
      </w:r>
    </w:p>
    <w:p w14:paraId="67ABA6E6">
      <w:pPr>
        <w:pStyle w:val="4"/>
        <w:numPr>
          <w:ilvl w:val="0"/>
          <w:numId w:val="1"/>
        </w:numPr>
        <w:spacing w:line="360" w:lineRule="auto"/>
        <w:rPr>
          <w:rFonts w:hint="eastAsia" w:asciiTheme="majorEastAsia" w:hAnsiTheme="majorEastAsia" w:eastAsiaTheme="majorEastAsia" w:cstheme="majorEastAsia"/>
          <w:b/>
          <w:bCs/>
          <w:color w:val="auto"/>
          <w:sz w:val="36"/>
          <w:szCs w:val="36"/>
          <w:highlight w:val="none"/>
        </w:rPr>
      </w:pPr>
      <w:bookmarkStart w:id="128" w:name="_Toc26135"/>
      <w:r>
        <w:rPr>
          <w:rFonts w:hint="eastAsia" w:asciiTheme="majorEastAsia" w:hAnsiTheme="majorEastAsia" w:eastAsiaTheme="majorEastAsia" w:cstheme="majorEastAsia"/>
          <w:bCs/>
          <w:color w:val="auto"/>
          <w:sz w:val="36"/>
          <w:szCs w:val="36"/>
          <w:highlight w:val="none"/>
        </w:rPr>
        <w:t xml:space="preserve"> </w:t>
      </w:r>
      <w:r>
        <w:rPr>
          <w:rFonts w:hint="eastAsia" w:asciiTheme="majorEastAsia" w:hAnsiTheme="majorEastAsia" w:eastAsiaTheme="majorEastAsia" w:cstheme="majorEastAsia"/>
          <w:b/>
          <w:bCs/>
          <w:color w:val="auto"/>
          <w:sz w:val="36"/>
          <w:szCs w:val="36"/>
          <w:highlight w:val="none"/>
        </w:rPr>
        <w:t>评标方法与评标标准</w:t>
      </w:r>
      <w:bookmarkEnd w:id="124"/>
      <w:bookmarkEnd w:id="128"/>
    </w:p>
    <w:p w14:paraId="17CD84B0">
      <w:pPr>
        <w:numPr>
          <w:ilvl w:val="0"/>
          <w:numId w:val="0"/>
        </w:numPr>
        <w:spacing w:line="360" w:lineRule="auto"/>
        <w:rPr>
          <w:rFonts w:hint="eastAsia" w:asciiTheme="majorEastAsia" w:hAnsiTheme="majorEastAsia" w:eastAsiaTheme="majorEastAsia" w:cstheme="majorEastAsia"/>
          <w:color w:val="auto"/>
          <w:highlight w:val="none"/>
        </w:rPr>
      </w:pPr>
    </w:p>
    <w:p w14:paraId="3F2EAB75">
      <w:pPr>
        <w:snapToGrid w:val="0"/>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一、定标原则</w:t>
      </w:r>
    </w:p>
    <w:p w14:paraId="7C74828A">
      <w:pPr>
        <w:snapToGrid w:val="0"/>
        <w:spacing w:line="360" w:lineRule="auto"/>
        <w:ind w:firstLine="480" w:firstLineChars="20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Cs/>
          <w:color w:val="auto"/>
          <w:sz w:val="24"/>
          <w:szCs w:val="24"/>
          <w:highlight w:val="none"/>
        </w:rPr>
        <w:t>本项目采用</w:t>
      </w:r>
      <w:r>
        <w:rPr>
          <w:rFonts w:hint="eastAsia" w:asciiTheme="majorEastAsia" w:hAnsiTheme="majorEastAsia" w:eastAsiaTheme="majorEastAsia" w:cstheme="majorEastAsia"/>
          <w:bCs/>
          <w:color w:val="auto"/>
          <w:sz w:val="24"/>
          <w:szCs w:val="24"/>
          <w:highlight w:val="none"/>
          <w:u w:val="single"/>
        </w:rPr>
        <w:t>综合评分</w:t>
      </w:r>
      <w:r>
        <w:rPr>
          <w:rFonts w:hint="eastAsia" w:asciiTheme="majorEastAsia" w:hAnsiTheme="majorEastAsia" w:eastAsiaTheme="majorEastAsia" w:cstheme="majorEastAsia"/>
          <w:bCs/>
          <w:color w:val="auto"/>
          <w:sz w:val="24"/>
          <w:szCs w:val="24"/>
          <w:highlight w:val="none"/>
        </w:rPr>
        <w:t>法。</w:t>
      </w:r>
      <w:r>
        <w:rPr>
          <w:rFonts w:hint="eastAsia" w:asciiTheme="majorEastAsia" w:hAnsiTheme="majorEastAsia" w:eastAsiaTheme="majorEastAsia" w:cstheme="majorEastAsia"/>
          <w:color w:val="auto"/>
          <w:kern w:val="0"/>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1CC0DC93">
      <w:pPr>
        <w:widowControl/>
        <w:spacing w:line="360" w:lineRule="auto"/>
        <w:ind w:right="0" w:rightChars="0"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政府采购政策功能落实</w:t>
      </w:r>
    </w:p>
    <w:p w14:paraId="3F6E3527">
      <w:pPr>
        <w:widowControl/>
        <w:spacing w:line="360" w:lineRule="auto"/>
        <w:ind w:firstLine="720" w:firstLineChars="3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1、小微型企业价格扣除</w:t>
      </w:r>
    </w:p>
    <w:p w14:paraId="39D3454E">
      <w:pPr>
        <w:widowControl/>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（1）本项目对小型和微型企业产品给予</w:t>
      </w:r>
      <w:r>
        <w:rPr>
          <w:rFonts w:hint="eastAsia" w:asciiTheme="majorEastAsia" w:hAnsiTheme="majorEastAsia" w:eastAsiaTheme="majorEastAsia" w:cstheme="majorEastAsia"/>
          <w:color w:val="auto"/>
          <w:sz w:val="24"/>
          <w:szCs w:val="24"/>
          <w:highlight w:val="none"/>
          <w:u w:val="single"/>
        </w:rPr>
        <w:t>20%</w:t>
      </w:r>
      <w:r>
        <w:rPr>
          <w:rFonts w:hint="eastAsia" w:asciiTheme="majorEastAsia" w:hAnsiTheme="majorEastAsia" w:eastAsiaTheme="majorEastAsia" w:cstheme="majorEastAsia"/>
          <w:color w:val="auto"/>
          <w:sz w:val="24"/>
          <w:szCs w:val="24"/>
          <w:highlight w:val="none"/>
        </w:rPr>
        <w:t>的扣除价格，用扣除后的价格参与评审。</w:t>
      </w:r>
    </w:p>
    <w:p w14:paraId="79169939">
      <w:pPr>
        <w:widowControl/>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（2）供应商需按照采购文件的要求提供相应的《企业声明函》。</w:t>
      </w:r>
    </w:p>
    <w:p w14:paraId="73012261">
      <w:pPr>
        <w:widowControl/>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（3）企业标准请参照《关于印发中小企业划型标准规定的通知》（工信部联企业[2011]300号）文件规定自行填写。</w:t>
      </w:r>
    </w:p>
    <w:p w14:paraId="09304649">
      <w:pPr>
        <w:spacing w:line="360" w:lineRule="auto"/>
        <w:ind w:firstLine="720" w:firstLineChars="3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2、残疾人福利单位价格扣除</w:t>
      </w:r>
    </w:p>
    <w:p w14:paraId="1C0519B7">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（1）本项目对残疾人福利性单位视同小型、微型企业，给予20%的价格扣除，用扣除后的价格参与评审。</w:t>
      </w:r>
    </w:p>
    <w:p w14:paraId="0AB847FE">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（2）残疾人福利单位需按照采购文件的要求提供《残疾人福利性单位声明函》。</w:t>
      </w:r>
    </w:p>
    <w:p w14:paraId="5AAE8BD3">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（3）残疾人福利单位标准请参照《关于促进残疾人就业政府采购政策的通知》（财库〔2017〕141号）。</w:t>
      </w:r>
    </w:p>
    <w:p w14:paraId="75371276">
      <w:pPr>
        <w:spacing w:line="360" w:lineRule="auto"/>
        <w:ind w:firstLine="720" w:firstLineChars="3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3、监狱和戒毒企业价格扣除</w:t>
      </w:r>
    </w:p>
    <w:p w14:paraId="5CCC3FE3">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（1）本项目对监狱和戒毒企业（简称监狱企业）视同小型、微型企业，给予20%的价格扣除，用扣除后的价格参与评审。</w:t>
      </w:r>
    </w:p>
    <w:p w14:paraId="22BBCD98">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9CB09CD">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（3）监狱企业标准请参照《关于政府采购支持监狱企业发展有关问题的通知》（财库[2014]68号）。</w:t>
      </w:r>
    </w:p>
    <w:p w14:paraId="1D43BF30">
      <w:pPr>
        <w:spacing w:line="360" w:lineRule="auto"/>
        <w:ind w:firstLine="720" w:firstLineChars="3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4、残疾人福利单位、监狱企业属于小型、微型企业的，不重复享受政策。</w:t>
      </w:r>
    </w:p>
    <w:p w14:paraId="01377553">
      <w:pPr>
        <w:snapToGrid w:val="0"/>
        <w:spacing w:line="360" w:lineRule="auto"/>
        <w:rPr>
          <w:rFonts w:hint="eastAsia" w:asciiTheme="majorEastAsia" w:hAnsiTheme="majorEastAsia" w:eastAsiaTheme="majorEastAsia" w:cstheme="majorEastAsia"/>
          <w:b/>
          <w:bCs/>
          <w:color w:val="auto"/>
          <w:sz w:val="24"/>
          <w:szCs w:val="24"/>
          <w:highlight w:val="none"/>
        </w:rPr>
      </w:pPr>
    </w:p>
    <w:p w14:paraId="344A5576">
      <w:pPr>
        <w:snapToGrid w:val="0"/>
        <w:spacing w:line="360" w:lineRule="auto"/>
        <w:rPr>
          <w:rFonts w:hint="eastAsia" w:asciiTheme="majorEastAsia" w:hAnsiTheme="majorEastAsia" w:eastAsiaTheme="majorEastAsia" w:cstheme="majorEastAsia"/>
          <w:b/>
          <w:bCs/>
          <w:color w:val="auto"/>
          <w:sz w:val="24"/>
          <w:szCs w:val="24"/>
          <w:highlight w:val="none"/>
        </w:rPr>
      </w:pPr>
    </w:p>
    <w:bookmarkEnd w:id="125"/>
    <w:bookmarkEnd w:id="126"/>
    <w:bookmarkEnd w:id="127"/>
    <w:p w14:paraId="4B0A5360">
      <w:pPr>
        <w:numPr>
          <w:ilvl w:val="0"/>
          <w:numId w:val="2"/>
        </w:numPr>
        <w:snapToGrid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评审方法与评审标准</w:t>
      </w:r>
    </w:p>
    <w:tbl>
      <w:tblPr>
        <w:tblStyle w:val="26"/>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9"/>
        <w:gridCol w:w="1674"/>
        <w:gridCol w:w="795"/>
        <w:gridCol w:w="6292"/>
      </w:tblGrid>
      <w:tr w14:paraId="2C816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89" w:type="dxa"/>
            <w:vAlign w:val="center"/>
          </w:tcPr>
          <w:p w14:paraId="79AA0EDE">
            <w:pPr>
              <w:spacing w:line="360" w:lineRule="auto"/>
              <w:jc w:val="cente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序号</w:t>
            </w:r>
          </w:p>
        </w:tc>
        <w:tc>
          <w:tcPr>
            <w:tcW w:w="1674" w:type="dxa"/>
            <w:vAlign w:val="center"/>
          </w:tcPr>
          <w:p w14:paraId="0C096232">
            <w:pPr>
              <w:spacing w:line="360" w:lineRule="auto"/>
              <w:jc w:val="cente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评分因素</w:t>
            </w:r>
          </w:p>
        </w:tc>
        <w:tc>
          <w:tcPr>
            <w:tcW w:w="795" w:type="dxa"/>
            <w:vAlign w:val="center"/>
          </w:tcPr>
          <w:p w14:paraId="5F08E244">
            <w:pPr>
              <w:spacing w:line="360" w:lineRule="auto"/>
              <w:jc w:val="cente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分值</w:t>
            </w:r>
          </w:p>
        </w:tc>
        <w:tc>
          <w:tcPr>
            <w:tcW w:w="6292" w:type="dxa"/>
            <w:vAlign w:val="center"/>
          </w:tcPr>
          <w:p w14:paraId="72DD3D31">
            <w:pPr>
              <w:spacing w:line="360" w:lineRule="auto"/>
              <w:jc w:val="cente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评分标准</w:t>
            </w:r>
          </w:p>
        </w:tc>
      </w:tr>
      <w:tr w14:paraId="30EA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89" w:type="dxa"/>
            <w:vAlign w:val="center"/>
          </w:tcPr>
          <w:p w14:paraId="0FFAF0D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674" w:type="dxa"/>
            <w:vAlign w:val="center"/>
          </w:tcPr>
          <w:p w14:paraId="01BFF81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报价部分</w:t>
            </w:r>
          </w:p>
        </w:tc>
        <w:tc>
          <w:tcPr>
            <w:tcW w:w="795" w:type="dxa"/>
            <w:vAlign w:val="center"/>
          </w:tcPr>
          <w:p w14:paraId="6115721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50分</w:t>
            </w:r>
          </w:p>
        </w:tc>
        <w:tc>
          <w:tcPr>
            <w:tcW w:w="6292" w:type="dxa"/>
            <w:vAlign w:val="center"/>
          </w:tcPr>
          <w:p w14:paraId="1D0D5480">
            <w:pPr>
              <w:spacing w:line="360" w:lineRule="auto"/>
              <w:ind w:firstLine="480" w:firstLineChars="200"/>
              <w:rPr>
                <w:color w:val="auto"/>
                <w:sz w:val="24"/>
                <w:szCs w:val="24"/>
                <w:highlight w:val="none"/>
                <w:lang w:val="zh-CN"/>
              </w:rPr>
            </w:pPr>
            <w:r>
              <w:rPr>
                <w:rFonts w:hint="eastAsia" w:ascii="宋体" w:hAnsi="宋体"/>
                <w:color w:val="auto"/>
                <w:sz w:val="24"/>
                <w:szCs w:val="24"/>
                <w:highlight w:val="none"/>
              </w:rPr>
              <w:t>满足招标文件要求且投标价格最低的投标报价为评标基准价，投标报价得分</w:t>
            </w:r>
            <w:r>
              <w:rPr>
                <w:rFonts w:hint="eastAsia" w:ascii="微软雅黑" w:hAnsi="微软雅黑" w:eastAsia="微软雅黑" w:cs="微软雅黑"/>
                <w:color w:val="auto"/>
                <w:sz w:val="24"/>
                <w:szCs w:val="24"/>
                <w:highlight w:val="none"/>
              </w:rPr>
              <w:t>=</w:t>
            </w:r>
            <w:r>
              <w:rPr>
                <w:rFonts w:hint="eastAsia" w:ascii="宋体" w:hAnsi="宋体"/>
                <w:color w:val="auto"/>
                <w:sz w:val="24"/>
                <w:szCs w:val="24"/>
                <w:highlight w:val="none"/>
              </w:rPr>
              <w:t>（评标基准价／投标报价）×50，计算分数时四舍五入取小数点后两位</w:t>
            </w:r>
            <w:r>
              <w:rPr>
                <w:rFonts w:hint="eastAsia" w:ascii="宋体" w:hAnsi="宋体"/>
                <w:color w:val="auto"/>
                <w:sz w:val="24"/>
                <w:szCs w:val="24"/>
                <w:highlight w:val="none"/>
                <w:lang w:eastAsia="zh-CN"/>
              </w:rPr>
              <w:t>，</w:t>
            </w:r>
            <w:r>
              <w:rPr>
                <w:rFonts w:hint="eastAsia" w:ascii="宋体" w:hAnsi="宋体"/>
                <w:color w:val="auto"/>
                <w:sz w:val="24"/>
                <w:szCs w:val="24"/>
                <w:highlight w:val="none"/>
              </w:rPr>
              <w:t>（按四舍五入取至小数点后两位）</w:t>
            </w:r>
          </w:p>
        </w:tc>
      </w:tr>
      <w:tr w14:paraId="48E15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89" w:type="dxa"/>
            <w:vAlign w:val="center"/>
          </w:tcPr>
          <w:p w14:paraId="2FD9B34F">
            <w:pPr>
              <w:spacing w:line="360" w:lineRule="auto"/>
              <w:ind w:firstLine="240" w:firstLineChars="1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p>
        </w:tc>
        <w:tc>
          <w:tcPr>
            <w:tcW w:w="1674" w:type="dxa"/>
            <w:vAlign w:val="center"/>
          </w:tcPr>
          <w:p w14:paraId="5FEFC3FB">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人员配置</w:t>
            </w:r>
          </w:p>
        </w:tc>
        <w:tc>
          <w:tcPr>
            <w:tcW w:w="795" w:type="dxa"/>
            <w:vAlign w:val="center"/>
          </w:tcPr>
          <w:p w14:paraId="0933E23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14分</w:t>
            </w:r>
          </w:p>
        </w:tc>
        <w:tc>
          <w:tcPr>
            <w:tcW w:w="6292" w:type="dxa"/>
            <w:vAlign w:val="center"/>
          </w:tcPr>
          <w:p w14:paraId="2E943180">
            <w:pPr>
              <w:spacing w:line="360" w:lineRule="auto"/>
              <w:ind w:firstLine="480" w:firstLineChars="200"/>
              <w:rPr>
                <w:rFonts w:hint="eastAsia" w:ascii="宋体" w:hAnsi="宋体"/>
                <w:color w:val="auto"/>
                <w:sz w:val="24"/>
                <w:szCs w:val="24"/>
                <w:highlight w:val="none"/>
                <w:lang w:val="zh-TW"/>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val="zh-TW"/>
              </w:rPr>
              <w:t>项目负责人具有公路工程相关专业的正高级工程师证书得2分； 本项最高得2分。</w:t>
            </w:r>
          </w:p>
          <w:p w14:paraId="39DBAF15">
            <w:pPr>
              <w:spacing w:line="360" w:lineRule="auto"/>
              <w:ind w:firstLine="480" w:firstLineChars="200"/>
              <w:rPr>
                <w:rFonts w:hint="eastAsia" w:ascii="宋体" w:hAnsi="宋体"/>
                <w:color w:val="auto"/>
                <w:sz w:val="24"/>
                <w:szCs w:val="24"/>
                <w:highlight w:val="none"/>
                <w:lang w:val="zh-TW"/>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val="zh-TW"/>
              </w:rPr>
              <w:t>技术负责人具有公路工程相关专业的</w:t>
            </w:r>
            <w:r>
              <w:rPr>
                <w:rFonts w:hint="eastAsia" w:ascii="宋体" w:hAnsi="宋体"/>
                <w:color w:val="auto"/>
                <w:sz w:val="24"/>
                <w:szCs w:val="24"/>
                <w:highlight w:val="none"/>
                <w:lang w:val="en-US" w:eastAsia="zh-CN"/>
              </w:rPr>
              <w:t>副</w:t>
            </w:r>
            <w:r>
              <w:rPr>
                <w:rFonts w:hint="eastAsia" w:ascii="宋体" w:hAnsi="宋体"/>
                <w:color w:val="auto"/>
                <w:sz w:val="24"/>
                <w:szCs w:val="24"/>
                <w:highlight w:val="none"/>
                <w:lang w:val="zh-TW"/>
              </w:rPr>
              <w:t>高级</w:t>
            </w:r>
            <w:r>
              <w:rPr>
                <w:rFonts w:hint="eastAsia" w:ascii="宋体" w:hAnsi="宋体"/>
                <w:color w:val="auto"/>
                <w:sz w:val="24"/>
                <w:szCs w:val="24"/>
                <w:highlight w:val="none"/>
                <w:lang w:val="en-US" w:eastAsia="zh-CN"/>
              </w:rPr>
              <w:t>及以上</w:t>
            </w:r>
            <w:r>
              <w:rPr>
                <w:rFonts w:hint="eastAsia" w:ascii="宋体" w:hAnsi="宋体"/>
                <w:color w:val="auto"/>
                <w:sz w:val="24"/>
                <w:szCs w:val="24"/>
                <w:highlight w:val="none"/>
                <w:lang w:val="zh-TW"/>
              </w:rPr>
              <w:t>工程师证书得2分； 本项最高得2分。</w:t>
            </w:r>
          </w:p>
          <w:p w14:paraId="018CA3B9">
            <w:pPr>
              <w:spacing w:line="360" w:lineRule="auto"/>
              <w:ind w:firstLine="480" w:firstLineChars="200"/>
              <w:rPr>
                <w:rFonts w:hint="eastAsia" w:ascii="宋体" w:hAnsi="宋体"/>
                <w:color w:val="auto"/>
                <w:sz w:val="24"/>
                <w:szCs w:val="24"/>
                <w:highlight w:val="none"/>
                <w:lang w:val="zh-TW"/>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TW"/>
              </w:rPr>
              <w:t>拟投入项目组成员（除项目负责人和技术负责人外）：项目组成员中</w:t>
            </w:r>
            <w:r>
              <w:rPr>
                <w:rFonts w:hint="eastAsia" w:ascii="宋体" w:hAnsi="宋体"/>
                <w:color w:val="auto"/>
                <w:sz w:val="24"/>
                <w:szCs w:val="24"/>
                <w:highlight w:val="none"/>
                <w:lang w:val="zh-TW" w:eastAsia="zh-CN"/>
              </w:rPr>
              <w:t>的</w:t>
            </w:r>
            <w:r>
              <w:rPr>
                <w:rFonts w:hint="eastAsia" w:ascii="宋体" w:hAnsi="宋体"/>
                <w:color w:val="auto"/>
                <w:sz w:val="24"/>
                <w:szCs w:val="24"/>
                <w:highlight w:val="none"/>
                <w:lang w:val="zh-TW"/>
              </w:rPr>
              <w:t>检测员具有试验检测工程师证书（桥梁或桥梁隧道工程专业），</w:t>
            </w:r>
            <w:r>
              <w:rPr>
                <w:rFonts w:hint="eastAsia" w:ascii="宋体" w:hAnsi="宋体"/>
                <w:color w:val="auto"/>
                <w:sz w:val="24"/>
                <w:szCs w:val="24"/>
                <w:highlight w:val="none"/>
                <w:lang w:val="en-US" w:eastAsia="zh-CN"/>
              </w:rPr>
              <w:t>每提供一本证书的</w:t>
            </w:r>
            <w:r>
              <w:rPr>
                <w:rFonts w:hint="eastAsia" w:ascii="宋体" w:hAnsi="宋体"/>
                <w:color w:val="auto"/>
                <w:sz w:val="24"/>
                <w:szCs w:val="24"/>
                <w:highlight w:val="none"/>
                <w:lang w:val="zh-TW"/>
              </w:rPr>
              <w:t>得2分，最高得6分；</w:t>
            </w:r>
          </w:p>
          <w:p w14:paraId="0B6FBFB9">
            <w:pPr>
              <w:spacing w:line="360" w:lineRule="auto"/>
              <w:ind w:firstLine="480" w:firstLineChars="200"/>
              <w:rPr>
                <w:rFonts w:hint="eastAsia" w:ascii="宋体" w:hAnsi="宋体"/>
                <w:color w:val="auto"/>
                <w:sz w:val="24"/>
                <w:szCs w:val="24"/>
                <w:highlight w:val="none"/>
                <w:lang w:val="zh-TW"/>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TW"/>
              </w:rPr>
              <w:t>项目组成员中</w:t>
            </w:r>
            <w:r>
              <w:rPr>
                <w:rFonts w:hint="eastAsia" w:ascii="宋体" w:hAnsi="宋体"/>
                <w:color w:val="auto"/>
                <w:sz w:val="24"/>
                <w:szCs w:val="24"/>
                <w:highlight w:val="none"/>
                <w:lang w:val="zh-TW" w:eastAsia="zh-CN"/>
              </w:rPr>
              <w:t>的</w:t>
            </w:r>
            <w:r>
              <w:rPr>
                <w:rFonts w:hint="eastAsia" w:ascii="宋体" w:hAnsi="宋体"/>
                <w:color w:val="auto"/>
                <w:sz w:val="24"/>
                <w:szCs w:val="24"/>
                <w:highlight w:val="none"/>
                <w:lang w:val="zh-TW"/>
              </w:rPr>
              <w:t>安全员具有注册安全工程师证书的，</w:t>
            </w:r>
            <w:r>
              <w:rPr>
                <w:rFonts w:hint="eastAsia" w:ascii="宋体" w:hAnsi="宋体"/>
                <w:color w:val="auto"/>
                <w:sz w:val="24"/>
                <w:szCs w:val="24"/>
                <w:highlight w:val="none"/>
                <w:lang w:val="en-US" w:eastAsia="zh-CN"/>
              </w:rPr>
              <w:t>每提供一本证书的</w:t>
            </w:r>
            <w:r>
              <w:rPr>
                <w:rFonts w:hint="eastAsia" w:ascii="宋体" w:hAnsi="宋体"/>
                <w:color w:val="auto"/>
                <w:sz w:val="24"/>
                <w:szCs w:val="24"/>
                <w:highlight w:val="none"/>
                <w:lang w:val="zh-TW"/>
              </w:rPr>
              <w:t>得2分，最高得4分。</w:t>
            </w:r>
          </w:p>
          <w:p w14:paraId="482F824F">
            <w:pPr>
              <w:spacing w:line="360" w:lineRule="auto"/>
              <w:ind w:firstLine="482" w:firstLineChars="200"/>
              <w:rPr>
                <w:rFonts w:hint="eastAsia" w:ascii="宋体" w:hAnsi="宋体"/>
                <w:color w:val="auto"/>
                <w:sz w:val="24"/>
                <w:szCs w:val="24"/>
                <w:highlight w:val="none"/>
                <w:lang w:val="zh-CN"/>
              </w:rPr>
            </w:pPr>
            <w:r>
              <w:rPr>
                <w:rFonts w:hint="eastAsia" w:ascii="宋体" w:hAnsi="宋体"/>
                <w:b/>
                <w:bCs/>
                <w:color w:val="auto"/>
                <w:sz w:val="24"/>
                <w:szCs w:val="24"/>
                <w:highlight w:val="none"/>
                <w:lang w:val="zh-CN"/>
              </w:rPr>
              <w:t>注:</w:t>
            </w:r>
            <w:r>
              <w:rPr>
                <w:rFonts w:hint="eastAsia" w:ascii="宋体" w:hAnsi="宋体"/>
                <w:color w:val="auto"/>
                <w:sz w:val="24"/>
                <w:szCs w:val="24"/>
                <w:highlight w:val="none"/>
                <w:lang w:val="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val="zh-CN"/>
              </w:rPr>
              <w:t>）</w:t>
            </w:r>
            <w:r>
              <w:rPr>
                <w:rFonts w:hint="eastAsia" w:ascii="宋体" w:hAnsi="宋体"/>
                <w:color w:val="auto"/>
                <w:sz w:val="24"/>
                <w:szCs w:val="24"/>
                <w:highlight w:val="none"/>
                <w:lang w:val="en-US" w:eastAsia="zh-CN"/>
              </w:rPr>
              <w:t>以上所有人员均不得兼任，</w:t>
            </w:r>
            <w:r>
              <w:rPr>
                <w:rFonts w:hint="eastAsia" w:ascii="宋体" w:hAnsi="宋体"/>
                <w:color w:val="auto"/>
                <w:sz w:val="24"/>
                <w:szCs w:val="24"/>
                <w:highlight w:val="none"/>
                <w:lang w:val="zh-CN"/>
              </w:rPr>
              <w:t>投标时需提供上述</w:t>
            </w:r>
            <w:r>
              <w:rPr>
                <w:rFonts w:hint="eastAsia" w:ascii="宋体" w:hAnsi="宋体"/>
                <w:color w:val="auto"/>
                <w:sz w:val="24"/>
                <w:szCs w:val="24"/>
                <w:highlight w:val="none"/>
                <w:lang w:val="en-US" w:eastAsia="zh-CN"/>
              </w:rPr>
              <w:t>人员</w:t>
            </w:r>
            <w:r>
              <w:rPr>
                <w:rFonts w:hint="eastAsia" w:ascii="宋体" w:hAnsi="宋体"/>
                <w:color w:val="auto"/>
                <w:sz w:val="24"/>
                <w:szCs w:val="24"/>
                <w:highlight w:val="none"/>
                <w:lang w:val="zh-CN"/>
              </w:rPr>
              <w:t>证书原件彩色扫描件</w:t>
            </w:r>
            <w:r>
              <w:rPr>
                <w:rFonts w:hint="eastAsia" w:ascii="宋体" w:hAnsi="宋体"/>
                <w:color w:val="auto"/>
                <w:sz w:val="24"/>
                <w:szCs w:val="24"/>
                <w:highlight w:val="none"/>
                <w:lang w:val="zh-TW"/>
              </w:rPr>
              <w:t>并加盖投标人公章</w:t>
            </w:r>
            <w:r>
              <w:rPr>
                <w:rFonts w:hint="eastAsia" w:ascii="宋体" w:hAnsi="宋体"/>
                <w:color w:val="auto"/>
                <w:sz w:val="24"/>
                <w:szCs w:val="24"/>
                <w:highlight w:val="none"/>
                <w:lang w:val="zh-CN"/>
              </w:rPr>
              <w:t>；未提供或经评审不合格的均不得分。</w:t>
            </w:r>
          </w:p>
          <w:p w14:paraId="3E044B5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GB"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val="en-GB" w:eastAsia="zh-CN"/>
              </w:rPr>
              <w:t>）</w:t>
            </w:r>
            <w:r>
              <w:rPr>
                <w:rFonts w:hint="eastAsia" w:ascii="宋体" w:hAnsi="宋体"/>
                <w:color w:val="auto"/>
                <w:sz w:val="24"/>
                <w:szCs w:val="24"/>
                <w:highlight w:val="none"/>
                <w:lang w:val="en-GB"/>
              </w:rPr>
              <w:t>须保证拟派人员均为本单位的正式职工，并确保从投标截止之日起（当月不算）向前半年任意1个月均已在本单位缴纳养老保险。投标人须提供养老保险的证明材料扫描件。事业单位不需提供，但需提供人社部门出具的该单位及项目组人员事业性质证明。未提供或提供不全不得分。</w:t>
            </w:r>
          </w:p>
        </w:tc>
      </w:tr>
      <w:tr w14:paraId="1219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89" w:type="dxa"/>
            <w:vAlign w:val="center"/>
          </w:tcPr>
          <w:p w14:paraId="4938099E">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674" w:type="dxa"/>
            <w:vAlign w:val="center"/>
          </w:tcPr>
          <w:p w14:paraId="0454872B">
            <w:pPr>
              <w:spacing w:line="360" w:lineRule="auto"/>
              <w:ind w:firstLine="240" w:firstLineChars="100"/>
              <w:jc w:val="left"/>
              <w:rPr>
                <w:rFonts w:hint="eastAsia" w:ascii="宋体" w:hAnsi="宋体" w:cs="宋体"/>
                <w:color w:val="auto"/>
                <w:sz w:val="24"/>
                <w:szCs w:val="24"/>
                <w:highlight w:val="none"/>
              </w:rPr>
            </w:pPr>
            <w:r>
              <w:rPr>
                <w:rFonts w:hint="eastAsia"/>
                <w:color w:val="auto"/>
                <w:sz w:val="24"/>
                <w:szCs w:val="24"/>
                <w:highlight w:val="none"/>
              </w:rPr>
              <w:t>综合实力</w:t>
            </w:r>
          </w:p>
        </w:tc>
        <w:tc>
          <w:tcPr>
            <w:tcW w:w="795" w:type="dxa"/>
            <w:vAlign w:val="center"/>
          </w:tcPr>
          <w:p w14:paraId="2AE8C881">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tc>
        <w:tc>
          <w:tcPr>
            <w:tcW w:w="6292" w:type="dxa"/>
            <w:vAlign w:val="center"/>
          </w:tcPr>
          <w:p w14:paraId="58E75E1A">
            <w:pPr>
              <w:spacing w:line="360" w:lineRule="auto"/>
              <w:ind w:firstLine="480" w:firstLineChars="200"/>
              <w:jc w:val="left"/>
              <w:rPr>
                <w:rFonts w:hint="eastAsia" w:ascii="宋体" w:hAnsi="宋体"/>
                <w:color w:val="auto"/>
                <w:sz w:val="24"/>
                <w:szCs w:val="24"/>
                <w:highlight w:val="none"/>
                <w:lang w:val="en-GB" w:eastAsia="zh-CN"/>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lang w:val="en-GB"/>
              </w:rPr>
              <w:t>具有满足本项目工作要求的登高车、防撞缓冲车、桥梁检测车的，每有一种类型的车辆得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val="en-GB"/>
              </w:rPr>
              <w:t>分，本项最高得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val="en-GB"/>
              </w:rPr>
              <w:t>分。（注：</w:t>
            </w:r>
            <w:r>
              <w:rPr>
                <w:rFonts w:hint="eastAsia" w:ascii="宋体" w:hAnsi="宋体" w:cs="宋体"/>
                <w:color w:val="auto"/>
                <w:sz w:val="24"/>
                <w:szCs w:val="24"/>
                <w:highlight w:val="none"/>
              </w:rPr>
              <w:t>车辆可为自有或租赁。自有的车辆需提供</w:t>
            </w:r>
            <w:r>
              <w:rPr>
                <w:rFonts w:hint="eastAsia" w:ascii="宋体" w:hAnsi="宋体" w:cs="宋体"/>
                <w:color w:val="auto"/>
                <w:sz w:val="24"/>
                <w:szCs w:val="24"/>
                <w:highlight w:val="none"/>
                <w:lang w:val="en-GB"/>
              </w:rPr>
              <w:t>购买发票</w:t>
            </w:r>
            <w:r>
              <w:rPr>
                <w:rFonts w:hint="eastAsia" w:ascii="宋体" w:hAnsi="宋体" w:cs="宋体"/>
                <w:color w:val="auto"/>
                <w:sz w:val="24"/>
                <w:szCs w:val="24"/>
                <w:highlight w:val="none"/>
              </w:rPr>
              <w:t>原件</w:t>
            </w:r>
            <w:r>
              <w:rPr>
                <w:rFonts w:hint="eastAsia" w:ascii="宋体" w:hAnsi="宋体" w:cs="宋体"/>
                <w:color w:val="auto"/>
                <w:sz w:val="24"/>
                <w:szCs w:val="24"/>
                <w:highlight w:val="none"/>
                <w:lang w:val="zh-CN"/>
              </w:rPr>
              <w:t>扫描件</w:t>
            </w:r>
            <w:r>
              <w:rPr>
                <w:rFonts w:hint="eastAsia" w:ascii="宋体" w:hAnsi="宋体" w:cs="宋体"/>
                <w:color w:val="auto"/>
                <w:sz w:val="24"/>
                <w:szCs w:val="24"/>
                <w:highlight w:val="none"/>
                <w:lang w:val="en-GB"/>
              </w:rPr>
              <w:t>、</w:t>
            </w:r>
            <w:r>
              <w:rPr>
                <w:rFonts w:hint="eastAsia" w:ascii="宋体" w:hAnsi="宋体" w:cs="宋体"/>
                <w:color w:val="auto"/>
                <w:sz w:val="24"/>
                <w:szCs w:val="24"/>
                <w:highlight w:val="none"/>
              </w:rPr>
              <w:t>年检合格的车辆行驶证原件</w:t>
            </w:r>
            <w:r>
              <w:rPr>
                <w:rFonts w:hint="eastAsia" w:ascii="宋体" w:hAnsi="宋体" w:cs="宋体"/>
                <w:color w:val="auto"/>
                <w:sz w:val="24"/>
                <w:szCs w:val="24"/>
                <w:highlight w:val="none"/>
                <w:lang w:val="zh-CN"/>
              </w:rPr>
              <w:t>扫描件、车辆强制保险单扫描件、</w:t>
            </w:r>
            <w:r>
              <w:rPr>
                <w:rFonts w:hint="eastAsia" w:ascii="宋体" w:hAnsi="宋体" w:cs="宋体"/>
                <w:color w:val="auto"/>
                <w:sz w:val="24"/>
                <w:szCs w:val="24"/>
                <w:highlight w:val="none"/>
                <w:lang w:val="en-GB"/>
              </w:rPr>
              <w:t>车辆照片</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租赁的车辆需提供满足本项目服务期限的租赁合同原件</w:t>
            </w:r>
            <w:r>
              <w:rPr>
                <w:rFonts w:hint="eastAsia" w:ascii="宋体" w:hAnsi="宋体" w:cs="宋体"/>
                <w:color w:val="auto"/>
                <w:sz w:val="24"/>
                <w:szCs w:val="24"/>
                <w:highlight w:val="none"/>
                <w:lang w:val="zh-CN"/>
              </w:rPr>
              <w:t>扫描件、</w:t>
            </w:r>
            <w:r>
              <w:rPr>
                <w:rFonts w:hint="eastAsia" w:ascii="宋体" w:hAnsi="宋体" w:cs="宋体"/>
                <w:color w:val="auto"/>
                <w:sz w:val="24"/>
                <w:szCs w:val="24"/>
                <w:highlight w:val="none"/>
              </w:rPr>
              <w:t>年检合格的车辆行驶证原件</w:t>
            </w:r>
            <w:r>
              <w:rPr>
                <w:rFonts w:hint="eastAsia" w:ascii="宋体" w:hAnsi="宋体" w:cs="宋体"/>
                <w:color w:val="auto"/>
                <w:sz w:val="24"/>
                <w:szCs w:val="24"/>
                <w:highlight w:val="none"/>
                <w:lang w:val="zh-CN"/>
              </w:rPr>
              <w:t>扫描件、车辆强制保险单扫描件、</w:t>
            </w:r>
            <w:r>
              <w:rPr>
                <w:rFonts w:hint="eastAsia" w:ascii="宋体" w:hAnsi="宋体" w:cs="宋体"/>
                <w:color w:val="auto"/>
                <w:sz w:val="24"/>
                <w:szCs w:val="24"/>
                <w:highlight w:val="none"/>
                <w:lang w:val="en-GB"/>
              </w:rPr>
              <w:t>车辆照片。未提供以及缺任何一项不得分</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GB"/>
              </w:rPr>
              <w:t>）</w:t>
            </w:r>
            <w:r>
              <w:rPr>
                <w:rFonts w:hint="eastAsia" w:ascii="宋体" w:hAnsi="宋体" w:cs="宋体"/>
                <w:color w:val="auto"/>
                <w:sz w:val="24"/>
                <w:szCs w:val="24"/>
                <w:highlight w:val="none"/>
              </w:rPr>
              <w:t xml:space="preserve">  </w:t>
            </w:r>
          </w:p>
        </w:tc>
      </w:tr>
      <w:tr w14:paraId="20788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89" w:type="dxa"/>
            <w:vMerge w:val="restart"/>
            <w:vAlign w:val="center"/>
          </w:tcPr>
          <w:p w14:paraId="48747D29">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p>
          <w:p w14:paraId="5AC3F7B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p w14:paraId="1C66F1EB">
            <w:pPr>
              <w:spacing w:line="360" w:lineRule="auto"/>
              <w:ind w:firstLine="240" w:firstLineChars="1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p>
        </w:tc>
        <w:tc>
          <w:tcPr>
            <w:tcW w:w="1674" w:type="dxa"/>
            <w:vMerge w:val="restart"/>
            <w:vAlign w:val="center"/>
          </w:tcPr>
          <w:p w14:paraId="705AAFB1">
            <w:pPr>
              <w:spacing w:line="360" w:lineRule="auto"/>
              <w:jc w:val="center"/>
              <w:rPr>
                <w:color w:val="auto"/>
                <w:highlight w:val="none"/>
              </w:rPr>
            </w:pPr>
            <w:r>
              <w:rPr>
                <w:rFonts w:hint="eastAsia" w:ascii="宋体" w:hAnsi="宋体" w:eastAsia="宋体" w:cs="Times New Roman"/>
                <w:color w:val="auto"/>
                <w:kern w:val="2"/>
                <w:sz w:val="24"/>
                <w:szCs w:val="24"/>
                <w:highlight w:val="none"/>
                <w:lang w:val="zh-CN" w:eastAsia="zh-CN" w:bidi="ar-SA"/>
              </w:rPr>
              <w:t>服务方案</w:t>
            </w:r>
          </w:p>
        </w:tc>
        <w:tc>
          <w:tcPr>
            <w:tcW w:w="795" w:type="dxa"/>
            <w:vMerge w:val="restart"/>
            <w:vAlign w:val="center"/>
          </w:tcPr>
          <w:p w14:paraId="621301F9">
            <w:pPr>
              <w:pStyle w:val="23"/>
              <w:widowControl w:val="0"/>
              <w:spacing w:before="0" w:beforeAutospacing="0" w:after="0" w:afterAutospacing="0" w:line="360" w:lineRule="auto"/>
              <w:jc w:val="center"/>
              <w:rPr>
                <w:rFonts w:hint="eastAsia"/>
                <w:color w:val="auto"/>
                <w:highlight w:val="none"/>
                <w:lang w:val="en-US" w:eastAsia="zh-CN"/>
              </w:rPr>
            </w:pPr>
            <w:r>
              <w:rPr>
                <w:rFonts w:hint="eastAsia"/>
                <w:color w:val="auto"/>
                <w:highlight w:val="none"/>
                <w:lang w:val="en-US" w:eastAsia="zh-CN"/>
              </w:rPr>
              <w:t>30</w:t>
            </w:r>
            <w:r>
              <w:rPr>
                <w:color w:val="auto"/>
                <w:highlight w:val="none"/>
              </w:rPr>
              <w:t>分</w:t>
            </w:r>
          </w:p>
          <w:p w14:paraId="10104C93">
            <w:pPr>
              <w:pStyle w:val="23"/>
              <w:widowControl w:val="0"/>
              <w:spacing w:before="0" w:beforeAutospacing="0" w:after="0" w:afterAutospacing="0" w:line="360" w:lineRule="auto"/>
              <w:jc w:val="center"/>
              <w:rPr>
                <w:color w:val="auto"/>
                <w:highlight w:val="none"/>
              </w:rPr>
            </w:pPr>
            <w:r>
              <w:rPr>
                <w:rFonts w:hint="eastAsia"/>
                <w:color w:val="auto"/>
                <w:highlight w:val="none"/>
                <w:lang w:val="en-US" w:eastAsia="zh-CN"/>
              </w:rPr>
              <w:t xml:space="preserve"> </w:t>
            </w:r>
          </w:p>
        </w:tc>
        <w:tc>
          <w:tcPr>
            <w:tcW w:w="6292" w:type="dxa"/>
            <w:vAlign w:val="center"/>
          </w:tcPr>
          <w:p w14:paraId="5F9D27E5">
            <w:pPr>
              <w:spacing w:line="360" w:lineRule="auto"/>
              <w:rPr>
                <w:rFonts w:hint="eastAsia" w:ascii="宋体" w:hAnsi="宋体"/>
                <w:color w:val="auto"/>
                <w:sz w:val="24"/>
                <w:szCs w:val="24"/>
                <w:highlight w:val="none"/>
                <w:lang w:val="zh-TW"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试验检测工作的程序与方法</w:t>
            </w:r>
            <w:r>
              <w:rPr>
                <w:rFonts w:hint="eastAsia" w:ascii="宋体" w:hAnsi="宋体" w:eastAsia="宋体" w:cs="宋体"/>
                <w:sz w:val="21"/>
                <w:szCs w:val="21"/>
              </w:rPr>
              <w:t>（1</w:t>
            </w:r>
            <w:r>
              <w:rPr>
                <w:rFonts w:hint="eastAsia" w:ascii="宋体" w:hAnsi="宋体" w:eastAsia="宋体" w:cs="宋体"/>
                <w:sz w:val="21"/>
                <w:szCs w:val="21"/>
                <w:lang w:val="en-US" w:eastAsia="zh-CN"/>
              </w:rPr>
              <w:t>0</w:t>
            </w:r>
            <w:r>
              <w:rPr>
                <w:rFonts w:hint="eastAsia" w:ascii="宋体" w:hAnsi="宋体" w:eastAsia="宋体" w:cs="宋体"/>
                <w:sz w:val="21"/>
                <w:szCs w:val="21"/>
              </w:rPr>
              <w:t>分）</w:t>
            </w:r>
          </w:p>
          <w:p w14:paraId="354F559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zh-TW" w:eastAsia="zh-CN"/>
              </w:rPr>
              <w:t>对</w:t>
            </w:r>
            <w:r>
              <w:rPr>
                <w:rFonts w:hint="eastAsia" w:ascii="宋体" w:hAnsi="宋体"/>
                <w:color w:val="auto"/>
                <w:sz w:val="24"/>
                <w:szCs w:val="24"/>
                <w:highlight w:val="none"/>
                <w:lang w:val="zh-TW"/>
              </w:rPr>
              <w:t>供应商</w:t>
            </w:r>
            <w:r>
              <w:rPr>
                <w:rFonts w:hint="eastAsia" w:ascii="宋体" w:hAnsi="宋体"/>
                <w:color w:val="auto"/>
                <w:sz w:val="24"/>
                <w:szCs w:val="24"/>
                <w:highlight w:val="none"/>
                <w:lang w:eastAsia="zh-CN"/>
              </w:rPr>
              <w:t>提供的</w:t>
            </w:r>
            <w:r>
              <w:rPr>
                <w:rFonts w:hint="eastAsia" w:ascii="宋体" w:hAnsi="宋体"/>
                <w:color w:val="auto"/>
                <w:sz w:val="24"/>
                <w:szCs w:val="24"/>
                <w:highlight w:val="none"/>
              </w:rPr>
              <w:t>试验检测工作的程序</w:t>
            </w:r>
            <w:r>
              <w:rPr>
                <w:rFonts w:hint="eastAsia" w:ascii="宋体" w:hAnsi="宋体"/>
                <w:color w:val="auto"/>
                <w:sz w:val="24"/>
                <w:szCs w:val="24"/>
                <w:highlight w:val="none"/>
                <w:lang w:eastAsia="zh-CN"/>
              </w:rPr>
              <w:t>：</w:t>
            </w:r>
            <w:r>
              <w:rPr>
                <w:rFonts w:ascii="宋体" w:hAnsi="宋体"/>
                <w:sz w:val="24"/>
                <w:szCs w:val="24"/>
              </w:rPr>
              <w:t>（1）</w:t>
            </w:r>
            <w:r>
              <w:rPr>
                <w:rFonts w:hint="eastAsia" w:ascii="宋体" w:hAnsi="宋体"/>
                <w:color w:val="auto"/>
                <w:sz w:val="24"/>
                <w:szCs w:val="24"/>
                <w:highlight w:val="none"/>
              </w:rPr>
              <w:t>试验检测的内容</w:t>
            </w:r>
            <w:r>
              <w:rPr>
                <w:rFonts w:hint="eastAsia" w:ascii="宋体" w:hAnsi="宋体"/>
                <w:color w:val="auto"/>
                <w:sz w:val="24"/>
                <w:szCs w:val="24"/>
                <w:highlight w:val="none"/>
                <w:lang w:eastAsia="zh-CN"/>
              </w:rPr>
              <w:t>；</w:t>
            </w:r>
            <w:r>
              <w:rPr>
                <w:rFonts w:ascii="宋体" w:hAnsi="宋体"/>
                <w:sz w:val="24"/>
                <w:szCs w:val="24"/>
              </w:rPr>
              <w:t>（2）</w:t>
            </w:r>
            <w:r>
              <w:rPr>
                <w:rFonts w:hint="eastAsia" w:ascii="宋体" w:hAnsi="宋体"/>
                <w:color w:val="auto"/>
                <w:sz w:val="24"/>
                <w:szCs w:val="24"/>
                <w:highlight w:val="none"/>
              </w:rPr>
              <w:t>检测方法</w:t>
            </w:r>
            <w:r>
              <w:rPr>
                <w:rFonts w:hint="eastAsia" w:ascii="宋体" w:hAnsi="宋体"/>
                <w:color w:val="auto"/>
                <w:sz w:val="24"/>
                <w:szCs w:val="24"/>
                <w:highlight w:val="none"/>
                <w:lang w:eastAsia="zh-CN"/>
              </w:rPr>
              <w:t>；</w:t>
            </w:r>
            <w:r>
              <w:rPr>
                <w:rFonts w:ascii="宋体" w:hAnsi="宋体"/>
                <w:sz w:val="24"/>
                <w:szCs w:val="24"/>
              </w:rPr>
              <w:t>（3）</w:t>
            </w:r>
            <w:r>
              <w:rPr>
                <w:rFonts w:hint="eastAsia" w:ascii="宋体" w:hAnsi="宋体"/>
                <w:color w:val="auto"/>
                <w:sz w:val="24"/>
                <w:szCs w:val="24"/>
                <w:highlight w:val="none"/>
              </w:rPr>
              <w:t>试验检测频率</w:t>
            </w:r>
            <w:r>
              <w:rPr>
                <w:rFonts w:hint="eastAsia" w:ascii="宋体" w:hAnsi="宋体"/>
                <w:color w:val="auto"/>
                <w:sz w:val="24"/>
                <w:szCs w:val="24"/>
                <w:highlight w:val="none"/>
                <w:lang w:eastAsia="zh-CN"/>
              </w:rPr>
              <w:t>；</w:t>
            </w:r>
            <w:r>
              <w:rPr>
                <w:rFonts w:ascii="宋体" w:hAnsi="宋体"/>
                <w:sz w:val="24"/>
                <w:szCs w:val="24"/>
              </w:rPr>
              <w:t>（4）</w:t>
            </w:r>
            <w:r>
              <w:rPr>
                <w:rFonts w:hint="eastAsia" w:ascii="宋体" w:hAnsi="宋体"/>
                <w:color w:val="auto"/>
                <w:sz w:val="24"/>
                <w:szCs w:val="24"/>
                <w:highlight w:val="none"/>
              </w:rPr>
              <w:t>试验检测手段</w:t>
            </w:r>
            <w:r>
              <w:rPr>
                <w:rFonts w:hint="eastAsia" w:ascii="宋体" w:hAnsi="宋体"/>
                <w:color w:val="auto"/>
                <w:sz w:val="24"/>
                <w:szCs w:val="24"/>
                <w:highlight w:val="none"/>
                <w:lang w:eastAsia="zh-CN"/>
              </w:rPr>
              <w:t>；</w:t>
            </w:r>
            <w:r>
              <w:rPr>
                <w:rFonts w:ascii="宋体" w:hAnsi="宋体"/>
                <w:sz w:val="24"/>
                <w:szCs w:val="24"/>
              </w:rPr>
              <w:t>（5）</w:t>
            </w:r>
            <w:r>
              <w:rPr>
                <w:rFonts w:hint="eastAsia" w:ascii="宋体" w:hAnsi="宋体"/>
                <w:color w:val="auto"/>
                <w:sz w:val="24"/>
                <w:szCs w:val="24"/>
                <w:highlight w:val="none"/>
              </w:rPr>
              <w:t>试验检测资料及分析报告、最终报告的形成的可行性、针对性和可靠性进行</w:t>
            </w:r>
            <w:r>
              <w:rPr>
                <w:rFonts w:ascii="宋体" w:hAnsi="宋体"/>
                <w:color w:val="auto"/>
                <w:sz w:val="24"/>
                <w:szCs w:val="24"/>
                <w:highlight w:val="none"/>
              </w:rPr>
              <w:t>综合</w:t>
            </w:r>
            <w:r>
              <w:rPr>
                <w:rFonts w:hint="eastAsia" w:ascii="宋体" w:hAnsi="宋体"/>
                <w:color w:val="auto"/>
                <w:sz w:val="24"/>
                <w:szCs w:val="24"/>
                <w:highlight w:val="none"/>
              </w:rPr>
              <w:t>评分。</w:t>
            </w:r>
          </w:p>
          <w:p w14:paraId="3A8BCE5D">
            <w:pPr>
              <w:spacing w:line="360" w:lineRule="auto"/>
              <w:ind w:firstLine="480" w:firstLineChars="200"/>
              <w:rPr>
                <w:rFonts w:ascii="宋体" w:hAnsi="宋体" w:cs="宋体"/>
                <w:color w:val="auto"/>
                <w:sz w:val="24"/>
                <w:szCs w:val="24"/>
                <w:highlight w:val="none"/>
              </w:rPr>
            </w:pPr>
            <w:r>
              <w:rPr>
                <w:rFonts w:hint="eastAsia" w:ascii="宋体" w:hAnsi="宋体"/>
                <w:color w:val="auto"/>
                <w:sz w:val="24"/>
                <w:szCs w:val="24"/>
                <w:highlight w:val="none"/>
                <w:lang w:eastAsia="zh-CN"/>
              </w:rPr>
              <w:t>上述每项完全切合采购需求，方案合理的，每项得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分，满分1</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lang w:eastAsia="zh-CN"/>
              </w:rPr>
              <w:t>分，每存在一条缺陷扣0.5分，缺项的该小项不得分，直至扣完1</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lang w:eastAsia="zh-CN"/>
              </w:rPr>
              <w:t>分为止，未提供或提供不符合要求的不得分。</w:t>
            </w:r>
          </w:p>
        </w:tc>
      </w:tr>
      <w:tr w14:paraId="2226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89" w:type="dxa"/>
            <w:vMerge w:val="continue"/>
            <w:vAlign w:val="center"/>
          </w:tcPr>
          <w:p w14:paraId="4BD32E5A">
            <w:pPr>
              <w:spacing w:line="360" w:lineRule="auto"/>
              <w:jc w:val="center"/>
              <w:rPr>
                <w:rFonts w:ascii="宋体" w:hAnsi="宋体" w:cs="宋体"/>
                <w:color w:val="auto"/>
                <w:sz w:val="24"/>
                <w:szCs w:val="24"/>
                <w:highlight w:val="none"/>
              </w:rPr>
            </w:pPr>
          </w:p>
        </w:tc>
        <w:tc>
          <w:tcPr>
            <w:tcW w:w="1674" w:type="dxa"/>
            <w:vMerge w:val="continue"/>
            <w:vAlign w:val="center"/>
          </w:tcPr>
          <w:p w14:paraId="2160E841">
            <w:pPr>
              <w:pStyle w:val="23"/>
              <w:widowControl w:val="0"/>
              <w:spacing w:before="0" w:beforeAutospacing="0" w:after="0" w:afterAutospacing="0" w:line="360" w:lineRule="auto"/>
              <w:jc w:val="both"/>
              <w:rPr>
                <w:rFonts w:hint="eastAsia" w:eastAsia="宋体"/>
                <w:color w:val="auto"/>
                <w:highlight w:val="none"/>
                <w:lang w:eastAsia="zh-CN"/>
              </w:rPr>
            </w:pPr>
          </w:p>
        </w:tc>
        <w:tc>
          <w:tcPr>
            <w:tcW w:w="795" w:type="dxa"/>
            <w:vMerge w:val="continue"/>
            <w:vAlign w:val="center"/>
          </w:tcPr>
          <w:p w14:paraId="1DBABA4A">
            <w:pPr>
              <w:pStyle w:val="23"/>
              <w:widowControl w:val="0"/>
              <w:spacing w:before="0" w:beforeAutospacing="0" w:after="0" w:afterAutospacing="0" w:line="360" w:lineRule="auto"/>
              <w:jc w:val="center"/>
              <w:rPr>
                <w:color w:val="auto"/>
                <w:highlight w:val="none"/>
              </w:rPr>
            </w:pPr>
          </w:p>
        </w:tc>
        <w:tc>
          <w:tcPr>
            <w:tcW w:w="6292" w:type="dxa"/>
            <w:vAlign w:val="center"/>
          </w:tcPr>
          <w:p w14:paraId="7C945B78">
            <w:pPr>
              <w:spacing w:line="360" w:lineRule="auto"/>
              <w:rPr>
                <w:rFonts w:hint="eastAsia" w:ascii="宋体" w:hAnsi="宋体" w:eastAsia="宋体" w:cs="Times New Roman"/>
                <w:color w:val="auto"/>
                <w:kern w:val="2"/>
                <w:sz w:val="24"/>
                <w:szCs w:val="24"/>
                <w:highlight w:val="none"/>
                <w:lang w:val="zh-TW" w:eastAsia="zh-CN" w:bidi="ar-SA"/>
              </w:rPr>
            </w:pPr>
            <w:r>
              <w:rPr>
                <w:rFonts w:hint="eastAsia" w:ascii="宋体" w:hAnsi="宋体" w:cs="Times New Roman"/>
                <w:color w:val="auto"/>
                <w:kern w:val="2"/>
                <w:sz w:val="24"/>
                <w:szCs w:val="24"/>
                <w:highlight w:val="none"/>
                <w:lang w:val="en-US" w:eastAsia="zh-CN" w:bidi="ar-SA"/>
              </w:rPr>
              <w:t>2、</w:t>
            </w:r>
            <w:r>
              <w:rPr>
                <w:rFonts w:hint="eastAsia" w:ascii="宋体" w:hAnsi="宋体" w:eastAsia="宋体" w:cs="Times New Roman"/>
                <w:color w:val="auto"/>
                <w:kern w:val="2"/>
                <w:sz w:val="24"/>
                <w:szCs w:val="24"/>
                <w:highlight w:val="none"/>
                <w:lang w:val="zh-TW" w:eastAsia="zh-CN" w:bidi="ar-SA"/>
              </w:rPr>
              <w:t>检测工作服务的目标及保证措施</w:t>
            </w:r>
            <w:r>
              <w:rPr>
                <w:rFonts w:hint="eastAsia" w:ascii="宋体" w:hAnsi="宋体" w:eastAsia="宋体" w:cs="Times New Roman"/>
                <w:color w:val="auto"/>
                <w:kern w:val="2"/>
                <w:sz w:val="24"/>
                <w:szCs w:val="24"/>
                <w:highlight w:val="none"/>
                <w:lang w:val="en-US" w:eastAsia="zh-CN" w:bidi="ar-SA"/>
              </w:rPr>
              <w:t xml:space="preserve"> </w:t>
            </w:r>
            <w:r>
              <w:rPr>
                <w:rFonts w:hint="eastAsia" w:ascii="宋体" w:hAnsi="宋体" w:eastAsia="宋体" w:cs="Times New Roman"/>
                <w:color w:val="auto"/>
                <w:kern w:val="2"/>
                <w:sz w:val="24"/>
                <w:szCs w:val="24"/>
                <w:highlight w:val="none"/>
                <w:lang w:val="zh-CN" w:eastAsia="zh-CN" w:bidi="ar-SA"/>
              </w:rPr>
              <w:t>（</w:t>
            </w:r>
            <w:r>
              <w:rPr>
                <w:rFonts w:hint="eastAsia" w:ascii="宋体" w:hAnsi="宋体" w:eastAsia="宋体" w:cs="Times New Roman"/>
                <w:color w:val="auto"/>
                <w:kern w:val="2"/>
                <w:sz w:val="24"/>
                <w:szCs w:val="24"/>
                <w:highlight w:val="none"/>
                <w:lang w:val="en-US" w:eastAsia="zh-CN" w:bidi="ar-SA"/>
              </w:rPr>
              <w:t>8</w:t>
            </w:r>
            <w:r>
              <w:rPr>
                <w:rFonts w:hint="eastAsia" w:ascii="宋体" w:hAnsi="宋体" w:eastAsia="宋体" w:cs="Times New Roman"/>
                <w:color w:val="auto"/>
                <w:kern w:val="2"/>
                <w:sz w:val="24"/>
                <w:szCs w:val="24"/>
                <w:highlight w:val="none"/>
                <w:lang w:val="zh-CN" w:eastAsia="zh-CN" w:bidi="ar-SA"/>
              </w:rPr>
              <w:t>分）</w:t>
            </w:r>
          </w:p>
          <w:p w14:paraId="77540FD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zh-TW" w:eastAsia="zh-CN"/>
              </w:rPr>
              <w:t>对供应商</w:t>
            </w:r>
            <w:r>
              <w:rPr>
                <w:rFonts w:hint="eastAsia" w:ascii="宋体" w:hAnsi="宋体"/>
                <w:color w:val="auto"/>
                <w:sz w:val="24"/>
                <w:szCs w:val="24"/>
                <w:highlight w:val="none"/>
                <w:lang w:eastAsia="zh-CN"/>
              </w:rPr>
              <w:t>提供的试验检测工作服务的目标：（1）保证试验检测精度的技术措施；（2）试验检测进度计划及保证试验检测进度的措施；（3）试验检测工作质量与服务保证措施；（4）安全生产管理措施等方面进行综合评分。</w:t>
            </w:r>
          </w:p>
          <w:p w14:paraId="77A5792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上述每项完全切合采购需求，方案合理的，每项得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分，满分</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eastAsia="zh-CN"/>
              </w:rPr>
              <w:t>分，每存在一条缺陷扣0.5分，缺项的该小项不得分，直至扣完</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eastAsia="zh-CN"/>
              </w:rPr>
              <w:t>分为止，未提供或提供不符合要求的不得分。</w:t>
            </w:r>
          </w:p>
        </w:tc>
      </w:tr>
      <w:tr w14:paraId="19C17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89" w:type="dxa"/>
            <w:vMerge w:val="continue"/>
            <w:vAlign w:val="center"/>
          </w:tcPr>
          <w:p w14:paraId="7A55C4B0">
            <w:pPr>
              <w:spacing w:line="360" w:lineRule="auto"/>
              <w:jc w:val="center"/>
              <w:rPr>
                <w:rFonts w:hint="eastAsia" w:ascii="宋体" w:hAnsi="宋体" w:eastAsia="宋体" w:cs="宋体"/>
                <w:color w:val="auto"/>
                <w:sz w:val="24"/>
                <w:szCs w:val="24"/>
                <w:highlight w:val="none"/>
                <w:lang w:val="en-US" w:eastAsia="zh-CN"/>
              </w:rPr>
            </w:pPr>
          </w:p>
        </w:tc>
        <w:tc>
          <w:tcPr>
            <w:tcW w:w="1674" w:type="dxa"/>
            <w:vMerge w:val="continue"/>
            <w:vAlign w:val="center"/>
          </w:tcPr>
          <w:p w14:paraId="0B690936">
            <w:pPr>
              <w:spacing w:line="360" w:lineRule="auto"/>
              <w:rPr>
                <w:rFonts w:hint="eastAsia" w:ascii="宋体" w:hAnsi="宋体" w:eastAsia="宋体" w:cs="Times New Roman"/>
                <w:color w:val="auto"/>
                <w:kern w:val="2"/>
                <w:sz w:val="24"/>
                <w:szCs w:val="24"/>
                <w:highlight w:val="none"/>
                <w:lang w:val="zh-TW" w:eastAsia="zh-CN" w:bidi="ar-SA"/>
              </w:rPr>
            </w:pPr>
          </w:p>
        </w:tc>
        <w:tc>
          <w:tcPr>
            <w:tcW w:w="795" w:type="dxa"/>
            <w:vMerge w:val="continue"/>
            <w:vAlign w:val="center"/>
          </w:tcPr>
          <w:p w14:paraId="3F49EAA6">
            <w:pPr>
              <w:pStyle w:val="23"/>
              <w:widowControl w:val="0"/>
              <w:spacing w:before="0" w:beforeAutospacing="0" w:after="0" w:afterAutospacing="0" w:line="360" w:lineRule="auto"/>
              <w:jc w:val="center"/>
              <w:rPr>
                <w:rFonts w:hint="eastAsia"/>
                <w:color w:val="auto"/>
                <w:highlight w:val="none"/>
                <w:lang w:val="en-US" w:eastAsia="zh-CN"/>
              </w:rPr>
            </w:pPr>
          </w:p>
        </w:tc>
        <w:tc>
          <w:tcPr>
            <w:tcW w:w="6292" w:type="dxa"/>
            <w:vAlign w:val="center"/>
          </w:tcPr>
          <w:p w14:paraId="28488ED1">
            <w:pPr>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TW" w:eastAsia="zh-CN"/>
              </w:rPr>
              <w:t>本项目的重点、难点分析及</w:t>
            </w:r>
            <w:r>
              <w:rPr>
                <w:rFonts w:hint="eastAsia" w:ascii="宋体" w:hAnsi="宋体"/>
                <w:color w:val="auto"/>
                <w:sz w:val="24"/>
                <w:szCs w:val="24"/>
                <w:highlight w:val="none"/>
                <w:lang w:eastAsia="zh-CN"/>
              </w:rPr>
              <w:t>解决</w:t>
            </w:r>
            <w:r>
              <w:rPr>
                <w:rFonts w:hint="eastAsia" w:ascii="宋体" w:hAnsi="宋体"/>
                <w:color w:val="auto"/>
                <w:sz w:val="24"/>
                <w:szCs w:val="24"/>
                <w:highlight w:val="none"/>
                <w:lang w:val="zh-TW" w:eastAsia="zh-CN"/>
              </w:rPr>
              <w:t>措施方案</w:t>
            </w:r>
            <w:r>
              <w:rPr>
                <w:rFonts w:hint="eastAsia" w:ascii="宋体" w:hAnsi="宋体" w:eastAsia="宋体" w:cs="Times New Roman"/>
                <w:color w:val="auto"/>
                <w:kern w:val="2"/>
                <w:sz w:val="24"/>
                <w:szCs w:val="24"/>
                <w:highlight w:val="none"/>
                <w:lang w:val="zh-CN" w:eastAsia="zh-CN" w:bidi="ar-SA"/>
              </w:rPr>
              <w:t>（</w:t>
            </w:r>
            <w:r>
              <w:rPr>
                <w:rFonts w:hint="eastAsia" w:ascii="宋体" w:hAnsi="宋体" w:eastAsia="宋体" w:cs="Times New Roman"/>
                <w:color w:val="auto"/>
                <w:kern w:val="2"/>
                <w:sz w:val="24"/>
                <w:szCs w:val="24"/>
                <w:highlight w:val="none"/>
                <w:lang w:val="en-US" w:eastAsia="zh-CN" w:bidi="ar-SA"/>
              </w:rPr>
              <w:t>6</w:t>
            </w:r>
            <w:r>
              <w:rPr>
                <w:rFonts w:hint="eastAsia" w:ascii="宋体" w:hAnsi="宋体" w:eastAsia="宋体" w:cs="Times New Roman"/>
                <w:color w:val="auto"/>
                <w:kern w:val="2"/>
                <w:sz w:val="24"/>
                <w:szCs w:val="24"/>
                <w:highlight w:val="none"/>
                <w:lang w:val="zh-CN" w:eastAsia="zh-CN" w:bidi="ar-SA"/>
              </w:rPr>
              <w:t>分）</w:t>
            </w:r>
          </w:p>
          <w:p w14:paraId="7A21CEDF">
            <w:pPr>
              <w:spacing w:line="360" w:lineRule="auto"/>
              <w:ind w:firstLine="480" w:firstLineChars="200"/>
              <w:rPr>
                <w:rFonts w:hint="eastAsia" w:ascii="宋体" w:hAnsi="宋体"/>
                <w:color w:val="auto"/>
                <w:sz w:val="24"/>
                <w:szCs w:val="24"/>
                <w:highlight w:val="none"/>
                <w:lang w:val="zh-TW" w:eastAsia="zh-CN"/>
              </w:rPr>
            </w:pPr>
            <w:r>
              <w:rPr>
                <w:rFonts w:hint="eastAsia" w:ascii="宋体" w:hAnsi="宋体"/>
                <w:color w:val="auto"/>
                <w:sz w:val="24"/>
                <w:szCs w:val="24"/>
                <w:highlight w:val="none"/>
                <w:lang w:val="zh-TW" w:eastAsia="zh-CN"/>
              </w:rPr>
              <w:t>根据供应商对本项目的特点关键技术问题：</w:t>
            </w:r>
            <w:r>
              <w:rPr>
                <w:rFonts w:hint="eastAsia" w:ascii="宋体" w:hAnsi="宋体"/>
                <w:color w:val="auto"/>
                <w:sz w:val="24"/>
                <w:szCs w:val="24"/>
                <w:highlight w:val="none"/>
                <w:lang w:eastAsia="zh-CN"/>
              </w:rPr>
              <w:t>（1）重点、难点分析（</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）解决措施方案进行阐述</w:t>
            </w:r>
            <w:r>
              <w:rPr>
                <w:rFonts w:hint="eastAsia" w:ascii="宋体" w:hAnsi="宋体"/>
                <w:color w:val="auto"/>
                <w:sz w:val="24"/>
                <w:szCs w:val="24"/>
                <w:highlight w:val="none"/>
                <w:lang w:val="zh-TW" w:eastAsia="zh-CN"/>
              </w:rPr>
              <w:t>等方面进行综合评分。</w:t>
            </w:r>
          </w:p>
          <w:p w14:paraId="18ACDDD3">
            <w:pPr>
              <w:spacing w:line="360" w:lineRule="auto"/>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上述每项完全切合采购需求，方案合理的，每项得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分，满分</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分，每存在一条缺陷扣</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分，缺项的该小项不得分，直至扣完</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分为止，未提供或提供不符合要求的不得分。</w:t>
            </w:r>
          </w:p>
        </w:tc>
      </w:tr>
      <w:tr w14:paraId="322A2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89" w:type="dxa"/>
            <w:vMerge w:val="continue"/>
            <w:vAlign w:val="center"/>
          </w:tcPr>
          <w:p w14:paraId="46AB2161">
            <w:pPr>
              <w:spacing w:line="360" w:lineRule="auto"/>
              <w:ind w:firstLine="240" w:firstLineChars="100"/>
              <w:jc w:val="left"/>
              <w:rPr>
                <w:rFonts w:hint="eastAsia" w:ascii="宋体" w:hAnsi="宋体" w:eastAsia="宋体" w:cs="宋体"/>
                <w:color w:val="auto"/>
                <w:sz w:val="24"/>
                <w:szCs w:val="24"/>
                <w:highlight w:val="none"/>
                <w:lang w:eastAsia="zh-CN"/>
              </w:rPr>
            </w:pPr>
          </w:p>
        </w:tc>
        <w:tc>
          <w:tcPr>
            <w:tcW w:w="1674" w:type="dxa"/>
            <w:vMerge w:val="continue"/>
            <w:vAlign w:val="center"/>
          </w:tcPr>
          <w:p w14:paraId="2E2C61CD">
            <w:pPr>
              <w:pStyle w:val="23"/>
              <w:widowControl w:val="0"/>
              <w:spacing w:before="0" w:beforeAutospacing="0" w:after="0" w:afterAutospacing="0" w:line="360" w:lineRule="auto"/>
              <w:jc w:val="center"/>
              <w:rPr>
                <w:color w:val="auto"/>
                <w:highlight w:val="none"/>
              </w:rPr>
            </w:pPr>
          </w:p>
        </w:tc>
        <w:tc>
          <w:tcPr>
            <w:tcW w:w="795" w:type="dxa"/>
            <w:vMerge w:val="continue"/>
            <w:vAlign w:val="center"/>
          </w:tcPr>
          <w:p w14:paraId="77B0CDF6">
            <w:pPr>
              <w:pStyle w:val="23"/>
              <w:widowControl w:val="0"/>
              <w:spacing w:before="0" w:beforeAutospacing="0" w:after="0" w:afterAutospacing="0" w:line="360" w:lineRule="auto"/>
              <w:jc w:val="center"/>
              <w:rPr>
                <w:color w:val="auto"/>
                <w:highlight w:val="none"/>
              </w:rPr>
            </w:pPr>
          </w:p>
        </w:tc>
        <w:tc>
          <w:tcPr>
            <w:tcW w:w="6292" w:type="dxa"/>
            <w:vAlign w:val="center"/>
          </w:tcPr>
          <w:p w14:paraId="3E88568A">
            <w:pPr>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实施计划及合理化建议（</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w:t>
            </w:r>
          </w:p>
          <w:p w14:paraId="6A2D939B">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根据供应商针对本项目采购需求提出对应的（1）实施计划（</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）合理化建议进行综合评分。</w:t>
            </w:r>
          </w:p>
          <w:p w14:paraId="5471F0A7">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上述每项完全切合采购需求，方案合理的，每项得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分，满分</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分，每存在一条缺陷扣</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分，缺项的该小项不得分，直至扣完</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分为止，未提供或提供不符合要求的不得分。</w:t>
            </w:r>
          </w:p>
        </w:tc>
      </w:tr>
      <w:tr w14:paraId="1773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89" w:type="dxa"/>
            <w:vMerge w:val="continue"/>
            <w:vAlign w:val="center"/>
          </w:tcPr>
          <w:p w14:paraId="19920460">
            <w:pPr>
              <w:spacing w:line="360" w:lineRule="auto"/>
              <w:ind w:firstLine="240" w:firstLineChars="100"/>
              <w:jc w:val="left"/>
              <w:rPr>
                <w:rFonts w:hint="eastAsia" w:ascii="宋体" w:hAnsi="宋体" w:eastAsia="宋体" w:cs="宋体"/>
                <w:color w:val="auto"/>
                <w:sz w:val="24"/>
                <w:szCs w:val="24"/>
                <w:highlight w:val="none"/>
                <w:lang w:eastAsia="zh-CN"/>
              </w:rPr>
            </w:pPr>
          </w:p>
        </w:tc>
        <w:tc>
          <w:tcPr>
            <w:tcW w:w="1674" w:type="dxa"/>
            <w:vMerge w:val="continue"/>
            <w:vAlign w:val="center"/>
          </w:tcPr>
          <w:p w14:paraId="6D6D669A"/>
        </w:tc>
        <w:tc>
          <w:tcPr>
            <w:tcW w:w="795" w:type="dxa"/>
            <w:vMerge w:val="continue"/>
            <w:vAlign w:val="center"/>
          </w:tcPr>
          <w:p w14:paraId="54677CA2">
            <w:pPr>
              <w:pStyle w:val="23"/>
              <w:widowControl w:val="0"/>
              <w:spacing w:before="0" w:beforeAutospacing="0" w:after="0" w:afterAutospacing="0" w:line="360" w:lineRule="auto"/>
              <w:jc w:val="center"/>
              <w:rPr>
                <w:color w:val="auto"/>
                <w:highlight w:val="none"/>
              </w:rPr>
            </w:pPr>
          </w:p>
        </w:tc>
        <w:tc>
          <w:tcPr>
            <w:tcW w:w="6292" w:type="dxa"/>
            <w:vAlign w:val="center"/>
          </w:tcPr>
          <w:p w14:paraId="1D73322B">
            <w:pPr>
              <w:spacing w:line="360" w:lineRule="auto"/>
              <w:ind w:firstLine="482" w:firstLineChars="200"/>
              <w:rPr>
                <w:rFonts w:hint="eastAsia" w:ascii="宋体" w:hAnsi="宋体"/>
                <w:color w:val="auto"/>
                <w:sz w:val="24"/>
                <w:szCs w:val="24"/>
                <w:highlight w:val="none"/>
                <w:lang w:eastAsia="zh-CN"/>
              </w:rPr>
            </w:pPr>
            <w:r>
              <w:rPr>
                <w:rFonts w:hint="eastAsia" w:ascii="宋体" w:hAnsi="宋体"/>
                <w:b/>
                <w:bCs/>
                <w:color w:val="auto"/>
                <w:sz w:val="24"/>
                <w:szCs w:val="24"/>
                <w:highlight w:val="none"/>
                <w:lang w:eastAsia="zh-CN"/>
              </w:rPr>
              <w:t>注：上述缺陷是指:</w:t>
            </w:r>
            <w:r>
              <w:rPr>
                <w:rFonts w:hint="eastAsia" w:ascii="宋体" w:hAnsi="宋体"/>
                <w:b w:val="0"/>
                <w:bCs w:val="0"/>
                <w:color w:val="auto"/>
                <w:sz w:val="24"/>
                <w:szCs w:val="24"/>
                <w:highlight w:val="none"/>
                <w:lang w:eastAsia="zh-CN"/>
              </w:rPr>
              <w:t>内容与实际情况不符、内容与项目无关、仅有框架或标题、内容表述错误、内容前后表述矛盾、内容与项目不匹配、项目信息错误、不符合本项目涉及的相关规范或标准要求的等任意一种情形。</w:t>
            </w:r>
          </w:p>
        </w:tc>
      </w:tr>
    </w:tbl>
    <w:p w14:paraId="5553A29D">
      <w:pPr>
        <w:numPr>
          <w:ilvl w:val="0"/>
          <w:numId w:val="0"/>
        </w:numPr>
        <w:snapToGrid w:val="0"/>
        <w:spacing w:line="360" w:lineRule="auto"/>
        <w:rPr>
          <w:rFonts w:hint="eastAsia" w:asciiTheme="majorEastAsia" w:hAnsiTheme="majorEastAsia" w:eastAsiaTheme="majorEastAsia" w:cstheme="majorEastAsia"/>
          <w:b/>
          <w:bCs/>
          <w:color w:val="auto"/>
          <w:sz w:val="24"/>
          <w:szCs w:val="24"/>
          <w:highlight w:val="none"/>
        </w:rPr>
      </w:pPr>
    </w:p>
    <w:p w14:paraId="004271BD">
      <w:pPr>
        <w:pStyle w:val="33"/>
        <w:spacing w:line="360" w:lineRule="auto"/>
        <w:ind w:left="0" w:leftChars="0"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注：</w:t>
      </w:r>
    </w:p>
    <w:p w14:paraId="6E2782A7">
      <w:pPr>
        <w:pStyle w:val="33"/>
        <w:numPr>
          <w:ilvl w:val="0"/>
          <w:numId w:val="0"/>
        </w:numPr>
        <w:spacing w:line="360" w:lineRule="auto"/>
        <w:ind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t>1、</w:t>
      </w:r>
      <w:r>
        <w:rPr>
          <w:rFonts w:hint="eastAsia" w:asciiTheme="minorEastAsia" w:hAnsiTheme="minorEastAsia" w:eastAsiaTheme="minorEastAsia" w:cstheme="minorEastAsia"/>
          <w:b/>
          <w:bCs/>
          <w:color w:val="auto"/>
          <w:sz w:val="24"/>
          <w:szCs w:val="24"/>
          <w:highlight w:val="none"/>
        </w:rPr>
        <w:t>若发现投标供应商提供虚假资料或虚假承诺或虚假参数等虚假材料参加投标的，采购人报采购监督管理相关部门进行处理，并取消中标人中标资格，并承担相应法律责任及相应经济处罚，取消中标人后，采购人按规定重新确定中标供应商。</w:t>
      </w:r>
    </w:p>
    <w:p w14:paraId="4CF56E09">
      <w:pPr>
        <w:pStyle w:val="33"/>
        <w:numPr>
          <w:ilvl w:val="0"/>
          <w:numId w:val="0"/>
        </w:numPr>
        <w:spacing w:line="360" w:lineRule="auto"/>
        <w:ind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2、</w:t>
      </w:r>
      <w:r>
        <w:rPr>
          <w:rFonts w:hint="eastAsia" w:asciiTheme="minorEastAsia" w:hAnsiTheme="minorEastAsia" w:eastAsiaTheme="minorEastAsia" w:cstheme="minorEastAsia"/>
          <w:b/>
          <w:bCs/>
          <w:color w:val="auto"/>
          <w:sz w:val="24"/>
          <w:szCs w:val="24"/>
          <w:highlight w:val="none"/>
        </w:rPr>
        <w:t>评分分值计算保留小数点后两位，小数点后第三位“四舍五入”。</w:t>
      </w:r>
    </w:p>
    <w:p w14:paraId="25CC7BFE">
      <w:pPr>
        <w:numPr>
          <w:ilvl w:val="0"/>
          <w:numId w:val="0"/>
        </w:numPr>
        <w:spacing w:line="360" w:lineRule="auto"/>
        <w:ind w:firstLine="482" w:firstLineChars="200"/>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3、上述各项得分相加即为投标人评标总分，评标总分最高者为中标候选人，若最终累计评标得分并列的，须明确中标候选人或需对中标候选人排序的，得分相同由评标委员会抽签确定。</w:t>
      </w:r>
    </w:p>
    <w:p w14:paraId="3B9DE9E1">
      <w:pPr>
        <w:spacing w:line="360" w:lineRule="auto"/>
        <w:rPr>
          <w:rFonts w:hint="eastAsia" w:asciiTheme="majorEastAsia" w:hAnsiTheme="majorEastAsia" w:eastAsiaTheme="majorEastAsia" w:cstheme="majorEastAsia"/>
          <w:bCs/>
          <w:color w:val="auto"/>
          <w:sz w:val="36"/>
          <w:szCs w:val="36"/>
          <w:highlight w:val="none"/>
        </w:rPr>
      </w:pPr>
      <w:bookmarkStart w:id="129" w:name="_Toc139298014"/>
      <w:bookmarkStart w:id="130" w:name="_Toc49090576"/>
      <w:bookmarkStart w:id="131" w:name="_Toc120614282"/>
      <w:bookmarkStart w:id="132" w:name="_Toc26554094"/>
    </w:p>
    <w:p w14:paraId="55739EFF">
      <w:pPr>
        <w:spacing w:line="360" w:lineRule="auto"/>
        <w:rPr>
          <w:rFonts w:hint="eastAsia" w:asciiTheme="majorEastAsia" w:hAnsiTheme="majorEastAsia" w:eastAsiaTheme="majorEastAsia" w:cstheme="majorEastAsia"/>
          <w:bCs/>
          <w:color w:val="auto"/>
          <w:sz w:val="36"/>
          <w:szCs w:val="36"/>
          <w:highlight w:val="none"/>
        </w:rPr>
      </w:pPr>
    </w:p>
    <w:p w14:paraId="0C533C23">
      <w:pPr>
        <w:pStyle w:val="4"/>
        <w:spacing w:line="360" w:lineRule="auto"/>
        <w:rPr>
          <w:rFonts w:hint="eastAsia" w:asciiTheme="majorEastAsia" w:hAnsiTheme="majorEastAsia" w:eastAsiaTheme="majorEastAsia" w:cstheme="majorEastAsia"/>
          <w:b/>
          <w:bCs w:val="0"/>
          <w:color w:val="auto"/>
          <w:sz w:val="36"/>
          <w:szCs w:val="36"/>
          <w:highlight w:val="none"/>
        </w:rPr>
      </w:pPr>
      <w:bookmarkStart w:id="133" w:name="_Toc23734"/>
    </w:p>
    <w:p w14:paraId="19D220CD">
      <w:pPr>
        <w:rPr>
          <w:rFonts w:hint="eastAsia" w:asciiTheme="majorEastAsia" w:hAnsiTheme="majorEastAsia" w:eastAsiaTheme="majorEastAsia" w:cstheme="majorEastAsia"/>
          <w:b/>
          <w:bCs w:val="0"/>
          <w:color w:val="auto"/>
          <w:sz w:val="36"/>
          <w:szCs w:val="36"/>
          <w:highlight w:val="none"/>
        </w:rPr>
      </w:pPr>
    </w:p>
    <w:p w14:paraId="22F05B64">
      <w:pPr>
        <w:pStyle w:val="2"/>
        <w:rPr>
          <w:rFonts w:hint="eastAsia" w:asciiTheme="majorEastAsia" w:hAnsiTheme="majorEastAsia" w:eastAsiaTheme="majorEastAsia" w:cstheme="majorEastAsia"/>
          <w:b/>
          <w:bCs w:val="0"/>
          <w:color w:val="auto"/>
          <w:sz w:val="36"/>
          <w:szCs w:val="36"/>
          <w:highlight w:val="none"/>
        </w:rPr>
      </w:pPr>
    </w:p>
    <w:p w14:paraId="608039CB">
      <w:pPr>
        <w:pStyle w:val="3"/>
        <w:rPr>
          <w:rFonts w:hint="eastAsia" w:asciiTheme="majorEastAsia" w:hAnsiTheme="majorEastAsia" w:eastAsiaTheme="majorEastAsia" w:cstheme="majorEastAsia"/>
          <w:b/>
          <w:bCs w:val="0"/>
          <w:color w:val="auto"/>
          <w:sz w:val="36"/>
          <w:szCs w:val="36"/>
          <w:highlight w:val="none"/>
        </w:rPr>
      </w:pPr>
    </w:p>
    <w:p w14:paraId="6B14A6ED">
      <w:pPr>
        <w:pStyle w:val="3"/>
        <w:rPr>
          <w:rFonts w:hint="eastAsia" w:asciiTheme="majorEastAsia" w:hAnsiTheme="majorEastAsia" w:eastAsiaTheme="majorEastAsia" w:cstheme="majorEastAsia"/>
          <w:b/>
          <w:bCs w:val="0"/>
          <w:color w:val="auto"/>
          <w:sz w:val="36"/>
          <w:szCs w:val="36"/>
          <w:highlight w:val="none"/>
        </w:rPr>
      </w:pPr>
    </w:p>
    <w:p w14:paraId="73E85AB1">
      <w:pPr>
        <w:pStyle w:val="3"/>
        <w:rPr>
          <w:rFonts w:hint="eastAsia" w:asciiTheme="majorEastAsia" w:hAnsiTheme="majorEastAsia" w:eastAsiaTheme="majorEastAsia" w:cstheme="majorEastAsia"/>
          <w:b/>
          <w:bCs w:val="0"/>
          <w:color w:val="auto"/>
          <w:sz w:val="36"/>
          <w:szCs w:val="36"/>
          <w:highlight w:val="none"/>
        </w:rPr>
      </w:pPr>
    </w:p>
    <w:p w14:paraId="75E437EE">
      <w:pPr>
        <w:pStyle w:val="3"/>
        <w:rPr>
          <w:rFonts w:hint="eastAsia" w:asciiTheme="majorEastAsia" w:hAnsiTheme="majorEastAsia" w:eastAsiaTheme="majorEastAsia" w:cstheme="majorEastAsia"/>
          <w:b/>
          <w:bCs w:val="0"/>
          <w:color w:val="auto"/>
          <w:sz w:val="36"/>
          <w:szCs w:val="36"/>
          <w:highlight w:val="none"/>
        </w:rPr>
      </w:pPr>
    </w:p>
    <w:p w14:paraId="0E138169">
      <w:pPr>
        <w:pStyle w:val="3"/>
        <w:rPr>
          <w:rFonts w:hint="eastAsia" w:asciiTheme="majorEastAsia" w:hAnsiTheme="majorEastAsia" w:eastAsiaTheme="majorEastAsia" w:cstheme="majorEastAsia"/>
          <w:b/>
          <w:bCs w:val="0"/>
          <w:color w:val="auto"/>
          <w:sz w:val="36"/>
          <w:szCs w:val="36"/>
          <w:highlight w:val="none"/>
        </w:rPr>
      </w:pPr>
    </w:p>
    <w:p w14:paraId="0725565E">
      <w:pPr>
        <w:pStyle w:val="3"/>
        <w:rPr>
          <w:rFonts w:hint="eastAsia" w:asciiTheme="majorEastAsia" w:hAnsiTheme="majorEastAsia" w:eastAsiaTheme="majorEastAsia" w:cstheme="majorEastAsia"/>
          <w:b/>
          <w:bCs w:val="0"/>
          <w:color w:val="auto"/>
          <w:sz w:val="36"/>
          <w:szCs w:val="36"/>
          <w:highlight w:val="none"/>
        </w:rPr>
      </w:pPr>
    </w:p>
    <w:p w14:paraId="342230E2">
      <w:pPr>
        <w:pStyle w:val="4"/>
        <w:spacing w:line="360" w:lineRule="auto"/>
        <w:rPr>
          <w:rFonts w:hint="eastAsia" w:asciiTheme="majorEastAsia" w:hAnsiTheme="majorEastAsia" w:eastAsiaTheme="majorEastAsia" w:cstheme="majorEastAsia"/>
          <w:b/>
          <w:bCs w:val="0"/>
          <w:color w:val="auto"/>
          <w:sz w:val="36"/>
          <w:szCs w:val="36"/>
          <w:highlight w:val="none"/>
        </w:rPr>
      </w:pPr>
      <w:r>
        <w:rPr>
          <w:rFonts w:hint="eastAsia" w:asciiTheme="majorEastAsia" w:hAnsiTheme="majorEastAsia" w:eastAsiaTheme="majorEastAsia" w:cstheme="majorEastAsia"/>
          <w:b/>
          <w:bCs w:val="0"/>
          <w:color w:val="auto"/>
          <w:sz w:val="36"/>
          <w:szCs w:val="36"/>
          <w:highlight w:val="none"/>
        </w:rPr>
        <w:t>第六章 投标文件格式</w:t>
      </w:r>
      <w:bookmarkEnd w:id="129"/>
      <w:bookmarkEnd w:id="133"/>
    </w:p>
    <w:p w14:paraId="1EBA2745">
      <w:pPr>
        <w:pStyle w:val="24"/>
        <w:spacing w:line="360" w:lineRule="auto"/>
        <w:ind w:firstLine="600"/>
        <w:rPr>
          <w:rFonts w:hint="eastAsia" w:asciiTheme="majorEastAsia" w:hAnsiTheme="majorEastAsia" w:eastAsiaTheme="majorEastAsia" w:cstheme="majorEastAsia"/>
          <w:color w:val="auto"/>
          <w:highlight w:val="none"/>
        </w:rPr>
      </w:pPr>
    </w:p>
    <w:p w14:paraId="06D01D16">
      <w:pPr>
        <w:spacing w:line="360" w:lineRule="auto"/>
        <w:jc w:val="center"/>
        <w:rPr>
          <w:rFonts w:hint="eastAsia" w:asciiTheme="majorEastAsia" w:hAnsiTheme="majorEastAsia" w:eastAsiaTheme="majorEastAsia" w:cstheme="majorEastAsia"/>
          <w:b/>
          <w:color w:val="auto"/>
          <w:sz w:val="72"/>
          <w:highlight w:val="none"/>
        </w:rPr>
      </w:pPr>
    </w:p>
    <w:p w14:paraId="743C4836">
      <w:pPr>
        <w:pStyle w:val="11"/>
        <w:spacing w:line="360" w:lineRule="auto"/>
        <w:rPr>
          <w:rFonts w:hint="eastAsia"/>
          <w:color w:val="auto"/>
          <w:highlight w:val="none"/>
        </w:rPr>
      </w:pPr>
    </w:p>
    <w:p w14:paraId="20DD4805">
      <w:pPr>
        <w:pStyle w:val="11"/>
        <w:spacing w:line="360" w:lineRule="auto"/>
        <w:rPr>
          <w:rFonts w:hint="eastAsia"/>
          <w:color w:val="auto"/>
          <w:highlight w:val="none"/>
        </w:rPr>
      </w:pPr>
    </w:p>
    <w:p w14:paraId="78F8797B">
      <w:pPr>
        <w:spacing w:line="360" w:lineRule="auto"/>
        <w:jc w:val="center"/>
        <w:rPr>
          <w:rFonts w:hint="eastAsia" w:asciiTheme="majorEastAsia" w:hAnsiTheme="majorEastAsia" w:eastAsiaTheme="majorEastAsia" w:cstheme="majorEastAsia"/>
          <w:b/>
          <w:color w:val="auto"/>
          <w:sz w:val="72"/>
          <w:highlight w:val="none"/>
        </w:rPr>
      </w:pPr>
      <w:r>
        <w:rPr>
          <w:rFonts w:hint="eastAsia" w:asciiTheme="majorEastAsia" w:hAnsiTheme="majorEastAsia" w:eastAsiaTheme="majorEastAsia" w:cstheme="majorEastAsia"/>
          <w:b/>
          <w:color w:val="auto"/>
          <w:sz w:val="72"/>
          <w:highlight w:val="none"/>
        </w:rPr>
        <w:t>投  标  文  件</w:t>
      </w:r>
    </w:p>
    <w:p w14:paraId="503D911C">
      <w:pPr>
        <w:spacing w:line="360" w:lineRule="auto"/>
        <w:jc w:val="center"/>
        <w:rPr>
          <w:rFonts w:hint="eastAsia" w:asciiTheme="majorEastAsia" w:hAnsiTheme="majorEastAsia" w:eastAsiaTheme="majorEastAsia" w:cstheme="majorEastAsia"/>
          <w:b/>
          <w:color w:val="auto"/>
          <w:sz w:val="36"/>
          <w:highlight w:val="none"/>
        </w:rPr>
      </w:pPr>
    </w:p>
    <w:p w14:paraId="64F4BD34">
      <w:pPr>
        <w:spacing w:line="360" w:lineRule="auto"/>
        <w:jc w:val="center"/>
        <w:rPr>
          <w:rFonts w:hint="eastAsia" w:asciiTheme="majorEastAsia" w:hAnsiTheme="majorEastAsia" w:eastAsiaTheme="majorEastAsia" w:cstheme="majorEastAsia"/>
          <w:b/>
          <w:color w:val="auto"/>
          <w:sz w:val="36"/>
          <w:highlight w:val="none"/>
        </w:rPr>
      </w:pPr>
    </w:p>
    <w:p w14:paraId="7E35311A">
      <w:pPr>
        <w:spacing w:line="360" w:lineRule="auto"/>
        <w:jc w:val="center"/>
        <w:rPr>
          <w:rFonts w:hint="eastAsia" w:asciiTheme="majorEastAsia" w:hAnsiTheme="majorEastAsia" w:eastAsiaTheme="majorEastAsia" w:cstheme="majorEastAsia"/>
          <w:b/>
          <w:color w:val="auto"/>
          <w:sz w:val="36"/>
          <w:highlight w:val="none"/>
        </w:rPr>
      </w:pPr>
    </w:p>
    <w:p w14:paraId="6532138A">
      <w:pPr>
        <w:spacing w:line="360" w:lineRule="auto"/>
        <w:jc w:val="center"/>
        <w:rPr>
          <w:rFonts w:hint="eastAsia" w:asciiTheme="majorEastAsia" w:hAnsiTheme="majorEastAsia" w:eastAsiaTheme="majorEastAsia" w:cstheme="majorEastAsia"/>
          <w:b/>
          <w:color w:val="auto"/>
          <w:sz w:val="36"/>
          <w:highlight w:val="none"/>
        </w:rPr>
      </w:pPr>
    </w:p>
    <w:p w14:paraId="4D249230">
      <w:pPr>
        <w:spacing w:line="360" w:lineRule="auto"/>
        <w:jc w:val="center"/>
        <w:rPr>
          <w:rFonts w:hint="eastAsia" w:asciiTheme="majorEastAsia" w:hAnsiTheme="majorEastAsia" w:eastAsiaTheme="majorEastAsia" w:cstheme="majorEastAsia"/>
          <w:b/>
          <w:color w:val="auto"/>
          <w:sz w:val="36"/>
          <w:highlight w:val="none"/>
        </w:rPr>
      </w:pPr>
    </w:p>
    <w:p w14:paraId="0F091B59">
      <w:pPr>
        <w:pStyle w:val="23"/>
        <w:spacing w:beforeAutospacing="0" w:afterAutospacing="0" w:line="360" w:lineRule="auto"/>
        <w:ind w:firstLine="1084"/>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项</w:t>
      </w:r>
      <w:r>
        <w:rPr>
          <w:rFonts w:hint="eastAsia" w:asciiTheme="majorEastAsia" w:hAnsiTheme="majorEastAsia" w:eastAsia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目 名 称：</w:t>
      </w:r>
      <w:r>
        <w:rPr>
          <w:rFonts w:hint="eastAsia" w:asciiTheme="majorEastAsia" w:hAnsiTheme="majorEastAsia" w:eastAsiaTheme="majorEastAsia" w:cstheme="majorEastAsia"/>
          <w:b/>
          <w:color w:val="auto"/>
          <w:sz w:val="36"/>
          <w:szCs w:val="36"/>
          <w:highlight w:val="none"/>
          <w:u w:val="single"/>
        </w:rPr>
        <w:t>             </w:t>
      </w:r>
    </w:p>
    <w:p w14:paraId="6B6AEBFD">
      <w:pPr>
        <w:pStyle w:val="23"/>
        <w:spacing w:beforeAutospacing="0" w:afterAutospacing="0" w:line="360" w:lineRule="auto"/>
        <w:ind w:firstLine="1084"/>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项</w:t>
      </w:r>
      <w:r>
        <w:rPr>
          <w:rFonts w:hint="eastAsia" w:asciiTheme="majorEastAsia" w:hAnsiTheme="majorEastAsia" w:eastAsia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目 编 号：</w:t>
      </w:r>
      <w:r>
        <w:rPr>
          <w:rFonts w:hint="eastAsia" w:asciiTheme="majorEastAsia" w:hAnsiTheme="majorEastAsia" w:eastAsiaTheme="majorEastAsia" w:cstheme="majorEastAsia"/>
          <w:b/>
          <w:color w:val="auto"/>
          <w:sz w:val="36"/>
          <w:szCs w:val="36"/>
          <w:highlight w:val="none"/>
          <w:u w:val="single"/>
        </w:rPr>
        <w:t>             </w:t>
      </w:r>
    </w:p>
    <w:p w14:paraId="7FEC2DC3">
      <w:pPr>
        <w:pStyle w:val="23"/>
        <w:spacing w:beforeAutospacing="0" w:afterAutospacing="0" w:line="360" w:lineRule="auto"/>
        <w:ind w:firstLine="1084" w:firstLineChars="3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投标人名称 ：</w:t>
      </w:r>
      <w:r>
        <w:rPr>
          <w:rFonts w:hint="eastAsia" w:asciiTheme="majorEastAsia" w:hAnsiTheme="majorEastAsia" w:eastAsiaTheme="majorEastAsia" w:cstheme="majorEastAsia"/>
          <w:b/>
          <w:color w:val="auto"/>
          <w:sz w:val="36"/>
          <w:szCs w:val="36"/>
          <w:highlight w:val="none"/>
          <w:u w:val="single"/>
        </w:rPr>
        <w:t xml:space="preserve">（加盖CA电子公章）   </w:t>
      </w:r>
      <w:r>
        <w:rPr>
          <w:rFonts w:hint="eastAsia" w:asciiTheme="majorEastAsia" w:hAnsiTheme="majorEastAsia" w:eastAsia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p>
    <w:p w14:paraId="22A47E90">
      <w:pPr>
        <w:pStyle w:val="23"/>
        <w:spacing w:beforeAutospacing="0" w:afterAutospacing="0" w:line="360" w:lineRule="auto"/>
        <w:ind w:firstLine="1084" w:firstLineChars="3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日   期 ：</w:t>
      </w:r>
      <w:r>
        <w:rPr>
          <w:rFonts w:hint="eastAsia" w:asciiTheme="majorEastAsia" w:hAnsiTheme="majorEastAsia" w:eastAsiaTheme="majorEastAsia" w:cstheme="majorEastAsia"/>
          <w:b/>
          <w:color w:val="auto"/>
          <w:sz w:val="36"/>
          <w:szCs w:val="36"/>
          <w:highlight w:val="none"/>
          <w:u w:val="single"/>
        </w:rPr>
        <w:t xml:space="preserve">                  </w:t>
      </w:r>
      <w:r>
        <w:rPr>
          <w:rFonts w:hint="eastAsia" w:asciiTheme="majorEastAsia" w:hAnsiTheme="majorEastAsia" w:eastAsia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p>
    <w:p w14:paraId="1B98235F">
      <w:pPr>
        <w:spacing w:line="360" w:lineRule="auto"/>
        <w:jc w:val="center"/>
        <w:rPr>
          <w:rFonts w:hint="eastAsia" w:asciiTheme="majorEastAsia" w:hAnsiTheme="majorEastAsia" w:eastAsiaTheme="majorEastAsia" w:cstheme="majorEastAsia"/>
          <w:b/>
          <w:bCs/>
          <w:color w:val="auto"/>
          <w:sz w:val="32"/>
          <w:szCs w:val="32"/>
          <w:highlight w:val="none"/>
        </w:rPr>
        <w:sectPr>
          <w:footerReference r:id="rId9" w:type="default"/>
          <w:pgSz w:w="11906" w:h="16838"/>
          <w:pgMar w:top="964" w:right="1417" w:bottom="964" w:left="1417" w:header="851" w:footer="737" w:gutter="0"/>
          <w:pgNumType w:fmt="decimal"/>
          <w:cols w:space="720" w:num="1"/>
          <w:docGrid w:linePitch="360" w:charSpace="0"/>
        </w:sectPr>
      </w:pPr>
    </w:p>
    <w:p w14:paraId="13006E1B">
      <w:pPr>
        <w:pStyle w:val="23"/>
        <w:spacing w:beforeAutospacing="0" w:afterAutospacing="0" w:line="360" w:lineRule="auto"/>
        <w:jc w:val="center"/>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b/>
          <w:color w:val="auto"/>
          <w:sz w:val="36"/>
          <w:szCs w:val="36"/>
          <w:highlight w:val="none"/>
        </w:rPr>
        <w:t>投标文件目录</w:t>
      </w:r>
    </w:p>
    <w:p w14:paraId="676F5E94">
      <w:pPr>
        <w:spacing w:line="360" w:lineRule="auto"/>
        <w:ind w:left="480"/>
        <w:rPr>
          <w:rFonts w:hint="eastAsia" w:ascii="宋体" w:hAnsi="宋体" w:eastAsia="宋体" w:cs="Times New Roman"/>
          <w:iCs/>
          <w:color w:val="auto"/>
          <w:kern w:val="2"/>
          <w:sz w:val="24"/>
          <w:szCs w:val="21"/>
          <w:highlight w:val="none"/>
          <w:u w:val="single"/>
          <w:lang w:val="en-US" w:eastAsia="zh-CN" w:bidi="ar-SA"/>
        </w:rPr>
      </w:pPr>
      <w:r>
        <w:rPr>
          <w:rFonts w:hint="eastAsia" w:ascii="宋体" w:hAnsi="宋体" w:eastAsia="宋体" w:cs="Times New Roman"/>
          <w:iCs/>
          <w:color w:val="auto"/>
          <w:kern w:val="2"/>
          <w:sz w:val="24"/>
          <w:szCs w:val="21"/>
          <w:highlight w:val="none"/>
          <w:u w:val="single"/>
          <w:lang w:val="en-US" w:eastAsia="zh-CN" w:bidi="ar-SA"/>
        </w:rPr>
        <w:t>一、法人或者其他组织的营业执照等证明文件，自然人的身份证明</w:t>
      </w:r>
    </w:p>
    <w:p w14:paraId="3A6BD157">
      <w:pPr>
        <w:spacing w:line="360" w:lineRule="auto"/>
        <w:ind w:left="480"/>
        <w:rPr>
          <w:rFonts w:hint="eastAsia" w:ascii="宋体" w:hAnsi="宋体" w:eastAsia="宋体" w:cs="Times New Roman"/>
          <w:iCs/>
          <w:color w:val="auto"/>
          <w:kern w:val="2"/>
          <w:sz w:val="24"/>
          <w:szCs w:val="21"/>
          <w:highlight w:val="none"/>
          <w:u w:val="single"/>
          <w:lang w:val="en-US" w:eastAsia="zh-CN" w:bidi="ar-SA"/>
        </w:rPr>
      </w:pPr>
      <w:r>
        <w:rPr>
          <w:rFonts w:hint="eastAsia" w:ascii="宋体" w:hAnsi="宋体" w:eastAsia="宋体" w:cs="Times New Roman"/>
          <w:iCs/>
          <w:color w:val="auto"/>
          <w:kern w:val="2"/>
          <w:sz w:val="24"/>
          <w:szCs w:val="21"/>
          <w:highlight w:val="none"/>
          <w:u w:val="single"/>
          <w:lang w:val="en-US" w:eastAsia="zh-CN" w:bidi="ar-SA"/>
        </w:rPr>
        <w:t>二、投标人2024年度的财务状况报告（财务状况报告至少应包括资产负债表、利润表；距投标截止之日止，成立不足一年的供应商，可不提供财务状况报告。）</w:t>
      </w:r>
    </w:p>
    <w:p w14:paraId="3AABEC94">
      <w:pPr>
        <w:pStyle w:val="23"/>
        <w:spacing w:beforeAutospacing="0" w:afterAutospacing="0" w:line="360" w:lineRule="auto"/>
        <w:ind w:left="480"/>
        <w:jc w:val="both"/>
        <w:rPr>
          <w:rFonts w:hint="eastAsia" w:ascii="宋体" w:hAnsi="宋体" w:eastAsia="宋体" w:cs="Times New Roman"/>
          <w:iCs/>
          <w:color w:val="auto"/>
          <w:kern w:val="2"/>
          <w:sz w:val="24"/>
          <w:szCs w:val="21"/>
          <w:highlight w:val="none"/>
          <w:u w:val="single"/>
          <w:lang w:val="en-US" w:eastAsia="zh-CN" w:bidi="ar-SA"/>
        </w:rPr>
      </w:pPr>
      <w:r>
        <w:rPr>
          <w:rFonts w:hint="eastAsia" w:ascii="宋体" w:hAnsi="宋体" w:eastAsia="宋体" w:cs="Times New Roman"/>
          <w:iCs/>
          <w:color w:val="auto"/>
          <w:kern w:val="2"/>
          <w:sz w:val="24"/>
          <w:szCs w:val="21"/>
          <w:highlight w:val="none"/>
          <w:u w:val="single"/>
          <w:lang w:val="en-US" w:eastAsia="zh-CN" w:bidi="ar-SA"/>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4BE4E1B8">
      <w:pPr>
        <w:pStyle w:val="23"/>
        <w:spacing w:beforeAutospacing="0" w:afterAutospacing="0" w:line="360" w:lineRule="auto"/>
        <w:ind w:left="480"/>
        <w:jc w:val="both"/>
        <w:rPr>
          <w:rFonts w:hint="eastAsia" w:ascii="宋体" w:hAnsi="宋体" w:eastAsia="宋体" w:cs="Times New Roman"/>
          <w:iCs/>
          <w:color w:val="auto"/>
          <w:kern w:val="2"/>
          <w:sz w:val="24"/>
          <w:szCs w:val="21"/>
          <w:highlight w:val="none"/>
          <w:u w:val="single"/>
          <w:lang w:val="en-US" w:eastAsia="zh-CN" w:bidi="ar-SA"/>
        </w:rPr>
      </w:pPr>
      <w:r>
        <w:rPr>
          <w:rFonts w:hint="eastAsia" w:ascii="宋体" w:hAnsi="宋体" w:eastAsia="宋体" w:cs="Times New Roman"/>
          <w:iCs/>
          <w:color w:val="auto"/>
          <w:kern w:val="2"/>
          <w:sz w:val="24"/>
          <w:szCs w:val="21"/>
          <w:highlight w:val="none"/>
          <w:u w:val="single"/>
          <w:lang w:val="en-US" w:eastAsia="zh-CN" w:bidi="ar-SA"/>
        </w:rPr>
        <w:t>四、具备履行合同所必需的设备和专业技术能力的书面声明</w:t>
      </w:r>
    </w:p>
    <w:p w14:paraId="3E37B65B">
      <w:pPr>
        <w:pStyle w:val="23"/>
        <w:spacing w:beforeAutospacing="0" w:afterAutospacing="0" w:line="360" w:lineRule="auto"/>
        <w:ind w:left="480"/>
        <w:jc w:val="both"/>
        <w:rPr>
          <w:rFonts w:hint="eastAsia" w:ascii="宋体" w:hAnsi="宋体" w:eastAsia="宋体" w:cs="Times New Roman"/>
          <w:iCs/>
          <w:color w:val="auto"/>
          <w:kern w:val="2"/>
          <w:sz w:val="24"/>
          <w:szCs w:val="21"/>
          <w:highlight w:val="none"/>
          <w:u w:val="single"/>
          <w:lang w:val="en-US" w:eastAsia="zh-CN" w:bidi="ar-SA"/>
        </w:rPr>
      </w:pPr>
      <w:r>
        <w:rPr>
          <w:rFonts w:hint="eastAsia" w:ascii="宋体" w:hAnsi="宋体" w:eastAsia="宋体" w:cs="Times New Roman"/>
          <w:iCs/>
          <w:color w:val="auto"/>
          <w:kern w:val="2"/>
          <w:sz w:val="24"/>
          <w:szCs w:val="21"/>
          <w:highlight w:val="none"/>
          <w:u w:val="single"/>
          <w:lang w:val="en-US" w:eastAsia="zh-CN" w:bidi="ar-SA"/>
        </w:rPr>
        <w:t>五、参加政府采购活动前 3 年内在经营活动中没有重大违法记录的书面声明</w:t>
      </w:r>
    </w:p>
    <w:p w14:paraId="4AC02963">
      <w:pPr>
        <w:pStyle w:val="23"/>
        <w:spacing w:beforeAutospacing="0" w:afterAutospacing="0" w:line="360" w:lineRule="auto"/>
        <w:ind w:left="480"/>
        <w:jc w:val="both"/>
        <w:rPr>
          <w:rFonts w:hint="eastAsia" w:ascii="宋体" w:hAnsi="宋体" w:eastAsia="宋体" w:cs="Times New Roman"/>
          <w:iCs/>
          <w:color w:val="auto"/>
          <w:kern w:val="2"/>
          <w:sz w:val="24"/>
          <w:szCs w:val="21"/>
          <w:highlight w:val="none"/>
          <w:u w:val="single"/>
          <w:lang w:val="en-US" w:eastAsia="zh-CN" w:bidi="ar-SA"/>
        </w:rPr>
      </w:pPr>
      <w:r>
        <w:rPr>
          <w:rFonts w:hint="eastAsia" w:cs="Times New Roman"/>
          <w:iCs/>
          <w:color w:val="auto"/>
          <w:kern w:val="2"/>
          <w:sz w:val="24"/>
          <w:szCs w:val="21"/>
          <w:highlight w:val="none"/>
          <w:u w:val="single"/>
          <w:lang w:val="en-US" w:eastAsia="zh-CN" w:bidi="ar-SA"/>
        </w:rPr>
        <w:t>六、</w:t>
      </w:r>
      <w:r>
        <w:rPr>
          <w:rFonts w:hint="eastAsia" w:ascii="宋体" w:hAnsi="宋体" w:eastAsia="宋体" w:cs="Times New Roman"/>
          <w:iCs/>
          <w:color w:val="auto"/>
          <w:kern w:val="2"/>
          <w:sz w:val="24"/>
          <w:szCs w:val="21"/>
          <w:highlight w:val="none"/>
          <w:u w:val="single"/>
          <w:lang w:val="en-US" w:eastAsia="zh-CN" w:bidi="ar-SA"/>
        </w:rPr>
        <w:t>特定资格要求的证明文件（资质要求、项目负责人资格要求、业绩要求等）；</w:t>
      </w:r>
    </w:p>
    <w:p w14:paraId="6922DC6B">
      <w:pPr>
        <w:pStyle w:val="23"/>
        <w:spacing w:beforeAutospacing="0" w:afterAutospacing="0" w:line="360" w:lineRule="auto"/>
        <w:ind w:left="480"/>
        <w:jc w:val="both"/>
        <w:rPr>
          <w:rFonts w:hint="eastAsia" w:ascii="宋体" w:hAnsi="宋体" w:eastAsia="宋体" w:cs="Times New Roman"/>
          <w:iCs/>
          <w:color w:val="auto"/>
          <w:kern w:val="2"/>
          <w:sz w:val="24"/>
          <w:szCs w:val="21"/>
          <w:highlight w:val="none"/>
          <w:u w:val="single"/>
          <w:lang w:val="en-US" w:eastAsia="zh-CN" w:bidi="ar-SA"/>
        </w:rPr>
      </w:pPr>
      <w:r>
        <w:rPr>
          <w:rFonts w:hint="eastAsia" w:ascii="宋体" w:hAnsi="宋体" w:eastAsia="宋体" w:cs="Times New Roman"/>
          <w:iCs/>
          <w:color w:val="auto"/>
          <w:kern w:val="2"/>
          <w:sz w:val="24"/>
          <w:szCs w:val="21"/>
          <w:highlight w:val="none"/>
          <w:u w:val="single"/>
          <w:lang w:val="en-US" w:eastAsia="zh-CN" w:bidi="ar-SA"/>
        </w:rPr>
        <w:t>七、法人授权书</w:t>
      </w:r>
    </w:p>
    <w:p w14:paraId="03B098F9">
      <w:pPr>
        <w:pStyle w:val="23"/>
        <w:spacing w:beforeAutospacing="0" w:afterAutospacing="0" w:line="360" w:lineRule="auto"/>
        <w:ind w:left="480"/>
        <w:jc w:val="both"/>
        <w:rPr>
          <w:rFonts w:hint="eastAsia" w:ascii="宋体" w:hAnsi="宋体" w:eastAsia="宋体" w:cs="Times New Roman"/>
          <w:iCs/>
          <w:color w:val="auto"/>
          <w:kern w:val="2"/>
          <w:sz w:val="24"/>
          <w:szCs w:val="21"/>
          <w:highlight w:val="none"/>
          <w:u w:val="single"/>
          <w:lang w:val="en-US" w:eastAsia="zh-CN" w:bidi="ar-SA"/>
        </w:rPr>
      </w:pPr>
      <w:r>
        <w:rPr>
          <w:rFonts w:hint="eastAsia" w:ascii="宋体" w:hAnsi="宋体" w:eastAsia="宋体" w:cs="Times New Roman"/>
          <w:iCs/>
          <w:color w:val="auto"/>
          <w:kern w:val="2"/>
          <w:sz w:val="24"/>
          <w:szCs w:val="21"/>
          <w:highlight w:val="none"/>
          <w:u w:val="single"/>
          <w:lang w:val="en-US" w:eastAsia="zh-CN" w:bidi="ar-SA"/>
        </w:rPr>
        <w:t>八、投标函</w:t>
      </w:r>
    </w:p>
    <w:p w14:paraId="0123A53B">
      <w:pPr>
        <w:spacing w:line="360" w:lineRule="auto"/>
        <w:ind w:firstLine="480" w:firstLineChars="200"/>
        <w:rPr>
          <w:rFonts w:hint="eastAsia" w:ascii="宋体" w:hAnsi="宋体" w:eastAsia="宋体" w:cs="Times New Roman"/>
          <w:iCs/>
          <w:color w:val="auto"/>
          <w:sz w:val="24"/>
          <w:highlight w:val="none"/>
          <w:u w:val="single"/>
        </w:rPr>
      </w:pPr>
      <w:r>
        <w:rPr>
          <w:rFonts w:hint="eastAsia" w:ascii="宋体" w:hAnsi="宋体" w:eastAsia="宋体" w:cs="Times New Roman"/>
          <w:iCs/>
          <w:color w:val="auto"/>
          <w:sz w:val="24"/>
          <w:highlight w:val="none"/>
          <w:u w:val="single"/>
        </w:rPr>
        <w:t>九、投入本项目人员一览表；</w:t>
      </w:r>
    </w:p>
    <w:p w14:paraId="4EDA9596">
      <w:pPr>
        <w:pStyle w:val="23"/>
        <w:spacing w:beforeAutospacing="0" w:afterAutospacing="0" w:line="360" w:lineRule="auto"/>
        <w:ind w:firstLine="480"/>
        <w:jc w:val="both"/>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single"/>
        </w:rPr>
        <w:t>十、技术要求响应及偏离表</w:t>
      </w:r>
      <w:r>
        <w:rPr>
          <w:rFonts w:hint="eastAsia" w:cs="宋体"/>
          <w:color w:val="auto"/>
          <w:highlight w:val="none"/>
          <w:u w:val="single"/>
          <w:lang w:eastAsia="zh-CN"/>
        </w:rPr>
        <w:t>（</w:t>
      </w:r>
      <w:r>
        <w:rPr>
          <w:rFonts w:hint="eastAsia" w:cs="宋体"/>
          <w:color w:val="auto"/>
          <w:highlight w:val="none"/>
          <w:u w:val="single"/>
          <w:lang w:val="en-US" w:eastAsia="zh-CN"/>
        </w:rPr>
        <w:t>如有</w:t>
      </w:r>
      <w:r>
        <w:rPr>
          <w:rFonts w:hint="eastAsia" w:cs="宋体"/>
          <w:color w:val="auto"/>
          <w:highlight w:val="none"/>
          <w:u w:val="single"/>
          <w:lang w:eastAsia="zh-CN"/>
        </w:rPr>
        <w:t>）；</w:t>
      </w:r>
    </w:p>
    <w:p w14:paraId="7058E4F6">
      <w:pPr>
        <w:pStyle w:val="23"/>
        <w:spacing w:beforeAutospacing="0" w:afterAutospacing="0" w:line="360" w:lineRule="auto"/>
        <w:ind w:firstLine="480"/>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十一、商务要求响应及偏离表</w:t>
      </w:r>
    </w:p>
    <w:p w14:paraId="076826AE">
      <w:pPr>
        <w:pStyle w:val="23"/>
        <w:spacing w:beforeAutospacing="0" w:afterAutospacing="0" w:line="360" w:lineRule="auto"/>
        <w:ind w:firstLine="480"/>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十二、开标一览表</w:t>
      </w:r>
    </w:p>
    <w:p w14:paraId="443FA1AF">
      <w:pPr>
        <w:widowControl/>
        <w:spacing w:before="50" w:after="50" w:line="360" w:lineRule="auto"/>
        <w:ind w:firstLine="480" w:firstLineChars="2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u w:val="single"/>
        </w:rPr>
        <w:t>十</w:t>
      </w:r>
      <w:r>
        <w:rPr>
          <w:rFonts w:hint="eastAsia" w:ascii="宋体" w:hAnsi="宋体" w:cs="宋体"/>
          <w:color w:val="auto"/>
          <w:kern w:val="0"/>
          <w:sz w:val="24"/>
          <w:highlight w:val="none"/>
          <w:u w:val="single"/>
          <w:lang w:val="en-US" w:eastAsia="zh-CN"/>
        </w:rPr>
        <w:t>三</w:t>
      </w:r>
      <w:r>
        <w:rPr>
          <w:rFonts w:hint="eastAsia" w:ascii="宋体" w:hAnsi="宋体" w:eastAsia="宋体" w:cs="宋体"/>
          <w:color w:val="auto"/>
          <w:kern w:val="0"/>
          <w:sz w:val="24"/>
          <w:highlight w:val="none"/>
          <w:u w:val="single"/>
        </w:rPr>
        <w:t>、</w:t>
      </w:r>
      <w:r>
        <w:rPr>
          <w:rFonts w:hint="eastAsia" w:ascii="宋体" w:hAnsi="宋体" w:cs="宋体"/>
          <w:color w:val="auto"/>
          <w:kern w:val="0"/>
          <w:sz w:val="24"/>
          <w:highlight w:val="none"/>
          <w:u w:val="single"/>
          <w:lang w:val="en-US" w:eastAsia="zh-CN"/>
        </w:rPr>
        <w:t>服务</w:t>
      </w:r>
      <w:r>
        <w:rPr>
          <w:rFonts w:hint="eastAsia" w:ascii="宋体" w:hAnsi="宋体" w:eastAsia="宋体" w:cs="宋体"/>
          <w:color w:val="auto"/>
          <w:kern w:val="0"/>
          <w:sz w:val="24"/>
          <w:highlight w:val="none"/>
          <w:u w:val="single"/>
        </w:rPr>
        <w:t>方案、服务承诺、</w:t>
      </w:r>
      <w:r>
        <w:rPr>
          <w:rFonts w:hint="eastAsia" w:ascii="宋体" w:hAnsi="宋体" w:cs="宋体"/>
          <w:color w:val="auto"/>
          <w:kern w:val="0"/>
          <w:sz w:val="24"/>
          <w:highlight w:val="none"/>
          <w:u w:val="single"/>
          <w:lang w:val="en-US" w:eastAsia="zh-CN"/>
        </w:rPr>
        <w:t>人员配置</w:t>
      </w:r>
      <w:r>
        <w:rPr>
          <w:rFonts w:hint="eastAsia" w:ascii="宋体" w:hAnsi="宋体" w:eastAsia="宋体" w:cs="宋体"/>
          <w:color w:val="auto"/>
          <w:kern w:val="0"/>
          <w:sz w:val="24"/>
          <w:highlight w:val="none"/>
          <w:u w:val="single"/>
        </w:rPr>
        <w:t>等</w:t>
      </w:r>
    </w:p>
    <w:p w14:paraId="75A798D0">
      <w:pPr>
        <w:pStyle w:val="23"/>
        <w:spacing w:beforeAutospacing="0" w:afterAutospacing="0" w:line="360" w:lineRule="auto"/>
        <w:ind w:firstLine="480"/>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十</w:t>
      </w:r>
      <w:r>
        <w:rPr>
          <w:rFonts w:hint="eastAsia" w:cs="宋体"/>
          <w:color w:val="auto"/>
          <w:highlight w:val="none"/>
          <w:u w:val="single"/>
          <w:lang w:val="en-US" w:eastAsia="zh-CN"/>
        </w:rPr>
        <w:t>四</w:t>
      </w:r>
      <w:r>
        <w:rPr>
          <w:rFonts w:hint="eastAsia" w:ascii="宋体" w:hAnsi="宋体" w:eastAsia="宋体" w:cs="宋体"/>
          <w:color w:val="auto"/>
          <w:highlight w:val="none"/>
          <w:u w:val="single"/>
        </w:rPr>
        <w:t>、盐城市政府采购事前信用承诺书</w:t>
      </w:r>
    </w:p>
    <w:p w14:paraId="2CEFC979">
      <w:pPr>
        <w:pStyle w:val="23"/>
        <w:spacing w:beforeAutospacing="0" w:afterAutospacing="0" w:line="360" w:lineRule="auto"/>
        <w:ind w:firstLine="480"/>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十</w:t>
      </w:r>
      <w:r>
        <w:rPr>
          <w:rFonts w:hint="eastAsia" w:cs="宋体"/>
          <w:color w:val="auto"/>
          <w:highlight w:val="none"/>
          <w:u w:val="single"/>
          <w:lang w:val="en-US" w:eastAsia="zh-CN"/>
        </w:rPr>
        <w:t>五</w:t>
      </w:r>
      <w:r>
        <w:rPr>
          <w:rFonts w:hint="eastAsia" w:ascii="宋体" w:hAnsi="宋体" w:eastAsia="宋体" w:cs="宋体"/>
          <w:color w:val="auto"/>
          <w:highlight w:val="none"/>
          <w:u w:val="single"/>
        </w:rPr>
        <w:t>、中小企业声明函</w:t>
      </w:r>
    </w:p>
    <w:p w14:paraId="792EF694">
      <w:pPr>
        <w:pStyle w:val="23"/>
        <w:spacing w:beforeAutospacing="0" w:afterAutospacing="0" w:line="360" w:lineRule="auto"/>
        <w:ind w:firstLine="723" w:firstLineChars="200"/>
        <w:jc w:val="left"/>
        <w:rPr>
          <w:rFonts w:hint="eastAsia" w:asciiTheme="majorEastAsia" w:hAnsiTheme="majorEastAsia" w:eastAsiaTheme="majorEastAsia" w:cstheme="majorEastAsia"/>
          <w:b/>
          <w:i/>
          <w:iCs/>
          <w:color w:val="auto"/>
          <w:sz w:val="36"/>
          <w:szCs w:val="36"/>
          <w:highlight w:val="none"/>
          <w:u w:val="single"/>
          <w:lang w:val="en-US" w:eastAsia="zh-CN"/>
        </w:rPr>
      </w:pPr>
    </w:p>
    <w:p w14:paraId="40CE6500">
      <w:pPr>
        <w:pStyle w:val="23"/>
        <w:spacing w:beforeAutospacing="0" w:afterAutospacing="0" w:line="360" w:lineRule="auto"/>
        <w:ind w:firstLine="723" w:firstLineChars="200"/>
        <w:jc w:val="left"/>
        <w:rPr>
          <w:rFonts w:hint="eastAsia" w:asciiTheme="majorEastAsia" w:hAnsiTheme="majorEastAsia" w:eastAsiaTheme="majorEastAsia" w:cstheme="majorEastAsia"/>
          <w:b/>
          <w:i/>
          <w:iCs/>
          <w:color w:val="auto"/>
          <w:sz w:val="36"/>
          <w:szCs w:val="36"/>
          <w:highlight w:val="none"/>
          <w:u w:val="single"/>
        </w:rPr>
      </w:pPr>
      <w:r>
        <w:rPr>
          <w:rFonts w:hint="eastAsia" w:asciiTheme="majorEastAsia" w:hAnsiTheme="majorEastAsia" w:eastAsiaTheme="majorEastAsia" w:cstheme="majorEastAsia"/>
          <w:b/>
          <w:i/>
          <w:iCs/>
          <w:color w:val="auto"/>
          <w:sz w:val="36"/>
          <w:szCs w:val="36"/>
          <w:highlight w:val="none"/>
          <w:u w:val="single"/>
          <w:lang w:val="en-US" w:eastAsia="zh-CN"/>
        </w:rPr>
        <w:t>一</w:t>
      </w:r>
      <w:r>
        <w:rPr>
          <w:rFonts w:hint="eastAsia" w:asciiTheme="majorEastAsia" w:hAnsiTheme="majorEastAsia" w:eastAsiaTheme="majorEastAsia" w:cstheme="majorEastAsia"/>
          <w:b/>
          <w:i/>
          <w:iCs/>
          <w:color w:val="auto"/>
          <w:sz w:val="36"/>
          <w:szCs w:val="36"/>
          <w:highlight w:val="none"/>
          <w:u w:val="single"/>
          <w:lang w:eastAsia="zh-CN"/>
        </w:rPr>
        <w:t>、</w:t>
      </w:r>
      <w:r>
        <w:rPr>
          <w:rFonts w:hint="eastAsia" w:asciiTheme="majorEastAsia" w:hAnsiTheme="majorEastAsia" w:eastAsiaTheme="majorEastAsia" w:cstheme="majorEastAsia"/>
          <w:b/>
          <w:i/>
          <w:iCs/>
          <w:color w:val="auto"/>
          <w:sz w:val="36"/>
          <w:szCs w:val="36"/>
          <w:highlight w:val="none"/>
          <w:u w:val="single"/>
        </w:rPr>
        <w:t>法人或者其他组织的营业执照等证明文件，自然人的身份证明</w:t>
      </w:r>
    </w:p>
    <w:p w14:paraId="07D272EE">
      <w:pPr>
        <w:pStyle w:val="7"/>
        <w:spacing w:line="360" w:lineRule="auto"/>
        <w:ind w:firstLine="723" w:firstLineChars="200"/>
        <w:jc w:val="left"/>
        <w:rPr>
          <w:rFonts w:hint="eastAsia" w:asciiTheme="majorEastAsia" w:hAnsiTheme="majorEastAsia" w:eastAsiaTheme="majorEastAsia" w:cstheme="majorEastAsia"/>
          <w:i/>
          <w:iCs/>
          <w:color w:val="auto"/>
          <w:sz w:val="36"/>
          <w:szCs w:val="36"/>
          <w:highlight w:val="none"/>
          <w:u w:val="single"/>
        </w:rPr>
      </w:pPr>
      <w:r>
        <w:rPr>
          <w:rFonts w:hint="eastAsia" w:asciiTheme="majorEastAsia" w:hAnsiTheme="majorEastAsia" w:eastAsiaTheme="majorEastAsia" w:cstheme="majorEastAsia"/>
          <w:i/>
          <w:iCs/>
          <w:color w:val="auto"/>
          <w:sz w:val="36"/>
          <w:szCs w:val="36"/>
          <w:highlight w:val="none"/>
          <w:u w:val="single"/>
        </w:rPr>
        <w:t>二</w:t>
      </w:r>
      <w:r>
        <w:rPr>
          <w:rFonts w:hint="eastAsia" w:asciiTheme="majorEastAsia" w:hAnsiTheme="majorEastAsia" w:eastAsiaTheme="majorEastAsia" w:cstheme="majorEastAsia"/>
          <w:i/>
          <w:iCs/>
          <w:color w:val="auto"/>
          <w:sz w:val="36"/>
          <w:szCs w:val="36"/>
          <w:highlight w:val="none"/>
          <w:u w:val="single"/>
          <w:lang w:eastAsia="zh-CN"/>
        </w:rPr>
        <w:t>、</w:t>
      </w:r>
      <w:r>
        <w:rPr>
          <w:rFonts w:hint="eastAsia" w:asciiTheme="majorEastAsia" w:hAnsiTheme="majorEastAsia" w:eastAsiaTheme="majorEastAsia" w:cstheme="majorEastAsia"/>
          <w:i/>
          <w:iCs/>
          <w:color w:val="auto"/>
          <w:sz w:val="36"/>
          <w:szCs w:val="36"/>
          <w:highlight w:val="none"/>
          <w:u w:val="single"/>
        </w:rPr>
        <w:t>上一年度的财务状况报告</w:t>
      </w:r>
    </w:p>
    <w:p w14:paraId="41D2419C">
      <w:pPr>
        <w:spacing w:line="360" w:lineRule="auto"/>
        <w:ind w:firstLine="240" w:firstLineChars="100"/>
        <w:jc w:val="left"/>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24"/>
          <w:szCs w:val="24"/>
          <w:highlight w:val="none"/>
        </w:rPr>
        <w:t> </w:t>
      </w:r>
      <w:r>
        <w:rPr>
          <w:rFonts w:hint="eastAsia" w:asciiTheme="majorEastAsia" w:hAnsiTheme="majorEastAsia" w:eastAsiaTheme="majorEastAsia" w:cstheme="majorEastAsia"/>
          <w:iCs/>
          <w:color w:val="auto"/>
          <w:sz w:val="24"/>
          <w:szCs w:val="24"/>
          <w:highlight w:val="none"/>
        </w:rPr>
        <w:t>2024年度的财务状况报告（财务状况报告至少应包括资产负债表、利润表；距投标截止之日止，成立不足一年的供应商，可不提供财务状况报告。）</w:t>
      </w:r>
    </w:p>
    <w:p w14:paraId="467841B3">
      <w:pPr>
        <w:pStyle w:val="7"/>
        <w:spacing w:line="360" w:lineRule="auto"/>
        <w:ind w:firstLine="723" w:firstLineChars="200"/>
        <w:jc w:val="left"/>
        <w:rPr>
          <w:rFonts w:hint="eastAsia" w:asciiTheme="majorEastAsia" w:hAnsiTheme="majorEastAsia" w:eastAsiaTheme="majorEastAsia" w:cstheme="majorEastAsia"/>
          <w:i/>
          <w:iCs/>
          <w:color w:val="auto"/>
          <w:sz w:val="36"/>
          <w:szCs w:val="36"/>
          <w:highlight w:val="none"/>
          <w:u w:val="single"/>
        </w:rPr>
      </w:pPr>
      <w:r>
        <w:rPr>
          <w:rFonts w:hint="eastAsia" w:asciiTheme="majorEastAsia" w:hAnsiTheme="majorEastAsia" w:eastAsiaTheme="majorEastAsia" w:cstheme="majorEastAsia"/>
          <w:i/>
          <w:iCs/>
          <w:color w:val="auto"/>
          <w:sz w:val="36"/>
          <w:szCs w:val="36"/>
          <w:highlight w:val="none"/>
          <w:u w:val="single"/>
        </w:rPr>
        <w:t>三</w:t>
      </w:r>
      <w:r>
        <w:rPr>
          <w:rFonts w:hint="eastAsia" w:asciiTheme="majorEastAsia" w:hAnsiTheme="majorEastAsia" w:eastAsiaTheme="majorEastAsia" w:cstheme="majorEastAsia"/>
          <w:i/>
          <w:iCs/>
          <w:color w:val="auto"/>
          <w:sz w:val="36"/>
          <w:szCs w:val="36"/>
          <w:highlight w:val="none"/>
          <w:u w:val="single"/>
          <w:lang w:eastAsia="zh-CN"/>
        </w:rPr>
        <w:t>、</w:t>
      </w:r>
      <w:r>
        <w:rPr>
          <w:rFonts w:hint="eastAsia" w:asciiTheme="majorEastAsia" w:hAnsiTheme="majorEastAsia" w:eastAsiaTheme="majorEastAsia" w:cstheme="majorEastAsia"/>
          <w:i/>
          <w:iCs/>
          <w:color w:val="auto"/>
          <w:sz w:val="36"/>
          <w:szCs w:val="36"/>
          <w:highlight w:val="none"/>
          <w:u w:val="single"/>
        </w:rPr>
        <w:t>依法缴纳税收和社会保障资金的相关材料</w:t>
      </w:r>
    </w:p>
    <w:p w14:paraId="4BA14D14">
      <w:pPr>
        <w:pStyle w:val="7"/>
        <w:spacing w:line="360" w:lineRule="auto"/>
        <w:ind w:firstLine="480"/>
        <w:jc w:val="lef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提供提交响应文件截止时间前一年内至少一月依法缴纳税收及缴纳社会保障资金的证明材料。供应商依法享受缓缴、免缴税收、社会保障资金的提供证明材料。</w:t>
      </w:r>
    </w:p>
    <w:p w14:paraId="0616D182">
      <w:pPr>
        <w:pStyle w:val="23"/>
        <w:spacing w:beforeAutospacing="0" w:afterAutospacing="0" w:line="360" w:lineRule="auto"/>
        <w:jc w:val="center"/>
        <w:rPr>
          <w:rFonts w:hint="eastAsia" w:asciiTheme="majorEastAsia" w:hAnsiTheme="majorEastAsia" w:eastAsiaTheme="majorEastAsia" w:cstheme="majorEastAsia"/>
          <w:b/>
          <w:i/>
          <w:iCs/>
          <w:color w:val="auto"/>
          <w:sz w:val="36"/>
          <w:szCs w:val="36"/>
          <w:highlight w:val="none"/>
          <w:u w:val="single"/>
        </w:rPr>
      </w:pPr>
      <w:r>
        <w:rPr>
          <w:rFonts w:hint="eastAsia" w:asciiTheme="majorEastAsia" w:hAnsiTheme="majorEastAsia" w:eastAsia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i/>
          <w:iCs/>
          <w:color w:val="auto"/>
          <w:sz w:val="36"/>
          <w:szCs w:val="36"/>
          <w:highlight w:val="none"/>
          <w:u w:val="single"/>
        </w:rPr>
        <w:t>四</w:t>
      </w:r>
      <w:r>
        <w:rPr>
          <w:rFonts w:hint="eastAsia" w:asciiTheme="majorEastAsia" w:hAnsiTheme="majorEastAsia" w:eastAsiaTheme="majorEastAsia" w:cstheme="majorEastAsia"/>
          <w:b/>
          <w:i/>
          <w:iCs/>
          <w:color w:val="auto"/>
          <w:sz w:val="36"/>
          <w:szCs w:val="36"/>
          <w:highlight w:val="none"/>
          <w:u w:val="single"/>
          <w:lang w:eastAsia="zh-CN"/>
        </w:rPr>
        <w:t>、</w:t>
      </w:r>
      <w:r>
        <w:rPr>
          <w:rFonts w:hint="eastAsia" w:asciiTheme="majorEastAsia" w:hAnsiTheme="majorEastAsia" w:eastAsiaTheme="majorEastAsia" w:cstheme="majorEastAsia"/>
          <w:b/>
          <w:i/>
          <w:iCs/>
          <w:color w:val="auto"/>
          <w:sz w:val="36"/>
          <w:szCs w:val="36"/>
          <w:highlight w:val="none"/>
          <w:u w:val="single"/>
        </w:rPr>
        <w:t>具备履行合同所必需的设备和专业技术能力的</w:t>
      </w:r>
    </w:p>
    <w:p w14:paraId="34702884">
      <w:pPr>
        <w:pStyle w:val="23"/>
        <w:spacing w:beforeAutospacing="0" w:afterAutospacing="0" w:line="360" w:lineRule="auto"/>
        <w:jc w:val="center"/>
        <w:rPr>
          <w:rFonts w:hint="eastAsia" w:asciiTheme="majorEastAsia" w:hAnsiTheme="majorEastAsia" w:eastAsiaTheme="majorEastAsia" w:cstheme="majorEastAsia"/>
          <w:b/>
          <w:i/>
          <w:iCs/>
          <w:color w:val="auto"/>
          <w:sz w:val="36"/>
          <w:szCs w:val="36"/>
          <w:highlight w:val="none"/>
          <w:u w:val="single"/>
        </w:rPr>
      </w:pPr>
      <w:r>
        <w:rPr>
          <w:rFonts w:hint="eastAsia" w:asciiTheme="majorEastAsia" w:hAnsiTheme="majorEastAsia" w:eastAsiaTheme="majorEastAsia" w:cstheme="majorEastAsia"/>
          <w:b/>
          <w:i/>
          <w:iCs/>
          <w:color w:val="auto"/>
          <w:sz w:val="36"/>
          <w:szCs w:val="36"/>
          <w:highlight w:val="none"/>
          <w:u w:val="single"/>
        </w:rPr>
        <w:t>书面声明</w:t>
      </w:r>
    </w:p>
    <w:p w14:paraId="4DCF23F2">
      <w:pPr>
        <w:pStyle w:val="14"/>
        <w:spacing w:before="120" w:after="120" w:line="360" w:lineRule="auto"/>
        <w:jc w:val="center"/>
        <w:rPr>
          <w:rFonts w:hint="eastAsia" w:asciiTheme="majorEastAsia" w:hAnsiTheme="majorEastAsia" w:eastAsiaTheme="majorEastAsia" w:cstheme="majorEastAsia"/>
          <w:b/>
          <w:color w:val="auto"/>
          <w:sz w:val="36"/>
          <w:szCs w:val="36"/>
          <w:highlight w:val="none"/>
        </w:rPr>
      </w:pPr>
    </w:p>
    <w:p w14:paraId="1EA2EC82">
      <w:pPr>
        <w:pStyle w:val="23"/>
        <w:spacing w:beforeAutospacing="0" w:afterAutospacing="0" w:line="360" w:lineRule="auto"/>
        <w:ind w:firstLine="49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我单位郑重声明：我单位具备履行本项采购合同所必需的设备和专业技术能力，为履行本项采购合同我公司具备如下主要设备和主要专业技术能力：</w:t>
      </w:r>
    </w:p>
    <w:p w14:paraId="6B57F8C9">
      <w:pPr>
        <w:pStyle w:val="23"/>
        <w:spacing w:beforeAutospacing="0" w:afterAutospacing="0" w:line="360" w:lineRule="auto"/>
        <w:ind w:firstLine="49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主要设备有：</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lang w:val="en-US" w:eastAsia="zh-CN"/>
        </w:rPr>
        <w:t xml:space="preserve">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w:t>
      </w:r>
    </w:p>
    <w:p w14:paraId="28F034C0">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主要专业技术能力有：</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lang w:val="en-US" w:eastAsia="zh-CN"/>
        </w:rPr>
        <w:t xml:space="preserve">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w:t>
      </w:r>
    </w:p>
    <w:p w14:paraId="2B2A595D">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w:t>
      </w:r>
    </w:p>
    <w:p w14:paraId="60CE419E">
      <w:pPr>
        <w:pStyle w:val="23"/>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69B6B8D0">
      <w:pPr>
        <w:tabs>
          <w:tab w:val="left" w:pos="4860"/>
        </w:tabs>
        <w:spacing w:line="360" w:lineRule="auto"/>
        <w:ind w:right="1559" w:firstLine="480" w:firstLineChars="20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单位名称（加盖CA电子公章）：</w:t>
      </w:r>
    </w:p>
    <w:p w14:paraId="476FDC08">
      <w:pPr>
        <w:pStyle w:val="11"/>
        <w:spacing w:line="360" w:lineRule="auto"/>
        <w:rPr>
          <w:rFonts w:hint="eastAsia" w:asciiTheme="majorEastAsia" w:hAnsiTheme="majorEastAsia" w:eastAsiaTheme="majorEastAsia" w:cstheme="majorEastAsia"/>
          <w:color w:val="auto"/>
          <w:sz w:val="24"/>
          <w:highlight w:val="none"/>
        </w:rPr>
      </w:pPr>
    </w:p>
    <w:p w14:paraId="21DD021E">
      <w:pPr>
        <w:spacing w:line="360" w:lineRule="auto"/>
        <w:ind w:firstLine="560" w:firstLineChars="200"/>
        <w:jc w:val="center"/>
        <w:rPr>
          <w:rFonts w:hint="eastAsia" w:asciiTheme="majorEastAsia" w:hAnsiTheme="majorEastAsia" w:eastAsiaTheme="majorEastAsia" w:cstheme="majorEastAsia"/>
          <w:i/>
          <w:color w:val="auto"/>
          <w:sz w:val="32"/>
          <w:szCs w:val="32"/>
          <w:highlight w:val="none"/>
          <w:u w:val="single"/>
        </w:rPr>
      </w:pPr>
      <w:r>
        <w:rPr>
          <w:rFonts w:hint="eastAsia" w:asciiTheme="majorEastAsia" w:hAnsiTheme="majorEastAsia" w:eastAsiaTheme="majorEastAsia" w:cstheme="majorEastAsia"/>
          <w:color w:val="auto"/>
          <w:sz w:val="28"/>
          <w:szCs w:val="28"/>
          <w:highlight w:val="none"/>
        </w:rPr>
        <w:t xml:space="preserve">                  </w:t>
      </w: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年</w:t>
      </w: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 xml:space="preserve"> 月 </w:t>
      </w: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 xml:space="preserve"> 日</w:t>
      </w:r>
    </w:p>
    <w:p w14:paraId="02AFFDE9">
      <w:pPr>
        <w:spacing w:line="360" w:lineRule="auto"/>
        <w:jc w:val="center"/>
        <w:rPr>
          <w:rFonts w:hint="eastAsia" w:asciiTheme="majorEastAsia" w:hAnsiTheme="majorEastAsia" w:eastAsiaTheme="majorEastAsia" w:cstheme="majorEastAsia"/>
          <w:b/>
          <w:i/>
          <w:iCs/>
          <w:color w:val="auto"/>
          <w:sz w:val="36"/>
          <w:szCs w:val="36"/>
          <w:highlight w:val="none"/>
          <w:u w:val="single"/>
        </w:rPr>
      </w:pPr>
      <w:r>
        <w:rPr>
          <w:rFonts w:hint="eastAsia" w:asciiTheme="majorEastAsia" w:hAnsiTheme="majorEastAsia" w:eastAsiaTheme="majorEastAsia" w:cstheme="majorEastAsia"/>
          <w:b/>
          <w:i/>
          <w:iCs/>
          <w:color w:val="auto"/>
          <w:sz w:val="36"/>
          <w:szCs w:val="36"/>
          <w:highlight w:val="none"/>
          <w:u w:val="single"/>
        </w:rPr>
        <w:t>五</w:t>
      </w:r>
      <w:r>
        <w:rPr>
          <w:rFonts w:hint="eastAsia" w:asciiTheme="majorEastAsia" w:hAnsiTheme="majorEastAsia" w:eastAsiaTheme="majorEastAsia" w:cstheme="majorEastAsia"/>
          <w:b/>
          <w:i/>
          <w:iCs/>
          <w:color w:val="auto"/>
          <w:sz w:val="36"/>
          <w:szCs w:val="36"/>
          <w:highlight w:val="none"/>
          <w:u w:val="single"/>
          <w:lang w:eastAsia="zh-CN"/>
        </w:rPr>
        <w:t>、</w:t>
      </w:r>
      <w:r>
        <w:rPr>
          <w:rFonts w:hint="eastAsia" w:asciiTheme="majorEastAsia" w:hAnsiTheme="majorEastAsia" w:eastAsiaTheme="majorEastAsia" w:cstheme="majorEastAsia"/>
          <w:b/>
          <w:i/>
          <w:iCs/>
          <w:color w:val="auto"/>
          <w:sz w:val="36"/>
          <w:szCs w:val="36"/>
          <w:highlight w:val="none"/>
          <w:u w:val="single"/>
        </w:rPr>
        <w:t>参加政府采购活动前 3 年内在经营活动中</w:t>
      </w:r>
    </w:p>
    <w:p w14:paraId="34AC773D">
      <w:pPr>
        <w:spacing w:line="360" w:lineRule="auto"/>
        <w:jc w:val="center"/>
        <w:rPr>
          <w:rFonts w:hint="eastAsia" w:asciiTheme="majorEastAsia" w:hAnsiTheme="majorEastAsia" w:eastAsiaTheme="majorEastAsia" w:cstheme="majorEastAsia"/>
          <w:b/>
          <w:i/>
          <w:iCs/>
          <w:color w:val="auto"/>
          <w:sz w:val="36"/>
          <w:szCs w:val="36"/>
          <w:highlight w:val="none"/>
          <w:u w:val="single"/>
        </w:rPr>
      </w:pPr>
      <w:r>
        <w:rPr>
          <w:rFonts w:hint="eastAsia" w:asciiTheme="majorEastAsia" w:hAnsiTheme="majorEastAsia" w:eastAsiaTheme="majorEastAsia" w:cstheme="majorEastAsia"/>
          <w:b/>
          <w:i/>
          <w:iCs/>
          <w:color w:val="auto"/>
          <w:sz w:val="36"/>
          <w:szCs w:val="36"/>
          <w:highlight w:val="none"/>
          <w:u w:val="single"/>
        </w:rPr>
        <w:t>没有重大违法记录的书面声明</w:t>
      </w:r>
    </w:p>
    <w:p w14:paraId="57671D5A">
      <w:pPr>
        <w:spacing w:line="360" w:lineRule="auto"/>
        <w:rPr>
          <w:rFonts w:hint="eastAsia" w:asciiTheme="majorEastAsia" w:hAnsiTheme="majorEastAsia" w:eastAsiaTheme="majorEastAsia" w:cstheme="majorEastAsia"/>
          <w:b/>
          <w:bCs/>
          <w:color w:val="auto"/>
          <w:sz w:val="44"/>
          <w:szCs w:val="44"/>
          <w:highlight w:val="none"/>
        </w:rPr>
      </w:pPr>
    </w:p>
    <w:p w14:paraId="29DDED66">
      <w:pPr>
        <w:spacing w:line="360" w:lineRule="auto"/>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t xml:space="preserve">                   声  明</w:t>
      </w:r>
    </w:p>
    <w:p w14:paraId="5264E7EC">
      <w:pPr>
        <w:pStyle w:val="11"/>
        <w:spacing w:line="360" w:lineRule="auto"/>
        <w:rPr>
          <w:rFonts w:hint="eastAsia" w:asciiTheme="majorEastAsia" w:hAnsiTheme="majorEastAsia" w:eastAsiaTheme="majorEastAsia" w:cstheme="majorEastAsia"/>
          <w:color w:val="auto"/>
          <w:highlight w:val="none"/>
        </w:rPr>
      </w:pPr>
    </w:p>
    <w:p w14:paraId="41E92484">
      <w:pPr>
        <w:spacing w:line="360" w:lineRule="auto"/>
        <w:ind w:firstLine="420"/>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282ABA37">
      <w:pPr>
        <w:spacing w:line="360" w:lineRule="auto"/>
        <w:rPr>
          <w:rFonts w:hint="eastAsia" w:asciiTheme="majorEastAsia" w:hAnsiTheme="majorEastAsia" w:eastAsiaTheme="majorEastAsia" w:cstheme="majorEastAsia"/>
          <w:bCs/>
          <w:color w:val="auto"/>
          <w:sz w:val="24"/>
          <w:highlight w:val="none"/>
        </w:rPr>
      </w:pPr>
    </w:p>
    <w:p w14:paraId="4C95DC7A">
      <w:pPr>
        <w:pStyle w:val="11"/>
        <w:spacing w:line="360" w:lineRule="auto"/>
        <w:rPr>
          <w:rFonts w:hint="eastAsia" w:asciiTheme="majorEastAsia" w:hAnsiTheme="majorEastAsia" w:eastAsiaTheme="majorEastAsia" w:cstheme="majorEastAsia"/>
          <w:bCs/>
          <w:color w:val="auto"/>
          <w:sz w:val="24"/>
          <w:highlight w:val="none"/>
        </w:rPr>
      </w:pPr>
    </w:p>
    <w:p w14:paraId="5A608D03">
      <w:pPr>
        <w:spacing w:line="360" w:lineRule="auto"/>
        <w:rPr>
          <w:rFonts w:hint="eastAsia" w:asciiTheme="majorEastAsia" w:hAnsiTheme="majorEastAsia" w:eastAsiaTheme="majorEastAsia" w:cstheme="majorEastAsia"/>
          <w:color w:val="auto"/>
          <w:highlight w:val="none"/>
        </w:rPr>
      </w:pPr>
    </w:p>
    <w:p w14:paraId="3CBEE9DD">
      <w:pPr>
        <w:tabs>
          <w:tab w:val="left" w:pos="4860"/>
        </w:tabs>
        <w:spacing w:line="360" w:lineRule="auto"/>
        <w:ind w:right="1559" w:firstLine="480" w:firstLineChars="20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 xml:space="preserve">                         </w:t>
      </w:r>
      <w:r>
        <w:rPr>
          <w:rFonts w:hint="eastAsia" w:asciiTheme="majorEastAsia" w:hAnsiTheme="majorEastAsia" w:eastAsiaTheme="majorEastAsia" w:cstheme="majorEastAsia"/>
          <w:bCs/>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单位名称（加盖CA电子公章）：</w:t>
      </w:r>
    </w:p>
    <w:p w14:paraId="2CB22ECD">
      <w:pPr>
        <w:pStyle w:val="11"/>
        <w:spacing w:line="360" w:lineRule="auto"/>
        <w:rPr>
          <w:rFonts w:hint="eastAsia" w:asciiTheme="majorEastAsia" w:hAnsiTheme="majorEastAsia" w:eastAsiaTheme="majorEastAsia" w:cstheme="majorEastAsia"/>
          <w:color w:val="auto"/>
          <w:sz w:val="24"/>
          <w:highlight w:val="none"/>
        </w:rPr>
      </w:pPr>
    </w:p>
    <w:p w14:paraId="4470817B">
      <w:pPr>
        <w:spacing w:line="360" w:lineRule="auto"/>
        <w:rPr>
          <w:rFonts w:hint="eastAsia" w:asciiTheme="majorEastAsia" w:hAnsiTheme="majorEastAsia" w:eastAsiaTheme="majorEastAsia" w:cstheme="majorEastAsia"/>
          <w:color w:val="auto"/>
          <w:highlight w:val="none"/>
        </w:rPr>
      </w:pPr>
    </w:p>
    <w:p w14:paraId="3D639BCE">
      <w:pPr>
        <w:spacing w:line="360" w:lineRule="auto"/>
        <w:ind w:firstLine="560" w:firstLineChars="200"/>
        <w:jc w:val="center"/>
        <w:rPr>
          <w:rFonts w:hint="eastAsia" w:asciiTheme="majorEastAsia" w:hAnsiTheme="majorEastAsia" w:eastAsiaTheme="majorEastAsia" w:cstheme="majorEastAsia"/>
          <w:i/>
          <w:color w:val="auto"/>
          <w:sz w:val="32"/>
          <w:szCs w:val="32"/>
          <w:highlight w:val="none"/>
          <w:u w:val="single"/>
        </w:rPr>
      </w:pPr>
      <w:r>
        <w:rPr>
          <w:rFonts w:hint="eastAsia" w:asciiTheme="majorEastAsia" w:hAnsiTheme="majorEastAsia" w:eastAsiaTheme="majorEastAsia" w:cstheme="majorEastAsia"/>
          <w:color w:val="auto"/>
          <w:sz w:val="28"/>
          <w:szCs w:val="28"/>
          <w:highlight w:val="none"/>
        </w:rPr>
        <w:t xml:space="preserve">                  </w:t>
      </w: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年</w:t>
      </w: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 xml:space="preserve"> 月 </w:t>
      </w: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 xml:space="preserve"> 日</w:t>
      </w:r>
    </w:p>
    <w:p w14:paraId="3D3C7655">
      <w:pPr>
        <w:spacing w:line="360" w:lineRule="auto"/>
        <w:rPr>
          <w:rFonts w:hint="eastAsia" w:asciiTheme="majorEastAsia" w:hAnsiTheme="majorEastAsia" w:eastAsiaTheme="majorEastAsia" w:cstheme="majorEastAsia"/>
          <w:bCs/>
          <w:color w:val="auto"/>
          <w:sz w:val="24"/>
          <w:highlight w:val="none"/>
        </w:rPr>
      </w:pPr>
    </w:p>
    <w:p w14:paraId="4E396C13">
      <w:pPr>
        <w:spacing w:line="360" w:lineRule="auto"/>
        <w:rPr>
          <w:rFonts w:hint="eastAsia" w:asciiTheme="majorEastAsia" w:hAnsiTheme="majorEastAsia" w:eastAsiaTheme="majorEastAsia" w:cstheme="majorEastAsia"/>
          <w:bCs/>
          <w:color w:val="auto"/>
          <w:sz w:val="24"/>
          <w:highlight w:val="none"/>
        </w:rPr>
      </w:pPr>
    </w:p>
    <w:p w14:paraId="0BF3E6BA">
      <w:pPr>
        <w:spacing w:line="360" w:lineRule="auto"/>
        <w:rPr>
          <w:rFonts w:hint="eastAsia" w:asciiTheme="majorEastAsia" w:hAnsiTheme="majorEastAsia" w:eastAsiaTheme="majorEastAsia" w:cstheme="majorEastAsia"/>
          <w:bCs/>
          <w:color w:val="auto"/>
          <w:sz w:val="24"/>
          <w:highlight w:val="none"/>
        </w:rPr>
      </w:pPr>
    </w:p>
    <w:bookmarkEnd w:id="130"/>
    <w:bookmarkEnd w:id="131"/>
    <w:bookmarkEnd w:id="132"/>
    <w:p w14:paraId="498DA736">
      <w:pPr>
        <w:pStyle w:val="23"/>
        <w:spacing w:before="145" w:beforeLines="50" w:beforeAutospacing="0" w:afterAutospacing="0" w:line="360" w:lineRule="auto"/>
        <w:jc w:val="both"/>
        <w:rPr>
          <w:rFonts w:hint="eastAsia" w:asciiTheme="majorEastAsia" w:hAnsiTheme="majorEastAsia" w:eastAsiaTheme="majorEastAsia" w:cstheme="majorEastAsia"/>
          <w:i/>
          <w:iCs/>
          <w:color w:val="auto"/>
          <w:sz w:val="32"/>
          <w:szCs w:val="32"/>
          <w:highlight w:val="none"/>
          <w:u w:val="single"/>
        </w:rPr>
      </w:pPr>
      <w:bookmarkStart w:id="134" w:name="_Toc120614284"/>
    </w:p>
    <w:p w14:paraId="039697DD">
      <w:pPr>
        <w:pStyle w:val="23"/>
        <w:spacing w:before="145" w:beforeLines="50" w:beforeAutospacing="0" w:afterAutospacing="0" w:line="360" w:lineRule="auto"/>
        <w:jc w:val="both"/>
        <w:rPr>
          <w:rFonts w:hint="eastAsia" w:asciiTheme="majorEastAsia" w:hAnsiTheme="majorEastAsia" w:eastAsiaTheme="majorEastAsia" w:cstheme="majorEastAsia"/>
          <w:i/>
          <w:iCs/>
          <w:color w:val="auto"/>
          <w:sz w:val="32"/>
          <w:szCs w:val="32"/>
          <w:highlight w:val="none"/>
          <w:u w:val="single"/>
        </w:rPr>
      </w:pPr>
    </w:p>
    <w:p w14:paraId="4BF64853">
      <w:pPr>
        <w:pStyle w:val="23"/>
        <w:spacing w:before="145" w:beforeLines="50" w:beforeAutospacing="0" w:afterAutospacing="0" w:line="360" w:lineRule="auto"/>
        <w:jc w:val="both"/>
        <w:rPr>
          <w:rFonts w:hint="eastAsia" w:asciiTheme="majorEastAsia" w:hAnsiTheme="majorEastAsia" w:eastAsiaTheme="majorEastAsia" w:cstheme="majorEastAsia"/>
          <w:i/>
          <w:iCs/>
          <w:color w:val="auto"/>
          <w:sz w:val="32"/>
          <w:szCs w:val="32"/>
          <w:highlight w:val="none"/>
          <w:u w:val="single"/>
        </w:rPr>
      </w:pPr>
    </w:p>
    <w:p w14:paraId="1034976E">
      <w:pPr>
        <w:pStyle w:val="23"/>
        <w:spacing w:before="145" w:beforeLines="50" w:beforeAutospacing="0" w:afterAutospacing="0" w:line="360" w:lineRule="auto"/>
        <w:jc w:val="both"/>
        <w:rPr>
          <w:rFonts w:hint="eastAsia" w:asciiTheme="majorEastAsia" w:hAnsiTheme="majorEastAsia" w:eastAsiaTheme="majorEastAsia" w:cstheme="majorEastAsia"/>
          <w:i/>
          <w:iCs/>
          <w:color w:val="auto"/>
          <w:sz w:val="32"/>
          <w:szCs w:val="32"/>
          <w:highlight w:val="none"/>
          <w:u w:val="single"/>
        </w:rPr>
      </w:pPr>
    </w:p>
    <w:p w14:paraId="2A60D4EC">
      <w:pPr>
        <w:pStyle w:val="23"/>
        <w:spacing w:before="145" w:beforeLines="50" w:beforeAutospacing="0" w:afterAutospacing="0" w:line="360" w:lineRule="auto"/>
        <w:jc w:val="both"/>
        <w:rPr>
          <w:rFonts w:hint="eastAsia" w:asciiTheme="majorEastAsia" w:hAnsiTheme="majorEastAsia" w:eastAsiaTheme="majorEastAsia" w:cstheme="majorEastAsia"/>
          <w:i/>
          <w:iCs/>
          <w:color w:val="auto"/>
          <w:sz w:val="32"/>
          <w:szCs w:val="32"/>
          <w:highlight w:val="none"/>
          <w:u w:val="single"/>
        </w:rPr>
      </w:pPr>
    </w:p>
    <w:p w14:paraId="285FC324">
      <w:pPr>
        <w:pStyle w:val="23"/>
        <w:spacing w:before="145" w:beforeLines="50" w:beforeAutospacing="0" w:afterAutospacing="0" w:line="360" w:lineRule="auto"/>
        <w:jc w:val="both"/>
        <w:rPr>
          <w:rFonts w:hint="eastAsia" w:asciiTheme="majorEastAsia" w:hAnsiTheme="majorEastAsia" w:eastAsiaTheme="majorEastAsia" w:cstheme="majorEastAsia"/>
          <w:b/>
          <w:bCs/>
          <w:i w:val="0"/>
          <w:iCs w:val="0"/>
          <w:color w:val="auto"/>
          <w:sz w:val="32"/>
          <w:szCs w:val="32"/>
          <w:highlight w:val="none"/>
          <w:u w:val="single"/>
        </w:rPr>
      </w:pPr>
      <w:r>
        <w:rPr>
          <w:rFonts w:hint="eastAsia" w:asciiTheme="majorEastAsia" w:hAnsiTheme="majorEastAsia" w:eastAsiaTheme="majorEastAsia" w:cstheme="majorEastAsia"/>
          <w:i/>
          <w:iCs/>
          <w:color w:val="auto"/>
          <w:sz w:val="32"/>
          <w:szCs w:val="32"/>
          <w:highlight w:val="none"/>
          <w:u w:val="single"/>
        </w:rPr>
        <w:t>六</w:t>
      </w:r>
      <w:r>
        <w:rPr>
          <w:rFonts w:hint="eastAsia" w:asciiTheme="majorEastAsia" w:hAnsiTheme="majorEastAsia" w:eastAsiaTheme="majorEastAsia" w:cstheme="majorEastAsia"/>
          <w:b/>
          <w:i/>
          <w:iCs/>
          <w:color w:val="auto"/>
          <w:sz w:val="36"/>
          <w:szCs w:val="36"/>
          <w:highlight w:val="none"/>
          <w:u w:val="single"/>
          <w:lang w:eastAsia="zh-CN"/>
        </w:rPr>
        <w:t>、</w:t>
      </w:r>
      <w:r>
        <w:rPr>
          <w:rFonts w:hint="eastAsia" w:asciiTheme="majorEastAsia" w:hAnsiTheme="majorEastAsia" w:eastAsiaTheme="majorEastAsia" w:cstheme="majorEastAsia"/>
          <w:b/>
          <w:bCs/>
          <w:i/>
          <w:iCs/>
          <w:color w:val="auto"/>
          <w:sz w:val="32"/>
          <w:szCs w:val="32"/>
          <w:highlight w:val="none"/>
          <w:u w:val="single"/>
        </w:rPr>
        <w:t>特定资格要求的证明文件</w:t>
      </w:r>
    </w:p>
    <w:p w14:paraId="4A14DFF3">
      <w:pPr>
        <w:pStyle w:val="23"/>
        <w:spacing w:before="145" w:beforeLines="50" w:beforeAutospacing="0" w:afterAutospacing="0" w:line="360" w:lineRule="auto"/>
        <w:jc w:val="both"/>
        <w:rPr>
          <w:rFonts w:hint="eastAsia" w:asciiTheme="majorEastAsia" w:hAnsiTheme="majorEastAsia" w:eastAsiaTheme="majorEastAsia" w:cstheme="majorEastAsia"/>
          <w:b/>
          <w:bCs/>
          <w:i w:val="0"/>
          <w:iCs w:val="0"/>
          <w:color w:val="auto"/>
          <w:sz w:val="32"/>
          <w:szCs w:val="32"/>
          <w:highlight w:val="none"/>
          <w:u w:val="single"/>
        </w:rPr>
      </w:pPr>
    </w:p>
    <w:p w14:paraId="7CCDF8EB">
      <w:pPr>
        <w:spacing w:line="360" w:lineRule="auto"/>
        <w:rPr>
          <w:rFonts w:hint="eastAsia" w:asciiTheme="majorEastAsia" w:hAnsiTheme="majorEastAsia" w:eastAsiaTheme="majorEastAsia" w:cstheme="majorEastAsia"/>
          <w:i w:val="0"/>
          <w:iCs w:val="0"/>
          <w:color w:val="auto"/>
          <w:sz w:val="24"/>
          <w:highlight w:val="none"/>
          <w:u w:val="single"/>
        </w:rPr>
      </w:pPr>
      <w:r>
        <w:rPr>
          <w:rFonts w:hint="eastAsia" w:asciiTheme="majorEastAsia" w:hAnsiTheme="majorEastAsia" w:eastAsiaTheme="majorEastAsia" w:cstheme="majorEastAsia"/>
          <w:i w:val="0"/>
          <w:iCs w:val="0"/>
          <w:color w:val="auto"/>
          <w:highlight w:val="none"/>
        </w:rPr>
        <w:t>  </w:t>
      </w:r>
      <w:r>
        <w:rPr>
          <w:rFonts w:hint="eastAsia" w:asciiTheme="majorEastAsia" w:hAnsiTheme="majorEastAsia" w:eastAsiaTheme="majorEastAsia" w:cstheme="majorEastAsia"/>
          <w:i w:val="0"/>
          <w:iCs w:val="0"/>
          <w:color w:val="auto"/>
          <w:sz w:val="24"/>
          <w:highlight w:val="none"/>
          <w:u w:val="single"/>
        </w:rPr>
        <w:t>提供投标人；</w:t>
      </w:r>
    </w:p>
    <w:p w14:paraId="51599FE0">
      <w:pPr>
        <w:pStyle w:val="11"/>
        <w:spacing w:line="360" w:lineRule="auto"/>
        <w:rPr>
          <w:rFonts w:hint="eastAsia" w:asciiTheme="majorEastAsia" w:hAnsiTheme="majorEastAsia" w:eastAsiaTheme="majorEastAsia" w:cstheme="majorEastAsia"/>
          <w:i w:val="0"/>
          <w:iCs w:val="0"/>
          <w:color w:val="auto"/>
          <w:sz w:val="24"/>
          <w:highlight w:val="none"/>
          <w:u w:val="single"/>
        </w:rPr>
      </w:pPr>
    </w:p>
    <w:p w14:paraId="2BADF266">
      <w:pPr>
        <w:spacing w:line="360" w:lineRule="auto"/>
        <w:rPr>
          <w:rFonts w:hint="eastAsia" w:asciiTheme="majorEastAsia" w:hAnsiTheme="majorEastAsia" w:eastAsiaTheme="majorEastAsia" w:cstheme="majorEastAsia"/>
          <w:i w:val="0"/>
          <w:iCs w:val="0"/>
          <w:color w:val="auto"/>
          <w:sz w:val="24"/>
          <w:highlight w:val="none"/>
          <w:u w:val="single"/>
        </w:rPr>
      </w:pPr>
    </w:p>
    <w:p w14:paraId="1FD12438">
      <w:pPr>
        <w:pStyle w:val="11"/>
        <w:spacing w:line="360" w:lineRule="auto"/>
        <w:rPr>
          <w:rFonts w:hint="eastAsia" w:asciiTheme="majorEastAsia" w:hAnsiTheme="majorEastAsia" w:eastAsiaTheme="majorEastAsia" w:cstheme="majorEastAsia"/>
          <w:i w:val="0"/>
          <w:iCs w:val="0"/>
          <w:color w:val="auto"/>
          <w:sz w:val="24"/>
          <w:highlight w:val="none"/>
          <w:u w:val="single"/>
        </w:rPr>
      </w:pPr>
    </w:p>
    <w:p w14:paraId="134AC5AE">
      <w:pPr>
        <w:rPr>
          <w:rFonts w:hint="eastAsia" w:asciiTheme="majorEastAsia" w:hAnsiTheme="majorEastAsia" w:eastAsiaTheme="majorEastAsia" w:cstheme="majorEastAsia"/>
          <w:i w:val="0"/>
          <w:iCs w:val="0"/>
          <w:color w:val="auto"/>
          <w:sz w:val="24"/>
          <w:highlight w:val="none"/>
          <w:u w:val="single"/>
        </w:rPr>
      </w:pPr>
    </w:p>
    <w:p w14:paraId="778E426F">
      <w:pPr>
        <w:pStyle w:val="2"/>
        <w:rPr>
          <w:rFonts w:hint="eastAsia" w:asciiTheme="majorEastAsia" w:hAnsiTheme="majorEastAsia" w:eastAsiaTheme="majorEastAsia" w:cstheme="majorEastAsia"/>
          <w:i w:val="0"/>
          <w:iCs w:val="0"/>
          <w:color w:val="auto"/>
          <w:sz w:val="24"/>
          <w:highlight w:val="none"/>
          <w:u w:val="single"/>
        </w:rPr>
      </w:pPr>
    </w:p>
    <w:p w14:paraId="5E51331D">
      <w:pPr>
        <w:pStyle w:val="3"/>
        <w:rPr>
          <w:rFonts w:hint="eastAsia" w:asciiTheme="majorEastAsia" w:hAnsiTheme="majorEastAsia" w:eastAsiaTheme="majorEastAsia" w:cstheme="majorEastAsia"/>
          <w:i w:val="0"/>
          <w:iCs w:val="0"/>
          <w:color w:val="auto"/>
          <w:sz w:val="24"/>
          <w:highlight w:val="none"/>
          <w:u w:val="single"/>
        </w:rPr>
      </w:pPr>
    </w:p>
    <w:p w14:paraId="155996E5">
      <w:pPr>
        <w:pStyle w:val="3"/>
        <w:rPr>
          <w:rFonts w:hint="eastAsia" w:asciiTheme="majorEastAsia" w:hAnsiTheme="majorEastAsia" w:eastAsiaTheme="majorEastAsia" w:cstheme="majorEastAsia"/>
          <w:i w:val="0"/>
          <w:iCs w:val="0"/>
          <w:color w:val="auto"/>
          <w:sz w:val="24"/>
          <w:highlight w:val="none"/>
          <w:u w:val="single"/>
        </w:rPr>
      </w:pPr>
    </w:p>
    <w:p w14:paraId="6F265132">
      <w:pPr>
        <w:pStyle w:val="3"/>
        <w:rPr>
          <w:rFonts w:hint="eastAsia" w:asciiTheme="majorEastAsia" w:hAnsiTheme="majorEastAsia" w:eastAsiaTheme="majorEastAsia" w:cstheme="majorEastAsia"/>
          <w:i w:val="0"/>
          <w:iCs w:val="0"/>
          <w:color w:val="auto"/>
          <w:sz w:val="24"/>
          <w:highlight w:val="none"/>
          <w:u w:val="single"/>
        </w:rPr>
      </w:pPr>
    </w:p>
    <w:p w14:paraId="13436976">
      <w:pPr>
        <w:pStyle w:val="3"/>
        <w:rPr>
          <w:rFonts w:hint="eastAsia" w:asciiTheme="majorEastAsia" w:hAnsiTheme="majorEastAsia" w:eastAsiaTheme="majorEastAsia" w:cstheme="majorEastAsia"/>
          <w:i w:val="0"/>
          <w:iCs w:val="0"/>
          <w:color w:val="auto"/>
          <w:sz w:val="24"/>
          <w:highlight w:val="none"/>
          <w:u w:val="single"/>
        </w:rPr>
      </w:pPr>
    </w:p>
    <w:p w14:paraId="16156A2C">
      <w:pPr>
        <w:pStyle w:val="3"/>
        <w:rPr>
          <w:rFonts w:hint="eastAsia" w:asciiTheme="majorEastAsia" w:hAnsiTheme="majorEastAsia" w:eastAsiaTheme="majorEastAsia" w:cstheme="majorEastAsia"/>
          <w:i w:val="0"/>
          <w:iCs w:val="0"/>
          <w:color w:val="auto"/>
          <w:sz w:val="24"/>
          <w:highlight w:val="none"/>
          <w:u w:val="single"/>
        </w:rPr>
      </w:pPr>
    </w:p>
    <w:p w14:paraId="2FD3103A">
      <w:pPr>
        <w:pStyle w:val="3"/>
        <w:rPr>
          <w:rFonts w:hint="eastAsia" w:asciiTheme="majorEastAsia" w:hAnsiTheme="majorEastAsia" w:eastAsiaTheme="majorEastAsia" w:cstheme="majorEastAsia"/>
          <w:i w:val="0"/>
          <w:iCs w:val="0"/>
          <w:color w:val="auto"/>
          <w:sz w:val="24"/>
          <w:highlight w:val="none"/>
          <w:u w:val="single"/>
        </w:rPr>
      </w:pPr>
    </w:p>
    <w:p w14:paraId="0E1D17F7">
      <w:pPr>
        <w:pStyle w:val="3"/>
        <w:rPr>
          <w:rFonts w:hint="eastAsia" w:asciiTheme="majorEastAsia" w:hAnsiTheme="majorEastAsia" w:eastAsiaTheme="majorEastAsia" w:cstheme="majorEastAsia"/>
          <w:i w:val="0"/>
          <w:iCs w:val="0"/>
          <w:color w:val="auto"/>
          <w:sz w:val="24"/>
          <w:highlight w:val="none"/>
          <w:u w:val="single"/>
        </w:rPr>
      </w:pPr>
    </w:p>
    <w:p w14:paraId="281553FD">
      <w:pPr>
        <w:pStyle w:val="3"/>
        <w:rPr>
          <w:rFonts w:hint="eastAsia" w:asciiTheme="majorEastAsia" w:hAnsiTheme="majorEastAsia" w:eastAsiaTheme="majorEastAsia" w:cstheme="majorEastAsia"/>
          <w:i w:val="0"/>
          <w:iCs w:val="0"/>
          <w:color w:val="auto"/>
          <w:sz w:val="24"/>
          <w:highlight w:val="none"/>
          <w:u w:val="single"/>
        </w:rPr>
      </w:pPr>
    </w:p>
    <w:p w14:paraId="623F5436">
      <w:pPr>
        <w:pStyle w:val="3"/>
        <w:rPr>
          <w:rFonts w:hint="eastAsia" w:asciiTheme="majorEastAsia" w:hAnsiTheme="majorEastAsia" w:eastAsiaTheme="majorEastAsia" w:cstheme="majorEastAsia"/>
          <w:i w:val="0"/>
          <w:iCs w:val="0"/>
          <w:color w:val="auto"/>
          <w:sz w:val="24"/>
          <w:highlight w:val="none"/>
          <w:u w:val="single"/>
        </w:rPr>
      </w:pPr>
    </w:p>
    <w:p w14:paraId="6D39DBB2">
      <w:pPr>
        <w:pStyle w:val="3"/>
        <w:rPr>
          <w:rFonts w:hint="eastAsia" w:asciiTheme="majorEastAsia" w:hAnsiTheme="majorEastAsia" w:eastAsiaTheme="majorEastAsia" w:cstheme="majorEastAsia"/>
          <w:i w:val="0"/>
          <w:iCs w:val="0"/>
          <w:color w:val="auto"/>
          <w:sz w:val="24"/>
          <w:highlight w:val="none"/>
          <w:u w:val="single"/>
        </w:rPr>
      </w:pPr>
    </w:p>
    <w:p w14:paraId="02C100B9">
      <w:pPr>
        <w:pStyle w:val="3"/>
        <w:rPr>
          <w:rFonts w:hint="eastAsia" w:asciiTheme="majorEastAsia" w:hAnsiTheme="majorEastAsia" w:eastAsiaTheme="majorEastAsia" w:cstheme="majorEastAsia"/>
          <w:i w:val="0"/>
          <w:iCs w:val="0"/>
          <w:color w:val="auto"/>
          <w:sz w:val="24"/>
          <w:highlight w:val="none"/>
          <w:u w:val="single"/>
        </w:rPr>
      </w:pPr>
    </w:p>
    <w:p w14:paraId="041658D0">
      <w:pPr>
        <w:pStyle w:val="3"/>
        <w:rPr>
          <w:rFonts w:hint="eastAsia" w:asciiTheme="majorEastAsia" w:hAnsiTheme="majorEastAsia" w:eastAsiaTheme="majorEastAsia" w:cstheme="majorEastAsia"/>
          <w:i w:val="0"/>
          <w:iCs w:val="0"/>
          <w:color w:val="auto"/>
          <w:sz w:val="24"/>
          <w:highlight w:val="none"/>
          <w:u w:val="single"/>
        </w:rPr>
      </w:pPr>
    </w:p>
    <w:p w14:paraId="70FFB8F1">
      <w:pPr>
        <w:pStyle w:val="3"/>
        <w:rPr>
          <w:rFonts w:hint="eastAsia" w:asciiTheme="majorEastAsia" w:hAnsiTheme="majorEastAsia" w:eastAsiaTheme="majorEastAsia" w:cstheme="majorEastAsia"/>
          <w:i w:val="0"/>
          <w:iCs w:val="0"/>
          <w:color w:val="auto"/>
          <w:sz w:val="24"/>
          <w:highlight w:val="none"/>
          <w:u w:val="single"/>
        </w:rPr>
      </w:pPr>
    </w:p>
    <w:p w14:paraId="23CE54FC">
      <w:pPr>
        <w:pStyle w:val="3"/>
        <w:rPr>
          <w:rFonts w:hint="eastAsia" w:asciiTheme="majorEastAsia" w:hAnsiTheme="majorEastAsia" w:eastAsiaTheme="majorEastAsia" w:cstheme="majorEastAsia"/>
          <w:i w:val="0"/>
          <w:iCs w:val="0"/>
          <w:color w:val="auto"/>
          <w:sz w:val="24"/>
          <w:highlight w:val="none"/>
          <w:u w:val="single"/>
        </w:rPr>
      </w:pPr>
    </w:p>
    <w:p w14:paraId="1C8C1A00">
      <w:pPr>
        <w:pStyle w:val="3"/>
        <w:rPr>
          <w:rFonts w:hint="eastAsia" w:asciiTheme="majorEastAsia" w:hAnsiTheme="majorEastAsia" w:eastAsiaTheme="majorEastAsia" w:cstheme="majorEastAsia"/>
          <w:i w:val="0"/>
          <w:iCs w:val="0"/>
          <w:color w:val="auto"/>
          <w:sz w:val="24"/>
          <w:highlight w:val="none"/>
          <w:u w:val="single"/>
        </w:rPr>
      </w:pPr>
    </w:p>
    <w:p w14:paraId="2BF65CDD">
      <w:pPr>
        <w:pStyle w:val="3"/>
        <w:rPr>
          <w:rFonts w:hint="eastAsia" w:asciiTheme="majorEastAsia" w:hAnsiTheme="majorEastAsia" w:eastAsiaTheme="majorEastAsia" w:cstheme="majorEastAsia"/>
          <w:i w:val="0"/>
          <w:iCs w:val="0"/>
          <w:color w:val="auto"/>
          <w:sz w:val="24"/>
          <w:highlight w:val="none"/>
          <w:u w:val="single"/>
        </w:rPr>
      </w:pPr>
    </w:p>
    <w:p w14:paraId="577FC932">
      <w:pPr>
        <w:pStyle w:val="3"/>
        <w:rPr>
          <w:rFonts w:hint="eastAsia" w:asciiTheme="majorEastAsia" w:hAnsiTheme="majorEastAsia" w:eastAsiaTheme="majorEastAsia" w:cstheme="majorEastAsia"/>
          <w:i w:val="0"/>
          <w:iCs w:val="0"/>
          <w:color w:val="auto"/>
          <w:sz w:val="24"/>
          <w:highlight w:val="none"/>
          <w:u w:val="single"/>
        </w:rPr>
      </w:pPr>
    </w:p>
    <w:p w14:paraId="4E7A55E6">
      <w:pPr>
        <w:pStyle w:val="3"/>
        <w:rPr>
          <w:rFonts w:hint="eastAsia" w:asciiTheme="majorEastAsia" w:hAnsiTheme="majorEastAsia" w:eastAsiaTheme="majorEastAsia" w:cstheme="majorEastAsia"/>
          <w:i w:val="0"/>
          <w:iCs w:val="0"/>
          <w:color w:val="auto"/>
          <w:sz w:val="24"/>
          <w:highlight w:val="none"/>
          <w:u w:val="single"/>
        </w:rPr>
      </w:pPr>
    </w:p>
    <w:p w14:paraId="63452769">
      <w:pPr>
        <w:pStyle w:val="3"/>
        <w:rPr>
          <w:rFonts w:hint="eastAsia" w:asciiTheme="majorEastAsia" w:hAnsiTheme="majorEastAsia" w:eastAsiaTheme="majorEastAsia" w:cstheme="majorEastAsia"/>
          <w:i w:val="0"/>
          <w:iCs w:val="0"/>
          <w:color w:val="auto"/>
          <w:sz w:val="24"/>
          <w:highlight w:val="none"/>
          <w:u w:val="single"/>
        </w:rPr>
      </w:pPr>
    </w:p>
    <w:p w14:paraId="1B053242">
      <w:pPr>
        <w:pStyle w:val="3"/>
        <w:rPr>
          <w:rFonts w:hint="eastAsia" w:asciiTheme="majorEastAsia" w:hAnsiTheme="majorEastAsia" w:eastAsiaTheme="majorEastAsia" w:cstheme="majorEastAsia"/>
          <w:i w:val="0"/>
          <w:iCs w:val="0"/>
          <w:color w:val="auto"/>
          <w:sz w:val="24"/>
          <w:highlight w:val="none"/>
          <w:u w:val="single"/>
        </w:rPr>
      </w:pPr>
    </w:p>
    <w:p w14:paraId="28A78DFF">
      <w:pPr>
        <w:pStyle w:val="3"/>
        <w:rPr>
          <w:rFonts w:hint="eastAsia" w:asciiTheme="majorEastAsia" w:hAnsiTheme="majorEastAsia" w:eastAsiaTheme="majorEastAsia" w:cstheme="majorEastAsia"/>
          <w:i w:val="0"/>
          <w:iCs w:val="0"/>
          <w:color w:val="auto"/>
          <w:sz w:val="24"/>
          <w:highlight w:val="none"/>
          <w:u w:val="single"/>
        </w:rPr>
      </w:pPr>
    </w:p>
    <w:p w14:paraId="7264DDC5">
      <w:pPr>
        <w:pStyle w:val="3"/>
        <w:rPr>
          <w:rFonts w:hint="eastAsia" w:asciiTheme="majorEastAsia" w:hAnsiTheme="majorEastAsia" w:eastAsiaTheme="majorEastAsia" w:cstheme="majorEastAsia"/>
          <w:i w:val="0"/>
          <w:iCs w:val="0"/>
          <w:color w:val="auto"/>
          <w:sz w:val="24"/>
          <w:highlight w:val="none"/>
          <w:u w:val="single"/>
        </w:rPr>
      </w:pPr>
    </w:p>
    <w:p w14:paraId="24FA2D02">
      <w:pPr>
        <w:pStyle w:val="3"/>
        <w:rPr>
          <w:rFonts w:hint="eastAsia" w:asciiTheme="majorEastAsia" w:hAnsiTheme="majorEastAsia" w:eastAsiaTheme="majorEastAsia" w:cstheme="majorEastAsia"/>
          <w:i w:val="0"/>
          <w:iCs w:val="0"/>
          <w:color w:val="auto"/>
          <w:sz w:val="24"/>
          <w:highlight w:val="none"/>
          <w:u w:val="single"/>
        </w:rPr>
      </w:pPr>
    </w:p>
    <w:p w14:paraId="0BCD2CB0">
      <w:pPr>
        <w:pStyle w:val="3"/>
        <w:rPr>
          <w:rFonts w:hint="eastAsia" w:asciiTheme="majorEastAsia" w:hAnsiTheme="majorEastAsia" w:eastAsiaTheme="majorEastAsia" w:cstheme="majorEastAsia"/>
          <w:i w:val="0"/>
          <w:iCs w:val="0"/>
          <w:color w:val="auto"/>
          <w:sz w:val="24"/>
          <w:highlight w:val="none"/>
          <w:u w:val="single"/>
        </w:rPr>
      </w:pPr>
    </w:p>
    <w:p w14:paraId="3CB7E70D">
      <w:pPr>
        <w:pStyle w:val="3"/>
        <w:rPr>
          <w:rFonts w:hint="eastAsia" w:asciiTheme="majorEastAsia" w:hAnsiTheme="majorEastAsia" w:eastAsiaTheme="majorEastAsia" w:cstheme="majorEastAsia"/>
          <w:i w:val="0"/>
          <w:iCs w:val="0"/>
          <w:color w:val="auto"/>
          <w:sz w:val="24"/>
          <w:highlight w:val="none"/>
          <w:u w:val="single"/>
        </w:rPr>
      </w:pPr>
    </w:p>
    <w:p w14:paraId="1B6C1E54">
      <w:pPr>
        <w:pStyle w:val="3"/>
        <w:rPr>
          <w:rFonts w:hint="eastAsia" w:asciiTheme="majorEastAsia" w:hAnsiTheme="majorEastAsia" w:eastAsiaTheme="majorEastAsia" w:cstheme="majorEastAsia"/>
          <w:i w:val="0"/>
          <w:iCs w:val="0"/>
          <w:color w:val="auto"/>
          <w:sz w:val="24"/>
          <w:highlight w:val="none"/>
          <w:u w:val="single"/>
        </w:rPr>
      </w:pPr>
    </w:p>
    <w:p w14:paraId="69F31E0A">
      <w:pPr>
        <w:pStyle w:val="3"/>
        <w:rPr>
          <w:rFonts w:hint="eastAsia" w:asciiTheme="majorEastAsia" w:hAnsiTheme="majorEastAsia" w:eastAsiaTheme="majorEastAsia" w:cstheme="majorEastAsia"/>
          <w:i w:val="0"/>
          <w:iCs w:val="0"/>
          <w:color w:val="auto"/>
          <w:sz w:val="24"/>
          <w:highlight w:val="none"/>
          <w:u w:val="single"/>
        </w:rPr>
      </w:pPr>
    </w:p>
    <w:p w14:paraId="32116BC3">
      <w:pPr>
        <w:pStyle w:val="3"/>
        <w:rPr>
          <w:rFonts w:hint="eastAsia" w:asciiTheme="majorEastAsia" w:hAnsiTheme="majorEastAsia" w:eastAsiaTheme="majorEastAsia" w:cstheme="majorEastAsia"/>
          <w:i w:val="0"/>
          <w:iCs w:val="0"/>
          <w:color w:val="auto"/>
          <w:sz w:val="24"/>
          <w:highlight w:val="none"/>
          <w:u w:val="single"/>
        </w:rPr>
      </w:pPr>
    </w:p>
    <w:p w14:paraId="4E98019C">
      <w:pPr>
        <w:pStyle w:val="23"/>
        <w:spacing w:beforeAutospacing="0" w:after="145" w:afterLines="50" w:afterAutospacing="0" w:line="360" w:lineRule="auto"/>
        <w:jc w:val="center"/>
        <w:rPr>
          <w:rFonts w:hint="eastAsia" w:asciiTheme="minorEastAsia" w:hAnsiTheme="minorEastAsia" w:eastAsiaTheme="minorEastAsia" w:cstheme="minorEastAsia"/>
          <w:i w:val="0"/>
          <w:iCs/>
          <w:color w:val="auto"/>
          <w:highlight w:val="none"/>
          <w:u w:val="none"/>
        </w:rPr>
      </w:pPr>
      <w:r>
        <w:rPr>
          <w:rFonts w:hint="eastAsia" w:asciiTheme="minorEastAsia" w:hAnsiTheme="minorEastAsia" w:eastAsiaTheme="minorEastAsia" w:cstheme="minorEastAsia"/>
          <w:b/>
          <w:bCs/>
          <w:i/>
          <w:iCs w:val="0"/>
          <w:color w:val="auto"/>
          <w:sz w:val="32"/>
          <w:szCs w:val="32"/>
          <w:highlight w:val="none"/>
          <w:u w:val="single"/>
        </w:rPr>
        <w:t>七、法人授权书</w:t>
      </w:r>
    </w:p>
    <w:p w14:paraId="5605C577">
      <w:pPr>
        <w:pStyle w:val="23"/>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w:t>
      </w:r>
      <w:r>
        <w:rPr>
          <w:rFonts w:hint="eastAsia" w:ascii="宋体" w:hAnsi="宋体"/>
          <w:color w:val="auto"/>
          <w:highlight w:val="none"/>
          <w:u w:val="single"/>
        </w:rPr>
        <w:t>JSZC-320923-FNDY-G2025-0002</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3CEC17BA">
      <w:pPr>
        <w:pStyle w:val="23"/>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本授权书于______年____月____日起生效，特此声明。</w:t>
      </w:r>
    </w:p>
    <w:p w14:paraId="53BA0F7F">
      <w:pPr>
        <w:pStyle w:val="23"/>
        <w:tabs>
          <w:tab w:val="left" w:pos="360"/>
        </w:tabs>
        <w:spacing w:beforeAutospacing="0" w:afterAutospacing="0" w:line="360" w:lineRule="auto"/>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3015CF3E">
      <w:pPr>
        <w:pStyle w:val="23"/>
        <w:tabs>
          <w:tab w:val="left" w:pos="360"/>
        </w:tabs>
        <w:spacing w:beforeAutospacing="0" w:afterAutospacing="0" w:line="360" w:lineRule="auto"/>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7F425DDA">
      <w:pPr>
        <w:pStyle w:val="23"/>
        <w:tabs>
          <w:tab w:val="left" w:pos="360"/>
        </w:tabs>
        <w:spacing w:beforeAutospacing="0" w:afterAutospacing="0" w:line="360" w:lineRule="auto"/>
        <w:ind w:firstLine="720" w:firstLineChars="3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5A025587">
      <w:pPr>
        <w:pStyle w:val="23"/>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36FD450A">
      <w:pPr>
        <w:pStyle w:val="23"/>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     日期：</w:t>
      </w:r>
      <w:r>
        <w:rPr>
          <w:rFonts w:ascii="Times New Roman" w:hAnsi="Times New Roman"/>
          <w:color w:val="auto"/>
          <w:highlight w:val="none"/>
          <w:u w:val="single"/>
        </w:rPr>
        <w:t xml:space="preserve">                                         </w:t>
      </w:r>
    </w:p>
    <w:p w14:paraId="0A848ED7">
      <w:pPr>
        <w:pStyle w:val="14"/>
        <w:snapToGrid w:val="0"/>
        <w:spacing w:before="120" w:after="120" w:line="360" w:lineRule="auto"/>
        <w:ind w:firstLine="5508" w:firstLineChars="2295"/>
        <w:jc w:val="left"/>
        <w:rPr>
          <w:rFonts w:hint="eastAsia" w:asciiTheme="majorEastAsia" w:hAnsiTheme="majorEastAsia" w:eastAsiaTheme="majorEastAsia" w:cstheme="majorEastAsia"/>
          <w:color w:val="auto"/>
          <w:sz w:val="24"/>
          <w:szCs w:val="24"/>
          <w:highlight w:val="none"/>
          <w:u w:val="single"/>
          <w:lang w:bidi="th-TH"/>
        </w:rPr>
      </w:pPr>
    </w:p>
    <w:p w14:paraId="5832C217">
      <w:pPr>
        <w:pStyle w:val="14"/>
        <w:snapToGrid w:val="0"/>
        <w:spacing w:before="120" w:after="120" w:line="360" w:lineRule="auto"/>
        <w:ind w:firstLine="5508" w:firstLineChars="2295"/>
        <w:jc w:val="left"/>
        <w:rPr>
          <w:rFonts w:hint="eastAsia" w:asciiTheme="majorEastAsia" w:hAnsiTheme="majorEastAsia" w:eastAsiaTheme="majorEastAsia" w:cstheme="majorEastAsia"/>
          <w:color w:val="auto"/>
          <w:sz w:val="24"/>
          <w:szCs w:val="24"/>
          <w:highlight w:val="none"/>
          <w:u w:val="single"/>
          <w:lang w:bidi="th-TH"/>
        </w:rPr>
      </w:pPr>
    </w:p>
    <w:p w14:paraId="2E4CBEEE">
      <w:pPr>
        <w:pStyle w:val="14"/>
        <w:snapToGrid w:val="0"/>
        <w:spacing w:before="120" w:after="120" w:line="360" w:lineRule="auto"/>
        <w:ind w:firstLine="5508" w:firstLineChars="2295"/>
        <w:jc w:val="left"/>
        <w:rPr>
          <w:rFonts w:hint="eastAsia" w:asciiTheme="majorEastAsia" w:hAnsiTheme="majorEastAsia" w:eastAsiaTheme="majorEastAsia" w:cstheme="majorEastAsia"/>
          <w:color w:val="auto"/>
          <w:sz w:val="24"/>
          <w:szCs w:val="24"/>
          <w:highlight w:val="none"/>
          <w:u w:val="single"/>
          <w:lang w:bidi="th-TH"/>
        </w:rPr>
      </w:pPr>
    </w:p>
    <w:p w14:paraId="51456A61">
      <w:pPr>
        <w:pStyle w:val="14"/>
        <w:snapToGrid w:val="0"/>
        <w:spacing w:before="120" w:after="120" w:line="360" w:lineRule="auto"/>
        <w:ind w:firstLine="5508" w:firstLineChars="2295"/>
        <w:jc w:val="left"/>
        <w:rPr>
          <w:rFonts w:hint="eastAsia" w:asciiTheme="majorEastAsia" w:hAnsiTheme="majorEastAsia" w:eastAsiaTheme="majorEastAsia" w:cstheme="majorEastAsia"/>
          <w:color w:val="auto"/>
          <w:sz w:val="24"/>
          <w:szCs w:val="24"/>
          <w:highlight w:val="none"/>
          <w:u w:val="single"/>
          <w:lang w:bidi="th-TH"/>
        </w:rPr>
      </w:pPr>
    </w:p>
    <w:p w14:paraId="6F0EF4BC">
      <w:pPr>
        <w:pStyle w:val="14"/>
        <w:snapToGrid w:val="0"/>
        <w:spacing w:before="120" w:after="120" w:line="360" w:lineRule="auto"/>
        <w:ind w:firstLine="5508" w:firstLineChars="2295"/>
        <w:jc w:val="left"/>
        <w:rPr>
          <w:rFonts w:hint="eastAsia" w:asciiTheme="majorEastAsia" w:hAnsiTheme="majorEastAsia" w:eastAsiaTheme="majorEastAsia" w:cstheme="majorEastAsia"/>
          <w:color w:val="auto"/>
          <w:sz w:val="24"/>
          <w:szCs w:val="24"/>
          <w:highlight w:val="none"/>
          <w:u w:val="single"/>
          <w:lang w:bidi="th-TH"/>
        </w:rPr>
      </w:pPr>
    </w:p>
    <w:p w14:paraId="2BCFC6E9">
      <w:pPr>
        <w:pStyle w:val="14"/>
        <w:snapToGrid w:val="0"/>
        <w:spacing w:before="120" w:after="120" w:line="360" w:lineRule="auto"/>
        <w:ind w:firstLine="5508" w:firstLineChars="2295"/>
        <w:jc w:val="left"/>
        <w:rPr>
          <w:rFonts w:hint="eastAsia" w:asciiTheme="majorEastAsia" w:hAnsiTheme="majorEastAsia" w:eastAsiaTheme="majorEastAsia" w:cstheme="majorEastAsia"/>
          <w:color w:val="auto"/>
          <w:sz w:val="24"/>
          <w:szCs w:val="24"/>
          <w:highlight w:val="none"/>
          <w:u w:val="single"/>
          <w:lang w:bidi="th-TH"/>
        </w:rPr>
      </w:pPr>
    </w:p>
    <w:p w14:paraId="145D5EDA">
      <w:pPr>
        <w:pStyle w:val="14"/>
        <w:snapToGrid w:val="0"/>
        <w:spacing w:before="120" w:after="120" w:line="360" w:lineRule="auto"/>
        <w:ind w:firstLine="5508" w:firstLineChars="2295"/>
        <w:jc w:val="left"/>
        <w:rPr>
          <w:rFonts w:hint="eastAsia" w:asciiTheme="majorEastAsia" w:hAnsiTheme="majorEastAsia" w:eastAsiaTheme="majorEastAsia" w:cstheme="majorEastAsia"/>
          <w:color w:val="auto"/>
          <w:sz w:val="24"/>
          <w:szCs w:val="24"/>
          <w:highlight w:val="none"/>
          <w:u w:val="single"/>
          <w:lang w:bidi="th-TH"/>
        </w:rPr>
      </w:pPr>
    </w:p>
    <w:p w14:paraId="5D0C93E1">
      <w:pPr>
        <w:spacing w:line="360" w:lineRule="auto"/>
        <w:rPr>
          <w:rFonts w:hint="eastAsia" w:asciiTheme="majorEastAsia" w:hAnsiTheme="majorEastAsia" w:eastAsiaTheme="majorEastAsia" w:cstheme="majorEastAsia"/>
          <w:b/>
          <w:color w:val="auto"/>
          <w:szCs w:val="28"/>
          <w:highlight w:val="none"/>
        </w:rPr>
      </w:pPr>
      <w:r>
        <w:rPr>
          <w:rFonts w:hint="eastAsia" w:asciiTheme="majorEastAsia" w:hAnsiTheme="majorEastAsia" w:eastAsiaTheme="majorEastAsia" w:cstheme="majorEastAsia"/>
          <w:b/>
          <w:color w:val="auto"/>
          <w:szCs w:val="28"/>
          <w:highlight w:val="none"/>
        </w:rPr>
        <w:br w:type="page"/>
      </w:r>
    </w:p>
    <w:p w14:paraId="0CC05115">
      <w:pPr>
        <w:keepNext w:val="0"/>
        <w:keepLines w:val="0"/>
        <w:pageBreakBefore w:val="0"/>
        <w:widowControl/>
        <w:kinsoku/>
        <w:wordWrap/>
        <w:overflowPunct/>
        <w:topLinePunct w:val="0"/>
        <w:autoSpaceDE/>
        <w:autoSpaceDN/>
        <w:bidi w:val="0"/>
        <w:spacing w:line="500" w:lineRule="exact"/>
        <w:jc w:val="center"/>
        <w:rPr>
          <w:rFonts w:hint="eastAsia" w:asciiTheme="majorEastAsia" w:hAnsiTheme="majorEastAsia" w:eastAsiaTheme="majorEastAsia" w:cstheme="majorEastAsia"/>
          <w:b/>
          <w:i/>
          <w:iCs/>
          <w:color w:val="auto"/>
          <w:sz w:val="36"/>
          <w:szCs w:val="36"/>
          <w:highlight w:val="none"/>
          <w:u w:val="single"/>
        </w:rPr>
      </w:pPr>
      <w:r>
        <w:rPr>
          <w:rFonts w:hint="eastAsia" w:asciiTheme="majorEastAsia" w:hAnsiTheme="majorEastAsia" w:eastAsiaTheme="majorEastAsia" w:cstheme="majorEastAsia"/>
          <w:b/>
          <w:i/>
          <w:iCs/>
          <w:color w:val="auto"/>
          <w:sz w:val="36"/>
          <w:szCs w:val="36"/>
          <w:highlight w:val="none"/>
          <w:u w:val="single"/>
          <w:lang w:val="en-US" w:eastAsia="zh-CN"/>
        </w:rPr>
        <w:t>八、</w:t>
      </w:r>
      <w:r>
        <w:rPr>
          <w:rFonts w:hint="eastAsia" w:asciiTheme="majorEastAsia" w:hAnsiTheme="majorEastAsia" w:eastAsiaTheme="majorEastAsia" w:cstheme="majorEastAsia"/>
          <w:b/>
          <w:i/>
          <w:iCs/>
          <w:color w:val="auto"/>
          <w:sz w:val="36"/>
          <w:szCs w:val="36"/>
          <w:highlight w:val="none"/>
          <w:u w:val="single"/>
        </w:rPr>
        <w:t>投标函</w:t>
      </w:r>
    </w:p>
    <w:p w14:paraId="296D6B2D">
      <w:pPr>
        <w:pStyle w:val="36"/>
        <w:keepNext w:val="0"/>
        <w:keepLines w:val="0"/>
        <w:pageBreakBefore w:val="0"/>
        <w:kinsoku/>
        <w:wordWrap/>
        <w:overflowPunct/>
        <w:topLinePunct w:val="0"/>
        <w:autoSpaceDE/>
        <w:autoSpaceDN/>
        <w:bidi w:val="0"/>
        <w:spacing w:before="0" w:after="0" w:line="500" w:lineRule="exact"/>
        <w:ind w:firstLineChars="200"/>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致：阜宁县交通运输局</w:t>
      </w:r>
    </w:p>
    <w:p w14:paraId="6A4A17BC">
      <w:pPr>
        <w:pStyle w:val="36"/>
        <w:keepNext w:val="0"/>
        <w:keepLines w:val="0"/>
        <w:pageBreakBefore w:val="0"/>
        <w:kinsoku/>
        <w:wordWrap/>
        <w:overflowPunct/>
        <w:topLinePunct w:val="0"/>
        <w:autoSpaceDE/>
        <w:autoSpaceDN/>
        <w:bidi w:val="0"/>
        <w:spacing w:before="0" w:after="0" w:line="500" w:lineRule="exact"/>
        <w:ind w:firstLineChars="200"/>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根据贵方的号招标文件，正式授权下述签字人_________________(姓名)代表我方______________（投标人的名称），全权处理本次项目投标的有关事宜。</w:t>
      </w:r>
    </w:p>
    <w:p w14:paraId="486C8DF8">
      <w:pPr>
        <w:pStyle w:val="36"/>
        <w:keepNext w:val="0"/>
        <w:keepLines w:val="0"/>
        <w:pageBreakBefore w:val="0"/>
        <w:kinsoku/>
        <w:wordWrap/>
        <w:overflowPunct/>
        <w:topLinePunct w:val="0"/>
        <w:autoSpaceDE/>
        <w:autoSpaceDN/>
        <w:bidi w:val="0"/>
        <w:spacing w:before="0" w:after="0" w:line="500" w:lineRule="exact"/>
        <w:ind w:firstLineChars="200"/>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据此函，__________签字人兹宣布同意如下：</w:t>
      </w:r>
    </w:p>
    <w:p w14:paraId="06F8B351">
      <w:pPr>
        <w:pStyle w:val="36"/>
        <w:keepNext w:val="0"/>
        <w:keepLines w:val="0"/>
        <w:pageBreakBefore w:val="0"/>
        <w:kinsoku/>
        <w:wordWrap/>
        <w:overflowPunct/>
        <w:topLinePunct w:val="0"/>
        <w:autoSpaceDE/>
        <w:autoSpaceDN/>
        <w:bidi w:val="0"/>
        <w:spacing w:before="0" w:after="0" w:line="500" w:lineRule="exact"/>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1.按招标文件规定的各项要求，向买方提供所需货物与服务。</w:t>
      </w:r>
    </w:p>
    <w:p w14:paraId="19B63E88">
      <w:pPr>
        <w:pStyle w:val="36"/>
        <w:keepNext w:val="0"/>
        <w:keepLines w:val="0"/>
        <w:pageBreakBefore w:val="0"/>
        <w:kinsoku/>
        <w:wordWrap/>
        <w:overflowPunct/>
        <w:topLinePunct w:val="0"/>
        <w:autoSpaceDE/>
        <w:autoSpaceDN/>
        <w:bidi w:val="0"/>
        <w:spacing w:before="0" w:after="0" w:line="500" w:lineRule="exact"/>
        <w:ind w:firstLineChars="200"/>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2.我们完全理解贵方不一定将合同授予最低报价的投标人。</w:t>
      </w:r>
    </w:p>
    <w:p w14:paraId="68632061">
      <w:pPr>
        <w:pStyle w:val="36"/>
        <w:keepNext w:val="0"/>
        <w:keepLines w:val="0"/>
        <w:pageBreakBefore w:val="0"/>
        <w:kinsoku/>
        <w:wordWrap/>
        <w:overflowPunct/>
        <w:topLinePunct w:val="0"/>
        <w:autoSpaceDE/>
        <w:autoSpaceDN/>
        <w:bidi w:val="0"/>
        <w:spacing w:before="0" w:after="0" w:line="500" w:lineRule="exact"/>
        <w:ind w:firstLineChars="200"/>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3.我们已详细审核全部招标文件及其有效补充文件，我们知道必须放弃提出含糊不清或误解问题的权利。</w:t>
      </w:r>
    </w:p>
    <w:p w14:paraId="21AFF02D">
      <w:pPr>
        <w:pStyle w:val="36"/>
        <w:keepNext w:val="0"/>
        <w:keepLines w:val="0"/>
        <w:pageBreakBefore w:val="0"/>
        <w:kinsoku/>
        <w:wordWrap/>
        <w:overflowPunct/>
        <w:topLinePunct w:val="0"/>
        <w:autoSpaceDE/>
        <w:autoSpaceDN/>
        <w:bidi w:val="0"/>
        <w:spacing w:before="0" w:after="0" w:line="500" w:lineRule="exact"/>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4.我们同意从规定的开标日期起遵循本投标文件，并在规定的投标有效期期满之前均具有约束力。</w:t>
      </w:r>
    </w:p>
    <w:p w14:paraId="41B6E179">
      <w:pPr>
        <w:pStyle w:val="36"/>
        <w:keepNext w:val="0"/>
        <w:keepLines w:val="0"/>
        <w:pageBreakBefore w:val="0"/>
        <w:kinsoku/>
        <w:wordWrap/>
        <w:overflowPunct/>
        <w:topLinePunct w:val="0"/>
        <w:autoSpaceDE/>
        <w:autoSpaceDN/>
        <w:bidi w:val="0"/>
        <w:spacing w:before="0" w:after="0" w:line="500" w:lineRule="exact"/>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lang w:val="en-US" w:eastAsia="zh-CN"/>
        </w:rPr>
        <w:t>5</w:t>
      </w:r>
      <w:r>
        <w:rPr>
          <w:rFonts w:hint="eastAsia" w:asciiTheme="majorEastAsia" w:hAnsiTheme="majorEastAsia" w:eastAsiaTheme="majorEastAsia" w:cstheme="majorEastAsia"/>
          <w:color w:val="auto"/>
          <w:kern w:val="2"/>
          <w:highlight w:val="none"/>
        </w:rPr>
        <w:t>.同意向贵方提供贵方可能另外要求的与投标有关的任何证据或资料，并保证我方已提供和将要提供的文件是真实的、准确的。</w:t>
      </w:r>
    </w:p>
    <w:p w14:paraId="21975326">
      <w:pPr>
        <w:pStyle w:val="36"/>
        <w:keepNext w:val="0"/>
        <w:keepLines w:val="0"/>
        <w:pageBreakBefore w:val="0"/>
        <w:kinsoku/>
        <w:wordWrap/>
        <w:overflowPunct/>
        <w:topLinePunct w:val="0"/>
        <w:autoSpaceDE/>
        <w:autoSpaceDN/>
        <w:bidi w:val="0"/>
        <w:spacing w:before="0" w:after="0" w:line="500" w:lineRule="exact"/>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lang w:val="en-US" w:eastAsia="zh-CN"/>
        </w:rPr>
        <w:t>6</w:t>
      </w:r>
      <w:r>
        <w:rPr>
          <w:rFonts w:hint="eastAsia" w:asciiTheme="majorEastAsia" w:hAnsiTheme="majorEastAsia" w:eastAsiaTheme="majorEastAsia" w:cstheme="majorEastAsia"/>
          <w:color w:val="auto"/>
          <w:kern w:val="2"/>
          <w:highlight w:val="none"/>
        </w:rPr>
        <w:t>.一旦我方中标,我方将根据招标文件的规定，严格履行合同的责任和义务,并保证在招标文件规定的时间完成项目，交付买方验收、使用。</w:t>
      </w:r>
    </w:p>
    <w:p w14:paraId="36E5E0D4">
      <w:pPr>
        <w:pStyle w:val="36"/>
        <w:keepNext w:val="0"/>
        <w:keepLines w:val="0"/>
        <w:pageBreakBefore w:val="0"/>
        <w:kinsoku/>
        <w:wordWrap/>
        <w:overflowPunct/>
        <w:topLinePunct w:val="0"/>
        <w:autoSpaceDE/>
        <w:autoSpaceDN/>
        <w:bidi w:val="0"/>
        <w:spacing w:before="0" w:after="0" w:line="500" w:lineRule="exact"/>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lang w:val="en-US" w:eastAsia="zh-CN"/>
        </w:rPr>
        <w:t>7</w:t>
      </w:r>
      <w:r>
        <w:rPr>
          <w:rFonts w:hint="eastAsia" w:asciiTheme="majorEastAsia" w:hAnsiTheme="majorEastAsia" w:eastAsiaTheme="majorEastAsia" w:cstheme="majorEastAsia"/>
          <w:color w:val="auto"/>
          <w:kern w:val="2"/>
          <w:highlight w:val="none"/>
        </w:rPr>
        <w:t>.与本投标有关的正式通讯地址为：</w:t>
      </w:r>
    </w:p>
    <w:p w14:paraId="1438D917">
      <w:pPr>
        <w:pStyle w:val="23"/>
        <w:keepNext w:val="0"/>
        <w:keepLines w:val="0"/>
        <w:pageBreakBefore w:val="0"/>
        <w:kinsoku/>
        <w:wordWrap/>
        <w:overflowPunct/>
        <w:topLinePunct w:val="0"/>
        <w:autoSpaceDE/>
        <w:autoSpaceDN/>
        <w:bidi w:val="0"/>
        <w:spacing w:beforeAutospacing="0" w:afterAutospacing="0" w:line="500" w:lineRule="exact"/>
        <w:ind w:left="420"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地          址：</w:t>
      </w:r>
    </w:p>
    <w:p w14:paraId="6F1A52A4">
      <w:pPr>
        <w:pStyle w:val="23"/>
        <w:keepNext w:val="0"/>
        <w:keepLines w:val="0"/>
        <w:pageBreakBefore w:val="0"/>
        <w:kinsoku/>
        <w:wordWrap/>
        <w:overflowPunct/>
        <w:topLinePunct w:val="0"/>
        <w:autoSpaceDE/>
        <w:autoSpaceDN/>
        <w:bidi w:val="0"/>
        <w:spacing w:beforeAutospacing="0" w:afterAutospacing="0" w:line="500" w:lineRule="exact"/>
        <w:ind w:left="420"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邮          编：</w:t>
      </w:r>
    </w:p>
    <w:p w14:paraId="450A8675">
      <w:pPr>
        <w:pStyle w:val="23"/>
        <w:keepNext w:val="0"/>
        <w:keepLines w:val="0"/>
        <w:pageBreakBefore w:val="0"/>
        <w:kinsoku/>
        <w:wordWrap/>
        <w:overflowPunct/>
        <w:topLinePunct w:val="0"/>
        <w:autoSpaceDE/>
        <w:autoSpaceDN/>
        <w:bidi w:val="0"/>
        <w:spacing w:beforeAutospacing="0" w:afterAutospacing="0" w:line="500" w:lineRule="exact"/>
        <w:ind w:left="420"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电          话：</w:t>
      </w:r>
    </w:p>
    <w:p w14:paraId="1AA5698F">
      <w:pPr>
        <w:pStyle w:val="23"/>
        <w:keepNext w:val="0"/>
        <w:keepLines w:val="0"/>
        <w:pageBreakBefore w:val="0"/>
        <w:kinsoku/>
        <w:wordWrap/>
        <w:overflowPunct/>
        <w:topLinePunct w:val="0"/>
        <w:autoSpaceDE/>
        <w:autoSpaceDN/>
        <w:bidi w:val="0"/>
        <w:spacing w:beforeAutospacing="0" w:afterAutospacing="0" w:line="500" w:lineRule="exact"/>
        <w:ind w:left="420"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传          真：</w:t>
      </w:r>
    </w:p>
    <w:p w14:paraId="01204112">
      <w:pPr>
        <w:pStyle w:val="23"/>
        <w:keepNext w:val="0"/>
        <w:keepLines w:val="0"/>
        <w:pageBreakBefore w:val="0"/>
        <w:kinsoku/>
        <w:wordWrap/>
        <w:overflowPunct/>
        <w:topLinePunct w:val="0"/>
        <w:autoSpaceDE/>
        <w:autoSpaceDN/>
        <w:bidi w:val="0"/>
        <w:spacing w:beforeAutospacing="0" w:afterAutospacing="0" w:line="500" w:lineRule="exact"/>
        <w:ind w:left="420"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标</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人</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开</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户</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行：</w:t>
      </w:r>
    </w:p>
    <w:p w14:paraId="4CE9314E">
      <w:pPr>
        <w:pStyle w:val="23"/>
        <w:keepNext w:val="0"/>
        <w:keepLines w:val="0"/>
        <w:pageBreakBefore w:val="0"/>
        <w:kinsoku/>
        <w:wordWrap/>
        <w:overflowPunct/>
        <w:topLinePunct w:val="0"/>
        <w:autoSpaceDE/>
        <w:autoSpaceDN/>
        <w:bidi w:val="0"/>
        <w:spacing w:beforeAutospacing="0" w:afterAutospacing="0" w:line="500" w:lineRule="exact"/>
        <w:ind w:left="420"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账          号： </w:t>
      </w:r>
    </w:p>
    <w:p w14:paraId="5C64641E">
      <w:pPr>
        <w:pStyle w:val="23"/>
        <w:keepNext w:val="0"/>
        <w:keepLines w:val="0"/>
        <w:pageBreakBefore w:val="0"/>
        <w:kinsoku/>
        <w:wordWrap/>
        <w:overflowPunct/>
        <w:topLinePunct w:val="0"/>
        <w:autoSpaceDE/>
        <w:autoSpaceDN/>
        <w:bidi w:val="0"/>
        <w:spacing w:beforeAutospacing="0" w:afterAutospacing="0" w:line="500" w:lineRule="exact"/>
        <w:ind w:left="420"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企业名称（加盖CA电子公章）：</w:t>
      </w:r>
    </w:p>
    <w:p w14:paraId="74AA492B">
      <w:pPr>
        <w:pStyle w:val="36"/>
        <w:keepNext w:val="0"/>
        <w:keepLines w:val="0"/>
        <w:pageBreakBefore w:val="0"/>
        <w:kinsoku/>
        <w:wordWrap/>
        <w:overflowPunct/>
        <w:topLinePunct w:val="0"/>
        <w:autoSpaceDE/>
        <w:autoSpaceDN/>
        <w:bidi w:val="0"/>
        <w:spacing w:before="0" w:after="0" w:line="500" w:lineRule="exact"/>
        <w:ind w:left="420" w:leftChars="200" w:firstLineChars="200"/>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日           期：________年____月____日</w:t>
      </w:r>
    </w:p>
    <w:p w14:paraId="13EAD255">
      <w:pPr>
        <w:keepNext w:val="0"/>
        <w:keepLines w:val="0"/>
        <w:pageBreakBefore w:val="0"/>
        <w:kinsoku/>
        <w:wordWrap/>
        <w:overflowPunct/>
        <w:topLinePunct w:val="0"/>
        <w:autoSpaceDE/>
        <w:autoSpaceDN/>
        <w:bidi w:val="0"/>
        <w:snapToGrid w:val="0"/>
        <w:spacing w:before="50" w:after="145" w:afterLines="50" w:line="500" w:lineRule="exact"/>
        <w:jc w:val="left"/>
        <w:rPr>
          <w:rFonts w:hint="eastAsia" w:asciiTheme="majorEastAsia" w:hAnsiTheme="majorEastAsia" w:eastAsiaTheme="majorEastAsia" w:cstheme="majorEastAsia"/>
          <w:color w:val="auto"/>
          <w:sz w:val="24"/>
          <w:szCs w:val="24"/>
          <w:highlight w:val="none"/>
        </w:rPr>
        <w:sectPr>
          <w:pgSz w:w="11906" w:h="16838"/>
          <w:pgMar w:top="1440" w:right="1587" w:bottom="1440" w:left="1587" w:header="851" w:footer="907" w:gutter="0"/>
          <w:pgNumType w:fmt="decimal"/>
          <w:cols w:space="720" w:num="1"/>
          <w:docGrid w:type="lines" w:linePitch="290" w:charSpace="0"/>
        </w:sectPr>
      </w:pPr>
    </w:p>
    <w:p w14:paraId="50C9BE6D">
      <w:pPr>
        <w:spacing w:after="145" w:afterLines="50" w:line="360" w:lineRule="auto"/>
        <w:jc w:val="center"/>
        <w:rPr>
          <w:rFonts w:hint="eastAsia" w:asciiTheme="majorEastAsia" w:hAnsiTheme="majorEastAsia" w:eastAsiaTheme="majorEastAsia" w:cstheme="majorEastAsia"/>
          <w:b/>
          <w:i w:val="0"/>
          <w:iCs w:val="0"/>
          <w:color w:val="auto"/>
          <w:sz w:val="32"/>
          <w:szCs w:val="32"/>
          <w:highlight w:val="none"/>
          <w:u w:val="none"/>
        </w:rPr>
      </w:pPr>
      <w:r>
        <w:rPr>
          <w:rFonts w:hint="eastAsia" w:asciiTheme="majorEastAsia" w:hAnsiTheme="majorEastAsia" w:eastAsiaTheme="majorEastAsia" w:cstheme="majorEastAsia"/>
          <w:b/>
          <w:i w:val="0"/>
          <w:iCs w:val="0"/>
          <w:color w:val="auto"/>
          <w:sz w:val="32"/>
          <w:szCs w:val="32"/>
          <w:highlight w:val="none"/>
          <w:u w:val="none"/>
        </w:rPr>
        <w:t>九</w:t>
      </w:r>
      <w:r>
        <w:rPr>
          <w:rFonts w:hint="eastAsia" w:asciiTheme="majorEastAsia" w:hAnsiTheme="majorEastAsia" w:eastAsiaTheme="majorEastAsia" w:cstheme="majorEastAsia"/>
          <w:b/>
          <w:i w:val="0"/>
          <w:iCs w:val="0"/>
          <w:color w:val="auto"/>
          <w:sz w:val="32"/>
          <w:szCs w:val="32"/>
          <w:highlight w:val="none"/>
          <w:u w:val="none"/>
          <w:lang w:eastAsia="zh-CN"/>
        </w:rPr>
        <w:t>、</w:t>
      </w:r>
      <w:r>
        <w:rPr>
          <w:rFonts w:hint="eastAsia" w:asciiTheme="majorEastAsia" w:hAnsiTheme="majorEastAsia" w:eastAsiaTheme="majorEastAsia" w:cstheme="majorEastAsia"/>
          <w:b/>
          <w:i w:val="0"/>
          <w:iCs w:val="0"/>
          <w:color w:val="auto"/>
          <w:sz w:val="32"/>
          <w:szCs w:val="32"/>
          <w:highlight w:val="none"/>
          <w:u w:val="none"/>
        </w:rPr>
        <w:t>投入本项目人员一览表</w:t>
      </w:r>
    </w:p>
    <w:tbl>
      <w:tblPr>
        <w:tblStyle w:val="26"/>
        <w:tblW w:w="9388" w:type="dxa"/>
        <w:tblInd w:w="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961"/>
        <w:gridCol w:w="741"/>
        <w:gridCol w:w="1334"/>
        <w:gridCol w:w="720"/>
        <w:gridCol w:w="1284"/>
        <w:gridCol w:w="1284"/>
        <w:gridCol w:w="2358"/>
      </w:tblGrid>
      <w:tr w14:paraId="408B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6" w:type="dxa"/>
            <w:vAlign w:val="center"/>
          </w:tcPr>
          <w:p w14:paraId="669B30DD">
            <w:pPr>
              <w:spacing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序号</w:t>
            </w:r>
          </w:p>
        </w:tc>
        <w:tc>
          <w:tcPr>
            <w:tcW w:w="961" w:type="dxa"/>
            <w:vAlign w:val="center"/>
          </w:tcPr>
          <w:p w14:paraId="6AAE833F">
            <w:pPr>
              <w:spacing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姓名</w:t>
            </w:r>
          </w:p>
        </w:tc>
        <w:tc>
          <w:tcPr>
            <w:tcW w:w="741" w:type="dxa"/>
            <w:vAlign w:val="center"/>
          </w:tcPr>
          <w:p w14:paraId="43EDF67B">
            <w:pPr>
              <w:spacing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性别</w:t>
            </w:r>
          </w:p>
        </w:tc>
        <w:tc>
          <w:tcPr>
            <w:tcW w:w="1334" w:type="dxa"/>
            <w:vAlign w:val="center"/>
          </w:tcPr>
          <w:p w14:paraId="1B15AA6C">
            <w:pPr>
              <w:spacing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出生日期</w:t>
            </w:r>
          </w:p>
        </w:tc>
        <w:tc>
          <w:tcPr>
            <w:tcW w:w="720" w:type="dxa"/>
            <w:vAlign w:val="center"/>
          </w:tcPr>
          <w:p w14:paraId="2937ADA1">
            <w:pPr>
              <w:spacing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学历</w:t>
            </w:r>
          </w:p>
        </w:tc>
        <w:tc>
          <w:tcPr>
            <w:tcW w:w="1284" w:type="dxa"/>
            <w:vAlign w:val="center"/>
          </w:tcPr>
          <w:p w14:paraId="580CBC66">
            <w:pPr>
              <w:spacing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专业</w:t>
            </w:r>
          </w:p>
        </w:tc>
        <w:tc>
          <w:tcPr>
            <w:tcW w:w="1284" w:type="dxa"/>
            <w:vAlign w:val="center"/>
          </w:tcPr>
          <w:p w14:paraId="7BA476C2">
            <w:pPr>
              <w:spacing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技术职称</w:t>
            </w:r>
          </w:p>
        </w:tc>
        <w:tc>
          <w:tcPr>
            <w:tcW w:w="2358" w:type="dxa"/>
            <w:vAlign w:val="center"/>
          </w:tcPr>
          <w:p w14:paraId="6F6CEB48">
            <w:pPr>
              <w:spacing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在本项目拟任职务</w:t>
            </w:r>
          </w:p>
        </w:tc>
      </w:tr>
      <w:tr w14:paraId="69746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6" w:type="dxa"/>
            <w:vAlign w:val="center"/>
          </w:tcPr>
          <w:p w14:paraId="3415134F">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w:t>
            </w:r>
          </w:p>
        </w:tc>
        <w:tc>
          <w:tcPr>
            <w:tcW w:w="961" w:type="dxa"/>
            <w:vAlign w:val="center"/>
          </w:tcPr>
          <w:p w14:paraId="27929A2A">
            <w:pPr>
              <w:spacing w:line="360" w:lineRule="auto"/>
              <w:jc w:val="center"/>
              <w:rPr>
                <w:rFonts w:hint="eastAsia" w:asciiTheme="majorEastAsia" w:hAnsiTheme="majorEastAsia" w:eastAsiaTheme="majorEastAsia" w:cstheme="majorEastAsia"/>
                <w:color w:val="auto"/>
                <w:szCs w:val="21"/>
                <w:highlight w:val="none"/>
              </w:rPr>
            </w:pPr>
          </w:p>
        </w:tc>
        <w:tc>
          <w:tcPr>
            <w:tcW w:w="741" w:type="dxa"/>
            <w:vAlign w:val="center"/>
          </w:tcPr>
          <w:p w14:paraId="3E30F647">
            <w:pPr>
              <w:spacing w:line="360" w:lineRule="auto"/>
              <w:jc w:val="center"/>
              <w:rPr>
                <w:rFonts w:hint="eastAsia" w:asciiTheme="majorEastAsia" w:hAnsiTheme="majorEastAsia" w:eastAsiaTheme="majorEastAsia" w:cstheme="majorEastAsia"/>
                <w:color w:val="auto"/>
                <w:szCs w:val="21"/>
                <w:highlight w:val="none"/>
              </w:rPr>
            </w:pPr>
          </w:p>
        </w:tc>
        <w:tc>
          <w:tcPr>
            <w:tcW w:w="1334" w:type="dxa"/>
            <w:vAlign w:val="center"/>
          </w:tcPr>
          <w:p w14:paraId="7764E465">
            <w:pPr>
              <w:spacing w:line="360" w:lineRule="auto"/>
              <w:jc w:val="center"/>
              <w:rPr>
                <w:rFonts w:hint="eastAsia" w:asciiTheme="majorEastAsia" w:hAnsiTheme="majorEastAsia" w:eastAsiaTheme="majorEastAsia" w:cstheme="majorEastAsia"/>
                <w:color w:val="auto"/>
                <w:szCs w:val="21"/>
                <w:highlight w:val="none"/>
              </w:rPr>
            </w:pPr>
          </w:p>
        </w:tc>
        <w:tc>
          <w:tcPr>
            <w:tcW w:w="720" w:type="dxa"/>
            <w:vAlign w:val="center"/>
          </w:tcPr>
          <w:p w14:paraId="749AF864">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7837FE59">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17259D70">
            <w:pPr>
              <w:spacing w:line="360" w:lineRule="auto"/>
              <w:jc w:val="center"/>
              <w:rPr>
                <w:rFonts w:hint="eastAsia" w:asciiTheme="majorEastAsia" w:hAnsiTheme="majorEastAsia" w:eastAsiaTheme="majorEastAsia" w:cstheme="majorEastAsia"/>
                <w:color w:val="auto"/>
                <w:szCs w:val="21"/>
                <w:highlight w:val="none"/>
              </w:rPr>
            </w:pPr>
          </w:p>
        </w:tc>
        <w:tc>
          <w:tcPr>
            <w:tcW w:w="2358" w:type="dxa"/>
            <w:vAlign w:val="center"/>
          </w:tcPr>
          <w:p w14:paraId="191583F8">
            <w:pPr>
              <w:spacing w:line="360" w:lineRule="auto"/>
              <w:jc w:val="center"/>
              <w:rPr>
                <w:rFonts w:hint="eastAsia" w:asciiTheme="majorEastAsia" w:hAnsiTheme="majorEastAsia" w:eastAsiaTheme="majorEastAsia" w:cstheme="majorEastAsia"/>
                <w:color w:val="auto"/>
                <w:szCs w:val="21"/>
                <w:highlight w:val="none"/>
              </w:rPr>
            </w:pPr>
          </w:p>
        </w:tc>
      </w:tr>
      <w:tr w14:paraId="3798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706" w:type="dxa"/>
            <w:vAlign w:val="center"/>
          </w:tcPr>
          <w:p w14:paraId="32F97E9A">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w:t>
            </w:r>
          </w:p>
        </w:tc>
        <w:tc>
          <w:tcPr>
            <w:tcW w:w="961" w:type="dxa"/>
            <w:vAlign w:val="center"/>
          </w:tcPr>
          <w:p w14:paraId="287AA22E">
            <w:pPr>
              <w:spacing w:line="360" w:lineRule="auto"/>
              <w:jc w:val="center"/>
              <w:rPr>
                <w:rFonts w:hint="eastAsia" w:asciiTheme="majorEastAsia" w:hAnsiTheme="majorEastAsia" w:eastAsiaTheme="majorEastAsia" w:cstheme="majorEastAsia"/>
                <w:color w:val="auto"/>
                <w:szCs w:val="21"/>
                <w:highlight w:val="none"/>
              </w:rPr>
            </w:pPr>
          </w:p>
        </w:tc>
        <w:tc>
          <w:tcPr>
            <w:tcW w:w="741" w:type="dxa"/>
            <w:vAlign w:val="center"/>
          </w:tcPr>
          <w:p w14:paraId="03AC7616">
            <w:pPr>
              <w:spacing w:line="360" w:lineRule="auto"/>
              <w:jc w:val="center"/>
              <w:rPr>
                <w:rFonts w:hint="eastAsia" w:asciiTheme="majorEastAsia" w:hAnsiTheme="majorEastAsia" w:eastAsiaTheme="majorEastAsia" w:cstheme="majorEastAsia"/>
                <w:color w:val="auto"/>
                <w:szCs w:val="21"/>
                <w:highlight w:val="none"/>
              </w:rPr>
            </w:pPr>
          </w:p>
        </w:tc>
        <w:tc>
          <w:tcPr>
            <w:tcW w:w="1334" w:type="dxa"/>
            <w:vAlign w:val="center"/>
          </w:tcPr>
          <w:p w14:paraId="0A3AE663">
            <w:pPr>
              <w:spacing w:line="360" w:lineRule="auto"/>
              <w:jc w:val="center"/>
              <w:rPr>
                <w:rFonts w:hint="eastAsia" w:asciiTheme="majorEastAsia" w:hAnsiTheme="majorEastAsia" w:eastAsiaTheme="majorEastAsia" w:cstheme="majorEastAsia"/>
                <w:color w:val="auto"/>
                <w:szCs w:val="21"/>
                <w:highlight w:val="none"/>
              </w:rPr>
            </w:pPr>
          </w:p>
        </w:tc>
        <w:tc>
          <w:tcPr>
            <w:tcW w:w="720" w:type="dxa"/>
            <w:vAlign w:val="center"/>
          </w:tcPr>
          <w:p w14:paraId="10A526E1">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2AD14115">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38BA9713">
            <w:pPr>
              <w:spacing w:line="360" w:lineRule="auto"/>
              <w:jc w:val="center"/>
              <w:rPr>
                <w:rFonts w:hint="eastAsia" w:asciiTheme="majorEastAsia" w:hAnsiTheme="majorEastAsia" w:eastAsiaTheme="majorEastAsia" w:cstheme="majorEastAsia"/>
                <w:color w:val="auto"/>
                <w:szCs w:val="21"/>
                <w:highlight w:val="none"/>
              </w:rPr>
            </w:pPr>
          </w:p>
        </w:tc>
        <w:tc>
          <w:tcPr>
            <w:tcW w:w="2358" w:type="dxa"/>
            <w:vAlign w:val="center"/>
          </w:tcPr>
          <w:p w14:paraId="69428293">
            <w:pPr>
              <w:spacing w:line="360" w:lineRule="auto"/>
              <w:jc w:val="left"/>
              <w:rPr>
                <w:rFonts w:hint="eastAsia" w:asciiTheme="majorEastAsia" w:hAnsiTheme="majorEastAsia" w:eastAsiaTheme="majorEastAsia" w:cstheme="majorEastAsia"/>
                <w:color w:val="auto"/>
                <w:szCs w:val="21"/>
                <w:highlight w:val="none"/>
              </w:rPr>
            </w:pPr>
          </w:p>
        </w:tc>
      </w:tr>
      <w:tr w14:paraId="4DAE6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6" w:type="dxa"/>
            <w:vAlign w:val="center"/>
          </w:tcPr>
          <w:p w14:paraId="65817B58">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w:t>
            </w:r>
          </w:p>
        </w:tc>
        <w:tc>
          <w:tcPr>
            <w:tcW w:w="961" w:type="dxa"/>
            <w:vAlign w:val="center"/>
          </w:tcPr>
          <w:p w14:paraId="3365C21A">
            <w:pPr>
              <w:spacing w:line="360" w:lineRule="auto"/>
              <w:jc w:val="center"/>
              <w:rPr>
                <w:rFonts w:hint="eastAsia" w:asciiTheme="majorEastAsia" w:hAnsiTheme="majorEastAsia" w:eastAsiaTheme="majorEastAsia" w:cstheme="majorEastAsia"/>
                <w:color w:val="auto"/>
                <w:szCs w:val="21"/>
                <w:highlight w:val="none"/>
              </w:rPr>
            </w:pPr>
          </w:p>
        </w:tc>
        <w:tc>
          <w:tcPr>
            <w:tcW w:w="741" w:type="dxa"/>
            <w:vAlign w:val="center"/>
          </w:tcPr>
          <w:p w14:paraId="61D41ED5">
            <w:pPr>
              <w:spacing w:line="360" w:lineRule="auto"/>
              <w:jc w:val="center"/>
              <w:rPr>
                <w:rFonts w:hint="eastAsia" w:asciiTheme="majorEastAsia" w:hAnsiTheme="majorEastAsia" w:eastAsiaTheme="majorEastAsia" w:cstheme="majorEastAsia"/>
                <w:color w:val="auto"/>
                <w:szCs w:val="21"/>
                <w:highlight w:val="none"/>
              </w:rPr>
            </w:pPr>
          </w:p>
        </w:tc>
        <w:tc>
          <w:tcPr>
            <w:tcW w:w="1334" w:type="dxa"/>
            <w:vAlign w:val="center"/>
          </w:tcPr>
          <w:p w14:paraId="21AFC4D8">
            <w:pPr>
              <w:spacing w:line="360" w:lineRule="auto"/>
              <w:jc w:val="center"/>
              <w:rPr>
                <w:rFonts w:hint="eastAsia" w:asciiTheme="majorEastAsia" w:hAnsiTheme="majorEastAsia" w:eastAsiaTheme="majorEastAsia" w:cstheme="majorEastAsia"/>
                <w:color w:val="auto"/>
                <w:szCs w:val="21"/>
                <w:highlight w:val="none"/>
              </w:rPr>
            </w:pPr>
          </w:p>
        </w:tc>
        <w:tc>
          <w:tcPr>
            <w:tcW w:w="720" w:type="dxa"/>
            <w:vAlign w:val="center"/>
          </w:tcPr>
          <w:p w14:paraId="6F1F68C9">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2303CA74">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637A791D">
            <w:pPr>
              <w:spacing w:line="360" w:lineRule="auto"/>
              <w:jc w:val="center"/>
              <w:rPr>
                <w:rFonts w:hint="eastAsia" w:asciiTheme="majorEastAsia" w:hAnsiTheme="majorEastAsia" w:eastAsiaTheme="majorEastAsia" w:cstheme="majorEastAsia"/>
                <w:color w:val="auto"/>
                <w:szCs w:val="21"/>
                <w:highlight w:val="none"/>
              </w:rPr>
            </w:pPr>
          </w:p>
        </w:tc>
        <w:tc>
          <w:tcPr>
            <w:tcW w:w="2358" w:type="dxa"/>
            <w:vAlign w:val="center"/>
          </w:tcPr>
          <w:p w14:paraId="6C85377B">
            <w:pPr>
              <w:spacing w:line="360" w:lineRule="auto"/>
              <w:jc w:val="center"/>
              <w:rPr>
                <w:rFonts w:hint="eastAsia" w:asciiTheme="majorEastAsia" w:hAnsiTheme="majorEastAsia" w:eastAsiaTheme="majorEastAsia" w:cstheme="majorEastAsia"/>
                <w:color w:val="auto"/>
                <w:szCs w:val="21"/>
                <w:highlight w:val="none"/>
              </w:rPr>
            </w:pPr>
          </w:p>
        </w:tc>
      </w:tr>
      <w:tr w14:paraId="491D3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6" w:type="dxa"/>
            <w:vAlign w:val="center"/>
          </w:tcPr>
          <w:p w14:paraId="363545D1">
            <w:pPr>
              <w:spacing w:line="360" w:lineRule="auto"/>
              <w:jc w:val="center"/>
              <w:rPr>
                <w:rFonts w:hint="eastAsia" w:asciiTheme="majorEastAsia" w:hAnsiTheme="majorEastAsia" w:eastAsiaTheme="majorEastAsia" w:cstheme="majorEastAsia"/>
                <w:color w:val="auto"/>
                <w:szCs w:val="21"/>
                <w:highlight w:val="none"/>
              </w:rPr>
            </w:pPr>
          </w:p>
        </w:tc>
        <w:tc>
          <w:tcPr>
            <w:tcW w:w="961" w:type="dxa"/>
            <w:vAlign w:val="center"/>
          </w:tcPr>
          <w:p w14:paraId="34C43BF1">
            <w:pPr>
              <w:spacing w:line="360" w:lineRule="auto"/>
              <w:jc w:val="center"/>
              <w:rPr>
                <w:rFonts w:hint="eastAsia" w:asciiTheme="majorEastAsia" w:hAnsiTheme="majorEastAsia" w:eastAsiaTheme="majorEastAsia" w:cstheme="majorEastAsia"/>
                <w:color w:val="auto"/>
                <w:szCs w:val="21"/>
                <w:highlight w:val="none"/>
              </w:rPr>
            </w:pPr>
          </w:p>
        </w:tc>
        <w:tc>
          <w:tcPr>
            <w:tcW w:w="741" w:type="dxa"/>
            <w:vAlign w:val="center"/>
          </w:tcPr>
          <w:p w14:paraId="673C5E4C">
            <w:pPr>
              <w:spacing w:line="360" w:lineRule="auto"/>
              <w:jc w:val="center"/>
              <w:rPr>
                <w:rFonts w:hint="eastAsia" w:asciiTheme="majorEastAsia" w:hAnsiTheme="majorEastAsia" w:eastAsiaTheme="majorEastAsia" w:cstheme="majorEastAsia"/>
                <w:color w:val="auto"/>
                <w:szCs w:val="21"/>
                <w:highlight w:val="none"/>
              </w:rPr>
            </w:pPr>
          </w:p>
        </w:tc>
        <w:tc>
          <w:tcPr>
            <w:tcW w:w="1334" w:type="dxa"/>
            <w:vAlign w:val="center"/>
          </w:tcPr>
          <w:p w14:paraId="11FA69F8">
            <w:pPr>
              <w:spacing w:line="360" w:lineRule="auto"/>
              <w:jc w:val="center"/>
              <w:rPr>
                <w:rFonts w:hint="eastAsia" w:asciiTheme="majorEastAsia" w:hAnsiTheme="majorEastAsia" w:eastAsiaTheme="majorEastAsia" w:cstheme="majorEastAsia"/>
                <w:color w:val="auto"/>
                <w:szCs w:val="21"/>
                <w:highlight w:val="none"/>
              </w:rPr>
            </w:pPr>
          </w:p>
        </w:tc>
        <w:tc>
          <w:tcPr>
            <w:tcW w:w="720" w:type="dxa"/>
            <w:vAlign w:val="center"/>
          </w:tcPr>
          <w:p w14:paraId="4EC01932">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3A9385A8">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487B467D">
            <w:pPr>
              <w:spacing w:line="360" w:lineRule="auto"/>
              <w:jc w:val="center"/>
              <w:rPr>
                <w:rFonts w:hint="eastAsia" w:asciiTheme="majorEastAsia" w:hAnsiTheme="majorEastAsia" w:eastAsiaTheme="majorEastAsia" w:cstheme="majorEastAsia"/>
                <w:color w:val="auto"/>
                <w:szCs w:val="21"/>
                <w:highlight w:val="none"/>
              </w:rPr>
            </w:pPr>
          </w:p>
        </w:tc>
        <w:tc>
          <w:tcPr>
            <w:tcW w:w="2358" w:type="dxa"/>
            <w:vAlign w:val="center"/>
          </w:tcPr>
          <w:p w14:paraId="3C4BF5B0">
            <w:pPr>
              <w:spacing w:line="360" w:lineRule="auto"/>
              <w:jc w:val="center"/>
              <w:rPr>
                <w:rFonts w:hint="eastAsia" w:asciiTheme="majorEastAsia" w:hAnsiTheme="majorEastAsia" w:eastAsiaTheme="majorEastAsia" w:cstheme="majorEastAsia"/>
                <w:color w:val="auto"/>
                <w:szCs w:val="21"/>
                <w:highlight w:val="none"/>
              </w:rPr>
            </w:pPr>
          </w:p>
        </w:tc>
      </w:tr>
      <w:tr w14:paraId="7AB94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6" w:type="dxa"/>
            <w:vAlign w:val="center"/>
          </w:tcPr>
          <w:p w14:paraId="00E07BEB">
            <w:pPr>
              <w:spacing w:line="360" w:lineRule="auto"/>
              <w:jc w:val="center"/>
              <w:rPr>
                <w:rFonts w:hint="eastAsia" w:asciiTheme="majorEastAsia" w:hAnsiTheme="majorEastAsia" w:eastAsiaTheme="majorEastAsia" w:cstheme="majorEastAsia"/>
                <w:color w:val="auto"/>
                <w:szCs w:val="21"/>
                <w:highlight w:val="none"/>
              </w:rPr>
            </w:pPr>
          </w:p>
        </w:tc>
        <w:tc>
          <w:tcPr>
            <w:tcW w:w="961" w:type="dxa"/>
            <w:vAlign w:val="center"/>
          </w:tcPr>
          <w:p w14:paraId="3EFE9726">
            <w:pPr>
              <w:spacing w:line="360" w:lineRule="auto"/>
              <w:jc w:val="center"/>
              <w:rPr>
                <w:rFonts w:hint="eastAsia" w:asciiTheme="majorEastAsia" w:hAnsiTheme="majorEastAsia" w:eastAsiaTheme="majorEastAsia" w:cstheme="majorEastAsia"/>
                <w:color w:val="auto"/>
                <w:szCs w:val="21"/>
                <w:highlight w:val="none"/>
              </w:rPr>
            </w:pPr>
          </w:p>
        </w:tc>
        <w:tc>
          <w:tcPr>
            <w:tcW w:w="741" w:type="dxa"/>
            <w:vAlign w:val="center"/>
          </w:tcPr>
          <w:p w14:paraId="47F97029">
            <w:pPr>
              <w:spacing w:line="360" w:lineRule="auto"/>
              <w:jc w:val="center"/>
              <w:rPr>
                <w:rFonts w:hint="eastAsia" w:asciiTheme="majorEastAsia" w:hAnsiTheme="majorEastAsia" w:eastAsiaTheme="majorEastAsia" w:cstheme="majorEastAsia"/>
                <w:color w:val="auto"/>
                <w:szCs w:val="21"/>
                <w:highlight w:val="none"/>
              </w:rPr>
            </w:pPr>
          </w:p>
        </w:tc>
        <w:tc>
          <w:tcPr>
            <w:tcW w:w="1334" w:type="dxa"/>
            <w:vAlign w:val="center"/>
          </w:tcPr>
          <w:p w14:paraId="4750B4A7">
            <w:pPr>
              <w:spacing w:line="360" w:lineRule="auto"/>
              <w:jc w:val="center"/>
              <w:rPr>
                <w:rFonts w:hint="eastAsia" w:asciiTheme="majorEastAsia" w:hAnsiTheme="majorEastAsia" w:eastAsiaTheme="majorEastAsia" w:cstheme="majorEastAsia"/>
                <w:color w:val="auto"/>
                <w:szCs w:val="21"/>
                <w:highlight w:val="none"/>
              </w:rPr>
            </w:pPr>
          </w:p>
        </w:tc>
        <w:tc>
          <w:tcPr>
            <w:tcW w:w="720" w:type="dxa"/>
            <w:vAlign w:val="center"/>
          </w:tcPr>
          <w:p w14:paraId="7E2F49C0">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772D37D8">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1CC4454B">
            <w:pPr>
              <w:spacing w:line="360" w:lineRule="auto"/>
              <w:jc w:val="center"/>
              <w:rPr>
                <w:rFonts w:hint="eastAsia" w:asciiTheme="majorEastAsia" w:hAnsiTheme="majorEastAsia" w:eastAsiaTheme="majorEastAsia" w:cstheme="majorEastAsia"/>
                <w:color w:val="auto"/>
                <w:szCs w:val="21"/>
                <w:highlight w:val="none"/>
              </w:rPr>
            </w:pPr>
          </w:p>
        </w:tc>
        <w:tc>
          <w:tcPr>
            <w:tcW w:w="2358" w:type="dxa"/>
            <w:vAlign w:val="center"/>
          </w:tcPr>
          <w:p w14:paraId="30A31069">
            <w:pPr>
              <w:spacing w:line="360" w:lineRule="auto"/>
              <w:jc w:val="center"/>
              <w:rPr>
                <w:rFonts w:hint="eastAsia" w:asciiTheme="majorEastAsia" w:hAnsiTheme="majorEastAsia" w:eastAsiaTheme="majorEastAsia" w:cstheme="majorEastAsia"/>
                <w:color w:val="auto"/>
                <w:szCs w:val="21"/>
                <w:highlight w:val="none"/>
              </w:rPr>
            </w:pPr>
          </w:p>
        </w:tc>
      </w:tr>
      <w:tr w14:paraId="0B9FD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6" w:type="dxa"/>
            <w:vAlign w:val="center"/>
          </w:tcPr>
          <w:p w14:paraId="32068EB3">
            <w:pPr>
              <w:spacing w:line="360" w:lineRule="auto"/>
              <w:jc w:val="center"/>
              <w:rPr>
                <w:rFonts w:hint="eastAsia" w:asciiTheme="majorEastAsia" w:hAnsiTheme="majorEastAsia" w:eastAsiaTheme="majorEastAsia" w:cstheme="majorEastAsia"/>
                <w:color w:val="auto"/>
                <w:szCs w:val="21"/>
                <w:highlight w:val="none"/>
              </w:rPr>
            </w:pPr>
          </w:p>
        </w:tc>
        <w:tc>
          <w:tcPr>
            <w:tcW w:w="961" w:type="dxa"/>
            <w:vAlign w:val="center"/>
          </w:tcPr>
          <w:p w14:paraId="409D3408">
            <w:pPr>
              <w:spacing w:line="360" w:lineRule="auto"/>
              <w:jc w:val="center"/>
              <w:rPr>
                <w:rFonts w:hint="eastAsia" w:asciiTheme="majorEastAsia" w:hAnsiTheme="majorEastAsia" w:eastAsiaTheme="majorEastAsia" w:cstheme="majorEastAsia"/>
                <w:color w:val="auto"/>
                <w:szCs w:val="21"/>
                <w:highlight w:val="none"/>
              </w:rPr>
            </w:pPr>
          </w:p>
        </w:tc>
        <w:tc>
          <w:tcPr>
            <w:tcW w:w="741" w:type="dxa"/>
            <w:vAlign w:val="center"/>
          </w:tcPr>
          <w:p w14:paraId="69E1E9ED">
            <w:pPr>
              <w:spacing w:line="360" w:lineRule="auto"/>
              <w:jc w:val="center"/>
              <w:rPr>
                <w:rFonts w:hint="eastAsia" w:asciiTheme="majorEastAsia" w:hAnsiTheme="majorEastAsia" w:eastAsiaTheme="majorEastAsia" w:cstheme="majorEastAsia"/>
                <w:color w:val="auto"/>
                <w:szCs w:val="21"/>
                <w:highlight w:val="none"/>
              </w:rPr>
            </w:pPr>
          </w:p>
        </w:tc>
        <w:tc>
          <w:tcPr>
            <w:tcW w:w="1334" w:type="dxa"/>
            <w:vAlign w:val="center"/>
          </w:tcPr>
          <w:p w14:paraId="1AD80CD4">
            <w:pPr>
              <w:spacing w:line="360" w:lineRule="auto"/>
              <w:jc w:val="center"/>
              <w:rPr>
                <w:rFonts w:hint="eastAsia" w:asciiTheme="majorEastAsia" w:hAnsiTheme="majorEastAsia" w:eastAsiaTheme="majorEastAsia" w:cstheme="majorEastAsia"/>
                <w:color w:val="auto"/>
                <w:szCs w:val="21"/>
                <w:highlight w:val="none"/>
              </w:rPr>
            </w:pPr>
          </w:p>
        </w:tc>
        <w:tc>
          <w:tcPr>
            <w:tcW w:w="720" w:type="dxa"/>
            <w:vAlign w:val="center"/>
          </w:tcPr>
          <w:p w14:paraId="6D70F1C9">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20F8A4E2">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7DDA2520">
            <w:pPr>
              <w:spacing w:line="360" w:lineRule="auto"/>
              <w:jc w:val="center"/>
              <w:rPr>
                <w:rFonts w:hint="eastAsia" w:asciiTheme="majorEastAsia" w:hAnsiTheme="majorEastAsia" w:eastAsiaTheme="majorEastAsia" w:cstheme="majorEastAsia"/>
                <w:color w:val="auto"/>
                <w:szCs w:val="21"/>
                <w:highlight w:val="none"/>
              </w:rPr>
            </w:pPr>
          </w:p>
        </w:tc>
        <w:tc>
          <w:tcPr>
            <w:tcW w:w="2358" w:type="dxa"/>
            <w:vAlign w:val="center"/>
          </w:tcPr>
          <w:p w14:paraId="34CF3137">
            <w:pPr>
              <w:spacing w:line="360" w:lineRule="auto"/>
              <w:jc w:val="center"/>
              <w:rPr>
                <w:rFonts w:hint="eastAsia" w:asciiTheme="majorEastAsia" w:hAnsiTheme="majorEastAsia" w:eastAsiaTheme="majorEastAsia" w:cstheme="majorEastAsia"/>
                <w:color w:val="auto"/>
                <w:szCs w:val="21"/>
                <w:highlight w:val="none"/>
              </w:rPr>
            </w:pPr>
          </w:p>
        </w:tc>
      </w:tr>
      <w:tr w14:paraId="2365B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6" w:type="dxa"/>
            <w:vAlign w:val="center"/>
          </w:tcPr>
          <w:p w14:paraId="0DFDB647">
            <w:pPr>
              <w:spacing w:line="360" w:lineRule="auto"/>
              <w:jc w:val="center"/>
              <w:rPr>
                <w:rFonts w:hint="eastAsia" w:asciiTheme="majorEastAsia" w:hAnsiTheme="majorEastAsia" w:eastAsiaTheme="majorEastAsia" w:cstheme="majorEastAsia"/>
                <w:color w:val="auto"/>
                <w:szCs w:val="21"/>
                <w:highlight w:val="none"/>
              </w:rPr>
            </w:pPr>
          </w:p>
        </w:tc>
        <w:tc>
          <w:tcPr>
            <w:tcW w:w="961" w:type="dxa"/>
            <w:vAlign w:val="center"/>
          </w:tcPr>
          <w:p w14:paraId="59467C50">
            <w:pPr>
              <w:spacing w:line="360" w:lineRule="auto"/>
              <w:jc w:val="center"/>
              <w:rPr>
                <w:rFonts w:hint="eastAsia" w:asciiTheme="majorEastAsia" w:hAnsiTheme="majorEastAsia" w:eastAsiaTheme="majorEastAsia" w:cstheme="majorEastAsia"/>
                <w:color w:val="auto"/>
                <w:szCs w:val="21"/>
                <w:highlight w:val="none"/>
              </w:rPr>
            </w:pPr>
          </w:p>
        </w:tc>
        <w:tc>
          <w:tcPr>
            <w:tcW w:w="741" w:type="dxa"/>
            <w:vAlign w:val="center"/>
          </w:tcPr>
          <w:p w14:paraId="001BDD96">
            <w:pPr>
              <w:spacing w:line="360" w:lineRule="auto"/>
              <w:jc w:val="center"/>
              <w:rPr>
                <w:rFonts w:hint="eastAsia" w:asciiTheme="majorEastAsia" w:hAnsiTheme="majorEastAsia" w:eastAsiaTheme="majorEastAsia" w:cstheme="majorEastAsia"/>
                <w:color w:val="auto"/>
                <w:szCs w:val="21"/>
                <w:highlight w:val="none"/>
              </w:rPr>
            </w:pPr>
          </w:p>
        </w:tc>
        <w:tc>
          <w:tcPr>
            <w:tcW w:w="1334" w:type="dxa"/>
            <w:vAlign w:val="center"/>
          </w:tcPr>
          <w:p w14:paraId="481072C6">
            <w:pPr>
              <w:spacing w:line="360" w:lineRule="auto"/>
              <w:jc w:val="center"/>
              <w:rPr>
                <w:rFonts w:hint="eastAsia" w:asciiTheme="majorEastAsia" w:hAnsiTheme="majorEastAsia" w:eastAsiaTheme="majorEastAsia" w:cstheme="majorEastAsia"/>
                <w:color w:val="auto"/>
                <w:szCs w:val="21"/>
                <w:highlight w:val="none"/>
              </w:rPr>
            </w:pPr>
          </w:p>
        </w:tc>
        <w:tc>
          <w:tcPr>
            <w:tcW w:w="720" w:type="dxa"/>
            <w:vAlign w:val="center"/>
          </w:tcPr>
          <w:p w14:paraId="3A0FE103">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0E37F21B">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134FAA43">
            <w:pPr>
              <w:spacing w:line="360" w:lineRule="auto"/>
              <w:jc w:val="center"/>
              <w:rPr>
                <w:rFonts w:hint="eastAsia" w:asciiTheme="majorEastAsia" w:hAnsiTheme="majorEastAsia" w:eastAsiaTheme="majorEastAsia" w:cstheme="majorEastAsia"/>
                <w:color w:val="auto"/>
                <w:szCs w:val="21"/>
                <w:highlight w:val="none"/>
              </w:rPr>
            </w:pPr>
          </w:p>
        </w:tc>
        <w:tc>
          <w:tcPr>
            <w:tcW w:w="2358" w:type="dxa"/>
            <w:vAlign w:val="center"/>
          </w:tcPr>
          <w:p w14:paraId="72438582">
            <w:pPr>
              <w:spacing w:line="360" w:lineRule="auto"/>
              <w:jc w:val="center"/>
              <w:rPr>
                <w:rFonts w:hint="eastAsia" w:asciiTheme="majorEastAsia" w:hAnsiTheme="majorEastAsia" w:eastAsiaTheme="majorEastAsia" w:cstheme="majorEastAsia"/>
                <w:color w:val="auto"/>
                <w:szCs w:val="21"/>
                <w:highlight w:val="none"/>
              </w:rPr>
            </w:pPr>
          </w:p>
        </w:tc>
      </w:tr>
      <w:tr w14:paraId="341C9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6" w:type="dxa"/>
            <w:vAlign w:val="center"/>
          </w:tcPr>
          <w:p w14:paraId="1107A4D1">
            <w:pPr>
              <w:spacing w:line="360" w:lineRule="auto"/>
              <w:jc w:val="center"/>
              <w:rPr>
                <w:rFonts w:hint="eastAsia" w:asciiTheme="majorEastAsia" w:hAnsiTheme="majorEastAsia" w:eastAsiaTheme="majorEastAsia" w:cstheme="majorEastAsia"/>
                <w:color w:val="auto"/>
                <w:szCs w:val="21"/>
                <w:highlight w:val="none"/>
              </w:rPr>
            </w:pPr>
          </w:p>
        </w:tc>
        <w:tc>
          <w:tcPr>
            <w:tcW w:w="961" w:type="dxa"/>
            <w:vAlign w:val="center"/>
          </w:tcPr>
          <w:p w14:paraId="6D4A91D5">
            <w:pPr>
              <w:spacing w:line="360" w:lineRule="auto"/>
              <w:jc w:val="center"/>
              <w:rPr>
                <w:rFonts w:hint="eastAsia" w:asciiTheme="majorEastAsia" w:hAnsiTheme="majorEastAsia" w:eastAsiaTheme="majorEastAsia" w:cstheme="majorEastAsia"/>
                <w:color w:val="auto"/>
                <w:szCs w:val="21"/>
                <w:highlight w:val="none"/>
              </w:rPr>
            </w:pPr>
          </w:p>
        </w:tc>
        <w:tc>
          <w:tcPr>
            <w:tcW w:w="741" w:type="dxa"/>
            <w:vAlign w:val="center"/>
          </w:tcPr>
          <w:p w14:paraId="60C98326">
            <w:pPr>
              <w:spacing w:line="360" w:lineRule="auto"/>
              <w:jc w:val="center"/>
              <w:rPr>
                <w:rFonts w:hint="eastAsia" w:asciiTheme="majorEastAsia" w:hAnsiTheme="majorEastAsia" w:eastAsiaTheme="majorEastAsia" w:cstheme="majorEastAsia"/>
                <w:color w:val="auto"/>
                <w:szCs w:val="21"/>
                <w:highlight w:val="none"/>
              </w:rPr>
            </w:pPr>
          </w:p>
        </w:tc>
        <w:tc>
          <w:tcPr>
            <w:tcW w:w="1334" w:type="dxa"/>
            <w:vAlign w:val="center"/>
          </w:tcPr>
          <w:p w14:paraId="2DB942DD">
            <w:pPr>
              <w:spacing w:line="360" w:lineRule="auto"/>
              <w:jc w:val="center"/>
              <w:rPr>
                <w:rFonts w:hint="eastAsia" w:asciiTheme="majorEastAsia" w:hAnsiTheme="majorEastAsia" w:eastAsiaTheme="majorEastAsia" w:cstheme="majorEastAsia"/>
                <w:color w:val="auto"/>
                <w:szCs w:val="21"/>
                <w:highlight w:val="none"/>
              </w:rPr>
            </w:pPr>
          </w:p>
        </w:tc>
        <w:tc>
          <w:tcPr>
            <w:tcW w:w="720" w:type="dxa"/>
            <w:vAlign w:val="center"/>
          </w:tcPr>
          <w:p w14:paraId="3746EE01">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37256E69">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32098803">
            <w:pPr>
              <w:spacing w:line="360" w:lineRule="auto"/>
              <w:jc w:val="center"/>
              <w:rPr>
                <w:rFonts w:hint="eastAsia" w:asciiTheme="majorEastAsia" w:hAnsiTheme="majorEastAsia" w:eastAsiaTheme="majorEastAsia" w:cstheme="majorEastAsia"/>
                <w:color w:val="auto"/>
                <w:szCs w:val="21"/>
                <w:highlight w:val="none"/>
              </w:rPr>
            </w:pPr>
          </w:p>
        </w:tc>
        <w:tc>
          <w:tcPr>
            <w:tcW w:w="2358" w:type="dxa"/>
            <w:vAlign w:val="center"/>
          </w:tcPr>
          <w:p w14:paraId="32B3BB13">
            <w:pPr>
              <w:spacing w:line="360" w:lineRule="auto"/>
              <w:jc w:val="center"/>
              <w:rPr>
                <w:rFonts w:hint="eastAsia" w:asciiTheme="majorEastAsia" w:hAnsiTheme="majorEastAsia" w:eastAsiaTheme="majorEastAsia" w:cstheme="majorEastAsia"/>
                <w:color w:val="auto"/>
                <w:szCs w:val="21"/>
                <w:highlight w:val="none"/>
              </w:rPr>
            </w:pPr>
          </w:p>
        </w:tc>
      </w:tr>
      <w:tr w14:paraId="5AD8E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6" w:type="dxa"/>
            <w:vAlign w:val="center"/>
          </w:tcPr>
          <w:p w14:paraId="47A13CC6">
            <w:pPr>
              <w:spacing w:line="360" w:lineRule="auto"/>
              <w:jc w:val="center"/>
              <w:rPr>
                <w:rFonts w:hint="eastAsia" w:asciiTheme="majorEastAsia" w:hAnsiTheme="majorEastAsia" w:eastAsiaTheme="majorEastAsia" w:cstheme="majorEastAsia"/>
                <w:color w:val="auto"/>
                <w:szCs w:val="21"/>
                <w:highlight w:val="none"/>
              </w:rPr>
            </w:pPr>
          </w:p>
        </w:tc>
        <w:tc>
          <w:tcPr>
            <w:tcW w:w="961" w:type="dxa"/>
            <w:vAlign w:val="center"/>
          </w:tcPr>
          <w:p w14:paraId="0FA564E1">
            <w:pPr>
              <w:spacing w:line="360" w:lineRule="auto"/>
              <w:jc w:val="center"/>
              <w:rPr>
                <w:rFonts w:hint="eastAsia" w:asciiTheme="majorEastAsia" w:hAnsiTheme="majorEastAsia" w:eastAsiaTheme="majorEastAsia" w:cstheme="majorEastAsia"/>
                <w:color w:val="auto"/>
                <w:szCs w:val="21"/>
                <w:highlight w:val="none"/>
              </w:rPr>
            </w:pPr>
          </w:p>
        </w:tc>
        <w:tc>
          <w:tcPr>
            <w:tcW w:w="741" w:type="dxa"/>
            <w:vAlign w:val="center"/>
          </w:tcPr>
          <w:p w14:paraId="571BC342">
            <w:pPr>
              <w:spacing w:line="360" w:lineRule="auto"/>
              <w:jc w:val="center"/>
              <w:rPr>
                <w:rFonts w:hint="eastAsia" w:asciiTheme="majorEastAsia" w:hAnsiTheme="majorEastAsia" w:eastAsiaTheme="majorEastAsia" w:cstheme="majorEastAsia"/>
                <w:color w:val="auto"/>
                <w:szCs w:val="21"/>
                <w:highlight w:val="none"/>
              </w:rPr>
            </w:pPr>
          </w:p>
        </w:tc>
        <w:tc>
          <w:tcPr>
            <w:tcW w:w="1334" w:type="dxa"/>
            <w:vAlign w:val="center"/>
          </w:tcPr>
          <w:p w14:paraId="5F1EABAB">
            <w:pPr>
              <w:spacing w:line="360" w:lineRule="auto"/>
              <w:jc w:val="center"/>
              <w:rPr>
                <w:rFonts w:hint="eastAsia" w:asciiTheme="majorEastAsia" w:hAnsiTheme="majorEastAsia" w:eastAsiaTheme="majorEastAsia" w:cstheme="majorEastAsia"/>
                <w:color w:val="auto"/>
                <w:szCs w:val="21"/>
                <w:highlight w:val="none"/>
              </w:rPr>
            </w:pPr>
          </w:p>
        </w:tc>
        <w:tc>
          <w:tcPr>
            <w:tcW w:w="720" w:type="dxa"/>
            <w:vAlign w:val="center"/>
          </w:tcPr>
          <w:p w14:paraId="36ACA027">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1788DAA0">
            <w:pPr>
              <w:spacing w:line="360" w:lineRule="auto"/>
              <w:jc w:val="center"/>
              <w:rPr>
                <w:rFonts w:hint="eastAsia" w:asciiTheme="majorEastAsia" w:hAnsiTheme="majorEastAsia" w:eastAsiaTheme="majorEastAsia" w:cstheme="majorEastAsia"/>
                <w:color w:val="auto"/>
                <w:szCs w:val="21"/>
                <w:highlight w:val="none"/>
              </w:rPr>
            </w:pPr>
          </w:p>
        </w:tc>
        <w:tc>
          <w:tcPr>
            <w:tcW w:w="1284" w:type="dxa"/>
            <w:vAlign w:val="center"/>
          </w:tcPr>
          <w:p w14:paraId="7837F986">
            <w:pPr>
              <w:spacing w:line="360" w:lineRule="auto"/>
              <w:jc w:val="center"/>
              <w:rPr>
                <w:rFonts w:hint="eastAsia" w:asciiTheme="majorEastAsia" w:hAnsiTheme="majorEastAsia" w:eastAsiaTheme="majorEastAsia" w:cstheme="majorEastAsia"/>
                <w:color w:val="auto"/>
                <w:szCs w:val="21"/>
                <w:highlight w:val="none"/>
              </w:rPr>
            </w:pPr>
          </w:p>
        </w:tc>
        <w:tc>
          <w:tcPr>
            <w:tcW w:w="2358" w:type="dxa"/>
            <w:vAlign w:val="center"/>
          </w:tcPr>
          <w:p w14:paraId="166C7BE0">
            <w:pPr>
              <w:spacing w:line="360" w:lineRule="auto"/>
              <w:jc w:val="center"/>
              <w:rPr>
                <w:rFonts w:hint="eastAsia" w:asciiTheme="majorEastAsia" w:hAnsiTheme="majorEastAsia" w:eastAsiaTheme="majorEastAsia" w:cstheme="majorEastAsia"/>
                <w:color w:val="auto"/>
                <w:szCs w:val="21"/>
                <w:highlight w:val="none"/>
              </w:rPr>
            </w:pPr>
          </w:p>
        </w:tc>
      </w:tr>
    </w:tbl>
    <w:p w14:paraId="4F074FC4">
      <w:pPr>
        <w:adjustRightInd w:val="0"/>
        <w:snapToGrid w:val="0"/>
        <w:spacing w:line="360" w:lineRule="auto"/>
        <w:ind w:firstLine="240" w:firstLineChars="100"/>
        <w:rPr>
          <w:rFonts w:hint="eastAsia" w:asciiTheme="majorEastAsia" w:hAnsiTheme="majorEastAsia" w:eastAsiaTheme="majorEastAsia" w:cstheme="majorEastAsia"/>
          <w:color w:val="auto"/>
          <w:sz w:val="24"/>
          <w:highlight w:val="none"/>
        </w:rPr>
      </w:pPr>
    </w:p>
    <w:p w14:paraId="668BE718">
      <w:pPr>
        <w:spacing w:line="360" w:lineRule="auto"/>
        <w:jc w:val="center"/>
        <w:rPr>
          <w:rFonts w:hint="eastAsia" w:asciiTheme="majorEastAsia" w:hAnsiTheme="majorEastAsia" w:eastAsiaTheme="majorEastAsia" w:cstheme="majorEastAsia"/>
          <w:b/>
          <w:color w:val="auto"/>
          <w:kern w:val="0"/>
          <w:sz w:val="28"/>
          <w:szCs w:val="28"/>
          <w:highlight w:val="none"/>
        </w:rPr>
      </w:pPr>
      <w:r>
        <w:rPr>
          <w:rFonts w:hint="eastAsia" w:asciiTheme="majorEastAsia" w:hAnsiTheme="majorEastAsia" w:eastAsiaTheme="majorEastAsia" w:cstheme="majorEastAsia"/>
          <w:b/>
          <w:color w:val="auto"/>
          <w:kern w:val="0"/>
          <w:sz w:val="28"/>
          <w:szCs w:val="28"/>
          <w:highlight w:val="none"/>
        </w:rPr>
        <w:t>并不仅限于此表，满足项目需要。</w:t>
      </w:r>
    </w:p>
    <w:p w14:paraId="202D7C35">
      <w:pPr>
        <w:adjustRightInd w:val="0"/>
        <w:snapToGrid w:val="0"/>
        <w:spacing w:line="360" w:lineRule="auto"/>
        <w:jc w:val="right"/>
        <w:rPr>
          <w:rFonts w:hint="eastAsia" w:asciiTheme="majorEastAsia" w:hAnsiTheme="majorEastAsia" w:eastAsiaTheme="majorEastAsia" w:cstheme="majorEastAsia"/>
          <w:color w:val="auto"/>
          <w:sz w:val="30"/>
          <w:szCs w:val="30"/>
          <w:highlight w:val="none"/>
        </w:rPr>
      </w:pPr>
    </w:p>
    <w:p w14:paraId="0C02B3BB">
      <w:pPr>
        <w:tabs>
          <w:tab w:val="left" w:pos="4860"/>
        </w:tabs>
        <w:spacing w:line="360" w:lineRule="auto"/>
        <w:ind w:right="1560" w:firstLine="624" w:firstLineChars="200"/>
        <w:jc w:val="center"/>
        <w:rPr>
          <w:rFonts w:hint="eastAsia" w:asciiTheme="majorEastAsia" w:hAnsiTheme="majorEastAsia" w:eastAsiaTheme="majorEastAsia" w:cstheme="majorEastAsia"/>
          <w:color w:val="auto"/>
          <w:spacing w:val="6"/>
          <w:sz w:val="30"/>
          <w:szCs w:val="30"/>
          <w:highlight w:val="none"/>
        </w:rPr>
      </w:pPr>
      <w:r>
        <w:rPr>
          <w:rFonts w:hint="eastAsia" w:asciiTheme="majorEastAsia" w:hAnsiTheme="majorEastAsia" w:eastAsiaTheme="majorEastAsia" w:cstheme="majorEastAsia"/>
          <w:color w:val="auto"/>
          <w:spacing w:val="6"/>
          <w:sz w:val="30"/>
          <w:szCs w:val="30"/>
          <w:highlight w:val="none"/>
        </w:rPr>
        <w:t xml:space="preserve">  单位名称（盖章）：</w:t>
      </w:r>
    </w:p>
    <w:p w14:paraId="5EB5C26E">
      <w:pPr>
        <w:adjustRightInd w:val="0"/>
        <w:snapToGrid w:val="0"/>
        <w:spacing w:line="360" w:lineRule="auto"/>
        <w:rPr>
          <w:rFonts w:hint="eastAsia" w:asciiTheme="majorEastAsia" w:hAnsiTheme="majorEastAsia" w:eastAsiaTheme="majorEastAsia" w:cstheme="majorEastAsia"/>
          <w:color w:val="auto"/>
          <w:sz w:val="28"/>
          <w:szCs w:val="28"/>
          <w:highlight w:val="none"/>
          <w:u w:val="single"/>
        </w:rPr>
      </w:pPr>
    </w:p>
    <w:p w14:paraId="7DF0EA52">
      <w:pPr>
        <w:spacing w:line="360" w:lineRule="auto"/>
        <w:ind w:firstLine="560" w:firstLineChars="200"/>
        <w:jc w:val="center"/>
        <w:rPr>
          <w:rFonts w:hint="eastAsia" w:asciiTheme="majorEastAsia" w:hAnsiTheme="majorEastAsia" w:eastAsiaTheme="majorEastAsia" w:cstheme="majorEastAsia"/>
          <w:bCs/>
          <w:color w:val="auto"/>
          <w:sz w:val="32"/>
          <w:szCs w:val="32"/>
          <w:highlight w:val="none"/>
        </w:rPr>
      </w:pPr>
      <w:r>
        <w:rPr>
          <w:rFonts w:hint="eastAsia" w:asciiTheme="majorEastAsia" w:hAnsiTheme="majorEastAsia" w:eastAsiaTheme="majorEastAsia" w:cstheme="majorEastAsia"/>
          <w:color w:val="auto"/>
          <w:sz w:val="28"/>
          <w:szCs w:val="28"/>
          <w:highlight w:val="none"/>
        </w:rPr>
        <w:t xml:space="preserve">                </w:t>
      </w: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年</w:t>
      </w: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 xml:space="preserve"> 月 </w:t>
      </w: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 xml:space="preserve"> 日</w:t>
      </w:r>
    </w:p>
    <w:p w14:paraId="1E5A4F5E">
      <w:pPr>
        <w:pStyle w:val="23"/>
        <w:spacing w:beforeAutospacing="0" w:afterAutospacing="0" w:line="360" w:lineRule="auto"/>
        <w:jc w:val="center"/>
        <w:rPr>
          <w:rFonts w:hint="eastAsia" w:asciiTheme="majorEastAsia" w:hAnsiTheme="majorEastAsia" w:eastAsiaTheme="majorEastAsia" w:cstheme="majorEastAsia"/>
          <w:b/>
          <w:color w:val="auto"/>
          <w:sz w:val="32"/>
          <w:szCs w:val="32"/>
          <w:highlight w:val="none"/>
        </w:rPr>
      </w:pPr>
    </w:p>
    <w:p w14:paraId="2C4BF256">
      <w:pPr>
        <w:spacing w:line="360" w:lineRule="auto"/>
        <w:jc w:val="center"/>
        <w:rPr>
          <w:rFonts w:hint="eastAsia" w:asciiTheme="majorEastAsia" w:hAnsiTheme="majorEastAsia" w:eastAsiaTheme="majorEastAsia" w:cstheme="majorEastAsia"/>
          <w:b/>
          <w:bCs w:val="0"/>
          <w:color w:val="auto"/>
          <w:sz w:val="36"/>
          <w:szCs w:val="36"/>
          <w:highlight w:val="none"/>
          <w:lang w:eastAsia="zh-CN"/>
        </w:rPr>
      </w:pPr>
      <w:r>
        <w:rPr>
          <w:rFonts w:hint="eastAsia" w:asciiTheme="majorEastAsia" w:hAnsiTheme="majorEastAsia" w:eastAsiaTheme="majorEastAsia" w:cstheme="majorEastAsia"/>
          <w:b/>
          <w:bCs w:val="0"/>
          <w:color w:val="auto"/>
          <w:sz w:val="36"/>
          <w:szCs w:val="36"/>
          <w:highlight w:val="none"/>
        </w:rPr>
        <w:t>十</w:t>
      </w:r>
      <w:r>
        <w:rPr>
          <w:rFonts w:hint="eastAsia" w:asciiTheme="majorEastAsia" w:hAnsiTheme="majorEastAsia" w:eastAsiaTheme="majorEastAsia" w:cstheme="majorEastAsia"/>
          <w:b/>
          <w:bCs w:val="0"/>
          <w:color w:val="auto"/>
          <w:sz w:val="36"/>
          <w:szCs w:val="36"/>
          <w:highlight w:val="none"/>
          <w:lang w:eastAsia="zh-CN"/>
        </w:rPr>
        <w:t>、</w:t>
      </w:r>
      <w:r>
        <w:rPr>
          <w:rFonts w:hint="eastAsia" w:asciiTheme="majorEastAsia" w:hAnsiTheme="majorEastAsia" w:eastAsiaTheme="majorEastAsia" w:cstheme="majorEastAsia"/>
          <w:b/>
          <w:bCs w:val="0"/>
          <w:color w:val="auto"/>
          <w:sz w:val="36"/>
          <w:szCs w:val="36"/>
          <w:highlight w:val="none"/>
        </w:rPr>
        <w:t>技术要求响应及偏离表</w:t>
      </w:r>
      <w:r>
        <w:rPr>
          <w:rFonts w:hint="eastAsia" w:asciiTheme="majorEastAsia" w:hAnsiTheme="majorEastAsia" w:eastAsiaTheme="majorEastAsia" w:cstheme="majorEastAsia"/>
          <w:b/>
          <w:bCs w:val="0"/>
          <w:color w:val="auto"/>
          <w:sz w:val="36"/>
          <w:szCs w:val="36"/>
          <w:highlight w:val="none"/>
          <w:lang w:eastAsia="zh-CN"/>
        </w:rPr>
        <w:t>（</w:t>
      </w:r>
      <w:r>
        <w:rPr>
          <w:rFonts w:hint="eastAsia" w:asciiTheme="majorEastAsia" w:hAnsiTheme="majorEastAsia" w:eastAsiaTheme="majorEastAsia" w:cstheme="majorEastAsia"/>
          <w:b/>
          <w:bCs w:val="0"/>
          <w:color w:val="auto"/>
          <w:sz w:val="36"/>
          <w:szCs w:val="36"/>
          <w:highlight w:val="none"/>
          <w:lang w:val="en-US" w:eastAsia="zh-CN"/>
        </w:rPr>
        <w:t>如有</w:t>
      </w:r>
      <w:r>
        <w:rPr>
          <w:rFonts w:hint="eastAsia" w:asciiTheme="majorEastAsia" w:hAnsiTheme="majorEastAsia" w:eastAsiaTheme="majorEastAsia" w:cstheme="majorEastAsia"/>
          <w:b/>
          <w:bCs w:val="0"/>
          <w:color w:val="auto"/>
          <w:sz w:val="36"/>
          <w:szCs w:val="36"/>
          <w:highlight w:val="none"/>
          <w:lang w:eastAsia="zh-CN"/>
        </w:rPr>
        <w:t>）</w:t>
      </w:r>
    </w:p>
    <w:p w14:paraId="789C9086">
      <w:pPr>
        <w:spacing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p>
    <w:tbl>
      <w:tblPr>
        <w:tblStyle w:val="2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607"/>
        <w:gridCol w:w="1553"/>
        <w:gridCol w:w="1173"/>
      </w:tblGrid>
      <w:tr w14:paraId="6CB11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5" w:hRule="atLeast"/>
        </w:trPr>
        <w:tc>
          <w:tcPr>
            <w:tcW w:w="984" w:type="dxa"/>
            <w:noWrap/>
            <w:vAlign w:val="center"/>
          </w:tcPr>
          <w:p w14:paraId="655C79D9">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2852" w:type="dxa"/>
            <w:noWrap/>
            <w:vAlign w:val="center"/>
          </w:tcPr>
          <w:p w14:paraId="27BB59AB">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招标要求</w:t>
            </w:r>
          </w:p>
        </w:tc>
        <w:tc>
          <w:tcPr>
            <w:tcW w:w="2607" w:type="dxa"/>
            <w:noWrap/>
            <w:vAlign w:val="center"/>
          </w:tcPr>
          <w:p w14:paraId="596BB4CF">
            <w:pPr>
              <w:spacing w:line="360" w:lineRule="auto"/>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投标响应</w:t>
            </w:r>
            <w:r>
              <w:rPr>
                <w:rFonts w:hint="eastAsia" w:asciiTheme="majorEastAsia" w:hAnsiTheme="majorEastAsia" w:eastAsiaTheme="majorEastAsia" w:cstheme="majorEastAsia"/>
                <w:color w:val="auto"/>
                <w:sz w:val="24"/>
                <w:szCs w:val="24"/>
                <w:highlight w:val="none"/>
                <w:lang w:val="en-US" w:eastAsia="zh-CN"/>
              </w:rPr>
              <w:t>情况</w:t>
            </w:r>
          </w:p>
        </w:tc>
        <w:tc>
          <w:tcPr>
            <w:tcW w:w="1553" w:type="dxa"/>
            <w:noWrap/>
            <w:vAlign w:val="center"/>
          </w:tcPr>
          <w:p w14:paraId="1404522D">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超出、符合或偏离</w:t>
            </w:r>
          </w:p>
        </w:tc>
        <w:tc>
          <w:tcPr>
            <w:tcW w:w="1173" w:type="dxa"/>
            <w:noWrap/>
            <w:vAlign w:val="center"/>
          </w:tcPr>
          <w:p w14:paraId="0BE80E3C">
            <w:pPr>
              <w:pStyle w:val="23"/>
              <w:spacing w:beforeAutospacing="0" w:afterAutospacing="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证明</w:t>
            </w:r>
          </w:p>
          <w:p w14:paraId="73D5E408">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材料</w:t>
            </w:r>
          </w:p>
        </w:tc>
      </w:tr>
      <w:tr w14:paraId="68525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6217A3C1">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3FF2008D">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420BE81B">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5DD42734">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2EF0D61A">
            <w:pPr>
              <w:spacing w:line="360" w:lineRule="auto"/>
              <w:jc w:val="center"/>
              <w:rPr>
                <w:rFonts w:hint="eastAsia" w:asciiTheme="majorEastAsia" w:hAnsiTheme="majorEastAsia" w:eastAsiaTheme="majorEastAsia" w:cstheme="majorEastAsia"/>
                <w:color w:val="auto"/>
                <w:highlight w:val="none"/>
              </w:rPr>
            </w:pPr>
          </w:p>
        </w:tc>
      </w:tr>
      <w:tr w14:paraId="4080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3B2ADE68">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76A3037C">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66C9A5BA">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60E7D02C">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382A0EA3">
            <w:pPr>
              <w:spacing w:line="360" w:lineRule="auto"/>
              <w:jc w:val="center"/>
              <w:rPr>
                <w:rFonts w:hint="eastAsia" w:asciiTheme="majorEastAsia" w:hAnsiTheme="majorEastAsia" w:eastAsiaTheme="majorEastAsia" w:cstheme="majorEastAsia"/>
                <w:color w:val="auto"/>
                <w:highlight w:val="none"/>
              </w:rPr>
            </w:pPr>
          </w:p>
        </w:tc>
      </w:tr>
      <w:tr w14:paraId="43EA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169E7DD9">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594EAF65">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3AAB8D0F">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624F4A58">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16E40044">
            <w:pPr>
              <w:spacing w:line="360" w:lineRule="auto"/>
              <w:jc w:val="center"/>
              <w:rPr>
                <w:rFonts w:hint="eastAsia" w:asciiTheme="majorEastAsia" w:hAnsiTheme="majorEastAsia" w:eastAsiaTheme="majorEastAsia" w:cstheme="majorEastAsia"/>
                <w:color w:val="auto"/>
                <w:highlight w:val="none"/>
              </w:rPr>
            </w:pPr>
          </w:p>
        </w:tc>
      </w:tr>
      <w:tr w14:paraId="2A9E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2768718E">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6CD915FF">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5F2DC76E">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7A48A119">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4F5929A0">
            <w:pPr>
              <w:spacing w:line="360" w:lineRule="auto"/>
              <w:jc w:val="center"/>
              <w:rPr>
                <w:rFonts w:hint="eastAsia" w:asciiTheme="majorEastAsia" w:hAnsiTheme="majorEastAsia" w:eastAsiaTheme="majorEastAsia" w:cstheme="majorEastAsia"/>
                <w:color w:val="auto"/>
                <w:highlight w:val="none"/>
              </w:rPr>
            </w:pPr>
          </w:p>
        </w:tc>
      </w:tr>
      <w:tr w14:paraId="2F46F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29668828">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5D824251">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69370AD2">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7FA6FB9E">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440FDABA">
            <w:pPr>
              <w:spacing w:line="360" w:lineRule="auto"/>
              <w:jc w:val="center"/>
              <w:rPr>
                <w:rFonts w:hint="eastAsia" w:asciiTheme="majorEastAsia" w:hAnsiTheme="majorEastAsia" w:eastAsiaTheme="majorEastAsia" w:cstheme="majorEastAsia"/>
                <w:color w:val="auto"/>
                <w:highlight w:val="none"/>
              </w:rPr>
            </w:pPr>
          </w:p>
        </w:tc>
      </w:tr>
      <w:tr w14:paraId="6CF26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5031DC43">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23DBD952">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442CF69B">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0BFD6DA8">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1464753D">
            <w:pPr>
              <w:spacing w:line="360" w:lineRule="auto"/>
              <w:jc w:val="center"/>
              <w:rPr>
                <w:rFonts w:hint="eastAsia" w:asciiTheme="majorEastAsia" w:hAnsiTheme="majorEastAsia" w:eastAsiaTheme="majorEastAsia" w:cstheme="majorEastAsia"/>
                <w:color w:val="auto"/>
                <w:highlight w:val="none"/>
              </w:rPr>
            </w:pPr>
          </w:p>
        </w:tc>
      </w:tr>
      <w:tr w14:paraId="642F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2ABD5A2E">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3D394F95">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5AAEDBCC">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013304B1">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1D47BD24">
            <w:pPr>
              <w:spacing w:line="360" w:lineRule="auto"/>
              <w:jc w:val="center"/>
              <w:rPr>
                <w:rFonts w:hint="eastAsia" w:asciiTheme="majorEastAsia" w:hAnsiTheme="majorEastAsia" w:eastAsiaTheme="majorEastAsia" w:cstheme="majorEastAsia"/>
                <w:color w:val="auto"/>
                <w:highlight w:val="none"/>
              </w:rPr>
            </w:pPr>
          </w:p>
        </w:tc>
      </w:tr>
      <w:tr w14:paraId="23800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1743C036">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285B5D8F">
            <w:pPr>
              <w:spacing w:line="360" w:lineRule="auto"/>
              <w:jc w:val="center"/>
              <w:rPr>
                <w:rFonts w:hint="eastAsia" w:asciiTheme="majorEastAsia" w:hAnsiTheme="majorEastAsia" w:eastAsiaTheme="majorEastAsia" w:cstheme="majorEastAsia"/>
                <w:color w:val="auto"/>
                <w:highlight w:val="none"/>
              </w:rPr>
            </w:pPr>
          </w:p>
          <w:p w14:paraId="1D318E2B">
            <w:pPr>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tc>
        <w:tc>
          <w:tcPr>
            <w:tcW w:w="2607" w:type="dxa"/>
            <w:noWrap/>
          </w:tcPr>
          <w:p w14:paraId="1127C417">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3D9A703C">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68D08B61">
            <w:pPr>
              <w:spacing w:line="360" w:lineRule="auto"/>
              <w:jc w:val="center"/>
              <w:rPr>
                <w:rFonts w:hint="eastAsia" w:asciiTheme="majorEastAsia" w:hAnsiTheme="majorEastAsia" w:eastAsiaTheme="majorEastAsia" w:cstheme="majorEastAsia"/>
                <w:color w:val="auto"/>
                <w:highlight w:val="none"/>
              </w:rPr>
            </w:pPr>
          </w:p>
        </w:tc>
      </w:tr>
    </w:tbl>
    <w:p w14:paraId="26CB4973">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注： 行数不够，可自行添加。</w:t>
      </w:r>
    </w:p>
    <w:p w14:paraId="0D11212A">
      <w:pPr>
        <w:spacing w:line="360" w:lineRule="auto"/>
        <w:rPr>
          <w:rFonts w:hint="eastAsia" w:asciiTheme="majorEastAsia" w:hAnsiTheme="majorEastAsia" w:eastAsiaTheme="majorEastAsia" w:cstheme="majorEastAsia"/>
          <w:color w:val="auto"/>
          <w:sz w:val="24"/>
          <w:szCs w:val="24"/>
          <w:highlight w:val="none"/>
        </w:rPr>
      </w:pPr>
    </w:p>
    <w:p w14:paraId="12AE65CC">
      <w:pPr>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我方承诺，除上表中的偏离外，完全响应招标文件的其他条款。</w:t>
      </w:r>
    </w:p>
    <w:p w14:paraId="300F9988">
      <w:pPr>
        <w:pStyle w:val="23"/>
        <w:spacing w:beforeAutospacing="0" w:afterAutospacing="0" w:line="360" w:lineRule="auto"/>
        <w:jc w:val="both"/>
        <w:rPr>
          <w:rFonts w:hint="eastAsia" w:asciiTheme="majorEastAsia" w:hAnsiTheme="majorEastAsia" w:eastAsiaTheme="majorEastAsia" w:cstheme="majorEastAsia"/>
          <w:color w:val="auto"/>
          <w:highlight w:val="none"/>
        </w:rPr>
      </w:pPr>
    </w:p>
    <w:p w14:paraId="4AB21D30">
      <w:pPr>
        <w:spacing w:line="360" w:lineRule="auto"/>
        <w:rPr>
          <w:rFonts w:hint="eastAsia" w:asciiTheme="majorEastAsia" w:hAnsiTheme="majorEastAsia" w:eastAsiaTheme="majorEastAsia" w:cstheme="majorEastAsia"/>
          <w:color w:val="auto"/>
          <w:highlight w:val="none"/>
        </w:rPr>
      </w:pPr>
    </w:p>
    <w:p w14:paraId="182F21FB">
      <w:pPr>
        <w:tabs>
          <w:tab w:val="left" w:pos="4860"/>
        </w:tabs>
        <w:spacing w:line="360" w:lineRule="auto"/>
        <w:ind w:right="1560" w:firstLine="504" w:firstLineChars="200"/>
        <w:jc w:val="center"/>
        <w:rPr>
          <w:rFonts w:hint="eastAsia" w:asciiTheme="majorEastAsia" w:hAnsiTheme="majorEastAsia" w:eastAsiaTheme="majorEastAsia" w:cstheme="majorEastAsia"/>
          <w:color w:val="auto"/>
          <w:spacing w:val="6"/>
          <w:sz w:val="24"/>
          <w:szCs w:val="24"/>
          <w:highlight w:val="none"/>
        </w:rPr>
      </w:pPr>
      <w:r>
        <w:rPr>
          <w:rFonts w:hint="eastAsia" w:asciiTheme="majorEastAsia" w:hAnsiTheme="majorEastAsia" w:eastAsiaTheme="majorEastAsia" w:cstheme="majorEastAsia"/>
          <w:color w:val="auto"/>
          <w:spacing w:val="6"/>
          <w:sz w:val="24"/>
          <w:szCs w:val="24"/>
          <w:highlight w:val="none"/>
          <w:lang w:val="en-US" w:eastAsia="zh-CN"/>
        </w:rPr>
        <w:t xml:space="preserve">                         </w:t>
      </w:r>
      <w:r>
        <w:rPr>
          <w:rFonts w:hint="eastAsia" w:asciiTheme="majorEastAsia" w:hAnsiTheme="majorEastAsia" w:eastAsiaTheme="majorEastAsia" w:cstheme="majorEastAsia"/>
          <w:color w:val="auto"/>
          <w:spacing w:val="6"/>
          <w:sz w:val="24"/>
          <w:szCs w:val="24"/>
          <w:highlight w:val="none"/>
        </w:rPr>
        <w:t>单位名称（</w:t>
      </w:r>
      <w:r>
        <w:rPr>
          <w:rFonts w:hint="eastAsia" w:asciiTheme="majorEastAsia" w:hAnsiTheme="majorEastAsia" w:eastAsiaTheme="majorEastAsia" w:cstheme="majorEastAsia"/>
          <w:color w:val="auto"/>
          <w:sz w:val="24"/>
          <w:szCs w:val="24"/>
          <w:highlight w:val="none"/>
        </w:rPr>
        <w:t>加盖CA电子公章</w:t>
      </w:r>
      <w:r>
        <w:rPr>
          <w:rFonts w:hint="eastAsia" w:asciiTheme="majorEastAsia" w:hAnsiTheme="majorEastAsia" w:eastAsiaTheme="majorEastAsia" w:cstheme="majorEastAsia"/>
          <w:color w:val="auto"/>
          <w:spacing w:val="6"/>
          <w:sz w:val="24"/>
          <w:szCs w:val="24"/>
          <w:highlight w:val="none"/>
        </w:rPr>
        <w:t>）：</w:t>
      </w:r>
    </w:p>
    <w:p w14:paraId="633758E6">
      <w:pPr>
        <w:adjustRightInd w:val="0"/>
        <w:snapToGrid w:val="0"/>
        <w:spacing w:line="360" w:lineRule="auto"/>
        <w:rPr>
          <w:rFonts w:hint="eastAsia" w:asciiTheme="majorEastAsia" w:hAnsiTheme="majorEastAsia" w:eastAsiaTheme="majorEastAsia" w:cstheme="majorEastAsia"/>
          <w:color w:val="auto"/>
          <w:sz w:val="24"/>
          <w:szCs w:val="24"/>
          <w:highlight w:val="none"/>
          <w:u w:val="single"/>
        </w:rPr>
      </w:pPr>
    </w:p>
    <w:p w14:paraId="5D5A4AAB">
      <w:pPr>
        <w:spacing w:line="360" w:lineRule="auto"/>
        <w:ind w:firstLine="480" w:firstLineChars="200"/>
        <w:jc w:val="center"/>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月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日</w:t>
      </w:r>
    </w:p>
    <w:p w14:paraId="5A6FA26B">
      <w:pPr>
        <w:spacing w:line="360" w:lineRule="auto"/>
        <w:jc w:val="center"/>
        <w:rPr>
          <w:rFonts w:hint="eastAsia" w:asciiTheme="majorEastAsia" w:hAnsiTheme="majorEastAsia" w:eastAsiaTheme="majorEastAsia" w:cstheme="majorEastAsia"/>
          <w:b/>
          <w:color w:val="auto"/>
          <w:sz w:val="24"/>
          <w:szCs w:val="24"/>
          <w:highlight w:val="none"/>
        </w:rPr>
      </w:pPr>
    </w:p>
    <w:p w14:paraId="78E9D5E7">
      <w:pPr>
        <w:spacing w:line="360" w:lineRule="auto"/>
        <w:jc w:val="center"/>
        <w:rPr>
          <w:rFonts w:hint="eastAsia" w:asciiTheme="majorEastAsia" w:hAnsiTheme="majorEastAsia" w:eastAsiaTheme="majorEastAsia" w:cstheme="majorEastAsia"/>
          <w:b/>
          <w:bCs w:val="0"/>
          <w:color w:val="auto"/>
          <w:sz w:val="36"/>
          <w:szCs w:val="36"/>
          <w:highlight w:val="none"/>
        </w:rPr>
      </w:pPr>
    </w:p>
    <w:p w14:paraId="30A6CE25">
      <w:pPr>
        <w:spacing w:line="360" w:lineRule="auto"/>
        <w:jc w:val="center"/>
        <w:rPr>
          <w:rFonts w:hint="eastAsia" w:asciiTheme="majorEastAsia" w:hAnsiTheme="majorEastAsia" w:eastAsiaTheme="majorEastAsia" w:cstheme="majorEastAsia"/>
          <w:b/>
          <w:bCs w:val="0"/>
          <w:color w:val="auto"/>
          <w:sz w:val="36"/>
          <w:szCs w:val="36"/>
          <w:highlight w:val="none"/>
        </w:rPr>
      </w:pPr>
      <w:r>
        <w:rPr>
          <w:rFonts w:hint="eastAsia" w:asciiTheme="majorEastAsia" w:hAnsiTheme="majorEastAsia" w:eastAsiaTheme="majorEastAsia" w:cstheme="majorEastAsia"/>
          <w:b/>
          <w:bCs w:val="0"/>
          <w:color w:val="auto"/>
          <w:sz w:val="36"/>
          <w:szCs w:val="36"/>
          <w:highlight w:val="none"/>
        </w:rPr>
        <w:t>十</w:t>
      </w:r>
      <w:r>
        <w:rPr>
          <w:rFonts w:hint="eastAsia" w:asciiTheme="majorEastAsia" w:hAnsiTheme="majorEastAsia" w:eastAsiaTheme="majorEastAsia" w:cstheme="majorEastAsia"/>
          <w:b/>
          <w:bCs w:val="0"/>
          <w:color w:val="auto"/>
          <w:sz w:val="36"/>
          <w:szCs w:val="36"/>
          <w:highlight w:val="none"/>
          <w:lang w:val="en-US" w:eastAsia="zh-CN"/>
        </w:rPr>
        <w:t>一、</w:t>
      </w:r>
      <w:r>
        <w:rPr>
          <w:rFonts w:hint="eastAsia" w:asciiTheme="majorEastAsia" w:hAnsiTheme="majorEastAsia" w:eastAsiaTheme="majorEastAsia" w:cstheme="majorEastAsia"/>
          <w:b/>
          <w:color w:val="auto"/>
          <w:sz w:val="36"/>
          <w:szCs w:val="36"/>
          <w:highlight w:val="none"/>
        </w:rPr>
        <w:t>商务</w:t>
      </w:r>
      <w:r>
        <w:rPr>
          <w:rFonts w:hint="eastAsia" w:asciiTheme="majorEastAsia" w:hAnsiTheme="majorEastAsia" w:eastAsiaTheme="majorEastAsia" w:cstheme="majorEastAsia"/>
          <w:b/>
          <w:bCs w:val="0"/>
          <w:color w:val="auto"/>
          <w:sz w:val="36"/>
          <w:szCs w:val="36"/>
          <w:highlight w:val="none"/>
        </w:rPr>
        <w:t>要求响应及偏离表</w:t>
      </w:r>
    </w:p>
    <w:p w14:paraId="0B3B47CF">
      <w:pPr>
        <w:spacing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p>
    <w:tbl>
      <w:tblPr>
        <w:tblStyle w:val="2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607"/>
        <w:gridCol w:w="1553"/>
        <w:gridCol w:w="1173"/>
      </w:tblGrid>
      <w:tr w14:paraId="2262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5" w:hRule="atLeast"/>
        </w:trPr>
        <w:tc>
          <w:tcPr>
            <w:tcW w:w="984" w:type="dxa"/>
            <w:noWrap/>
            <w:vAlign w:val="center"/>
          </w:tcPr>
          <w:p w14:paraId="6C0A6B1B">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2852" w:type="dxa"/>
            <w:noWrap/>
            <w:vAlign w:val="center"/>
          </w:tcPr>
          <w:p w14:paraId="59907501">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招标要求</w:t>
            </w:r>
          </w:p>
        </w:tc>
        <w:tc>
          <w:tcPr>
            <w:tcW w:w="2607" w:type="dxa"/>
            <w:noWrap/>
            <w:vAlign w:val="center"/>
          </w:tcPr>
          <w:p w14:paraId="6503A401">
            <w:pPr>
              <w:spacing w:line="360" w:lineRule="auto"/>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投标响应</w:t>
            </w:r>
            <w:r>
              <w:rPr>
                <w:rFonts w:hint="eastAsia" w:asciiTheme="majorEastAsia" w:hAnsiTheme="majorEastAsia" w:eastAsiaTheme="majorEastAsia" w:cstheme="majorEastAsia"/>
                <w:color w:val="auto"/>
                <w:sz w:val="24"/>
                <w:szCs w:val="24"/>
                <w:highlight w:val="none"/>
                <w:lang w:val="en-US" w:eastAsia="zh-CN"/>
              </w:rPr>
              <w:t>情况</w:t>
            </w:r>
          </w:p>
        </w:tc>
        <w:tc>
          <w:tcPr>
            <w:tcW w:w="1553" w:type="dxa"/>
            <w:noWrap/>
            <w:vAlign w:val="center"/>
          </w:tcPr>
          <w:p w14:paraId="33075D0A">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超出、符合或偏离</w:t>
            </w:r>
          </w:p>
        </w:tc>
        <w:tc>
          <w:tcPr>
            <w:tcW w:w="1173" w:type="dxa"/>
            <w:noWrap/>
            <w:vAlign w:val="center"/>
          </w:tcPr>
          <w:p w14:paraId="41C80913">
            <w:pPr>
              <w:pStyle w:val="23"/>
              <w:spacing w:beforeAutospacing="0" w:afterAutospacing="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证明</w:t>
            </w:r>
          </w:p>
          <w:p w14:paraId="76D35EF2">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材料</w:t>
            </w:r>
          </w:p>
        </w:tc>
      </w:tr>
      <w:tr w14:paraId="088B0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15413AEE">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0970447E">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40FD68B3">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56114269">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1560AE82">
            <w:pPr>
              <w:spacing w:line="360" w:lineRule="auto"/>
              <w:jc w:val="center"/>
              <w:rPr>
                <w:rFonts w:hint="eastAsia" w:asciiTheme="majorEastAsia" w:hAnsiTheme="majorEastAsia" w:eastAsiaTheme="majorEastAsia" w:cstheme="majorEastAsia"/>
                <w:color w:val="auto"/>
                <w:highlight w:val="none"/>
              </w:rPr>
            </w:pPr>
          </w:p>
        </w:tc>
      </w:tr>
      <w:tr w14:paraId="7ED11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29813F40">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5E3590A0">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2FFA65ED">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74FFED3E">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59EAE1A5">
            <w:pPr>
              <w:spacing w:line="360" w:lineRule="auto"/>
              <w:jc w:val="center"/>
              <w:rPr>
                <w:rFonts w:hint="eastAsia" w:asciiTheme="majorEastAsia" w:hAnsiTheme="majorEastAsia" w:eastAsiaTheme="majorEastAsia" w:cstheme="majorEastAsia"/>
                <w:color w:val="auto"/>
                <w:highlight w:val="none"/>
              </w:rPr>
            </w:pPr>
          </w:p>
        </w:tc>
      </w:tr>
      <w:tr w14:paraId="41F7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trPr>
        <w:tc>
          <w:tcPr>
            <w:tcW w:w="984" w:type="dxa"/>
            <w:noWrap/>
          </w:tcPr>
          <w:p w14:paraId="30E7D042">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3735C299">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7D07BCD5">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3C95C6A1">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751F9E88">
            <w:pPr>
              <w:spacing w:line="360" w:lineRule="auto"/>
              <w:jc w:val="center"/>
              <w:rPr>
                <w:rFonts w:hint="eastAsia" w:asciiTheme="majorEastAsia" w:hAnsiTheme="majorEastAsia" w:eastAsiaTheme="majorEastAsia" w:cstheme="majorEastAsia"/>
                <w:color w:val="auto"/>
                <w:highlight w:val="none"/>
              </w:rPr>
            </w:pPr>
          </w:p>
        </w:tc>
      </w:tr>
      <w:tr w14:paraId="16B99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trPr>
        <w:tc>
          <w:tcPr>
            <w:tcW w:w="984" w:type="dxa"/>
            <w:noWrap/>
          </w:tcPr>
          <w:p w14:paraId="32AB71F4">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19E92BEC">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1E520343">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5A5A5425">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685C2BEF">
            <w:pPr>
              <w:spacing w:line="360" w:lineRule="auto"/>
              <w:jc w:val="center"/>
              <w:rPr>
                <w:rFonts w:hint="eastAsia" w:asciiTheme="majorEastAsia" w:hAnsiTheme="majorEastAsia" w:eastAsiaTheme="majorEastAsia" w:cstheme="majorEastAsia"/>
                <w:color w:val="auto"/>
                <w:highlight w:val="none"/>
              </w:rPr>
            </w:pPr>
          </w:p>
        </w:tc>
      </w:tr>
      <w:tr w14:paraId="520D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60AA18F1">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4B4AA094">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64D08D20">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3973DAC7">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772E452C">
            <w:pPr>
              <w:spacing w:line="360" w:lineRule="auto"/>
              <w:jc w:val="center"/>
              <w:rPr>
                <w:rFonts w:hint="eastAsia" w:asciiTheme="majorEastAsia" w:hAnsiTheme="majorEastAsia" w:eastAsiaTheme="majorEastAsia" w:cstheme="majorEastAsia"/>
                <w:color w:val="auto"/>
                <w:highlight w:val="none"/>
              </w:rPr>
            </w:pPr>
          </w:p>
        </w:tc>
      </w:tr>
      <w:tr w14:paraId="72B6E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6EDD7BC7">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35E45DBC">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7F96EE30">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3D0A51B1">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5694B2E4">
            <w:pPr>
              <w:spacing w:line="360" w:lineRule="auto"/>
              <w:jc w:val="center"/>
              <w:rPr>
                <w:rFonts w:hint="eastAsia" w:asciiTheme="majorEastAsia" w:hAnsiTheme="majorEastAsia" w:eastAsiaTheme="majorEastAsia" w:cstheme="majorEastAsia"/>
                <w:color w:val="auto"/>
                <w:highlight w:val="none"/>
              </w:rPr>
            </w:pPr>
          </w:p>
        </w:tc>
      </w:tr>
      <w:tr w14:paraId="2E528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3B08B584">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47433017">
            <w:pPr>
              <w:spacing w:line="360" w:lineRule="auto"/>
              <w:jc w:val="center"/>
              <w:rPr>
                <w:rFonts w:hint="eastAsia" w:asciiTheme="majorEastAsia" w:hAnsiTheme="majorEastAsia" w:eastAsiaTheme="majorEastAsia" w:cstheme="majorEastAsia"/>
                <w:color w:val="auto"/>
                <w:highlight w:val="none"/>
              </w:rPr>
            </w:pPr>
          </w:p>
        </w:tc>
        <w:tc>
          <w:tcPr>
            <w:tcW w:w="2607" w:type="dxa"/>
            <w:noWrap/>
          </w:tcPr>
          <w:p w14:paraId="233F1CFE">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0CEAD441">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170A5093">
            <w:pPr>
              <w:spacing w:line="360" w:lineRule="auto"/>
              <w:jc w:val="center"/>
              <w:rPr>
                <w:rFonts w:hint="eastAsia" w:asciiTheme="majorEastAsia" w:hAnsiTheme="majorEastAsia" w:eastAsiaTheme="majorEastAsia" w:cstheme="majorEastAsia"/>
                <w:color w:val="auto"/>
                <w:highlight w:val="none"/>
              </w:rPr>
            </w:pPr>
          </w:p>
        </w:tc>
      </w:tr>
      <w:tr w14:paraId="6B6A4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14BC76EA">
            <w:pPr>
              <w:spacing w:line="360" w:lineRule="auto"/>
              <w:jc w:val="center"/>
              <w:rPr>
                <w:rFonts w:hint="eastAsia" w:asciiTheme="majorEastAsia" w:hAnsiTheme="majorEastAsia" w:eastAsiaTheme="majorEastAsia" w:cstheme="majorEastAsia"/>
                <w:color w:val="auto"/>
                <w:highlight w:val="none"/>
              </w:rPr>
            </w:pPr>
          </w:p>
        </w:tc>
        <w:tc>
          <w:tcPr>
            <w:tcW w:w="2852" w:type="dxa"/>
            <w:noWrap/>
          </w:tcPr>
          <w:p w14:paraId="24995F26">
            <w:pPr>
              <w:spacing w:line="360" w:lineRule="auto"/>
              <w:jc w:val="center"/>
              <w:rPr>
                <w:rFonts w:hint="eastAsia" w:asciiTheme="majorEastAsia" w:hAnsiTheme="majorEastAsia" w:eastAsiaTheme="majorEastAsia" w:cstheme="majorEastAsia"/>
                <w:color w:val="auto"/>
                <w:highlight w:val="none"/>
              </w:rPr>
            </w:pPr>
          </w:p>
          <w:p w14:paraId="3174CAE8">
            <w:pPr>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tc>
        <w:tc>
          <w:tcPr>
            <w:tcW w:w="2607" w:type="dxa"/>
            <w:noWrap/>
          </w:tcPr>
          <w:p w14:paraId="03E72D32">
            <w:pPr>
              <w:spacing w:line="360" w:lineRule="auto"/>
              <w:jc w:val="center"/>
              <w:rPr>
                <w:rFonts w:hint="eastAsia" w:asciiTheme="majorEastAsia" w:hAnsiTheme="majorEastAsia" w:eastAsiaTheme="majorEastAsia" w:cstheme="majorEastAsia"/>
                <w:color w:val="auto"/>
                <w:highlight w:val="none"/>
              </w:rPr>
            </w:pPr>
          </w:p>
        </w:tc>
        <w:tc>
          <w:tcPr>
            <w:tcW w:w="1553" w:type="dxa"/>
            <w:noWrap/>
          </w:tcPr>
          <w:p w14:paraId="4B49686E">
            <w:pPr>
              <w:spacing w:line="360" w:lineRule="auto"/>
              <w:jc w:val="center"/>
              <w:rPr>
                <w:rFonts w:hint="eastAsia" w:asciiTheme="majorEastAsia" w:hAnsiTheme="majorEastAsia" w:eastAsiaTheme="majorEastAsia" w:cstheme="majorEastAsia"/>
                <w:color w:val="auto"/>
                <w:highlight w:val="none"/>
              </w:rPr>
            </w:pPr>
          </w:p>
        </w:tc>
        <w:tc>
          <w:tcPr>
            <w:tcW w:w="1173" w:type="dxa"/>
            <w:noWrap/>
          </w:tcPr>
          <w:p w14:paraId="7B7F6DA4">
            <w:pPr>
              <w:spacing w:line="360" w:lineRule="auto"/>
              <w:jc w:val="center"/>
              <w:rPr>
                <w:rFonts w:hint="eastAsia" w:asciiTheme="majorEastAsia" w:hAnsiTheme="majorEastAsia" w:eastAsiaTheme="majorEastAsia" w:cstheme="majorEastAsia"/>
                <w:color w:val="auto"/>
                <w:highlight w:val="none"/>
              </w:rPr>
            </w:pPr>
          </w:p>
        </w:tc>
      </w:tr>
    </w:tbl>
    <w:p w14:paraId="07D9E070">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注： 行数不够，可自行添加。</w:t>
      </w:r>
    </w:p>
    <w:p w14:paraId="7A660E0C">
      <w:pPr>
        <w:spacing w:line="360" w:lineRule="auto"/>
        <w:rPr>
          <w:rFonts w:hint="eastAsia" w:asciiTheme="majorEastAsia" w:hAnsiTheme="majorEastAsia" w:eastAsiaTheme="majorEastAsia" w:cstheme="majorEastAsia"/>
          <w:color w:val="auto"/>
          <w:sz w:val="24"/>
          <w:szCs w:val="24"/>
          <w:highlight w:val="none"/>
        </w:rPr>
      </w:pPr>
    </w:p>
    <w:p w14:paraId="558B6019">
      <w:pPr>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我方承诺，除上表中的偏离外，完全响应招标文件的其他条款。</w:t>
      </w:r>
    </w:p>
    <w:p w14:paraId="4DF3208C">
      <w:pPr>
        <w:pStyle w:val="23"/>
        <w:spacing w:beforeAutospacing="0" w:afterAutospacing="0" w:line="360" w:lineRule="auto"/>
        <w:jc w:val="both"/>
        <w:rPr>
          <w:rFonts w:hint="eastAsia" w:asciiTheme="majorEastAsia" w:hAnsiTheme="majorEastAsia" w:eastAsiaTheme="majorEastAsia" w:cstheme="majorEastAsia"/>
          <w:color w:val="auto"/>
          <w:highlight w:val="none"/>
        </w:rPr>
      </w:pPr>
    </w:p>
    <w:p w14:paraId="41FB5BFA">
      <w:pPr>
        <w:spacing w:line="360" w:lineRule="auto"/>
        <w:rPr>
          <w:rFonts w:hint="eastAsia" w:asciiTheme="majorEastAsia" w:hAnsiTheme="majorEastAsia" w:eastAsiaTheme="majorEastAsia" w:cstheme="majorEastAsia"/>
          <w:color w:val="auto"/>
          <w:highlight w:val="none"/>
        </w:rPr>
      </w:pPr>
    </w:p>
    <w:p w14:paraId="5825F52C">
      <w:pPr>
        <w:tabs>
          <w:tab w:val="left" w:pos="4860"/>
        </w:tabs>
        <w:spacing w:line="360" w:lineRule="auto"/>
        <w:ind w:right="1560" w:firstLine="504" w:firstLineChars="200"/>
        <w:jc w:val="center"/>
        <w:rPr>
          <w:rFonts w:hint="eastAsia" w:asciiTheme="majorEastAsia" w:hAnsiTheme="majorEastAsia" w:eastAsiaTheme="majorEastAsia" w:cstheme="majorEastAsia"/>
          <w:color w:val="auto"/>
          <w:spacing w:val="6"/>
          <w:sz w:val="24"/>
          <w:szCs w:val="24"/>
          <w:highlight w:val="none"/>
        </w:rPr>
      </w:pPr>
      <w:r>
        <w:rPr>
          <w:rFonts w:hint="eastAsia" w:asciiTheme="majorEastAsia" w:hAnsiTheme="majorEastAsia" w:eastAsiaTheme="majorEastAsia" w:cstheme="majorEastAsia"/>
          <w:color w:val="auto"/>
          <w:spacing w:val="6"/>
          <w:sz w:val="24"/>
          <w:szCs w:val="24"/>
          <w:highlight w:val="none"/>
          <w:lang w:val="en-US" w:eastAsia="zh-CN"/>
        </w:rPr>
        <w:t xml:space="preserve">                         </w:t>
      </w:r>
      <w:r>
        <w:rPr>
          <w:rFonts w:hint="eastAsia" w:asciiTheme="majorEastAsia" w:hAnsiTheme="majorEastAsia" w:eastAsiaTheme="majorEastAsia" w:cstheme="majorEastAsia"/>
          <w:color w:val="auto"/>
          <w:spacing w:val="6"/>
          <w:sz w:val="24"/>
          <w:szCs w:val="24"/>
          <w:highlight w:val="none"/>
        </w:rPr>
        <w:t>单位名称（</w:t>
      </w:r>
      <w:r>
        <w:rPr>
          <w:rFonts w:hint="eastAsia" w:asciiTheme="majorEastAsia" w:hAnsiTheme="majorEastAsia" w:eastAsiaTheme="majorEastAsia" w:cstheme="majorEastAsia"/>
          <w:color w:val="auto"/>
          <w:sz w:val="24"/>
          <w:szCs w:val="24"/>
          <w:highlight w:val="none"/>
        </w:rPr>
        <w:t>加盖CA电子公章</w:t>
      </w:r>
      <w:r>
        <w:rPr>
          <w:rFonts w:hint="eastAsia" w:asciiTheme="majorEastAsia" w:hAnsiTheme="majorEastAsia" w:eastAsiaTheme="majorEastAsia" w:cstheme="majorEastAsia"/>
          <w:color w:val="auto"/>
          <w:spacing w:val="6"/>
          <w:sz w:val="24"/>
          <w:szCs w:val="24"/>
          <w:highlight w:val="none"/>
        </w:rPr>
        <w:t>）：</w:t>
      </w:r>
    </w:p>
    <w:p w14:paraId="4CFA4AE5">
      <w:pPr>
        <w:adjustRightInd w:val="0"/>
        <w:snapToGrid w:val="0"/>
        <w:spacing w:line="360" w:lineRule="auto"/>
        <w:rPr>
          <w:rFonts w:hint="eastAsia" w:asciiTheme="majorEastAsia" w:hAnsiTheme="majorEastAsia" w:eastAsiaTheme="majorEastAsia" w:cstheme="majorEastAsia"/>
          <w:color w:val="auto"/>
          <w:sz w:val="24"/>
          <w:szCs w:val="24"/>
          <w:highlight w:val="none"/>
          <w:u w:val="single"/>
        </w:rPr>
      </w:pPr>
    </w:p>
    <w:p w14:paraId="4ACC19F7">
      <w:pPr>
        <w:spacing w:line="360" w:lineRule="auto"/>
        <w:ind w:firstLine="480" w:firstLineChars="200"/>
        <w:jc w:val="center"/>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月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日</w:t>
      </w:r>
    </w:p>
    <w:p w14:paraId="4C78DC0E">
      <w:pPr>
        <w:spacing w:line="360" w:lineRule="auto"/>
        <w:jc w:val="center"/>
        <w:rPr>
          <w:rFonts w:hint="eastAsia" w:asciiTheme="majorEastAsia" w:hAnsiTheme="majorEastAsia" w:eastAsiaTheme="majorEastAsia" w:cstheme="majorEastAsia"/>
          <w:color w:val="auto"/>
          <w:sz w:val="24"/>
          <w:szCs w:val="24"/>
          <w:highlight w:val="none"/>
        </w:rPr>
      </w:pPr>
    </w:p>
    <w:p w14:paraId="0C261F4F">
      <w:pPr>
        <w:spacing w:line="360" w:lineRule="auto"/>
        <w:rPr>
          <w:rFonts w:hint="eastAsia" w:asciiTheme="majorEastAsia" w:hAnsiTheme="majorEastAsia" w:eastAsiaTheme="majorEastAsia" w:cstheme="majorEastAsia"/>
          <w:color w:val="auto"/>
          <w:sz w:val="24"/>
          <w:szCs w:val="24"/>
          <w:highlight w:val="none"/>
        </w:rPr>
      </w:pPr>
    </w:p>
    <w:p w14:paraId="5FDB78CA">
      <w:pPr>
        <w:spacing w:line="360" w:lineRule="auto"/>
        <w:jc w:val="center"/>
        <w:rPr>
          <w:rFonts w:hint="eastAsia" w:asciiTheme="majorEastAsia" w:hAnsiTheme="majorEastAsia" w:eastAsiaTheme="majorEastAsia" w:cstheme="majorEastAsia"/>
          <w:b/>
          <w:i/>
          <w:iCs/>
          <w:color w:val="auto"/>
          <w:sz w:val="36"/>
          <w:szCs w:val="36"/>
          <w:highlight w:val="none"/>
          <w:u w:val="single"/>
        </w:rPr>
      </w:pPr>
      <w:r>
        <w:rPr>
          <w:rFonts w:hint="eastAsia" w:asciiTheme="majorEastAsia" w:hAnsiTheme="majorEastAsia" w:eastAsiaTheme="majorEastAsia" w:cstheme="majorEastAsia"/>
          <w:b/>
          <w:i/>
          <w:iCs/>
          <w:color w:val="auto"/>
          <w:sz w:val="36"/>
          <w:szCs w:val="36"/>
          <w:highlight w:val="none"/>
          <w:u w:val="single"/>
        </w:rPr>
        <w:t>十</w:t>
      </w:r>
      <w:r>
        <w:rPr>
          <w:rFonts w:hint="eastAsia" w:asciiTheme="majorEastAsia" w:hAnsiTheme="majorEastAsia" w:eastAsiaTheme="majorEastAsia" w:cstheme="majorEastAsia"/>
          <w:b/>
          <w:i/>
          <w:iCs/>
          <w:color w:val="auto"/>
          <w:sz w:val="36"/>
          <w:szCs w:val="36"/>
          <w:highlight w:val="none"/>
          <w:u w:val="single"/>
          <w:lang w:val="en-US" w:eastAsia="zh-CN"/>
        </w:rPr>
        <w:t>二</w:t>
      </w:r>
      <w:r>
        <w:rPr>
          <w:rFonts w:hint="eastAsia" w:asciiTheme="majorEastAsia" w:hAnsiTheme="majorEastAsia" w:eastAsiaTheme="majorEastAsia" w:cstheme="majorEastAsia"/>
          <w:b/>
          <w:i/>
          <w:iCs/>
          <w:color w:val="auto"/>
          <w:sz w:val="36"/>
          <w:szCs w:val="36"/>
          <w:highlight w:val="none"/>
          <w:u w:val="single"/>
          <w:lang w:eastAsia="zh-CN"/>
        </w:rPr>
        <w:t>、</w:t>
      </w:r>
      <w:r>
        <w:rPr>
          <w:rFonts w:hint="eastAsia" w:asciiTheme="majorEastAsia" w:hAnsiTheme="majorEastAsia" w:eastAsiaTheme="majorEastAsia" w:cstheme="majorEastAsia"/>
          <w:b/>
          <w:i/>
          <w:iCs/>
          <w:color w:val="auto"/>
          <w:sz w:val="36"/>
          <w:szCs w:val="36"/>
          <w:highlight w:val="none"/>
          <w:u w:val="single"/>
        </w:rPr>
        <w:t>开标一览表</w:t>
      </w:r>
    </w:p>
    <w:p w14:paraId="01B5C6BC">
      <w:pPr>
        <w:pStyle w:val="23"/>
        <w:spacing w:line="360" w:lineRule="auto"/>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项目编号：</w:t>
      </w:r>
      <w:r>
        <w:rPr>
          <w:rFonts w:hint="eastAsia" w:asciiTheme="majorEastAsia" w:hAnsiTheme="majorEastAsia" w:eastAsiaTheme="majorEastAsia" w:cstheme="majorEastAsia"/>
          <w:color w:val="auto"/>
          <w:highlight w:val="none"/>
          <w:lang w:eastAsia="zh-CN"/>
        </w:rPr>
        <w:t>JSZC-320923-FNDY-G2025-0002</w:t>
      </w:r>
      <w:bookmarkStart w:id="136" w:name="_GoBack"/>
      <w:bookmarkEnd w:id="136"/>
    </w:p>
    <w:p w14:paraId="3595DC9C">
      <w:pPr>
        <w:pStyle w:val="23"/>
        <w:spacing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货币单位：人民币元</w:t>
      </w:r>
    </w:p>
    <w:tbl>
      <w:tblPr>
        <w:tblStyle w:val="26"/>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3011"/>
        <w:gridCol w:w="2406"/>
        <w:gridCol w:w="3435"/>
      </w:tblGrid>
      <w:tr w14:paraId="300386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966" w:type="dxa"/>
            <w:vAlign w:val="center"/>
          </w:tcPr>
          <w:p w14:paraId="513D1CFF">
            <w:pPr>
              <w:pStyle w:val="23"/>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w:t>
            </w:r>
          </w:p>
        </w:tc>
        <w:tc>
          <w:tcPr>
            <w:tcW w:w="2376" w:type="dxa"/>
            <w:vAlign w:val="center"/>
          </w:tcPr>
          <w:p w14:paraId="308E48B1">
            <w:pPr>
              <w:pStyle w:val="23"/>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项目内容</w:t>
            </w:r>
          </w:p>
        </w:tc>
        <w:tc>
          <w:tcPr>
            <w:tcW w:w="3390" w:type="dxa"/>
            <w:vAlign w:val="center"/>
          </w:tcPr>
          <w:p w14:paraId="5D8770E9">
            <w:pPr>
              <w:pStyle w:val="23"/>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总价（小写）</w:t>
            </w:r>
          </w:p>
        </w:tc>
      </w:tr>
      <w:tr w14:paraId="7C7269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966" w:type="dxa"/>
            <w:vAlign w:val="center"/>
          </w:tcPr>
          <w:p w14:paraId="1258CB09">
            <w:pPr>
              <w:widowControl/>
              <w:spacing w:line="360" w:lineRule="auto"/>
              <w:jc w:val="center"/>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kern w:val="0"/>
                <w:sz w:val="24"/>
                <w:szCs w:val="24"/>
                <w:highlight w:val="none"/>
                <w:lang w:eastAsia="zh-CN"/>
              </w:rPr>
              <w:t>阜宁县2025年农村公路桥梁定期检查和特殊检查项目（二次）</w:t>
            </w:r>
          </w:p>
        </w:tc>
        <w:tc>
          <w:tcPr>
            <w:tcW w:w="2376" w:type="dxa"/>
            <w:vAlign w:val="center"/>
          </w:tcPr>
          <w:p w14:paraId="7371E571">
            <w:pPr>
              <w:pStyle w:val="23"/>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详见投标文件</w:t>
            </w:r>
          </w:p>
        </w:tc>
        <w:tc>
          <w:tcPr>
            <w:tcW w:w="3390" w:type="dxa"/>
            <w:vAlign w:val="center"/>
          </w:tcPr>
          <w:p w14:paraId="737C23B2">
            <w:pPr>
              <w:pStyle w:val="23"/>
              <w:spacing w:line="360" w:lineRule="auto"/>
              <w:ind w:firstLine="960" w:firstLineChars="40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元</w:t>
            </w:r>
          </w:p>
        </w:tc>
      </w:tr>
      <w:tr w14:paraId="3CC117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966" w:type="dxa"/>
            <w:vAlign w:val="center"/>
          </w:tcPr>
          <w:p w14:paraId="4C42C3D3">
            <w:pPr>
              <w:pStyle w:val="23"/>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总价（大写）：</w:t>
            </w:r>
          </w:p>
        </w:tc>
        <w:tc>
          <w:tcPr>
            <w:tcW w:w="5796" w:type="dxa"/>
            <w:gridSpan w:val="2"/>
            <w:vAlign w:val="center"/>
          </w:tcPr>
          <w:p w14:paraId="385F5809">
            <w:pPr>
              <w:pStyle w:val="23"/>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金额大写</w:t>
            </w:r>
          </w:p>
        </w:tc>
      </w:tr>
    </w:tbl>
    <w:p w14:paraId="56B72457">
      <w:pPr>
        <w:pStyle w:val="23"/>
        <w:spacing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AF9F02D">
      <w:pPr>
        <w:pStyle w:val="23"/>
        <w:spacing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投标人公章： （电子签章）</w:t>
      </w:r>
    </w:p>
    <w:p w14:paraId="717FCEA1">
      <w:pPr>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           期：________年____月____日</w:t>
      </w:r>
    </w:p>
    <w:p w14:paraId="4F26DFFD">
      <w:pPr>
        <w:spacing w:line="360" w:lineRule="auto"/>
        <w:ind w:firstLine="480"/>
        <w:rPr>
          <w:rFonts w:hint="eastAsia" w:asciiTheme="majorEastAsia" w:hAnsiTheme="majorEastAsia" w:eastAsiaTheme="majorEastAsia" w:cstheme="majorEastAsia"/>
          <w:color w:val="auto"/>
          <w:sz w:val="24"/>
          <w:highlight w:val="none"/>
        </w:rPr>
      </w:pPr>
    </w:p>
    <w:p w14:paraId="216BBD29">
      <w:pPr>
        <w:spacing w:line="360" w:lineRule="auto"/>
        <w:jc w:val="center"/>
        <w:rPr>
          <w:rFonts w:hint="eastAsia" w:asciiTheme="majorEastAsia" w:hAnsiTheme="majorEastAsia" w:eastAsiaTheme="majorEastAsia" w:cstheme="majorEastAsia"/>
          <w:b/>
          <w:color w:val="auto"/>
          <w:sz w:val="32"/>
          <w:szCs w:val="32"/>
          <w:highlight w:val="none"/>
        </w:rPr>
      </w:pPr>
    </w:p>
    <w:p w14:paraId="3D4495FA">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24"/>
          <w:szCs w:val="24"/>
          <w:highlight w:val="none"/>
        </w:rPr>
        <w:br w:type="page"/>
      </w:r>
      <w:bookmarkEnd w:id="134"/>
      <w:bookmarkStart w:id="135" w:name="_Toc462564146"/>
      <w:r>
        <w:rPr>
          <w:rFonts w:hint="eastAsia" w:asciiTheme="majorEastAsia" w:hAnsiTheme="majorEastAsia" w:eastAsiaTheme="majorEastAsia" w:cstheme="majorEastAsia"/>
          <w:b/>
          <w:color w:val="auto"/>
          <w:sz w:val="36"/>
          <w:szCs w:val="36"/>
          <w:highlight w:val="none"/>
        </w:rPr>
        <w:t>十</w:t>
      </w:r>
      <w:bookmarkEnd w:id="120"/>
      <w:bookmarkEnd w:id="121"/>
      <w:bookmarkEnd w:id="135"/>
      <w:r>
        <w:rPr>
          <w:rFonts w:hint="eastAsia" w:asciiTheme="majorEastAsia" w:hAnsiTheme="majorEastAsia" w:eastAsiaTheme="majorEastAsia" w:cstheme="majorEastAsia"/>
          <w:b/>
          <w:color w:val="auto"/>
          <w:sz w:val="36"/>
          <w:szCs w:val="36"/>
          <w:highlight w:val="none"/>
          <w:lang w:val="en-US" w:eastAsia="zh-CN"/>
        </w:rPr>
        <w:t>三、服务</w:t>
      </w:r>
      <w:r>
        <w:rPr>
          <w:rFonts w:hint="eastAsia" w:asciiTheme="majorEastAsia" w:hAnsiTheme="majorEastAsia" w:eastAsiaTheme="majorEastAsia" w:cstheme="majorEastAsia"/>
          <w:b/>
          <w:color w:val="auto"/>
          <w:sz w:val="36"/>
          <w:szCs w:val="36"/>
          <w:highlight w:val="none"/>
        </w:rPr>
        <w:t>方案、服务承诺、</w:t>
      </w:r>
      <w:r>
        <w:rPr>
          <w:rFonts w:hint="eastAsia" w:asciiTheme="majorEastAsia" w:hAnsiTheme="majorEastAsia" w:eastAsiaTheme="majorEastAsia" w:cstheme="majorEastAsia"/>
          <w:b/>
          <w:color w:val="auto"/>
          <w:sz w:val="36"/>
          <w:szCs w:val="36"/>
          <w:highlight w:val="none"/>
          <w:lang w:val="en-US" w:eastAsia="zh-CN"/>
        </w:rPr>
        <w:t>人员配置</w:t>
      </w:r>
      <w:r>
        <w:rPr>
          <w:rFonts w:hint="eastAsia" w:asciiTheme="majorEastAsia" w:hAnsiTheme="majorEastAsia" w:eastAsiaTheme="majorEastAsia" w:cstheme="majorEastAsia"/>
          <w:b/>
          <w:color w:val="auto"/>
          <w:sz w:val="36"/>
          <w:szCs w:val="36"/>
          <w:highlight w:val="none"/>
        </w:rPr>
        <w:t>等</w:t>
      </w:r>
    </w:p>
    <w:p w14:paraId="0B3A679F">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p>
    <w:p w14:paraId="5AA60365">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p>
    <w:p w14:paraId="2DDD2238">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p>
    <w:p w14:paraId="177680BC">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p>
    <w:p w14:paraId="38355D3A">
      <w:pPr>
        <w:pStyle w:val="11"/>
        <w:spacing w:line="360" w:lineRule="auto"/>
        <w:rPr>
          <w:rFonts w:hint="eastAsia" w:asciiTheme="majorEastAsia" w:hAnsiTheme="majorEastAsia" w:eastAsiaTheme="majorEastAsia" w:cstheme="majorEastAsia"/>
          <w:color w:val="auto"/>
          <w:sz w:val="32"/>
          <w:szCs w:val="32"/>
          <w:highlight w:val="none"/>
        </w:rPr>
      </w:pPr>
    </w:p>
    <w:p w14:paraId="724644FF">
      <w:pPr>
        <w:pStyle w:val="11"/>
        <w:spacing w:line="360" w:lineRule="auto"/>
        <w:rPr>
          <w:rFonts w:hint="eastAsia" w:asciiTheme="majorEastAsia" w:hAnsiTheme="majorEastAsia" w:eastAsiaTheme="majorEastAsia" w:cstheme="majorEastAsia"/>
          <w:color w:val="auto"/>
          <w:sz w:val="32"/>
          <w:szCs w:val="32"/>
          <w:highlight w:val="none"/>
        </w:rPr>
      </w:pPr>
    </w:p>
    <w:p w14:paraId="0CD1DD0E">
      <w:pPr>
        <w:pStyle w:val="11"/>
        <w:spacing w:line="360" w:lineRule="auto"/>
        <w:rPr>
          <w:rFonts w:hint="eastAsia" w:asciiTheme="majorEastAsia" w:hAnsiTheme="majorEastAsia" w:eastAsiaTheme="majorEastAsia" w:cstheme="majorEastAsia"/>
          <w:color w:val="auto"/>
          <w:sz w:val="32"/>
          <w:szCs w:val="32"/>
          <w:highlight w:val="none"/>
        </w:rPr>
      </w:pPr>
    </w:p>
    <w:p w14:paraId="6A1A23A5">
      <w:pPr>
        <w:pStyle w:val="11"/>
        <w:spacing w:line="360" w:lineRule="auto"/>
        <w:rPr>
          <w:rFonts w:hint="eastAsia" w:asciiTheme="majorEastAsia" w:hAnsiTheme="majorEastAsia" w:eastAsiaTheme="majorEastAsia" w:cstheme="majorEastAsia"/>
          <w:color w:val="auto"/>
          <w:sz w:val="32"/>
          <w:szCs w:val="32"/>
          <w:highlight w:val="none"/>
        </w:rPr>
      </w:pPr>
    </w:p>
    <w:p w14:paraId="07D66EAD">
      <w:pPr>
        <w:pStyle w:val="11"/>
        <w:spacing w:line="360" w:lineRule="auto"/>
        <w:rPr>
          <w:rFonts w:hint="eastAsia" w:asciiTheme="majorEastAsia" w:hAnsiTheme="majorEastAsia" w:eastAsiaTheme="majorEastAsia" w:cstheme="majorEastAsia"/>
          <w:color w:val="auto"/>
          <w:sz w:val="32"/>
          <w:szCs w:val="32"/>
          <w:highlight w:val="none"/>
        </w:rPr>
      </w:pPr>
    </w:p>
    <w:p w14:paraId="48608E61">
      <w:pPr>
        <w:pStyle w:val="11"/>
        <w:spacing w:line="360" w:lineRule="auto"/>
        <w:rPr>
          <w:rFonts w:hint="eastAsia" w:asciiTheme="majorEastAsia" w:hAnsiTheme="majorEastAsia" w:eastAsiaTheme="majorEastAsia" w:cstheme="majorEastAsia"/>
          <w:color w:val="auto"/>
          <w:sz w:val="32"/>
          <w:szCs w:val="32"/>
          <w:highlight w:val="none"/>
        </w:rPr>
      </w:pPr>
    </w:p>
    <w:p w14:paraId="3B430D89">
      <w:pPr>
        <w:pStyle w:val="11"/>
        <w:spacing w:line="360" w:lineRule="auto"/>
        <w:rPr>
          <w:rFonts w:hint="eastAsia" w:asciiTheme="majorEastAsia" w:hAnsiTheme="majorEastAsia" w:eastAsiaTheme="majorEastAsia" w:cstheme="majorEastAsia"/>
          <w:color w:val="auto"/>
          <w:sz w:val="32"/>
          <w:szCs w:val="32"/>
          <w:highlight w:val="none"/>
        </w:rPr>
      </w:pPr>
    </w:p>
    <w:p w14:paraId="166B02A2">
      <w:pPr>
        <w:pStyle w:val="11"/>
        <w:spacing w:line="360" w:lineRule="auto"/>
        <w:rPr>
          <w:rFonts w:hint="eastAsia" w:asciiTheme="majorEastAsia" w:hAnsiTheme="majorEastAsia" w:eastAsiaTheme="majorEastAsia" w:cstheme="majorEastAsia"/>
          <w:color w:val="auto"/>
          <w:sz w:val="32"/>
          <w:szCs w:val="32"/>
          <w:highlight w:val="none"/>
        </w:rPr>
      </w:pPr>
    </w:p>
    <w:p w14:paraId="2250CDBB">
      <w:pPr>
        <w:pStyle w:val="11"/>
        <w:spacing w:line="360" w:lineRule="auto"/>
        <w:rPr>
          <w:rFonts w:hint="eastAsia" w:asciiTheme="majorEastAsia" w:hAnsiTheme="majorEastAsia" w:eastAsiaTheme="majorEastAsia" w:cstheme="majorEastAsia"/>
          <w:color w:val="auto"/>
          <w:sz w:val="32"/>
          <w:szCs w:val="32"/>
          <w:highlight w:val="none"/>
        </w:rPr>
      </w:pPr>
    </w:p>
    <w:p w14:paraId="10F14059">
      <w:pPr>
        <w:pStyle w:val="11"/>
        <w:spacing w:line="360" w:lineRule="auto"/>
        <w:rPr>
          <w:rFonts w:hint="eastAsia" w:asciiTheme="majorEastAsia" w:hAnsiTheme="majorEastAsia" w:eastAsiaTheme="majorEastAsia" w:cstheme="majorEastAsia"/>
          <w:color w:val="auto"/>
          <w:sz w:val="32"/>
          <w:szCs w:val="32"/>
          <w:highlight w:val="none"/>
        </w:rPr>
      </w:pPr>
    </w:p>
    <w:p w14:paraId="123E5FC4">
      <w:pPr>
        <w:pStyle w:val="11"/>
        <w:spacing w:line="360" w:lineRule="auto"/>
        <w:rPr>
          <w:rFonts w:hint="eastAsia" w:asciiTheme="majorEastAsia" w:hAnsiTheme="majorEastAsia" w:eastAsiaTheme="majorEastAsia" w:cstheme="majorEastAsia"/>
          <w:color w:val="auto"/>
          <w:sz w:val="32"/>
          <w:szCs w:val="32"/>
          <w:highlight w:val="none"/>
        </w:rPr>
      </w:pPr>
    </w:p>
    <w:p w14:paraId="7DEC95FA">
      <w:pPr>
        <w:pStyle w:val="11"/>
        <w:spacing w:line="360" w:lineRule="auto"/>
        <w:rPr>
          <w:rFonts w:hint="eastAsia" w:asciiTheme="majorEastAsia" w:hAnsiTheme="majorEastAsia" w:eastAsiaTheme="majorEastAsia" w:cstheme="majorEastAsia"/>
          <w:color w:val="auto"/>
          <w:sz w:val="32"/>
          <w:szCs w:val="32"/>
          <w:highlight w:val="none"/>
        </w:rPr>
      </w:pPr>
    </w:p>
    <w:p w14:paraId="7842855D">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p>
    <w:p w14:paraId="2B033035">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p>
    <w:p w14:paraId="345D18A1">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p>
    <w:p w14:paraId="728694E1">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p>
    <w:p w14:paraId="300A6504">
      <w:pPr>
        <w:snapToGrid w:val="0"/>
        <w:spacing w:before="50" w:after="50" w:line="360" w:lineRule="auto"/>
        <w:jc w:val="center"/>
        <w:rPr>
          <w:rFonts w:hint="eastAsia" w:asciiTheme="majorEastAsia" w:hAnsiTheme="majorEastAsia" w:eastAsiaTheme="majorEastAsia" w:cstheme="majorEastAsia"/>
          <w:color w:val="auto"/>
          <w:sz w:val="32"/>
          <w:szCs w:val="32"/>
          <w:highlight w:val="none"/>
        </w:rPr>
      </w:pPr>
    </w:p>
    <w:p w14:paraId="75488D1D">
      <w:pPr>
        <w:keepNext w:val="0"/>
        <w:keepLines w:val="0"/>
        <w:pageBreakBefore w:val="0"/>
        <w:kinsoku/>
        <w:wordWrap/>
        <w:overflowPunct/>
        <w:topLinePunct w:val="0"/>
        <w:autoSpaceDE/>
        <w:autoSpaceDN/>
        <w:bidi w:val="0"/>
        <w:adjustRightInd/>
        <w:snapToGrid w:val="0"/>
        <w:spacing w:before="50" w:after="50" w:line="360" w:lineRule="auto"/>
        <w:jc w:val="center"/>
        <w:textAlignment w:val="auto"/>
        <w:rPr>
          <w:rFonts w:hint="eastAsia" w:asciiTheme="majorEastAsia" w:hAnsiTheme="majorEastAsia" w:eastAsiaTheme="majorEastAsia" w:cstheme="majorEastAsia"/>
          <w:b/>
          <w:color w:val="auto"/>
          <w:sz w:val="36"/>
          <w:szCs w:val="36"/>
          <w:highlight w:val="none"/>
        </w:rPr>
      </w:pPr>
      <w:r>
        <w:rPr>
          <w:rFonts w:hint="eastAsia" w:asciiTheme="majorEastAsia" w:hAnsiTheme="majorEastAsia" w:eastAsiaTheme="majorEastAsia" w:cstheme="majorEastAsia"/>
          <w:b/>
          <w:color w:val="auto"/>
          <w:sz w:val="36"/>
          <w:szCs w:val="36"/>
          <w:highlight w:val="none"/>
        </w:rPr>
        <w:t>十</w:t>
      </w:r>
      <w:r>
        <w:rPr>
          <w:rFonts w:hint="eastAsia" w:asciiTheme="majorEastAsia" w:hAnsiTheme="majorEastAsia" w:eastAsiaTheme="majorEastAsia" w:cstheme="majorEastAsia"/>
          <w:b/>
          <w:color w:val="auto"/>
          <w:sz w:val="36"/>
          <w:szCs w:val="36"/>
          <w:highlight w:val="none"/>
          <w:lang w:val="en-US" w:eastAsia="zh-CN"/>
        </w:rPr>
        <w:t>四、</w:t>
      </w:r>
      <w:r>
        <w:rPr>
          <w:rFonts w:hint="eastAsia" w:asciiTheme="majorEastAsia" w:hAnsiTheme="majorEastAsia" w:eastAsiaTheme="majorEastAsia" w:cstheme="majorEastAsia"/>
          <w:b/>
          <w:color w:val="auto"/>
          <w:sz w:val="36"/>
          <w:szCs w:val="36"/>
          <w:highlight w:val="none"/>
        </w:rPr>
        <w:t>盐城市政府采购事前信用承诺书</w:t>
      </w:r>
    </w:p>
    <w:p w14:paraId="7B5A866C">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为营造我市公开、公平、公正、诚实守信的政府采购交易环境，树立诚信守法的投标人形象，本人代表本单位作出以下承诺：</w:t>
      </w:r>
    </w:p>
    <w:p w14:paraId="5AE3C4D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F040DDA">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9944D8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（三）严格依照国家和省、市关于政府采购的法律、法规、规章、规范性文件，参加政府采购投标活动；积极履行社会责任，促进廉政建设； </w:t>
      </w:r>
    </w:p>
    <w:p w14:paraId="196FB653">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（四）严格遵守即时信息公示规定，及时维护和更新维护和更新盐城市政府采购网中与本单位相关的信息；</w:t>
      </w:r>
    </w:p>
    <w:p w14:paraId="6DB2460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B362787">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（六）自觉接受政府、行业组织、社会公众、新闻舆论的监督；</w:t>
      </w:r>
    </w:p>
    <w:p w14:paraId="179758E9">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43AA7A8">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（八）本人已认真阅读了上述承诺，并向本单位员工作了宣传教育。</w:t>
      </w:r>
    </w:p>
    <w:p w14:paraId="712718A0">
      <w:pPr>
        <w:keepNext w:val="0"/>
        <w:keepLines w:val="0"/>
        <w:pageBreakBefore w:val="0"/>
        <w:widowControl/>
        <w:tabs>
          <w:tab w:val="left" w:pos="6519"/>
        </w:tabs>
        <w:kinsoku/>
        <w:wordWrap/>
        <w:overflowPunct/>
        <w:topLinePunct w:val="0"/>
        <w:autoSpaceDE/>
        <w:autoSpaceDN/>
        <w:bidi w:val="0"/>
        <w:adjustRightInd/>
        <w:spacing w:line="360" w:lineRule="auto"/>
        <w:jc w:val="center"/>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法定代表人签名：</w:t>
      </w:r>
    </w:p>
    <w:p w14:paraId="03E8B1BB">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单位名称（盖章）：</w:t>
      </w:r>
    </w:p>
    <w:p w14:paraId="10F7134D">
      <w:pPr>
        <w:widowControl/>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4"/>
          <w:highlight w:val="none"/>
        </w:rPr>
        <w:t xml:space="preserve">                      年    月    日</w:t>
      </w:r>
    </w:p>
    <w:p w14:paraId="6AF85B2F">
      <w:pPr>
        <w:widowControl/>
        <w:spacing w:line="360" w:lineRule="auto"/>
        <w:jc w:val="center"/>
        <w:rPr>
          <w:rFonts w:hint="eastAsia" w:asciiTheme="majorEastAsia" w:hAnsiTheme="majorEastAsia" w:eastAsiaTheme="majorEastAsia" w:cstheme="majorEastAsia"/>
          <w:b/>
          <w:color w:val="auto"/>
          <w:sz w:val="36"/>
          <w:szCs w:val="36"/>
          <w:highlight w:val="none"/>
        </w:rPr>
      </w:pPr>
      <w:r>
        <w:rPr>
          <w:rFonts w:hint="eastAsia" w:asciiTheme="majorEastAsia" w:hAnsiTheme="majorEastAsia" w:eastAsiaTheme="majorEastAsia" w:cstheme="majorEastAsia"/>
          <w:b/>
          <w:color w:val="auto"/>
          <w:sz w:val="36"/>
          <w:szCs w:val="36"/>
          <w:highlight w:val="none"/>
          <w:lang w:val="en-US" w:eastAsia="zh-CN"/>
        </w:rPr>
        <w:t>十五、</w:t>
      </w:r>
      <w:r>
        <w:rPr>
          <w:rFonts w:hint="eastAsia" w:asciiTheme="majorEastAsia" w:hAnsiTheme="majorEastAsia" w:eastAsiaTheme="majorEastAsia" w:cstheme="majorEastAsia"/>
          <w:b/>
          <w:color w:val="auto"/>
          <w:sz w:val="36"/>
          <w:szCs w:val="36"/>
          <w:highlight w:val="none"/>
        </w:rPr>
        <w:t>中小企业声明函（服务）</w:t>
      </w:r>
    </w:p>
    <w:p w14:paraId="1181B7A0">
      <w:pPr>
        <w:spacing w:line="360" w:lineRule="auto"/>
        <w:rPr>
          <w:rFonts w:hint="eastAsia" w:asciiTheme="majorEastAsia" w:hAnsiTheme="majorEastAsia" w:eastAsiaTheme="majorEastAsia" w:cstheme="majorEastAsia"/>
          <w:b/>
          <w:bCs/>
          <w:color w:val="auto"/>
          <w:sz w:val="28"/>
          <w:szCs w:val="28"/>
          <w:highlight w:val="none"/>
        </w:rPr>
      </w:pPr>
    </w:p>
    <w:p w14:paraId="08961C8A">
      <w:pPr>
        <w:widowControl/>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3E4A91C">
      <w:pPr>
        <w:widowControl/>
        <w:numPr>
          <w:ilvl w:val="0"/>
          <w:numId w:val="3"/>
        </w:num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i/>
          <w:iCs/>
          <w:color w:val="auto"/>
          <w:sz w:val="24"/>
          <w:szCs w:val="24"/>
          <w:highlight w:val="none"/>
          <w:u w:val="single"/>
        </w:rPr>
        <w:t xml:space="preserve">（标的名称） </w:t>
      </w:r>
      <w:r>
        <w:rPr>
          <w:rFonts w:hint="eastAsia" w:asciiTheme="majorEastAsia" w:hAnsiTheme="majorEastAsia" w:eastAsiaTheme="majorEastAsia" w:cstheme="majorEastAsia"/>
          <w:color w:val="auto"/>
          <w:sz w:val="24"/>
          <w:szCs w:val="24"/>
          <w:highlight w:val="none"/>
        </w:rPr>
        <w:t>，属于</w:t>
      </w:r>
      <w:r>
        <w:rPr>
          <w:rFonts w:hint="eastAsia" w:asciiTheme="majorEastAsia" w:hAnsiTheme="majorEastAsia" w:eastAsiaTheme="majorEastAsia" w:cstheme="majorEastAsia"/>
          <w:i/>
          <w:iCs/>
          <w:color w:val="auto"/>
          <w:sz w:val="24"/>
          <w:szCs w:val="24"/>
          <w:highlight w:val="none"/>
          <w:u w:val="single"/>
        </w:rPr>
        <w:t>其他未列明</w:t>
      </w:r>
      <w:r>
        <w:rPr>
          <w:rFonts w:hint="eastAsia" w:asciiTheme="majorEastAsia" w:hAnsiTheme="majorEastAsia" w:eastAsiaTheme="majorEastAsia" w:cstheme="majorEastAsia"/>
          <w:color w:val="auto"/>
          <w:sz w:val="24"/>
          <w:szCs w:val="24"/>
          <w:highlight w:val="none"/>
        </w:rPr>
        <w:t>行业；承接（承接）企业为</w:t>
      </w:r>
      <w:r>
        <w:rPr>
          <w:rFonts w:hint="eastAsia" w:asciiTheme="majorEastAsia" w:hAnsiTheme="majorEastAsia" w:eastAsiaTheme="majorEastAsia" w:cstheme="majorEastAsia"/>
          <w:i/>
          <w:iCs/>
          <w:color w:val="auto"/>
          <w:sz w:val="24"/>
          <w:szCs w:val="24"/>
          <w:highlight w:val="none"/>
          <w:u w:val="single"/>
        </w:rPr>
        <w:t>（企业名称）</w:t>
      </w:r>
      <w:r>
        <w:rPr>
          <w:rFonts w:hint="eastAsia" w:asciiTheme="majorEastAsia" w:hAnsiTheme="majorEastAsia" w:eastAsiaTheme="majorEastAsia" w:cstheme="majorEastAsia"/>
          <w:color w:val="auto"/>
          <w:sz w:val="24"/>
          <w:szCs w:val="24"/>
          <w:highlight w:val="none"/>
        </w:rPr>
        <w:t>，从业人员人，营业收入为万元，资产总额为万元，属于</w:t>
      </w:r>
      <w:r>
        <w:rPr>
          <w:rFonts w:hint="eastAsia" w:asciiTheme="majorEastAsia" w:hAnsiTheme="majorEastAsia" w:eastAsiaTheme="majorEastAsia" w:cstheme="majorEastAsia"/>
          <w:i/>
          <w:iCs/>
          <w:color w:val="auto"/>
          <w:sz w:val="24"/>
          <w:szCs w:val="24"/>
          <w:highlight w:val="none"/>
          <w:u w:val="single"/>
        </w:rPr>
        <w:t>（中型企业、小型企业、微型企业）</w:t>
      </w:r>
      <w:r>
        <w:rPr>
          <w:rFonts w:hint="eastAsia" w:asciiTheme="majorEastAsia" w:hAnsiTheme="majorEastAsia" w:eastAsiaTheme="majorEastAsia" w:cstheme="majorEastAsia"/>
          <w:color w:val="auto"/>
          <w:sz w:val="24"/>
          <w:szCs w:val="24"/>
          <w:highlight w:val="none"/>
        </w:rPr>
        <w:t>；</w:t>
      </w:r>
    </w:p>
    <w:p w14:paraId="2AE08AC2">
      <w:pPr>
        <w:widowControl/>
        <w:numPr>
          <w:ilvl w:val="0"/>
          <w:numId w:val="3"/>
        </w:num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i/>
          <w:iCs/>
          <w:color w:val="auto"/>
          <w:sz w:val="24"/>
          <w:szCs w:val="24"/>
          <w:highlight w:val="none"/>
          <w:u w:val="single"/>
        </w:rPr>
        <w:t xml:space="preserve">（标的名称） </w:t>
      </w:r>
      <w:r>
        <w:rPr>
          <w:rFonts w:hint="eastAsia" w:asciiTheme="majorEastAsia" w:hAnsiTheme="majorEastAsia" w:eastAsiaTheme="majorEastAsia" w:cstheme="majorEastAsia"/>
          <w:color w:val="auto"/>
          <w:sz w:val="24"/>
          <w:szCs w:val="24"/>
          <w:highlight w:val="none"/>
        </w:rPr>
        <w:t>，属于</w:t>
      </w:r>
      <w:r>
        <w:rPr>
          <w:rFonts w:hint="eastAsia" w:asciiTheme="majorEastAsia" w:hAnsiTheme="majorEastAsia" w:eastAsiaTheme="majorEastAsia" w:cstheme="majorEastAsia"/>
          <w:i/>
          <w:iCs/>
          <w:color w:val="auto"/>
          <w:sz w:val="24"/>
          <w:szCs w:val="24"/>
          <w:highlight w:val="none"/>
          <w:u w:val="single"/>
        </w:rPr>
        <w:t>（采购文件中明确的所属行业）</w:t>
      </w:r>
      <w:r>
        <w:rPr>
          <w:rFonts w:hint="eastAsia" w:asciiTheme="majorEastAsia" w:hAnsiTheme="majorEastAsia" w:eastAsiaTheme="majorEastAsia" w:cstheme="majorEastAsia"/>
          <w:color w:val="auto"/>
          <w:sz w:val="24"/>
          <w:szCs w:val="24"/>
          <w:highlight w:val="none"/>
        </w:rPr>
        <w:t>行业；承接（承接）企业为</w:t>
      </w:r>
      <w:r>
        <w:rPr>
          <w:rFonts w:hint="eastAsia" w:asciiTheme="majorEastAsia" w:hAnsiTheme="majorEastAsia" w:eastAsiaTheme="majorEastAsia" w:cstheme="majorEastAsia"/>
          <w:i/>
          <w:iCs/>
          <w:color w:val="auto"/>
          <w:sz w:val="24"/>
          <w:szCs w:val="24"/>
          <w:highlight w:val="none"/>
          <w:u w:val="single"/>
        </w:rPr>
        <w:t>（企业名称）</w:t>
      </w:r>
      <w:r>
        <w:rPr>
          <w:rFonts w:hint="eastAsia" w:asciiTheme="majorEastAsia" w:hAnsiTheme="majorEastAsia" w:eastAsiaTheme="majorEastAsia" w:cstheme="majorEastAsia"/>
          <w:color w:val="auto"/>
          <w:sz w:val="24"/>
          <w:szCs w:val="24"/>
          <w:highlight w:val="none"/>
        </w:rPr>
        <w:t>，从业人员人，营业收入为万元，资产总额为万元，属于</w:t>
      </w:r>
      <w:r>
        <w:rPr>
          <w:rFonts w:hint="eastAsia" w:asciiTheme="majorEastAsia" w:hAnsiTheme="majorEastAsia" w:eastAsiaTheme="majorEastAsia" w:cstheme="majorEastAsia"/>
          <w:i/>
          <w:iCs/>
          <w:color w:val="auto"/>
          <w:sz w:val="24"/>
          <w:szCs w:val="24"/>
          <w:highlight w:val="none"/>
          <w:u w:val="single"/>
        </w:rPr>
        <w:t>（中型企业、小型企业、微型企业）</w:t>
      </w:r>
      <w:r>
        <w:rPr>
          <w:rFonts w:hint="eastAsia" w:asciiTheme="majorEastAsia" w:hAnsiTheme="majorEastAsia" w:eastAsiaTheme="majorEastAsia" w:cstheme="majorEastAsia"/>
          <w:color w:val="auto"/>
          <w:sz w:val="24"/>
          <w:szCs w:val="24"/>
          <w:highlight w:val="none"/>
        </w:rPr>
        <w:t>；</w:t>
      </w:r>
    </w:p>
    <w:p w14:paraId="2DDB4EB9">
      <w:pPr>
        <w:widowControl/>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p>
    <w:p w14:paraId="35B23F49">
      <w:pPr>
        <w:widowControl/>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以上企业，不属于大企业的分支机构，不存在控股股东为大企业的情形，也不存在与大企业的负责人为同一人的情形。</w:t>
      </w:r>
    </w:p>
    <w:p w14:paraId="1EB27C67">
      <w:pPr>
        <w:widowControl/>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本企业对上述声明内容的真实性负责。如有虚假，将依法承担相应责任。</w:t>
      </w:r>
    </w:p>
    <w:p w14:paraId="1D630DDD">
      <w:pPr>
        <w:widowControl/>
        <w:spacing w:line="360" w:lineRule="auto"/>
        <w:ind w:firstLine="40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企业名称（盖章）：</w:t>
      </w:r>
    </w:p>
    <w:p w14:paraId="31648F88">
      <w:pPr>
        <w:widowControl/>
        <w:spacing w:line="360" w:lineRule="auto"/>
        <w:ind w:firstLine="40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日期：</w:t>
      </w:r>
    </w:p>
    <w:p w14:paraId="290BB2D1">
      <w:pPr>
        <w:spacing w:line="360" w:lineRule="auto"/>
        <w:jc w:val="center"/>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从业人员、营业收入、资产总额填报上一年度数据，无上一年度数据的新成立企业可不填报。</w:t>
      </w:r>
    </w:p>
    <w:p w14:paraId="4DE17663">
      <w:pPr>
        <w:pStyle w:val="11"/>
        <w:spacing w:line="360" w:lineRule="auto"/>
        <w:rPr>
          <w:rFonts w:hint="eastAsia" w:asciiTheme="majorEastAsia" w:hAnsiTheme="majorEastAsia" w:eastAsiaTheme="majorEastAsia" w:cstheme="majorEastAsia"/>
          <w:b/>
          <w:bCs/>
          <w:color w:val="auto"/>
          <w:highlight w:val="none"/>
        </w:rPr>
      </w:pPr>
    </w:p>
    <w:p w14:paraId="6BA449A3">
      <w:pPr>
        <w:spacing w:line="360" w:lineRule="auto"/>
        <w:rPr>
          <w:rFonts w:hint="eastAsia" w:asciiTheme="majorEastAsia" w:hAnsiTheme="majorEastAsia" w:eastAsiaTheme="majorEastAsia" w:cstheme="majorEastAsia"/>
          <w:color w:val="auto"/>
          <w:spacing w:val="6"/>
          <w:sz w:val="30"/>
          <w:szCs w:val="30"/>
          <w:highlight w:val="none"/>
        </w:rPr>
      </w:pPr>
    </w:p>
    <w:p w14:paraId="56E53F96">
      <w:pPr>
        <w:pStyle w:val="11"/>
        <w:spacing w:line="360" w:lineRule="auto"/>
        <w:rPr>
          <w:rFonts w:hint="eastAsia" w:asciiTheme="majorEastAsia" w:hAnsiTheme="majorEastAsia" w:eastAsiaTheme="majorEastAsia" w:cstheme="majorEastAsia"/>
          <w:color w:val="auto"/>
          <w:spacing w:val="6"/>
          <w:sz w:val="30"/>
          <w:szCs w:val="30"/>
          <w:highlight w:val="none"/>
        </w:rPr>
      </w:pPr>
    </w:p>
    <w:p w14:paraId="147A29FE">
      <w:pPr>
        <w:spacing w:line="360" w:lineRule="auto"/>
        <w:rPr>
          <w:rFonts w:hint="eastAsia"/>
          <w:color w:val="auto"/>
          <w:highlight w:val="none"/>
        </w:rPr>
      </w:pPr>
    </w:p>
    <w:p w14:paraId="6AE9F515">
      <w:pPr>
        <w:spacing w:line="360" w:lineRule="auto"/>
        <w:rPr>
          <w:rFonts w:hint="eastAsia" w:asciiTheme="majorEastAsia" w:hAnsiTheme="majorEastAsia" w:eastAsiaTheme="majorEastAsia" w:cstheme="majorEastAsia"/>
          <w:b/>
          <w:color w:val="auto"/>
          <w:spacing w:val="6"/>
          <w:sz w:val="32"/>
          <w:szCs w:val="32"/>
          <w:highlight w:val="none"/>
        </w:rPr>
      </w:pPr>
      <w:r>
        <w:rPr>
          <w:rFonts w:hint="eastAsia" w:asciiTheme="majorEastAsia" w:hAnsiTheme="majorEastAsia" w:eastAsiaTheme="majorEastAsia" w:cstheme="majorEastAsia"/>
          <w:color w:val="auto"/>
          <w:spacing w:val="6"/>
          <w:sz w:val="30"/>
          <w:szCs w:val="30"/>
          <w:highlight w:val="none"/>
        </w:rPr>
        <w:t>附件</w:t>
      </w:r>
    </w:p>
    <w:p w14:paraId="2D4CF4DB">
      <w:pPr>
        <w:spacing w:line="360" w:lineRule="auto"/>
        <w:ind w:firstLine="2880" w:firstLineChars="900"/>
        <w:rPr>
          <w:rFonts w:hint="eastAsia" w:asciiTheme="majorEastAsia" w:hAnsiTheme="majorEastAsia" w:eastAsiaTheme="majorEastAsia" w:cstheme="majorEastAsia"/>
          <w:color w:val="auto"/>
          <w:sz w:val="32"/>
          <w:szCs w:val="32"/>
          <w:highlight w:val="none"/>
        </w:rPr>
      </w:pPr>
    </w:p>
    <w:p w14:paraId="2C6C0484">
      <w:pPr>
        <w:spacing w:line="360" w:lineRule="auto"/>
        <w:ind w:firstLine="2891" w:firstLineChars="900"/>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t>残疾人福利性单位声明函</w:t>
      </w:r>
    </w:p>
    <w:p w14:paraId="46F6065B">
      <w:pPr>
        <w:spacing w:line="360" w:lineRule="auto"/>
        <w:rPr>
          <w:rFonts w:hint="eastAsia" w:asciiTheme="majorEastAsia" w:hAnsiTheme="majorEastAsia" w:eastAsiaTheme="majorEastAsia" w:cstheme="majorEastAsia"/>
          <w:b/>
          <w:color w:val="auto"/>
          <w:spacing w:val="6"/>
          <w:sz w:val="30"/>
          <w:szCs w:val="30"/>
          <w:highlight w:val="none"/>
        </w:rPr>
      </w:pPr>
    </w:p>
    <w:p w14:paraId="675EB90F">
      <w:pPr>
        <w:pStyle w:val="23"/>
        <w:spacing w:beforeAutospacing="0" w:afterAutospacing="0" w:line="360" w:lineRule="auto"/>
        <w:ind w:firstLine="480"/>
        <w:jc w:val="both"/>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pacing w:val="6"/>
          <w:sz w:val="28"/>
          <w:szCs w:val="28"/>
          <w:highlight w:val="none"/>
        </w:rPr>
        <w:t>本单位郑重声明，根据《财政部 民政部 中国残疾人联合会关于促进残疾人就业政府采购政策的通知》（财库</w:t>
      </w:r>
      <w:r>
        <w:rPr>
          <w:rFonts w:hint="eastAsia" w:asciiTheme="majorEastAsia" w:hAnsiTheme="majorEastAsia" w:eastAsiaTheme="majorEastAsia" w:cstheme="majorEastAsia"/>
          <w:color w:val="auto"/>
          <w:sz w:val="28"/>
          <w:szCs w:val="28"/>
          <w:highlight w:val="none"/>
        </w:rPr>
        <w:t>〔2017〕 141</w:t>
      </w:r>
      <w:r>
        <w:rPr>
          <w:rFonts w:hint="eastAsia" w:asciiTheme="majorEastAsia" w:hAnsiTheme="majorEastAsia" w:eastAsiaTheme="majorEastAsia" w:cstheme="majorEastAsia"/>
          <w:color w:val="auto"/>
          <w:spacing w:val="6"/>
          <w:sz w:val="28"/>
          <w:szCs w:val="28"/>
          <w:highlight w:val="none"/>
        </w:rPr>
        <w:t>号）的规定，本单位为符合条件的残疾人福利性单位，且本单位参加______单位的采购文件编号为______的_____项</w:t>
      </w:r>
      <w:r>
        <w:rPr>
          <w:rFonts w:hint="eastAsia" w:asciiTheme="majorEastAsia" w:hAnsiTheme="majorEastAsia" w:eastAsiaTheme="majorEastAsia" w:cstheme="majorEastAsia"/>
          <w:color w:val="auto"/>
          <w:spacing w:val="6"/>
          <w:kern w:val="2"/>
          <w:sz w:val="28"/>
          <w:szCs w:val="28"/>
          <w:highlight w:val="none"/>
        </w:rPr>
        <w:t>目采购活动由本单位提供服务。</w:t>
      </w:r>
    </w:p>
    <w:p w14:paraId="37EE52C9">
      <w:pPr>
        <w:spacing w:line="360" w:lineRule="auto"/>
        <w:ind w:firstLine="584" w:firstLineChars="200"/>
        <w:rPr>
          <w:rFonts w:hint="eastAsia" w:asciiTheme="majorEastAsia" w:hAnsiTheme="majorEastAsia" w:eastAsiaTheme="majorEastAsia" w:cstheme="majorEastAsia"/>
          <w:color w:val="auto"/>
          <w:spacing w:val="6"/>
          <w:sz w:val="28"/>
          <w:szCs w:val="28"/>
          <w:highlight w:val="none"/>
        </w:rPr>
      </w:pPr>
      <w:r>
        <w:rPr>
          <w:rFonts w:hint="eastAsia" w:asciiTheme="majorEastAsia" w:hAnsiTheme="majorEastAsia" w:eastAsiaTheme="majorEastAsia" w:cstheme="majorEastAsia"/>
          <w:color w:val="auto"/>
          <w:spacing w:val="6"/>
          <w:sz w:val="28"/>
          <w:szCs w:val="28"/>
          <w:highlight w:val="none"/>
        </w:rPr>
        <w:t>本单位对上述声明的真实性负责。如有虚假，将依法承担相应责任。</w:t>
      </w:r>
    </w:p>
    <w:p w14:paraId="4CEAB6CB">
      <w:pPr>
        <w:spacing w:line="360" w:lineRule="auto"/>
        <w:ind w:firstLine="584" w:firstLineChars="200"/>
        <w:rPr>
          <w:rFonts w:hint="eastAsia" w:asciiTheme="majorEastAsia" w:hAnsiTheme="majorEastAsia" w:eastAsiaTheme="majorEastAsia" w:cstheme="majorEastAsia"/>
          <w:color w:val="auto"/>
          <w:spacing w:val="6"/>
          <w:sz w:val="28"/>
          <w:szCs w:val="28"/>
          <w:highlight w:val="none"/>
        </w:rPr>
      </w:pPr>
    </w:p>
    <w:p w14:paraId="6373786A">
      <w:pPr>
        <w:spacing w:line="360" w:lineRule="auto"/>
        <w:ind w:firstLine="584" w:firstLineChars="200"/>
        <w:rPr>
          <w:rFonts w:hint="eastAsia" w:asciiTheme="majorEastAsia" w:hAnsiTheme="majorEastAsia" w:eastAsiaTheme="majorEastAsia" w:cstheme="majorEastAsia"/>
          <w:color w:val="auto"/>
          <w:spacing w:val="6"/>
          <w:sz w:val="28"/>
          <w:szCs w:val="28"/>
          <w:highlight w:val="none"/>
        </w:rPr>
      </w:pPr>
    </w:p>
    <w:p w14:paraId="5FDF5F36">
      <w:pPr>
        <w:tabs>
          <w:tab w:val="left" w:pos="4860"/>
        </w:tabs>
        <w:spacing w:line="360" w:lineRule="auto"/>
        <w:ind w:right="1560" w:firstLine="584" w:firstLineChars="200"/>
        <w:jc w:val="center"/>
        <w:rPr>
          <w:rFonts w:hint="eastAsia" w:asciiTheme="majorEastAsia" w:hAnsiTheme="majorEastAsia" w:eastAsiaTheme="majorEastAsia" w:cstheme="majorEastAsia"/>
          <w:color w:val="auto"/>
          <w:spacing w:val="6"/>
          <w:sz w:val="28"/>
          <w:szCs w:val="28"/>
          <w:highlight w:val="none"/>
        </w:rPr>
      </w:pPr>
      <w:r>
        <w:rPr>
          <w:rFonts w:hint="eastAsia" w:asciiTheme="majorEastAsia" w:hAnsiTheme="majorEastAsia" w:eastAsiaTheme="majorEastAsia" w:cstheme="majorEastAsia"/>
          <w:color w:val="auto"/>
          <w:spacing w:val="6"/>
          <w:sz w:val="28"/>
          <w:szCs w:val="28"/>
          <w:highlight w:val="none"/>
        </w:rPr>
        <w:t xml:space="preserve">               单位名称（加盖CA电子公章）：</w:t>
      </w:r>
    </w:p>
    <w:p w14:paraId="17547941">
      <w:pPr>
        <w:tabs>
          <w:tab w:val="left" w:pos="4860"/>
        </w:tabs>
        <w:spacing w:line="360" w:lineRule="auto"/>
        <w:ind w:right="1560" w:firstLine="584" w:firstLineChars="200"/>
        <w:jc w:val="center"/>
        <w:rPr>
          <w:rFonts w:hint="eastAsia" w:asciiTheme="majorEastAsia" w:hAnsiTheme="majorEastAsia" w:eastAsiaTheme="majorEastAsia" w:cstheme="majorEastAsia"/>
          <w:color w:val="auto"/>
          <w:spacing w:val="6"/>
          <w:sz w:val="28"/>
          <w:szCs w:val="28"/>
          <w:highlight w:val="none"/>
        </w:rPr>
      </w:pPr>
      <w:r>
        <w:rPr>
          <w:rFonts w:hint="eastAsia" w:asciiTheme="majorEastAsia" w:hAnsiTheme="majorEastAsia" w:eastAsiaTheme="majorEastAsia" w:cstheme="majorEastAsia"/>
          <w:color w:val="auto"/>
          <w:spacing w:val="6"/>
          <w:sz w:val="28"/>
          <w:szCs w:val="28"/>
          <w:highlight w:val="none"/>
        </w:rPr>
        <w:t xml:space="preserve">       日  期：</w:t>
      </w:r>
    </w:p>
    <w:p w14:paraId="1EBC75E7">
      <w:pPr>
        <w:spacing w:line="360" w:lineRule="auto"/>
        <w:ind w:firstLine="2520" w:firstLineChars="900"/>
        <w:rPr>
          <w:rFonts w:hint="eastAsia" w:asciiTheme="majorEastAsia" w:hAnsiTheme="majorEastAsia" w:eastAsiaTheme="majorEastAsia" w:cstheme="majorEastAsia"/>
          <w:color w:val="auto"/>
          <w:sz w:val="28"/>
          <w:szCs w:val="28"/>
          <w:highlight w:val="none"/>
        </w:rPr>
      </w:pPr>
    </w:p>
    <w:p w14:paraId="3F03D6BD">
      <w:pPr>
        <w:pStyle w:val="13"/>
        <w:spacing w:line="360" w:lineRule="auto"/>
        <w:ind w:left="1260"/>
        <w:rPr>
          <w:rFonts w:hint="eastAsia" w:asciiTheme="majorEastAsia" w:hAnsiTheme="majorEastAsia" w:eastAsiaTheme="majorEastAsia" w:cstheme="majorEastAsia"/>
          <w:color w:val="auto"/>
          <w:highlight w:val="none"/>
        </w:rPr>
      </w:pPr>
    </w:p>
    <w:p w14:paraId="1151F6DE">
      <w:pPr>
        <w:spacing w:line="360" w:lineRule="auto"/>
        <w:rPr>
          <w:rFonts w:hint="eastAsia" w:asciiTheme="majorEastAsia" w:hAnsiTheme="majorEastAsia" w:eastAsiaTheme="majorEastAsia" w:cstheme="majorEastAsia"/>
          <w:color w:val="auto"/>
          <w:highlight w:val="none"/>
        </w:rPr>
      </w:pPr>
    </w:p>
    <w:p w14:paraId="10784CD6">
      <w:pPr>
        <w:pStyle w:val="13"/>
        <w:spacing w:line="360" w:lineRule="auto"/>
        <w:ind w:left="1260"/>
        <w:rPr>
          <w:rFonts w:hint="eastAsia" w:asciiTheme="majorEastAsia" w:hAnsiTheme="majorEastAsia" w:eastAsiaTheme="majorEastAsia" w:cstheme="majorEastAsia"/>
          <w:color w:val="auto"/>
          <w:highlight w:val="none"/>
        </w:rPr>
      </w:pPr>
    </w:p>
    <w:p w14:paraId="72286B55">
      <w:pPr>
        <w:spacing w:line="360" w:lineRule="auto"/>
        <w:rPr>
          <w:rFonts w:hint="eastAsia" w:asciiTheme="majorEastAsia" w:hAnsiTheme="majorEastAsia" w:eastAsiaTheme="majorEastAsia" w:cstheme="majorEastAsia"/>
          <w:color w:val="auto"/>
          <w:highlight w:val="none"/>
        </w:rPr>
      </w:pPr>
    </w:p>
    <w:p w14:paraId="13AA818F">
      <w:pPr>
        <w:spacing w:line="360" w:lineRule="auto"/>
        <w:ind w:firstLine="2880" w:firstLineChars="900"/>
        <w:rPr>
          <w:rFonts w:hint="eastAsia" w:asciiTheme="majorEastAsia" w:hAnsiTheme="majorEastAsia" w:eastAsiaTheme="majorEastAsia" w:cstheme="majorEastAsia"/>
          <w:color w:val="auto"/>
          <w:sz w:val="32"/>
          <w:szCs w:val="32"/>
          <w:highlight w:val="none"/>
        </w:rPr>
      </w:pPr>
    </w:p>
    <w:p w14:paraId="0F391129">
      <w:pPr>
        <w:pStyle w:val="23"/>
        <w:spacing w:beforeAutospacing="0" w:afterAutospacing="0" w:line="360" w:lineRule="auto"/>
        <w:ind w:firstLine="480"/>
        <w:jc w:val="both"/>
        <w:rPr>
          <w:rFonts w:hint="eastAsia" w:asciiTheme="majorEastAsia" w:hAnsiTheme="majorEastAsia" w:eastAsiaTheme="majorEastAsia" w:cstheme="majorEastAsia"/>
          <w:color w:val="auto"/>
          <w:sz w:val="28"/>
          <w:szCs w:val="28"/>
          <w:highlight w:val="none"/>
        </w:rPr>
      </w:pPr>
    </w:p>
    <w:p w14:paraId="1B540CF1">
      <w:pPr>
        <w:pStyle w:val="23"/>
        <w:spacing w:beforeAutospacing="0" w:afterAutospacing="0" w:line="360" w:lineRule="auto"/>
        <w:ind w:firstLine="482"/>
        <w:jc w:val="both"/>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 备注：如是残疾人福利性单位需提供，此声明函将随中标结果同时公告，接受社会监督。</w:t>
      </w:r>
    </w:p>
    <w:p w14:paraId="1B268910">
      <w:pPr>
        <w:spacing w:line="360" w:lineRule="auto"/>
        <w:rPr>
          <w:rFonts w:hint="eastAsia" w:asciiTheme="majorEastAsia" w:hAnsiTheme="majorEastAsia" w:eastAsiaTheme="majorEastAsia" w:cstheme="majorEastAsia"/>
          <w:b/>
          <w:color w:val="auto"/>
          <w:sz w:val="36"/>
          <w:szCs w:val="36"/>
          <w:highlight w:val="none"/>
        </w:rPr>
      </w:pPr>
    </w:p>
    <w:p w14:paraId="58182546">
      <w:pPr>
        <w:pStyle w:val="11"/>
        <w:spacing w:line="360" w:lineRule="auto"/>
        <w:rPr>
          <w:rFonts w:hint="eastAsia"/>
          <w:color w:val="auto"/>
          <w:highlight w:val="none"/>
        </w:rPr>
      </w:pPr>
    </w:p>
    <w:p w14:paraId="7DC218C8">
      <w:pPr>
        <w:spacing w:line="360" w:lineRule="auto"/>
        <w:ind w:firstLine="2891" w:firstLineChars="900"/>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t>属于监狱企业的证明文件</w:t>
      </w:r>
    </w:p>
    <w:p w14:paraId="1A3DB548">
      <w:pPr>
        <w:widowControl/>
        <w:spacing w:line="360" w:lineRule="auto"/>
        <w:ind w:firstLine="560" w:firstLineChars="200"/>
        <w:jc w:val="left"/>
        <w:textAlignment w:val="baseline"/>
        <w:rPr>
          <w:rFonts w:hint="eastAsia" w:asciiTheme="majorEastAsia" w:hAnsiTheme="majorEastAsia" w:eastAsiaTheme="majorEastAsia" w:cstheme="majorEastAsia"/>
          <w:color w:val="auto"/>
          <w:kern w:val="0"/>
          <w:sz w:val="28"/>
          <w:szCs w:val="28"/>
          <w:highlight w:val="none"/>
        </w:rPr>
      </w:pPr>
      <w:r>
        <w:rPr>
          <w:rFonts w:hint="eastAsia" w:asciiTheme="majorEastAsia" w:hAnsiTheme="majorEastAsia" w:eastAsiaTheme="majorEastAsia" w:cstheme="majorEastAsia"/>
          <w:color w:val="auto"/>
          <w:kern w:val="0"/>
          <w:sz w:val="28"/>
          <w:szCs w:val="28"/>
          <w:highlight w:val="none"/>
        </w:rPr>
        <w:t>（提供由省级以上监狱管理局、戒毒管理局(含新疆生产建设兵团)出具的属于监狱企业的证明文件）</w:t>
      </w:r>
    </w:p>
    <w:p w14:paraId="4C60521D">
      <w:pPr>
        <w:widowControl/>
        <w:spacing w:line="360" w:lineRule="auto"/>
        <w:ind w:firstLine="560" w:firstLineChars="200"/>
        <w:jc w:val="left"/>
        <w:textAlignment w:val="baseline"/>
        <w:rPr>
          <w:rFonts w:hint="eastAsia" w:asciiTheme="majorEastAsia" w:hAnsiTheme="majorEastAsia" w:eastAsiaTheme="majorEastAsia" w:cstheme="majorEastAsia"/>
          <w:color w:val="auto"/>
          <w:kern w:val="0"/>
          <w:sz w:val="28"/>
          <w:szCs w:val="28"/>
          <w:highlight w:val="none"/>
        </w:rPr>
      </w:pPr>
    </w:p>
    <w:p w14:paraId="263AFCE7">
      <w:pPr>
        <w:spacing w:line="360" w:lineRule="auto"/>
        <w:rPr>
          <w:rFonts w:hint="eastAsia" w:asciiTheme="majorEastAsia" w:hAnsiTheme="majorEastAsia" w:eastAsiaTheme="majorEastAsia" w:cstheme="majorEastAsia"/>
          <w:color w:val="auto"/>
          <w:highlight w:val="none"/>
        </w:rPr>
      </w:pPr>
    </w:p>
    <w:p w14:paraId="4004DFA4">
      <w:pPr>
        <w:spacing w:line="360" w:lineRule="auto"/>
        <w:rPr>
          <w:rFonts w:hint="eastAsia" w:asciiTheme="majorEastAsia" w:hAnsiTheme="majorEastAsia" w:eastAsiaTheme="majorEastAsia" w:cstheme="majorEastAsia"/>
          <w:color w:val="auto"/>
          <w:highlight w:val="none"/>
        </w:rPr>
      </w:pPr>
    </w:p>
    <w:p w14:paraId="1604797D">
      <w:pPr>
        <w:pStyle w:val="49"/>
        <w:spacing w:line="360" w:lineRule="auto"/>
        <w:ind w:firstLine="560"/>
        <w:rPr>
          <w:rFonts w:hint="eastAsia" w:asciiTheme="majorEastAsia" w:hAnsiTheme="majorEastAsia" w:eastAsiaTheme="majorEastAsia" w:cstheme="majorEastAsia"/>
          <w:color w:val="auto"/>
          <w:sz w:val="28"/>
          <w:szCs w:val="28"/>
          <w:highlight w:val="none"/>
        </w:rPr>
      </w:pPr>
    </w:p>
    <w:p w14:paraId="44B55AE5">
      <w:pPr>
        <w:pStyle w:val="49"/>
        <w:spacing w:line="360" w:lineRule="auto"/>
        <w:ind w:firstLine="480"/>
        <w:rPr>
          <w:rFonts w:hint="eastAsia" w:asciiTheme="majorEastAsia" w:hAnsiTheme="majorEastAsia" w:eastAsiaTheme="majorEastAsia" w:cstheme="majorEastAsia"/>
          <w:color w:val="auto"/>
          <w:sz w:val="24"/>
          <w:highlight w:val="none"/>
        </w:rPr>
      </w:pPr>
    </w:p>
    <w:p w14:paraId="7C6CDCA7">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7759EE39">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5014EEC7">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4E191BB0">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4B79E0F9">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22730C88">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32B47049">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4F4460CF">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0D42B932">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53C77E64">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2748AA41">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29B856FB">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1FEDAD15">
      <w:pPr>
        <w:spacing w:line="360" w:lineRule="auto"/>
        <w:ind w:firstLine="2240" w:firstLineChars="700"/>
        <w:rPr>
          <w:rFonts w:hint="eastAsia" w:asciiTheme="majorEastAsia" w:hAnsiTheme="majorEastAsia" w:eastAsiaTheme="majorEastAsia" w:cstheme="majorEastAsia"/>
          <w:color w:val="auto"/>
          <w:sz w:val="32"/>
          <w:szCs w:val="32"/>
          <w:highlight w:val="none"/>
        </w:rPr>
      </w:pPr>
    </w:p>
    <w:p w14:paraId="7C15C68F">
      <w:pPr>
        <w:spacing w:line="360" w:lineRule="auto"/>
        <w:ind w:firstLine="1960" w:firstLineChars="700"/>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 备注：如是监狱企业需提供。</w:t>
      </w:r>
    </w:p>
    <w:p w14:paraId="7643AB2A">
      <w:pPr>
        <w:pStyle w:val="11"/>
        <w:spacing w:line="360" w:lineRule="auto"/>
        <w:rPr>
          <w:rFonts w:hint="eastAsia" w:asciiTheme="majorEastAsia" w:hAnsiTheme="majorEastAsia" w:eastAsiaTheme="majorEastAsia" w:cstheme="majorEastAsia"/>
          <w:color w:val="auto"/>
          <w:sz w:val="28"/>
          <w:szCs w:val="28"/>
          <w:highlight w:val="none"/>
        </w:rPr>
      </w:pPr>
    </w:p>
    <w:p w14:paraId="6E4BD4FF">
      <w:pPr>
        <w:pStyle w:val="23"/>
        <w:spacing w:beforeAutospacing="0" w:afterAutospacing="0" w:line="360" w:lineRule="auto"/>
        <w:jc w:val="center"/>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质疑函范本</w:t>
      </w:r>
    </w:p>
    <w:p w14:paraId="6E372A94">
      <w:pPr>
        <w:pStyle w:val="23"/>
        <w:spacing w:before="290"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一、质疑供应商基本信息</w:t>
      </w:r>
    </w:p>
    <w:p w14:paraId="556957FD">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质疑供应商：</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4561783A">
      <w:pPr>
        <w:pStyle w:val="23"/>
        <w:spacing w:beforeAutospacing="0" w:afterAutospacing="0" w:line="360" w:lineRule="auto"/>
        <w:jc w:val="both"/>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地址：</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w:t>
      </w:r>
    </w:p>
    <w:p w14:paraId="474E1173">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邮编：</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19005474">
      <w:pPr>
        <w:pStyle w:val="23"/>
        <w:spacing w:beforeAutospacing="0" w:afterAutospacing="0" w:line="360" w:lineRule="auto"/>
        <w:jc w:val="both"/>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联系人：</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3CB49A4B">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联系电话：</w:t>
      </w:r>
      <w:r>
        <w:rPr>
          <w:rFonts w:hint="eastAsia" w:asciiTheme="majorEastAsia" w:hAnsiTheme="majorEastAsia" w:eastAsiaTheme="majorEastAsia" w:cstheme="majorEastAsia"/>
          <w:color w:val="auto"/>
          <w:highlight w:val="none"/>
          <w:u w:val="single"/>
        </w:rPr>
        <w:t xml:space="preserve">                                           </w:t>
      </w:r>
    </w:p>
    <w:p w14:paraId="778FF2E7">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授权代表：</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686688F1">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联系电话：</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40A07DA9">
      <w:pPr>
        <w:pStyle w:val="23"/>
        <w:spacing w:beforeAutospacing="0" w:afterAutospacing="0" w:line="360" w:lineRule="auto"/>
        <w:jc w:val="both"/>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地址： </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68019CC0">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邮编：</w:t>
      </w:r>
      <w:r>
        <w:rPr>
          <w:rFonts w:hint="eastAsia" w:asciiTheme="majorEastAsia" w:hAnsiTheme="majorEastAsia" w:eastAsiaTheme="majorEastAsia" w:cstheme="majorEastAsia"/>
          <w:color w:val="auto"/>
          <w:highlight w:val="none"/>
          <w:u w:val="single"/>
        </w:rPr>
        <w:t xml:space="preserve">                                </w:t>
      </w:r>
    </w:p>
    <w:p w14:paraId="20E76238">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二、质疑项目基本情况</w:t>
      </w:r>
    </w:p>
    <w:p w14:paraId="67AFCA78">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质疑项目的名称：</w:t>
      </w:r>
      <w:r>
        <w:rPr>
          <w:rFonts w:hint="eastAsia" w:asciiTheme="majorEastAsia" w:hAnsiTheme="majorEastAsia" w:eastAsiaTheme="majorEastAsia" w:cstheme="majorEastAsia"/>
          <w:color w:val="auto"/>
          <w:highlight w:val="none"/>
          <w:u w:val="single"/>
        </w:rPr>
        <w:t xml:space="preserve">                            </w:t>
      </w:r>
    </w:p>
    <w:p w14:paraId="5DF74C69">
      <w:pPr>
        <w:pStyle w:val="23"/>
        <w:spacing w:beforeAutospacing="0" w:afterAutospacing="0" w:line="360" w:lineRule="auto"/>
        <w:jc w:val="both"/>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质疑项目的编号：</w:t>
      </w:r>
      <w:r>
        <w:rPr>
          <w:rFonts w:hint="eastAsia" w:asciiTheme="majorEastAsia" w:hAnsiTheme="majorEastAsia" w:eastAsiaTheme="majorEastAsia" w:cstheme="majorEastAsia"/>
          <w:color w:val="auto"/>
          <w:highlight w:val="none"/>
          <w:u w:val="single"/>
        </w:rPr>
        <w:t xml:space="preserve">                          </w:t>
      </w:r>
    </w:p>
    <w:p w14:paraId="733B4AC8">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包号：</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44B0D769">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采购人名称：</w:t>
      </w:r>
      <w:r>
        <w:rPr>
          <w:rFonts w:hint="eastAsia" w:asciiTheme="majorEastAsia" w:hAnsiTheme="majorEastAsia" w:eastAsiaTheme="majorEastAsia" w:cstheme="majorEastAsia"/>
          <w:color w:val="auto"/>
          <w:highlight w:val="none"/>
          <w:u w:val="single"/>
        </w:rPr>
        <w:t xml:space="preserve">                            </w:t>
      </w:r>
    </w:p>
    <w:p w14:paraId="4F44C19E">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采购文件获取日期：</w:t>
      </w:r>
      <w:r>
        <w:rPr>
          <w:rFonts w:hint="eastAsia" w:asciiTheme="majorEastAsia" w:hAnsiTheme="majorEastAsia" w:eastAsiaTheme="majorEastAsia" w:cstheme="majorEastAsia"/>
          <w:color w:val="auto"/>
          <w:highlight w:val="none"/>
          <w:u w:val="single"/>
        </w:rPr>
        <w:t xml:space="preserve">                             </w:t>
      </w:r>
    </w:p>
    <w:p w14:paraId="1BC4A883">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三、质疑事项具体内容</w:t>
      </w:r>
    </w:p>
    <w:p w14:paraId="62816275">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质疑事项1：</w:t>
      </w:r>
      <w:r>
        <w:rPr>
          <w:rFonts w:hint="eastAsia" w:asciiTheme="majorEastAsia" w:hAnsiTheme="majorEastAsia" w:eastAsiaTheme="majorEastAsia" w:cstheme="majorEastAsia"/>
          <w:color w:val="auto"/>
          <w:highlight w:val="none"/>
          <w:u w:val="single"/>
        </w:rPr>
        <w:t xml:space="preserve">                             </w:t>
      </w:r>
    </w:p>
    <w:p w14:paraId="18AB1D8A">
      <w:pPr>
        <w:pStyle w:val="23"/>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事实依据：</w:t>
      </w:r>
      <w:r>
        <w:rPr>
          <w:rFonts w:hint="eastAsia" w:asciiTheme="majorEastAsia" w:hAnsiTheme="majorEastAsia" w:eastAsiaTheme="majorEastAsia" w:cstheme="majorEastAsia"/>
          <w:color w:val="auto"/>
          <w:highlight w:val="none"/>
          <w:u w:val="single"/>
        </w:rPr>
        <w:t xml:space="preserve">                                                   </w:t>
      </w:r>
    </w:p>
    <w:p w14:paraId="7798F459">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法律依据：</w:t>
      </w:r>
      <w:r>
        <w:rPr>
          <w:rFonts w:hint="eastAsia" w:asciiTheme="majorEastAsia" w:hAnsiTheme="majorEastAsia" w:eastAsiaTheme="majorEastAsia" w:cstheme="majorEastAsia"/>
          <w:color w:val="auto"/>
          <w:highlight w:val="none"/>
          <w:u w:val="single"/>
        </w:rPr>
        <w:t xml:space="preserve">                                                    </w:t>
      </w:r>
    </w:p>
    <w:p w14:paraId="41E2E388">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质疑事项2</w:t>
      </w:r>
    </w:p>
    <w:p w14:paraId="383FB325">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p w14:paraId="7EC86B01">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四、与质疑事项相关的质疑请求</w:t>
      </w:r>
    </w:p>
    <w:p w14:paraId="69BDFA06">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请求：</w:t>
      </w:r>
      <w:r>
        <w:rPr>
          <w:rFonts w:hint="eastAsia" w:asciiTheme="majorEastAsia" w:hAnsiTheme="majorEastAsia" w:eastAsiaTheme="majorEastAsia" w:cstheme="majorEastAsia"/>
          <w:color w:val="auto"/>
          <w:highlight w:val="none"/>
          <w:u w:val="single"/>
        </w:rPr>
        <w:t xml:space="preserve">                                                          </w:t>
      </w:r>
    </w:p>
    <w:p w14:paraId="382DB157">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签字(签章)：                 公章：               日期：    </w:t>
      </w:r>
    </w:p>
    <w:p w14:paraId="4BF9256E">
      <w:pPr>
        <w:pStyle w:val="23"/>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质疑函制作说明：</w:t>
      </w:r>
    </w:p>
    <w:p w14:paraId="301DCA19">
      <w:pPr>
        <w:pStyle w:val="23"/>
        <w:widowControl/>
        <w:spacing w:beforeAutospacing="0" w:afterAutospacing="0" w:line="360" w:lineRule="auto"/>
        <w:ind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1.供应商提出质疑时，应提交质疑函和必要的证明材料。</w:t>
      </w:r>
    </w:p>
    <w:p w14:paraId="01DEF275">
      <w:pPr>
        <w:pStyle w:val="23"/>
        <w:widowControl/>
        <w:spacing w:beforeAutospacing="0" w:afterAutospacing="0" w:line="360" w:lineRule="auto"/>
        <w:ind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1083005">
      <w:pPr>
        <w:pStyle w:val="23"/>
        <w:widowControl/>
        <w:spacing w:beforeAutospacing="0" w:afterAutospacing="0" w:line="360" w:lineRule="auto"/>
        <w:ind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3.质疑供应商若对项目的某一分包进行质疑，质疑函中应列明具体分包号。</w:t>
      </w:r>
    </w:p>
    <w:p w14:paraId="12270E88">
      <w:pPr>
        <w:pStyle w:val="23"/>
        <w:widowControl/>
        <w:spacing w:beforeAutospacing="0" w:afterAutospacing="0" w:line="360" w:lineRule="auto"/>
        <w:ind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4.质疑函的质疑事项应具体、明确，并有必要的事实依据和法律依据。</w:t>
      </w:r>
    </w:p>
    <w:p w14:paraId="7F65324C">
      <w:pPr>
        <w:pStyle w:val="23"/>
        <w:widowControl/>
        <w:spacing w:beforeAutospacing="0" w:afterAutospacing="0" w:line="360" w:lineRule="auto"/>
        <w:ind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5.质疑函的质疑请求应与质疑事项相关。</w:t>
      </w:r>
    </w:p>
    <w:p w14:paraId="684784F8">
      <w:pPr>
        <w:pStyle w:val="23"/>
        <w:widowControl/>
        <w:spacing w:beforeAutospacing="0" w:afterAutospacing="0" w:line="360" w:lineRule="auto"/>
        <w:ind w:firstLine="48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6.质疑供应商为自然人的，质疑函应由本人签字；质疑供应商为法人或者其他组织的，质疑函应由法定代表人、主要负责人，或者其授权代表签字或者盖章，并加盖公章。</w:t>
      </w:r>
    </w:p>
    <w:p w14:paraId="2B485CD6">
      <w:pPr>
        <w:spacing w:line="360" w:lineRule="auto"/>
        <w:rPr>
          <w:rFonts w:hint="eastAsia" w:asciiTheme="majorEastAsia" w:hAnsiTheme="majorEastAsia" w:eastAsiaTheme="majorEastAsia" w:cstheme="majorEastAsia"/>
          <w:color w:val="auto"/>
          <w:highlight w:val="none"/>
        </w:rPr>
      </w:pPr>
    </w:p>
    <w:p w14:paraId="121E3DE2">
      <w:pPr>
        <w:spacing w:line="360" w:lineRule="auto"/>
        <w:rPr>
          <w:rFonts w:hint="eastAsia" w:asciiTheme="majorEastAsia" w:hAnsiTheme="majorEastAsia" w:eastAsiaTheme="majorEastAsia" w:cstheme="majorEastAsia"/>
          <w:color w:val="auto"/>
          <w:highlight w:val="none"/>
        </w:rPr>
      </w:pPr>
    </w:p>
    <w:sectPr>
      <w:pgSz w:w="11906" w:h="16838"/>
      <w:pgMar w:top="1383" w:right="1531" w:bottom="1383" w:left="1531" w:header="851" w:footer="907" w:gutter="0"/>
      <w:pgNumType w:fmt="decimal"/>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embedRegular r:id="rId1" w:fontKey="{C97D9DF4-1452-4AEB-9CBC-D09305F8045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29964">
    <w:pPr>
      <w:pStyle w:val="17"/>
      <w:jc w:val="center"/>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58F391">
                          <w:pPr>
                            <w:pStyle w:val="1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758F391">
                    <w:pPr>
                      <w:pStyle w:val="1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8D7E0">
    <w:pPr>
      <w:pStyle w:val="17"/>
      <w:framePr w:wrap="around" w:vAnchor="text" w:hAnchor="margin" w:xAlign="center" w:y="1"/>
      <w:rPr>
        <w:rStyle w:val="30"/>
      </w:rPr>
    </w:pPr>
    <w:r>
      <w:fldChar w:fldCharType="begin"/>
    </w:r>
    <w:r>
      <w:rPr>
        <w:rStyle w:val="30"/>
      </w:rPr>
      <w:instrText xml:space="preserve">PAGE  </w:instrText>
    </w:r>
    <w:r>
      <w:fldChar w:fldCharType="separate"/>
    </w:r>
    <w:r>
      <w:rPr>
        <w:rStyle w:val="30"/>
      </w:rPr>
      <w:t>1</w:t>
    </w:r>
    <w:r>
      <w:fldChar w:fldCharType="end"/>
    </w:r>
  </w:p>
  <w:p w14:paraId="3ADE7847">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70AD2">
    <w:pPr>
      <w:pStyle w:val="17"/>
      <w:jc w:val="center"/>
      <w:rPr>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0CCB74">
                          <w:pPr>
                            <w:pStyle w:val="1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C0CCB74">
                    <w:pPr>
                      <w:pStyle w:val="1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A2123">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B0ED2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DB0ED2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0B6FC">
    <w:pPr>
      <w:pStyle w:val="17"/>
      <w:tabs>
        <w:tab w:val="left" w:pos="2745"/>
        <w:tab w:val="clear" w:pos="4153"/>
        <w:tab w:val="clear" w:pos="8306"/>
      </w:tabs>
    </w:pPr>
    <w:r>
      <w:rPr>
        <w:sz w:val="18"/>
      </w:rPr>
      <mc:AlternateContent>
        <mc:Choice Requires="wps">
          <w:drawing>
            <wp:anchor distT="0" distB="0" distL="114300" distR="114300" simplePos="0" relativeHeight="251662336" behindDoc="0" locked="0" layoutInCell="1" allowOverlap="1">
              <wp:simplePos x="0" y="0"/>
              <wp:positionH relativeFrom="margin">
                <wp:posOffset>2783840</wp:posOffset>
              </wp:positionH>
              <wp:positionV relativeFrom="paragraph">
                <wp:posOffset>111760</wp:posOffset>
              </wp:positionV>
              <wp:extent cx="233680" cy="1949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233680" cy="1949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6CE773">
                          <w:pPr>
                            <w:pStyle w:val="1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34</w:t>
                          </w:r>
                          <w:r>
                            <w:rPr>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19.2pt;margin-top:8.8pt;height:15.35pt;width:18.4pt;mso-position-horizontal-relative:margin;z-index:251662336;mso-width-relative:page;mso-height-relative:page;" filled="f" stroked="f" coordsize="21600,21600" o:gfxdata="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K0vBEnYAAAACQEAAA8AAAAAAAAAAQAgAAAAIgAAAGRycy9kb3du&#10;cmV2LnhtbFBLAQIUABQAAAAIAIdO4kBbQ3rsOAIAAGEEAAAOAAAAAAAAAAEAIAAAACcBAABkcnMv&#10;ZTJvRG9jLnhtbFBLBQYAAAAABgAGAFkBAADRBQAAAAA=&#10;">
              <v:fill on="f" focussize="0,0"/>
              <v:stroke on="f" weight="0.5pt"/>
              <v:imagedata o:title=""/>
              <o:lock v:ext="edit" aspectratio="f"/>
              <v:textbox inset="0mm,0mm,0mm,0mm">
                <w:txbxContent>
                  <w:p w14:paraId="516CE773">
                    <w:pPr>
                      <w:pStyle w:val="1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34</w:t>
                    </w:r>
                    <w:r>
                      <w:rPr>
                        <w:sz w:val="21"/>
                        <w:szCs w:val="21"/>
                      </w:rPr>
                      <w:fldChar w:fldCharType="end"/>
                    </w:r>
                  </w:p>
                </w:txbxContent>
              </v:textbox>
            </v:shape>
          </w:pict>
        </mc:Fallback>
      </mc:AlternateContent>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D51AE">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3881D">
    <w:pPr>
      <w:pStyle w:val="18"/>
      <w:pBdr>
        <w:bottom w:val="none" w:color="auto" w:sz="0" w:space="1"/>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FC4C87"/>
    <w:multiLevelType w:val="singleLevel"/>
    <w:tmpl w:val="11FC4C87"/>
    <w:lvl w:ilvl="0" w:tentative="0">
      <w:start w:val="2"/>
      <w:numFmt w:val="chineseCounting"/>
      <w:suff w:val="nothing"/>
      <w:lvlText w:val="%1、"/>
      <w:lvlJc w:val="left"/>
      <w:rPr>
        <w:rFonts w:hint="eastAsia"/>
      </w:rPr>
    </w:lvl>
  </w:abstractNum>
  <w:abstractNum w:abstractNumId="1">
    <w:nsid w:val="12EADF99"/>
    <w:multiLevelType w:val="multilevel"/>
    <w:tmpl w:val="12EADF9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0F7DC62"/>
    <w:multiLevelType w:val="singleLevel"/>
    <w:tmpl w:val="20F7DC62"/>
    <w:lvl w:ilvl="0" w:tentative="0">
      <w:start w:val="5"/>
      <w:numFmt w:val="chineseCounting"/>
      <w:suff w:val="space"/>
      <w:lvlText w:val="第%1章"/>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czZjUwZGJiMjMxMmU3Y2VkMzA2OGZjOTI0ZGRjOTgifQ=="/>
  </w:docVars>
  <w:rsids>
    <w:rsidRoot w:val="153102D8"/>
    <w:rsid w:val="000229D3"/>
    <w:rsid w:val="000257E5"/>
    <w:rsid w:val="00036560"/>
    <w:rsid w:val="00052A18"/>
    <w:rsid w:val="00085374"/>
    <w:rsid w:val="000E6F1D"/>
    <w:rsid w:val="000F2527"/>
    <w:rsid w:val="000F5645"/>
    <w:rsid w:val="00101700"/>
    <w:rsid w:val="0017290F"/>
    <w:rsid w:val="001F4323"/>
    <w:rsid w:val="002726E2"/>
    <w:rsid w:val="00294428"/>
    <w:rsid w:val="002B4F07"/>
    <w:rsid w:val="002B7FC7"/>
    <w:rsid w:val="002E417D"/>
    <w:rsid w:val="002F4540"/>
    <w:rsid w:val="0032114E"/>
    <w:rsid w:val="003C2062"/>
    <w:rsid w:val="003E1264"/>
    <w:rsid w:val="00425827"/>
    <w:rsid w:val="00437AFE"/>
    <w:rsid w:val="0046550B"/>
    <w:rsid w:val="004711EC"/>
    <w:rsid w:val="00475311"/>
    <w:rsid w:val="004932C7"/>
    <w:rsid w:val="00493418"/>
    <w:rsid w:val="004A07F5"/>
    <w:rsid w:val="004C775A"/>
    <w:rsid w:val="005740D8"/>
    <w:rsid w:val="00575840"/>
    <w:rsid w:val="005C4D2E"/>
    <w:rsid w:val="005D6B79"/>
    <w:rsid w:val="00610F8E"/>
    <w:rsid w:val="006441C7"/>
    <w:rsid w:val="006836D3"/>
    <w:rsid w:val="006B7324"/>
    <w:rsid w:val="006C22CA"/>
    <w:rsid w:val="006C4565"/>
    <w:rsid w:val="006E3E6E"/>
    <w:rsid w:val="006F128C"/>
    <w:rsid w:val="00702588"/>
    <w:rsid w:val="00742C5B"/>
    <w:rsid w:val="007578DC"/>
    <w:rsid w:val="00767ED7"/>
    <w:rsid w:val="00846A26"/>
    <w:rsid w:val="009D3D42"/>
    <w:rsid w:val="009E5347"/>
    <w:rsid w:val="00A727B0"/>
    <w:rsid w:val="00A97671"/>
    <w:rsid w:val="00AD01E1"/>
    <w:rsid w:val="00AE13A8"/>
    <w:rsid w:val="00B32468"/>
    <w:rsid w:val="00B42F33"/>
    <w:rsid w:val="00B52311"/>
    <w:rsid w:val="00B53227"/>
    <w:rsid w:val="00BB48D7"/>
    <w:rsid w:val="00BF343E"/>
    <w:rsid w:val="00C27EDB"/>
    <w:rsid w:val="00C603FA"/>
    <w:rsid w:val="00C85298"/>
    <w:rsid w:val="00C95B0D"/>
    <w:rsid w:val="00CA3288"/>
    <w:rsid w:val="00D17BB0"/>
    <w:rsid w:val="00D93C3F"/>
    <w:rsid w:val="00DA2AC6"/>
    <w:rsid w:val="00DE24D4"/>
    <w:rsid w:val="00E459D5"/>
    <w:rsid w:val="00EC26EC"/>
    <w:rsid w:val="00EE209C"/>
    <w:rsid w:val="00F207AF"/>
    <w:rsid w:val="00F211EF"/>
    <w:rsid w:val="00FA3D81"/>
    <w:rsid w:val="00FC413D"/>
    <w:rsid w:val="011E4AC8"/>
    <w:rsid w:val="012D66CB"/>
    <w:rsid w:val="0136557F"/>
    <w:rsid w:val="01474750"/>
    <w:rsid w:val="01600513"/>
    <w:rsid w:val="01675739"/>
    <w:rsid w:val="0168074B"/>
    <w:rsid w:val="01853E11"/>
    <w:rsid w:val="018B248D"/>
    <w:rsid w:val="01AC4DB1"/>
    <w:rsid w:val="01B17717"/>
    <w:rsid w:val="01D152A8"/>
    <w:rsid w:val="01E46D89"/>
    <w:rsid w:val="020236B3"/>
    <w:rsid w:val="022950E4"/>
    <w:rsid w:val="02337D11"/>
    <w:rsid w:val="023575E5"/>
    <w:rsid w:val="029137FA"/>
    <w:rsid w:val="029A38EC"/>
    <w:rsid w:val="029C0641"/>
    <w:rsid w:val="02B4209C"/>
    <w:rsid w:val="02CD1F13"/>
    <w:rsid w:val="02DA4630"/>
    <w:rsid w:val="032B199D"/>
    <w:rsid w:val="03920A67"/>
    <w:rsid w:val="039447DF"/>
    <w:rsid w:val="03C56ED2"/>
    <w:rsid w:val="03D80876"/>
    <w:rsid w:val="03E70971"/>
    <w:rsid w:val="03EF1DB7"/>
    <w:rsid w:val="03FD2384"/>
    <w:rsid w:val="04193616"/>
    <w:rsid w:val="049525BD"/>
    <w:rsid w:val="049A5E25"/>
    <w:rsid w:val="04B52C5F"/>
    <w:rsid w:val="04BA0275"/>
    <w:rsid w:val="05025778"/>
    <w:rsid w:val="05071055"/>
    <w:rsid w:val="051E0804"/>
    <w:rsid w:val="053A13B6"/>
    <w:rsid w:val="05490420"/>
    <w:rsid w:val="0575419C"/>
    <w:rsid w:val="058C1932"/>
    <w:rsid w:val="05922FA0"/>
    <w:rsid w:val="05BA474E"/>
    <w:rsid w:val="05DF521A"/>
    <w:rsid w:val="05F11A75"/>
    <w:rsid w:val="06163BD1"/>
    <w:rsid w:val="061D286A"/>
    <w:rsid w:val="061D6D0E"/>
    <w:rsid w:val="0639341C"/>
    <w:rsid w:val="064C75F3"/>
    <w:rsid w:val="065564A8"/>
    <w:rsid w:val="065F7FF5"/>
    <w:rsid w:val="06782196"/>
    <w:rsid w:val="06982838"/>
    <w:rsid w:val="06BA455D"/>
    <w:rsid w:val="06DA7D4B"/>
    <w:rsid w:val="06E11AE9"/>
    <w:rsid w:val="07097292"/>
    <w:rsid w:val="070A3876"/>
    <w:rsid w:val="070E6657"/>
    <w:rsid w:val="07117EF5"/>
    <w:rsid w:val="07300CC3"/>
    <w:rsid w:val="07591FC8"/>
    <w:rsid w:val="07630750"/>
    <w:rsid w:val="0765219A"/>
    <w:rsid w:val="07BE1041"/>
    <w:rsid w:val="07C1191B"/>
    <w:rsid w:val="07E850FA"/>
    <w:rsid w:val="07EA5872"/>
    <w:rsid w:val="08073659"/>
    <w:rsid w:val="083B7E41"/>
    <w:rsid w:val="08444A26"/>
    <w:rsid w:val="08760957"/>
    <w:rsid w:val="088A4403"/>
    <w:rsid w:val="08A454C4"/>
    <w:rsid w:val="08AC25CB"/>
    <w:rsid w:val="08E2336D"/>
    <w:rsid w:val="08EE4992"/>
    <w:rsid w:val="095C57D4"/>
    <w:rsid w:val="096609CC"/>
    <w:rsid w:val="0966608B"/>
    <w:rsid w:val="0993249A"/>
    <w:rsid w:val="09AF0C06"/>
    <w:rsid w:val="09AF3A99"/>
    <w:rsid w:val="0A0855DF"/>
    <w:rsid w:val="0A2368BD"/>
    <w:rsid w:val="0A4222D0"/>
    <w:rsid w:val="0A622F41"/>
    <w:rsid w:val="0A7E3AF3"/>
    <w:rsid w:val="0A895F5A"/>
    <w:rsid w:val="0AA90B70"/>
    <w:rsid w:val="0AED56D4"/>
    <w:rsid w:val="0B072C11"/>
    <w:rsid w:val="0B116715"/>
    <w:rsid w:val="0B1B1342"/>
    <w:rsid w:val="0B36513E"/>
    <w:rsid w:val="0B5331D2"/>
    <w:rsid w:val="0B5605CC"/>
    <w:rsid w:val="0B772A1C"/>
    <w:rsid w:val="0B8E420A"/>
    <w:rsid w:val="0B923CFA"/>
    <w:rsid w:val="0BCB0FBA"/>
    <w:rsid w:val="0BDE6F3F"/>
    <w:rsid w:val="0BF42CB1"/>
    <w:rsid w:val="0BFB189F"/>
    <w:rsid w:val="0C000C64"/>
    <w:rsid w:val="0C1E558E"/>
    <w:rsid w:val="0C3D7985"/>
    <w:rsid w:val="0C430B50"/>
    <w:rsid w:val="0C4D5E73"/>
    <w:rsid w:val="0C57284E"/>
    <w:rsid w:val="0C6A07D3"/>
    <w:rsid w:val="0C7D0506"/>
    <w:rsid w:val="0C833643"/>
    <w:rsid w:val="0CA737D5"/>
    <w:rsid w:val="0CA75583"/>
    <w:rsid w:val="0CD87C0B"/>
    <w:rsid w:val="0D1D3A97"/>
    <w:rsid w:val="0D214396"/>
    <w:rsid w:val="0D244E26"/>
    <w:rsid w:val="0D3606B5"/>
    <w:rsid w:val="0D7A2C98"/>
    <w:rsid w:val="0D7B0357"/>
    <w:rsid w:val="0D896292"/>
    <w:rsid w:val="0D8C6527"/>
    <w:rsid w:val="0D9F26FE"/>
    <w:rsid w:val="0D9F50E6"/>
    <w:rsid w:val="0DA84934"/>
    <w:rsid w:val="0DB241E0"/>
    <w:rsid w:val="0DCB34F3"/>
    <w:rsid w:val="0DE46363"/>
    <w:rsid w:val="0DE60F8F"/>
    <w:rsid w:val="0E19600D"/>
    <w:rsid w:val="0E3471E6"/>
    <w:rsid w:val="0E356BBF"/>
    <w:rsid w:val="0E484B44"/>
    <w:rsid w:val="0E6A2D0C"/>
    <w:rsid w:val="0EFF16A6"/>
    <w:rsid w:val="0F0724F3"/>
    <w:rsid w:val="0F262B51"/>
    <w:rsid w:val="0F4E2FBE"/>
    <w:rsid w:val="0F587009"/>
    <w:rsid w:val="0F625791"/>
    <w:rsid w:val="0F7F77EA"/>
    <w:rsid w:val="0F824D84"/>
    <w:rsid w:val="0F9242C9"/>
    <w:rsid w:val="0F9C69AC"/>
    <w:rsid w:val="0FAA2A01"/>
    <w:rsid w:val="0FBA55CD"/>
    <w:rsid w:val="0FC46DD1"/>
    <w:rsid w:val="0FCB77DB"/>
    <w:rsid w:val="0FD075C5"/>
    <w:rsid w:val="0FE25BC4"/>
    <w:rsid w:val="0FE97C61"/>
    <w:rsid w:val="10150A56"/>
    <w:rsid w:val="10390BE8"/>
    <w:rsid w:val="10463305"/>
    <w:rsid w:val="108550E0"/>
    <w:rsid w:val="10B24C55"/>
    <w:rsid w:val="10D45722"/>
    <w:rsid w:val="10D53E14"/>
    <w:rsid w:val="115B0338"/>
    <w:rsid w:val="11704B95"/>
    <w:rsid w:val="11812847"/>
    <w:rsid w:val="118A1C40"/>
    <w:rsid w:val="11F6163F"/>
    <w:rsid w:val="123E4294"/>
    <w:rsid w:val="12582E7C"/>
    <w:rsid w:val="131C3185"/>
    <w:rsid w:val="13404ED0"/>
    <w:rsid w:val="134E49AB"/>
    <w:rsid w:val="1352718A"/>
    <w:rsid w:val="137B2C9D"/>
    <w:rsid w:val="138403CC"/>
    <w:rsid w:val="13B10A95"/>
    <w:rsid w:val="13BB1914"/>
    <w:rsid w:val="13C44583"/>
    <w:rsid w:val="13C44C6D"/>
    <w:rsid w:val="13F310AE"/>
    <w:rsid w:val="141A663B"/>
    <w:rsid w:val="143E2110"/>
    <w:rsid w:val="147541B9"/>
    <w:rsid w:val="14991C55"/>
    <w:rsid w:val="149A3C1F"/>
    <w:rsid w:val="14A10B0A"/>
    <w:rsid w:val="14BA55A9"/>
    <w:rsid w:val="14D26F15"/>
    <w:rsid w:val="14F355E1"/>
    <w:rsid w:val="14F96B98"/>
    <w:rsid w:val="152534E9"/>
    <w:rsid w:val="152C0D1B"/>
    <w:rsid w:val="153102D8"/>
    <w:rsid w:val="153154B8"/>
    <w:rsid w:val="15353DDC"/>
    <w:rsid w:val="154222ED"/>
    <w:rsid w:val="155468E1"/>
    <w:rsid w:val="15A20FDE"/>
    <w:rsid w:val="15A7212B"/>
    <w:rsid w:val="15B17473"/>
    <w:rsid w:val="15D66ED9"/>
    <w:rsid w:val="15EE5FD1"/>
    <w:rsid w:val="16013F56"/>
    <w:rsid w:val="163A7468"/>
    <w:rsid w:val="16646293"/>
    <w:rsid w:val="16AD19E8"/>
    <w:rsid w:val="16C91807"/>
    <w:rsid w:val="16CB4564"/>
    <w:rsid w:val="16EB2510"/>
    <w:rsid w:val="172B0777"/>
    <w:rsid w:val="172B6C2B"/>
    <w:rsid w:val="17367C2F"/>
    <w:rsid w:val="17485BB5"/>
    <w:rsid w:val="17552ECE"/>
    <w:rsid w:val="17797B1C"/>
    <w:rsid w:val="177B3DB7"/>
    <w:rsid w:val="17885FB1"/>
    <w:rsid w:val="178A7F7B"/>
    <w:rsid w:val="179130B8"/>
    <w:rsid w:val="179B7A92"/>
    <w:rsid w:val="17A428BB"/>
    <w:rsid w:val="17E20193"/>
    <w:rsid w:val="17EF7DDE"/>
    <w:rsid w:val="17FB62F2"/>
    <w:rsid w:val="181141F9"/>
    <w:rsid w:val="183314EC"/>
    <w:rsid w:val="18B155B2"/>
    <w:rsid w:val="18BA4890"/>
    <w:rsid w:val="18BD7EDC"/>
    <w:rsid w:val="18C354F3"/>
    <w:rsid w:val="18DA6CE0"/>
    <w:rsid w:val="18E53E06"/>
    <w:rsid w:val="194B45AF"/>
    <w:rsid w:val="19623C77"/>
    <w:rsid w:val="19961CA9"/>
    <w:rsid w:val="19A436D1"/>
    <w:rsid w:val="19AC242B"/>
    <w:rsid w:val="19BB441C"/>
    <w:rsid w:val="19BD63E6"/>
    <w:rsid w:val="19E020D4"/>
    <w:rsid w:val="1A0B6C88"/>
    <w:rsid w:val="1A147FD0"/>
    <w:rsid w:val="1A165AF6"/>
    <w:rsid w:val="1A2E2E40"/>
    <w:rsid w:val="1A4408B5"/>
    <w:rsid w:val="1A662169"/>
    <w:rsid w:val="1A7A7E33"/>
    <w:rsid w:val="1A7B3BAB"/>
    <w:rsid w:val="1A8630BC"/>
    <w:rsid w:val="1A8A7419"/>
    <w:rsid w:val="1A8E38DF"/>
    <w:rsid w:val="1AC92B69"/>
    <w:rsid w:val="1AFE6CB6"/>
    <w:rsid w:val="1B707488"/>
    <w:rsid w:val="1B8D7621"/>
    <w:rsid w:val="1C0F4EF3"/>
    <w:rsid w:val="1C12766F"/>
    <w:rsid w:val="1C2C33AF"/>
    <w:rsid w:val="1C454A57"/>
    <w:rsid w:val="1C47468D"/>
    <w:rsid w:val="1C4A79BA"/>
    <w:rsid w:val="1C5D7A0C"/>
    <w:rsid w:val="1CBA6C0D"/>
    <w:rsid w:val="1CC57360"/>
    <w:rsid w:val="1CCA00AC"/>
    <w:rsid w:val="1CE617B0"/>
    <w:rsid w:val="1D1F3746"/>
    <w:rsid w:val="1D24052A"/>
    <w:rsid w:val="1D240F57"/>
    <w:rsid w:val="1D784489"/>
    <w:rsid w:val="1D9C27B6"/>
    <w:rsid w:val="1DB775F0"/>
    <w:rsid w:val="1DBE272D"/>
    <w:rsid w:val="1DDC0E05"/>
    <w:rsid w:val="1DDD53F4"/>
    <w:rsid w:val="1DE71678"/>
    <w:rsid w:val="1DE71C83"/>
    <w:rsid w:val="1DE76912"/>
    <w:rsid w:val="1E201ADF"/>
    <w:rsid w:val="1E2269EF"/>
    <w:rsid w:val="1E2A6014"/>
    <w:rsid w:val="1E3D7AF5"/>
    <w:rsid w:val="1E5135A1"/>
    <w:rsid w:val="1E560BB7"/>
    <w:rsid w:val="1E636C9D"/>
    <w:rsid w:val="1E6E167D"/>
    <w:rsid w:val="1EB853CE"/>
    <w:rsid w:val="1EC21DF5"/>
    <w:rsid w:val="1ECE6184"/>
    <w:rsid w:val="1EE47F71"/>
    <w:rsid w:val="1F330AC4"/>
    <w:rsid w:val="1F334A54"/>
    <w:rsid w:val="1F3F33F9"/>
    <w:rsid w:val="1F5C3FAB"/>
    <w:rsid w:val="1F7F413E"/>
    <w:rsid w:val="1F8F0F6D"/>
    <w:rsid w:val="1F901EA7"/>
    <w:rsid w:val="1F941997"/>
    <w:rsid w:val="1FA871F0"/>
    <w:rsid w:val="20291775"/>
    <w:rsid w:val="202F16C0"/>
    <w:rsid w:val="20457135"/>
    <w:rsid w:val="206E1A00"/>
    <w:rsid w:val="207672EF"/>
    <w:rsid w:val="209459C7"/>
    <w:rsid w:val="209D34E9"/>
    <w:rsid w:val="209F6CEB"/>
    <w:rsid w:val="20A02F3B"/>
    <w:rsid w:val="20E0361D"/>
    <w:rsid w:val="20E93F65"/>
    <w:rsid w:val="20F12AC3"/>
    <w:rsid w:val="20F5147B"/>
    <w:rsid w:val="210C37AF"/>
    <w:rsid w:val="21246D4B"/>
    <w:rsid w:val="212862D1"/>
    <w:rsid w:val="216B3E44"/>
    <w:rsid w:val="21700D43"/>
    <w:rsid w:val="21843C8D"/>
    <w:rsid w:val="21B46100"/>
    <w:rsid w:val="21C612F9"/>
    <w:rsid w:val="21C709E5"/>
    <w:rsid w:val="21FB41E5"/>
    <w:rsid w:val="22123047"/>
    <w:rsid w:val="221A116E"/>
    <w:rsid w:val="22346FB7"/>
    <w:rsid w:val="226E2973"/>
    <w:rsid w:val="227635D6"/>
    <w:rsid w:val="22D62815"/>
    <w:rsid w:val="22F67546"/>
    <w:rsid w:val="230923A4"/>
    <w:rsid w:val="23204D36"/>
    <w:rsid w:val="232D0A25"/>
    <w:rsid w:val="23467945"/>
    <w:rsid w:val="235D6544"/>
    <w:rsid w:val="2375388E"/>
    <w:rsid w:val="237D4DE7"/>
    <w:rsid w:val="238E40BB"/>
    <w:rsid w:val="239F6B5C"/>
    <w:rsid w:val="23AE4FF1"/>
    <w:rsid w:val="23B535FC"/>
    <w:rsid w:val="23C0729E"/>
    <w:rsid w:val="23C305A3"/>
    <w:rsid w:val="23CA174F"/>
    <w:rsid w:val="23CA731B"/>
    <w:rsid w:val="241A569F"/>
    <w:rsid w:val="244871F4"/>
    <w:rsid w:val="248270A4"/>
    <w:rsid w:val="248F2182"/>
    <w:rsid w:val="24DD5B8E"/>
    <w:rsid w:val="24DF4E51"/>
    <w:rsid w:val="24EA2059"/>
    <w:rsid w:val="24FE78B3"/>
    <w:rsid w:val="25094D3F"/>
    <w:rsid w:val="251D41DD"/>
    <w:rsid w:val="25325DEC"/>
    <w:rsid w:val="253432D4"/>
    <w:rsid w:val="253C0A50"/>
    <w:rsid w:val="25447862"/>
    <w:rsid w:val="25602A1C"/>
    <w:rsid w:val="25667CF5"/>
    <w:rsid w:val="2580487F"/>
    <w:rsid w:val="25AF7AD5"/>
    <w:rsid w:val="25D32AED"/>
    <w:rsid w:val="25FC3DF2"/>
    <w:rsid w:val="26296BB1"/>
    <w:rsid w:val="26393BD1"/>
    <w:rsid w:val="26591245"/>
    <w:rsid w:val="26834424"/>
    <w:rsid w:val="26A050C5"/>
    <w:rsid w:val="26C37006"/>
    <w:rsid w:val="26E22414"/>
    <w:rsid w:val="26FE003E"/>
    <w:rsid w:val="270A26C6"/>
    <w:rsid w:val="272A2BE1"/>
    <w:rsid w:val="27561C28"/>
    <w:rsid w:val="277A3B68"/>
    <w:rsid w:val="279F6AFD"/>
    <w:rsid w:val="27A24E6D"/>
    <w:rsid w:val="27B84691"/>
    <w:rsid w:val="27BD3A55"/>
    <w:rsid w:val="27BE1442"/>
    <w:rsid w:val="27CB6172"/>
    <w:rsid w:val="27F154AD"/>
    <w:rsid w:val="27F43225"/>
    <w:rsid w:val="2826784C"/>
    <w:rsid w:val="282E085D"/>
    <w:rsid w:val="284D302B"/>
    <w:rsid w:val="286363AA"/>
    <w:rsid w:val="28731256"/>
    <w:rsid w:val="2879797C"/>
    <w:rsid w:val="289A78F2"/>
    <w:rsid w:val="289B1FE8"/>
    <w:rsid w:val="28B430AA"/>
    <w:rsid w:val="28C64B8B"/>
    <w:rsid w:val="28C90BAA"/>
    <w:rsid w:val="28FC05AD"/>
    <w:rsid w:val="29086F52"/>
    <w:rsid w:val="29167FA6"/>
    <w:rsid w:val="29614853"/>
    <w:rsid w:val="297E0FC2"/>
    <w:rsid w:val="29846836"/>
    <w:rsid w:val="299407E6"/>
    <w:rsid w:val="2996630C"/>
    <w:rsid w:val="299B6018"/>
    <w:rsid w:val="299F54DA"/>
    <w:rsid w:val="29A21154"/>
    <w:rsid w:val="29D4444C"/>
    <w:rsid w:val="29FD06AE"/>
    <w:rsid w:val="2A04596B"/>
    <w:rsid w:val="2A0616E3"/>
    <w:rsid w:val="2A0E0598"/>
    <w:rsid w:val="2A1118C9"/>
    <w:rsid w:val="2A3224D8"/>
    <w:rsid w:val="2A32262F"/>
    <w:rsid w:val="2A5F0DF4"/>
    <w:rsid w:val="2A6D3510"/>
    <w:rsid w:val="2A731D2F"/>
    <w:rsid w:val="2A8E3487"/>
    <w:rsid w:val="2A9E6FF9"/>
    <w:rsid w:val="2AAC5F98"/>
    <w:rsid w:val="2AB033FD"/>
    <w:rsid w:val="2ABA453C"/>
    <w:rsid w:val="2ABC7FF4"/>
    <w:rsid w:val="2AC800C1"/>
    <w:rsid w:val="2AE15CAC"/>
    <w:rsid w:val="2AE632C3"/>
    <w:rsid w:val="2B1716CE"/>
    <w:rsid w:val="2B381D70"/>
    <w:rsid w:val="2B465793"/>
    <w:rsid w:val="2B4E64E2"/>
    <w:rsid w:val="2B5E72FD"/>
    <w:rsid w:val="2B620444"/>
    <w:rsid w:val="2B664BB4"/>
    <w:rsid w:val="2B691389"/>
    <w:rsid w:val="2B727A55"/>
    <w:rsid w:val="2B750BA6"/>
    <w:rsid w:val="2B8F395A"/>
    <w:rsid w:val="2B9652D9"/>
    <w:rsid w:val="2B9D353A"/>
    <w:rsid w:val="2BAF007C"/>
    <w:rsid w:val="2BB46F1D"/>
    <w:rsid w:val="2BCE3B2A"/>
    <w:rsid w:val="2BD0091A"/>
    <w:rsid w:val="2BDD0222"/>
    <w:rsid w:val="2BF35C97"/>
    <w:rsid w:val="2C0164D8"/>
    <w:rsid w:val="2C057779"/>
    <w:rsid w:val="2C282B4F"/>
    <w:rsid w:val="2C674ECA"/>
    <w:rsid w:val="2CC17B44"/>
    <w:rsid w:val="2CC31B0E"/>
    <w:rsid w:val="2CC43190"/>
    <w:rsid w:val="2CFF066C"/>
    <w:rsid w:val="2D0F4D53"/>
    <w:rsid w:val="2D1E4F96"/>
    <w:rsid w:val="2D572256"/>
    <w:rsid w:val="2D67693D"/>
    <w:rsid w:val="2D744BB6"/>
    <w:rsid w:val="2D83529E"/>
    <w:rsid w:val="2DA3549B"/>
    <w:rsid w:val="2DA63C8C"/>
    <w:rsid w:val="2DB442B4"/>
    <w:rsid w:val="2DBD655D"/>
    <w:rsid w:val="2E020414"/>
    <w:rsid w:val="2E145D4D"/>
    <w:rsid w:val="2E1D524D"/>
    <w:rsid w:val="2E3C66C9"/>
    <w:rsid w:val="2E513149"/>
    <w:rsid w:val="2E5C264E"/>
    <w:rsid w:val="2E6B5FB9"/>
    <w:rsid w:val="2E745668"/>
    <w:rsid w:val="2E845368"/>
    <w:rsid w:val="2ECB6A58"/>
    <w:rsid w:val="2ECE6548"/>
    <w:rsid w:val="2EDB6C77"/>
    <w:rsid w:val="2EF02962"/>
    <w:rsid w:val="2F067A90"/>
    <w:rsid w:val="2F210D6D"/>
    <w:rsid w:val="2F3E36CD"/>
    <w:rsid w:val="2F5E5B1E"/>
    <w:rsid w:val="2F61560E"/>
    <w:rsid w:val="2F803B67"/>
    <w:rsid w:val="2F9652B7"/>
    <w:rsid w:val="2FBA37D4"/>
    <w:rsid w:val="2FE27EA6"/>
    <w:rsid w:val="2FED29FE"/>
    <w:rsid w:val="30006BD5"/>
    <w:rsid w:val="30182170"/>
    <w:rsid w:val="30550CCF"/>
    <w:rsid w:val="305D7B83"/>
    <w:rsid w:val="306A22A0"/>
    <w:rsid w:val="306B24BA"/>
    <w:rsid w:val="30712F4C"/>
    <w:rsid w:val="308B2942"/>
    <w:rsid w:val="30A110A4"/>
    <w:rsid w:val="30AC2BAA"/>
    <w:rsid w:val="30D27C22"/>
    <w:rsid w:val="31634510"/>
    <w:rsid w:val="3186310A"/>
    <w:rsid w:val="31916E8E"/>
    <w:rsid w:val="3236068C"/>
    <w:rsid w:val="32484000"/>
    <w:rsid w:val="32546D64"/>
    <w:rsid w:val="327C4008"/>
    <w:rsid w:val="329B2BE5"/>
    <w:rsid w:val="329F26D5"/>
    <w:rsid w:val="329F3A64"/>
    <w:rsid w:val="32AD5A20"/>
    <w:rsid w:val="32B51EF8"/>
    <w:rsid w:val="32D14858"/>
    <w:rsid w:val="32DF0D23"/>
    <w:rsid w:val="32E434B3"/>
    <w:rsid w:val="32E6489E"/>
    <w:rsid w:val="33010C9A"/>
    <w:rsid w:val="331626B0"/>
    <w:rsid w:val="33354DE7"/>
    <w:rsid w:val="333A41AC"/>
    <w:rsid w:val="3385640A"/>
    <w:rsid w:val="338A4FC4"/>
    <w:rsid w:val="33A72326"/>
    <w:rsid w:val="33CC4D57"/>
    <w:rsid w:val="33DF6B01"/>
    <w:rsid w:val="34007E18"/>
    <w:rsid w:val="340E14FA"/>
    <w:rsid w:val="3434509F"/>
    <w:rsid w:val="347D6A46"/>
    <w:rsid w:val="34A176C7"/>
    <w:rsid w:val="34B24C10"/>
    <w:rsid w:val="34B90A53"/>
    <w:rsid w:val="34BB30CA"/>
    <w:rsid w:val="34CD4317"/>
    <w:rsid w:val="34E71FB5"/>
    <w:rsid w:val="34F43D78"/>
    <w:rsid w:val="351D1FD7"/>
    <w:rsid w:val="351F3B87"/>
    <w:rsid w:val="352275ED"/>
    <w:rsid w:val="35325A82"/>
    <w:rsid w:val="354075FD"/>
    <w:rsid w:val="35576C3D"/>
    <w:rsid w:val="355C665B"/>
    <w:rsid w:val="35667522"/>
    <w:rsid w:val="3583008C"/>
    <w:rsid w:val="3586192A"/>
    <w:rsid w:val="358E07DF"/>
    <w:rsid w:val="359C73A0"/>
    <w:rsid w:val="359E4EC6"/>
    <w:rsid w:val="35DE3514"/>
    <w:rsid w:val="35E652EF"/>
    <w:rsid w:val="361278D4"/>
    <w:rsid w:val="362F1FC2"/>
    <w:rsid w:val="36405F7D"/>
    <w:rsid w:val="364D2448"/>
    <w:rsid w:val="364F3605"/>
    <w:rsid w:val="364F61C0"/>
    <w:rsid w:val="365E28A7"/>
    <w:rsid w:val="368C2F70"/>
    <w:rsid w:val="368E2203"/>
    <w:rsid w:val="36B273C6"/>
    <w:rsid w:val="36BB6B78"/>
    <w:rsid w:val="36C0027F"/>
    <w:rsid w:val="36C546D4"/>
    <w:rsid w:val="36CC5A63"/>
    <w:rsid w:val="37052D23"/>
    <w:rsid w:val="37B15FD9"/>
    <w:rsid w:val="37D44BCF"/>
    <w:rsid w:val="37E40B8A"/>
    <w:rsid w:val="37FA03AE"/>
    <w:rsid w:val="381136CD"/>
    <w:rsid w:val="3848736B"/>
    <w:rsid w:val="38657F1D"/>
    <w:rsid w:val="38C62D44"/>
    <w:rsid w:val="38DB1F8D"/>
    <w:rsid w:val="38DD3F57"/>
    <w:rsid w:val="38EB0B78"/>
    <w:rsid w:val="38F35529"/>
    <w:rsid w:val="39180AEB"/>
    <w:rsid w:val="393618B9"/>
    <w:rsid w:val="39475624"/>
    <w:rsid w:val="395A7356"/>
    <w:rsid w:val="395D1835"/>
    <w:rsid w:val="39E12EE6"/>
    <w:rsid w:val="39EA1D86"/>
    <w:rsid w:val="39FF7EFD"/>
    <w:rsid w:val="3A290D5D"/>
    <w:rsid w:val="3A4A1178"/>
    <w:rsid w:val="3A8F74D3"/>
    <w:rsid w:val="3AB26AD3"/>
    <w:rsid w:val="3AC21656"/>
    <w:rsid w:val="3AC3717D"/>
    <w:rsid w:val="3AC43024"/>
    <w:rsid w:val="3AD34A4E"/>
    <w:rsid w:val="3B1654FE"/>
    <w:rsid w:val="3B244021"/>
    <w:rsid w:val="3B42520D"/>
    <w:rsid w:val="3B5B73B5"/>
    <w:rsid w:val="3B693880"/>
    <w:rsid w:val="3B716BD9"/>
    <w:rsid w:val="3B773EAF"/>
    <w:rsid w:val="3B922EDF"/>
    <w:rsid w:val="3BB30F9F"/>
    <w:rsid w:val="3BC310FC"/>
    <w:rsid w:val="3BE63123"/>
    <w:rsid w:val="3C0454EB"/>
    <w:rsid w:val="3C265C15"/>
    <w:rsid w:val="3C2E6878"/>
    <w:rsid w:val="3C357C06"/>
    <w:rsid w:val="3C650776"/>
    <w:rsid w:val="3C6E1D3D"/>
    <w:rsid w:val="3C7C75E3"/>
    <w:rsid w:val="3CA73061"/>
    <w:rsid w:val="3CA94669"/>
    <w:rsid w:val="3CB11983"/>
    <w:rsid w:val="3CB46D7D"/>
    <w:rsid w:val="3CDC4526"/>
    <w:rsid w:val="3D000214"/>
    <w:rsid w:val="3D257C7B"/>
    <w:rsid w:val="3D3D3216"/>
    <w:rsid w:val="3D956BAE"/>
    <w:rsid w:val="3D9D615B"/>
    <w:rsid w:val="3D9F0E00"/>
    <w:rsid w:val="3DBF5195"/>
    <w:rsid w:val="3DE17108"/>
    <w:rsid w:val="3DE32D35"/>
    <w:rsid w:val="3DEE2762"/>
    <w:rsid w:val="3E0B6E71"/>
    <w:rsid w:val="3E432AAE"/>
    <w:rsid w:val="3E5720B6"/>
    <w:rsid w:val="3E917C26"/>
    <w:rsid w:val="3E94330A"/>
    <w:rsid w:val="3ED25BE0"/>
    <w:rsid w:val="3EE20D8D"/>
    <w:rsid w:val="3EE84309"/>
    <w:rsid w:val="3EEC19C5"/>
    <w:rsid w:val="3EF20030"/>
    <w:rsid w:val="3EFD0EAF"/>
    <w:rsid w:val="3F0E3630"/>
    <w:rsid w:val="3F171437"/>
    <w:rsid w:val="3F2A77CA"/>
    <w:rsid w:val="3F650802"/>
    <w:rsid w:val="3F8C2233"/>
    <w:rsid w:val="3F9D21B5"/>
    <w:rsid w:val="3F9E2F24"/>
    <w:rsid w:val="3FB01139"/>
    <w:rsid w:val="405F16F6"/>
    <w:rsid w:val="40786313"/>
    <w:rsid w:val="409D6CDF"/>
    <w:rsid w:val="40F218E5"/>
    <w:rsid w:val="4105229D"/>
    <w:rsid w:val="41172073"/>
    <w:rsid w:val="411B5ECF"/>
    <w:rsid w:val="412974BE"/>
    <w:rsid w:val="41297A53"/>
    <w:rsid w:val="41390199"/>
    <w:rsid w:val="415C79E3"/>
    <w:rsid w:val="41692144"/>
    <w:rsid w:val="41727207"/>
    <w:rsid w:val="419B49AF"/>
    <w:rsid w:val="419E624E"/>
    <w:rsid w:val="419E7FFC"/>
    <w:rsid w:val="41B90209"/>
    <w:rsid w:val="41F9181F"/>
    <w:rsid w:val="42876CE2"/>
    <w:rsid w:val="42975177"/>
    <w:rsid w:val="42CB6BCE"/>
    <w:rsid w:val="42CB6FFF"/>
    <w:rsid w:val="43075257"/>
    <w:rsid w:val="43370708"/>
    <w:rsid w:val="439504C8"/>
    <w:rsid w:val="43A062AD"/>
    <w:rsid w:val="43A22025"/>
    <w:rsid w:val="43F16B09"/>
    <w:rsid w:val="43F839F3"/>
    <w:rsid w:val="445E35D2"/>
    <w:rsid w:val="44867251"/>
    <w:rsid w:val="44953E0D"/>
    <w:rsid w:val="44BF6C07"/>
    <w:rsid w:val="450F2EF6"/>
    <w:rsid w:val="45102FBE"/>
    <w:rsid w:val="452900E9"/>
    <w:rsid w:val="45576E3F"/>
    <w:rsid w:val="45991206"/>
    <w:rsid w:val="459B31D0"/>
    <w:rsid w:val="45A31E9F"/>
    <w:rsid w:val="45AA1D44"/>
    <w:rsid w:val="45B20519"/>
    <w:rsid w:val="45C656E1"/>
    <w:rsid w:val="45C67B21"/>
    <w:rsid w:val="45CD0EAF"/>
    <w:rsid w:val="45E306D3"/>
    <w:rsid w:val="460C0DB4"/>
    <w:rsid w:val="463D7D6A"/>
    <w:rsid w:val="46476EB4"/>
    <w:rsid w:val="46510C0C"/>
    <w:rsid w:val="466B43AA"/>
    <w:rsid w:val="469A5235"/>
    <w:rsid w:val="46A363A7"/>
    <w:rsid w:val="46B948D6"/>
    <w:rsid w:val="46F46051"/>
    <w:rsid w:val="4703102D"/>
    <w:rsid w:val="47084895"/>
    <w:rsid w:val="4710374A"/>
    <w:rsid w:val="47562682"/>
    <w:rsid w:val="47727F60"/>
    <w:rsid w:val="477C493B"/>
    <w:rsid w:val="47975C19"/>
    <w:rsid w:val="4799729B"/>
    <w:rsid w:val="47A67C0A"/>
    <w:rsid w:val="47C45875"/>
    <w:rsid w:val="47CD5197"/>
    <w:rsid w:val="47D116EC"/>
    <w:rsid w:val="48494E55"/>
    <w:rsid w:val="487321E2"/>
    <w:rsid w:val="487E54FB"/>
    <w:rsid w:val="489205F8"/>
    <w:rsid w:val="48BF71D5"/>
    <w:rsid w:val="48F6071D"/>
    <w:rsid w:val="490746D8"/>
    <w:rsid w:val="49083534"/>
    <w:rsid w:val="49211C3E"/>
    <w:rsid w:val="49327C53"/>
    <w:rsid w:val="4957740E"/>
    <w:rsid w:val="4968786D"/>
    <w:rsid w:val="49996F4C"/>
    <w:rsid w:val="499E6F0A"/>
    <w:rsid w:val="49A563CB"/>
    <w:rsid w:val="49EA64D4"/>
    <w:rsid w:val="49F42EAF"/>
    <w:rsid w:val="4A370FED"/>
    <w:rsid w:val="4A6E3FB0"/>
    <w:rsid w:val="4A6F69D9"/>
    <w:rsid w:val="4A8C758B"/>
    <w:rsid w:val="4AA93C99"/>
    <w:rsid w:val="4AB87960"/>
    <w:rsid w:val="4AD827D0"/>
    <w:rsid w:val="4B0146E0"/>
    <w:rsid w:val="4B117A90"/>
    <w:rsid w:val="4B16190E"/>
    <w:rsid w:val="4B35377F"/>
    <w:rsid w:val="4B36505C"/>
    <w:rsid w:val="4B3F0159"/>
    <w:rsid w:val="4B4E65EF"/>
    <w:rsid w:val="4B5C6F5D"/>
    <w:rsid w:val="4B72175D"/>
    <w:rsid w:val="4B797B0F"/>
    <w:rsid w:val="4B9506C1"/>
    <w:rsid w:val="4C211F55"/>
    <w:rsid w:val="4C2D08FA"/>
    <w:rsid w:val="4C4A325A"/>
    <w:rsid w:val="4C5B292B"/>
    <w:rsid w:val="4C5E6D05"/>
    <w:rsid w:val="4C7402D7"/>
    <w:rsid w:val="4C9B17A6"/>
    <w:rsid w:val="4C9D5A7F"/>
    <w:rsid w:val="4CA27057"/>
    <w:rsid w:val="4CAE1A3B"/>
    <w:rsid w:val="4CB74759"/>
    <w:rsid w:val="4CBB28BC"/>
    <w:rsid w:val="4CBB7CB4"/>
    <w:rsid w:val="4CDB2104"/>
    <w:rsid w:val="4CFA4C80"/>
    <w:rsid w:val="4D1302C8"/>
    <w:rsid w:val="4D2E492A"/>
    <w:rsid w:val="4D4952BF"/>
    <w:rsid w:val="4D502AF2"/>
    <w:rsid w:val="4D7560B4"/>
    <w:rsid w:val="4D857D45"/>
    <w:rsid w:val="4DF23BA9"/>
    <w:rsid w:val="4DFB1B37"/>
    <w:rsid w:val="4E467A51"/>
    <w:rsid w:val="4E5959D6"/>
    <w:rsid w:val="4E5C7274"/>
    <w:rsid w:val="4E7C2C41"/>
    <w:rsid w:val="4E964534"/>
    <w:rsid w:val="4ECF3EEA"/>
    <w:rsid w:val="4EF92D15"/>
    <w:rsid w:val="4EFE20DA"/>
    <w:rsid w:val="4EFF657E"/>
    <w:rsid w:val="4FC358BF"/>
    <w:rsid w:val="4FD01CC8"/>
    <w:rsid w:val="4FE818E4"/>
    <w:rsid w:val="50081462"/>
    <w:rsid w:val="50146059"/>
    <w:rsid w:val="50245B70"/>
    <w:rsid w:val="505C7A00"/>
    <w:rsid w:val="50630D8E"/>
    <w:rsid w:val="506F14E1"/>
    <w:rsid w:val="507902E3"/>
    <w:rsid w:val="508C55E3"/>
    <w:rsid w:val="50E7551B"/>
    <w:rsid w:val="50E83041"/>
    <w:rsid w:val="5122767C"/>
    <w:rsid w:val="5153580B"/>
    <w:rsid w:val="515F3303"/>
    <w:rsid w:val="5160707C"/>
    <w:rsid w:val="516F72BF"/>
    <w:rsid w:val="5176445A"/>
    <w:rsid w:val="519817F3"/>
    <w:rsid w:val="51A74CAA"/>
    <w:rsid w:val="51B273B0"/>
    <w:rsid w:val="51C770FB"/>
    <w:rsid w:val="51D92CB9"/>
    <w:rsid w:val="51DD06CC"/>
    <w:rsid w:val="51E23F34"/>
    <w:rsid w:val="527F1783"/>
    <w:rsid w:val="52BC4786"/>
    <w:rsid w:val="53307671"/>
    <w:rsid w:val="535A6678"/>
    <w:rsid w:val="535C0E04"/>
    <w:rsid w:val="538F3C48"/>
    <w:rsid w:val="53AE0572"/>
    <w:rsid w:val="53F51CFD"/>
    <w:rsid w:val="53FD5056"/>
    <w:rsid w:val="543640C4"/>
    <w:rsid w:val="544D38E7"/>
    <w:rsid w:val="545F181E"/>
    <w:rsid w:val="54705828"/>
    <w:rsid w:val="547D719D"/>
    <w:rsid w:val="54817A35"/>
    <w:rsid w:val="54A11E85"/>
    <w:rsid w:val="54A56347"/>
    <w:rsid w:val="54DF6509"/>
    <w:rsid w:val="55164621"/>
    <w:rsid w:val="55271EFB"/>
    <w:rsid w:val="552D3719"/>
    <w:rsid w:val="55387608"/>
    <w:rsid w:val="55393E6B"/>
    <w:rsid w:val="55760C1C"/>
    <w:rsid w:val="559E1510"/>
    <w:rsid w:val="55A90FF1"/>
    <w:rsid w:val="55C67DF5"/>
    <w:rsid w:val="55F13F56"/>
    <w:rsid w:val="55F6462D"/>
    <w:rsid w:val="56004DCD"/>
    <w:rsid w:val="5604091D"/>
    <w:rsid w:val="56130B60"/>
    <w:rsid w:val="562030EB"/>
    <w:rsid w:val="567A0BDF"/>
    <w:rsid w:val="56814039"/>
    <w:rsid w:val="56A874FB"/>
    <w:rsid w:val="56DE5770"/>
    <w:rsid w:val="56E878F7"/>
    <w:rsid w:val="570861EB"/>
    <w:rsid w:val="5714060E"/>
    <w:rsid w:val="572823EA"/>
    <w:rsid w:val="572B3C88"/>
    <w:rsid w:val="57570A62"/>
    <w:rsid w:val="57BD468E"/>
    <w:rsid w:val="57C86A50"/>
    <w:rsid w:val="57D55747"/>
    <w:rsid w:val="57EA3B43"/>
    <w:rsid w:val="57F94155"/>
    <w:rsid w:val="58063EE8"/>
    <w:rsid w:val="5809221B"/>
    <w:rsid w:val="585917AA"/>
    <w:rsid w:val="5875165E"/>
    <w:rsid w:val="58933E1E"/>
    <w:rsid w:val="58935F89"/>
    <w:rsid w:val="58BD6B62"/>
    <w:rsid w:val="58BE0F93"/>
    <w:rsid w:val="58C425E6"/>
    <w:rsid w:val="58DC16DE"/>
    <w:rsid w:val="58E95BA9"/>
    <w:rsid w:val="59004561"/>
    <w:rsid w:val="591250FF"/>
    <w:rsid w:val="59184C1C"/>
    <w:rsid w:val="59484FC5"/>
    <w:rsid w:val="594B184B"/>
    <w:rsid w:val="59C503C4"/>
    <w:rsid w:val="59CF1242"/>
    <w:rsid w:val="59E808B2"/>
    <w:rsid w:val="5A0C5FF2"/>
    <w:rsid w:val="5A0C7DA1"/>
    <w:rsid w:val="5A2E5F69"/>
    <w:rsid w:val="5A40325D"/>
    <w:rsid w:val="5A64198B"/>
    <w:rsid w:val="5A957D96"/>
    <w:rsid w:val="5A971D60"/>
    <w:rsid w:val="5AA753A5"/>
    <w:rsid w:val="5AD76600"/>
    <w:rsid w:val="5AEE394A"/>
    <w:rsid w:val="5B1C4013"/>
    <w:rsid w:val="5B231846"/>
    <w:rsid w:val="5B3D17EA"/>
    <w:rsid w:val="5B535F4C"/>
    <w:rsid w:val="5B90055D"/>
    <w:rsid w:val="5BB701E0"/>
    <w:rsid w:val="5BD76E17"/>
    <w:rsid w:val="5C182A2D"/>
    <w:rsid w:val="5C1C702F"/>
    <w:rsid w:val="5C2D608D"/>
    <w:rsid w:val="5C3F662F"/>
    <w:rsid w:val="5C514565"/>
    <w:rsid w:val="5CA739D2"/>
    <w:rsid w:val="5CD57B10"/>
    <w:rsid w:val="5CDC7EFE"/>
    <w:rsid w:val="5D26561D"/>
    <w:rsid w:val="5D3A7375"/>
    <w:rsid w:val="5D4F6922"/>
    <w:rsid w:val="5D5850AB"/>
    <w:rsid w:val="5D810AA5"/>
    <w:rsid w:val="5D9500AD"/>
    <w:rsid w:val="5DD229AF"/>
    <w:rsid w:val="5DE07B6A"/>
    <w:rsid w:val="5E0B036F"/>
    <w:rsid w:val="5E510AA0"/>
    <w:rsid w:val="5E6A32E8"/>
    <w:rsid w:val="5E914D18"/>
    <w:rsid w:val="5EB033F0"/>
    <w:rsid w:val="5EB4090C"/>
    <w:rsid w:val="5EC04DFF"/>
    <w:rsid w:val="5EC12D8D"/>
    <w:rsid w:val="5F205220"/>
    <w:rsid w:val="5F2931A3"/>
    <w:rsid w:val="5F2E68F6"/>
    <w:rsid w:val="5F30008D"/>
    <w:rsid w:val="5F41673E"/>
    <w:rsid w:val="5F4C0C3F"/>
    <w:rsid w:val="5F5951F5"/>
    <w:rsid w:val="5F5C3B13"/>
    <w:rsid w:val="5F5C70D4"/>
    <w:rsid w:val="5F5E0F4F"/>
    <w:rsid w:val="5F6D12E1"/>
    <w:rsid w:val="5F8D54E0"/>
    <w:rsid w:val="5FC52ECB"/>
    <w:rsid w:val="5FDD354D"/>
    <w:rsid w:val="5FEB66AA"/>
    <w:rsid w:val="5FF76DFD"/>
    <w:rsid w:val="600357A2"/>
    <w:rsid w:val="600734E4"/>
    <w:rsid w:val="60121E89"/>
    <w:rsid w:val="601B39E6"/>
    <w:rsid w:val="604858AA"/>
    <w:rsid w:val="604F1DFE"/>
    <w:rsid w:val="6051650D"/>
    <w:rsid w:val="605424A1"/>
    <w:rsid w:val="605C0565"/>
    <w:rsid w:val="60844B35"/>
    <w:rsid w:val="60934D78"/>
    <w:rsid w:val="60A96349"/>
    <w:rsid w:val="60B80436"/>
    <w:rsid w:val="60BC29F1"/>
    <w:rsid w:val="60CD7C4A"/>
    <w:rsid w:val="615A7899"/>
    <w:rsid w:val="61973E8D"/>
    <w:rsid w:val="61A22D98"/>
    <w:rsid w:val="61AB7E9F"/>
    <w:rsid w:val="61B551C2"/>
    <w:rsid w:val="61D75138"/>
    <w:rsid w:val="61F30033"/>
    <w:rsid w:val="61FF766A"/>
    <w:rsid w:val="62010D72"/>
    <w:rsid w:val="62143C96"/>
    <w:rsid w:val="6223037D"/>
    <w:rsid w:val="625D388F"/>
    <w:rsid w:val="62A0377C"/>
    <w:rsid w:val="62AF7E63"/>
    <w:rsid w:val="62D95694"/>
    <w:rsid w:val="630642BE"/>
    <w:rsid w:val="632C78E2"/>
    <w:rsid w:val="633F4EB4"/>
    <w:rsid w:val="63497970"/>
    <w:rsid w:val="635F3637"/>
    <w:rsid w:val="638B61DA"/>
    <w:rsid w:val="63AA3963"/>
    <w:rsid w:val="63B53257"/>
    <w:rsid w:val="63BA261B"/>
    <w:rsid w:val="63D07DB8"/>
    <w:rsid w:val="63D57455"/>
    <w:rsid w:val="63DA0F0F"/>
    <w:rsid w:val="63E17A24"/>
    <w:rsid w:val="63E8362C"/>
    <w:rsid w:val="6409003B"/>
    <w:rsid w:val="64357EF4"/>
    <w:rsid w:val="64610CE9"/>
    <w:rsid w:val="647924D6"/>
    <w:rsid w:val="647B18AE"/>
    <w:rsid w:val="64AE334E"/>
    <w:rsid w:val="64D55E44"/>
    <w:rsid w:val="64F32289"/>
    <w:rsid w:val="64F953C5"/>
    <w:rsid w:val="65091AAC"/>
    <w:rsid w:val="65273CE0"/>
    <w:rsid w:val="6535464F"/>
    <w:rsid w:val="65393A14"/>
    <w:rsid w:val="654F4FE5"/>
    <w:rsid w:val="655C31D5"/>
    <w:rsid w:val="656211BC"/>
    <w:rsid w:val="65B03CD6"/>
    <w:rsid w:val="65D8322D"/>
    <w:rsid w:val="65DA6FA5"/>
    <w:rsid w:val="65E06FC3"/>
    <w:rsid w:val="66067D9A"/>
    <w:rsid w:val="665B795F"/>
    <w:rsid w:val="667450CB"/>
    <w:rsid w:val="66961477"/>
    <w:rsid w:val="66A355E9"/>
    <w:rsid w:val="66D70628"/>
    <w:rsid w:val="66DA4C09"/>
    <w:rsid w:val="66F61BBC"/>
    <w:rsid w:val="66F96CC8"/>
    <w:rsid w:val="67024A05"/>
    <w:rsid w:val="6704453E"/>
    <w:rsid w:val="67153DDC"/>
    <w:rsid w:val="672629DF"/>
    <w:rsid w:val="673F7A07"/>
    <w:rsid w:val="676B36AE"/>
    <w:rsid w:val="67A2773B"/>
    <w:rsid w:val="67AC017D"/>
    <w:rsid w:val="67B11F87"/>
    <w:rsid w:val="67D66478"/>
    <w:rsid w:val="67E10ABE"/>
    <w:rsid w:val="67E30B0D"/>
    <w:rsid w:val="68015F0F"/>
    <w:rsid w:val="685A617B"/>
    <w:rsid w:val="68667859"/>
    <w:rsid w:val="68842543"/>
    <w:rsid w:val="688F22C8"/>
    <w:rsid w:val="68E32614"/>
    <w:rsid w:val="68E973BE"/>
    <w:rsid w:val="69085BD7"/>
    <w:rsid w:val="69265184"/>
    <w:rsid w:val="69392984"/>
    <w:rsid w:val="693B7312"/>
    <w:rsid w:val="69974B8B"/>
    <w:rsid w:val="69A03190"/>
    <w:rsid w:val="69A81DE6"/>
    <w:rsid w:val="69AE49D0"/>
    <w:rsid w:val="69BB0E9B"/>
    <w:rsid w:val="69D1246D"/>
    <w:rsid w:val="69E44B6C"/>
    <w:rsid w:val="69EB1FDC"/>
    <w:rsid w:val="69EF4666"/>
    <w:rsid w:val="6A045655"/>
    <w:rsid w:val="6A3761D2"/>
    <w:rsid w:val="6A49294B"/>
    <w:rsid w:val="6A641533"/>
    <w:rsid w:val="6A71514A"/>
    <w:rsid w:val="6A7443F1"/>
    <w:rsid w:val="6A8219B9"/>
    <w:rsid w:val="6ABA1153"/>
    <w:rsid w:val="6ACE50F5"/>
    <w:rsid w:val="6AD761A9"/>
    <w:rsid w:val="6AD93CCF"/>
    <w:rsid w:val="6AF24D91"/>
    <w:rsid w:val="6AFA59F3"/>
    <w:rsid w:val="6B0265FD"/>
    <w:rsid w:val="6B282560"/>
    <w:rsid w:val="6B3717AA"/>
    <w:rsid w:val="6B98032E"/>
    <w:rsid w:val="6BE86664"/>
    <w:rsid w:val="6BEC5C84"/>
    <w:rsid w:val="6BFD1C3F"/>
    <w:rsid w:val="6C1F02F1"/>
    <w:rsid w:val="6C20148A"/>
    <w:rsid w:val="6C274B44"/>
    <w:rsid w:val="6C2B055A"/>
    <w:rsid w:val="6C327B3B"/>
    <w:rsid w:val="6C3B2484"/>
    <w:rsid w:val="6C407FC9"/>
    <w:rsid w:val="6C4B29AA"/>
    <w:rsid w:val="6C661592"/>
    <w:rsid w:val="6C7418F1"/>
    <w:rsid w:val="6C7A3290"/>
    <w:rsid w:val="6C9A7224"/>
    <w:rsid w:val="6CA04464"/>
    <w:rsid w:val="6CA825B7"/>
    <w:rsid w:val="6CA852A0"/>
    <w:rsid w:val="6CAE6A95"/>
    <w:rsid w:val="6CB70040"/>
    <w:rsid w:val="6CBE13CE"/>
    <w:rsid w:val="6CE479A9"/>
    <w:rsid w:val="6D064B23"/>
    <w:rsid w:val="6D2F407A"/>
    <w:rsid w:val="6D343607"/>
    <w:rsid w:val="6D5910F7"/>
    <w:rsid w:val="6D6B4986"/>
    <w:rsid w:val="6D7221B9"/>
    <w:rsid w:val="6D9B2D57"/>
    <w:rsid w:val="6DAA3701"/>
    <w:rsid w:val="6DAD4F9F"/>
    <w:rsid w:val="6DE83157"/>
    <w:rsid w:val="6DF826BE"/>
    <w:rsid w:val="6E0472B5"/>
    <w:rsid w:val="6E597143"/>
    <w:rsid w:val="6E6C44E6"/>
    <w:rsid w:val="6E867CCA"/>
    <w:rsid w:val="6EBF142E"/>
    <w:rsid w:val="6ED722D3"/>
    <w:rsid w:val="6ED76777"/>
    <w:rsid w:val="6EDF67B3"/>
    <w:rsid w:val="6EEA3674"/>
    <w:rsid w:val="6F2B261F"/>
    <w:rsid w:val="6F6C1A04"/>
    <w:rsid w:val="6F7915DC"/>
    <w:rsid w:val="6F827F9F"/>
    <w:rsid w:val="6FB645DF"/>
    <w:rsid w:val="6FC42292"/>
    <w:rsid w:val="6FD73146"/>
    <w:rsid w:val="6FFB46E7"/>
    <w:rsid w:val="6FFC64D5"/>
    <w:rsid w:val="70141305"/>
    <w:rsid w:val="701461F9"/>
    <w:rsid w:val="701838C5"/>
    <w:rsid w:val="70194B6E"/>
    <w:rsid w:val="701D748C"/>
    <w:rsid w:val="703E1783"/>
    <w:rsid w:val="70531E2E"/>
    <w:rsid w:val="70622071"/>
    <w:rsid w:val="709661BE"/>
    <w:rsid w:val="709C1A26"/>
    <w:rsid w:val="70B54896"/>
    <w:rsid w:val="70BD199D"/>
    <w:rsid w:val="70CB6C5A"/>
    <w:rsid w:val="70D27883"/>
    <w:rsid w:val="70E433CD"/>
    <w:rsid w:val="70E60EF4"/>
    <w:rsid w:val="70FF3D63"/>
    <w:rsid w:val="71092E34"/>
    <w:rsid w:val="710E276C"/>
    <w:rsid w:val="71196A08"/>
    <w:rsid w:val="713554DF"/>
    <w:rsid w:val="713559D7"/>
    <w:rsid w:val="715A4CAA"/>
    <w:rsid w:val="717E737E"/>
    <w:rsid w:val="71804EA4"/>
    <w:rsid w:val="718F50E7"/>
    <w:rsid w:val="71AC01E3"/>
    <w:rsid w:val="71E51E08"/>
    <w:rsid w:val="71E82A49"/>
    <w:rsid w:val="71F47640"/>
    <w:rsid w:val="724C745A"/>
    <w:rsid w:val="724E4B1F"/>
    <w:rsid w:val="72587BCF"/>
    <w:rsid w:val="728E1843"/>
    <w:rsid w:val="72DE2C3D"/>
    <w:rsid w:val="72E256EB"/>
    <w:rsid w:val="72E66F89"/>
    <w:rsid w:val="72E9309C"/>
    <w:rsid w:val="72EA1454"/>
    <w:rsid w:val="72FD2525"/>
    <w:rsid w:val="72FF44EF"/>
    <w:rsid w:val="73155AC0"/>
    <w:rsid w:val="73157597"/>
    <w:rsid w:val="733046A8"/>
    <w:rsid w:val="73463ECB"/>
    <w:rsid w:val="734A7EE1"/>
    <w:rsid w:val="73612AB3"/>
    <w:rsid w:val="73661800"/>
    <w:rsid w:val="736B56E0"/>
    <w:rsid w:val="73956937"/>
    <w:rsid w:val="739764D5"/>
    <w:rsid w:val="73A41347"/>
    <w:rsid w:val="73BC6B9B"/>
    <w:rsid w:val="73D17C39"/>
    <w:rsid w:val="73E01C2A"/>
    <w:rsid w:val="73E55492"/>
    <w:rsid w:val="73EA3919"/>
    <w:rsid w:val="74085F5B"/>
    <w:rsid w:val="741B2C62"/>
    <w:rsid w:val="742F4960"/>
    <w:rsid w:val="74365CEE"/>
    <w:rsid w:val="743A7501"/>
    <w:rsid w:val="745A0F89"/>
    <w:rsid w:val="747B7D47"/>
    <w:rsid w:val="747C75ED"/>
    <w:rsid w:val="74AC09E2"/>
    <w:rsid w:val="74D01C2F"/>
    <w:rsid w:val="74D907CA"/>
    <w:rsid w:val="74EB4C3E"/>
    <w:rsid w:val="75526B58"/>
    <w:rsid w:val="756038C4"/>
    <w:rsid w:val="756E14B8"/>
    <w:rsid w:val="75790588"/>
    <w:rsid w:val="758113E2"/>
    <w:rsid w:val="7589464D"/>
    <w:rsid w:val="759C4277"/>
    <w:rsid w:val="75C44D0C"/>
    <w:rsid w:val="75F44303"/>
    <w:rsid w:val="76171B4F"/>
    <w:rsid w:val="763F2515"/>
    <w:rsid w:val="764C557E"/>
    <w:rsid w:val="766554DD"/>
    <w:rsid w:val="767A556F"/>
    <w:rsid w:val="76866C66"/>
    <w:rsid w:val="768C6099"/>
    <w:rsid w:val="76990F6E"/>
    <w:rsid w:val="769D5344"/>
    <w:rsid w:val="76AB0992"/>
    <w:rsid w:val="76BE0565"/>
    <w:rsid w:val="773951D1"/>
    <w:rsid w:val="7750356B"/>
    <w:rsid w:val="775D17E4"/>
    <w:rsid w:val="77694333"/>
    <w:rsid w:val="779432FD"/>
    <w:rsid w:val="779D1BF1"/>
    <w:rsid w:val="77B51620"/>
    <w:rsid w:val="77E65C7D"/>
    <w:rsid w:val="77F24622"/>
    <w:rsid w:val="780A4BEB"/>
    <w:rsid w:val="781A0D06"/>
    <w:rsid w:val="78306EF8"/>
    <w:rsid w:val="784309DA"/>
    <w:rsid w:val="784B788E"/>
    <w:rsid w:val="78774B27"/>
    <w:rsid w:val="788334CC"/>
    <w:rsid w:val="78911745"/>
    <w:rsid w:val="78915BE9"/>
    <w:rsid w:val="78CB7C80"/>
    <w:rsid w:val="791A2688"/>
    <w:rsid w:val="79200D1B"/>
    <w:rsid w:val="794E5888"/>
    <w:rsid w:val="7955098E"/>
    <w:rsid w:val="79584959"/>
    <w:rsid w:val="795B7FA5"/>
    <w:rsid w:val="79E93803"/>
    <w:rsid w:val="79F34110"/>
    <w:rsid w:val="7A081EDB"/>
    <w:rsid w:val="7A13262E"/>
    <w:rsid w:val="7A543372"/>
    <w:rsid w:val="7A583B82"/>
    <w:rsid w:val="7A61345E"/>
    <w:rsid w:val="7A7B08FF"/>
    <w:rsid w:val="7A7C01D3"/>
    <w:rsid w:val="7A822729"/>
    <w:rsid w:val="7A835439"/>
    <w:rsid w:val="7A842082"/>
    <w:rsid w:val="7ACD260C"/>
    <w:rsid w:val="7B5620B0"/>
    <w:rsid w:val="7B851309"/>
    <w:rsid w:val="7B8732D3"/>
    <w:rsid w:val="7B89704B"/>
    <w:rsid w:val="7BA9149B"/>
    <w:rsid w:val="7BBF0CBF"/>
    <w:rsid w:val="7BCC79FA"/>
    <w:rsid w:val="7BD5403F"/>
    <w:rsid w:val="7BEB1639"/>
    <w:rsid w:val="7BEB3862"/>
    <w:rsid w:val="7BEC1225"/>
    <w:rsid w:val="7BED75DA"/>
    <w:rsid w:val="7C003181"/>
    <w:rsid w:val="7C1F175E"/>
    <w:rsid w:val="7C6F4493"/>
    <w:rsid w:val="7C7E6484"/>
    <w:rsid w:val="7C961A20"/>
    <w:rsid w:val="7C9B5288"/>
    <w:rsid w:val="7CB050A6"/>
    <w:rsid w:val="7CE0713F"/>
    <w:rsid w:val="7D0270B5"/>
    <w:rsid w:val="7D050953"/>
    <w:rsid w:val="7D1B1DC6"/>
    <w:rsid w:val="7D4E4321"/>
    <w:rsid w:val="7D674F45"/>
    <w:rsid w:val="7D733B0F"/>
    <w:rsid w:val="7D913E2C"/>
    <w:rsid w:val="7DA95783"/>
    <w:rsid w:val="7DBC3708"/>
    <w:rsid w:val="7DC26844"/>
    <w:rsid w:val="7DDA7B4B"/>
    <w:rsid w:val="7E105802"/>
    <w:rsid w:val="7E1A3F8B"/>
    <w:rsid w:val="7E244E09"/>
    <w:rsid w:val="7E3808B5"/>
    <w:rsid w:val="7E640F7B"/>
    <w:rsid w:val="7EB42631"/>
    <w:rsid w:val="7EDE470B"/>
    <w:rsid w:val="7EE8501C"/>
    <w:rsid w:val="7F054C3B"/>
    <w:rsid w:val="7F16015F"/>
    <w:rsid w:val="7F1629A4"/>
    <w:rsid w:val="7F1906E6"/>
    <w:rsid w:val="7F1B3BA6"/>
    <w:rsid w:val="7F4C0ABC"/>
    <w:rsid w:val="7F637BB3"/>
    <w:rsid w:val="7F673200"/>
    <w:rsid w:val="7F7F2C3F"/>
    <w:rsid w:val="7FA843C0"/>
    <w:rsid w:val="7FC6661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uiPriority w:val="0"/>
    <w:pPr>
      <w:keepNext/>
      <w:jc w:val="center"/>
      <w:outlineLvl w:val="0"/>
    </w:pPr>
    <w:rPr>
      <w:rFonts w:ascii="楷体_GB2312" w:eastAsia="楷体_GB2312"/>
      <w:sz w:val="28"/>
      <w:szCs w:val="28"/>
    </w:rPr>
  </w:style>
  <w:style w:type="paragraph" w:styleId="5">
    <w:name w:val="heading 2"/>
    <w:basedOn w:val="1"/>
    <w:next w:val="6"/>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7">
    <w:name w:val="heading 3"/>
    <w:basedOn w:val="1"/>
    <w:next w:val="1"/>
    <w:qFormat/>
    <w:uiPriority w:val="0"/>
    <w:pPr>
      <w:keepNext/>
      <w:keepLines/>
      <w:spacing w:before="260" w:after="260" w:line="416" w:lineRule="auto"/>
      <w:outlineLvl w:val="2"/>
    </w:pPr>
    <w:rPr>
      <w:b/>
      <w:bCs/>
      <w:sz w:val="32"/>
      <w:szCs w:val="32"/>
    </w:rPr>
  </w:style>
  <w:style w:type="paragraph" w:styleId="8">
    <w:name w:val="heading 4"/>
    <w:basedOn w:val="1"/>
    <w:next w:val="6"/>
    <w:autoRedefine/>
    <w:qFormat/>
    <w:uiPriority w:val="0"/>
    <w:pPr>
      <w:keepNext/>
      <w:keepLines/>
      <w:spacing w:before="280" w:after="290" w:line="376" w:lineRule="auto"/>
      <w:outlineLvl w:val="3"/>
    </w:pPr>
    <w:rPr>
      <w:rFonts w:ascii="Arial" w:hAnsi="Arial" w:eastAsia="黑体" w:cs="Arial"/>
      <w:b/>
      <w:bCs/>
      <w:sz w:val="28"/>
      <w:szCs w:val="28"/>
    </w:rPr>
  </w:style>
  <w:style w:type="paragraph" w:styleId="9">
    <w:name w:val="heading 7"/>
    <w:basedOn w:val="1"/>
    <w:next w:val="1"/>
    <w:qFormat/>
    <w:uiPriority w:val="1"/>
    <w:pPr>
      <w:ind w:left="581" w:firstLine="420"/>
      <w:outlineLvl w:val="6"/>
    </w:pPr>
    <w:rPr>
      <w:rFonts w:ascii="宋体" w:hAnsi="宋体" w:cs="宋体"/>
      <w:b/>
      <w:bCs/>
      <w:lang w:val="zh-CN" w:bidi="zh-CN"/>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ind w:firstLine="645"/>
    </w:pPr>
    <w:rPr>
      <w:rFonts w:ascii="楷体_GB2312" w:eastAsia="楷体_GB2312"/>
      <w:sz w:val="32"/>
      <w:szCs w:val="32"/>
    </w:rPr>
  </w:style>
  <w:style w:type="paragraph" w:styleId="3">
    <w:name w:val="envelope return"/>
    <w:basedOn w:val="1"/>
    <w:qFormat/>
    <w:uiPriority w:val="0"/>
    <w:pPr>
      <w:snapToGrid w:val="0"/>
    </w:pPr>
    <w:rPr>
      <w:rFonts w:ascii="Arial" w:hAnsi="Arial"/>
    </w:rPr>
  </w:style>
  <w:style w:type="paragraph" w:styleId="6">
    <w:name w:val="Normal Indent"/>
    <w:basedOn w:val="1"/>
    <w:qFormat/>
    <w:uiPriority w:val="0"/>
    <w:pPr>
      <w:ind w:firstLine="420"/>
    </w:pPr>
  </w:style>
  <w:style w:type="paragraph" w:styleId="10">
    <w:name w:val="annotation text"/>
    <w:basedOn w:val="1"/>
    <w:qFormat/>
    <w:uiPriority w:val="0"/>
    <w:pPr>
      <w:jc w:val="left"/>
    </w:pPr>
  </w:style>
  <w:style w:type="paragraph" w:styleId="11">
    <w:name w:val="Body Text"/>
    <w:basedOn w:val="1"/>
    <w:next w:val="1"/>
    <w:qFormat/>
    <w:uiPriority w:val="0"/>
    <w:rPr>
      <w:rFonts w:ascii="楷体_GB2312" w:hAnsi="Arial" w:eastAsia="楷体_GB2312"/>
      <w:sz w:val="28"/>
      <w:szCs w:val="28"/>
    </w:rPr>
  </w:style>
  <w:style w:type="paragraph" w:styleId="12">
    <w:name w:val="Block Text"/>
    <w:basedOn w:val="1"/>
    <w:unhideWhenUsed/>
    <w:qFormat/>
    <w:uiPriority w:val="99"/>
    <w:pPr>
      <w:spacing w:after="120"/>
      <w:ind w:left="1440" w:leftChars="700" w:right="1440" w:rightChars="700"/>
    </w:pPr>
  </w:style>
  <w:style w:type="paragraph" w:styleId="13">
    <w:name w:val="index 4"/>
    <w:basedOn w:val="1"/>
    <w:next w:val="1"/>
    <w:qFormat/>
    <w:uiPriority w:val="99"/>
    <w:pPr>
      <w:ind w:left="600" w:leftChars="600"/>
    </w:pPr>
    <w:rPr>
      <w:rFonts w:ascii="Calibri" w:hAnsi="Calibri"/>
    </w:rPr>
  </w:style>
  <w:style w:type="paragraph" w:styleId="14">
    <w:name w:val="Plain Text"/>
    <w:basedOn w:val="1"/>
    <w:qFormat/>
    <w:uiPriority w:val="99"/>
    <w:rPr>
      <w:rFonts w:ascii="宋体" w:hAnsi="Courier New"/>
    </w:rPr>
  </w:style>
  <w:style w:type="paragraph" w:styleId="15">
    <w:name w:val="Body Text Indent 2"/>
    <w:basedOn w:val="1"/>
    <w:qFormat/>
    <w:uiPriority w:val="0"/>
    <w:pPr>
      <w:ind w:left="630" w:firstLine="645"/>
    </w:pPr>
    <w:rPr>
      <w:rFonts w:ascii="Arial" w:hAnsi="Arial" w:eastAsia="仿宋_GB2312" w:cs="Arial"/>
      <w:sz w:val="32"/>
      <w:szCs w:val="32"/>
    </w:rPr>
  </w:style>
  <w:style w:type="paragraph" w:styleId="16">
    <w:name w:val="Balloon Text"/>
    <w:basedOn w:val="1"/>
    <w:link w:val="43"/>
    <w:qFormat/>
    <w:uiPriority w:val="0"/>
    <w:rPr>
      <w:sz w:val="18"/>
      <w:szCs w:val="18"/>
    </w:rPr>
  </w:style>
  <w:style w:type="paragraph" w:styleId="17">
    <w:name w:val="footer"/>
    <w:basedOn w:val="1"/>
    <w:link w:val="48"/>
    <w:qFormat/>
    <w:uiPriority w:val="99"/>
    <w:pPr>
      <w:tabs>
        <w:tab w:val="center" w:pos="4153"/>
        <w:tab w:val="right" w:pos="8306"/>
      </w:tabs>
      <w:snapToGrid w:val="0"/>
      <w:jc w:val="left"/>
    </w:pPr>
    <w:rPr>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20">
    <w:name w:val="footnote text"/>
    <w:basedOn w:val="1"/>
    <w:semiHidden/>
    <w:unhideWhenUsed/>
    <w:qFormat/>
    <w:uiPriority w:val="99"/>
    <w:pPr>
      <w:spacing w:after="40"/>
    </w:pPr>
    <w:rPr>
      <w:sz w:val="18"/>
    </w:rPr>
  </w:style>
  <w:style w:type="paragraph" w:styleId="21">
    <w:name w:val="toc 6"/>
    <w:next w:val="1"/>
    <w:semiHidden/>
    <w:qFormat/>
    <w:uiPriority w:val="0"/>
    <w:pPr>
      <w:widowControl w:val="0"/>
      <w:ind w:left="1050"/>
    </w:pPr>
    <w:rPr>
      <w:rFonts w:ascii="Times New Roman" w:hAnsi="Times New Roman" w:eastAsia="宋体" w:cs="Times New Roman"/>
      <w:kern w:val="2"/>
      <w:sz w:val="21"/>
      <w:szCs w:val="21"/>
      <w:lang w:val="en-US" w:eastAsia="zh-CN" w:bidi="ar-SA"/>
    </w:rPr>
  </w:style>
  <w:style w:type="paragraph" w:styleId="22">
    <w:name w:val="toc 2"/>
    <w:basedOn w:val="1"/>
    <w:next w:val="1"/>
    <w:semiHidden/>
    <w:qFormat/>
    <w:uiPriority w:val="0"/>
    <w:pPr>
      <w:ind w:left="420" w:leftChars="200"/>
    </w:pPr>
  </w:style>
  <w:style w:type="paragraph" w:styleId="2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24">
    <w:name w:val="Body Text First Indent"/>
    <w:basedOn w:val="11"/>
    <w:qFormat/>
    <w:uiPriority w:val="0"/>
    <w:pPr>
      <w:spacing w:line="360" w:lineRule="auto"/>
      <w:ind w:firstLine="200" w:firstLineChars="200"/>
    </w:pPr>
    <w:rPr>
      <w:rFonts w:ascii="仿宋_GB2312" w:eastAsia="仿宋_GB2312"/>
      <w:sz w:val="30"/>
      <w:szCs w:val="30"/>
    </w:rPr>
  </w:style>
  <w:style w:type="paragraph" w:styleId="25">
    <w:name w:val="Body Text First Indent 2"/>
    <w:basedOn w:val="2"/>
    <w:next w:val="6"/>
    <w:qFormat/>
    <w:uiPriority w:val="0"/>
    <w:pPr>
      <w:spacing w:line="360" w:lineRule="auto"/>
      <w:ind w:firstLine="420" w:firstLineChars="200"/>
    </w:pPr>
    <w:rPr>
      <w:rFonts w:ascii="宋体" w:hAnsi="宋体" w:eastAsia="宋体"/>
      <w:sz w:val="21"/>
      <w:szCs w:val="20"/>
    </w:rPr>
  </w:style>
  <w:style w:type="table" w:styleId="27">
    <w:name w:val="Table Grid"/>
    <w:basedOn w:val="26"/>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9">
    <w:name w:val="Strong"/>
    <w:basedOn w:val="28"/>
    <w:qFormat/>
    <w:uiPriority w:val="22"/>
    <w:rPr>
      <w:b/>
      <w:bCs/>
    </w:rPr>
  </w:style>
  <w:style w:type="character" w:styleId="30">
    <w:name w:val="page number"/>
    <w:qFormat/>
    <w:uiPriority w:val="0"/>
  </w:style>
  <w:style w:type="character" w:styleId="31">
    <w:name w:val="Hyperlink"/>
    <w:basedOn w:val="28"/>
    <w:qFormat/>
    <w:uiPriority w:val="99"/>
    <w:rPr>
      <w:color w:val="333333"/>
      <w:u w:val="none"/>
    </w:rPr>
  </w:style>
  <w:style w:type="paragraph" w:customStyle="1" w:styleId="32">
    <w:name w:val="Default"/>
    <w:basedOn w:val="1"/>
    <w:qFormat/>
    <w:uiPriority w:val="99"/>
    <w:pPr>
      <w:autoSpaceDE w:val="0"/>
      <w:autoSpaceDN w:val="0"/>
      <w:adjustRightInd w:val="0"/>
      <w:jc w:val="left"/>
    </w:pPr>
    <w:rPr>
      <w:rFonts w:ascii="宋体" w:hAnsi="Calibri" w:cs="宋体"/>
      <w:color w:val="000000"/>
      <w:kern w:val="0"/>
      <w:sz w:val="24"/>
    </w:rPr>
  </w:style>
  <w:style w:type="paragraph" w:customStyle="1" w:styleId="33">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34">
    <w:name w:val="List Paragraph"/>
    <w:basedOn w:val="1"/>
    <w:qFormat/>
    <w:uiPriority w:val="34"/>
    <w:pPr>
      <w:widowControl/>
      <w:ind w:left="720"/>
      <w:contextualSpacing/>
      <w:jc w:val="left"/>
    </w:pPr>
    <w:rPr>
      <w:rFonts w:ascii="Calibri" w:hAnsi="Calibri"/>
      <w:kern w:val="0"/>
      <w:sz w:val="24"/>
      <w:szCs w:val="24"/>
      <w:lang w:eastAsia="en-US" w:bidi="en-US"/>
    </w:rPr>
  </w:style>
  <w:style w:type="paragraph" w:customStyle="1" w:styleId="35">
    <w:name w:val="列出段落1"/>
    <w:basedOn w:val="1"/>
    <w:qFormat/>
    <w:uiPriority w:val="0"/>
    <w:pPr>
      <w:widowControl/>
      <w:ind w:left="720"/>
      <w:contextualSpacing/>
      <w:jc w:val="left"/>
    </w:pPr>
    <w:rPr>
      <w:rFonts w:ascii="Calibri" w:hAnsi="Calibri"/>
      <w:kern w:val="0"/>
      <w:sz w:val="24"/>
      <w:szCs w:val="24"/>
      <w:lang w:eastAsia="en-US" w:bidi="en-US"/>
    </w:rPr>
  </w:style>
  <w:style w:type="paragraph" w:customStyle="1" w:styleId="36">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37">
    <w:name w:val="标题 21"/>
    <w:basedOn w:val="1"/>
    <w:autoRedefine/>
    <w:qFormat/>
    <w:uiPriority w:val="1"/>
    <w:pPr>
      <w:ind w:left="100" w:right="108"/>
      <w:outlineLvl w:val="2"/>
    </w:pPr>
    <w:rPr>
      <w:rFonts w:ascii="Microsoft JhengHei" w:hAnsi="Microsoft JhengHei" w:eastAsia="Microsoft JhengHei" w:cs="Microsoft JhengHei"/>
      <w:b/>
      <w:bCs/>
      <w:sz w:val="32"/>
      <w:szCs w:val="32"/>
    </w:rPr>
  </w:style>
  <w:style w:type="character" w:customStyle="1" w:styleId="38">
    <w:name w:val="font11"/>
    <w:basedOn w:val="28"/>
    <w:qFormat/>
    <w:uiPriority w:val="0"/>
    <w:rPr>
      <w:rFonts w:hint="eastAsia" w:ascii="宋体" w:hAnsi="宋体" w:eastAsia="宋体" w:cs="宋体"/>
      <w:color w:val="000000"/>
      <w:sz w:val="20"/>
      <w:szCs w:val="20"/>
      <w:u w:val="none"/>
    </w:rPr>
  </w:style>
  <w:style w:type="character" w:customStyle="1" w:styleId="39">
    <w:name w:val="font21"/>
    <w:basedOn w:val="28"/>
    <w:qFormat/>
    <w:uiPriority w:val="0"/>
    <w:rPr>
      <w:rFonts w:ascii="Arial" w:hAnsi="Arial" w:cs="Arial"/>
      <w:color w:val="000000"/>
      <w:sz w:val="20"/>
      <w:szCs w:val="20"/>
      <w:u w:val="none"/>
    </w:rPr>
  </w:style>
  <w:style w:type="character" w:customStyle="1" w:styleId="40">
    <w:name w:val="font31"/>
    <w:basedOn w:val="28"/>
    <w:qFormat/>
    <w:uiPriority w:val="0"/>
    <w:rPr>
      <w:rFonts w:hint="eastAsia" w:ascii="宋体" w:hAnsi="宋体" w:eastAsia="宋体" w:cs="宋体"/>
      <w:color w:val="000000"/>
      <w:sz w:val="20"/>
      <w:szCs w:val="20"/>
      <w:u w:val="none"/>
    </w:rPr>
  </w:style>
  <w:style w:type="character" w:customStyle="1" w:styleId="41">
    <w:name w:val="font41"/>
    <w:basedOn w:val="28"/>
    <w:qFormat/>
    <w:uiPriority w:val="0"/>
    <w:rPr>
      <w:rFonts w:hint="default" w:ascii="Arial" w:hAnsi="Arial" w:cs="Arial"/>
      <w:color w:val="000000"/>
      <w:sz w:val="20"/>
      <w:szCs w:val="20"/>
      <w:u w:val="none"/>
    </w:rPr>
  </w:style>
  <w:style w:type="character" w:customStyle="1" w:styleId="42">
    <w:name w:val="样式 仿宋"/>
    <w:basedOn w:val="28"/>
    <w:qFormat/>
    <w:uiPriority w:val="0"/>
    <w:rPr>
      <w:rFonts w:ascii="仿宋" w:hAnsi="仿宋" w:eastAsia="仿宋"/>
    </w:rPr>
  </w:style>
  <w:style w:type="character" w:customStyle="1" w:styleId="43">
    <w:name w:val="批注框文本 字符"/>
    <w:basedOn w:val="28"/>
    <w:link w:val="16"/>
    <w:qFormat/>
    <w:uiPriority w:val="0"/>
    <w:rPr>
      <w:kern w:val="2"/>
      <w:sz w:val="18"/>
      <w:szCs w:val="18"/>
    </w:rPr>
  </w:style>
  <w:style w:type="paragraph" w:customStyle="1" w:styleId="44">
    <w:name w:val="WPSOffice手动目录 1"/>
    <w:qFormat/>
    <w:uiPriority w:val="0"/>
    <w:rPr>
      <w:rFonts w:ascii="Times New Roman" w:hAnsi="Times New Roman" w:eastAsia="宋体" w:cs="Times New Roman"/>
      <w:lang w:val="en-US" w:eastAsia="zh-CN" w:bidi="ar-SA"/>
    </w:rPr>
  </w:style>
  <w:style w:type="paragraph" w:customStyle="1" w:styleId="45">
    <w:name w:val="页脚1"/>
    <w:basedOn w:val="1"/>
    <w:unhideWhenUsed/>
    <w:qFormat/>
    <w:uiPriority w:val="99"/>
    <w:pPr>
      <w:tabs>
        <w:tab w:val="center" w:pos="4153"/>
        <w:tab w:val="right" w:pos="8306"/>
      </w:tabs>
      <w:jc w:val="left"/>
    </w:pPr>
    <w:rPr>
      <w:sz w:val="18"/>
      <w:szCs w:val="18"/>
    </w:rPr>
  </w:style>
  <w:style w:type="paragraph" w:customStyle="1" w:styleId="46">
    <w:name w:val="格式３"/>
    <w:qFormat/>
    <w:uiPriority w:val="0"/>
    <w:pPr>
      <w:widowControl w:val="0"/>
      <w:spacing w:line="420" w:lineRule="exact"/>
      <w:ind w:left="600" w:hanging="600" w:hangingChars="250"/>
      <w:jc w:val="both"/>
    </w:pPr>
    <w:rPr>
      <w:rFonts w:ascii="Calibri" w:hAnsi="Calibri" w:eastAsia="宋体" w:cs="Times New Roman"/>
      <w:color w:val="000000"/>
      <w:kern w:val="2"/>
      <w:sz w:val="24"/>
      <w:lang w:val="en-US" w:eastAsia="zh-CN" w:bidi="ar-SA"/>
    </w:rPr>
  </w:style>
  <w:style w:type="paragraph" w:customStyle="1" w:styleId="47">
    <w:name w:val="正文_2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48">
    <w:name w:val="页脚 字符"/>
    <w:basedOn w:val="28"/>
    <w:link w:val="17"/>
    <w:qFormat/>
    <w:uiPriority w:val="99"/>
    <w:rPr>
      <w:kern w:val="2"/>
      <w:sz w:val="18"/>
      <w:szCs w:val="18"/>
    </w:rPr>
  </w:style>
  <w:style w:type="paragraph" w:customStyle="1" w:styleId="49">
    <w:name w:val="正文1"/>
    <w:basedOn w:val="1"/>
    <w:qFormat/>
    <w:uiPriority w:val="0"/>
    <w:pPr>
      <w:spacing w:line="400" w:lineRule="exact"/>
      <w:ind w:firstLine="420" w:firstLineChars="200"/>
    </w:pPr>
    <w:rPr>
      <w:rFonts w:ascii="宋体" w:hAnsi="宋体"/>
      <w:szCs w:val="21"/>
    </w:rPr>
  </w:style>
  <w:style w:type="paragraph" w:customStyle="1" w:styleId="50">
    <w:name w:val="BodyText1I2"/>
    <w:basedOn w:val="51"/>
    <w:autoRedefine/>
    <w:qFormat/>
    <w:uiPriority w:val="0"/>
    <w:pPr>
      <w:spacing w:after="120" w:line="240" w:lineRule="auto"/>
      <w:ind w:left="420" w:leftChars="200" w:firstLine="420"/>
      <w:jc w:val="both"/>
      <w:textAlignment w:val="baseline"/>
    </w:pPr>
    <w:rPr>
      <w:rFonts w:ascii="Calibri" w:hAnsi="Calibri" w:eastAsia="宋体"/>
      <w:kern w:val="2"/>
      <w:sz w:val="21"/>
      <w:szCs w:val="22"/>
      <w:lang w:val="en-US" w:eastAsia="zh-CN" w:bidi="ar-SA"/>
    </w:rPr>
  </w:style>
  <w:style w:type="paragraph" w:customStyle="1" w:styleId="51">
    <w:name w:val="BodyTextIndent"/>
    <w:basedOn w:val="1"/>
    <w:next w:val="52"/>
    <w:autoRedefine/>
    <w:qFormat/>
    <w:uiPriority w:val="0"/>
    <w:pPr>
      <w:spacing w:line="280" w:lineRule="atLeast"/>
      <w:ind w:firstLine="412"/>
      <w:jc w:val="both"/>
      <w:textAlignment w:val="baseline"/>
    </w:pPr>
    <w:rPr>
      <w:rFonts w:ascii="Courier New" w:hAnsi="Courier New"/>
      <w:kern w:val="2"/>
      <w:sz w:val="21"/>
      <w:szCs w:val="20"/>
      <w:lang w:val="en-US" w:eastAsia="zh-CN" w:bidi="ar-SA"/>
    </w:rPr>
  </w:style>
  <w:style w:type="paragraph" w:customStyle="1" w:styleId="52">
    <w:name w:val="EnvelopeReturn"/>
    <w:basedOn w:val="1"/>
    <w:autoRedefine/>
    <w:qFormat/>
    <w:uiPriority w:val="0"/>
    <w:pPr>
      <w:snapToGrid w:val="0"/>
      <w:jc w:val="both"/>
      <w:textAlignment w:val="baseline"/>
    </w:pPr>
    <w:rPr>
      <w:rFonts w:ascii="Arial" w:hAnsi="Arial" w:eastAsia="宋体"/>
      <w:kern w:val="2"/>
      <w:sz w:val="21"/>
      <w:szCs w:val="24"/>
      <w:lang w:val="en-US" w:eastAsia="zh-CN" w:bidi="ar-SA"/>
    </w:rPr>
  </w:style>
  <w:style w:type="character" w:customStyle="1" w:styleId="53">
    <w:name w:val="NormalCharacter"/>
    <w:autoRedefine/>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57</Pages>
  <Words>2822</Words>
  <Characters>3218</Characters>
  <Lines>278</Lines>
  <Paragraphs>78</Paragraphs>
  <TotalTime>24</TotalTime>
  <ScaleCrop>false</ScaleCrop>
  <LinksUpToDate>false</LinksUpToDate>
  <CharactersWithSpaces>3290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2025-08-21T12:17:00Z</dcterms:created>
  <dc:creator>诗和远方</dc:creator>
  <cp:lastModifiedBy>承诺太假～</cp:lastModifiedBy>
  <cp:lastPrinted>2025-09-17T06:40:00Z</cp:lastPrinted>
  <dcterms:modified xsi:type="dcterms:W3CDTF">2025-09-23T02:31:40Z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AA65C669223B43EAA77B4FC508463CC0_13</vt:lpwstr>
  </property>
  <property fmtid="{D5CDD505-2E9C-101B-9397-08002B2CF9AE}" pid="4" name="KSOTemplateDocerSaveRecord">
    <vt:lpwstr>eyJoZGlkIjoiMGY5NDE5ZWRkM2NmNzZjM2ZkOWQ0NDI5NmMzOWEyNDIiLCJ1c2VySWQiOiI0NTUxOTYxMDkifQ==</vt:lpwstr>
  </property>
</Properties>
</file>