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76531">
      <w:pPr>
        <w:widowControl/>
        <w:spacing w:line="480" w:lineRule="auto"/>
        <w:jc w:val="center"/>
        <w:textAlignment w:val="top"/>
        <w:rPr>
          <w:rFonts w:hint="eastAsia" w:ascii="宋体" w:hAnsi="宋体" w:eastAsia="宋体" w:cs="宋体"/>
          <w:b/>
          <w:bCs/>
          <w:color w:val="000000"/>
          <w:kern w:val="0"/>
          <w:sz w:val="40"/>
          <w:szCs w:val="40"/>
          <w:highlight w:val="none"/>
          <w:lang w:val="en-US" w:eastAsia="zh-CN"/>
        </w:rPr>
      </w:pPr>
      <w:r>
        <w:rPr>
          <w:rFonts w:hint="eastAsia" w:ascii="宋体" w:hAnsi="宋体" w:eastAsia="宋体" w:cs="宋体"/>
          <w:b/>
          <w:bCs/>
          <w:color w:val="000000"/>
          <w:kern w:val="0"/>
          <w:sz w:val="40"/>
          <w:szCs w:val="40"/>
          <w:highlight w:val="none"/>
          <w:lang w:val="en-US" w:eastAsia="zh-CN"/>
        </w:rPr>
        <w:t>连云港市东海县白塔埠镇农村黑臭水体</w:t>
      </w:r>
    </w:p>
    <w:p w14:paraId="1F72CBA5">
      <w:pPr>
        <w:widowControl/>
        <w:spacing w:line="480" w:lineRule="auto"/>
        <w:jc w:val="center"/>
        <w:textAlignment w:val="top"/>
        <w:rPr>
          <w:rFonts w:hint="eastAsia" w:ascii="宋体" w:hAnsi="宋体" w:eastAsia="宋体" w:cs="宋体"/>
          <w:b/>
          <w:bCs/>
          <w:kern w:val="0"/>
          <w:sz w:val="40"/>
          <w:szCs w:val="40"/>
          <w:highlight w:val="none"/>
        </w:rPr>
      </w:pPr>
      <w:r>
        <w:rPr>
          <w:rFonts w:hint="eastAsia" w:ascii="宋体" w:hAnsi="宋体" w:eastAsia="宋体" w:cs="宋体"/>
          <w:b/>
          <w:bCs/>
          <w:color w:val="000000"/>
          <w:kern w:val="0"/>
          <w:sz w:val="40"/>
          <w:szCs w:val="40"/>
          <w:highlight w:val="none"/>
          <w:lang w:val="en-US" w:eastAsia="zh-CN"/>
        </w:rPr>
        <w:t>治理项目</w:t>
      </w:r>
      <w:r>
        <w:rPr>
          <w:rFonts w:hint="eastAsia" w:ascii="宋体" w:hAnsi="宋体" w:cs="宋体"/>
          <w:b/>
          <w:bCs/>
          <w:kern w:val="0"/>
          <w:sz w:val="40"/>
          <w:szCs w:val="40"/>
          <w:highlight w:val="none"/>
          <w:lang w:val="en-US" w:eastAsia="zh-CN"/>
        </w:rPr>
        <w:t>清单</w:t>
      </w:r>
      <w:r>
        <w:rPr>
          <w:rFonts w:hint="eastAsia" w:ascii="宋体" w:hAnsi="宋体" w:eastAsia="宋体" w:cs="宋体"/>
          <w:b/>
          <w:bCs/>
          <w:kern w:val="0"/>
          <w:sz w:val="40"/>
          <w:szCs w:val="40"/>
          <w:highlight w:val="none"/>
        </w:rPr>
        <w:t>编制说明</w:t>
      </w:r>
    </w:p>
    <w:p w14:paraId="1600681C">
      <w:pPr>
        <w:widowControl/>
        <w:spacing w:line="480" w:lineRule="auto"/>
        <w:jc w:val="center"/>
        <w:textAlignment w:val="top"/>
        <w:rPr>
          <w:rFonts w:hint="eastAsia" w:ascii="宋体" w:hAnsi="宋体" w:eastAsia="宋体" w:cs="宋体"/>
          <w:b/>
          <w:bCs/>
          <w:kern w:val="0"/>
          <w:sz w:val="40"/>
          <w:szCs w:val="40"/>
          <w:highlight w:val="none"/>
        </w:rPr>
      </w:pPr>
    </w:p>
    <w:p w14:paraId="5312C45C">
      <w:pPr>
        <w:widowControl/>
        <w:spacing w:line="480" w:lineRule="auto"/>
        <w:ind w:left="-420" w:leftChars="-200"/>
        <w:jc w:val="left"/>
        <w:textAlignment w:val="top"/>
        <w:rPr>
          <w:rFonts w:hint="eastAsia" w:ascii="宋体" w:hAnsi="宋体" w:eastAsia="宋体" w:cs="宋体"/>
          <w:kern w:val="0"/>
          <w:sz w:val="30"/>
          <w:szCs w:val="30"/>
          <w:highlight w:val="none"/>
          <w:lang w:val="en-US" w:eastAsia="zh-CN" w:bidi="ar-SA"/>
        </w:rPr>
      </w:pPr>
      <w:r>
        <w:rPr>
          <w:rFonts w:hint="eastAsia" w:ascii="宋体" w:hAnsi="宋体" w:eastAsia="宋体" w:cs="宋体"/>
          <w:b/>
          <w:bCs/>
          <w:kern w:val="0"/>
          <w:sz w:val="30"/>
          <w:szCs w:val="30"/>
          <w:highlight w:val="none"/>
        </w:rPr>
        <w:t>一、工程概况</w:t>
      </w:r>
    </w:p>
    <w:p w14:paraId="77FB4495">
      <w:pPr>
        <w:pStyle w:val="5"/>
        <w:keepNext w:val="0"/>
        <w:keepLines w:val="0"/>
        <w:widowControl/>
        <w:suppressLineNumbers w:val="0"/>
        <w:spacing w:before="0" w:beforeAutospacing="0" w:after="0" w:afterAutospacing="0"/>
        <w:ind w:left="0" w:right="0" w:firstLine="280" w:firstLineChars="100"/>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lang w:val="en-US" w:eastAsia="zh-CN" w:bidi="ar-SA"/>
        </w:rPr>
        <w:t>1、</w:t>
      </w:r>
      <w:r>
        <w:rPr>
          <w:rFonts w:hint="eastAsia" w:ascii="宋体" w:hAnsi="宋体" w:eastAsia="宋体" w:cs="宋体"/>
          <w:sz w:val="28"/>
          <w:szCs w:val="28"/>
          <w:highlight w:val="none"/>
          <w:lang w:val="en-US" w:eastAsia="zh-CN"/>
        </w:rPr>
        <w:t>工程名称:</w:t>
      </w:r>
      <w:r>
        <w:rPr>
          <w:rFonts w:hint="eastAsia" w:ascii="宋体" w:hAnsi="宋体" w:eastAsia="宋体" w:cs="宋体"/>
          <w:kern w:val="0"/>
          <w:sz w:val="28"/>
          <w:szCs w:val="28"/>
          <w:highlight w:val="none"/>
          <w:lang w:val="en-US" w:eastAsia="zh-CN" w:bidi="ar-SA"/>
        </w:rPr>
        <w:t xml:space="preserve">连云港市东海县白塔埠镇农村黑臭水体治理项目； </w:t>
      </w:r>
    </w:p>
    <w:p w14:paraId="7BFF3BE2">
      <w:pPr>
        <w:pStyle w:val="5"/>
        <w:keepNext w:val="0"/>
        <w:keepLines w:val="0"/>
        <w:widowControl/>
        <w:suppressLineNumbers w:val="0"/>
        <w:spacing w:before="0" w:beforeAutospacing="0" w:after="0" w:afterAutospacing="0"/>
        <w:ind w:left="0" w:right="0" w:firstLine="280" w:firstLineChars="100"/>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lang w:val="en-US" w:eastAsia="zh-CN" w:bidi="ar-SA"/>
        </w:rPr>
        <w:t>2、建设地点:东海县白塔埠镇人民政府；</w:t>
      </w:r>
    </w:p>
    <w:p w14:paraId="5CAD08F6">
      <w:pPr>
        <w:pStyle w:val="5"/>
        <w:keepNext w:val="0"/>
        <w:keepLines w:val="0"/>
        <w:widowControl/>
        <w:suppressLineNumbers w:val="0"/>
        <w:spacing w:before="0" w:beforeAutospacing="0" w:after="0" w:afterAutospacing="0"/>
        <w:ind w:left="0" w:right="0" w:firstLine="280" w:firstLineChars="100"/>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lang w:val="en-US" w:eastAsia="zh-CN" w:bidi="ar-SA"/>
        </w:rPr>
        <w:t>3、建设地点:连云港市东海县白塔埠镇。</w:t>
      </w:r>
    </w:p>
    <w:p w14:paraId="1177E420">
      <w:pPr>
        <w:widowControl/>
        <w:spacing w:line="480" w:lineRule="auto"/>
        <w:ind w:left="-420" w:leftChars="-200"/>
        <w:jc w:val="left"/>
        <w:textAlignment w:val="top"/>
        <w:rPr>
          <w:rFonts w:hint="eastAsia" w:ascii="宋体" w:hAnsi="宋体" w:eastAsia="宋体" w:cs="宋体"/>
          <w:sz w:val="30"/>
          <w:szCs w:val="30"/>
          <w:highlight w:val="none"/>
        </w:rPr>
      </w:pPr>
      <w:r>
        <w:rPr>
          <w:rFonts w:hint="eastAsia" w:ascii="宋体" w:hAnsi="宋体" w:eastAsia="宋体" w:cs="宋体"/>
          <w:b/>
          <w:bCs/>
          <w:kern w:val="0"/>
          <w:sz w:val="30"/>
          <w:szCs w:val="30"/>
          <w:highlight w:val="none"/>
        </w:rPr>
        <w:t>二、编制依据</w:t>
      </w:r>
      <w:bookmarkStart w:id="0" w:name="_GoBack"/>
      <w:bookmarkEnd w:id="0"/>
    </w:p>
    <w:p w14:paraId="3EF84C2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1、中城科泽工程设计集团有限责任公司设计图纸(电子版）。</w:t>
      </w:r>
    </w:p>
    <w:p w14:paraId="5353DB7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top"/>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《水利工程工程量清单计价规范》（GB50501-2007）</w:t>
      </w:r>
      <w:r>
        <w:rPr>
          <w:rFonts w:hint="eastAsia" w:ascii="宋体" w:hAnsi="宋体" w:eastAsia="宋体" w:cs="宋体"/>
          <w:sz w:val="28"/>
          <w:szCs w:val="28"/>
          <w:highlight w:val="none"/>
          <w:lang w:eastAsia="zh-CN"/>
        </w:rPr>
        <w:t>、《市政工程工程量计算规范》(GB50857-2013)</w:t>
      </w:r>
      <w:r>
        <w:rPr>
          <w:rFonts w:hint="eastAsia" w:ascii="宋体" w:hAnsi="宋体" w:eastAsia="宋体" w:cs="宋体"/>
          <w:sz w:val="28"/>
          <w:szCs w:val="28"/>
          <w:highlight w:val="none"/>
          <w:lang w:val="en-US" w:eastAsia="zh-CN"/>
        </w:rPr>
        <w:t>等</w:t>
      </w:r>
      <w:r>
        <w:rPr>
          <w:rFonts w:hint="eastAsia" w:ascii="宋体" w:hAnsi="宋体" w:eastAsia="宋体" w:cs="宋体"/>
          <w:sz w:val="28"/>
          <w:szCs w:val="28"/>
          <w:highlight w:val="none"/>
        </w:rPr>
        <w:t>工程量计算规范。</w:t>
      </w:r>
    </w:p>
    <w:p w14:paraId="1C86F57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top"/>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
        </w:rPr>
        <w:t>3</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经建设单位确认尚需明确的相关情况说明。</w:t>
      </w:r>
    </w:p>
    <w:p w14:paraId="519E7F3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top"/>
        <w:rPr>
          <w:rFonts w:hint="eastAsia" w:ascii="宋体" w:hAnsi="宋体" w:eastAsia="宋体" w:cs="宋体"/>
          <w:b/>
          <w:bCs/>
          <w:kern w:val="0"/>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国家、省市颁布的与工程造价有关的法规、文件、规定。</w:t>
      </w:r>
    </w:p>
    <w:p w14:paraId="22532453">
      <w:pPr>
        <w:widowControl/>
        <w:spacing w:line="480" w:lineRule="auto"/>
        <w:ind w:left="-420" w:leftChars="-200"/>
        <w:jc w:val="left"/>
        <w:textAlignment w:val="top"/>
        <w:rPr>
          <w:rFonts w:hint="eastAsia" w:ascii="宋体" w:hAnsi="宋体" w:eastAsia="宋体" w:cs="宋体"/>
          <w:b/>
          <w:bCs/>
          <w:kern w:val="0"/>
          <w:sz w:val="28"/>
          <w:szCs w:val="28"/>
          <w:highlight w:val="none"/>
        </w:rPr>
      </w:pPr>
      <w:r>
        <w:rPr>
          <w:rFonts w:hint="eastAsia" w:ascii="宋体" w:hAnsi="宋体" w:eastAsia="宋体" w:cs="宋体"/>
          <w:b/>
          <w:bCs/>
          <w:kern w:val="0"/>
          <w:sz w:val="30"/>
          <w:szCs w:val="30"/>
          <w:highlight w:val="none"/>
        </w:rPr>
        <w:t>三、编制范围</w:t>
      </w:r>
    </w:p>
    <w:p w14:paraId="51912B85">
      <w:pPr>
        <w:widowControl/>
        <w:spacing w:line="360" w:lineRule="auto"/>
        <w:ind w:firstLine="560" w:firstLineChars="200"/>
        <w:jc w:val="left"/>
        <w:textAlignment w:val="top"/>
        <w:rPr>
          <w:rFonts w:hint="eastAsia" w:ascii="宋体" w:hAnsi="宋体" w:eastAsia="宋体" w:cs="宋体"/>
          <w:sz w:val="28"/>
          <w:szCs w:val="28"/>
          <w:highlight w:val="none"/>
        </w:rPr>
      </w:pPr>
      <w:r>
        <w:rPr>
          <w:rFonts w:hint="eastAsia" w:ascii="宋体" w:hAnsi="宋体" w:eastAsia="宋体" w:cs="宋体"/>
          <w:sz w:val="28"/>
          <w:szCs w:val="28"/>
          <w:highlight w:val="none"/>
          <w:lang w:val="zh-CN"/>
        </w:rPr>
        <w:t>本工程</w:t>
      </w:r>
      <w:r>
        <w:rPr>
          <w:rFonts w:hint="eastAsia" w:ascii="宋体" w:hAnsi="宋体" w:eastAsia="宋体" w:cs="宋体"/>
          <w:sz w:val="28"/>
          <w:szCs w:val="28"/>
          <w:highlight w:val="none"/>
        </w:rPr>
        <w:t>编制范围为</w:t>
      </w:r>
      <w:r>
        <w:rPr>
          <w:rFonts w:hint="eastAsia" w:ascii="宋体" w:hAnsi="宋体" w:eastAsia="宋体" w:cs="宋体"/>
          <w:kern w:val="0"/>
          <w:sz w:val="28"/>
          <w:szCs w:val="28"/>
          <w:highlight w:val="none"/>
          <w:lang w:val="en-US" w:eastAsia="zh-CN" w:bidi="ar-SA"/>
        </w:rPr>
        <w:t>连云港市东海县白塔埠镇农村黑臭水体治理项目</w:t>
      </w:r>
      <w:r>
        <w:rPr>
          <w:rFonts w:hint="eastAsia" w:ascii="宋体" w:hAnsi="宋体" w:eastAsia="宋体" w:cs="宋体"/>
          <w:sz w:val="28"/>
          <w:szCs w:val="28"/>
          <w:highlight w:val="none"/>
          <w:lang w:val="en-US" w:eastAsia="zh-CN"/>
        </w:rPr>
        <w:t>，主要施工内容对现状河道/沟渠清淤疏浚、新建河岸缓冲带、边坡整治、水生态构建、生态护坡、氮磷拦截沟、河面垃圾清理、新增提升泵房等，具体工作内容详见工程量清单。</w:t>
      </w:r>
    </w:p>
    <w:p w14:paraId="76EF1F5D">
      <w:pPr>
        <w:widowControl/>
        <w:numPr>
          <w:ilvl w:val="0"/>
          <w:numId w:val="1"/>
        </w:numPr>
        <w:spacing w:line="480" w:lineRule="auto"/>
        <w:ind w:left="-420" w:leftChars="-200"/>
        <w:jc w:val="left"/>
        <w:textAlignment w:val="top"/>
        <w:rPr>
          <w:rFonts w:hint="eastAsia" w:ascii="宋体" w:hAnsi="宋体" w:eastAsia="宋体" w:cs="宋体"/>
          <w:b/>
          <w:bCs/>
          <w:kern w:val="0"/>
          <w:sz w:val="30"/>
          <w:szCs w:val="30"/>
          <w:highlight w:val="none"/>
          <w:lang w:val="en-US" w:eastAsia="zh-CN"/>
        </w:rPr>
      </w:pPr>
      <w:r>
        <w:rPr>
          <w:rFonts w:hint="eastAsia" w:ascii="宋体" w:hAnsi="宋体" w:eastAsia="宋体" w:cs="宋体"/>
          <w:b/>
          <w:bCs/>
          <w:kern w:val="0"/>
          <w:sz w:val="30"/>
          <w:szCs w:val="30"/>
          <w:highlight w:val="none"/>
        </w:rPr>
        <w:t>其它说明</w:t>
      </w:r>
    </w:p>
    <w:p w14:paraId="12545CAD">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jc w:val="left"/>
        <w:textAlignment w:val="top"/>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1、本工程清单编制使用</w:t>
      </w:r>
      <w:r>
        <w:rPr>
          <w:rFonts w:hint="eastAsia" w:ascii="宋体" w:hAnsi="宋体" w:eastAsia="宋体" w:cs="宋体"/>
          <w:sz w:val="28"/>
          <w:szCs w:val="28"/>
          <w:highlight w:val="none"/>
        </w:rPr>
        <w:t>混凝土均为商品(预拌)混凝土，所用混凝土外加剂满足设计要求并在投标报价中综合考虑；</w:t>
      </w:r>
    </w:p>
    <w:p w14:paraId="3204AC0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2、本次清单编制无预留金；</w:t>
      </w:r>
    </w:p>
    <w:p w14:paraId="100D015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36"/>
          <w:highlight w:val="none"/>
          <w:lang w:val="en-US" w:eastAsia="zh-CN"/>
        </w:rPr>
        <w:t>本次清单编制所有承插管均按C30强度等级考虑</w:t>
      </w:r>
      <w:r>
        <w:rPr>
          <w:rFonts w:hint="eastAsia" w:ascii="宋体" w:hAnsi="宋体" w:eastAsia="宋体" w:cs="宋体"/>
          <w:sz w:val="28"/>
          <w:szCs w:val="28"/>
          <w:highlight w:val="none"/>
        </w:rPr>
        <w:t>；</w:t>
      </w:r>
    </w:p>
    <w:p w14:paraId="594A8A4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36"/>
          <w:highlight w:val="none"/>
          <w:lang w:val="en-US" w:eastAsia="zh-CN"/>
        </w:rPr>
        <w:t>本次清单编制图纸未注明混凝土按C25强度等级考虑</w:t>
      </w:r>
      <w:r>
        <w:rPr>
          <w:rFonts w:hint="eastAsia" w:ascii="宋体" w:hAnsi="宋体" w:eastAsia="宋体" w:cs="宋体"/>
          <w:sz w:val="28"/>
          <w:szCs w:val="28"/>
          <w:highlight w:val="none"/>
        </w:rPr>
        <w:t>；</w:t>
      </w:r>
    </w:p>
    <w:p w14:paraId="7EFFA6C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36"/>
          <w:highlight w:val="none"/>
          <w:lang w:val="en-US" w:eastAsia="zh-CN"/>
        </w:rPr>
        <w:t>本次清单编制栅栏围墙高度按</w:t>
      </w:r>
      <w:r>
        <w:rPr>
          <w:rFonts w:hint="eastAsia" w:ascii="宋体" w:hAnsi="宋体" w:eastAsia="宋体" w:cs="宋体"/>
          <w:sz w:val="28"/>
          <w:szCs w:val="28"/>
          <w:highlight w:val="none"/>
          <w:lang w:val="en-US" w:eastAsia="zh-CN"/>
        </w:rPr>
        <w:t>1.5m</w:t>
      </w:r>
      <w:r>
        <w:rPr>
          <w:rFonts w:hint="eastAsia" w:ascii="宋体" w:hAnsi="宋体" w:eastAsia="宋体" w:cs="宋体"/>
          <w:sz w:val="28"/>
          <w:szCs w:val="36"/>
          <w:highlight w:val="none"/>
          <w:lang w:val="en-US" w:eastAsia="zh-CN"/>
        </w:rPr>
        <w:t>考虑</w:t>
      </w:r>
      <w:r>
        <w:rPr>
          <w:rFonts w:hint="eastAsia" w:ascii="宋体" w:hAnsi="宋体" w:eastAsia="宋体" w:cs="宋体"/>
          <w:sz w:val="28"/>
          <w:szCs w:val="28"/>
          <w:highlight w:val="none"/>
        </w:rPr>
        <w:t>；</w:t>
      </w:r>
    </w:p>
    <w:p w14:paraId="7B93C12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6、工程施工中，为保证质量而由施工单位自行采取的施工工艺措施项目均由投标单位在报价时自行考虑，无论采用与否，结算时均不调整；</w:t>
      </w:r>
    </w:p>
    <w:p w14:paraId="0CE5FCF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w:t>
      </w:r>
      <w:r>
        <w:rPr>
          <w:rFonts w:hint="eastAsia" w:ascii="宋体" w:hAnsi="宋体" w:eastAsia="宋体" w:cs="宋体"/>
          <w:color w:val="000000"/>
          <w:sz w:val="28"/>
          <w:szCs w:val="28"/>
          <w:highlight w:val="none"/>
        </w:rPr>
        <w:t>投标人综合考虑所有措施费用，投标人措施中未考虑部分视为在报价中已综合考虑；</w:t>
      </w:r>
    </w:p>
    <w:p w14:paraId="21315839">
      <w:pPr>
        <w:keepNext w:val="0"/>
        <w:keepLines w:val="0"/>
        <w:pageBreakBefore w:val="0"/>
        <w:widowControl/>
        <w:numPr>
          <w:ilvl w:val="0"/>
          <w:numId w:val="0"/>
        </w:numPr>
        <w:kinsoku/>
        <w:wordWrap/>
        <w:overflowPunct/>
        <w:topLinePunct w:val="0"/>
        <w:autoSpaceDE/>
        <w:autoSpaceDN/>
        <w:bidi w:val="0"/>
        <w:adjustRightInd/>
        <w:snapToGrid/>
        <w:spacing w:line="480" w:lineRule="auto"/>
        <w:ind w:left="60" w:leftChars="0" w:firstLine="560" w:firstLineChars="200"/>
        <w:jc w:val="left"/>
        <w:textAlignment w:val="top"/>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8、材料二次转运、现场协调、安全防护等费用，投标人自行考虑在报价中，招标文件另有规定的除外；</w:t>
      </w:r>
    </w:p>
    <w:p w14:paraId="78C17220">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jc w:val="left"/>
        <w:textAlignment w:val="top"/>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9、未尽事宜详见招标文件、工程量清单、设计图纸及规范。</w:t>
      </w:r>
    </w:p>
    <w:p w14:paraId="6B7009E1">
      <w:pPr>
        <w:widowControl/>
        <w:numPr>
          <w:ilvl w:val="0"/>
          <w:numId w:val="0"/>
        </w:numPr>
        <w:spacing w:line="480" w:lineRule="auto"/>
        <w:ind w:firstLine="281" w:firstLineChars="100"/>
        <w:jc w:val="left"/>
        <w:textAlignment w:val="top"/>
        <w:rPr>
          <w:rFonts w:hint="eastAsia" w:ascii="宋体" w:hAnsi="宋体" w:eastAsia="宋体" w:cs="宋体"/>
          <w:b/>
          <w:kern w:val="0"/>
          <w:sz w:val="28"/>
          <w:szCs w:val="28"/>
          <w:highlight w:val="none"/>
          <w:lang w:bidi="ar"/>
        </w:rPr>
      </w:pPr>
      <w:r>
        <w:rPr>
          <w:rFonts w:hint="eastAsia" w:ascii="宋体" w:hAnsi="宋体" w:eastAsia="宋体" w:cs="宋体"/>
          <w:b/>
          <w:bCs/>
          <w:sz w:val="28"/>
          <w:szCs w:val="28"/>
          <w:highlight w:val="none"/>
          <w:lang w:val="en-US" w:eastAsia="zh-CN"/>
        </w:rPr>
        <w:t>注：材料使用前须报送招标人，经招标人对性能、质量认可后方能使用。</w:t>
      </w:r>
    </w:p>
    <w:p w14:paraId="0974E6F8">
      <w:pPr>
        <w:widowControl/>
        <w:numPr>
          <w:ilvl w:val="0"/>
          <w:numId w:val="0"/>
        </w:numPr>
        <w:spacing w:line="480" w:lineRule="auto"/>
        <w:ind w:left="60" w:leftChars="0" w:firstLine="240" w:firstLineChars="100"/>
        <w:jc w:val="left"/>
        <w:textAlignment w:val="top"/>
        <w:rPr>
          <w:rFonts w:hint="eastAsia" w:ascii="宋体" w:hAnsi="宋体"/>
          <w:sz w:val="24"/>
          <w:szCs w:val="24"/>
          <w:lang w:val="en-US" w:eastAsia="zh-CN"/>
        </w:rPr>
      </w:pPr>
    </w:p>
    <w:p w14:paraId="5BF121CA">
      <w:pPr>
        <w:widowControl/>
        <w:numPr>
          <w:ilvl w:val="0"/>
          <w:numId w:val="0"/>
        </w:numPr>
        <w:spacing w:line="480" w:lineRule="auto"/>
        <w:ind w:firstLine="281" w:firstLineChars="100"/>
        <w:jc w:val="left"/>
        <w:textAlignment w:val="top"/>
        <w:rPr>
          <w:rFonts w:cs="宋体"/>
          <w:b/>
          <w:bCs/>
          <w:kern w:val="0"/>
          <w:sz w:val="28"/>
          <w:szCs w:val="28"/>
          <w:lang w:bidi="ar"/>
        </w:rPr>
      </w:pPr>
    </w:p>
    <w:p w14:paraId="4D266E0C">
      <w:pPr>
        <w:widowControl/>
        <w:numPr>
          <w:ilvl w:val="0"/>
          <w:numId w:val="0"/>
        </w:numPr>
        <w:spacing w:line="480" w:lineRule="auto"/>
        <w:ind w:left="60" w:leftChars="0" w:firstLine="240" w:firstLineChars="100"/>
        <w:jc w:val="left"/>
        <w:textAlignment w:val="top"/>
        <w:rPr>
          <w:rFonts w:hint="eastAsia" w:ascii="宋体" w:hAnsi="宋体"/>
          <w:sz w:val="24"/>
          <w:szCs w:val="24"/>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21D66"/>
    <w:multiLevelType w:val="singleLevel"/>
    <w:tmpl w:val="A1A21D66"/>
    <w:lvl w:ilvl="0" w:tentative="0">
      <w:start w:val="4"/>
      <w:numFmt w:val="chineseCounting"/>
      <w:suff w:val="nothing"/>
      <w:lvlText w:val="%1、"/>
      <w:lvlJc w:val="left"/>
      <w:rPr>
        <w:rFonts w:hint="eastAsia" w:ascii="宋体" w:hAnsi="宋体" w:eastAsia="宋体" w:cs="宋体"/>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ODQxYjUxYjQwZmIxNjFhOGY4YjkwYjY1Y2M5M2UifQ=="/>
  </w:docVars>
  <w:rsids>
    <w:rsidRoot w:val="003B46B7"/>
    <w:rsid w:val="0014619A"/>
    <w:rsid w:val="00303C78"/>
    <w:rsid w:val="003B46B7"/>
    <w:rsid w:val="00443706"/>
    <w:rsid w:val="004572AE"/>
    <w:rsid w:val="005D27BE"/>
    <w:rsid w:val="006E4791"/>
    <w:rsid w:val="00875F82"/>
    <w:rsid w:val="008F046F"/>
    <w:rsid w:val="009867BD"/>
    <w:rsid w:val="00A21A33"/>
    <w:rsid w:val="00A467CC"/>
    <w:rsid w:val="00BC6DAC"/>
    <w:rsid w:val="00E41F0E"/>
    <w:rsid w:val="00E63705"/>
    <w:rsid w:val="00E63EE4"/>
    <w:rsid w:val="00F6495D"/>
    <w:rsid w:val="0218586C"/>
    <w:rsid w:val="02DE1326"/>
    <w:rsid w:val="044F0165"/>
    <w:rsid w:val="05B4086E"/>
    <w:rsid w:val="05C538BF"/>
    <w:rsid w:val="05E3088C"/>
    <w:rsid w:val="06453524"/>
    <w:rsid w:val="066C0838"/>
    <w:rsid w:val="0690486B"/>
    <w:rsid w:val="07064F96"/>
    <w:rsid w:val="09F8063A"/>
    <w:rsid w:val="0A0A153D"/>
    <w:rsid w:val="0D3E5930"/>
    <w:rsid w:val="0DBB5828"/>
    <w:rsid w:val="0DC25720"/>
    <w:rsid w:val="0E365C0D"/>
    <w:rsid w:val="12704F39"/>
    <w:rsid w:val="128B4DCB"/>
    <w:rsid w:val="1399298C"/>
    <w:rsid w:val="14B0593F"/>
    <w:rsid w:val="15050472"/>
    <w:rsid w:val="152A6D51"/>
    <w:rsid w:val="15BF0948"/>
    <w:rsid w:val="15D31327"/>
    <w:rsid w:val="1642129F"/>
    <w:rsid w:val="177269A8"/>
    <w:rsid w:val="183A374F"/>
    <w:rsid w:val="18627DF2"/>
    <w:rsid w:val="1917542C"/>
    <w:rsid w:val="19DD710A"/>
    <w:rsid w:val="1A004533"/>
    <w:rsid w:val="1A36571C"/>
    <w:rsid w:val="1C3A6501"/>
    <w:rsid w:val="1CEC22D3"/>
    <w:rsid w:val="1D073031"/>
    <w:rsid w:val="1DBA5B94"/>
    <w:rsid w:val="1DC94224"/>
    <w:rsid w:val="1EA90810"/>
    <w:rsid w:val="1ED66CD7"/>
    <w:rsid w:val="21663423"/>
    <w:rsid w:val="222706BB"/>
    <w:rsid w:val="2463649E"/>
    <w:rsid w:val="253F0A6C"/>
    <w:rsid w:val="25802D74"/>
    <w:rsid w:val="26EB69F4"/>
    <w:rsid w:val="27616BB5"/>
    <w:rsid w:val="283F19BA"/>
    <w:rsid w:val="285F68BA"/>
    <w:rsid w:val="2BC51E84"/>
    <w:rsid w:val="2C675BE7"/>
    <w:rsid w:val="2CF42A5E"/>
    <w:rsid w:val="2D4923F2"/>
    <w:rsid w:val="2F1C3757"/>
    <w:rsid w:val="2FB862E3"/>
    <w:rsid w:val="307E29B7"/>
    <w:rsid w:val="30CB10F2"/>
    <w:rsid w:val="33D11319"/>
    <w:rsid w:val="34481DC7"/>
    <w:rsid w:val="35BB1FB7"/>
    <w:rsid w:val="37B82DA0"/>
    <w:rsid w:val="37BB06A9"/>
    <w:rsid w:val="396648A4"/>
    <w:rsid w:val="3B80178E"/>
    <w:rsid w:val="3B84249E"/>
    <w:rsid w:val="3CDA1F92"/>
    <w:rsid w:val="3FBB13FA"/>
    <w:rsid w:val="3FE402B2"/>
    <w:rsid w:val="42DD4215"/>
    <w:rsid w:val="439722DC"/>
    <w:rsid w:val="458D16B8"/>
    <w:rsid w:val="4648055E"/>
    <w:rsid w:val="46A936CA"/>
    <w:rsid w:val="48641D92"/>
    <w:rsid w:val="4BDE3E16"/>
    <w:rsid w:val="4C8423AA"/>
    <w:rsid w:val="4D09485B"/>
    <w:rsid w:val="4D333D03"/>
    <w:rsid w:val="4E9C7EF3"/>
    <w:rsid w:val="524465B2"/>
    <w:rsid w:val="53A95679"/>
    <w:rsid w:val="54272F15"/>
    <w:rsid w:val="5479100C"/>
    <w:rsid w:val="57270EDC"/>
    <w:rsid w:val="58B11646"/>
    <w:rsid w:val="599F19E5"/>
    <w:rsid w:val="5AD415D2"/>
    <w:rsid w:val="5CB120E1"/>
    <w:rsid w:val="5DC26025"/>
    <w:rsid w:val="5DD828C3"/>
    <w:rsid w:val="5E4A13CE"/>
    <w:rsid w:val="5FD12D04"/>
    <w:rsid w:val="61080F8B"/>
    <w:rsid w:val="619B0859"/>
    <w:rsid w:val="6281491C"/>
    <w:rsid w:val="63EE36D3"/>
    <w:rsid w:val="64964E36"/>
    <w:rsid w:val="654E747E"/>
    <w:rsid w:val="655B1082"/>
    <w:rsid w:val="67C8168B"/>
    <w:rsid w:val="67F771DF"/>
    <w:rsid w:val="686C7D58"/>
    <w:rsid w:val="6A152131"/>
    <w:rsid w:val="6A4C72B2"/>
    <w:rsid w:val="6A675B1F"/>
    <w:rsid w:val="70160638"/>
    <w:rsid w:val="709A4F17"/>
    <w:rsid w:val="71E60DFD"/>
    <w:rsid w:val="72AC79E7"/>
    <w:rsid w:val="73A44D66"/>
    <w:rsid w:val="741653B1"/>
    <w:rsid w:val="766877A9"/>
    <w:rsid w:val="776B2F8A"/>
    <w:rsid w:val="77A23A02"/>
    <w:rsid w:val="782B33E9"/>
    <w:rsid w:val="78306B8E"/>
    <w:rsid w:val="79A139B4"/>
    <w:rsid w:val="7B680B33"/>
    <w:rsid w:val="7B8F3849"/>
    <w:rsid w:val="7BD51753"/>
    <w:rsid w:val="7CBA6C3F"/>
    <w:rsid w:val="7D6820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rPr>
      <w:rFonts w:ascii="宋体" w:hAnsi="宋体" w:cs="宋体"/>
      <w:sz w:val="28"/>
      <w:szCs w:val="28"/>
      <w:lang w:val="zh-CN" w:bidi="zh-CN"/>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kern w:val="0"/>
      <w:sz w:val="24"/>
    </w:rPr>
  </w:style>
  <w:style w:type="character" w:customStyle="1" w:styleId="8">
    <w:name w:val="页脚 字符"/>
    <w:basedOn w:val="7"/>
    <w:link w:val="3"/>
    <w:autoRedefine/>
    <w:qFormat/>
    <w:uiPriority w:val="0"/>
    <w:rPr>
      <w:kern w:val="2"/>
      <w:sz w:val="18"/>
      <w:szCs w:val="18"/>
    </w:rPr>
  </w:style>
  <w:style w:type="character" w:customStyle="1" w:styleId="9">
    <w:name w:val="页眉 字符"/>
    <w:basedOn w:val="7"/>
    <w:link w:val="4"/>
    <w:autoRedefine/>
    <w:qFormat/>
    <w:uiPriority w:val="0"/>
    <w:rPr>
      <w:kern w:val="2"/>
      <w:sz w:val="18"/>
      <w:szCs w:val="18"/>
    </w:rPr>
  </w:style>
  <w:style w:type="paragraph" w:styleId="10">
    <w:name w:val="List Paragraph"/>
    <w:basedOn w:val="1"/>
    <w:autoRedefine/>
    <w:qFormat/>
    <w:uiPriority w:val="99"/>
    <w:pPr>
      <w:ind w:firstLine="420" w:firstLineChars="200"/>
    </w:pPr>
  </w:style>
  <w:style w:type="character" w:customStyle="1" w:styleId="11">
    <w:name w:val="font41"/>
    <w:basedOn w:val="7"/>
    <w:autoRedefine/>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702</Words>
  <Characters>757</Characters>
  <Lines>8</Lines>
  <Paragraphs>2</Paragraphs>
  <TotalTime>0</TotalTime>
  <ScaleCrop>false</ScaleCrop>
  <LinksUpToDate>false</LinksUpToDate>
  <CharactersWithSpaces>761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Z_雅俗共赏</cp:lastModifiedBy>
  <dcterms:modified xsi:type="dcterms:W3CDTF">2025-10-15T07:51:43Z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DA723EA1C01D4193AFB1A0CAAC4630FC_13</vt:lpwstr>
  </property>
  <property fmtid="{D5CDD505-2E9C-101B-9397-08002B2CF9AE}" pid="4" name="KSOTemplateDocerSaveRecord">
    <vt:lpwstr>eyJoZGlkIjoiNWY5YmY5YjY2MzdiMmFmNjgzN2JiZDEyMGY1MWY1ZmEiLCJ1c2VySWQiOiI1OTIwMTA3MzIifQ==</vt:lpwstr>
  </property>
</Properties>
</file>