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00"/>
        </w:rPr>
        <w:t xml:space="preserve">公开招标文件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2378"/>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项目名称：南京市公安局交通管理局车辆管理所2023年电动自行车一体化车牌采购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项目编号：JSNX-2023135</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采购人：南京市公安局交通管理局车辆管理所</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招标代理：江苏宁信工程项目咨询管理有限公司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二○二三年十月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投标邀请</w:t>
      </w:r>
      <w:r/>
    </w:p>
    <w:p>
      <w:pPr>
        <w:ind w:left="0" w:right="0" w:firstLine="42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2"/>
        </w:rPr>
        <w:t xml:space="preserve">项目概况</w:t>
      </w:r>
      <w:r/>
    </w:p>
    <w:p>
      <w:pPr>
        <w:ind w:left="0" w:right="0" w:firstLine="42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2"/>
          <w:u w:val="single"/>
        </w:rPr>
        <w:t xml:space="preserve">南京市公安局交通管理局车辆管理所2023年电动自行车一体化车牌采购</w:t>
      </w:r>
      <w:r>
        <w:rPr>
          <w:rFonts w:ascii="SimSun" w:hAnsi="SimSun" w:eastAsia="SimSun" w:cs="SimSun"/>
          <w:color w:val="000000"/>
          <w:sz w:val="22"/>
        </w:rPr>
        <w:t xml:space="preserve">招标项目的潜在投标人应在</w:t>
      </w:r>
      <w:r>
        <w:rPr>
          <w:rFonts w:ascii="SimSun" w:hAnsi="SimSun" w:eastAsia="SimSun" w:cs="SimSun"/>
          <w:color w:val="000000"/>
          <w:sz w:val="22"/>
          <w:u w:val="single"/>
        </w:rPr>
        <w:t xml:space="preserve">南京市建邺区江东中路110号万达广场D座3201室（江苏宁信工程项目咨询管理有限公司）</w:t>
      </w:r>
      <w:r>
        <w:rPr>
          <w:rFonts w:ascii="SimSun" w:hAnsi="SimSun" w:eastAsia="SimSun" w:cs="SimSun"/>
          <w:color w:val="000000"/>
          <w:sz w:val="22"/>
        </w:rPr>
        <w:t xml:space="preserve">获取招标文件，并于2023年11月6日9点30分（北京时间）前递交投标文件。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tabs>
          <w:tab w:val="left" w:pos="700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20"/>
        <w:jc w:val="both"/>
        <w:spacing w:before="0" w:after="0" w:line="85" w:lineRule="atLeast"/>
        <w:tabs>
          <w:tab w:val="left" w:pos="700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1.项目编号：JSNX-2023135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2.项目名称：南京市公安局交通管理局车辆管理所2023年电动自行车一体化车牌采购</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3.预算金额：598.5万元</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4.最高限价：598.5万元</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5.采购需求：拟采购45万块电动自行车一体化车牌。具体详见清单</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6.合同履行期限：自合同签订之日起45日历天内供货完毕</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7.本项目（是/否）接受联合体：否</w:t>
      </w:r>
      <w:r/>
    </w:p>
    <w:p>
      <w:pPr>
        <w:ind w:left="0" w:right="0" w:firstLine="420"/>
        <w:jc w:val="both"/>
        <w:spacing w:before="0" w:after="0" w:line="85" w:lineRule="atLeast"/>
        <w:tabs>
          <w:tab w:val="left" w:pos="700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1.满足《中华人民共和国政府采购法》第二十二条规定：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（1）具有独立承担民事责任的能力；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（2）具有良好的商业信誉和健全的财务会计制度；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（3）具有履行合同所必需的设备和专业技术能力；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（4）有依法缴纳税收和社会保障资金的良好记录；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（5）参加政府采购活动前三年内，在经营活动中没有重大违法记录；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（6）法律、行政法规规定的其他条件。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2）~（6）根据《关于在政府采购活动中推行信用承诺制的通知》宁财购通〔2021〕5号规定，在政府采购活动中，供应商只需在资格审查环节提供满足相应条件的书面承诺书，承诺书格式见附件（请严格按照格式正确填写）。（自身符合《政府采购法》第二十二条规定、按约定提交相关材料的承诺，以及违背承诺自愿承担相关责任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不适用信用承诺的情形：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（1）供应商被列入严重失信主体名单；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（2）被相关监管部门作出行政处罚且尚在处罚有效期内；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（3）其他法律、行政法规规定的不适用信用承诺的情形。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供应商在成交后，应按采购文件要求，将由信用承诺书替代的证明材料提交采购人或采购代理机构核验。经核验无误后，由采购人或采购代理机构发出中标通知书。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落实政府采购政策需满足的资格要求：（如属于专门面向中小企业采购的项目，供应商应为中小微企业、监狱企业、残疾人福利性单位）本项目按照采用以下第（4）种方式落实政府采购促进中小企业发展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（1）本项目整体专门面向中小企业采购货物。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（2）本项目整体专门面向小微企业采购货物。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（3）本项目通过以下第（）种方式预留部分采购份额采购中小企业货物：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①本项目要求供应商以联合体形式参加，中小企业合同金额应当达到的比例为%。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②本项目要求供应商进行合同分包，中小企业合同金额应当达到的比例为%。</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本项目为非预留份额的采购项目或采购包，执行价格扣除优惠政策，具体详见第三章评标标准。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注：本次采购所属行业：制造业。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3.本项目的特定资格要求：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w:t>
      </w:r>
      <w:r/>
    </w:p>
    <w:p>
      <w:pPr>
        <w:ind w:left="0" w:right="0" w:firstLine="420"/>
        <w:jc w:val="both"/>
        <w:spacing w:before="0" w:after="0" w:line="85" w:lineRule="atLeast"/>
        <w:tabs>
          <w:tab w:val="left" w:pos="700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1.时间：2023年10月17日起至2023年10月23日，每天上午9：00-11：30，下午14：00-17：00（北京时间，法定节假日除外）。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2.地点：南京市建邺区江东中路110号万达广场D座3201室。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3.方式：现场购买，投标申请人的法定代表人或其授权的委托代理人持个人有效身份证件原件及复印件加盖公章、营业执照副本复印件加盖公章、单位介绍信原件（或授权委托书原件）购买招标文件。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4.售价：100元/套，售后不退。</w:t>
      </w:r>
      <w:r/>
    </w:p>
    <w:p>
      <w:pPr>
        <w:ind w:left="210" w:right="0" w:firstLine="2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1.提交投标文件截止时间及开标时间：2023年11月6日9:30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2.提交投标文件及开标地点：南京市建邺区江东中路110号万达广场D座3201室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文件份数：一式伍份（壹份正本、肆份副本），每份投标文件须清楚标明“正本”或“副本”字样。电子版投标文件（光盘或U盘）壹份（随纸质文件一并提交）。当纸质副本文件、电子版文件和纸质正本文件不一致时，以纸质正本文件为准。</w:t>
      </w:r>
      <w:r/>
    </w:p>
    <w:p>
      <w:pPr>
        <w:ind w:left="210" w:right="0" w:firstLine="2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210" w:right="0" w:firstLine="2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自本公告发布之日起5个工作日。</w:t>
      </w:r>
      <w:r/>
    </w:p>
    <w:p>
      <w:pPr>
        <w:ind w:left="210" w:right="0" w:firstLine="2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1.采购项目需要落实的政府采购政策：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（1）政府采购促进中小企业发展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（2）政府采购支持监狱企业发展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（3）政府采购促进残疾人就业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（4）政府采购鼓励采购节能环保产品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（5）信息安全产品政策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2.拒绝下述供应商参加本次采购活动：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（1）供应商单位负责人为同一人或者存在直接控股、管理关系的不同供应商，不得参加同一合同项下的政府采购活动。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（2）凡为采购项目提供整体设计、规范编制或者项目管理、监理、检测等服务的供应商，不得再参加本项目的采购活动。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（3）供应商被“信用中国”网站（www.creditchina.gov.cn）、“中国政府采购网"(www.ccgp.gov.cn)列入失信被执行人、重大税收违法案件当事人名单、政府采购严重违法失信行为记录名单。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3.是否接受进口产品：不接受。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4.现场考察、答疑时间：采购人不组织，投标人可自行踏勘。请务必对项目现场和周围环境进行仔细认真地查勘，在随后的采购中，对现场资料和数据所作出的推论、解释和结论及由此造成的后果由供应商负责。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5.供应商诚信档案注册登记：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南京市政府采购供应商信用管理工作暂行办法》（宁财规[2018]10号）有关规定，凡在南京地区参加政府采购活动的供应商，应当事先登陆“信用南京”（www.njcredit.gov.cn）或“南京公共采购信息网”（https://njgc.jfh.com/）主页“南京市政府采购供应商诚信档案”栏目进行注册登记。由于特殊原因未及时注册的供应商可先行获取采购文件，但必须在提交投标（响应）文件截止日2天前办理登记注册手续。供应商参加本次政府采购活动时，在采购文件发布之日起至递交投标文件截止日前，应先登录“信用南</w:t>
      </w:r>
      <w:r>
        <w:rPr>
          <w:rFonts w:ascii="SimSun" w:hAnsi="SimSun" w:eastAsia="SimSun" w:cs="SimSun"/>
          <w:color w:val="000000"/>
          <w:sz w:val="22"/>
        </w:rPr>
        <w:t xml:space="preserve">京”在线打印其“南京市政府采购供应商信用记录表暨信用承诺书”，经法定代表人签名盖章后作为投标文件的组成部分，“南京市政府采购供应商信用记录表暨信用承诺书”是参加本次政府采购活动的必备材料。（网站客服联系电话025-52718366-607）</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供应商诚信档案注册登记，按以下程序进行：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①登陆“信用南京”（www.njcredit.gov.cn）或“南京公共采购信息网”（https://njgc.jfh.com/ ）网站，点击“南京政府采购供应商诚信档案管理系统”链接图标，或直接输入访问地址（http://222.190.243.84:8280/hodeframe2018_cxda ），在用户登录界面点击“新用户注册”；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②在“新用户注册”界面，供应商自行设置用户名、登录密码，如实填写《南京市政府采购供应商信用记录表暨信用承诺书》，并进行信用承诺确认后，提交注册申请；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③系统审核后，供应商即可登录系统进行相关功能操作。</w:t>
      </w:r>
      <w:r/>
    </w:p>
    <w:p>
      <w:pPr>
        <w:ind w:left="210" w:right="0" w:firstLine="2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1.采购人信息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名称：南京市公安局交通管理局车辆管理所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地址：南京市玄武区玄武大道东方城68号</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联系人：陈少彬</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联系电话：18913877778</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ymbol" w:hAnsi="Symbol" w:eastAsia="Symbol" w:cs="Symbol"/>
          <w:color w:val="000000"/>
          <w:sz w:val="22"/>
        </w:rPr>
        <w:t xml:space="preserve"> </w:t>
      </w:r>
      <w:r>
        <w:rPr>
          <w:rFonts w:ascii="SimSun" w:hAnsi="SimSun" w:eastAsia="SimSun" w:cs="SimSun"/>
          <w:color w:val="000000"/>
          <w:sz w:val="22"/>
        </w:rPr>
        <w:t xml:space="preserve">采购代理机构信息</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名称：江苏宁信工程项目咨询管理有限公司</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地址：南京市建邺区江东中路110号万达广场D座3201室</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联系人：赵远</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联系电话：15371029088</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Symbol" w:hAnsi="Symbol" w:eastAsia="Symbol" w:cs="Symbol"/>
          <w:color w:val="000000"/>
          <w:sz w:val="22"/>
        </w:rPr>
        <w:t xml:space="preserve"> </w:t>
      </w:r>
      <w:r>
        <w:rPr>
          <w:rFonts w:ascii="SimSun" w:hAnsi="SimSun" w:eastAsia="SimSun" w:cs="SimSun"/>
          <w:color w:val="000000"/>
          <w:sz w:val="22"/>
        </w:rPr>
        <w:t xml:space="preserve">项目联系方式</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项目联系人：赵远</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电话：15371029088</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公告内容若有变更将通过原招标公告媒体发布，投标人应在投标截止时间前关注南京公共采购信息网、江苏政府采购网有关本招标项目有无变更公告。如未及时关注本网站公告导致误投标，其责任由投标人自行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rPr>
          <w:rFonts w:ascii="Symbol" w:hAnsi="Symbol" w:eastAsia="Symbol" w:cs="Symbol"/>
          <w:color w:val="000000"/>
          <w:sz w:val="22"/>
          <w:szCs w:val="22"/>
          <w:highlight w:val="none"/>
        </w:rPr>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rPr>
          <w:rFonts w:ascii="Symbol" w:hAnsi="Symbol" w:eastAsia="Symbol" w:cs="Symbol"/>
          <w:sz w:val="22"/>
          <w:szCs w:val="22"/>
        </w:rPr>
        <w:pBdr>
          <w:top w:val="none" w:color="000000" w:sz="4" w:space="0"/>
          <w:left w:val="none" w:color="000000" w:sz="4" w:space="0"/>
          <w:bottom w:val="none" w:color="000000" w:sz="4" w:space="0"/>
          <w:right w:val="none" w:color="000000" w:sz="4" w:space="0"/>
        </w:pBdr>
      </w:pPr>
      <w:r>
        <w:rPr>
          <w:rFonts w:ascii="Symbol" w:hAnsi="Symbol" w:eastAsia="Symbol" w:cs="Symbol"/>
          <w:sz w:val="22"/>
          <w:szCs w:val="22"/>
        </w:rPr>
      </w:r>
      <w:r>
        <w:rPr>
          <w:rFonts w:ascii="Symbol" w:hAnsi="Symbol" w:eastAsia="Symbol" w:cs="Symbol"/>
          <w:sz w:val="22"/>
          <w:szCs w:val="22"/>
        </w:rPr>
      </w:r>
    </w:p>
    <w:p>
      <w:pPr>
        <w:ind w:left="1470" w:right="1470" w:firstLine="0"/>
        <w:jc w:val="both"/>
        <w:spacing w:before="0" w:after="120"/>
        <w:rPr>
          <w:rFonts w:ascii="Symbol" w:hAnsi="Symbol" w:eastAsia="Symbol" w:cs="Symbol"/>
          <w:sz w:val="22"/>
          <w:szCs w:val="22"/>
        </w:rPr>
        <w:pBdr>
          <w:top w:val="none" w:color="000000" w:sz="4" w:space="0"/>
          <w:left w:val="none" w:color="000000" w:sz="4" w:space="0"/>
          <w:bottom w:val="none" w:color="000000" w:sz="4" w:space="0"/>
          <w:right w:val="none" w:color="000000" w:sz="4" w:space="0"/>
        </w:pBdr>
      </w:pPr>
      <w:r>
        <w:rPr>
          <w:rFonts w:ascii="Symbol" w:hAnsi="Symbol" w:eastAsia="Symbol" w:cs="Symbol"/>
          <w:sz w:val="22"/>
          <w:szCs w:val="22"/>
        </w:rPr>
      </w:r>
      <w:r>
        <w:rPr>
          <w:rFonts w:ascii="Symbol" w:hAnsi="Symbol" w:eastAsia="Symbol" w:cs="Symbol"/>
          <w:sz w:val="22"/>
          <w:szCs w:val="22"/>
        </w:rPr>
      </w:r>
    </w:p>
    <w:p>
      <w:pPr>
        <w:ind w:left="1470" w:right="1470" w:firstLine="0"/>
        <w:jc w:val="both"/>
        <w:spacing w:before="0" w:after="120"/>
        <w:rPr>
          <w:rFonts w:ascii="Symbol" w:hAnsi="Symbol" w:eastAsia="Symbol" w:cs="Symbol"/>
          <w:sz w:val="22"/>
          <w:szCs w:val="22"/>
        </w:rPr>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highlight w:val="none"/>
        </w:rPr>
      </w:r>
      <w:r>
        <w:rPr>
          <w:rFonts w:ascii="Symbol" w:hAnsi="Symbol" w:eastAsia="Symbol" w:cs="Symbol"/>
          <w:color w:val="000000"/>
          <w:sz w:val="22"/>
          <w:highlight w:val="none"/>
        </w:rP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投标人须知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一、总则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 《中华人民共和国政府采购法》、《中华人民共和国政府采购法实施条例》、《政府采购货物和服务招标投标管理办法》等有关法律、规章和规定等。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 “</w:t>
      </w:r>
      <w:r>
        <w:rPr>
          <w:rFonts w:ascii="SimSun" w:hAnsi="SimSun" w:eastAsia="SimSun" w:cs="SimSun"/>
          <w:b/>
          <w:color w:val="000000"/>
          <w:sz w:val="22"/>
        </w:rPr>
        <w:t xml:space="preserve">供应商</w:t>
      </w:r>
      <w:r>
        <w:rPr>
          <w:rFonts w:ascii="SimSun" w:hAnsi="SimSun" w:eastAsia="SimSun" w:cs="SimSun"/>
          <w:color w:val="000000"/>
          <w:sz w:val="22"/>
        </w:rPr>
        <w:t xml:space="preserve">”是指参加投标竞争，并符合招标文件规定资格条件的法人、其他组织或者自然人。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 “货物”指本招标文件中所述</w:t>
      </w:r>
      <w:r>
        <w:rPr>
          <w:rFonts w:ascii="SimSun" w:hAnsi="SimSun" w:eastAsia="SimSun" w:cs="SimSun"/>
          <w:b/>
          <w:color w:val="000000"/>
          <w:sz w:val="22"/>
        </w:rPr>
        <w:t xml:space="preserve">产品</w:t>
      </w:r>
      <w:r>
        <w:rPr>
          <w:rFonts w:ascii="SimSun" w:hAnsi="SimSun" w:eastAsia="SimSun" w:cs="SimSun"/>
          <w:color w:val="000000"/>
          <w:sz w:val="22"/>
        </w:rPr>
        <w:t xml:space="preserve">及相关服务。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 “用户或使用单位”是指使用货物的单位。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3、政策功能</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ab/>
        <w:t xml:space="preserve">3.1中小企业政策</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中小企业（含中型、小型、微型企业）应当符合《政府采购促进中小企业发展管理办法》（财库〔2020〕46号）第二条、《关于政府采购支持监狱企业发展有关问题的通知》（财库〔2014〕68号）第一条或《关于促进残疾人就业政府采购政策的通知》（财库〔2017〕141 号）第一条的规定。</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（2）对于专门面向中小企业或小型、微型企业的项目，只面向中小企业或小型、微型企业采购。对于非专门面向中小企业的项目，对小型和微型企业产品的价格给予10%的扣除，用扣除后的价格参与评审。</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（3）参加政府采购活动的中小企业应当提供《中小企业声明函》、由省级以上监狱管理局戒毒管理局(含新疆生产建设兵团)出具的属于监狱企业的证明文件或《残疾人福利性单位声明函》。</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对于接受供应商以联合体形式参加采购活动的项目，小微型企业联合体应当符合《政府采购促进中小企业发展管理办法》（财库〔2020〕46号）第九条的规定。对于联合协议或者分包意向协议约定小微企业的合同份额占到合同总金额30%以上的，给予联合体4%的价格扣除。</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（5）中小企业依据《政府采购促进中小企业发展管理办法》（财库〔2020〕46号）规定的政策获取政府采购合同后，小型、微型企业不得分包或转包给大型、中型企业，中型企业不得分包或转包给大型企业。</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（6）未按要求提供相关材料的，不享受相关政策。</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ab/>
        <w:t xml:space="preserve">3.2节能产品政策</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（1）节能产品是指列入财政部、国家发展和改革委员会制定的节能产品品目政府采购清单，且经过认证的节能产品；</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（2）拟采购产品属于节能产品政府采购清单规定必须强制采购的，实行强制采购。</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（3）拟采购产品属于节能产品政府采购清单规定优先采购的，在技术、服务等指标同等条件下，实行优先采购，优先采购的要求详见第三章说明内容。</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（4）参加政府采购活动的节能产品供应商应当提供有效的节能产品认证证书复印件。</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（5）未按要求提供相关材料的，不享受相关政策。</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ab/>
        <w:t xml:space="preserve">3.3环境标志产品政策</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（1）环境标志产品是指列入财政部、生态环境部制定的环境标志产品品目政府采购清单，且经过认证的环境标志产品；</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（2）拟采购产品属于环境标志产品政府采购清单规定优先采购的，在性能、技术、服务等指标同等条件下，实行优先采购，优先采购的要求详见第三章说明内容。</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（3）参加政府采购活动的环境标志产品应当提供有效的环境标志产品认证证书复印件。</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未按要求提供相关材料的，不享受相关政策。</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ab/>
        <w:t xml:space="preserve">3.4信息安全产品政策</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（1）信息安全产品是指列入国家质检总局、国家认监委《信息安全产品强制性认证目录》，并获得强制性产品认证证书的产品；</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（2）提供的产品属于信息安全产品的，供应商应当选择经国家认证的信息安全产品投标，并提供由中国信息安全认证中心按国家标准认证颁发的有效认证证书复印件。</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二、招标文件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4、招标文件组成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 招标文件组成：投标邀请、供应商须知、供应商应当提交的资格证明文件、投标报价要求、投标文件编制要求、招标项目的技术规格、要求和数量、合同主要条款及合同签订方式、交货和提供服务的时间、付款条件、评标方法、评标标准、无效投标和废标条款、附件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 招标的最小单位是包。招标货物数量及技术要求中未分包的，供应商对要求提供的货物不得部分投标；招标货物数量及技术要求中已经分包的，应当以包为单位投标。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 招标文件如果要求供应商提交备选投标方案的，供应商可以提交备选方案；否则，备选方案将被拒绝。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5、招标文件的澄清、修改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 招标代理对已发出的招标文件进行必要澄清或者修改的，将在招标文件要求提交投标文件截止时间</w:t>
      </w:r>
      <w:r>
        <w:rPr>
          <w:rFonts w:ascii="SimSun" w:hAnsi="SimSun" w:eastAsia="SimSun" w:cs="SimSun"/>
          <w:b/>
          <w:color w:val="000000"/>
          <w:sz w:val="22"/>
          <w:u w:val="single"/>
        </w:rPr>
        <w:t xml:space="preserve">十五日</w:t>
      </w:r>
      <w:r>
        <w:rPr>
          <w:rFonts w:ascii="SimSun" w:hAnsi="SimSun" w:eastAsia="SimSun" w:cs="SimSun"/>
          <w:color w:val="000000"/>
          <w:sz w:val="22"/>
        </w:rPr>
        <w:t xml:space="preserve">前，在原招标公告媒体发布更正公告，该澄清或者修改的内容为招标文件的组成部分。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 招标代理在招标文件要求提交投标文件截止时间</w:t>
      </w:r>
      <w:r>
        <w:rPr>
          <w:rFonts w:ascii="SimSun" w:hAnsi="SimSun" w:eastAsia="SimSun" w:cs="SimSun"/>
          <w:b/>
          <w:color w:val="000000"/>
          <w:sz w:val="22"/>
          <w:u w:val="single"/>
        </w:rPr>
        <w:t xml:space="preserve">三日</w:t>
      </w:r>
      <w:r>
        <w:rPr>
          <w:rFonts w:ascii="SimSun" w:hAnsi="SimSun" w:eastAsia="SimSun" w:cs="SimSun"/>
          <w:color w:val="000000"/>
          <w:sz w:val="22"/>
        </w:rPr>
        <w:t xml:space="preserve">前，有权决定延长投标截止时间和开标时间，并在原采购信息发布媒体上发布变更公告。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 供应商应在投标截止时间前关注</w:t>
      </w:r>
      <w:r>
        <w:rPr>
          <w:rFonts w:ascii="SimSun" w:hAnsi="SimSun" w:eastAsia="SimSun" w:cs="SimSun"/>
          <w:b/>
          <w:color w:val="000000"/>
          <w:sz w:val="22"/>
        </w:rPr>
        <w:t xml:space="preserve">原采购信息发布媒体上</w:t>
      </w:r>
      <w:r>
        <w:rPr>
          <w:rFonts w:ascii="SimSun" w:hAnsi="SimSun" w:eastAsia="SimSun" w:cs="SimSun"/>
          <w:color w:val="000000"/>
          <w:sz w:val="22"/>
        </w:rPr>
        <w:t xml:space="preserve">有关本招标项目有无变更公告。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6、投标文件的语言、计量单位、货币和编制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 供应商提交的投标文件、技术文件和资料，包括图纸中的说明，以及供应商与招标代理就有关投标的所有来往函电均应使用中文。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 供应商所使用的计量单位应为国家法定计量单位。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 供应商应用人民币报价。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 投标文件应字迹清楚、内容齐全、不得涂改。如有修改，修改处须有供应商公章和法定代表人或其授权的供应商代表签字。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 投标文件应按照招标文件规定的顺序，统一用A4规格幅面打印、装订成册并编制目录，由于编排混乱导致投标文件被误读或查找不到，责任由供应商承担。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6.6 供应商应在投标文件中写清相应的项目编号、项目名称、供应商全称、地址、电话、传真等。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7、联合投标（本次采购不接受联合体投标）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 供应商应承担所有与准备和参加投标有关的费用。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8.2招标代理费用按照《国家计委&lt;招标代理服务收费管理暂行办法&gt;的通知》【计价格（2002）1980号】文件收费标准的55%由中标供应商支付。无论是否将该费用在报价中列明，均视为已含在总价中。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9、投标文件组成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供应商应当根据招标文件要求编制投标文件，投标文件应对招标文件提出的要求和条件作出实质性响应，并在《商务条款偏离表》和《技术条款偏离表》等处逐条标明满足与否。对带星号（“★或非打★号”）的技术条款必须在投标文件中提供符合要求的技术支持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 供应商根据招标文件载明的标的采购项目实际情况，拟在中标后将中标项目的非主体、非关键性工作交由他人完成的，应当在投标文件中载明。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9.3 投标文件由商务部分、技术部分、价格部分以及其他部分组成。</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10、投标文件的商务部分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 商务部分是证明供应商有资格参加投标和中标后有能力履行合同的文件，这些文件应能满足招标的要求，包括但不限于下列文件，</w:t>
      </w:r>
      <w:r>
        <w:rPr>
          <w:rFonts w:ascii="SimSun" w:hAnsi="SimSun" w:eastAsia="SimSun" w:cs="SimSun"/>
          <w:b/>
          <w:color w:val="000000"/>
          <w:sz w:val="22"/>
        </w:rPr>
        <w:t xml:space="preserve">其中加*项目不得有缺失或无效。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（1）*投标函（投标申请及声明）；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（2）*营业执照副本、法人身份证明、授权委托书及委托代理人的身份证明文件；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（3）*第一章投标邀请中《中华人民共和国政府采购法》规定的资格条件证明文件；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（4）*第一章投标邀请中本项目的特定条件证明文件；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（5）*《南京市政府采购供应商信用记录表暨信用承诺书》；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（6）*《商务条款偏离表》；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（7）供应商认为需要提供的其他资格证明文件和商务资料等。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11、投标文件的技术部分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 技术部分是证明供应商提供的产品和服务是合格的、并符合招标文件要求的证明文件，以及对投标报价表中的货物的详细说明，这些文件可以是文字资料、图纸和数据等。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 若技术性能无特殊说明，则按国家有关部门最新颁布的标准及规范为准。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 提供的货物如与招标文件要求有不符之处，应说明其差别之所在，并在《技术条款偏离表》中逐条予以说明。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11.4 投标文件应按照招标文件要求提供技术资料、文件和有关证明，包括但不限于</w:t>
      </w:r>
      <w:r>
        <w:rPr>
          <w:rFonts w:ascii="SimSun" w:hAnsi="SimSun" w:eastAsia="SimSun" w:cs="SimSun"/>
          <w:b/>
          <w:color w:val="000000"/>
          <w:sz w:val="22"/>
        </w:rPr>
        <w:t xml:space="preserve">其中加*项目不得有缺失：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（1）*货物名称、品牌、型号、主要技术（服务）指标、产地等详细说明；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（2）*《技术条款偏离表》；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（3）*《供货一览表》；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（4）货物验收标准、货物技术资料；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（5）项目实施方案；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（6）服务承诺；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（7）供应商认为需要提供的其他技术资料。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12、投标文件的价格部分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 价格部分是对投标货物和服务价格构成的说明，每一项货物仅接受一个价格。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 </w:t>
      </w:r>
      <w:r>
        <w:rPr>
          <w:rFonts w:ascii="SimSun" w:hAnsi="SimSun" w:eastAsia="SimSun" w:cs="SimSun"/>
          <w:b/>
          <w:color w:val="000000"/>
          <w:sz w:val="22"/>
        </w:rPr>
        <w:t xml:space="preserve">报价应包含货物设计、制造、包装、仓储、运输装缷、保险及其材料及验收合格之前保管及保修期内伴随服务发生的所有含税费用、支付给员工的工资和国家强制缴纳的各种社会保障资金，以及供应商认为需要的其他费用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12.3 供应商的任何错漏、优惠、竞争性报价不得作为减轻责任、减少货物、增加收费、降低质量的理由。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供应商应在《开标一览表》、《分项报价表》等标明提供货物和服务的单价、总价以及分项报价。供应商系小企业（含小型、微型企业），并提供本企业制造的货物或者服务，或者提供其他小企业制造的货物，须在《开标一览表》、《分项报价表》中注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13、投标文件的其他部分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 其他部分由供应商根据编制投标文件需要提供的其他相关文件。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14、投标保证金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 自开标之日起90天内投标有效。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15.2 在特殊情况下，在原投标有效期截止之前，招标代理可要求供应商同意延长投标有效期，这种要求与答复均以书面形式提交。供应商可拒绝这种要求。接受延长投标有效期的供应商将不会要求和允许修正其投标。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16、投标文件签署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 投标文件的正本和副本可由供应商法定代表人或经正式授权并对供应商有约束力的委托代理人签字。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17、投标文件的密封和递交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 供应商应当将投标文件密封；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17.2 供应商应当在招标文件要求提交投标文件的截止时间前，将密封的投标文件送达投标地点。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18、有下列情形的投标文件将拒收：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18.1 在招标文件要求提交投标文件的截止时间之后送达的。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19、投标文件的修改和撤回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 供应商在投标截止时间前，可以对所递交的投标文件进行补充、修改或撤回，并书面通知招标代理。补充、修改的内容应当按照招标文件要求签署、盖章，并作为投标文件的组成部分。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19.2 投标截止时间之后，投标文件不得撤回；如果撤回的，一年内不得参加代理组织的政府采购活动。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四、开标、评标与确定中标供应商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 招标代理将在招标文件确定的时间和地点进行公开开标。供应商应委派代表准时参加，参加开标的代表须签名报到以证明其出席。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 开标时，招标代理将邀请供应商代表或公证机构检查投标文件的密封情况，经确认无误后，由招标代理工作人员当众拆封，宣读供应商名称、投标价格。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 开标时，《开标一览表》内容与投标文件中明细表内容不一致的，以《开标一览表》为准。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20.4 投标截止时间结束后参加投标的供应商不足三家的，不开标。除采购任务取消情形外，招标代理报经监管部门批准后，可变更为竞争性谈判或者单一来源方式采购。如果变更为竞争性谈判采购的，招标代理根据招标文件中的采购需求编制谈判文件，只与该两家供应商进行竞争性谈判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21.1 评标组织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21.1.1评标工作由招标代理负责组织，具体评标事务由依法组建的评标委员会负责，并独立履行下列职责：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（1）审查投标文件是否符合招标文件要求，并作出评价；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（2）要求供应商对投标文件有关事项作出解释或者澄清；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（3）推荐中标候选供应商名单，或者按照招标文件规定直接确定供应商；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（4）向财政部门报告非法干预评标工作的行为。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21.1.2 评标委员会由采购人代表和有关技术、经济等方面的专家组成，独立开展评审工作。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21.2 评标程序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21.2.1 投标文件的资格审查。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21.2.1.1 采购人代表依法对投标人的资格进行审查。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21.2.1.2 采购人代表依据法律法规和招标文件的规定，对投标文件中的资格证明文件、《南京市政府采购供应商信用记录表暨信用承诺书》等进行审查，以确定投标供应商是否具备投标资格。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21.2.1.3 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21.2.1.4 投标文件有下列情况之一的，在资格性审查时按照无效投标处理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（1）不具备招标文件规定资格条件的；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21.2.2投标文件的符合性审查</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21.2.2.1评标委员会将依据法律法规和招标文件的规定，对投标文件的有效性、完整性和对招标文件的响应程度进行审查，以确定是否对招标文件的实质性要求作出响应。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21.2.2.2 实质性要求是指本招标文件中带“★”的商务和技术要求。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21.2.2.3 如果投标文件实质上没有响应招标文件的要求，评标委员会将予以拒绝，投标人不得通过修改或撤销不合要求的偏离而使其投标成为实质性响应的投标。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21.2.2.4 投标文件有下列情况之一的，在符合性审查时按照无效投标处理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（1）没有按照招标文件要求签章的；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（2）投标总价和单价超出采购预算金额（最高限价）和控制单价的；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（3）不同供应商的投标文件由同一单位或者个人编制；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（4）不同供应商委托同一单位或者个人办理投标事宜；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（5）不同供应商的投标文件载明的项目管理成员为同一人；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（6）不同供应商的投标文件异常一致或者投标报价呈规律性差异；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（7）不同投标人的投标保证金从同一单位或者个人的帐户转出；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（8）不同供应商的法定代表人或委托代理人有夫妻、直系血亲关系的；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（9）不同供应商的负责人为同一人或者存在控股、管理关系的；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（10）不同供应商的委托代理人(或法定代表人、项目经理、项目总监、项目负责人等)在招标文件发布日上月至投标截止日当月在同一单位缴纳社会保险的；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（11）属于投标邀请中第六条第2款拒绝参加本次采购活动供应商的；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（12）投标文件含有采购人不能接受的附加条件的；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（13）评标委员会认为投标人的报价明显低于其他通过符合性审查投标人的报价，有可能影响产品质量或者不能诚信履约的，未在评标现场合理的时间内提供书面说明或相关证明材料，不能证明其报价合理的。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21.2.2.5 有下列情形之一的予以废标，同时将废标理由通知所有供应商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（1）符合资格条件的供应商或者对招标文件作实质性响应的供应商不足三家的；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（2）出现影响采购公正的违法、违规行为的；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（3）供应商的报价均超过了采购预算或最高限价，采购人不能支付的；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（4）因重大变故，采购任务取消的；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（5）招标文件存在歧义、重大缺陷，或者招标文件内容违反国家有关强制性规定的；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（6）预留份额的采购项目或采购包，通过发布公告方式邀请供应商后，符合资格条件的中小企业数量不足3家的。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21.2.2.6在评标期间，出现符合专业条件的供应商或者对招标文件作出实质性响应的供应商不足三家情形的，比照20.4款执行。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21.2.3 投标文件的进一步评审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21.2.3.1评标委员会将对确定为实质性响应的投标文件进行进一步评审，看其是否有计算上或累加上的算术错误，修正错误的原则如下：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（1）如果用数字表示的金额和用文字表示的金额不一致时，应以文字表示的金额为准进行修正；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（2）当单价与数量的乘积和总价不一致时，以单价为准进行修正。只有在评标委员会认为单价有明显的小数点错误时，才能以标出的总价为准，并修改单价。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21.2.3.2 评标委员会将按上述修正错误的方法调整投标文件中的投标价，调整后的价格应对投标人具有约束力。如果投标人不接受修正后的价格，则其投标将被拒绝。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21.2.3.3 评标委员会将允许修正投标文件中不构成重大偏离的、微小的、非正规的、不一致的或不规则的地方，但这些修改不能影响任何投标人相应的名次排列。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21.2.3.4澄清有关问题。对投标文件中含义不明确、同类问题表述不一致或者明显文字和计算错误的内容，评标委员会可以要求供应商作出必要的澄清、说明或者补正。供应商的澄清、说明、补正应当采用书面形式，由其授权代表签字，但不得超出投标文件的范围或者改变投标文件的实质性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21.2.3.5比较与评价。按照招标文件中规定的评标方法和标准，对资格性检查和符合性检查合格的投标文件进行商务和技术评估，综合比较与评价。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21.3 评标方法和标准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21.3.1 采用综合评分法。即在最大限度地满足招标文件实质性要求前提下，按照招标文件中规定的各项因素进行综合评审后，以评标总得分最高的供应商作为中标候选供应商或者中标供应商的评标方法。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21.3.2 综合评分的主要因素是：价格、方案、售后、业绩。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21.3.3</w:t>
      </w:r>
      <w:r>
        <w:rPr>
          <w:rFonts w:ascii="SimSun" w:hAnsi="SimSun" w:eastAsia="SimSun" w:cs="SimSun"/>
          <w:b/>
          <w:color w:val="000000"/>
          <w:sz w:val="22"/>
        </w:rPr>
        <w:t xml:space="preserve">评分标准详见文件第三章。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22、确定中标供应商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 在综合比较与评价后按照得分高低顺序对供应商进行排列，得分相同的，按投标报价由低到高顺序排列，得分且投标报价相同的，按技术指标优劣顺序排列。评标委员会将严格按照采购文件的要求和条件进行比较,根据评标办法直接确定中标供应商或推荐出中标候选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 中标供应商确定后，将中标结果在原招标公告发布媒体进行公示，公示期内无供应商质疑的，向中标供应商发出中标通知书。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 中标通知书对采购人和中标供应商具有同等法律效力。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22.4 中标通知书发出后，中标供应商无正当理由不与采购人签订合同的；情节严重的，由财政部门将其列入不良行为记录名单，在一至三年内禁止参加代理组织的采购活动。</w:t>
      </w:r>
      <w:r/>
    </w:p>
    <w:p>
      <w:pPr>
        <w:ind w:left="0" w:right="0" w:firstLine="420"/>
        <w:jc w:val="both"/>
        <w:spacing w:before="0" w:after="0" w:line="8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22.5招标代理和评标委员会对未中标的供应商不作未中标原因的解释。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22.6 所有投标文件都将作为档案保存，不论中标与否，招标代理均不退回。</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23、编写评标报告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 评标委员会根据全体评标成员签字的原始评标记录和评标结果编写评标报告。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24、评标过程的保密性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 招标代理将采取必要措施，保证评标在严格保密的情况下进行。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24.2 任何单位和个人不得非法干预、影响评标办法的确定，以及评标过程和结果。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24.3 凡是与审查、澄清、评价和比较投标的有关资料等，均不向供应商及与评标无关的其他人员透露。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25、签订合同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 中标供应商应当自中标通知书发出之日起三十日内，按照招标文件和中标供应商投标文件的约定与采购人签订采购合同，所签订的合同不得对招标文件和中标供应商投标文件作实质性修改。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25.2采购人不得向中标供应商提出任何不合理的要求作为签订合同的条件，不得与中标供应商私下订立背离合同实质性内容的协议。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 中标供应商因不可抗力或者自身原因不能履行采购合同的，采购人可以视情与排位在中标供应商之后第一位的中标候选供应商签订政府采购合同，以此类推。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六、质疑、投诉和诚实信用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 供应商对招标活动事项有疑问的，可以向招标代理或采购人提出询问， 招标代理或采购人将在两个工作日内作出答复，但答复的内容不涉及商业秘密</w:t>
      </w:r>
      <w:r>
        <w:rPr>
          <w:rFonts w:ascii="SimSun" w:hAnsi="SimSun" w:eastAsia="SimSun" w:cs="SimSun"/>
          <w:b/>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 供应商认为采购文件、采购过程和中标结果使自己的合法权益受到损害的，可以在知道或者应当知道其权益受到损害之日起七个工作日内，将质疑文件原件送达招标代理。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 质疑文件应包括以下主要内容，并按照“谁主张、谁举证”的原则，附上相关证明材料。否则，招标代理或采购人不予受理：</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（1）质疑项目名称、项目编号、包号、招标公告发布时间、开标时间；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（2）提起质疑的日期、具体的质疑事项及事实根据（具体条款）；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（4）质疑供应商名称、地址、邮编、联系人、联系电话（包括座机、手机、传真号码等）；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（5）质疑函应当署名：质疑人为自然人的，应当由本人签字并附有效身份证明；质疑人为法人或其他组织的，应当由法定代表人签字并加盖单位公章；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（6）供应商委托代理质疑的，应当向被质疑人提交授权委托书，并载明委托代理的具体权限和事项。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26.4质疑供应商是指直接参加本项目采购活动的供应商；对采购文件提出质疑的，应自供应商获得采购文件之日起计算，且应当在投标截止之日前提出；对采购过程提出质疑的，自采购程序环节结束之日起计算；对中标结果提出质疑的，自中标结果公告之日起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26.5 招标代理在收到供应商的书面质疑后将及时组织调查核实，在七个工作日内作出答复，并以书面或在网站公告形式通知质疑供应商和其他有关供应商，答复的内容不涉及商业秘密。 招标代理遵循“谁过错谁负担”的原则，有过错的一方承担调查论证费用。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27、投诉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27.1质疑供应商对招标代理的答复不满意，或招标代理未在规定的时间内作出答复的，可以在答复期满后十五个工作日内向采购项目同级财政部门投诉。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28、诚实信用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28.1 供应商之间不得相互串通投标报价，不得妨碍其他供应商的公平竞争，不得损害采购人和其他供应商的合法权益。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 供应商不得以向招标代理工作人员、评标委员会成员行贿或者采取其他不正当手段谋取中标。经查实供应商有此行为的，政府采购管理部门将供应商列入不良行为记录名单，按照《政府采购法》有关规定处理。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28.3 供应商不得虚假质疑和恶意质疑，并对质疑内容的真实性承担责任。供应商或者其他利害关系人通过捏造事实、伪造证明材料等方式提出异议或投诉，阻碍招投标活动正常进行的，属于严重不良行为， 招标代理将提请财政部门将其列入不良行为记录名单，并依法予以处罚。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28.4 供应商不得虚假承诺，否则，按照提供虚假材料谋取中标处理。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28.5 供应商应自觉遵守开标、评标纪律，扰乱开标评标现场秩序的，属于失信行为，根据《江苏省政府采购供应商监督管理暂行办法》，失信行为将被记入供应商诚信档案。</w:t>
      </w:r>
      <w:r/>
    </w:p>
    <w:p>
      <w:pPr>
        <w:ind w:left="0" w:right="0" w:firstLine="325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325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325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325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325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325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325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325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325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评标标准</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49"/>
        <w:gridCol w:w="6791"/>
        <w:gridCol w:w="714"/>
      </w:tblGrid>
      <w:tr>
        <w:trPr>
          <w:trHeight w:val="7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9"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评分项目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9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评分内容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最高</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得分</w:t>
            </w:r>
            <w:r/>
          </w:p>
        </w:tc>
      </w:tr>
      <w:tr>
        <w:trPr>
          <w:trHeight w:val="8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9"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价格部分</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1"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低价优先法计算，即满足招标文件要求且投标价格低的投标报价为评标基准价，其价格分为满分。其他投标供应商的价格分按照下列公式计算：投标报价得分=(评标基准价／投标报价)×30，计算分数时四舍五入取小数点后两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r>
      <w:tr>
        <w:trPr>
          <w:trHeight w:val="9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9"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设备技术参数</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1"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评标委员会根据供应商所投设备技术性能以及对招标文件各项基本要求（招标货物及技术参数偏离表要求）的逐项响应承诺等方面情况进行打分，技术参数完全满足招标文件技术要求的得22分。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带“★”号的技术参数为实质性条款，须在投标文件中提供技术支持资料（如说明书、彩页、手册、截图或检测报告等）复印件加盖公章，未提供的视为负偏离，如有一项负偏离，则按实质性偏离招标文件，按无效投标处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2、带“▲”技术参数为重要参数，须在投标文件中提供相应的检测报告复印件加盖公章，未提供的视为负偏离，每负偏离一项扣2分，扣完为止；</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3、其余技术参数每负偏离一项扣1分，扣完为止。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r>
      <w:tr>
        <w:trPr>
          <w:trHeight w:val="25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9"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生产工艺流程方案</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1"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根据投标供应商提供的电动自行车电子车牌生产方案进行评审，包括但不限于生产流程及工艺说明、生产保障、生产方案优势等。</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产品生产工艺流程先进、步骤清晰、自动化程度高，具有针对性和可操作性的得9分；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产品生产工艺流程较先进、步骤较清晰、自动化程度较高，需进一步完善的得6分；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产品生产工艺流程先进性、自动化程度一般、步骤清晰度不高，需作较大幅度修改调整的得3分；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未提供生产工艺流程方案或生产工艺流程方案与本项目严重不符，本项得0分。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r>
      <w:tr>
        <w:trPr>
          <w:trHeight w:val="8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9"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数据信息保密方案</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1"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根据投标供应商提供的投标产品设计生产制作与供应过程应制定数据安全及保密方案进行评审，包括但不限于数据网络安全保障方案和保密操作规范等。</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投标供应商具备完善的安全保密操作规范，针对本项目的安全保密方案及措施内容完整，科学合理，针对性强的得7分；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投标供应商有安全保密操作规范但有疏漏，针对本项目的安全保密方案及措施较完整，较科学合理，针对性较强的得4分；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投标供应商安全保密规范不够完善，针对本项目的安全保密方案及措施有欠缺，需进一步修改完善的得1分；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未提供数据信息保密方案或数据信息保密方案与本项目严重不符，本项得0分。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9"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质量控制方案</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1"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根据投标供应商提供的针对本项目的质量控制方案进行评审，包括但不限于产品质量承诺、产品质量控制方案、出现质量问题后的整改方案等。</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质量控制方案完善成熟、措施合理可行，具有针对性和可操作性的得9分；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质量控制方案较完善成熟、措施较合理、较可行，需进一步完善的得6分；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质量控制方案完善成熟度一般、措施基本合理、基本可行，需作较大幅度修改调整的得3分；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未提供质量控制方案与质量控制方案与本项目严重不符，本项得0分。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9"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售后服务方案</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1"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根据投标供应商提供的售后服务方案进行评审，包括但不限于问题处理响应时间及反馈、服务措施及服务承诺等。</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方案内容全面、科学合理，时间响应迅速，措施得当的得6分；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方案内容较为全面，较为科学合理，时间响应较为迅速，措施较为得当的得3分；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方案科学性合理性有欠缺，时间响应的及时性、服务措施的得当性有欠缺，需重新完善的得1分；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未提供售后服务方案或售后服务方案与本项目严重不符，本项得0分。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9" w:type="dxa"/>
            <w:vAlign w:val="center"/>
            <w:textDirection w:val="lrTb"/>
            <w:noWrap/>
          </w:tcPr>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软件</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1"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根据所投产品生产制造商的设计生产制作与测试使用过程中的软件水平予以评分：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（1）拥有自主研发的电动自行车电子车牌生产管控平台软件的，得2分；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（2）拥有自主研发的电子标识读写器软件的，得2分。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上述两个评分点需分别提供相关软件的软著及权威机构出具的检测报告复印件加盖公章，原件备查，未提供或不符合要求者不得分。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履约能力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1"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（1）为便于车牌生产发放，本项目涉及生产管控系统与发牌系统的对接，根据投标供应商的IT服务及安全保障能力评审：</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投标供应商应具有有效的ISO9001质量管理管理体系认证证书，得1分，满分1分。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（2）投标供应商应具备相关产品的专业化能力，根据投标供应商非机动车电子标识相关的自主知识产权情况进行评审：</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投标供应商具有有效的非机动车电子车牌相关的软著和专利的，每提供1个得2分，最高得4分。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注：以上须提供认证资质机构颁发的有效期内的认证证书复印件加盖公章。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供货期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1"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投标供应商应按采购人指令生产、交付，交付时间在满足采购人要求的前提下，供应商根据自身产能情况安排生产供货，根据承诺的时间予以评分：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承诺30个日历日内交货，得2分；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承诺40个日历日内交货，得1分；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（提供承诺书原件，格式自拟）。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质保期</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1"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本项目产品免费质保期为一年，在此基础上每延长一年加1分，最高2分（提供承诺书原件，格式自拟）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9"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业绩</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1"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供应商或所投产品生产制造商近三年（2020年1月1日以来）具有类似项目业绩，有一个得1分，最多4分（提供①中标通知书或中标公告网页截图②合同③验收合格报告的复印件加盖公章；三者缺一不可。如合同中无法反映项目内容，须提供委托方出具的证明函并加盖委托方单位公章。时间以合同签订时间为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6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100分</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对国家认定的节能产品和环保产品分别给予投标价的5%、5%价格扣除，用扣除后的价格参与评审（特别说明：节能、环保产品必须纳入“中国政府采购网http://www.ccgp.gov.cn”等官方网站“节能、环保产品查询系统”，且以提供的证书复印件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2、小微型企业价格扣除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对小型和微型企业产品给予10%的扣除价格，对联合投标企业产品的价格给予4%的扣除（联合协议中约定，小型、微型企业的协议合同金额占到联合体协议合同总金额30%以上的，可给予联合体4%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（2）供应商需按照招标文件的要求提供相应的《企业声明函》。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（3）企业标准请参照《关于印发中小企业划型标准规定的通知》（工信部联企业[2011]300号）文件规定自行填写。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3、残疾人福利单位价格扣除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（1）本项目对残疾人福利性单位视同小型、微型企业，给予10%的价格扣除，用扣除后的价格参与评审。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（2）残疾人福利单位需按照招标文件的要求提供《残疾人福利性单位声明函》。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（3）残疾人福利单位标准请参照《关于促进残疾人就业政府采购政策的通知》（财库〔2017〕141号）。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4、监狱和戒毒企业价格扣除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（1）本项目对监狱和戒毒企业（简称监狱企业）视同小型、微型企业，给予10%的价格扣除，用扣除后的价格参与评审。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（3）监狱企业标准请参照《关于政府采购支持监狱企业发展有关问题的通知》（财库[2014]68号）。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5、残疾人福利单位、监狱企业属于小型、微型企业的，不重复享受政策。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所有认证、证明和业绩均以有效的证明文件的复印件为依据（要求提供原件核查的除外）。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6、所有实质性要求不得负偏离。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7、上述评分办法均以投标文件、评委的判断为准。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8、评标委员会不保证有效报价最低的投标供应商中标。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9、如果评审分数畸高、畸低的，应详细说明理由。</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10、若投标供应商提供虚假资料，一经查实作无效投标处理。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招标项目采购需求</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一、项目概述</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进一步加强电动自行车登记管理，规范电动自行车通行秩序，确保电动自行车交通安全、畅通。按照最新的电动自行车一体化车牌使用指南要求，需采用经道路交通安全管理科学研究所加密授权、内置国产可控超高频RFID芯片的一体化车牌，进行车辆身份溯源管理，配套路面感知设备开展闯红灯、逆行、占道等交通违法采集，可疑盗抢车辆布控，交通流量采集等涉车管理应用根据工作需要，依据国家工信部发布的《电动自行车安全技术规范》GB17761-2018、省政府办公厅转发省公安厅《关于加强电动车道路交通安全管理的意见》（苏政办发〔2019〕8</w:t>
      </w:r>
      <w:r>
        <w:rPr>
          <w:rFonts w:ascii="SimSun" w:hAnsi="SimSun" w:eastAsia="SimSun" w:cs="SimSun"/>
          <w:color w:val="000000"/>
          <w:sz w:val="22"/>
        </w:rPr>
        <w:t xml:space="preserve">号）、省公安厅《江苏省电动自行车登记管理规定（试行）》（苏公规〔2019〕2号）等相关法律法规，拟采购45万块电动自行车一体化车牌。</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二、采购清单</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9"/>
        <w:gridCol w:w="2541"/>
        <w:gridCol w:w="1511"/>
        <w:gridCol w:w="1822"/>
        <w:gridCol w:w="2862"/>
      </w:tblGrid>
      <w:tr>
        <w:trPr>
          <w:trHeight w:val="563"/>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2"/>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2"/>
              </w:rPr>
              <w:t xml:space="preserve">名称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2"/>
              </w:rPr>
              <w:t xml:space="preserve">数量（单位：块）</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2"/>
              </w:rPr>
              <w:t xml:space="preserve">控制单价（单位：人民币元/块）</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2"/>
              </w:rPr>
              <w:t xml:space="preserve">备注</w:t>
            </w:r>
            <w:r/>
          </w:p>
        </w:tc>
      </w:tr>
      <w:tr>
        <w:trPr>
          <w:trHeight w:val="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2"/>
              </w:rPr>
              <w:t xml:space="preserve">电动自行车一体化车牌（社会化普通车牌）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2"/>
              </w:rPr>
              <w:t xml:space="preserve">45万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2"/>
              </w:rPr>
              <w:t xml:space="preserve">13.3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2"/>
              </w:rPr>
              <w:t xml:space="preserve">每个车牌须配备配套螺丝。</w:t>
            </w:r>
            <w:r/>
          </w:p>
        </w:tc>
      </w:tr>
    </w:tbl>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三、技术参数要求</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(一)电动自行车一体化车牌（社会化普通车牌）</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类别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指标项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参数要求</w:t>
            </w:r>
            <w:r/>
          </w:p>
        </w:tc>
      </w:tr>
      <w:tr>
        <w:trPr>
          <w:trHeight w:val="515"/>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2339"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339"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车牌物理参数</w:t>
            </w:r>
            <w:r/>
          </w:p>
          <w:p>
            <w:pPr>
              <w:ind w:left="0" w:right="147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170mm*110mm*3.0mm</w:t>
            </w:r>
            <w:r/>
          </w:p>
        </w:tc>
      </w:tr>
      <w:tr>
        <w:trPr>
          <w:trHeight w:val="51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★1.2重量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60g-70g</w:t>
            </w:r>
            <w:r/>
          </w:p>
        </w:tc>
      </w:tr>
      <w:tr>
        <w:trPr>
          <w:trHeight w:val="52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★1.3安装方式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防盗螺丝安装</w:t>
            </w:r>
            <w:r/>
          </w:p>
        </w:tc>
      </w:tr>
      <w:tr>
        <w:trPr>
          <w:trHeight w:val="6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★1.4字体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参照中华人民共和国机动车车牌字样标准制作</w:t>
            </w:r>
            <w:r/>
          </w:p>
        </w:tc>
      </w:tr>
      <w:tr>
        <w:trPr>
          <w:trHeight w:val="5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★1.5字体反光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车牌字需做反光工艺</w:t>
            </w:r>
            <w:r/>
          </w:p>
        </w:tc>
      </w:tr>
      <w:tr>
        <w:trPr>
          <w:trHeight w:val="6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★1.6材质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高耐性PC/ABS聚合塑料，具备阻燃、耐高低温、抗冲击、抗老化、抗UV辐射等性能</w:t>
            </w:r>
            <w:r/>
          </w:p>
        </w:tc>
      </w:tr>
      <w:tr>
        <w:trPr>
          <w:trHeight w:val="6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★1.7表面工艺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磨砂非镜面，不反光</w:t>
            </w:r>
            <w:r/>
          </w:p>
        </w:tc>
      </w:tr>
      <w:tr>
        <w:trPr>
          <w:trHeight w:val="6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★1.8颜色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底色淡绿色，色号1C9754，文字白色</w:t>
            </w:r>
            <w:r/>
          </w:p>
        </w:tc>
      </w:tr>
      <w:tr>
        <w:trPr>
          <w:trHeight w:val="55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★1.9一体化要求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号牌内置经交通安全产品质量监督检测中心检测通过，并获得密钥加密授权的无源RFID电子标识，配合路面读写器可实现身份信息获取和违法行为的快速精准识别</w:t>
            </w:r>
            <w:r/>
          </w:p>
        </w:tc>
      </w:tr>
      <w:tr>
        <w:trPr>
          <w:trHeight w:val="555"/>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339" w:type="dxa"/>
            <w:vAlign w:val="center"/>
            <w:textDirection w:val="lrTb"/>
            <w:noWrap w:val="false"/>
          </w:tcPr>
          <w:p>
            <w:pPr>
              <w:ind w:left="0" w:right="147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1.10抗冲击性能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用直径为 25mm的实心钢球从2m处自由落体冲击试样，车牌表面在以冲击点为圆心、半径为6mm的圆形区域以外无裂缝、层间脱离等现象。</w:t>
            </w:r>
            <w:r/>
          </w:p>
        </w:tc>
      </w:tr>
      <w:tr>
        <w:trPr>
          <w:trHeight w:val="555"/>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339" w:type="dxa"/>
            <w:vAlign w:val="center"/>
            <w:textDirection w:val="lrTb"/>
            <w:noWrap w:val="false"/>
          </w:tcPr>
          <w:p>
            <w:pPr>
              <w:ind w:left="0" w:right="147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1.11耐盐水腐蚀性能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车牌表面在氯化钠溶液中48h，无褪色、变色、掉色、软化、皱纹、起泡、开裂、起层、卷边或被浸蚀的痕迹。</w:t>
            </w:r>
            <w:r/>
          </w:p>
        </w:tc>
      </w:tr>
      <w:tr>
        <w:trPr>
          <w:trHeight w:val="555"/>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339" w:type="dxa"/>
            <w:vAlign w:val="center"/>
            <w:textDirection w:val="lrTb"/>
            <w:noWrap w:val="false"/>
          </w:tcPr>
          <w:p>
            <w:pPr>
              <w:ind w:left="0" w:right="147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1.12耐候性能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符合1200小时耐候性能试验要求。</w:t>
            </w:r>
            <w:r/>
          </w:p>
        </w:tc>
      </w:tr>
      <w:tr>
        <w:trPr>
          <w:trHeight w:val="555"/>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339" w:type="dxa"/>
            <w:vAlign w:val="center"/>
            <w:textDirection w:val="lrTb"/>
            <w:noWrap w:val="false"/>
          </w:tcPr>
          <w:p>
            <w:pPr>
              <w:ind w:left="0" w:right="147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★1.13检测报告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须提供产品制造商有效期内的交通安全产品质量监督检测中心出具的电动自行车电子车牌检测报告复印件加盖公章。</w:t>
            </w:r>
            <w:r/>
          </w:p>
        </w:tc>
      </w:tr>
      <w:tr>
        <w:trPr>
          <w:trHeight w:val="5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车牌标签参数（▲需提供权威检测机构出具的检测报告复印件加盖公章，原件备查）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2.1▲标签灵敏度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数据读取灵敏度小于或等于-19dBm</w:t>
            </w:r>
            <w:r/>
          </w:p>
        </w:tc>
      </w:tr>
      <w:tr>
        <w:trPr>
          <w:trHeight w:val="6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2.2工作温度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-40℃~85℃</w:t>
            </w:r>
            <w:r/>
          </w:p>
        </w:tc>
      </w:tr>
      <w:tr>
        <w:trPr>
          <w:trHeight w:val="6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2.3贮存温度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-40℃~85℃</w:t>
            </w:r>
            <w:r/>
          </w:p>
        </w:tc>
      </w:tr>
      <w:tr>
        <w:trPr>
          <w:trHeight w:val="6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2.4工作湿热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93%（40℃）</w:t>
            </w:r>
            <w:r/>
          </w:p>
        </w:tc>
      </w:tr>
      <w:tr>
        <w:trPr>
          <w:trHeight w:val="6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2.5贮存湿热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93%（40℃）</w:t>
            </w:r>
            <w:r/>
          </w:p>
        </w:tc>
      </w:tr>
      <w:tr>
        <w:trPr>
          <w:trHeight w:val="6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2.6工作频率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920-925MHz</w:t>
            </w:r>
            <w:r/>
          </w:p>
        </w:tc>
      </w:tr>
      <w:tr>
        <w:trPr>
          <w:trHeight w:val="6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2.7静态阅读距离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≥25m</w:t>
            </w:r>
            <w:r/>
          </w:p>
        </w:tc>
      </w:tr>
      <w:tr>
        <w:trPr>
          <w:trHeight w:val="69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2.8基站识读统一性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须被基于符合电子标识国标（GB/T  35786-2017标准）的读取设备识读</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2枚防盗M6螺丝螺母</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其它技术要求（▲需提供权威检测机构出具的检测报告复印件加盖公章，原件备查）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▲表面耐磨性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在11N压力下，用棉布往复摩擦1000次，试验后车牌表面应无明显变化，字迹应清晰可见。</w:t>
            </w:r>
            <w:r/>
          </w:p>
        </w:tc>
      </w:tr>
      <w:tr>
        <w:trPr>
          <w:trHeight w:val="55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▲抗金属干扰性能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安装于非机动车辆上。车牌在金属组件或金属边框的干扰下，静态识读距离应大于或等于25m。</w:t>
            </w:r>
            <w:r/>
          </w:p>
        </w:tc>
      </w:tr>
      <w:tr>
        <w:trPr>
          <w:trHeight w:val="55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▲动态识读性能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安装于非机动车辆上。当非机动车辆处于行驶状态时（行驶速度小于或等于40km/h），车牌芯片内的登记信息能被正确识读的距离应≥25m。</w:t>
            </w:r>
            <w:r/>
          </w:p>
        </w:tc>
      </w:tr>
      <w:tr>
        <w:trPr>
          <w:trHeight w:val="55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▲外观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车牌外观应完整、无破损、无折痕、无明显凸起，表面文字和图形应完整、清晰。</w:t>
            </w:r>
            <w:r/>
          </w:p>
        </w:tc>
      </w:tr>
      <w:tr>
        <w:trPr>
          <w:trHeight w:val="55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▲组成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车牌应由嵌体以及外封装组成，表面应无焊接缝。</w:t>
            </w:r>
            <w:r/>
          </w:p>
        </w:tc>
      </w:tr>
      <w:tr>
        <w:trPr>
          <w:trHeight w:val="55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▲抗弯曲性能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对车牌施加300N弯曲载荷时，压头和2支撑端面尺寸分别为15mm×80mm，跨距为100mm，试验后牌照表面不应有裂缝、剥落、层间分离等损坏现象。</w:t>
            </w:r>
            <w:r/>
          </w:p>
        </w:tc>
      </w:tr>
      <w:tr>
        <w:trPr>
          <w:trHeight w:val="55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▲抗溶剂性能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浸入柴油或92#汽油45min后，车牌表面应无明显变色、褪色、掉色、软化、起皱、起泡、开裂、起层、卷边或被侵蚀现象。</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参考图片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1、社会化普通车牌样式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771650" cy="11430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097543" name=""/>
                              <pic:cNvPicPr>
                                <a:picLocks noChangeAspect="1"/>
                              </pic:cNvPicPr>
                              <pic:nvPr/>
                            </pic:nvPicPr>
                            <pic:blipFill>
                              <a:blip/>
                              <a:stretch/>
                            </pic:blipFill>
                            <pic:spPr bwMode="auto">
                              <a:xfrm>
                                <a:off x="0" y="0"/>
                                <a:ext cx="1771650" cy="11430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9.5pt;height:90.0pt;mso-wrap-distance-left:0.0pt;mso-wrap-distance-top:0.0pt;mso-wrap-distance-right:0.0pt;mso-wrap-distance-bottom:0.0pt;" stroked="false">
                      <v:path textboxrect="0,0,0,0"/>
                    </v:shape>
                  </w:pict>
                </mc:Fallback>
              </mc:AlternateConten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2、牌证尺寸（单位：mm）</w:t>
            </w:r>
            <w:r/>
          </w:p>
          <w:p>
            <w:pPr>
              <w:ind w:left="0" w:right="0" w:firstLine="0"/>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457700" cy="42672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204160" name=""/>
                              <pic:cNvPicPr>
                                <a:picLocks noChangeAspect="1"/>
                              </pic:cNvPicPr>
                              <pic:nvPr/>
                            </pic:nvPicPr>
                            <pic:blipFill>
                              <a:blip/>
                              <a:stretch/>
                            </pic:blipFill>
                            <pic:spPr bwMode="auto">
                              <a:xfrm>
                                <a:off x="0" y="0"/>
                                <a:ext cx="4457700" cy="42671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51.0pt;height:336.0pt;mso-wrap-distance-left:0.0pt;mso-wrap-distance-top:0.0pt;mso-wrap-distance-right:0.0pt;mso-wrap-distance-bottom:0.0pt;" stroked="false">
                      <v:path textboxrect="0,0,0,0"/>
                    </v:shape>
                  </w:pict>
                </mc:Fallback>
              </mc:AlternateContent>
            </w:r>
            <w:r/>
          </w:p>
          <w:p>
            <w:pPr>
              <w:ind w:left="1470" w:right="147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四、产品要求</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1、产品必须是全新、未使用过的原装合格正品。</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2、项目验收不合格或不符合质量要求，投标供应商除无条件退货、返工外，还应承担采购人的一切损失。</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五、交货时间和地点</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1、交货时间：自合同签订之日起45日历天内供货完毕。</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2、地点：由采购人指定。</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六、质量保证期</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产品免费质量保证期至少为1年（自验收合格之日起计算），如供应商承诺更长质保期，则以承诺的时间为准。若发生重大质量问题，则保修期重新开始计算。</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七、付款条件</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w:t>
      </w:r>
      <w:r>
        <w:rPr>
          <w:rFonts w:ascii="SimSun" w:hAnsi="SimSun" w:eastAsia="SimSun" w:cs="SimSun"/>
          <w:color w:val="000000"/>
          <w:sz w:val="22"/>
        </w:rPr>
        <w:t xml:space="preserve">1</w:t>
      </w:r>
      <w:r>
        <w:rPr>
          <w:rFonts w:ascii="SimSun" w:hAnsi="SimSun" w:eastAsia="SimSun" w:cs="SimSun"/>
          <w:color w:val="000000"/>
          <w:sz w:val="22"/>
          <w:u w:val="none"/>
        </w:rPr>
        <w:t xml:space="preserve">）合同签订后，支付合同总额的</w:t>
      </w:r>
      <w:r>
        <w:rPr>
          <w:rFonts w:ascii="SimSun" w:hAnsi="SimSun" w:eastAsia="SimSun" w:cs="SimSun"/>
          <w:color w:val="000000"/>
          <w:sz w:val="22"/>
        </w:rPr>
        <w:t xml:space="preserve">30%</w:t>
      </w:r>
      <w:r>
        <w:rPr>
          <w:rFonts w:ascii="SimSun" w:hAnsi="SimSun" w:eastAsia="SimSun" w:cs="SimSun"/>
          <w:color w:val="000000"/>
          <w:sz w:val="22"/>
          <w:u w:val="none"/>
        </w:rPr>
        <w:t xml:space="preserve">；</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（2）货物全部供货完成并经采购人验收合格后，支付至合同总额的90%；</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（3）审计结束后，采购人支付经审计后的余款。</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注：结算审计核减率5%以下的，审计费用由采购人承担，核减率5%（含）以上的，审计费用由中标供应商承担。</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合同条款及格式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南京市政府采购合同（供参考）</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80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91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合同编号 ：</w:t>
      </w:r>
      <w:r/>
    </w:p>
    <w:p>
      <w:pPr>
        <w:ind w:left="0" w:right="0" w:firstLine="191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 ：</w:t>
      </w:r>
      <w:r/>
    </w:p>
    <w:p>
      <w:pPr>
        <w:ind w:left="0" w:right="0" w:firstLine="191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使用单位 ：</w:t>
      </w:r>
      <w:r/>
    </w:p>
    <w:p>
      <w:pPr>
        <w:ind w:left="0" w:right="0" w:firstLine="19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供货单位 ：</w:t>
      </w:r>
      <w:r/>
    </w:p>
    <w:p>
      <w:pPr>
        <w:ind w:left="0" w:right="0" w:firstLine="19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签订日期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合同编号：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采购人（以下称甲方）</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住所地：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住所地：</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根据《中华人民共和国政府采购法》、《民法典》等法律法规的规定，甲乙双方按照代理机构的招标结果签订本合同。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第一条 合同标的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1、乙方根据甲方需求提供下列货物：。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2、货物名称、规格及数量如下。</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1"/>
        <w:gridCol w:w="696"/>
        <w:gridCol w:w="965"/>
        <w:gridCol w:w="645"/>
        <w:gridCol w:w="644"/>
        <w:gridCol w:w="726"/>
        <w:gridCol w:w="732"/>
        <w:gridCol w:w="877"/>
        <w:gridCol w:w="877"/>
        <w:gridCol w:w="837"/>
        <w:gridCol w:w="936"/>
        <w:gridCol w:w="729"/>
      </w:tblGrid>
      <w:tr>
        <w:trPr>
          <w:trHeight w:val="7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是否进口</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3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第二条 合同总价款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1、本合同项目货物总价款为（大写）人民币。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2、本合同总价款是包含货物设计、制造、包装、仓储、运输装卸、保险及其材料及验收合格之前保管及保修期内伴随服务发生的所有含税费用、支付给员工的工资以及供应商认为需要的其他费用等。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3、本合同总价款还包含乙方应当提供的伴随服务、售后服务费用。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4、本合同为固定单价合同，按照分项报价据实结算，但总价不得超过本次采购的预算金额。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第三条 组成本合同的有关文件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下列关于代理 号标的招投标文件或与本次采购活动方式相适应的文件及有关附件是本合同不可分割的组成部分，与本合同具有同等法律效力，这些文件包括但不限于：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（1）乙方提供的投标文件和投标报价表；         （2）供货一览表；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（3）技术规格偏离表；                         （4）服务承诺；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（5）甲乙双方商定的其他文件等；               （6）中标通知书；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（7）保密协议；</w:t>
      </w:r>
      <w:r/>
    </w:p>
    <w:p>
      <w:pPr>
        <w:ind w:left="5669" w:right="0" w:hanging="52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（8）双方有关项目的洽商、变更等书面协议或文件视为本合同的组成部分。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第四条 权利保证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乙方应保证甲方在使用该货物或其任何一部分时不受第三方提出侵犯其专利权、版权、商标权或其他权利的起诉。一旦出现侵权，乙方应承担全部责任。</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第五条 质量保证</w:t>
      </w:r>
      <w:r/>
    </w:p>
    <w:p>
      <w:pPr>
        <w:ind w:left="0" w:right="0" w:firstLine="5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1、乙方所提供的货物的技术规格应与招标文件规定的技术规格及所附的“技术规格响应表”相一致；若技术性能无特殊说明，则按国家有关部门最新颁布的标准及规范为准。</w:t>
      </w:r>
      <w:r/>
    </w:p>
    <w:p>
      <w:pPr>
        <w:ind w:left="0" w:right="0" w:firstLine="5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乙方应保证货物是全新、未使用过的原装合格正品，并完全符合合同规定的质量、规格和性能的要求，达到国家或行业规定的标准。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right="0" w:firstLine="5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3、项目验收不合格或不符合质量要求，投标供应商除无条件退货、返工外，还应承担采购人的一切损失。</w:t>
      </w:r>
      <w:r/>
    </w:p>
    <w:p>
      <w:pPr>
        <w:ind w:left="0" w:right="0" w:firstLine="5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4、免费质量保证期为</w:t>
      </w:r>
      <w:r>
        <w:rPr>
          <w:rFonts w:ascii="SimSun" w:hAnsi="SimSun" w:eastAsia="SimSun" w:cs="SimSun"/>
          <w:color w:val="000000"/>
          <w:sz w:val="22"/>
          <w:u w:val="single"/>
        </w:rPr>
        <w:t xml:space="preserve">   </w:t>
      </w:r>
      <w:r>
        <w:rPr>
          <w:rFonts w:ascii="SimSun" w:hAnsi="SimSun" w:eastAsia="SimSun" w:cs="SimSun"/>
          <w:color w:val="000000"/>
          <w:sz w:val="22"/>
        </w:rPr>
        <w:t xml:space="preserve">年（自验收合格之日起计算）。若发生重大质量问题，则保修期重新开始计算。</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第六条 交付时间和地点</w:t>
      </w:r>
      <w:r/>
    </w:p>
    <w:p>
      <w:pPr>
        <w:ind w:left="0" w:right="0" w:firstLine="5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1、乙方应当自合同签订之日起</w:t>
      </w:r>
      <w:r>
        <w:rPr>
          <w:rFonts w:ascii="SimSun" w:hAnsi="SimSun" w:eastAsia="SimSun" w:cs="SimSun"/>
          <w:color w:val="000000"/>
          <w:sz w:val="22"/>
          <w:u w:val="single"/>
        </w:rPr>
        <w:t xml:space="preserve">    </w:t>
      </w:r>
      <w:r>
        <w:rPr>
          <w:rFonts w:ascii="SimSun" w:hAnsi="SimSun" w:eastAsia="SimSun" w:cs="SimSun"/>
          <w:color w:val="000000"/>
          <w:sz w:val="22"/>
        </w:rPr>
        <w:t xml:space="preserve">日历天内供货完毕，地点由甲方指定。</w:t>
      </w:r>
      <w:r/>
    </w:p>
    <w:p>
      <w:pPr>
        <w:ind w:left="0" w:right="0" w:firstLine="5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2、乙方交付的货物应当完全符合本合同或者招标文件及投标文件所规定的货物、数量和规格要求。乙方提供的货物不符合招标文件及投标文件和合同规定的，甲方有权拒收货物，由此引起的风险，由乙方承担。</w:t>
      </w:r>
      <w:r/>
    </w:p>
    <w:p>
      <w:pPr>
        <w:ind w:left="0" w:right="0" w:firstLine="5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3、货物的到货验收包括：型号、规格、数量、外观质量、及货物包装是否完好。</w:t>
      </w:r>
      <w:r/>
    </w:p>
    <w:p>
      <w:pPr>
        <w:ind w:left="0" w:right="0" w:firstLine="5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left="0" w:right="0" w:firstLine="5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5、货物调试验收的标准：按行业通行标准、厂方出厂标准和乙方投标文件的承诺（详见合同附件载明的标准，并不低于国家相关标准）。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第七条 售后服务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1、乙方应按照国家有关法律法规规章和“三包”规定以及合同所附的“服务承诺”提供服务。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2、除前款规定外，乙方还应提供下列服务：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（1）货物的现场使用或启动监督；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（2）就货物的使用及维护等对甲方人员进行免费培训。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3、若招标文件中不包含有关伴随服务或售后服务的承诺，双方作如下约定：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（2）所购货物按乙方投标承诺提供免费维护和质量保证，保修费用计入总价。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第八条 合同款支付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1、本合同项下所有款项均以人民币支付。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2、本合同项下的采购资金由甲方自行支付，乙方向甲方开具发票。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3、付款条件：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（1）合同签订后，支付合同总额的30%；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（2）货物全部供货完成并经采购人验收合格后，支付至合同总额的90%；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（3）审计结束后，采购人支付经审计后的余款。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注：结算审计核减率5%以下的，审计费用由甲方承担，核减率5%（含）以上的，审计费用由乙方承担。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第九条 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1、甲方无正当理由拒收货物、拒付货物款的，由甲方向乙方偿付合同总价的5%违约金。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2、甲方未按合同规定的期限向乙方支付货款的，每逾期1天甲方向乙方偿付欠款总额的5‰滞纳金，但累计滞纳金总额不超过欠款总额的5%。</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3、乙方逾期交付的，每逾期1天，乙方向甲方偿付合同总额的5‰的滞纳金。如乙方逾期交付达10天，甲方有权解除合同，解除合同的通知自到达乙方时生效。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4、乙方所交付的货物品种、型号、规格不符合合同规定的，甲方有权拒收。甲方拒收的，乙方应向甲方支付货款总额5%的违约金。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在乙方承诺的或国家规定的质量保证期内（取两者中最长的期限），如经乙方两次维修或更换，货物仍不能达到合同约定的质量标准，甲方有权退货，乙方应退回全部货款，同时，乙方还须赔偿甲方因此遭受的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6、乙方未按本合同的规定和“服务承诺”提供伴随服务/售后服务的，应按合同总价款的5%向甲方承担违约责任。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7、乙方在承担上述一项或多项违约责任后，仍应继续履行合同规定的义务（甲方解除合同的除外）。甲方未能及时追究乙方的任何一项违约责任并不表明甲方放弃追究乙方该项或其他违约责任。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8、乙方投标属虚假承诺，或经权威部门检测提供的货物不能满足投标文件要求，或是由于乙方的过错造成合同无法继续履行的，乙方应向甲方支付合同总价的30%赔偿金。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第十条 合同的变更和终止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1、除《政府采购法》第50条第二款规定的情形外，本合同一经签订，甲乙双方不得擅自变更、中止或终止合同。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2、除发生法律规定的不能预见、不能避免并不能克服的客观情况外，甲乙双方不得放弃或拒绝履行合同。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第十一条 合同的转让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乙方不得擅自部分或全部转让其应履行的合同义务。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第十二条 争议的解决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1、因履行本合同引起的或与本合同有关的争议，甲、乙双方应首先通过友好协商解决，如果协商不能解决争议，则采取以下第（2）种方式解决争议：</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（1）向甲方所在地有管辖权的人民法院提起诉讼；</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（2）向南京仲裁委员会按其仲裁规则申请仲裁。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2、在仲裁期间，本合同应继续履行。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第十三条 诚实信用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乙方应诚实信用，严格按照招标文件要求和投标承诺履行合同，不向甲方进行商业贿赂或者提供不正当利益。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第十四条 合同生效及其他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1、本合同自甲乙双方代表人签字并加盖单位公章或合同专用章之日起生效。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2、本合同附件作为合同的有效组成部分，与本合同具有同等法律效力。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3、本合同一式</w:t>
      </w:r>
      <w:r>
        <w:rPr>
          <w:rFonts w:ascii="SimSun" w:hAnsi="SimSun" w:eastAsia="SimSun" w:cs="SimSun"/>
          <w:color w:val="000000"/>
          <w:sz w:val="22"/>
          <w:u w:val="single"/>
        </w:rPr>
        <w:t xml:space="preserve">肆</w:t>
      </w:r>
      <w:r>
        <w:rPr>
          <w:rFonts w:ascii="SimSun" w:hAnsi="SimSun" w:eastAsia="SimSun" w:cs="SimSun"/>
          <w:color w:val="000000"/>
          <w:sz w:val="22"/>
        </w:rPr>
        <w:t xml:space="preserve">份，甲乙双方各执</w:t>
      </w:r>
      <w:r>
        <w:rPr>
          <w:rFonts w:ascii="SimSun" w:hAnsi="SimSun" w:eastAsia="SimSun" w:cs="SimSun"/>
          <w:color w:val="000000"/>
          <w:sz w:val="22"/>
          <w:u w:val="single"/>
        </w:rPr>
        <w:t xml:space="preserve">贰</w:t>
      </w:r>
      <w:r>
        <w:rPr>
          <w:rFonts w:ascii="SimSun" w:hAnsi="SimSun" w:eastAsia="SimSun" w:cs="SimSun"/>
          <w:color w:val="000000"/>
          <w:sz w:val="22"/>
        </w:rPr>
        <w:t xml:space="preserve">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4、本合同应按照中华人民共和国的现行法律进行解释。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甲方（采购人）：（盖章）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乙方（供应商）：（盖章）</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代表人：</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帐号：</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     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附件一：投标申请及声明格式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投标申请及声明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致：采购人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根据贵方（项目名称）（项目编号）投标邀请，正式授权下述签字人(姓名和职务)代表投标人（投标人名称），提交投标文件。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据此函，签字人兹宣布声明和承诺如下：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b/>
          <w:color w:val="000000"/>
          <w:sz w:val="22"/>
        </w:rPr>
        <w:t xml:space="preserve">我们的资格条件完全符合政府采购法和本次招标要求</w:t>
      </w:r>
      <w:r>
        <w:rPr>
          <w:rFonts w:ascii="SimSun" w:hAnsi="SimSun" w:eastAsia="SimSun" w:cs="SimSun"/>
          <w:color w:val="000000"/>
          <w:sz w:val="22"/>
        </w:rPr>
        <w:t xml:space="preserve">，我们同意并向贵方提供了与投标有关的所有证据和资料。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2、按招标要求，我们的投标总报价为（大写）</w:t>
      </w:r>
      <w:r>
        <w:rPr>
          <w:rFonts w:ascii="SimSun" w:hAnsi="SimSun" w:eastAsia="SimSun" w:cs="SimSun"/>
          <w:color w:val="000000"/>
          <w:sz w:val="22"/>
          <w:u w:val="single"/>
        </w:rPr>
        <w:t xml:space="preserve">   </w:t>
      </w:r>
      <w:r>
        <w:rPr>
          <w:rFonts w:ascii="SimSun" w:hAnsi="SimSun" w:eastAsia="SimSun" w:cs="SimSun"/>
          <w:color w:val="000000"/>
          <w:sz w:val="22"/>
        </w:rPr>
        <w:t xml:space="preserve">元人民币。其中，小型和微型企业产品/服务</w:t>
      </w:r>
      <w:r>
        <w:rPr>
          <w:rFonts w:ascii="SimSun" w:hAnsi="SimSun" w:eastAsia="SimSun" w:cs="SimSun"/>
          <w:color w:val="000000"/>
          <w:sz w:val="22"/>
          <w:u w:val="single"/>
        </w:rPr>
        <w:t xml:space="preserve">   </w:t>
      </w:r>
      <w:r>
        <w:rPr>
          <w:rFonts w:ascii="SimSun" w:hAnsi="SimSun" w:eastAsia="SimSun" w:cs="SimSun"/>
          <w:color w:val="000000"/>
          <w:sz w:val="22"/>
        </w:rPr>
        <w:t xml:space="preserve">元人民币，分项价款在《分项报价表》中有明确规定。供货期限：自合同签订之日起</w:t>
      </w:r>
      <w:r>
        <w:rPr>
          <w:rFonts w:ascii="SimSun" w:hAnsi="SimSun" w:eastAsia="SimSun" w:cs="SimSun"/>
          <w:color w:val="000000"/>
          <w:sz w:val="22"/>
          <w:u w:val="single"/>
        </w:rPr>
        <w:t xml:space="preserve">   </w:t>
      </w:r>
      <w:r>
        <w:rPr>
          <w:rFonts w:ascii="SimSun" w:hAnsi="SimSun" w:eastAsia="SimSun" w:cs="SimSun"/>
          <w:color w:val="000000"/>
          <w:sz w:val="22"/>
        </w:rPr>
        <w:t xml:space="preserve">日历天内供货完毕。项目负责人：</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3、我们已详细审核全部招标文件及其有效补充文件，我们放弃对招标文件任何误解的权利，提交投标文件后，</w:t>
      </w:r>
      <w:r>
        <w:rPr>
          <w:rFonts w:ascii="SimSun" w:hAnsi="SimSun" w:eastAsia="SimSun" w:cs="SimSun"/>
          <w:b/>
          <w:color w:val="000000"/>
          <w:sz w:val="22"/>
        </w:rPr>
        <w:t xml:space="preserve">不对招标文件本身提出质疑</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4、我们同意从规定的开标日期起遵循本投标文件，并在规定的投标有效期期满之前均具有约束力。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5、一旦我方中标，我方将根据招标文件的规定严格履行合同，并保证于承诺的时间完成货物的启动/集成、调试等服务，交付采购人验收、使用。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6、我方决不提供虚假材料谋取中标、决不采取不正当手段诋毁、排挤其他供应商、决不与采购人、其它供应商或者 招标代理恶意串通、决不向采购人、 招标代理工作人员和评委进行商业贿赂、决不在采购过程中与采购人进行协商谈判、决不拒绝有关部门监督检查或提供虚假情况，如有违反，无条件接受贵方及相关管理部门的处罚。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7、与本投标有关的正式联系方式为：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  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  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银行账号：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供应商授权代表姓名（签字）：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期：年月日</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附件二：法人身份证明</w:t>
      </w:r>
      <w:r/>
    </w:p>
    <w:p>
      <w:pPr>
        <w:ind w:left="1470" w:right="147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格式自拟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附件三：法定代表人授权书格式</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法定代表人授权委托书</w:t>
      </w:r>
      <w:r/>
    </w:p>
    <w:p>
      <w:pPr>
        <w:ind w:left="0" w:right="0" w:firstLine="10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书声明：注册于（投标人住址）的（投标人名称）法定代表人（法定代表人姓名、职务）代表本公司授权在下面签字的（投标人代表姓名、职务）为本公司的合法代理人，就贵方组织的（项目名称），（项目编号）投标，以本公司名义处理一切与之有关的事务。</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本授权书于    年  月  日签字生效，特此声明。</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法定代表人签字：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授权委托人签字：                    </w:t>
      </w:r>
      <w:r/>
    </w:p>
    <w:p>
      <w:pPr>
        <w:ind w:left="0" w:right="0" w:firstLine="420"/>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附件四：开标一览表格式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开标一览表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67"/>
        <w:gridCol w:w="2085"/>
        <w:gridCol w:w="2259"/>
        <w:gridCol w:w="418"/>
        <w:gridCol w:w="1146"/>
        <w:gridCol w:w="2374"/>
      </w:tblGrid>
      <w:tr>
        <w:trPr>
          <w:trHeight w:val="284"/>
        </w:trPr>
        <w:tc>
          <w:tcPr>
            <w:gridSpan w:val="4"/>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582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 </w:t>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52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分包号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               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报价（元）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其中，</w:t>
            </w:r>
            <w:r>
              <w:rPr>
                <w:rFonts w:ascii="SimSun" w:hAnsi="SimSun" w:eastAsia="SimSun" w:cs="SimSun"/>
                <w:b/>
                <w:color w:val="000000"/>
                <w:sz w:val="22"/>
              </w:rPr>
              <w:t xml:space="preserve">小、微型企业报价（元）</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投标总价（人民币，大写）</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7" w:type="dxa"/>
            <w:vAlign w:val="center"/>
            <w:textDirection w:val="lrTb"/>
            <w:noWrap/>
          </w:tcPr>
          <w:p>
            <w:pPr>
              <w:ind w:left="0" w:right="0" w:firstLine="39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元</w:t>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投标货物中有无进口产品</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7"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        无</w:t>
            </w:r>
            <w:r/>
          </w:p>
        </w:tc>
      </w:tr>
      <w:tr>
        <w:trPr>
          <w:trHeight w:val="57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供应商是否属于小微型企业</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7"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        否</w:t>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供货期限</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7"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自合同签订之日起     日历天内供货完毕</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67"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085"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259"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18"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46"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74" w:type="dxa"/>
            <w:vAlign w:val="center"/>
            <w:textDirection w:val="lrTb"/>
            <w:noWrap w:val="false"/>
          </w:tcPr>
          <w:p>
            <w:pPr>
              <w:spacing w:before="0" w:after="0" w:line="57" w:lineRule="atLeast"/>
            </w:pP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1、在“投标货物中有无进口产品”栏后“有”或“无”上打“√”。</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2、在“供应商是否属于小和微型企业”栏后“是”或“否”上打“√”。</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附件五：分项报价表格式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分项报价表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项目编号：</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1"/>
        <w:gridCol w:w="636"/>
        <w:gridCol w:w="762"/>
        <w:gridCol w:w="781"/>
        <w:gridCol w:w="636"/>
        <w:gridCol w:w="689"/>
        <w:gridCol w:w="694"/>
        <w:gridCol w:w="684"/>
        <w:gridCol w:w="857"/>
        <w:gridCol w:w="817"/>
        <w:gridCol w:w="1024"/>
        <w:gridCol w:w="1093"/>
      </w:tblGrid>
      <w:tr>
        <w:trPr>
          <w:trHeight w:val="122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是否进口</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是否属于小、微型企业的产品</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3"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3"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3"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3"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3"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3"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3"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3"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投标总价（人民币，大小写）：</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说明：1、按照第四章“采购清单”报价。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0" w:right="147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附件六：技术条款偏离表格式</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技术条款偏离表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8"/>
        <w:gridCol w:w="1606"/>
        <w:gridCol w:w="2677"/>
        <w:gridCol w:w="1399"/>
        <w:gridCol w:w="1813"/>
        <w:gridCol w:w="1101"/>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44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914"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招标文件条目号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招标要求规格</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投标响应</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58"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06"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677"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9"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13"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01" w:type="dxa"/>
            <w:vAlign w:val="center"/>
            <w:textDirection w:val="lrTb"/>
            <w:noWrap w:val="false"/>
          </w:tcPr>
          <w:p>
            <w:pPr>
              <w:spacing w:before="0" w:after="0" w:line="57" w:lineRule="atLeast"/>
            </w:pP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说明：1、如果行数不够，请自行增加。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附件七：商务条款偏离表格式</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商务条款偏离表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1"/>
        <w:gridCol w:w="1620"/>
        <w:gridCol w:w="2700"/>
        <w:gridCol w:w="1415"/>
        <w:gridCol w:w="1810"/>
        <w:gridCol w:w="1020"/>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386"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83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招标文件条目号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招标文件要求的商务条款</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2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投标响应</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2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2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2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2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2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0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2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51"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20"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700"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15"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10"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spacing w:before="0" w:after="0" w:line="57" w:lineRule="atLeast"/>
            </w:pP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说明：1、如果行数不够，请自行增加。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附件八、供货一览表格式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供货一览表</w:t>
      </w:r>
      <w:r/>
    </w:p>
    <w:p>
      <w:pPr>
        <w:ind w:left="7226" w:right="0" w:hanging="69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                                               项目编号：</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9"/>
        <w:gridCol w:w="870"/>
        <w:gridCol w:w="871"/>
        <w:gridCol w:w="871"/>
        <w:gridCol w:w="870"/>
        <w:gridCol w:w="870"/>
        <w:gridCol w:w="870"/>
        <w:gridCol w:w="948"/>
        <w:gridCol w:w="793"/>
        <w:gridCol w:w="762"/>
        <w:gridCol w:w="980"/>
      </w:tblGrid>
      <w:tr>
        <w:trPr>
          <w:trHeight w:val="7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是否进口</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8"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8"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8"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8"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8"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8"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8"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8"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8"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8"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8"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说明：如果行数不够，请自行增加。</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附件九：表一(拟投入本项目人员汇总表)：</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拟参与本项目人员情况一览表</w:t>
      </w:r>
      <w:r/>
    </w:p>
    <w:p>
      <w:pPr>
        <w:ind w:left="7226" w:right="0" w:hanging="69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                                                          项目编号：</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75"/>
        <w:gridCol w:w="1776"/>
        <w:gridCol w:w="1775"/>
        <w:gridCol w:w="1776"/>
        <w:gridCol w:w="2253"/>
      </w:tblGrid>
      <w:tr>
        <w:trPr>
          <w:trHeight w:val="135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人员类别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6" w:type="dxa"/>
            <w:vAlign w:val="center"/>
            <w:textDirection w:val="lrTb"/>
            <w:noWrap/>
          </w:tcPr>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5" w:type="dxa"/>
            <w:vAlign w:val="center"/>
            <w:textDirection w:val="lrTb"/>
            <w:noWrap/>
          </w:tcPr>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6" w:type="dxa"/>
            <w:vAlign w:val="center"/>
            <w:textDirection w:val="lrTb"/>
            <w:noWrap/>
          </w:tcPr>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tcPr>
          <w:p>
            <w:pPr>
              <w:ind w:left="0" w:right="0" w:firstLine="0"/>
              <w:jc w:val="center"/>
              <w:spacing w:before="5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专业经验及拟在本项目中承担分工</w:t>
            </w:r>
            <w:r/>
          </w:p>
        </w:tc>
      </w:tr>
      <w:tr>
        <w:trPr>
          <w:trHeight w:val="11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6" w:type="dxa"/>
            <w:vAlign w:val="center"/>
            <w:textDirection w:val="lrTb"/>
            <w:noWrap/>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5" w:type="dxa"/>
            <w:vAlign w:val="center"/>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6" w:type="dxa"/>
            <w:vAlign w:val="center"/>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1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项目组其他人员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6" w:type="dxa"/>
            <w:vAlign w:val="center"/>
            <w:textDirection w:val="lrTb"/>
            <w:noWrap/>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5" w:type="dxa"/>
            <w:vAlign w:val="center"/>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6" w:type="dxa"/>
            <w:vAlign w:val="center"/>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1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项目组其他人员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6" w:type="dxa"/>
            <w:vAlign w:val="center"/>
            <w:textDirection w:val="lrTb"/>
            <w:noWrap/>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5" w:type="dxa"/>
            <w:vAlign w:val="center"/>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6" w:type="dxa"/>
            <w:vAlign w:val="center"/>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1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6" w:type="dxa"/>
            <w:vAlign w:val="center"/>
            <w:textDirection w:val="lrTb"/>
            <w:noWrap/>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5" w:type="dxa"/>
            <w:vAlign w:val="center"/>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6" w:type="dxa"/>
            <w:vAlign w:val="center"/>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1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6" w:type="dxa"/>
            <w:vAlign w:val="center"/>
            <w:textDirection w:val="lrTb"/>
            <w:noWrap/>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5" w:type="dxa"/>
            <w:vAlign w:val="center"/>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6" w:type="dxa"/>
            <w:vAlign w:val="center"/>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投标人名称:（盖章）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法人代表或授权代表签字：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说明：1、表格仅供参考，可根据需要自行调整</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w:t>
      </w:r>
      <w:r>
        <w:rPr>
          <w:rFonts w:ascii="SimSun" w:hAnsi="SimSun" w:eastAsia="SimSun" w:cs="SimSun"/>
          <w:b/>
          <w:color w:val="000000"/>
          <w:sz w:val="24"/>
        </w:rPr>
        <w:t xml:space="preserve">中小企业声明函、残疾人福利性单位声明函等格式（如有）</w:t>
      </w:r>
      <w:r/>
    </w:p>
    <w:p>
      <w:pPr>
        <w:ind w:left="210" w:right="0" w:firstLine="4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210" w:right="0" w:firstLine="4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中小企业声明函（货物）</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本公司（联合体） 郑重声明， 根据《政府采购促进中小企业发展管理办法》（财库﹝2020﹞46 号）的规定，本公司（联合体）参加</w:t>
      </w:r>
      <w:r>
        <w:rPr>
          <w:rFonts w:ascii="SimSun" w:hAnsi="SimSun" w:eastAsia="SimSun" w:cs="SimSun"/>
          <w:color w:val="000000"/>
          <w:sz w:val="22"/>
          <w:u w:val="single"/>
        </w:rPr>
        <w:t xml:space="preserve">（单位名称）</w:t>
      </w:r>
      <w:r>
        <w:rPr>
          <w:rFonts w:ascii="SimSun" w:hAnsi="SimSun" w:eastAsia="SimSun" w:cs="SimSun"/>
          <w:color w:val="000000"/>
          <w:sz w:val="22"/>
        </w:rPr>
        <w:t xml:space="preserve"> 的</w:t>
      </w:r>
      <w:r>
        <w:rPr>
          <w:rFonts w:ascii="SimSun" w:hAnsi="SimSun" w:eastAsia="SimSun" w:cs="SimSun"/>
          <w:color w:val="000000"/>
          <w:sz w:val="22"/>
          <w:u w:val="single"/>
        </w:rPr>
        <w:t xml:space="preserve">（项目名称） </w:t>
      </w:r>
      <w:r>
        <w:rPr>
          <w:rFonts w:ascii="SimSun" w:hAnsi="SimSun" w:eastAsia="SimSun" w:cs="SimSun"/>
          <w:color w:val="000000"/>
          <w:sz w:val="22"/>
        </w:rPr>
        <w:t xml:space="preserve">采购活动，提供的货物全部由符合政策要求的中小企业制造。相关企业（含联合体中的中小企业、 签订分包意向协议的中小企业）的具体情况如下：</w:t>
        <w:br/>
        <w:t xml:space="preserve">     1.</w:t>
      </w:r>
      <w:r>
        <w:rPr>
          <w:rFonts w:ascii="SimSun" w:hAnsi="SimSun" w:eastAsia="SimSun" w:cs="SimSun"/>
          <w:color w:val="000000"/>
          <w:sz w:val="22"/>
          <w:u w:val="single"/>
        </w:rPr>
        <w:t xml:space="preserve">（标的名称） </w:t>
      </w:r>
      <w:r>
        <w:rPr>
          <w:rFonts w:ascii="SimSun" w:hAnsi="SimSun" w:eastAsia="SimSun" w:cs="SimSun"/>
          <w:color w:val="000000"/>
          <w:sz w:val="22"/>
        </w:rPr>
        <w:t xml:space="preserve">，属于</w:t>
      </w:r>
      <w:r>
        <w:rPr>
          <w:rFonts w:ascii="SimSun" w:hAnsi="SimSun" w:eastAsia="SimSun" w:cs="SimSun"/>
          <w:color w:val="000000"/>
          <w:sz w:val="22"/>
          <w:u w:val="single"/>
        </w:rPr>
        <w:t xml:space="preserve">（制造业）</w:t>
      </w:r>
      <w:r>
        <w:rPr>
          <w:rFonts w:ascii="SimSun" w:hAnsi="SimSun" w:eastAsia="SimSun" w:cs="SimSun"/>
          <w:color w:val="000000"/>
          <w:sz w:val="22"/>
        </w:rPr>
        <w:t xml:space="preserve">行业；制造商为</w:t>
      </w:r>
      <w:r>
        <w:rPr>
          <w:rFonts w:ascii="SimSun" w:hAnsi="SimSun" w:eastAsia="SimSun" w:cs="SimSun"/>
          <w:color w:val="000000"/>
          <w:sz w:val="22"/>
          <w:u w:val="single"/>
        </w:rPr>
        <w:t xml:space="preserve">（企业名称）</w:t>
      </w:r>
      <w:r>
        <w:rPr>
          <w:rFonts w:ascii="SimSun" w:hAnsi="SimSun" w:eastAsia="SimSun" w:cs="SimSun"/>
          <w:color w:val="000000"/>
          <w:sz w:val="22"/>
        </w:rPr>
        <w:t xml:space="preserve">， 从业人员人， 营业收入为万元，资产总额为万元，属于</w:t>
      </w:r>
      <w:r>
        <w:rPr>
          <w:rFonts w:ascii="SimSun" w:hAnsi="SimSun" w:eastAsia="SimSun" w:cs="SimSun"/>
          <w:color w:val="000000"/>
          <w:sz w:val="22"/>
          <w:u w:val="single"/>
        </w:rPr>
        <w:t xml:space="preserve">（中型企业、 小型企业、 微型企业）</w:t>
      </w:r>
      <w:r>
        <w:rPr>
          <w:rFonts w:ascii="SimSun" w:hAnsi="SimSun" w:eastAsia="SimSun" w:cs="SimSun"/>
          <w:color w:val="000000"/>
          <w:sz w:val="22"/>
        </w:rPr>
        <w:t xml:space="preserve">；</w:t>
        <w:br/>
        <w:t xml:space="preserve">     2. </w:t>
      </w:r>
      <w:r>
        <w:rPr>
          <w:rFonts w:ascii="SimSun" w:hAnsi="SimSun" w:eastAsia="SimSun" w:cs="SimSun"/>
          <w:color w:val="000000"/>
          <w:sz w:val="22"/>
          <w:u w:val="single"/>
        </w:rPr>
        <w:t xml:space="preserve">（标的名称） </w:t>
      </w:r>
      <w:r>
        <w:rPr>
          <w:rFonts w:ascii="SimSun" w:hAnsi="SimSun" w:eastAsia="SimSun" w:cs="SimSun"/>
          <w:color w:val="000000"/>
          <w:sz w:val="22"/>
        </w:rPr>
        <w:t xml:space="preserve">，属于</w:t>
      </w:r>
      <w:r>
        <w:rPr>
          <w:rFonts w:ascii="SimSun" w:hAnsi="SimSun" w:eastAsia="SimSun" w:cs="SimSun"/>
          <w:color w:val="000000"/>
          <w:sz w:val="22"/>
          <w:u w:val="single"/>
        </w:rPr>
        <w:t xml:space="preserve">（制造业）</w:t>
      </w:r>
      <w:r>
        <w:rPr>
          <w:rFonts w:ascii="SimSun" w:hAnsi="SimSun" w:eastAsia="SimSun" w:cs="SimSun"/>
          <w:color w:val="000000"/>
          <w:sz w:val="22"/>
        </w:rPr>
        <w:t xml:space="preserve">行业；制造商为</w:t>
      </w:r>
      <w:r>
        <w:rPr>
          <w:rFonts w:ascii="SimSun" w:hAnsi="SimSun" w:eastAsia="SimSun" w:cs="SimSun"/>
          <w:color w:val="000000"/>
          <w:sz w:val="22"/>
          <w:u w:val="single"/>
        </w:rPr>
        <w:t xml:space="preserve">（企业名称）</w:t>
      </w:r>
      <w:r>
        <w:rPr>
          <w:rFonts w:ascii="SimSun" w:hAnsi="SimSun" w:eastAsia="SimSun" w:cs="SimSun"/>
          <w:color w:val="000000"/>
          <w:sz w:val="22"/>
        </w:rPr>
        <w:t xml:space="preserve">， 从业人员人， 营业收入为万元，资产总额为万元，属于</w:t>
      </w:r>
      <w:r>
        <w:rPr>
          <w:rFonts w:ascii="SimSun" w:hAnsi="SimSun" w:eastAsia="SimSun" w:cs="SimSun"/>
          <w:color w:val="000000"/>
          <w:sz w:val="22"/>
          <w:u w:val="single"/>
        </w:rPr>
        <w:t xml:space="preserve">（中型企业、 小型企业、 微型企业）</w:t>
      </w:r>
      <w:r>
        <w:rPr>
          <w:rFonts w:ascii="SimSun" w:hAnsi="SimSun" w:eastAsia="SimSun" w:cs="SimSun"/>
          <w:color w:val="000000"/>
          <w:sz w:val="22"/>
        </w:rPr>
        <w:t xml:space="preserve">；</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br/>
        <w:t xml:space="preserve">     以上企业， 不属于大企业的分支机构， 不存在控股股东为大企业的情形， 也不存在与大企业的负责人为同一人的情形。</w:t>
        <w:br/>
        <w:t xml:space="preserve">     本企业对上述声明内容的真实性负责。 如有虚假， 将依法承担相应责任。</w:t>
        <w:br/>
      </w:r>
      <w:r>
        <w:rPr>
          <w:rFonts w:ascii="SimSun" w:hAnsi="SimSun" w:eastAsia="SimSun" w:cs="SimSun"/>
          <w:color w:val="000000"/>
          <w:sz w:val="24"/>
        </w:rPr>
        <w:t xml:space="preserve"> </w:t>
      </w:r>
      <w:r>
        <w:rPr>
          <w:rFonts w:ascii="SimSun" w:hAnsi="SimSun" w:eastAsia="SimSun" w:cs="SimSun"/>
          <w:color w:val="000000"/>
          <w:sz w:val="22"/>
        </w:rPr>
        <w:t xml:space="preserve">    注：1、从业人员、 营业收入、 资产总额填报上一年度数据， 无上一年度数据的新成立企业可不填报。</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在货物采购项目中，供应商提供的货物既有中小企业制造货物，也有大型企业制造货物的，不享受本项目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0" w:right="0" w:firstLine="42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供应商名称（盖章）：</w:t>
      </w:r>
      <w:r/>
    </w:p>
    <w:p>
      <w:pPr>
        <w:ind w:left="0" w:right="840" w:firstLine="4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rPr>
          <w:rFonts w:ascii="SimSun" w:hAnsi="SimSun" w:eastAsia="SimSun" w:cs="SimSun"/>
          <w:color w:val="000000"/>
          <w:sz w:val="22"/>
        </w:rPr>
        <w:t xml:space="preserve">日期：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本单位郑重声明，根据《财政部民政部中国残疾人联合会关于促进残疾人就业政府采购政策的通知》（（财库〔</w:t>
      </w:r>
      <w:r>
        <w:rPr>
          <w:rFonts w:ascii="SimSun" w:hAnsi="SimSun" w:eastAsia="SimSun" w:cs="SimSun"/>
          <w:color w:val="000000"/>
          <w:sz w:val="22"/>
          <w:u w:val="single"/>
        </w:rPr>
        <w:t xml:space="preserve">2017</w:t>
      </w:r>
      <w:r>
        <w:rPr>
          <w:rFonts w:ascii="SimSun" w:hAnsi="SimSun" w:eastAsia="SimSun" w:cs="SimSun"/>
          <w:color w:val="000000"/>
          <w:sz w:val="22"/>
        </w:rPr>
        <w:t xml:space="preserve">〕</w:t>
      </w:r>
      <w:r>
        <w:rPr>
          <w:rFonts w:ascii="SimSun" w:hAnsi="SimSun" w:eastAsia="SimSun" w:cs="SimSun"/>
          <w:color w:val="000000"/>
          <w:sz w:val="22"/>
          <w:u w:val="single"/>
        </w:rPr>
        <w:t xml:space="preserve">141</w:t>
      </w:r>
      <w:r>
        <w:rPr>
          <w:rFonts w:ascii="SimSun" w:hAnsi="SimSun" w:eastAsia="SimSun" w:cs="SimSun"/>
          <w:color w:val="000000"/>
          <w:sz w:val="22"/>
        </w:rPr>
        <w:t xml:space="preserve">号））的规定，本单位为</w:t>
      </w:r>
      <w:r>
        <w:rPr>
          <w:rFonts w:ascii="SimSun" w:hAnsi="SimSun" w:eastAsia="SimSun" w:cs="SimSun"/>
          <w:color w:val="000000"/>
          <w:sz w:val="22"/>
          <w:u w:val="single"/>
        </w:rPr>
        <w:t xml:space="preserve">（符合不符合）</w:t>
      </w:r>
      <w:r>
        <w:rPr>
          <w:rFonts w:ascii="SimSun" w:hAnsi="SimSun" w:eastAsia="SimSun" w:cs="SimSun"/>
          <w:color w:val="000000"/>
          <w:sz w:val="22"/>
        </w:rPr>
        <w:t xml:space="preserve">条件的残疾人福利性单位，且本单位参加</w:t>
      </w:r>
      <w:r>
        <w:rPr>
          <w:rFonts w:ascii="SimSun" w:hAnsi="SimSun" w:eastAsia="SimSun" w:cs="SimSun"/>
          <w:color w:val="000000"/>
          <w:sz w:val="22"/>
          <w:u w:val="single"/>
        </w:rPr>
        <w:t xml:space="preserve"></w:t>
      </w:r>
      <w:r>
        <w:rPr>
          <w:rFonts w:ascii="SimSun" w:hAnsi="SimSun" w:eastAsia="SimSun" w:cs="SimSun"/>
          <w:color w:val="000000"/>
          <w:sz w:val="22"/>
        </w:rPr>
        <w:t xml:space="preserve">单位的</w:t>
      </w:r>
      <w:r>
        <w:rPr>
          <w:rFonts w:ascii="SimSun" w:hAnsi="SimSun" w:eastAsia="SimSun" w:cs="SimSun"/>
          <w:color w:val="000000"/>
          <w:sz w:val="22"/>
          <w:u w:val="single"/>
        </w:rPr>
        <w:t xml:space="preserve"></w:t>
      </w:r>
      <w:r>
        <w:rPr>
          <w:rFonts w:ascii="SimSun" w:hAnsi="SimSun" w:eastAsia="SimSun" w:cs="SimSun"/>
          <w:color w:val="000000"/>
          <w:sz w:val="22"/>
        </w:rPr>
        <w:t xml:space="preserve">项目采购活动提供本单位制造的货物（由本单位承担工程提供服务），或者提供其他残疾人福利性单位制造的货物（不包括使用非残疾人福利性单位注册商标的货物）。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本单位对上述声明的真实性负责。如有虚假，将依法承担相应责任。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供应商名称（盖章）：</w:t>
      </w:r>
      <w:r/>
    </w:p>
    <w:p>
      <w:pPr>
        <w:ind w:left="0" w:right="420" w:firstLine="74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属于监狱企业的证明文件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供应商名称（盖章）：</w:t>
      </w:r>
      <w:r/>
    </w:p>
    <w:p>
      <w:pPr>
        <w:ind w:left="0" w:right="420" w:firstLine="74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节能产品认证文件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（提供产品在《节能产品政府采购清单》中相应的页面）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供应商名称（盖章）：</w:t>
      </w:r>
      <w:r/>
    </w:p>
    <w:p>
      <w:pPr>
        <w:ind w:left="0" w:right="420" w:firstLine="74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环境标志产品认证文件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（提供产品在《环境标志产品政府采购清单》中相应的页面）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供应商名称（盖章）：</w:t>
      </w:r>
      <w:r/>
    </w:p>
    <w:p>
      <w:pPr>
        <w:ind w:left="0" w:right="420" w:firstLine="74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进口产品转让技术、消化吸收再创新方案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（对于允许进口产品参加的项目）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供应商名称（盖章）：</w:t>
      </w:r>
      <w:r/>
    </w:p>
    <w:p>
      <w:pPr>
        <w:ind w:left="0" w:right="420" w:firstLine="74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附件十一、具有良好的商业信誉和健全的财务会计制度声明格式：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投标人具有良好的商业信誉和健全的财务会计制度声明</w:t>
      </w:r>
      <w:r/>
    </w:p>
    <w:p>
      <w:pPr>
        <w:ind w:left="0" w:right="0" w:firstLine="9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 （供应商名称）郑重声明：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我单位具有履行</w:t>
      </w:r>
      <w:r>
        <w:rPr>
          <w:rFonts w:ascii="SimSun" w:hAnsi="SimSun" w:eastAsia="SimSun" w:cs="SimSun"/>
          <w:b/>
          <w:color w:val="000000"/>
          <w:sz w:val="22"/>
          <w:u w:val="single"/>
        </w:rPr>
        <w:t xml:space="preserve">（项目编号：）</w:t>
      </w:r>
      <w:r>
        <w:rPr>
          <w:rFonts w:ascii="SimSun" w:hAnsi="SimSun" w:eastAsia="SimSun" w:cs="SimSun"/>
          <w:color w:val="000000"/>
          <w:sz w:val="22"/>
        </w:rPr>
        <w:t xml:space="preserve">合同所必需的良好的商业信誉和健全的财务会计制度。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2"/>
        </w:rPr>
        <w:t xml:space="preserve">声 明 单 位（公章）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2"/>
        </w:rPr>
        <w:t xml:space="preserve">法定代表人（签字或盖章）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2"/>
        </w:rPr>
        <w:t xml:space="preserve">日期：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附件十二</w:t>
      </w:r>
      <w:r>
        <w:rPr>
          <w:rFonts w:ascii="SimSun" w:hAnsi="SimSun" w:eastAsia="SimSun" w:cs="SimSun"/>
          <w:color w:val="000000"/>
          <w:sz w:val="22"/>
        </w:rPr>
        <w:t xml:space="preserve">、</w:t>
      </w:r>
      <w:r>
        <w:rPr>
          <w:rFonts w:ascii="SimSun" w:hAnsi="SimSun" w:eastAsia="SimSun" w:cs="SimSun"/>
          <w:b/>
          <w:color w:val="000000"/>
          <w:sz w:val="22"/>
        </w:rPr>
        <w:t xml:space="preserve">具有履行合同所必需的设备或专业技术能力声明格式：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投标人具有履行合同所必需的设备或专业技术能力声明</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 （供应商名称）郑重声明：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我单位具有履行</w:t>
      </w:r>
      <w:r>
        <w:rPr>
          <w:rFonts w:ascii="SimSun" w:hAnsi="SimSun" w:eastAsia="SimSun" w:cs="SimSun"/>
          <w:b/>
          <w:color w:val="000000"/>
          <w:sz w:val="22"/>
          <w:u w:val="single"/>
        </w:rPr>
        <w:t xml:space="preserve">（项目编号：）</w:t>
      </w:r>
      <w:r>
        <w:rPr>
          <w:rFonts w:ascii="SimSun" w:hAnsi="SimSun" w:eastAsia="SimSun" w:cs="SimSun"/>
          <w:color w:val="000000"/>
          <w:sz w:val="22"/>
        </w:rPr>
        <w:t xml:space="preserve">合同所必需的设备（具体设备明细见下表）或专业技术能力。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2"/>
        </w:rPr>
        <w:t xml:space="preserve">声 明 单 位（公章）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2"/>
        </w:rPr>
        <w:t xml:space="preserve">法定代表人（签字或盖章）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2"/>
        </w:rPr>
        <w:t xml:space="preserve">代理人（签字或盖章）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2"/>
        </w:rPr>
        <w:t xml:space="preserve">日期：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2"/>
        </w:rPr>
        <w:t xml:space="preserve">具体设备明细表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086"/>
        <w:gridCol w:w="3087"/>
        <w:gridCol w:w="308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86"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87"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名称及型号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87"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86"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7"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7"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86"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7"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7"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86"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7"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7"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86"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7"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7"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说明：如果行数不够，请自行增加。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附件十三、无重大违法记录声明格式</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无重大违法记录声明</w:t>
      </w:r>
      <w:r/>
    </w:p>
    <w:p>
      <w:pPr>
        <w:ind w:left="0" w:right="0" w:firstLine="11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我单位（供应商名称）郑重声明：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参加政府采购活动前3年内在经营活动中（在下划线上如实填写：有或没有）重大违法记录。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2"/>
        </w:rPr>
        <w:t xml:space="preserve">声 明 单 位（公章）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2"/>
        </w:rPr>
        <w:t xml:space="preserve">法定代表人（签字或盖章）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2"/>
        </w:rPr>
        <w:t xml:space="preserve">日期：</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1470" w:right="1470" w:firstLine="0"/>
        <w:jc w:val="both"/>
        <w:spacing w:before="0" w:after="12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附件十四、南京市政府采购供应商信用记录表暨信用承诺书</w:t>
      </w:r>
      <w:r/>
    </w:p>
    <w:p>
      <w:pPr>
        <w:ind w:left="751" w:right="671" w:firstLine="0"/>
        <w:jc w:val="center"/>
        <w:spacing w:before="179"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南京市政府采购供应商信用记录表暨信用承诺书</w:t>
      </w:r>
      <w:r/>
    </w:p>
    <w:p>
      <w:pPr>
        <w:ind w:left="516" w:right="0" w:firstLine="0"/>
        <w:jc w:val="both"/>
        <w:spacing w:before="21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（仅为示范格式，直接填写无效，需至“南京政府采购供应商诚信档案管理系统”在线打印）</w:t>
      </w:r>
      <w:r/>
    </w:p>
    <w:p>
      <w:pPr>
        <w:ind w:left="7172" w:right="0" w:firstLine="0"/>
        <w:jc w:val="both"/>
        <w:spacing w:before="140" w:after="0"/>
        <w:tabs>
          <w:tab w:val="left" w:pos="7651" w:leader="none"/>
          <w:tab w:val="left" w:pos="8131" w:leader="none"/>
          <w:tab w:val="left" w:pos="86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tab/>
        <w:t xml:space="preserve">年</w:t>
        <w:tab/>
        <w:t xml:space="preserve">月</w:t>
        <w:tab/>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3"/>
        <w:gridCol w:w="2052"/>
        <w:gridCol w:w="2298"/>
        <w:gridCol w:w="2125"/>
      </w:tblGrid>
      <w:tr>
        <w:trPr>
          <w:trHeight w:val="49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33" w:type="dxa"/>
            <w:vAlign w:val="top"/>
            <w:textDirection w:val="lrTb"/>
            <w:noWrap/>
          </w:tcPr>
          <w:p>
            <w:pPr>
              <w:ind w:left="453" w:right="423" w:firstLine="0"/>
              <w:jc w:val="center"/>
              <w:spacing w:before="82"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52"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298" w:type="dxa"/>
            <w:vAlign w:val="top"/>
            <w:textDirection w:val="lrTb"/>
            <w:noWrap/>
          </w:tcPr>
          <w:p>
            <w:pPr>
              <w:ind w:left="177" w:right="143" w:firstLine="0"/>
              <w:jc w:val="center"/>
              <w:spacing w:before="82"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统一社会信用代码</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2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9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top"/>
            <w:textDirection w:val="lrTb"/>
            <w:noWrap/>
          </w:tcPr>
          <w:p>
            <w:pPr>
              <w:ind w:left="455" w:right="423" w:firstLine="0"/>
              <w:jc w:val="center"/>
              <w:spacing w:before="83"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52"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98" w:type="dxa"/>
            <w:vAlign w:val="top"/>
            <w:textDirection w:val="lrTb"/>
            <w:noWrap/>
          </w:tcPr>
          <w:p>
            <w:pPr>
              <w:ind w:left="172" w:right="143" w:firstLine="0"/>
              <w:jc w:val="center"/>
              <w:spacing w:before="83"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2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9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top"/>
            <w:textDirection w:val="lrTb"/>
            <w:noWrap/>
          </w:tcPr>
          <w:p>
            <w:pPr>
              <w:ind w:left="453" w:right="423" w:firstLine="0"/>
              <w:jc w:val="center"/>
              <w:spacing w:before="8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联系地址</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52"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98" w:type="dxa"/>
            <w:vAlign w:val="top"/>
            <w:textDirection w:val="lrTb"/>
            <w:noWrap/>
          </w:tcPr>
          <w:p>
            <w:pPr>
              <w:ind w:left="172" w:right="143" w:firstLine="0"/>
              <w:jc w:val="center"/>
              <w:spacing w:before="8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2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56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955" w:right="200" w:hanging="720"/>
              <w:jc w:val="both"/>
              <w:spacing w:before="0" w:after="0" w:line="4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诚信档案记录情况</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7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18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453" w:right="423" w:firstLine="0"/>
              <w:jc w:val="center"/>
              <w:spacing w:before="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信用承诺</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7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8" w:right="208" w:firstLine="475"/>
              <w:jc w:val="both"/>
              <w:spacing w:before="179" w:after="0" w:line="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公司自愿参加贵中心（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w:t>
            </w:r>
            <w:r>
              <w:rPr>
                <w:rFonts w:ascii="SimSun" w:hAnsi="SimSun" w:eastAsia="SimSun" w:cs="SimSun"/>
                <w:color w:val="000000"/>
                <w:sz w:val="22"/>
              </w:rPr>
              <w:t xml:space="preserve">他违法违规行为，愿承担一切法律责任，接受各级政府采购监管部门和有权机关的审查和处罚。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1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2587" w:right="1475" w:firstLine="0"/>
              <w:jc w:val="both"/>
              <w:spacing w:before="1" w:after="0" w:line="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供应商名称（盖章）：</w:t>
            </w:r>
            <w:r/>
          </w:p>
          <w:p>
            <w:pPr>
              <w:ind w:left="2587" w:right="1475" w:firstLine="0"/>
              <w:jc w:val="both"/>
              <w:spacing w:before="1" w:after="0" w:line="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法定代表人（签字）：</w:t>
            </w:r>
            <w:r/>
          </w:p>
          <w:p>
            <w:pPr>
              <w:ind w:left="2587" w:right="1475" w:firstLine="0"/>
              <w:jc w:val="both"/>
              <w:spacing w:before="1" w:after="0" w:line="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二〇 年 月 日</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附件十四、承诺书</w:t>
      </w:r>
      <w:r/>
    </w:p>
    <w:p>
      <w:pPr>
        <w:ind w:left="751" w:right="671" w:firstLine="0"/>
        <w:jc w:val="center"/>
        <w:spacing w:before="179"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承诺书（格式自拟）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US"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name w:val="Heading 1"/>
    <w:basedOn w:val="812"/>
    <w:next w:val="812"/>
    <w:link w:val="637"/>
    <w:uiPriority w:val="9"/>
    <w:qFormat/>
    <w:pPr>
      <w:keepLines/>
      <w:keepNext/>
      <w:spacing w:before="480" w:after="200"/>
      <w:outlineLvl w:val="0"/>
    </w:pPr>
    <w:rPr>
      <w:rFonts w:ascii="Arial" w:hAnsi="Arial" w:eastAsia="Arial" w:cs="Arial"/>
      <w:sz w:val="40"/>
      <w:szCs w:val="40"/>
    </w:rPr>
  </w:style>
  <w:style w:type="character" w:styleId="637">
    <w:name w:val="Heading 1 Char"/>
    <w:link w:val="636"/>
    <w:uiPriority w:val="9"/>
    <w:rPr>
      <w:rFonts w:ascii="Arial" w:hAnsi="Arial" w:eastAsia="Arial" w:cs="Arial"/>
      <w:sz w:val="40"/>
      <w:szCs w:val="40"/>
    </w:rPr>
  </w:style>
  <w:style w:type="paragraph" w:styleId="638">
    <w:name w:val="Heading 2"/>
    <w:basedOn w:val="812"/>
    <w:next w:val="812"/>
    <w:link w:val="639"/>
    <w:uiPriority w:val="9"/>
    <w:unhideWhenUsed/>
    <w:qFormat/>
    <w:pPr>
      <w:keepLines/>
      <w:keepNext/>
      <w:spacing w:before="360" w:after="200"/>
      <w:outlineLvl w:val="1"/>
    </w:pPr>
    <w:rPr>
      <w:rFonts w:ascii="Arial" w:hAnsi="Arial" w:eastAsia="Arial" w:cs="Arial"/>
      <w:sz w:val="34"/>
    </w:rPr>
  </w:style>
  <w:style w:type="character" w:styleId="639">
    <w:name w:val="Heading 2 Char"/>
    <w:link w:val="638"/>
    <w:uiPriority w:val="9"/>
    <w:rPr>
      <w:rFonts w:ascii="Arial" w:hAnsi="Arial" w:eastAsia="Arial" w:cs="Arial"/>
      <w:sz w:val="34"/>
    </w:rPr>
  </w:style>
  <w:style w:type="paragraph" w:styleId="640">
    <w:name w:val="Heading 3"/>
    <w:basedOn w:val="812"/>
    <w:next w:val="812"/>
    <w:link w:val="641"/>
    <w:uiPriority w:val="9"/>
    <w:unhideWhenUsed/>
    <w:qFormat/>
    <w:pPr>
      <w:keepLines/>
      <w:keepNext/>
      <w:spacing w:before="320" w:after="200"/>
      <w:outlineLvl w:val="2"/>
    </w:pPr>
    <w:rPr>
      <w:rFonts w:ascii="Arial" w:hAnsi="Arial" w:eastAsia="Arial" w:cs="Arial"/>
      <w:sz w:val="30"/>
      <w:szCs w:val="30"/>
    </w:rPr>
  </w:style>
  <w:style w:type="character" w:styleId="641">
    <w:name w:val="Heading 3 Char"/>
    <w:link w:val="640"/>
    <w:uiPriority w:val="9"/>
    <w:rPr>
      <w:rFonts w:ascii="Arial" w:hAnsi="Arial" w:eastAsia="Arial" w:cs="Arial"/>
      <w:sz w:val="30"/>
      <w:szCs w:val="30"/>
    </w:rPr>
  </w:style>
  <w:style w:type="paragraph" w:styleId="642">
    <w:name w:val="Heading 4"/>
    <w:basedOn w:val="812"/>
    <w:next w:val="812"/>
    <w:link w:val="643"/>
    <w:uiPriority w:val="9"/>
    <w:unhideWhenUsed/>
    <w:qFormat/>
    <w:pPr>
      <w:keepLines/>
      <w:keepNext/>
      <w:spacing w:before="320" w:after="200"/>
      <w:outlineLvl w:val="3"/>
    </w:pPr>
    <w:rPr>
      <w:rFonts w:ascii="Arial" w:hAnsi="Arial" w:eastAsia="Arial" w:cs="Arial"/>
      <w:b/>
      <w:bCs/>
      <w:sz w:val="26"/>
      <w:szCs w:val="26"/>
    </w:rPr>
  </w:style>
  <w:style w:type="character" w:styleId="643">
    <w:name w:val="Heading 4 Char"/>
    <w:link w:val="642"/>
    <w:uiPriority w:val="9"/>
    <w:rPr>
      <w:rFonts w:ascii="Arial" w:hAnsi="Arial" w:eastAsia="Arial" w:cs="Arial"/>
      <w:b/>
      <w:bCs/>
      <w:sz w:val="26"/>
      <w:szCs w:val="26"/>
    </w:rPr>
  </w:style>
  <w:style w:type="paragraph" w:styleId="644">
    <w:name w:val="Heading 5"/>
    <w:basedOn w:val="812"/>
    <w:next w:val="812"/>
    <w:link w:val="645"/>
    <w:uiPriority w:val="9"/>
    <w:unhideWhenUsed/>
    <w:qFormat/>
    <w:pPr>
      <w:keepLines/>
      <w:keepNext/>
      <w:spacing w:before="320" w:after="200"/>
      <w:outlineLvl w:val="4"/>
    </w:pPr>
    <w:rPr>
      <w:rFonts w:ascii="Arial" w:hAnsi="Arial" w:eastAsia="Arial" w:cs="Arial"/>
      <w:b/>
      <w:bCs/>
      <w:sz w:val="24"/>
      <w:szCs w:val="24"/>
    </w:rPr>
  </w:style>
  <w:style w:type="character" w:styleId="645">
    <w:name w:val="Heading 5 Char"/>
    <w:link w:val="644"/>
    <w:uiPriority w:val="9"/>
    <w:rPr>
      <w:rFonts w:ascii="Arial" w:hAnsi="Arial" w:eastAsia="Arial" w:cs="Arial"/>
      <w:b/>
      <w:bCs/>
      <w:sz w:val="24"/>
      <w:szCs w:val="24"/>
    </w:rPr>
  </w:style>
  <w:style w:type="paragraph" w:styleId="646">
    <w:name w:val="Heading 6"/>
    <w:basedOn w:val="812"/>
    <w:next w:val="812"/>
    <w:link w:val="647"/>
    <w:uiPriority w:val="9"/>
    <w:unhideWhenUsed/>
    <w:qFormat/>
    <w:pPr>
      <w:keepLines/>
      <w:keepNext/>
      <w:spacing w:before="320" w:after="200"/>
      <w:outlineLvl w:val="5"/>
    </w:pPr>
    <w:rPr>
      <w:rFonts w:ascii="Arial" w:hAnsi="Arial" w:eastAsia="Arial" w:cs="Arial"/>
      <w:b/>
      <w:bCs/>
      <w:sz w:val="22"/>
      <w:szCs w:val="22"/>
    </w:rPr>
  </w:style>
  <w:style w:type="character" w:styleId="647">
    <w:name w:val="Heading 6 Char"/>
    <w:link w:val="646"/>
    <w:uiPriority w:val="9"/>
    <w:rPr>
      <w:rFonts w:ascii="Arial" w:hAnsi="Arial" w:eastAsia="Arial" w:cs="Arial"/>
      <w:b/>
      <w:bCs/>
      <w:sz w:val="22"/>
      <w:szCs w:val="22"/>
    </w:rPr>
  </w:style>
  <w:style w:type="paragraph" w:styleId="648">
    <w:name w:val="Heading 7"/>
    <w:basedOn w:val="812"/>
    <w:next w:val="812"/>
    <w:link w:val="649"/>
    <w:uiPriority w:val="9"/>
    <w:unhideWhenUsed/>
    <w:qFormat/>
    <w:pPr>
      <w:keepLines/>
      <w:keepNext/>
      <w:spacing w:before="320" w:after="200"/>
      <w:outlineLvl w:val="6"/>
    </w:pPr>
    <w:rPr>
      <w:rFonts w:ascii="Arial" w:hAnsi="Arial" w:eastAsia="Arial" w:cs="Arial"/>
      <w:b/>
      <w:bCs/>
      <w:i/>
      <w:iCs/>
      <w:sz w:val="22"/>
      <w:szCs w:val="22"/>
    </w:rPr>
  </w:style>
  <w:style w:type="character" w:styleId="649">
    <w:name w:val="Heading 7 Char"/>
    <w:link w:val="648"/>
    <w:uiPriority w:val="9"/>
    <w:rPr>
      <w:rFonts w:ascii="Arial" w:hAnsi="Arial" w:eastAsia="Arial" w:cs="Arial"/>
      <w:b/>
      <w:bCs/>
      <w:i/>
      <w:iCs/>
      <w:sz w:val="22"/>
      <w:szCs w:val="22"/>
    </w:rPr>
  </w:style>
  <w:style w:type="paragraph" w:styleId="650">
    <w:name w:val="Heading 8"/>
    <w:basedOn w:val="812"/>
    <w:next w:val="812"/>
    <w:link w:val="651"/>
    <w:uiPriority w:val="9"/>
    <w:unhideWhenUsed/>
    <w:qFormat/>
    <w:pPr>
      <w:keepLines/>
      <w:keepNext/>
      <w:spacing w:before="320" w:after="200"/>
      <w:outlineLvl w:val="7"/>
    </w:pPr>
    <w:rPr>
      <w:rFonts w:ascii="Arial" w:hAnsi="Arial" w:eastAsia="Arial" w:cs="Arial"/>
      <w:i/>
      <w:iCs/>
      <w:sz w:val="22"/>
      <w:szCs w:val="22"/>
    </w:rPr>
  </w:style>
  <w:style w:type="character" w:styleId="651">
    <w:name w:val="Heading 8 Char"/>
    <w:link w:val="650"/>
    <w:uiPriority w:val="9"/>
    <w:rPr>
      <w:rFonts w:ascii="Arial" w:hAnsi="Arial" w:eastAsia="Arial" w:cs="Arial"/>
      <w:i/>
      <w:iCs/>
      <w:sz w:val="22"/>
      <w:szCs w:val="22"/>
    </w:rPr>
  </w:style>
  <w:style w:type="paragraph" w:styleId="652">
    <w:name w:val="Heading 9"/>
    <w:basedOn w:val="812"/>
    <w:next w:val="812"/>
    <w:link w:val="653"/>
    <w:uiPriority w:val="9"/>
    <w:unhideWhenUsed/>
    <w:qFormat/>
    <w:pPr>
      <w:keepLines/>
      <w:keepNext/>
      <w:spacing w:before="320" w:after="200"/>
      <w:outlineLvl w:val="8"/>
    </w:pPr>
    <w:rPr>
      <w:rFonts w:ascii="Arial" w:hAnsi="Arial" w:eastAsia="Arial" w:cs="Arial"/>
      <w:i/>
      <w:iCs/>
      <w:sz w:val="21"/>
      <w:szCs w:val="21"/>
    </w:rPr>
  </w:style>
  <w:style w:type="character" w:styleId="653">
    <w:name w:val="Heading 9 Char"/>
    <w:link w:val="652"/>
    <w:uiPriority w:val="9"/>
    <w:rPr>
      <w:rFonts w:ascii="Arial" w:hAnsi="Arial" w:eastAsia="Arial" w:cs="Arial"/>
      <w:i/>
      <w:iCs/>
      <w:sz w:val="21"/>
      <w:szCs w:val="21"/>
    </w:rPr>
  </w:style>
  <w:style w:type="paragraph" w:styleId="654">
    <w:name w:val="Title"/>
    <w:basedOn w:val="812"/>
    <w:next w:val="812"/>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basedOn w:val="812"/>
    <w:next w:val="812"/>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basedOn w:val="812"/>
    <w:next w:val="812"/>
    <w:link w:val="659"/>
    <w:uiPriority w:val="29"/>
    <w:qFormat/>
    <w:pPr>
      <w:ind w:left="720" w:right="720"/>
    </w:pPr>
    <w:rPr>
      <w:i/>
    </w:rPr>
  </w:style>
  <w:style w:type="character" w:styleId="659">
    <w:name w:val="Quote Char"/>
    <w:link w:val="658"/>
    <w:uiPriority w:val="29"/>
    <w:rPr>
      <w:i/>
    </w:rPr>
  </w:style>
  <w:style w:type="paragraph" w:styleId="660">
    <w:name w:val="Intense Quote"/>
    <w:basedOn w:val="812"/>
    <w:next w:val="812"/>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basedOn w:val="812"/>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basedOn w:val="812"/>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basedOn w:val="812"/>
    <w:next w:val="812"/>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basedOn w:val="81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basedOn w:val="8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basedOn w:val="8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basedOn w:val="8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basedOn w:val="8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basedOn w:val="8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basedOn w:val="8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basedOn w:val="8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basedOn w:val="8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basedOn w:val="8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basedOn w:val="8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basedOn w:val="8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basedOn w:val="8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basedOn w:val="8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basedOn w:val="8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basedOn w:val="8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basedOn w:val="8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basedOn w:val="8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basedOn w:val="8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basedOn w:val="8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basedOn w:val="8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basedOn w:val="8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basedOn w:val="8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basedOn w:val="8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basedOn w:val="8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basedOn w:val="8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basedOn w:val="81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basedOn w:val="81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basedOn w:val="81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basedOn w:val="81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basedOn w:val="81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basedOn w:val="81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05">
    <w:name w:val="Grid Table 5 Dark - Accent 2"/>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06">
    <w:name w:val="Grid Table 5 Dark - Accent 3"/>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07">
    <w:name w:val="Grid Table 5 Dark- Accent 4"/>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08">
    <w:name w:val="Grid Table 5 Dark - Accent 5"/>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09">
    <w:name w:val="Grid Table 5 Dark - Accent 6"/>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10">
    <w:name w:val="Grid Table 6 Colorful"/>
    <w:basedOn w:val="8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basedOn w:val="81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basedOn w:val="8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basedOn w:val="81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basedOn w:val="8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basedOn w:val="81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6">
    <w:name w:val="Grid Table 6 Colorful - Accent 6"/>
    <w:basedOn w:val="81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7">
    <w:name w:val="Grid Table 7 Colorful"/>
    <w:basedOn w:val="8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basedOn w:val="81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basedOn w:val="81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basedOn w:val="81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basedOn w:val="81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basedOn w:val="81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basedOn w:val="81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basedOn w:val="8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basedOn w:val="81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basedOn w:val="81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basedOn w:val="81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basedOn w:val="81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basedOn w:val="81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basedOn w:val="81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basedOn w:val="8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basedOn w:val="81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basedOn w:val="81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basedOn w:val="81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basedOn w:val="81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basedOn w:val="81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basedOn w:val="81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basedOn w:val="8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basedOn w:val="81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40">
    <w:name w:val="List Table 3 - Accent 2"/>
    <w:basedOn w:val="8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41">
    <w:name w:val="List Table 3 - Accent 3"/>
    <w:basedOn w:val="81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42">
    <w:name w:val="List Table 3 - Accent 4"/>
    <w:basedOn w:val="8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43">
    <w:name w:val="List Table 3 - Accent 5"/>
    <w:basedOn w:val="81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44">
    <w:name w:val="List Table 3 - Accent 6"/>
    <w:basedOn w:val="81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45">
    <w:name w:val="List Table 4"/>
    <w:basedOn w:val="8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basedOn w:val="81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47">
    <w:name w:val="List Table 4 - Accent 2"/>
    <w:basedOn w:val="81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48">
    <w:name w:val="List Table 4 - Accent 3"/>
    <w:basedOn w:val="81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49">
    <w:name w:val="List Table 4 - Accent 4"/>
    <w:basedOn w:val="81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50">
    <w:name w:val="List Table 4 - Accent 5"/>
    <w:basedOn w:val="81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51">
    <w:name w:val="List Table 4 - Accent 6"/>
    <w:basedOn w:val="81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52">
    <w:name w:val="List Table 5 Dark"/>
    <w:basedOn w:val="8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basedOn w:val="81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basedOn w:val="81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basedOn w:val="81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basedOn w:val="81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basedOn w:val="81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basedOn w:val="81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basedOn w:val="8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basedOn w:val="81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61">
    <w:name w:val="List Table 6 Colorful - Accent 2"/>
    <w:basedOn w:val="81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62">
    <w:name w:val="List Table 6 Colorful - Accent 3"/>
    <w:basedOn w:val="81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63">
    <w:name w:val="List Table 6 Colorful - Accent 4"/>
    <w:basedOn w:val="81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64">
    <w:name w:val="List Table 6 Colorful - Accent 5"/>
    <w:basedOn w:val="81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65">
    <w:name w:val="List Table 6 Colorful - Accent 6"/>
    <w:basedOn w:val="81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66">
    <w:name w:val="List Table 7 Colorful"/>
    <w:basedOn w:val="8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basedOn w:val="81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68">
    <w:name w:val="List Table 7 Colorful - Accent 2"/>
    <w:basedOn w:val="81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69">
    <w:name w:val="List Table 7 Colorful - Accent 3"/>
    <w:basedOn w:val="81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70">
    <w:name w:val="List Table 7 Colorful - Accent 4"/>
    <w:basedOn w:val="81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71">
    <w:name w:val="List Table 7 Colorful - Accent 5"/>
    <w:basedOn w:val="81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72">
    <w:name w:val="List Table 7 Colorful - Accent 6"/>
    <w:basedOn w:val="81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73">
    <w:name w:val="Lined - Accent"/>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75">
    <w:name w:val="Lined - Accent 2"/>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76">
    <w:name w:val="Lined - Accent 3"/>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77">
    <w:name w:val="Lined - Accent 4"/>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78">
    <w:name w:val="Lined - Accent 5"/>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79">
    <w:name w:val="Lined - Accent 6"/>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0">
    <w:name w:val="Bordered &amp; Lined - Accent"/>
    <w:basedOn w:val="81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basedOn w:val="81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2">
    <w:name w:val="Bordered &amp; Lined - Accent 2"/>
    <w:basedOn w:val="81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3">
    <w:name w:val="Bordered &amp; Lined - Accent 3"/>
    <w:basedOn w:val="81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4">
    <w:name w:val="Bordered &amp; Lined - Accent 4"/>
    <w:basedOn w:val="81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5">
    <w:name w:val="Bordered &amp; Lined - Accent 5"/>
    <w:basedOn w:val="81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6">
    <w:name w:val="Bordered &amp; Lined - Accent 6"/>
    <w:basedOn w:val="81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7">
    <w:name w:val="Bordered"/>
    <w:basedOn w:val="81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basedOn w:val="8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basedOn w:val="8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basedOn w:val="8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basedOn w:val="8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basedOn w:val="8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basedOn w:val="8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basedOn w:val="812"/>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basedOn w:val="812"/>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basedOn w:val="812"/>
    <w:next w:val="812"/>
    <w:uiPriority w:val="39"/>
    <w:unhideWhenUsed/>
    <w:pPr>
      <w:ind w:left="0" w:right="0" w:firstLine="0"/>
      <w:spacing w:after="57"/>
    </w:pPr>
  </w:style>
  <w:style w:type="paragraph" w:styleId="802">
    <w:name w:val="toc 2"/>
    <w:basedOn w:val="812"/>
    <w:next w:val="812"/>
    <w:uiPriority w:val="39"/>
    <w:unhideWhenUsed/>
    <w:pPr>
      <w:ind w:left="283" w:right="0" w:firstLine="0"/>
      <w:spacing w:after="57"/>
    </w:pPr>
  </w:style>
  <w:style w:type="paragraph" w:styleId="803">
    <w:name w:val="toc 3"/>
    <w:basedOn w:val="812"/>
    <w:next w:val="812"/>
    <w:uiPriority w:val="39"/>
    <w:unhideWhenUsed/>
    <w:pPr>
      <w:ind w:left="567" w:right="0" w:firstLine="0"/>
      <w:spacing w:after="57"/>
    </w:pPr>
  </w:style>
  <w:style w:type="paragraph" w:styleId="804">
    <w:name w:val="toc 4"/>
    <w:basedOn w:val="812"/>
    <w:next w:val="812"/>
    <w:uiPriority w:val="39"/>
    <w:unhideWhenUsed/>
    <w:pPr>
      <w:ind w:left="850" w:right="0" w:firstLine="0"/>
      <w:spacing w:after="57"/>
    </w:pPr>
  </w:style>
  <w:style w:type="paragraph" w:styleId="805">
    <w:name w:val="toc 5"/>
    <w:basedOn w:val="812"/>
    <w:next w:val="812"/>
    <w:uiPriority w:val="39"/>
    <w:unhideWhenUsed/>
    <w:pPr>
      <w:ind w:left="1134" w:right="0" w:firstLine="0"/>
      <w:spacing w:after="57"/>
    </w:pPr>
  </w:style>
  <w:style w:type="paragraph" w:styleId="806">
    <w:name w:val="toc 6"/>
    <w:basedOn w:val="812"/>
    <w:next w:val="812"/>
    <w:uiPriority w:val="39"/>
    <w:unhideWhenUsed/>
    <w:pPr>
      <w:ind w:left="1417" w:right="0" w:firstLine="0"/>
      <w:spacing w:after="57"/>
    </w:pPr>
  </w:style>
  <w:style w:type="paragraph" w:styleId="807">
    <w:name w:val="toc 7"/>
    <w:basedOn w:val="812"/>
    <w:next w:val="812"/>
    <w:uiPriority w:val="39"/>
    <w:unhideWhenUsed/>
    <w:pPr>
      <w:ind w:left="1701" w:right="0" w:firstLine="0"/>
      <w:spacing w:after="57"/>
    </w:pPr>
  </w:style>
  <w:style w:type="paragraph" w:styleId="808">
    <w:name w:val="toc 8"/>
    <w:basedOn w:val="812"/>
    <w:next w:val="812"/>
    <w:uiPriority w:val="39"/>
    <w:unhideWhenUsed/>
    <w:pPr>
      <w:ind w:left="1984" w:right="0" w:firstLine="0"/>
      <w:spacing w:after="57"/>
    </w:pPr>
  </w:style>
  <w:style w:type="paragraph" w:styleId="809">
    <w:name w:val="toc 9"/>
    <w:basedOn w:val="812"/>
    <w:next w:val="812"/>
    <w:uiPriority w:val="39"/>
    <w:unhideWhenUsed/>
    <w:pPr>
      <w:ind w:left="2268" w:right="0" w:firstLine="0"/>
      <w:spacing w:after="57"/>
    </w:pPr>
  </w:style>
  <w:style w:type="paragraph" w:styleId="810">
    <w:name w:val="TOC Heading"/>
    <w:uiPriority w:val="39"/>
    <w:unhideWhenUsed/>
  </w:style>
  <w:style w:type="paragraph" w:styleId="811">
    <w:name w:val="table of figures"/>
    <w:basedOn w:val="812"/>
    <w:next w:val="812"/>
    <w:uiPriority w:val="99"/>
    <w:unhideWhenUsed/>
    <w:pPr>
      <w:spacing w:after="0" w:afterAutospacing="0"/>
    </w:pPr>
  </w:style>
  <w:style w:type="paragraph" w:styleId="812" w:default="1">
    <w:name w:val="Normal"/>
    <w:qFormat/>
  </w:style>
  <w:style w:type="table" w:styleId="813" w:default="1">
    <w:name w:val="Normal Table"/>
    <w:uiPriority w:val="99"/>
    <w:semiHidden/>
    <w:unhideWhenUsed/>
    <w:tblPr>
      <w:tblInd w:w="0" w:type="dxa"/>
      <w:tblCellMar>
        <w:left w:w="108" w:type="dxa"/>
        <w:top w:w="0" w:type="dxa"/>
        <w:right w:w="108" w:type="dxa"/>
        <w:bottom w:w="0" w:type="dxa"/>
      </w:tblCellMar>
    </w:tblPr>
  </w:style>
  <w:style w:type="numbering" w:styleId="814" w:default="1">
    <w:name w:val="No List"/>
    <w:uiPriority w:val="99"/>
    <w:semiHidden/>
    <w:unhideWhenUsed/>
  </w:style>
  <w:style w:type="paragraph" w:styleId="815">
    <w:name w:val="No Spacing"/>
    <w:basedOn w:val="812"/>
    <w:uiPriority w:val="1"/>
    <w:qFormat/>
    <w:pPr>
      <w:spacing w:after="0" w:line="240" w:lineRule="auto"/>
    </w:pPr>
  </w:style>
  <w:style w:type="paragraph" w:styleId="816">
    <w:name w:val="List Paragraph"/>
    <w:basedOn w:val="812"/>
    <w:uiPriority w:val="34"/>
    <w:qFormat/>
    <w:pPr>
      <w:contextualSpacing/>
      <w:ind w:left="720"/>
    </w:pPr>
  </w:style>
  <w:style w:type="character" w:styleId="817" w:default="1">
    <w:name w:val="Default Paragraph Font"/>
    <w:uiPriority w:val="1"/>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卞景刚</cp:lastModifiedBy>
  <cp:revision>2</cp:revision>
  <dcterms:modified xsi:type="dcterms:W3CDTF">2023-10-16T01:42:34Z</dcterms:modified>
</cp:coreProperties>
</file>