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75"/>
        </w:rPr>
        <w:t xml:space="preserve">招标文件</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pStyle w:val="12"/>
        <w:ind w:left="0" w:right="0" w:firstLine="2898"/>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项目编号：JSZC-320114-YSFH-G2024-0003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项目名称：雨花台区2024年松材线虫病综合防控服务</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18"/>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 南京市雨花台区农业农村局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代理人：南京雨顺丰华工程科技咨询股份有限公司</w:t>
      </w:r>
      <w:r/>
    </w:p>
    <w:p>
      <w:pPr>
        <w:ind w:left="0" w:right="0" w:firstLine="2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二O二四年一月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目录</w:t>
      </w:r>
      <w:r/>
    </w:p>
    <w:p>
      <w:pPr>
        <w:ind w:left="0" w:right="0" w:firstLine="0"/>
        <w:jc w:val="center"/>
        <w:spacing w:before="120" w:after="120" w:line="113" w:lineRule="atLeast"/>
        <w:tabs>
          <w:tab w:val="left" w:pos="9394"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488329624" w:history="1">
        <w:r>
          <w:rPr>
            <w:rStyle w:val="173"/>
            <w:rFonts w:ascii="SimSun" w:hAnsi="SimSun" w:eastAsia="SimSun" w:cs="SimSun"/>
            <w:b/>
            <w:color w:val="0000ff"/>
            <w:sz w:val="28"/>
          </w:rPr>
          <w:t xml:space="preserve">第一章、招标公告</w:t>
        </w:r>
        <w:r>
          <w:rPr>
            <w:rStyle w:val="173"/>
            <w:rFonts w:ascii="SimSun" w:hAnsi="SimSun" w:eastAsia="SimSun" w:cs="SimSun"/>
            <w:b/>
            <w:color w:val="000000"/>
            <w:sz w:val="28"/>
          </w:rPr>
          <w:tab/>
        </w:r>
        <w:r>
          <w:rPr>
            <w:rStyle w:val="173"/>
            <w:rFonts w:ascii="SimSun" w:hAnsi="SimSun" w:eastAsia="SimSun" w:cs="SimSun"/>
            <w:b/>
            <w:color w:val="000000"/>
            <w:sz w:val="28"/>
            <w:u w:val="none"/>
          </w:rPr>
          <w:t xml:space="preserve">3</w:t>
        </w:r>
      </w:hyperlink>
      <w:r/>
      <w:r/>
    </w:p>
    <w:p>
      <w:pPr>
        <w:ind w:left="0" w:right="0" w:firstLine="0"/>
        <w:jc w:val="center"/>
        <w:spacing w:before="120" w:after="120" w:line="113" w:lineRule="atLeast"/>
        <w:tabs>
          <w:tab w:val="left" w:pos="9394"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488329625" w:history="1">
        <w:r>
          <w:rPr>
            <w:rStyle w:val="173"/>
            <w:rFonts w:ascii="SimSun" w:hAnsi="SimSun" w:eastAsia="SimSun" w:cs="SimSun"/>
            <w:b/>
            <w:color w:val="0000ff"/>
            <w:sz w:val="28"/>
          </w:rPr>
          <w:t xml:space="preserve">第二章、供应商须知</w:t>
        </w:r>
        <w:r>
          <w:rPr>
            <w:rStyle w:val="173"/>
            <w:rFonts w:ascii="SimSun" w:hAnsi="SimSun" w:eastAsia="SimSun" w:cs="SimSun"/>
            <w:b/>
            <w:color w:val="000000"/>
            <w:sz w:val="28"/>
          </w:rPr>
          <w:tab/>
        </w:r>
        <w:r>
          <w:rPr>
            <w:rStyle w:val="173"/>
            <w:rFonts w:ascii="SimSun" w:hAnsi="SimSun" w:eastAsia="SimSun" w:cs="SimSun"/>
            <w:b/>
            <w:color w:val="000000"/>
            <w:sz w:val="28"/>
            <w:u w:val="none"/>
          </w:rPr>
          <w:t xml:space="preserve">6</w:t>
        </w:r>
      </w:hyperlink>
      <w:r/>
      <w:r/>
    </w:p>
    <w:p>
      <w:pPr>
        <w:ind w:left="0" w:right="0" w:firstLine="0"/>
        <w:jc w:val="center"/>
        <w:spacing w:before="120" w:after="120" w:line="113" w:lineRule="atLeast"/>
        <w:tabs>
          <w:tab w:val="left" w:pos="939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488329634" w:history="1">
        <w:r>
          <w:rPr>
            <w:rStyle w:val="173"/>
            <w:rFonts w:ascii="SimSun" w:hAnsi="SimSun" w:eastAsia="SimSun" w:cs="SimSun"/>
            <w:b/>
            <w:color w:val="000000"/>
            <w:sz w:val="28"/>
          </w:rPr>
          <w:t xml:space="preserve">第三章、评标标准</w:t>
          <w:tab/>
        </w:r>
        <w:r>
          <w:rPr>
            <w:rStyle w:val="173"/>
            <w:rFonts w:ascii="SimSun" w:hAnsi="SimSun" w:eastAsia="SimSun" w:cs="SimSun"/>
            <w:b/>
            <w:color w:val="000000"/>
            <w:sz w:val="28"/>
            <w:u w:val="none"/>
          </w:rPr>
          <w:t xml:space="preserve">1</w:t>
        </w:r>
      </w:hyperlink>
      <w:r>
        <w:rPr>
          <w:rFonts w:ascii="SimSun" w:hAnsi="SimSun" w:eastAsia="SimSun" w:cs="SimSun"/>
          <w:b/>
          <w:color w:val="000000"/>
          <w:sz w:val="28"/>
        </w:rPr>
        <w:t xml:space="preserve">6</w:t>
      </w:r>
      <w:r/>
    </w:p>
    <w:p>
      <w:pPr>
        <w:ind w:left="0" w:right="0" w:firstLine="0"/>
        <w:jc w:val="center"/>
        <w:spacing w:before="120" w:after="120" w:line="113" w:lineRule="atLeast"/>
        <w:tabs>
          <w:tab w:val="left" w:pos="939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488329635" w:history="1">
        <w:r>
          <w:rPr>
            <w:rStyle w:val="173"/>
            <w:rFonts w:ascii="SimSun" w:hAnsi="SimSun" w:eastAsia="SimSun" w:cs="SimSun"/>
            <w:b/>
            <w:color w:val="000000"/>
            <w:sz w:val="28"/>
          </w:rPr>
          <w:t xml:space="preserve">第四章、招标项目的技术规格、要求和数量等</w:t>
          <w:tab/>
          <w:t xml:space="preserve">1</w:t>
        </w:r>
      </w:hyperlink>
      <w:r>
        <w:rPr>
          <w:rFonts w:ascii="SimSun" w:hAnsi="SimSun" w:eastAsia="SimSun" w:cs="SimSun"/>
          <w:b/>
          <w:color w:val="000000"/>
          <w:sz w:val="28"/>
        </w:rPr>
        <w:t xml:space="preserve">9</w:t>
      </w:r>
      <w:r/>
    </w:p>
    <w:p>
      <w:pPr>
        <w:ind w:left="0" w:right="0" w:firstLine="0"/>
        <w:jc w:val="center"/>
        <w:spacing w:before="120" w:after="120" w:line="113" w:lineRule="atLeast"/>
        <w:tabs>
          <w:tab w:val="left" w:pos="939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488329636" w:history="1">
        <w:r>
          <w:rPr>
            <w:rStyle w:val="173"/>
            <w:rFonts w:ascii="SimSun" w:hAnsi="SimSun" w:eastAsia="SimSun" w:cs="SimSun"/>
            <w:b/>
            <w:color w:val="0000ff"/>
            <w:sz w:val="28"/>
          </w:rPr>
          <w:t xml:space="preserve">第五章、合同主要条款及格式</w:t>
        </w:r>
        <w:r>
          <w:rPr>
            <w:rStyle w:val="173"/>
            <w:rFonts w:ascii="SimSun" w:hAnsi="SimSun" w:eastAsia="SimSun" w:cs="SimSun"/>
            <w:b/>
            <w:color w:val="000000"/>
            <w:sz w:val="28"/>
          </w:rPr>
          <w:tab/>
        </w:r>
        <w:r>
          <w:rPr>
            <w:rStyle w:val="173"/>
            <w:rFonts w:ascii="SimSun" w:hAnsi="SimSun" w:eastAsia="SimSun" w:cs="SimSun"/>
            <w:b/>
            <w:color w:val="000000"/>
            <w:sz w:val="28"/>
            <w:u w:val="none"/>
          </w:rPr>
          <w:t xml:space="preserve">2</w:t>
        </w:r>
      </w:hyperlink>
      <w:r>
        <w:rPr>
          <w:rFonts w:ascii="SimSun" w:hAnsi="SimSun" w:eastAsia="SimSun" w:cs="SimSun"/>
          <w:b/>
          <w:color w:val="000000"/>
          <w:sz w:val="28"/>
        </w:rPr>
        <w:t xml:space="preserve">2</w:t>
      </w:r>
      <w:r/>
    </w:p>
    <w:p>
      <w:pPr>
        <w:ind w:left="0" w:right="0" w:firstLine="0"/>
        <w:jc w:val="center"/>
        <w:spacing w:before="120" w:after="120" w:line="113" w:lineRule="atLeast"/>
        <w:tabs>
          <w:tab w:val="left" w:pos="939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488329639" w:history="1">
        <w:r>
          <w:rPr>
            <w:rStyle w:val="173"/>
            <w:rFonts w:ascii="SimSun" w:hAnsi="SimSun" w:eastAsia="SimSun" w:cs="SimSun"/>
            <w:b/>
            <w:color w:val="0000ff"/>
            <w:sz w:val="28"/>
          </w:rPr>
          <w:t xml:space="preserve">第六章、附件</w:t>
        </w:r>
        <w:r>
          <w:rPr>
            <w:rStyle w:val="173"/>
            <w:rFonts w:ascii="SimSun" w:hAnsi="SimSun" w:eastAsia="SimSun" w:cs="SimSun"/>
            <w:b/>
            <w:color w:val="000000"/>
            <w:sz w:val="28"/>
          </w:rPr>
          <w:tab/>
        </w:r>
        <w:r>
          <w:rPr>
            <w:rStyle w:val="173"/>
            <w:rFonts w:ascii="SimSun" w:hAnsi="SimSun" w:eastAsia="SimSun" w:cs="SimSun"/>
            <w:b/>
            <w:color w:val="000000"/>
            <w:sz w:val="28"/>
            <w:u w:val="none"/>
          </w:rPr>
          <w:t xml:space="preserve">2</w:t>
        </w:r>
      </w:hyperlink>
      <w:r>
        <w:rPr>
          <w:rFonts w:ascii="SimSun" w:hAnsi="SimSun" w:eastAsia="SimSun" w:cs="SimSun"/>
          <w:b/>
          <w:color w:val="000000"/>
          <w:sz w:val="28"/>
        </w:rPr>
        <w:t xml:space="preserve">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36"/>
        </w:rPr>
        <w:t xml:space="preserve">第一章 招标公告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南京雨顺丰华工程科技咨询股份有限公司</w:t>
      </w:r>
      <w:r>
        <w:rPr>
          <w:rFonts w:ascii="SimSun" w:hAnsi="SimSun" w:eastAsia="SimSun" w:cs="SimSun"/>
          <w:color w:val="000000"/>
          <w:sz w:val="21"/>
        </w:rPr>
        <w:t xml:space="preserve">受</w:t>
      </w:r>
      <w:r>
        <w:rPr>
          <w:rFonts w:ascii="SimSun" w:hAnsi="SimSun" w:eastAsia="SimSun" w:cs="SimSun"/>
          <w:color w:val="000000"/>
          <w:sz w:val="21"/>
          <w:u w:val="single"/>
        </w:rPr>
        <w:t xml:space="preserve">南京市雨花台区农业农村局</w:t>
      </w:r>
      <w:r>
        <w:rPr>
          <w:rFonts w:ascii="SimSun" w:hAnsi="SimSun" w:eastAsia="SimSun" w:cs="SimSun"/>
          <w:color w:val="000000"/>
          <w:sz w:val="21"/>
        </w:rPr>
        <w:t xml:space="preserve">（单位名称，以下简称“采购人”）委托，就</w:t>
      </w:r>
      <w:r>
        <w:rPr>
          <w:rFonts w:ascii="SimSun" w:hAnsi="SimSun" w:eastAsia="SimSun" w:cs="SimSun"/>
          <w:color w:val="000000"/>
          <w:sz w:val="21"/>
          <w:u w:val="single"/>
        </w:rPr>
        <w:t xml:space="preserve">雨花台区2024年松材线虫病综合防控服务</w:t>
      </w:r>
      <w:r>
        <w:rPr>
          <w:rFonts w:ascii="SimSun" w:hAnsi="SimSun" w:eastAsia="SimSun" w:cs="SimSun"/>
          <w:color w:val="000000"/>
          <w:sz w:val="21"/>
        </w:rPr>
        <w:t xml:space="preserve">（项目名称）进行公开招标采购，兹邀请符合资格条件的投标人投标。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1、项目编号：JSZC-320114-YSFH-G2024-0003</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2、项目名称：雨花台区2024年松材线虫病综合防控服务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3、采购项目预算:人民币375万元</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4、最高限价：本项目总价上限为375</w:t>
      </w:r>
      <w:r>
        <w:rPr>
          <w:rFonts w:ascii="SimSun" w:hAnsi="SimSun" w:eastAsia="SimSun" w:cs="SimSun"/>
          <w:color w:val="000000"/>
          <w:sz w:val="21"/>
        </w:rPr>
        <w:t xml:space="preserve">万元。投标人报价超过采购人设定的总价上限的为无效报价，按照无效投标处理。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5、采购需求：详见招标文件。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6、合同履行期限：自合同签订之日起至2024年12月31日止。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7、本项目不接受联合体报价及不允许分包、转包。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（2）具有良好的商业信誉和健全的财务会计制度；（提供2023年度经审计的财务报告或投标截止时间前六个月内银行出具的资信证明或财政部门认可的政府采购专业担保机构出具的投标担保函）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（3）具有履行合同所必需的设备和专业技术能力；（根据项目需求提供履行合同所必需的设备和专业技术能力的声明或证明材料）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依法缴纳税收及缴纳社会保障资金的证明材料。投标人依法享受缓缴、免缴税收、不需要缴纳社会保障资金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（6）法律、行政法规规定的其他条件（提供具备法律、行政法规规定的其他条件的证明材料）：无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上述第（5）条所称重大违法记录，是指投标人因违法经营受到刑事处罚或者责令停产停业、吊销许可证或者执照、较大数额罚款等行政处罚。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投标人在参加政府采购活动前3年内因违法经营被禁止在一定期限内参加政府采购活动，期限届满的，可以参加政府采购活动。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关于在政府采购活动中推行信用承诺制的通知》（宁财购通[2021]5号）规定，投标人（含联合体各方）只需在投标文件中提供《南京市政府采购供应商信用记录表暨信用承诺书》，不再需要提供上述（2）-（6）项的证明材料。投标人在中标后，将上述由信用承诺书替代的证明材料提交采购人或采购代理机构核验，经核验无误后，由采购人或采购代理机构发出中标通知书。不适用信用承诺书的情形：①投标人被列入严重失信主体名单；②相关监管部门作出行政处罚且尚在处罚有效期内；③其他法律、行政法规规定的不适用信用承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2、落实政府采购政策需满足的资格要求：中小企业政策等（监狱企业、残疾人福利性单位视同小型、微型企业），本项目不专门面向中小企业预留采购份额。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3、满足本项目特定资格要求的证明材料：无。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4、拒绝下述投标人参加本次采购活动：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（1）投标人单位负责人为同一人或者存在直接控股、管理关系的不同投标人，不得参加同一合同项下的政府采购活动。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（2）为采购项目提供整体设计、规范编制或者项目管理、监理、检测等服务的投标人，不得再参加本项目的采购活动。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（3）投标人被“信用中国”网站（www.creditchina.gov.cn）、“中国政府采购网"(www.ccgp.gov.cn)列入失信被执行人、重大税收违法案件当事人名单、政府采购严重违法失信行为记录名单。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获取时间：2024年1月30日至2024年2月4日，上午09:00-下午17:00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方式：本项目实行全流程电子化招投标。请各位投标人登录“雨花台区招投标采购平台”（http://yhzc.njyh.gov.cn/web），在线获取招标文件。投标人第一次使用平台需要完成用户注册，在用户登录页面，点击“新用户注册”，按照注册向导页面说明完成用户注册及CA证书获取（CA证书由“皓盘云建”APP提供）。注册完成后登录系统，进入公告页面，点击“我要获取文件”进行招标文件的获取、下载。获取招标文件请按公告下附的“其他附件资料模板”提供相关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费用：平台使用费200元整。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四、网上提交投标文件时间、开标时间：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网上提交投标文件截止时间及开标时间：2024年2月27日9时30分；（北京时间）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开标方式：雨花台区招投标采购平台在线开标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自本公告在法定媒体发布之日起五个工作日 </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其他补充事宜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1.现场考察前答疑会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采购人将不统一组织投标人现场考察前答疑会，投标人认为需要可自行进行现场考察，采购人将予以必要的协助，费用由投标人自理；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2.本项目不收取投标保证金。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3.有关本次招标的事项若存在变动或修改，敬请及时关注“雨花台区招投标采购平台”发布的信息更正公告。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4.投标人诚信档案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南京市政府采购供应商信用管理工作暂行办法》（宁财规〔2018〕10号）有关规定，凡在南京地区参加政府采购活动的投标人，应当事先登录“南京公共采购信息网”（https://njgc.jfh.com/），点击主页“南京市政府采购供应商诚信档案”栏目并登录系统，在“信用记录”栏目中点击“信用记录打印”，打印《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（2）投标人必须在提交投标（响应）文件截止日2天前办理登记注册手续。投标人拟申请网上注册的，应当按以下程序进行：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a.在“南京市政府采购供应商诚信档案管理系统”新用户注册界面，自行设置账号、登录密码，如实填写注册页信息，并进行信用承诺确认后，提交注册申请；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b.系统审核后，投标人即可登录系统，进行《南京市政府采购供应商信用记录表暨信用承诺书》下载打印；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c.南京市政府采购供应商诚信档案管理系统客服电话：025-52718366-622。投标人可就用户注册与打印事宜进行咨询。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参加本次政府采购活动时，在招标文件发布之日起至递交投标文件截止日前，应先登录“南京公共采购信息网”在线打印其《南京市政府采购供应商信用记录表暨信用承诺书》，加盖单位公章后作为投标文件的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5.本项目在江苏政府采购网、南京公共采购信息网网站发布公告。</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对本次采购提出询问，请按以下方式联系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名称：南京市雨花台区农业农村局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地址：南京市雨花台区铁心桥宁水路199号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名称：南京雨顺丰华工程科技咨询股份有限公司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地址：南京市雨花台区安德门大街32号紫悦广场1幢202-207室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联系方式：025-51860027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项目联系人：张洁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电话：13851895125</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36"/>
        </w:rPr>
        <w:t xml:space="preserve">第二章 投标人须知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1.1《中华人民共和国政府采购法》、《中华人民共和国政府采购法实施条例》、《政府采购货物和服务招标投标管理办法》等有关法律、规章和规定等。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1.2本次采购采用网上交易系统进行招标投标活动，招标、投标、评标和中标结果发布全程电子化。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“供应商”“投标人”是指参加投标竞争，并符合招标文件规定资格条件的法人、其他组织或者自然人。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政策，小企业（含小型、微型企业）提供的货物、工程和服务在评审时将获得优势，参加投标的小企业（含小型、微型企业）应当提供《中小企业声明函》，“中小企业划型标准”详见《统计上大中小微型企业划分办法（2017）》（国统字[2017]213号），中小企业享受政府采购支持政策的要求详见《政府采购促进中小企业发展管理办法》（财库[2020]46号）的相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专门面向中小企业或小型、微型企业的项目，只面向中小企业或小型、微型企业采购；对于非专门面向中小企业或小型、微型企业的项目，对小型和微型企业的价格给予10%的扣除，用扣除后的价格参与评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体协议或者分包意向协议约定小微企业的合同份额占到合同总金额30%以上的联合体或者大中型企业的报价给予4%的扣除，用扣除后的价格参加评审。联合体各方均为小型、微型企业的，联合体视同为小型、微型企业给予10%价格扣除，用扣除后的价格参与评审。组成联合体或者接受分包的小微企业与联合体内其他企业、分包企业之间存在直接控股、管理关</w:t>
      </w:r>
      <w:r>
        <w:rPr>
          <w:rFonts w:ascii="SimSun" w:hAnsi="SimSun" w:eastAsia="SimSun" w:cs="SimSun"/>
          <w:color w:val="000000"/>
          <w:sz w:val="21"/>
        </w:rPr>
        <w:t xml:space="preserve">系的，不享受价格扣除优惠政策。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（3）规定依据本办法规定享受扶持政策获得政府采购合同的，小微企业不得将合同分包或转包给大中型企业，中型企业不得将合同分包或转包给大型企业。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（1）拟采购产品属于节能产品品目清单规定必须强制采购的，实行强制采购。</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（2）拟采购产品属于节能产品、环境标志产品品目清单规定优先采购的，在性能、技术、服务等指标同等条件下，实行优先采购。</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（3）参加政府采购活动的节能产品、环境标志产品投标人应当提供国家确定的认证机构出具的、处于有效期之内的节能产品、环境标志产品认证证书电子件。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（4）对国家认定的节能产品和环保产品分别给予报价的5%价格扣除，用扣除后的价格参与评审。</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3.5强制采购信息安全产品。参加政府采购活动的产品投标人应当选择经国家认证的信息安全产品，并提供由中国信息安全认证中心按国家标准认证颁发的有效认证证书电子件。</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二、招标文件编制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招标文件组成：招标公告、投标人须知、评标办法、采购需求、合同条款、投标文件格式及附件等。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招标的最小单位是包。招标服务数量及技术要求中未分包的，投标人对要求提供的服务不得部分投标；招标服务数量及技术要求中已经分包的，应当以包为单位投标。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人对已发出的招标文件进行必要澄清或者修改的，将在招标文件要求提交投标文件截止时间15日前（不足15日的，采购人或者采购代理机构应当顺延提交投标文件的截止时间），在原招标公告媒体发布更正公告，并通过“雨花台区招投标采购平台”“答疑澄清”发出。届时会有短信提醒，请各投标人在开标前关注报名注册时的手机短信信息，及时登录平台进行查询和签收。该澄清或者修改的内容为招标文件的组成部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采购人在招标文件要求提交投标文件截止时间前，有权决定延长投标截止时间和开标时间，并在原采购信息发布媒体上发布变更公告。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投标人应在投标截止时间前关注原采购信息发布媒体有关本招标项目有无变更公告。</w:t>
      </w:r>
      <w:r/>
    </w:p>
    <w:p>
      <w:pPr>
        <w:pStyle w:val="18"/>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5、网上递交投标文件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使用“皓盘云建”APP扫码登录“皓盘云建投标工具”，按要求编制投标文件和签章，并加密上传投标文件完成投标，并对其提交的投标文件真实性、合法性承担法律责任。投标人应使用电脑登陆雨花台区招投标采购平台（http://yhzc.njyh.gov.cn/web）下载投标工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投标人应当对招标文件提出的要求和条件作出实质性响应，并在网上交易系统逐条应答。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投标人应对要求提供的资格证明文件（如资质证书、资格证书）、技术资料（如白皮书、彩页、手册、检测报告等）扫描上传至投标工具。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服务属于小微企业提供的，应在投标文件中说明。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投标人拟在中标后将项目的非主体、非关键性工作交由他人完成的，应在投标文件中说明。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应急保障：投标人在投标文件制作及上传过程中出现无法完成的，请及时与平台、工具维护人员联系，联系电话：18951936689（24小时）。如投标人未能及时联系而导致投标不成功的，责任由投标人自行承担。投标人应对“皓盘云建”APP上注册的CA数字证书妥善保管，如被他人盗用投标，后果自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提交的投标文件、技术文件和资料，包括图纸中的说明，以及投标人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投标人所使用的计量单位应为国家法定计量单位。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投标人应用人民币报价，单位为“元”。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投标人所使用的技术标准应遵循国家最新标准及规范。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投标人中标后需提供壹套加盖公章、骑缝章的纸质版投标文件送至招标代理公司经办人，纸质投标文件应在《投标函》和《法定代表人身份证明和授权委托书》加盖单位公章。投标人提供的纸质文件必须与投标电子文件保持一致。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投标人应承担所有与准备和参加投标有关的费用。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本次平台使用费200元。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专家评审费（约2500元，代垫代付，据实收取）由中标人承担。代理公司先行代付，最终中标人在领取中标通知书时向招标代理公司一次性交纳。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本次招标的招标代理服务费以中标价为计费基数，按照计价格[2002]1980号文规定标准的60%收取，由中标人支付。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b/>
          <w:color w:val="000000"/>
          <w:sz w:val="21"/>
        </w:rPr>
        <w:t xml:space="preserve">投标文件的组成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投标人应当根据招标文件要求编制投标文件，投标文件应对招标文件提出的要求和条件作出实质性响应，并在《商务条款偏离表》和《技术条款偏离表》等处标明满足与否。</w:t>
      </w:r>
      <w:r>
        <w:rPr>
          <w:rFonts w:ascii="SimSun" w:hAnsi="SimSun" w:eastAsia="SimSun" w:cs="SimSun"/>
          <w:b/>
          <w:color w:val="000000"/>
          <w:sz w:val="21"/>
        </w:rPr>
        <w:t xml:space="preserve">对带星号（“★”）的条款必须在投标文件中响应，否则视为未响应</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w:t>
      </w:r>
      <w:r>
        <w:rPr>
          <w:rFonts w:ascii="SimSun" w:hAnsi="SimSun" w:eastAsia="SimSun" w:cs="SimSun"/>
          <w:b/>
          <w:color w:val="000000"/>
          <w:sz w:val="21"/>
        </w:rPr>
        <w:t xml:space="preserve">投标文件的商务部分。</w:t>
      </w:r>
      <w:r>
        <w:rPr>
          <w:rFonts w:ascii="SimSun" w:hAnsi="SimSun" w:eastAsia="SimSun" w:cs="SimSun"/>
          <w:color w:val="000000"/>
          <w:sz w:val="21"/>
        </w:rPr>
        <w:t xml:space="preserve">商务部分是证明投标人有资格参加投标和中标后有能力履行合同的文件，这些文件应能满足公开招标招标文件的要求，包括但不限于下列文件，其中加“★”项目不得有缺失或无效：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（1）★投标承诺函（投标申请及声明，格式见附件）；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（2）★法定代表人身份证明、授权委托书及委托代理人的身份证扫描件；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（3）★第一章招标公告中第二条申请人的资格要求；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（4）《南京市政府采购供应商信用记录表暨信用承诺书》；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（7）投标人认为需要提供的其他资格证明文件和商务资料。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w:t>
      </w:r>
      <w:r>
        <w:rPr>
          <w:rFonts w:ascii="SimSun" w:hAnsi="SimSun" w:eastAsia="SimSun" w:cs="SimSun"/>
          <w:b/>
          <w:color w:val="000000"/>
          <w:sz w:val="21"/>
        </w:rPr>
        <w:t xml:space="preserve">投标文件的技术部分。</w:t>
      </w:r>
      <w:r>
        <w:rPr>
          <w:rFonts w:ascii="SimSun" w:hAnsi="SimSun" w:eastAsia="SimSun" w:cs="SimSun"/>
          <w:color w:val="000000"/>
          <w:sz w:val="21"/>
        </w:rPr>
        <w:t xml:space="preserve">技术部分是证明投标人提供的产品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rPr>
          <w:rFonts w:ascii="SimSun" w:hAnsi="SimSun" w:eastAsia="SimSun" w:cs="SimSun"/>
          <w:b/>
          <w:color w:val="000000"/>
          <w:sz w:val="21"/>
        </w:rPr>
        <w:t xml:space="preserve">其中加★项目不得有缺失或无效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（4）投标人认为需要提供的其他技术资料。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w:t>
      </w:r>
      <w:r>
        <w:rPr>
          <w:rFonts w:ascii="SimSun" w:hAnsi="SimSun" w:eastAsia="SimSun" w:cs="SimSun"/>
          <w:b/>
          <w:color w:val="000000"/>
          <w:sz w:val="21"/>
        </w:rPr>
        <w:t xml:space="preserve">投标文件的价格部分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（1）价格部分是对所提供服务价格构成的说明，招标文件如没有特别说明的话，对每一项服务仅接受一个价格。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（2）报价应包含完成本服务项目发生的所有含税费用、支付给员工的工资和国家强制缴纳的各种社会保障资金，以及投标人认为需要的其他费用等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（3）投标人应充分考虑到市场价格变动，以及项目实施过程中的不可预见因素，一旦中标，总价格不变。如果有漏项，视同让利。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（4）投标人提供小微企业、残疾人福利性单位、监狱企业制造的货物和服务的，须在 《开标一览表》《分项报价表》中注明,投标人应当如实申报,否则评标委员会有权取消其小微企业、残疾人福利性单位、监狱企业优惠政策。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9.5 投标文件的其他部分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其他部分由投标人根据编制投标文件需要提供的其他相关文件。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10、投标</w:t>
      </w:r>
      <w:r>
        <w:rPr>
          <w:rFonts w:ascii="SimSun" w:hAnsi="SimSun" w:eastAsia="SimSun" w:cs="SimSun"/>
          <w:b/>
          <w:color w:val="000000"/>
          <w:sz w:val="21"/>
        </w:rPr>
        <w:t xml:space="preserve">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本项目不收取投标保证金。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自开标之日起90日内投标有效。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特殊情况下，在原投标有效期截止之前，采购人可要求投标人同意延长投标有效期，这种要求与答复均以书面形式提交。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12、投标文件盖章、修改和撤回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投标人应按照招标文件要求，对需要加盖公章上传的资格证明文件和有关资料加盖公章后扫描上传至投标文件内。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投标人应在投标文件指定位置加盖数字证书电子签章。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有下列情形之一的投标文件将拒收：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（1）在招标文件要求提交投标文件的截止时间之后送达的等。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投标文件的修改和撤回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（1）投标人在网上投标截止时间前，可以对所提交的投标文件（电子数据）进行补充、修改或撤回。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（2）投标截止时间后，交易系统自动关闭，投标文件不能修改和撤回。</w:t>
      </w:r>
      <w:r/>
    </w:p>
    <w:p>
      <w:pPr>
        <w:pStyle w:val="18"/>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四、开标、评标与确定中标人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在提交投标文件时间截止后，代理在规定的时间和地点组织开标。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投标人凭CA数字证书登录网上交易系统查看开标信息。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投标截止时间后参加投标的投标人不足三家的不开标。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投标人未参加开标的，视同认可开标结果。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公开招标数额标准以上的采购项目，投标截止后投标人不足3家或者通过资格审查或符合性审查的投标人不足3家的，除采购任务取消情形外，按照以下方式处理：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本次招标文件中对投标人资格条件要求、技术要求和商务等要求，将作为其他采购方式采购的基本要求和谈判依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评标组织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（1）评标工作由招标代理组织，具体评标事务由依法组建的评标委员会负责，并独立履行下列职责：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②要求投标人对投标文件有关事项作出澄清或者说明；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④推荐中标候选人或根据采购人委托直接确定中标人；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⑤向采购人、财政部门报告评标中的违法违规行为。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（2）评标委员会由采购人代表和有关技术、经济等方面的专家组成，独立开展评审工作。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评标程序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（1）投标文件的资格性检查。依据法律法规和招标文件的规定，对投标文件中资格证明等进行审查。合格投标人不足3家的，不得评标。投标文件有下列情况之一的，在资格性审查时按照无效投标处理：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①不具备招标文件中规定资格条件的；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的符合性审查，评标委员会将依据法律法规和招标文件的规定，对投标文件的有效性、完整性和对招标文件的响应程度进行审查，以确定其是否满足招标文件的实质性要求。投标人不得通过修改或撤销不合要求的偏离而使其投标成为实质性响应的投标。投标文件有下列情况之一的，在符合性审查时按照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①未按招标文件规定签署、盖章的；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②投标总价和单价超出采购项目预算或者最高限价的；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④不同投标人的投标文件由同一单位或者个人编制；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⑤不同投标人委托同一单位或者个人办理投标事宜；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⑥不同投标人的投标文件载明的项目管理成员为同一人；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⑦不同投标人的投标文件异常一致或者投标报价呈规律性差异；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⑧不同投标人的投标保证金从同一单位或者个人的帐户转出；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⑨不同投标人的法定代表人或委托代理人有夫妻、直系血亲关系的；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⑩不同投标人的负责人为同一人或者存在控股、管理关系的；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⑪属于投标邀请中拒绝参加本次采购活动投标人的；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⑫没有逐一说明投标产品品牌、型号、产地、性能参数，而是直接拷贝招标文件技术要求的；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⑬评标委员会认为投标人的报价明显低于其他投标人的报价，有可能影响服务质量或者不能诚信履约的，未在评标现场合理的时间内提供书面说明或相关证明材料，不能证明其报价合理的。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⑭不符合法律、法规和招标文件规定的其他实质性要求的。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实质性要求是指本招标文件中用带星号（“★”）、“必须”或“应（应当）”等其他文字说明和商务和技术要求。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有下列情形之一的予以废标，同时将废标原因通知所有投标人：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①符合资格条件的投标人或者对招标文件作实质性响应的投标人不足三家的；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②出现影响采购公正的违法、违规行为的；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③投标人的报价均超过了采购预算或最高限价，采购人不能支付的；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④因重大变故，采购任务取消的。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在评标期间，出现符合资格性检查的供应商或者对招标文件作出实质性响应的供应商不足三家情形的，比照13.5款执行。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澄清有关问题。对投标文件中含义不明确、同类问题表述不一致或者明显文字和计算错误的内容，评标委员会可以要求供应商作出必要的澄清、说明或者补正。供应商的澄清、说明、补正应当采用书面形式，由其授权代表签字或签章，但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（4）比较与评价。按照招标文件中规定的评标方法和标准，对资格性检查和符合性检查合格的投标文件进行商务和技术评估，综合比较与评价。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15、评定方法和标准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w:t>
      </w:r>
      <w:r>
        <w:rPr>
          <w:rFonts w:ascii="SimSun" w:hAnsi="SimSun" w:eastAsia="SimSun" w:cs="SimSun"/>
          <w:b/>
          <w:color w:val="000000"/>
          <w:sz w:val="21"/>
        </w:rPr>
        <w:t xml:space="preserve">采用综合评分法。</w:t>
      </w:r>
      <w:r>
        <w:rPr>
          <w:rFonts w:ascii="SimSun" w:hAnsi="SimSun" w:eastAsia="SimSun" w:cs="SimSun"/>
          <w:color w:val="000000"/>
          <w:sz w:val="21"/>
        </w:rPr>
        <w:t xml:space="preserve">即在最大限度地满足招标文件实质性要求前提下，按照招标文件中规定的各项因素进行综合评审后，以评审总得分最高的投标人作为中标候选人或者中标人的评审方法。本次评标的评分方法和标准，</w:t>
      </w:r>
      <w:r>
        <w:rPr>
          <w:rFonts w:ascii="SimSun" w:hAnsi="SimSun" w:eastAsia="SimSun" w:cs="SimSun"/>
          <w:b/>
          <w:color w:val="000000"/>
          <w:sz w:val="21"/>
        </w:rPr>
        <w:t xml:space="preserve">具体详见本招标文件第三章</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综合比较与评价后按照得分高低顺序对投标人进行排列。得分相同的，按投标报价由低到高顺序排列。得分且投标报价相同的，按技术指标优劣顺序排列。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按以下第(1)种方式确定中标人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（1）评标委员会直接确定排名第一的中标候选人为中标人；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（2）采购人在评标委员会推荐的中标候选人中按顺序确定中标人。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按第二种方式确定中标人的，代理自评审结束之日起两个工作日内将评标报告送交采购人，采购人应当自收到评标报告之日起五个工作日内，在评标报告推荐的中标候选人中按顺序确定中标人。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中标人确定之日起两个工作日内，将在财政部门指定的政府采购信息发布媒体上公告。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《中标通知书》对采购人和中标人具有同等法律效力。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代理对未中标的投标人不作未中标原因的解释。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16.6 所有投标文件不论中标与否，均不退回。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16.7 </w:t>
      </w:r>
      <w:r>
        <w:rPr>
          <w:rFonts w:ascii="SimSun" w:hAnsi="SimSun" w:eastAsia="SimSun" w:cs="SimSun"/>
          <w:b/>
          <w:color w:val="000000"/>
          <w:sz w:val="21"/>
        </w:rPr>
        <w:t xml:space="preserve">《中标通知书》发出后，中标供应商无正当理由不与采购人签订合同的，情节严重的，由财政部门将其列入不良行为记录名单，在一至三年内禁止参加政府采购活动，并予以通报。</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17.编写评标报告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评标委员会根据评标过程和结果编写评标报告。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凡是与审查、澄清、评价和比较投标的有关资料等，均不向投标人及与评标无关的其他人员透露。</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19.5  采购人与中标人应当根据合同的约定依法履行合同义务。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五、质疑、投诉和诚实信用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投标人对招标活动事项有疑问的，可以向采购代理机构提出询问，采购代理机构将依法作出答复，但答复的内容不涉及商业秘密。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提出质疑的投标人应当是参与所质疑项目采购活动的投标人。潜在投标人已依法获取其可质疑的招标文件的，可以对该文件提出质疑。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以联合体形式参加政府采购活动的，其质疑应当由组成联合体的所有投标人共同提出。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投标人认为招标文件、采购过程和中标结果使自己的合法权益受到损害的，可以在知道或者应知其权益受到损害之日起七个工作日内，将质疑文件原件送达采购人或采购代理机构。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 投标人提出质疑应当提交质疑函和必要的证明材料。质疑函应当包括下列内容：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（一）投标人的姓名或者名称、地址、邮编、联系人及联系电话；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为自然人的，应当由本人签字；投标人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 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质疑投标人对代理的答复不满意，或代理未在规定的时间内作出答复的，可以在答复期满后</w:t>
      </w:r>
      <w:r>
        <w:rPr>
          <w:rFonts w:ascii="SimSun" w:hAnsi="SimSun" w:eastAsia="SimSun" w:cs="SimSun"/>
          <w:b/>
          <w:color w:val="000000"/>
          <w:sz w:val="21"/>
        </w:rPr>
        <w:t xml:space="preserve">十五个工作日内</w:t>
      </w:r>
      <w:r>
        <w:rPr>
          <w:rFonts w:ascii="SimSun" w:hAnsi="SimSun" w:eastAsia="SimSun" w:cs="SimSun"/>
          <w:color w:val="000000"/>
          <w:sz w:val="21"/>
        </w:rPr>
        <w:t xml:space="preserve">向采购项目同级财政部门投诉。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投标人投诉应当有明确的请求和必要的证明材料。投标人投诉的事项不得超出已质疑事项的范围。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投诉人有下列行为之一的，属于严重失信行为，由财政部门列入不良行为记录名单，禁止其一至三年内参加政府采购活动。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21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2"/>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36"/>
        </w:rPr>
        <w:t xml:space="preserve">评标办法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直接确定排名第一的投标人为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3"/>
        <w:gridCol w:w="1013"/>
        <w:gridCol w:w="1087"/>
        <w:gridCol w:w="5565"/>
        <w:gridCol w:w="546"/>
      </w:tblGrid>
      <w:tr>
        <w:trPr>
          <w:trHeight w:val="57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8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最后报价最低的供应商的价格为评标基准价，其价格分为满分。其他供应商的价格分统一按照下列公式计算：投标报价得分=（评标基准价/最后投标报价）×10（小数点保留两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1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根据供应商提供的自2021年1月1日以来承担过松材线虫病疫木除治类似项目业绩，每个得2分，满分10分，未提供不得分。(需提供委托合同扫描件加盖公章，合同须反映相关内容，否则视为未提供)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1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项目负责人（10分）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①项目负责人具备林业相关专业硕士及以上学历的得3分，具备林业相关专业本科学历的得1分。满分3分。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②项目负责人具备林业专业中级及以上职称的得2分，具备林业初级职称的得1分。满分2分。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③项目负责人具备国家林业局人事教育司机构颁发的林业有害生物防治员证书的得2分。满分2分。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④项目负责人获得林业主管部门颁发的省级（或以上）荣誉的得3分，地市级荣誉的得1分。（本项最高得3分，奖项不累计计分。）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须在投标文件中提供相关资格证书复印件加盖公章及投标供应商2023年10月-2023年12月为其缴纳社保的证明材料，未提供或提供不全者不得分。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11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配备人员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1、项目技术负责人（不含项目负责人，本项满分7分）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①项目技术负责人具备林业相关专业硕士及以上学历的得3分，具备林业相关专业本科学历的得1分。满分3分。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②项目技术负责人具备林业相关专业中级及以上职称的得2分。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③项目技术负责人具备国家林业局人事教育司机构颁发的林业有害生物防治员证书的得2分。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2、项目其他人员（不含项目负责人、项目技术负责人，本项满分13分）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①项目其他人员中具备林业相关专业中级及以上职称的，每提供一个得2分，满分10分。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②项目其他人员具备国家林业局人事教育司机构颁发的林业有害生物防治员职业资格证书的每提供一个的1分，满分3分。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以上人员须在投标文件中提供相关资格证书复印件加盖公章及投标供应商2023年10月-2023年12月为其缴纳社保的证明材料，未提供或提供不全者不得分。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r>
      <w:tr>
        <w:trPr>
          <w:trHeight w:val="11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企业资信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经中国国家认证认可监督管理委员会认可的认证机构颁发的且在有效期内的质量管理体系认证证书、环境管理体系认证证书、职业健康安全管理体系认证证书、服务质量评价认证证书的每提供一项得1分，最高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2、供应商自有《松材线虫病防控预警系统》、《松材线虫病疫木一树一档管理系统》软件的每有一项得3分，最多得6分。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(提供相关软件著作权登记证书扫描件加盖公章，否则不得。供应商系统软件表述与上述不完全一致时不得分)。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注：须在电子响应文件中提供有效期内证书扫描件或影印件。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r>
      <w:tr>
        <w:trPr>
          <w:trHeight w:val="85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对项目任务的理解和响应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对项目目标、工作任务等要求的理解和对项目任务的响应情况等进行综合评分。对本项目整体理解准确，方案切合实际且完整可行的得7分；理解较为准确，方案比较切合实际，基本可行的得4分；对项目理解一般，方案一般，可行性一般的得1分；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8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质量控制保证措施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供应商提供的质量控制措施、落实实施方案的保障措施和管理制度等进行综合评分。措施合理、科学可行的得7分；措施较为合理、科学可行的得4分；措施基本合理、科学可行的得1分。没有此项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8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进度计划保障措施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质量、进度保证措施，进度计划安排合理性，质量控制措施和管理制度等进行综合评分。措施、安排、制度等完整合理，可行性高的得7分；措施、安排、制度等较为完整合理，基本可行的得4分；措施、安排、制度等完整性合理性一般，可行性一般的得1分；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8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重点、难点分析和应对措施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对本项目的重点、难点分析和应对措施是否合理等进行综合评分。对项目的重点、难点有深层次分析，条理清晰，应对措施完整的得7分；对项目的重点、难点分析较深，条理较清晰，应对措施较完整的得4分；对项目的重点、难点分析浅显，条理一般，应对措施一般的得1分；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8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突发事件应急处理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针对本项目提供的突发事件预案进行综合评分。突发事件应急处理预案完备健全，人员组织安排合理，对本项目服务有针对性强，具有实际可操作性的得7分；预案较为合理，针对性、可操作性一般的得4分；预案一般，没有针对性的得1分；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r>
      <w:tr>
        <w:trPr>
          <w:trHeight w:val="85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服务承诺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的服务内容、服务时间符合招标文件且服务体系完整的得5分；供应商提供的服务内容、服务时间符合招标文件要求，服务体系比较完整的得3分；供应商提供的服务内容、服务时间符合招标文件要求，服务体系不完整的得1分；未提供不得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4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一、小微企业的价格扣除: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1．对小微企业提供的最终服务报价给予10%价格扣除，用扣除后的价格参与评审。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大中型企业和其他自然人、法人或者其他组织与小型、微型企业（监狱企业、残疾人福利单位）组成联合体共同参加投标，如果联合协议中约定，小型、微型企业（监狱企业、残疾人福利单位）的协议合同金额占到联合体协议合同总金额30%以上的，给予联合体2%的价格扣除。联合体各方均为中小型、微型企业（监狱企业、残疾人福利单位）的，联合体视同为小型、微型企业享受10%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小企业（含小型、微型企业）应当同时符合以下条件：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（1）投标人为小企业，且符合中小企业划分标准；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二、监狱和戒毒企业的价格扣除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对监狱和戒毒企业（简称监狱企业）视同小型、微型企业提供的最终服务报价给予10%的价格扣除，用扣除后的价格参与评审。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三、残疾人福利性单位的价格扣除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对残疾人福利性单位视同小型、微型企业提供的最终服务报价给予10%的价格扣除，用扣除后的价格参与评审。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残疾人福利单位需按照招标文件的要求提供《残疾人福利性单位声明函》。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残疾人福利单位标准请参照《关于促进残疾人就业政府采购政策的通知》（财库〔2017〕141号）。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四、监狱企业、残疾人福利单位属于小型、微型企业的，不重复享受政策。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五、所有认证、证明和业绩均以有效的证明文件的扫描件为依据。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第四章  采购需求</w:t>
      </w:r>
      <w:r/>
    </w:p>
    <w:p>
      <w:pPr>
        <w:numPr>
          <w:ilvl w:val="0"/>
          <w:numId w:val="3"/>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雨花台区2024年松材线虫病综合防控服务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二、工程概况：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本项目地点位于南京市雨花台区，松林面积7367.04亩。</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（一）松材线虫病治理服务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1、松林枯死松树清处理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对全区松林区域开展拉网式清查，并全面清除松林中所有</w:t>
      </w:r>
      <w:r>
        <w:rPr>
          <w:rFonts w:ascii="SimSun" w:hAnsi="SimSun" w:eastAsia="SimSun" w:cs="SimSun"/>
          <w:b/>
          <w:color w:val="000000"/>
          <w:sz w:val="24"/>
        </w:rPr>
        <w:t xml:space="preserve">病死（枯死、濒死）</w:t>
      </w:r>
      <w:r>
        <w:rPr>
          <w:rFonts w:ascii="SimSun" w:hAnsi="SimSun" w:eastAsia="SimSun" w:cs="SimSun"/>
          <w:color w:val="000000"/>
          <w:sz w:val="24"/>
        </w:rPr>
        <w:t xml:space="preserve">的松树，减少松褐天牛虫源及寄生场所，控制松褐天牛虫口密度及繁殖、传播。严格疫木管控，对山场除治、疫木下山运输、无害化处理、安全利用等全过程现场监管。采取“</w:t>
      </w:r>
      <w:r>
        <w:rPr>
          <w:rFonts w:ascii="SimSun" w:hAnsi="SimSun" w:eastAsia="SimSun" w:cs="SimSun"/>
          <w:b/>
          <w:color w:val="000000"/>
          <w:sz w:val="24"/>
        </w:rPr>
        <w:t xml:space="preserve">集中清理+即死即清” 模式</w:t>
      </w:r>
      <w:r>
        <w:rPr>
          <w:rFonts w:ascii="SimSun" w:hAnsi="SimSun" w:eastAsia="SimSun" w:cs="SimSun"/>
          <w:color w:val="000000"/>
          <w:sz w:val="24"/>
        </w:rPr>
        <w:t xml:space="preserve">。服务期内每1个月组织一次全面踏查，通过目测、使用望远镜和无人机等设备，调查有无枯死松树，或是否出现针叶褪色、黄化、枯萎、呈红褐色等症状的松树。清理株数为12000株，具体数量以清理实际情况确定。有异常松树出现，及时清理，做到随发现，随清理，做到病死树</w:t>
      </w:r>
      <w:r>
        <w:rPr>
          <w:rFonts w:ascii="SimSun" w:hAnsi="SimSun" w:eastAsia="SimSun" w:cs="SimSun"/>
          <w:b/>
          <w:color w:val="000000"/>
          <w:sz w:val="24"/>
        </w:rPr>
        <w:t xml:space="preserve">“动态清零”</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2、病死树砍伐要求：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（1）采伐对象为枯死松树，伐除疫木和枝条必须粉碎，进行无害化处理；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（2）伐桩高度低于5cm，伐桩使用钢丝网罩；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（3）钢丝网，网目数大于8目；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（4）钢丝网覆盖要用钉子固定。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（5）疫木处理方式：粉碎及打包（较远小班）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3、清理须全部使用“精细化管理平台”软件,施工中及时准确上传相片和数据信息。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4、健康松树树干注药预防保护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树干注药是预防松材线虫病有效措施，药剂药性一般为2-3年。依据“突出重点、精准防治”原则，对区域内的健康松树进行树干注药预防保护2000株。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（二）疫情监测服务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1、天牛虫口密度监测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小班面积和死树率，选择重点防控区域，设置固定监测点50个。在松褐天牛羽化高峰期，在固定监测点挂置松褐天牛诱捕器，并每周检查、统计诱捕天牛虫口密度，为防控效果评价、传播媒介发生动态和疫情发生程度提供数据参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疫情普查监测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结合秋季普查，对全域（共7367.04亩）病死树进行核查，详细调查松林小班内所有松树是否出现松树枯死、松针变色等异常情况。调查病死树数量时，要将疫情发生小班内的枯死松树、濒死松树一并纳入病死松树进行调查和统计。对秋普外，每间隔1个月分别再进行一次全面普查，并结合普查工作对病死树进行“即死即清”。普查采用人工地面普查的难度大的区域，可采取无人机等航空器对进行监测调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普查工作要求：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（1）全面普查以人工踏查为主，辅助使用无人机图像分析的方式。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（2）自开始普查起，严格按照采购方提供的小班、区域信息，确保普查到位；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（3）提供完整的普查台账与工作照片（普查对象、调查现场等）；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（4）及时上报疫木普查进度及结果。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（5）根据普查情况，提供除治作业设计方案。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（6）提供关于松材线虫病疫情普查的数据。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自合同签订之日起至2024年12月31日止。（具体时间应按照采购人要求执行）。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1、疫木监管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（1）中标单位在清理过程中要加强疫木管理,严禁疫木流失，发现民工或老百姓有私带、私自砍伐现象,要及时制止。同时第一时间报告乡镇人民政府、公安派出所、木材检疫站及村委会到现场协助解决。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（2）采购方建立枯（病）死松树除治工作监督检查制度，成立监督检查小组对清理工作进行全程监管，发现问题及时反馈给中标单位，中标单位必须严格整改落实到位。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2、中标单位应建立和完善档案资料，并妥善保管。档案资料里面需包括松材线虫病疫情除治线虫图片，影像等资料；松材线虫病疫情除治作业、疫木的监管情况。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3、中标单位组织专业队伍，确保枯（病）死松树清理工作按时按质完成。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4、采购人根据实际需要，可进行增减数量变更。中标单位应无条件服从，采购人无需向中标单位进行解释的义务，最终按实结算。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5、服务商提供的服务应当完全符合采购文件和合同所规定的要求。服务商提供的服务不符合采购文件和合同规定的，采购人有权不认可服务内容，由此引起的风险，由中标供应商承担。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供应商应将所提供服务的所有资料提供给采购人；中标供应商不能完整提供服务及本款规定的材料的，视为未按合同约定提供服务，应负责补齐，因此导致逾期交付的，由中标供应商承担相关的违约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（1）合同签订后支付合同价款的30%；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（2）项目结束后支付合同价款的40%；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（3）项目通过市、区林业主管部门相关项目验收合格后支付合同价款的30%；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付款前乙方应先行提供符合法律规定的等额发票，甲方收到发票后方可付款，否则甲方有权迟延付款。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第五章  合同条款</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南京市政府采购合同</w:t>
      </w:r>
      <w:r/>
    </w:p>
    <w:p>
      <w:pPr>
        <w:ind w:left="0" w:right="0" w:firstLine="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 ：</w:t>
      </w:r>
      <w:r>
        <w:rPr>
          <w:rFonts w:ascii="SimSun" w:hAnsi="SimSun" w:eastAsia="SimSun" w:cs="SimSun"/>
          <w:b/>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 ：</w:t>
      </w:r>
      <w:r>
        <w:rPr>
          <w:rFonts w:ascii="SimSun" w:hAnsi="SimSun" w:eastAsia="SimSun" w:cs="SimSun"/>
          <w:b/>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使用单位 ：</w:t>
      </w:r>
      <w:r>
        <w:rPr>
          <w:rFonts w:ascii="SimSun" w:hAnsi="SimSun" w:eastAsia="SimSun" w:cs="SimSun"/>
          <w:b/>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供货单位 ：</w:t>
      </w:r>
      <w:r>
        <w:rPr>
          <w:rFonts w:ascii="SimSun" w:hAnsi="SimSun" w:eastAsia="SimSun" w:cs="SimSun"/>
          <w:b/>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签订日期 ：</w:t>
      </w:r>
      <w:r>
        <w:rPr>
          <w:rFonts w:ascii="SimSun" w:hAnsi="SimSun" w:eastAsia="SimSun" w:cs="SimSun"/>
          <w:b/>
          <w:color w:val="000000"/>
          <w:sz w:val="32"/>
          <w:u w:val="single"/>
        </w:rPr>
        <w:t xml:space="preserve">2024</w:t>
      </w:r>
      <w:r>
        <w:rPr>
          <w:rFonts w:ascii="SimSun" w:hAnsi="SimSun" w:eastAsia="SimSun" w:cs="SimSun"/>
          <w:b/>
          <w:color w:val="000000"/>
          <w:sz w:val="32"/>
        </w:rPr>
        <w:t xml:space="preserve">年</w:t>
      </w:r>
      <w:r>
        <w:rPr>
          <w:rFonts w:ascii="SimSun" w:hAnsi="SimSun" w:eastAsia="SimSun" w:cs="SimSun"/>
          <w:b/>
          <w:color w:val="000000"/>
          <w:sz w:val="32"/>
          <w:u w:val="single"/>
        </w:rPr>
        <w:t xml:space="preserve">  </w:t>
      </w:r>
      <w:r>
        <w:rPr>
          <w:rFonts w:ascii="SimSun" w:hAnsi="SimSun" w:eastAsia="SimSun" w:cs="SimSun"/>
          <w:b/>
          <w:color w:val="000000"/>
          <w:sz w:val="32"/>
        </w:rPr>
        <w:t xml:space="preserve">月</w:t>
      </w:r>
      <w:r>
        <w:rPr>
          <w:rFonts w:ascii="SimSun" w:hAnsi="SimSun" w:eastAsia="SimSun" w:cs="SimSun"/>
          <w:b/>
          <w:color w:val="000000"/>
          <w:sz w:val="32"/>
          <w:u w:val="single"/>
        </w:rPr>
        <w:t xml:space="preserve"> </w:t>
      </w:r>
      <w:r>
        <w:rPr>
          <w:rFonts w:ascii="SimSun" w:hAnsi="SimSun" w:eastAsia="SimSun" w:cs="SimSun"/>
          <w:b/>
          <w:color w:val="000000"/>
          <w:sz w:val="32"/>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南京市工商行政管理局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南 京 市 财 政 局  监制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                     供应商：（以下称乙方）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南京市雨花台区农业农村局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住所地：南京市雨花台区宁水路199号         住所地：</w:t>
        <w:tab/>
        <w:t xml:space="preserve">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根据《中华人民共和国招标投标法》、《中华人民共和国政府采购法》、《中华人民共和国民法典》等法律法规的规定，甲乙双方按照雨花台区2024年松材线虫病综合防控服务的招标结果签订本合同。</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乙方根据甲方要求提供下列服务：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一、雨花台区2024年全区松材线虫病防控本底数调查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构建调查本底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收集整理前期影像、小班、疫情发生区域，线虫治理强度、媒介昆虫监测结果等情况，分析发生趋势，确定抽样区域和样地设置位置，构建摸底调查样地分布图。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样地详查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影像与实调相结合核定松林小班区域面积；2.对样地进行林间详细调查，收集样地内松树种类、活树株数、病死树株数、衰弱木株数、潜伏侵染株数；3.模型估算雨花区松林面积、总株数、病死树量。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数据整理及报告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汇总雨花区松材线虫病调查成果，包括数据统计，疫情程度分析、后续防控目标、措施、方案及可行性分析。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二、松材线虫病治理工程</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1、松林枯死松树清处理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对全区松林区域开展拉网式清查，并全面清除松林中所有</w:t>
      </w:r>
      <w:r>
        <w:rPr>
          <w:rFonts w:ascii="SimSun" w:hAnsi="SimSun" w:eastAsia="SimSun" w:cs="SimSun"/>
          <w:b/>
          <w:color w:val="000000"/>
          <w:sz w:val="24"/>
        </w:rPr>
        <w:t xml:space="preserve">病死（枯死、濒死）</w:t>
      </w:r>
      <w:r>
        <w:rPr>
          <w:rFonts w:ascii="SimSun" w:hAnsi="SimSun" w:eastAsia="SimSun" w:cs="SimSun"/>
          <w:color w:val="000000"/>
          <w:sz w:val="24"/>
        </w:rPr>
        <w:t xml:space="preserve">的松树，减少松褐天牛虫源及寄生场所，控制松褐天牛虫口密度及繁殖、传播。严格疫木管控，对山场除治、疫木下山运输、无害化处理、安全利用等全过程现场监管。采取“</w:t>
      </w:r>
      <w:r>
        <w:rPr>
          <w:rFonts w:ascii="SimSun" w:hAnsi="SimSun" w:eastAsia="SimSun" w:cs="SimSun"/>
          <w:b/>
          <w:color w:val="000000"/>
          <w:sz w:val="24"/>
        </w:rPr>
        <w:t xml:space="preserve">集中清理+即死即清” 模式</w:t>
      </w:r>
      <w:r>
        <w:rPr>
          <w:rFonts w:ascii="SimSun" w:hAnsi="SimSun" w:eastAsia="SimSun" w:cs="SimSun"/>
          <w:color w:val="000000"/>
          <w:sz w:val="24"/>
        </w:rPr>
        <w:t xml:space="preserve">。服务期内每1个月组织一次全面踏查，通过目测、使用望远镜和无人机等设备，调查有无枯死松树，或是否出现针叶褪色、黄化、枯萎、呈红褐色等症状的松树。清理株数为12000株，具体数量以清理实际情况确定。有异常松树出现，及时清理，做到随发现，随清理，做到病死树</w:t>
      </w:r>
      <w:r>
        <w:rPr>
          <w:rFonts w:ascii="SimSun" w:hAnsi="SimSun" w:eastAsia="SimSun" w:cs="SimSun"/>
          <w:b/>
          <w:color w:val="000000"/>
          <w:sz w:val="24"/>
        </w:rPr>
        <w:t xml:space="preserve">“动态清零”</w:t>
      </w:r>
      <w:r>
        <w:rPr>
          <w:rFonts w:ascii="SimSun" w:hAnsi="SimSun" w:eastAsia="SimSun" w:cs="SimSun"/>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2、病死树砍伐要求：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（1）采伐对象为枯死松树，伐除疫木和枝条必须粉碎，进行无害化处理；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（2）伐桩高度低于5cm，伐桩使用钢丝网罩；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（3）钢丝网，网目数大于8目；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（4）钢丝网覆盖要用钉子固定。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（5）疫木处理方式：粉碎及打包（较远小班）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3、清理须全部使用“精细化管理平台”软件,施工中及时准确上传相片和数据信息。</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4、健康松树树干注药预防保护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树干注药是预防松材线虫病有效措施，药剂药性一般为2-3年。依据“突出重点、精准防治”原则，对区域内的健康松树进行树干注药预防保护2000株。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三、监测预警工程</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1、天牛虫口密度监测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小班面积和死树率，选择重点防控区域，设置固定监测点50个。在松褐天牛羽化高峰期，在固定监测点挂置松褐天牛诱捕器，并每周检查、统计诱捕天牛虫口密度，为防控效果评价、传播媒介发生动态和疫情发生程度提供数据参考。</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疫情普查监测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结合秋季普查，对全域（共7367.04亩）病死树进行核查，详细调查松林小班内所有松树是否出现松树枯死、松针变色等异常情况。调查病死树数量时，要将疫情发生小班内的枯死松树、濒死松树一并纳入病死松树进行调查和统计。对秋普外，每间隔1个月分别再进行一次全面普查，并结合普查工作对病死树进行“即死即清”。普查采用人工地面普查的难度大的区域，可采取无人机等航空器对进行监测调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普查工作要求：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（1）全面普查以人工踏查为主，辅助使用无人机图像分析的方式。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（2）自开始普查起，严格按照采购方提供的小班、区域信息，确保普查到位；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（3）提供完整的普查台账与工作照片（普查对象、调查现场等）；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（4）及时上报疫木普查进度及结果。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（5）根据普查情况，提供除治作业设计方案。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（6）提供关于松材线虫病疫情普查的数据。</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合同总价款</w:t>
      </w:r>
      <w:r/>
    </w:p>
    <w:p>
      <w:pPr>
        <w:ind w:left="959" w:right="0" w:hanging="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本合同项下服务总价款为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（大写）人民币（</w:t>
      </w:r>
      <w:r>
        <w:rPr>
          <w:rFonts w:ascii="FangSong" w:hAnsi="FangSong" w:eastAsia="FangSong" w:cs="FangSong"/>
          <w:color w:val="000000"/>
          <w:sz w:val="24"/>
        </w:rPr>
        <w:t xml:space="preserve">小写：</w:t>
      </w:r>
      <w:r>
        <w:rPr>
          <w:rFonts w:ascii="Times New Roman" w:hAnsi="Times New Roman" w:eastAsia="Times New Roman" w:cs="Times New Roman"/>
          <w:color w:val="000000"/>
          <w:sz w:val="24"/>
          <w:u w:val="single"/>
        </w:rPr>
        <w:t xml:space="preserve">        </w:t>
      </w:r>
      <w:r>
        <w:rPr>
          <w:rFonts w:ascii="FangSong" w:hAnsi="FangSong" w:eastAsia="FangSong" w:cs="FangSong"/>
          <w:color w:val="000000"/>
          <w:sz w:val="24"/>
          <w:u w:val="single"/>
        </w:rPr>
        <w:t xml:space="preserve">元</w:t>
      </w:r>
      <w:r>
        <w:rPr>
          <w:rFonts w:ascii="SimSun" w:hAnsi="SimSun" w:eastAsia="SimSun" w:cs="SimSun"/>
          <w:color w:val="000000"/>
          <w:sz w:val="24"/>
        </w:rPr>
        <w:t xml:space="preserve">）。</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甲方就本合同不再向乙方支付任何其他款项。</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w:t>
        <w:tab/>
        <w:t xml:space="preserve">组成本合同的有关文件</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招标文件和有关附件是本合同不可分割的组成部分，与本合同具有同等法律效力。这些文件包括但不限于：</w:t>
      </w:r>
      <w:r/>
    </w:p>
    <w:p>
      <w:pPr>
        <w:numPr>
          <w:ilvl w:val="0"/>
          <w:numId w:val="5"/>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（2）乙方提供的响应文件和报价表；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（3）投标承诺/服务承诺；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（4）成交通知书；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（5）甲乙双方商定的其他文件等。</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权利保证</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乙方应保证为甲方提供货物和服务任何一部分时不受第三方提出侵犯其专利权、版权、商标权或其他权利的起诉。一旦出现侵权，乙方应承担全部责任。</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质量保证</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乙方提供的服务必须全部达到采购文件各项要求，国家或行业有规定的，还要符合相应规定。</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交付使用和验收</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1、乙方应当在合同签订后按采购文件规定完成项目并交付甲方。采购文件有约定的，从其约定。</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2、乙方提供的服务不符合采购文件和合同规定的，甲方有权拒收。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w:t>
      </w:r>
      <w:r>
        <w:rPr>
          <w:rFonts w:ascii="Times New Roman" w:hAnsi="Times New Roman" w:eastAsia="Times New Roman" w:cs="Times New Roman"/>
          <w:b/>
          <w:color w:val="000000"/>
          <w:sz w:val="24"/>
        </w:rPr>
        <w:t xml:space="preserve"> </w:t>
      </w:r>
      <w:r>
        <w:rPr>
          <w:rFonts w:ascii="SimSun" w:hAnsi="SimSun" w:eastAsia="SimSun" w:cs="SimSun"/>
          <w:b/>
          <w:color w:val="000000"/>
          <w:sz w:val="24"/>
        </w:rPr>
        <w:t xml:space="preserve">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合同款支付</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（1）合同签订后支付合同价款的30%；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（2）项目结束后支付合同价款的40%；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（3）项目通过市、区林业主管部门相关项目验收合格后支付合同价款的30%；</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付款前乙方应先行提供符合法律规定的等额发票，甲方收到发票后方可付款，否则甲方有权迟延付款。</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违约责任</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1、如乙方不能按期交付服务的，乙方应向甲方支付合同总价5%的违约金，同时甲方有权终止合同。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2、乙方逾期交付的，每逾期1天，乙方向甲方偿付合同总额的5‰的滞纳金。如乙方逾期交付达10天，甲方有权解除合同，解除合同的通知自到达乙方时生效。</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3、乙方在承担违约责任后，仍应继续履行合同规定的义务（甲方解除合同的除外）。甲方未能及时追究乙方的任何一项违约责任并不表明甲方放弃追究乙方该项或其他违约责任。</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4、乙方虚假承诺，或经权威部门检测提供的货物和服务不能满足采购文件要求，或是由于乙方的过错造成合同无法继续履行的，应向甲方支付不少于合同总价30%赔偿金。</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5、合同履行期间，乙方应对有关人员、财产的安全负责，若出现安全事故，由乙方负责处理并承担全部责任，给甲方造成损失的，乙方应全额赔偿。</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6、如乙方提供的服务达不到招标文件与本合同约定的服务内容和质量标准，甲方有权督促乙方改正，直至达到本协议约定的服务内容和质量标准，且应向甲方支付违约金    元/次，甲方有权从应付款项中直接扣除。</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合同的变更和终止</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1、本合同一经签订，甲乙双方不得擅自变更、中止或终止合同。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合同的转让</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争议的解决</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1、因服务的质量问题发生争议的，应当邀请国家认可的质量检测机构对服务质量进行鉴定。符合标准的，鉴定费由甲方承担；不符合质量标准的，鉴定费由乙方承担。</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2、因履行本合同引起的或与本合同有关的争议，甲、乙双方应首先通过友好协商解决，如果协商不能解决争议，则采取以下第（1）种方式解决争议：</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如没有约定，默认采取第1种方式解决争议。</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3、在诉讼期间，本合同应继续履行。</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诚实信用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乙方应诚实信用，严格按照采购文件要求和承诺履行合同，不向甲方进行商业贿赂或者提供不正当利益。</w:t>
      </w:r>
      <w:r/>
    </w:p>
    <w:p>
      <w:pPr>
        <w:ind w:left="0" w:right="0" w:firstLine="48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合同生效及其他</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2、本合同一式五份，甲乙双方各执二份，一份交招标机构存档。</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甲方：南京市雨花台区农业农村局（盖章）   乙方：（盖章）</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                             法定或委托代表人：</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tab/>
        <w:t xml:space="preserve">                                   电话：</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账号：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                    日期：   年  月  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18"/>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5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5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5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5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项目名称：雨花台区2024年松材线虫病综合防控服务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项目编号：JSZC-320114-YSFH-G2024-0003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投 标 文 件</w:t>
      </w:r>
      <w:r/>
    </w:p>
    <w:p>
      <w:pPr>
        <w:pStyle w:val="18"/>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pStyle w:val="18"/>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pStyle w:val="18"/>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投标人名称：       （电子公章）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4"/>
        <w:gridCol w:w="4390"/>
        <w:gridCol w:w="2874"/>
      </w:tblGrid>
      <w:tr>
        <w:trPr>
          <w:trHeight w:val="545"/>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7"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评审索引表</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评审内容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40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投标文件的页码</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资格审查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举例：P11-P15或无。</w:t>
            </w:r>
            <w:r/>
          </w:p>
        </w:tc>
      </w:tr>
      <w:tr>
        <w:trPr>
          <w:trHeight w:val="82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8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4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7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4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5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9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74"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79"/>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7"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要求：投标人必须根据其投标文件内容提供此表。</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招标文件主要目录及相关证明材料格式、附件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二、法定代表人身份证明、授权委托书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四、资格审查资料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五、投标承诺函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六、商务部分资料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七、技术部分资料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八、其他相关资料</w:t>
      </w:r>
      <w:r/>
    </w:p>
    <w:p>
      <w:pPr>
        <w:ind w:left="15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4"/>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6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一、投标申请及声明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（项目名称）（项目编号）</w:t>
      </w:r>
      <w:r>
        <w:rPr>
          <w:rFonts w:ascii="SimSun" w:hAnsi="SimSun" w:eastAsia="SimSun" w:cs="SimSun"/>
          <w:color w:val="000000"/>
          <w:sz w:val="24"/>
        </w:rPr>
        <w:t xml:space="preserve">招标公告，正式授权下述签字或签章人</w:t>
      </w:r>
      <w:r>
        <w:rPr>
          <w:rFonts w:ascii="SimSun" w:hAnsi="SimSun" w:eastAsia="SimSun" w:cs="SimSun"/>
          <w:color w:val="000000"/>
          <w:sz w:val="24"/>
          <w:u w:val="single"/>
        </w:rPr>
        <w:t xml:space="preserve">       (姓名和职务)</w:t>
      </w:r>
      <w:r>
        <w:rPr>
          <w:rFonts w:ascii="SimSun" w:hAnsi="SimSun" w:eastAsia="SimSun" w:cs="SimSun"/>
          <w:color w:val="000000"/>
          <w:sz w:val="24"/>
        </w:rPr>
        <w:t xml:space="preserve">代表投标人</w:t>
      </w:r>
      <w:r>
        <w:rPr>
          <w:rFonts w:ascii="SimSun" w:hAnsi="SimSun" w:eastAsia="SimSun" w:cs="SimSun"/>
          <w:color w:val="000000"/>
          <w:sz w:val="24"/>
          <w:u w:val="single"/>
        </w:rPr>
        <w:t xml:space="preserve">（投标人名称）</w:t>
      </w:r>
      <w:r>
        <w:rPr>
          <w:rFonts w:ascii="SimSun" w:hAnsi="SimSun" w:eastAsia="SimSun" w:cs="SimSun"/>
          <w:color w:val="000000"/>
          <w:sz w:val="24"/>
        </w:rPr>
        <w:t xml:space="preserve">，提交投标文件。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据此函，签字或签章人兹宣布声明和承诺如下：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我们的资格条件完全符合政府采购法和本次招标要求</w:t>
      </w:r>
      <w:r>
        <w:rPr>
          <w:rFonts w:ascii="SimSun" w:hAnsi="SimSun" w:eastAsia="SimSun" w:cs="SimSun"/>
          <w:color w:val="000000"/>
          <w:sz w:val="24"/>
        </w:rPr>
        <w:t xml:space="preserve">，我们同意并向贵方提供了与投标有关的所有证据和资料。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2、按招标要求，我们的投标报价总价为</w:t>
      </w:r>
      <w:r>
        <w:rPr>
          <w:rFonts w:ascii="SimSun" w:hAnsi="SimSun" w:eastAsia="SimSun" w:cs="SimSun"/>
          <w:color w:val="000000"/>
          <w:sz w:val="24"/>
          <w:u w:val="single"/>
        </w:rPr>
        <w:t xml:space="preserve">：（大写）      </w:t>
      </w:r>
      <w:r>
        <w:rPr>
          <w:rFonts w:ascii="SimSun" w:hAnsi="SimSun" w:eastAsia="SimSun" w:cs="SimSun"/>
          <w:color w:val="000000"/>
          <w:sz w:val="24"/>
        </w:rPr>
        <w:t xml:space="preserve">，</w:t>
      </w:r>
      <w:r>
        <w:rPr>
          <w:rFonts w:ascii="SimSun" w:hAnsi="SimSun" w:eastAsia="SimSun" w:cs="SimSun"/>
          <w:color w:val="000000"/>
          <w:sz w:val="24"/>
          <w:u w:val="single"/>
        </w:rPr>
        <w:t xml:space="preserve">小写：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3、我们已详细审核全部招标文件及其有效补充文件，我们放弃对招标文件任何误解的权利，提交投标文件后，</w:t>
      </w:r>
      <w:r>
        <w:rPr>
          <w:rFonts w:ascii="SimSun" w:hAnsi="SimSun" w:eastAsia="SimSun" w:cs="SimSun"/>
          <w:b/>
          <w:color w:val="000000"/>
          <w:sz w:val="24"/>
        </w:rPr>
        <w:t xml:space="preserve">不对招标文件本身提出质疑</w:t>
      </w:r>
      <w:r>
        <w:rPr>
          <w:rFonts w:ascii="SimSun" w:hAnsi="SimSun" w:eastAsia="SimSun" w:cs="SimSun"/>
          <w:color w:val="000000"/>
          <w:sz w:val="24"/>
        </w:rPr>
        <w:t xml:space="preserve">。否则，属于不诚信和故意扰乱政府采购活动行为，我们将无条件接受处罚。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5、一旦我方中标，我方将根据招标文件的规定严格履行合同，并保证于承诺的时间完成服务的启动/集成、调试等服务，交付采购人验收、使用。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决不提供虚假材料谋取中标、决不采取不正当手段诋毁、排挤其他投标人、决不与采购人、其它投标人或者代理人恶意串通、决不向采购人、代理人工作人员和评委进行商业贿赂、决不在采购过程中与采购人进行协商谈判、决不拒绝有关部门监督检查或提供虚假情况，如有违反，无条件接受贵方及相关管理部门的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8、与本投标有关的正式联系方式为：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投标人授权代表姓名（签字或签章）：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二、法定代表人身份证明、授权委托书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若为法人直接投标则只需提供“法定代表人身份证明”。若授权投标，则“法定代表人身份证明”和“授权委托书”均需提供。</w:t>
      </w:r>
      <w:r/>
    </w:p>
    <w:p>
      <w:pPr>
        <w:ind w:left="0" w:right="0" w:firstLine="480"/>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致：_______________公司</w:t>
      </w:r>
      <w:r/>
    </w:p>
    <w:p>
      <w:pPr>
        <w:ind w:left="0" w:right="0" w:firstLine="480"/>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兹有，____________同志，性别：_____，民族________,身份证号码____________________，在我单位担任_________职务，系我单位的法定代表人。</w:t>
      </w:r>
      <w:r/>
    </w:p>
    <w:p>
      <w:pPr>
        <w:ind w:left="0" w:right="0" w:firstLine="480"/>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480" w:right="0" w:firstLine="480"/>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附：法定代表人身份证（正反面）扫描件</w:t>
      </w:r>
      <w:r/>
    </w:p>
    <w:p>
      <w:pPr>
        <w:ind w:left="0" w:right="0" w:firstLine="0"/>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投标人（盖章）：____________________</w:t>
      </w:r>
      <w:r/>
    </w:p>
    <w:p>
      <w:pPr>
        <w:ind w:left="0" w:right="0" w:firstLine="0"/>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______年_______月______日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4"/>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授权委托书</w:t>
      </w:r>
      <w:r/>
    </w:p>
    <w:p>
      <w:pPr>
        <w:ind w:left="0" w:right="0" w:firstLine="480"/>
        <w:spacing w:before="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本人________（姓名）系___________（投标人名称）的法定代表人（或负责人），现委托___________（身份证号：_____________）为我单位代理人。</w:t>
      </w:r>
      <w:r/>
    </w:p>
    <w:p>
      <w:pPr>
        <w:ind w:left="0" w:right="0" w:firstLine="480"/>
        <w:spacing w:before="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代理人根据授权，以我单位名义参加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（项目名称）项目投标活动。代理人进行的签署、澄清、说明、补正、递交、撤回、修改的投标文件，参与投标、开标、评标、合同谈判、签订合同和处理其他有关事宜，其法律后果由我单位承担。</w:t>
      </w:r>
      <w:r/>
    </w:p>
    <w:p>
      <w:pPr>
        <w:ind w:left="0" w:right="0" w:firstLine="480"/>
        <w:spacing w:before="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w:t>
      </w:r>
      <w:r>
        <w:rPr>
          <w:rFonts w:ascii="SimSun" w:hAnsi="SimSun" w:eastAsia="SimSun" w:cs="SimSun"/>
          <w:color w:val="000000"/>
          <w:sz w:val="24"/>
          <w:u w:val="single"/>
        </w:rPr>
        <w:t xml:space="preserve">自本委托书签署之日起至合同签订结束</w:t>
      </w:r>
      <w:r>
        <w:rPr>
          <w:rFonts w:ascii="SimSun" w:hAnsi="SimSun" w:eastAsia="SimSun" w:cs="SimSun"/>
          <w:color w:val="000000"/>
          <w:sz w:val="24"/>
        </w:rPr>
        <w:t xml:space="preserve">。</w:t>
      </w:r>
      <w:r/>
    </w:p>
    <w:p>
      <w:pPr>
        <w:ind w:left="0" w:right="0" w:firstLine="480"/>
        <w:spacing w:before="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附：代理人身份证（正反面）扫描件</w:t>
      </w:r>
      <w:r/>
    </w:p>
    <w:p>
      <w:pPr>
        <w:ind w:left="0" w:right="0" w:firstLine="0"/>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2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投标人（盖章）：____________________</w:t>
      </w:r>
      <w:r/>
    </w:p>
    <w:p>
      <w:pPr>
        <w:ind w:left="0" w:right="0" w:firstLine="2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法定代表人（签字或签章）：</w:t>
      </w:r>
      <w:r>
        <w:rPr>
          <w:rFonts w:ascii="SimSun" w:hAnsi="SimSun" w:eastAsia="SimSun" w:cs="SimSun"/>
          <w:color w:val="000000"/>
          <w:sz w:val="24"/>
          <w:u w:val="single"/>
        </w:rPr>
        <w:t xml:space="preserve">            </w:t>
      </w:r>
      <w:r/>
    </w:p>
    <w:p>
      <w:pPr>
        <w:ind w:left="0" w:right="0" w:firstLine="2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6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委托代理人（签字或签章）：</w:t>
      </w:r>
      <w:r>
        <w:rPr>
          <w:rFonts w:ascii="SimSun" w:hAnsi="SimSun" w:eastAsia="SimSun" w:cs="SimSun"/>
          <w:color w:val="000000"/>
          <w:sz w:val="24"/>
          <w:u w:val="single"/>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______年_______月______日</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三、开标一览表</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8"/>
        <w:gridCol w:w="2979"/>
        <w:gridCol w:w="1932"/>
        <w:gridCol w:w="3330"/>
      </w:tblGrid>
      <w:tr>
        <w:trPr>
          <w:trHeight w:val="567"/>
        </w:trPr>
        <w:tc>
          <w:tcPr>
            <w:gridSpan w:val="4"/>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99" w:type="dxa"/>
            <w:vAlign w:val="center"/>
            <w:textDirection w:val="lrTb"/>
            <w:noWrap w:val="false"/>
          </w:tcPr>
          <w:p>
            <w:pPr>
              <w:ind w:left="0" w:right="0" w:firstLine="2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项目编号：</w:t>
            </w:r>
            <w:r/>
          </w:p>
        </w:tc>
      </w:tr>
      <w:tr>
        <w:trPr>
          <w:trHeight w:val="56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其中，小、微型企业报价（元）</w:t>
            </w:r>
            <w:r/>
          </w:p>
        </w:tc>
      </w:tr>
      <w:tr>
        <w:trPr>
          <w:trHeight w:val="56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9"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投标总价（人民币，大写）</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2" w:type="dxa"/>
            <w:vAlign w:val="center"/>
            <w:textDirection w:val="lrTb"/>
            <w:noWrap w:val="false"/>
          </w:tcPr>
          <w:p>
            <w:pPr>
              <w:ind w:left="0" w:right="0" w:firstLine="399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567"/>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37"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投标人是否属于小微型企业</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2"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       否</w:t>
            </w:r>
            <w:r/>
          </w:p>
        </w:tc>
      </w:tr>
    </w:tbl>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在“供应商是否属于小和微型企业”栏后“是”或“否”上打“√”。如填写“是”，投标人需提供《中小企业声明函》，如为代理商投标，还需提供投标产品制造商出具的上述文件。非小微企业产品不享受价格扣除。如未按要求提供、填写，或相关内容表述不清前后矛盾的，不享受价格扣除。</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8"/>
        <w:ind w:left="0" w:right="0" w:firstLine="108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numPr>
          <w:ilvl w:val="0"/>
          <w:numId w:val="6"/>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9"/>
        <w:gridCol w:w="1580"/>
        <w:gridCol w:w="2639"/>
        <w:gridCol w:w="1419"/>
        <w:gridCol w:w="1397"/>
        <w:gridCol w:w="1692"/>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2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08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858"/>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spacing w:before="0" w:after="0" w:line="85" w:lineRule="atLeast"/>
              <w:tabs>
                <w:tab w:val="left" w:pos="6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对本项目技术条款的偏离情况（请进行勾选):</w:t>
            </w:r>
            <w:r/>
          </w:p>
          <w:p>
            <w:pPr>
              <w:ind w:left="0" w:right="0" w:firstLine="0"/>
              <w:spacing w:before="0" w:after="0" w:line="85" w:lineRule="atLeast"/>
              <w:tabs>
                <w:tab w:val="left" w:pos="6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口无偏离（如无偏离，仅勾选无偏离即可)</w:t>
            </w:r>
            <w:r/>
          </w:p>
          <w:p>
            <w:pPr>
              <w:ind w:left="0" w:right="0" w:firstLine="0"/>
              <w:spacing w:before="0" w:after="0" w:line="85" w:lineRule="atLeast"/>
              <w:tabs>
                <w:tab w:val="left" w:pos="6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口有偏离（如有负偏离，则须在本表中对负偏离项逐一列明)</w:t>
            </w:r>
            <w:r/>
          </w:p>
        </w:tc>
      </w:tr>
      <w:tr>
        <w:trPr>
          <w:trHeight w:val="8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7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2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8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3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1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92" w:type="dxa"/>
            <w:vAlign w:val="center"/>
            <w:textDirection w:val="lrTb"/>
            <w:noWrap w:val="false"/>
          </w:tcPr>
          <w:p>
            <w:pPr>
              <w:spacing w:before="0" w:after="0" w:line="57" w:lineRule="atLeast"/>
            </w:pP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42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9"/>
        <w:gridCol w:w="1580"/>
        <w:gridCol w:w="2639"/>
        <w:gridCol w:w="1419"/>
        <w:gridCol w:w="1397"/>
        <w:gridCol w:w="1692"/>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26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08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858"/>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0" w:right="0" w:firstLine="0"/>
              <w:spacing w:before="0" w:after="0" w:line="85" w:lineRule="atLeast"/>
              <w:tabs>
                <w:tab w:val="left" w:pos="6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对本项目商务条款的偏离情况（请进行勾选):</w:t>
            </w:r>
            <w:r/>
          </w:p>
          <w:p>
            <w:pPr>
              <w:ind w:left="0" w:right="0" w:firstLine="0"/>
              <w:spacing w:before="0" w:after="0" w:line="85" w:lineRule="atLeast"/>
              <w:tabs>
                <w:tab w:val="left" w:pos="6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口无偏离（如无偏离，仅勾选无偏离即可)</w:t>
            </w:r>
            <w:r/>
          </w:p>
          <w:p>
            <w:pPr>
              <w:ind w:left="0" w:right="0" w:firstLine="0"/>
              <w:spacing w:before="0" w:after="0" w:line="85" w:lineRule="atLeast"/>
              <w:tabs>
                <w:tab w:val="left" w:pos="62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口有偏离（如有负偏离，则须在本表中对负偏离项逐一列明)</w:t>
            </w:r>
            <w:r/>
          </w:p>
        </w:tc>
      </w:tr>
      <w:tr>
        <w:trPr>
          <w:trHeight w:val="8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76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81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2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8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3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1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92" w:type="dxa"/>
            <w:vAlign w:val="center"/>
            <w:textDirection w:val="lrTb"/>
            <w:noWrap w:val="false"/>
          </w:tcPr>
          <w:p>
            <w:pPr>
              <w:spacing w:before="0" w:after="0" w:line="57" w:lineRule="atLeast"/>
            </w:pP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五、投标承诺函</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（采购人名称）</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（项目名称） （项目编号）           </w:t>
      </w:r>
      <w:r>
        <w:rPr>
          <w:rFonts w:ascii="SimSun" w:hAnsi="SimSun" w:eastAsia="SimSun" w:cs="SimSun"/>
          <w:color w:val="000000"/>
          <w:sz w:val="24"/>
        </w:rPr>
        <w:t xml:space="preserve">的招标公告，我方提交投标（响应）文件，并承诺如下：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1.我方的资格条件符合政府采购法和本次采购要求，我方同意并向贵方提供了与采购有关的所有证据和资料。</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2.我方参加本次采购活动前三年内，在经营活动中没有重大违法记录。</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3.我方参加本次采购活动前，没有被信用中国网站、中国政府采购网站列入失信被执行人名单、重大税收违法案件当事人名单、政府采购严重违法失信行为记录名单。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4.我方在全国范围内未受过财政部门禁止参加政府采购活动的处罚，或禁止参加政府采购活动的处罚期限已满。</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5.我方没有为本采购项目提供整体设计、规范编制，以及项目管理、监理、检测等服务。</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6.我方与参与本次采购活动的其他投标人的法定代表人或委托代理人无夫妻、直系血亲关系。</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7.我方与参与本次采购活动的其他供应商的负责人不是同一人，也不存在直接控股、管理关系。</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已详细审阅全部招标文件及其有效补充文件，放弃对招标文件任何误解的权利，提交投标（响应）文件后，不对招标文件本身提出质疑。否则，属于不诚信和故意扰乱政府采购活动行为，我们将无条件接受处罚。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9.我方同意从规定的开标日期起遵循本投标（响应）文件，并在规定的投标有效期期满之前均具有约束力。</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10.一旦我方中标，将根据招标文件的规定严格履行合同，并保证按承诺的时间完成相关工作，交付采购人，验收合格、交付使用。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我方决不提供虚假材料谋取中标（成交）、决不采取不正当手段诋毁、排挤其他投标人、决不与采购人、其它投标人或者分散采购代理机构恶意串通、决不向采购人、分散采购代理机构工作人员和评委进行商业贿赂、决不拒绝有关部门监督检查或提供虚假情况，如有违反，无条件接受贵方及相关管理部门的处罚。</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承诺人（公章）：  </w:t>
        <w:tab/>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六、资格审查资料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投标人根据招标文件第一章“申请人的资格要求”自行提供资料，未提供视为无，格式自拟。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七、商务部分资料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投标人根据招标文件中的采购需求和评标办法中的相关要求自行提供资料，未提供视为无，格式自拟。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八、技术部分资料</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投标人根据招标文件中的采购需求和评标办法中的相关要求自行提供资料，未提供视为无，格式自拟。</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32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九、其他相关资料</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18"/>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附件一、中小企业声明函（工程、服务）</w:t>
      </w:r>
      <w:r/>
    </w:p>
    <w:p>
      <w:pPr>
        <w:ind w:left="0" w:right="0" w:firstLine="4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 ） 46号）的规定，本公司 （联合体）参加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（服务）</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万元，属于（中型企业、小型企业、微型企业）。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（服务）</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r>
      <w:r>
        <w:rPr>
          <w:rFonts w:ascii="SimSun" w:hAnsi="SimSun" w:eastAsia="SimSun" w:cs="SimSun"/>
          <w:color w:val="000000"/>
          <w:sz w:val="24"/>
        </w:rPr>
        <w:t xml:space="preserve">万元，属于（中型企业、小型企业、微型企业）。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2"/>
        <w:spacing w:before="2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从业人员、营业收入、资产总额填报上一年度数据，无上一年度数据的新成立企业可不填报。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附件二、残疾人福利性单位声明函格式</w:t>
      </w:r>
      <w:r/>
    </w:p>
    <w:p>
      <w:pPr>
        <w:ind w:left="0" w:right="0" w:firstLine="0"/>
        <w:jc w:val="center"/>
        <w:spacing w:before="167"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167"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167"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残疾人福利性单位声明函</w:t>
      </w:r>
      <w:r/>
    </w:p>
    <w:p>
      <w:pPr>
        <w:ind w:left="0" w:right="0" w:firstLine="0"/>
        <w:jc w:val="both"/>
        <w:spacing w:before="7"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617" w:firstLine="480"/>
        <w:jc w:val="both"/>
        <w:spacing w:before="0" w:after="0" w:line="100" w:lineRule="atLeast"/>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617" w:firstLine="480"/>
        <w:jc w:val="both"/>
        <w:spacing w:before="0" w:after="0" w:line="100" w:lineRule="atLeast"/>
        <w:tabs>
          <w:tab w:val="left" w:pos="3711" w:leader="none"/>
          <w:tab w:val="left" w:pos="51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 号）的规定，本单位为符合条件的残疾人福利性单位，且本单位参加</w:t>
      </w:r>
      <w:r>
        <w:rPr>
          <w:rFonts w:ascii="SimSun" w:hAnsi="SimSun" w:eastAsia="SimSun" w:cs="SimSun"/>
          <w:color w:val="000000"/>
          <w:sz w:val="24"/>
          <w:u w:val="single"/>
        </w:rPr>
        <w:t xml:space="preserve"> </w:t>
        <w:tab/>
      </w:r>
      <w:r>
        <w:rPr>
          <w:rFonts w:ascii="SimSun" w:hAnsi="SimSun" w:eastAsia="SimSun" w:cs="SimSun"/>
          <w:color w:val="000000"/>
          <w:sz w:val="24"/>
        </w:rPr>
        <w:t xml:space="preserve">单位的 </w:t>
      </w:r>
      <w:r>
        <w:rPr>
          <w:rFonts w:ascii="SimSun" w:hAnsi="SimSun" w:eastAsia="SimSun" w:cs="SimSun"/>
          <w:color w:val="000000"/>
          <w:sz w:val="24"/>
          <w:u w:val="single"/>
        </w:rPr>
        <w:tab/>
      </w:r>
      <w:r>
        <w:rPr>
          <w:rFonts w:ascii="SimSun" w:hAnsi="SimSun" w:eastAsia="SimSun" w:cs="SimSun"/>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600"/>
        <w:jc w:val="both"/>
        <w:spacing w:before="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jc w:val="both"/>
        <w:spacing w:before="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725" w:firstLine="0"/>
        <w:jc w:val="both"/>
        <w:spacing w:before="0" w:after="0" w:line="99"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725" w:firstLine="0"/>
        <w:jc w:val="both"/>
        <w:spacing w:before="0" w:after="0" w:line="99"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725" w:firstLine="4560"/>
        <w:jc w:val="both"/>
        <w:spacing w:before="0" w:after="0" w:line="99"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 </w:t>
      </w:r>
      <w:r/>
    </w:p>
    <w:p>
      <w:pPr>
        <w:ind w:left="0" w:right="2725" w:firstLine="5520"/>
        <w:jc w:val="both"/>
        <w:spacing w:before="0" w:after="0" w:line="99" w:lineRule="atLeast"/>
        <w:tabs>
          <w:tab w:val="left" w:pos="70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附件三、无重大违法记录声明格式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南京市雨花台区农业农村局：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我单位 </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（投标人名称）郑重声明：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参加政府采购活动前3年内在经营活动中</w:t>
      </w:r>
      <w:r>
        <w:rPr>
          <w:rFonts w:ascii="SimSun" w:hAnsi="SimSun" w:eastAsia="SimSun" w:cs="SimSun"/>
          <w:color w:val="000000"/>
          <w:sz w:val="24"/>
          <w:u w:val="single"/>
        </w:rPr>
        <w:t xml:space="preserve">       </w:t>
      </w:r>
      <w:r>
        <w:rPr>
          <w:rFonts w:ascii="SimSun" w:hAnsi="SimSun" w:eastAsia="SimSun" w:cs="SimSun"/>
          <w:color w:val="000000"/>
          <w:sz w:val="24"/>
        </w:rPr>
        <w:t xml:space="preserve"> （在下划线上如实填写：有或没有）重大违法记录。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附件四、具备履行合同所必需的设备和专业技术能力的声明格式或证明材料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南京市雨花台区农业农村局：</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 。( 若有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 。(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日期：______年   月    日</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其他证明材料及文件：（如果供应商认为需要提供的话）</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附件五、南京市政府采购供应商信用记录表暨信用承诺书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南京市政府采购供应商信用记录表暨信用承诺书</w:t>
      </w:r>
      <w:r/>
    </w:p>
    <w:p>
      <w:pPr>
        <w:ind w:left="6447"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94"/>
        <w:gridCol w:w="2069"/>
        <w:gridCol w:w="2146"/>
        <w:gridCol w:w="2630"/>
      </w:tblGrid>
      <w:tr>
        <w:trPr>
          <w:trHeight w:val="55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0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4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26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2"/>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9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0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46"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26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7"/>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94"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联系地址</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06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46" w:type="dxa"/>
            <w:vAlign w:val="bottom"/>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26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33"/>
        </w:trPr>
        <w:tc>
          <w:tcPr>
            <w:shd w:val="clear" w:color="ffffff" w:fill="ffffff"/>
            <w:tcBorders>
              <w:top w:val="single" w:color="000000" w:sz="8" w:space="0"/>
              <w:left w:val="single" w:color="000000" w:sz="8" w:space="0"/>
              <w:bottom w:val="none" w:color="000000" w:sz="4" w:space="0"/>
              <w:right w:val="none" w:color="000000" w:sz="4" w:space="0"/>
            </w:tcBorders>
            <w:tcMar>
              <w:left w:w="10" w:type="dxa"/>
              <w:top w:w="0" w:type="dxa"/>
              <w:right w:w="10" w:type="dxa"/>
              <w:bottom w:w="0" w:type="dxa"/>
            </w:tcMar>
            <w:tcW w:w="219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诚信档案记录情况</w:t>
            </w:r>
            <w:r/>
          </w:p>
        </w:tc>
        <w:tc>
          <w:tcPr>
            <w:gridSpan w:val="3"/>
            <w:shd w:val="clear" w:color="ffffff" w:fill="ffffff"/>
            <w:tcBorders>
              <w:top w:val="single" w:color="000000" w:sz="8" w:space="0"/>
              <w:left w:val="single" w:color="000000" w:sz="8" w:space="0"/>
              <w:bottom w:val="none" w:color="000000" w:sz="4" w:space="0"/>
              <w:right w:val="single" w:color="000000" w:sz="8" w:space="0"/>
            </w:tcBorders>
            <w:tcMar>
              <w:left w:w="10" w:type="dxa"/>
              <w:top w:w="0" w:type="dxa"/>
              <w:right w:w="10" w:type="dxa"/>
              <w:bottom w:w="0" w:type="dxa"/>
            </w:tcMar>
            <w:tcW w:w="684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62"/>
        </w:trPr>
        <w:tc>
          <w:tcPr>
            <w:shd w:val="clear" w:color="ffffff" w:fill="ffffff"/>
            <w:tcBorders>
              <w:top w:val="single" w:color="000000" w:sz="8" w:space="0"/>
              <w:left w:val="single" w:color="000000" w:sz="8" w:space="0"/>
              <w:bottom w:val="single" w:color="000000" w:sz="8" w:space="0"/>
              <w:right w:val="none" w:color="000000" w:sz="4" w:space="0"/>
            </w:tcBorders>
            <w:tcMar>
              <w:left w:w="10" w:type="dxa"/>
              <w:top w:w="0" w:type="dxa"/>
              <w:right w:w="10" w:type="dxa"/>
              <w:bottom w:w="0" w:type="dxa"/>
            </w:tcMar>
            <w:tcW w:w="2194" w:type="dxa"/>
            <w:vAlign w:val="center"/>
            <w:textDirection w:val="lrTb"/>
            <w:noWrap w:val="false"/>
          </w:tcPr>
          <w:p>
            <w:pPr>
              <w:ind w:left="0" w:right="0" w:firstLine="6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信用承诺</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845" w:type="dxa"/>
            <w:vAlign w:val="bottom"/>
            <w:textDirection w:val="lrTb"/>
            <w:noWrap w:val="false"/>
          </w:tcPr>
          <w:p>
            <w:pPr>
              <w:ind w:left="0" w:right="0" w:firstLine="560"/>
              <w:jc w:val="both"/>
              <w:spacing w:before="0" w:after="1340" w:line="3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我公司自愿参加贵中心（公司）组织的本次釆购活动，严格 遵守《中华人民共和国政府釆购法》及相关法律法规，坚守公开、 公平、公正和诚实信用的原则，依法诚信经营，无条件遵守本次 政府采购活动的各项规定。我们郑重承诺，本公司符合《政府采购法》第二十二条规定的条件，包括：具有独立承担民事责任的能力；具有良好的商业信誉和健全的财务会计制度；具有履行合同所必需的设备和专业技术能力；具有依法缴纳税收和社会保障资金的良好记录；参加政府采购活动前三年内，在经营活动中没有重大违法记录；符合法律、行政法规和招标文件规定的其他条件。</w:t>
            </w:r>
            <w:r>
              <w:rPr>
                <w:rFonts w:ascii="SimSun" w:hAnsi="SimSun" w:eastAsia="SimSun" w:cs="SimSun"/>
                <w:color w:val="000000"/>
                <w:sz w:val="24"/>
              </w:rPr>
              <w:t xml:space="preserve"> 如有弄虚作假或其他违法违规行为，愿承担一切法律责任，接受各级政府釆购监管部门和有权机关的审查和处罚。</w:t>
            </w:r>
            <w:r/>
          </w:p>
          <w:p>
            <w:pPr>
              <w:ind w:left="2860" w:right="0" w:firstLine="0"/>
              <w:jc w:val="both"/>
              <w:spacing w:before="0" w:after="80" w:line="3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2860" w:right="0" w:firstLine="0"/>
              <w:jc w:val="both"/>
              <w:spacing w:before="0" w:after="80" w:line="3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2614" w:right="0" w:firstLine="960"/>
              <w:spacing w:before="0" w:after="0" w:line="35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598"/>
    <w:next w:val="59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598"/>
    <w:next w:val="59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598"/>
    <w:next w:val="59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598"/>
    <w:next w:val="59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598"/>
    <w:next w:val="59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598"/>
    <w:next w:val="59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598"/>
    <w:next w:val="59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598"/>
    <w:next w:val="59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598"/>
    <w:next w:val="59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598"/>
    <w:next w:val="59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598"/>
    <w:next w:val="59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598"/>
    <w:next w:val="598"/>
    <w:link w:val="38"/>
    <w:uiPriority w:val="29"/>
    <w:qFormat/>
    <w:pPr>
      <w:ind w:left="720" w:right="720"/>
    </w:pPr>
    <w:rPr>
      <w:i/>
    </w:rPr>
  </w:style>
  <w:style w:type="character" w:styleId="38">
    <w:name w:val="Quote Char"/>
    <w:link w:val="37"/>
    <w:uiPriority w:val="29"/>
    <w:rPr>
      <w:i/>
    </w:rPr>
  </w:style>
  <w:style w:type="paragraph" w:styleId="39">
    <w:name w:val="Intense Quote"/>
    <w:basedOn w:val="598"/>
    <w:next w:val="59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59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59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598"/>
    <w:next w:val="59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59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5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5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5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5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5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5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5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5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5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5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5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5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5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5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5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5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5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5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5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5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5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5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5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5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5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5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5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5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5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5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5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5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5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5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5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5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5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5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5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5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5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5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5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5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5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5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5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5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5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5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59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59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59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59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59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59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5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5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5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5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5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5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5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5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5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5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5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5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5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5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5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5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5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5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5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5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5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5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5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5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5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5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5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5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5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5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5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5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5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5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5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5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5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5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5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5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5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5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5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5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5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5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5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5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5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5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5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5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5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5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5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5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5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59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59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598"/>
    <w:next w:val="598"/>
    <w:uiPriority w:val="39"/>
    <w:unhideWhenUsed/>
    <w:pPr>
      <w:ind w:left="0" w:right="0" w:firstLine="0"/>
      <w:spacing w:after="57"/>
    </w:pPr>
  </w:style>
  <w:style w:type="paragraph" w:styleId="181">
    <w:name w:val="toc 2"/>
    <w:basedOn w:val="598"/>
    <w:next w:val="598"/>
    <w:uiPriority w:val="39"/>
    <w:unhideWhenUsed/>
    <w:pPr>
      <w:ind w:left="283" w:right="0" w:firstLine="0"/>
      <w:spacing w:after="57"/>
    </w:pPr>
  </w:style>
  <w:style w:type="paragraph" w:styleId="182">
    <w:name w:val="toc 3"/>
    <w:basedOn w:val="598"/>
    <w:next w:val="598"/>
    <w:uiPriority w:val="39"/>
    <w:unhideWhenUsed/>
    <w:pPr>
      <w:ind w:left="567" w:right="0" w:firstLine="0"/>
      <w:spacing w:after="57"/>
    </w:pPr>
  </w:style>
  <w:style w:type="paragraph" w:styleId="183">
    <w:name w:val="toc 4"/>
    <w:basedOn w:val="598"/>
    <w:next w:val="598"/>
    <w:uiPriority w:val="39"/>
    <w:unhideWhenUsed/>
    <w:pPr>
      <w:ind w:left="850" w:right="0" w:firstLine="0"/>
      <w:spacing w:after="57"/>
    </w:pPr>
  </w:style>
  <w:style w:type="paragraph" w:styleId="184">
    <w:name w:val="toc 5"/>
    <w:basedOn w:val="598"/>
    <w:next w:val="598"/>
    <w:uiPriority w:val="39"/>
    <w:unhideWhenUsed/>
    <w:pPr>
      <w:ind w:left="1134" w:right="0" w:firstLine="0"/>
      <w:spacing w:after="57"/>
    </w:pPr>
  </w:style>
  <w:style w:type="paragraph" w:styleId="185">
    <w:name w:val="toc 6"/>
    <w:basedOn w:val="598"/>
    <w:next w:val="598"/>
    <w:uiPriority w:val="39"/>
    <w:unhideWhenUsed/>
    <w:pPr>
      <w:ind w:left="1417" w:right="0" w:firstLine="0"/>
      <w:spacing w:after="57"/>
    </w:pPr>
  </w:style>
  <w:style w:type="paragraph" w:styleId="186">
    <w:name w:val="toc 7"/>
    <w:basedOn w:val="598"/>
    <w:next w:val="598"/>
    <w:uiPriority w:val="39"/>
    <w:unhideWhenUsed/>
    <w:pPr>
      <w:ind w:left="1701" w:right="0" w:firstLine="0"/>
      <w:spacing w:after="57"/>
    </w:pPr>
  </w:style>
  <w:style w:type="paragraph" w:styleId="187">
    <w:name w:val="toc 8"/>
    <w:basedOn w:val="598"/>
    <w:next w:val="598"/>
    <w:uiPriority w:val="39"/>
    <w:unhideWhenUsed/>
    <w:pPr>
      <w:ind w:left="1984" w:right="0" w:firstLine="0"/>
      <w:spacing w:after="57"/>
    </w:pPr>
  </w:style>
  <w:style w:type="paragraph" w:styleId="188">
    <w:name w:val="toc 9"/>
    <w:basedOn w:val="598"/>
    <w:next w:val="598"/>
    <w:uiPriority w:val="39"/>
    <w:unhideWhenUsed/>
    <w:pPr>
      <w:ind w:left="2268" w:right="0" w:firstLine="0"/>
      <w:spacing w:after="57"/>
    </w:pPr>
  </w:style>
  <w:style w:type="paragraph" w:styleId="189">
    <w:name w:val="TOC Heading"/>
    <w:uiPriority w:val="39"/>
    <w:unhideWhenUsed/>
  </w:style>
  <w:style w:type="paragraph" w:styleId="190">
    <w:name w:val="table of figures"/>
    <w:basedOn w:val="598"/>
    <w:next w:val="598"/>
    <w:uiPriority w:val="99"/>
    <w:unhideWhenUsed/>
    <w:pPr>
      <w:spacing w:after="0" w:afterAutospacing="0"/>
    </w:pPr>
  </w:style>
  <w:style w:type="paragraph" w:styleId="598" w:default="1">
    <w:name w:val="Normal"/>
    <w:qFormat/>
  </w:style>
  <w:style w:type="table" w:styleId="599" w:default="1">
    <w:name w:val="Normal Table"/>
    <w:uiPriority w:val="99"/>
    <w:semiHidden/>
    <w:unhideWhenUsed/>
    <w:tblPr>
      <w:tblInd w:w="0" w:type="dxa"/>
      <w:tblCellMar>
        <w:left w:w="108" w:type="dxa"/>
        <w:top w:w="0" w:type="dxa"/>
        <w:right w:w="108" w:type="dxa"/>
        <w:bottom w:w="0" w:type="dxa"/>
      </w:tblCellMar>
    </w:tblPr>
  </w:style>
  <w:style w:type="numbering" w:styleId="600" w:default="1">
    <w:name w:val="No List"/>
    <w:uiPriority w:val="99"/>
    <w:semiHidden/>
    <w:unhideWhenUsed/>
  </w:style>
  <w:style w:type="paragraph" w:styleId="601">
    <w:name w:val="No Spacing"/>
    <w:basedOn w:val="598"/>
    <w:uiPriority w:val="1"/>
    <w:qFormat/>
    <w:pPr>
      <w:spacing w:after="0" w:line="240" w:lineRule="auto"/>
    </w:pPr>
  </w:style>
  <w:style w:type="paragraph" w:styleId="602">
    <w:name w:val="List Paragraph"/>
    <w:basedOn w:val="598"/>
    <w:uiPriority w:val="34"/>
    <w:qFormat/>
    <w:pPr>
      <w:contextualSpacing/>
      <w:ind w:left="720"/>
    </w:pPr>
  </w:style>
  <w:style w:type="character" w:styleId="607"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8329624"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8329625"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832963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832963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832963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8832963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贾颖</cp:lastModifiedBy>
  <cp:revision>1</cp:revision>
  <dcterms:modified xsi:type="dcterms:W3CDTF">2024-01-29T02:51:29Z</dcterms:modified>
</cp:coreProperties>
</file>