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3"/>
        <w:jc w:val="both"/>
        <w:spacing w:line="560" w:lineRule="exact"/>
        <w:rPr>
          <w:rFonts w:hint="eastAsia" w:ascii="仿宋" w:hAnsi="仿宋" w:eastAsia="仿宋" w:cs="仿宋"/>
          <w:b/>
          <w:color w:val="auto"/>
          <w:spacing w:val="76"/>
          <w:sz w:val="28"/>
          <w:szCs w:val="28"/>
          <w:highlight w:val="none"/>
        </w:rPr>
      </w:pPr>
      <w:r>
        <w:rPr>
          <w:rFonts w:hint="eastAsia" w:ascii="仿宋" w:hAnsi="仿宋" w:eastAsia="仿宋" w:cs="仿宋"/>
          <w:b/>
          <w:color w:val="auto"/>
          <w:spacing w:val="76"/>
          <w:sz w:val="28"/>
          <w:szCs w:val="28"/>
          <w:highlight w:val="none"/>
        </w:rPr>
      </w:r>
      <w:r/>
    </w:p>
    <w:p>
      <w:pPr>
        <w:pStyle w:val="747"/>
        <w:ind w:left="0" w:firstLine="0"/>
        <w:jc w:val="right"/>
        <w:rPr>
          <w:rFonts w:hint="eastAsia" w:ascii="仿宋" w:hAnsi="仿宋" w:eastAsia="仿宋" w:cs="仿宋"/>
          <w:color w:val="auto"/>
          <w:highlight w:val="none"/>
        </w:rPr>
      </w:pPr>
      <w:r>
        <w:rPr>
          <w:rFonts w:hint="eastAsia" w:ascii="仿宋" w:hAnsi="仿宋" w:eastAsia="仿宋" w:cs="仿宋"/>
          <w:color w:val="auto"/>
          <w:highlight w:val="none"/>
        </w:rPr>
      </w:r>
      <w:r/>
    </w:p>
    <w:p>
      <w:pPr>
        <w:pStyle w:val="747"/>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47"/>
        <w:ind w:left="0" w:firstLine="0"/>
        <w:rPr>
          <w:rFonts w:hint="eastAsia" w:ascii="仿宋" w:hAnsi="仿宋" w:eastAsia="仿宋" w:cs="仿宋"/>
          <w:color w:val="auto"/>
          <w:highlight w:val="none"/>
        </w:rPr>
      </w:pPr>
      <w:r>
        <w:rPr>
          <w:rFonts w:hint="eastAsia" w:ascii="仿宋" w:hAnsi="仿宋" w:eastAsia="仿宋" w:cs="仿宋"/>
          <w:color w:val="auto"/>
          <w:highlight w:val="none"/>
        </w:rPr>
      </w:r>
      <w:r/>
    </w:p>
    <w:p>
      <w:pPr>
        <w:pStyle w:val="753"/>
        <w:jc w:val="center"/>
        <w:spacing w:line="920" w:lineRule="exact"/>
        <w:rPr>
          <w:rFonts w:hint="eastAsia" w:ascii="仿宋" w:hAnsi="仿宋" w:eastAsia="仿宋" w:cs="仿宋"/>
          <w:b/>
          <w:color w:val="auto"/>
          <w:spacing w:val="-20"/>
          <w:sz w:val="96"/>
          <w:szCs w:val="96"/>
          <w:highlight w:val="none"/>
        </w:rPr>
      </w:pPr>
      <w:r>
        <w:rPr>
          <w:rFonts w:hint="eastAsia" w:ascii="仿宋" w:hAnsi="仿宋" w:eastAsia="仿宋" w:cs="仿宋"/>
          <w:b/>
          <w:color w:val="auto"/>
          <w:sz w:val="96"/>
          <w:szCs w:val="96"/>
          <w:highlight w:val="none"/>
        </w:rPr>
        <w:t xml:space="preserve">竞争性磋商文件</w:t>
      </w:r>
      <w:r>
        <w:rPr>
          <w:rFonts w:hint="eastAsia" w:ascii="仿宋" w:hAnsi="仿宋" w:eastAsia="仿宋" w:cs="仿宋"/>
          <w:b/>
          <w:color w:val="auto"/>
          <w:spacing w:val="-20"/>
          <w:sz w:val="96"/>
          <w:szCs w:val="96"/>
          <w:highlight w:val="none"/>
        </w:rPr>
        <w:t xml:space="preserve"> </w:t>
      </w:r>
      <w:r/>
    </w:p>
    <w:p>
      <w:pPr>
        <w:pStyle w:val="753"/>
        <w:jc w:val="left"/>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pStyle w:val="758"/>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     </w:t>
      </w:r>
      <w:r/>
    </w:p>
    <w:p>
      <w:pPr>
        <w:pStyle w:val="753"/>
        <w:jc w:val="left"/>
        <w:spacing w:line="9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58"/>
        <w:rPr>
          <w:rFonts w:hint="eastAsia" w:ascii="仿宋" w:hAnsi="仿宋" w:eastAsia="仿宋" w:cs="仿宋"/>
          <w:color w:val="auto"/>
          <w:highlight w:val="none"/>
        </w:rPr>
      </w:pPr>
      <w:r>
        <w:rPr>
          <w:rFonts w:hint="eastAsia" w:ascii="仿宋" w:hAnsi="仿宋" w:eastAsia="仿宋" w:cs="仿宋"/>
          <w:color w:val="auto"/>
          <w:highlight w:val="none"/>
        </w:rPr>
      </w:r>
      <w:r/>
    </w:p>
    <w:p>
      <w:pPr>
        <w:pStyle w:val="753"/>
        <w:ind w:left="2522" w:hanging="1405"/>
        <w:jc w:val="left"/>
        <w:spacing w:line="360" w:lineRule="auto"/>
        <w:rPr>
          <w:rFonts w:hint="eastAsia" w:ascii="仿宋" w:hAnsi="仿宋" w:eastAsia="仿宋" w:cs="仿宋"/>
          <w:b w:val="0"/>
          <w:bCs/>
          <w:color w:val="auto"/>
          <w:sz w:val="32"/>
          <w:szCs w:val="32"/>
          <w:highlight w:val="none"/>
        </w:rPr>
      </w:pPr>
      <w:r>
        <w:rPr>
          <w:rFonts w:hint="eastAsia" w:ascii="仿宋" w:hAnsi="仿宋" w:eastAsia="仿宋" w:cs="仿宋"/>
          <w:b w:val="0"/>
          <w:bCs/>
          <w:color w:val="auto"/>
          <w:sz w:val="32"/>
          <w:szCs w:val="32"/>
          <w:highlight w:val="none"/>
        </w:rPr>
        <w:t xml:space="preserve">项目名称：</w:t>
      </w:r>
      <w:r>
        <w:rPr>
          <w:rFonts w:hint="eastAsia" w:ascii="仿宋" w:hAnsi="仿宋" w:eastAsia="仿宋" w:cs="仿宋"/>
          <w:b w:val="0"/>
          <w:bCs/>
          <w:color w:val="auto"/>
          <w:sz w:val="32"/>
          <w:szCs w:val="32"/>
          <w:highlight w:val="none"/>
          <w:lang w:eastAsia="zh-CN"/>
        </w:rPr>
        <w:t xml:space="preserve">邳州市退役军人事务局重点优抚对象住院医疗商业保险</w:t>
      </w:r>
      <w:r/>
    </w:p>
    <w:p>
      <w:pPr>
        <w:pStyle w:val="753"/>
        <w:ind w:firstLine="1124"/>
        <w:jc w:val="left"/>
        <w:spacing w:line="360" w:lineRule="auto"/>
        <w:rPr>
          <w:rFonts w:hint="eastAsia" w:ascii="仿宋" w:hAnsi="仿宋" w:eastAsia="仿宋" w:cs="仿宋"/>
          <w:b w:val="0"/>
          <w:bCs/>
          <w:color w:val="auto"/>
          <w:sz w:val="32"/>
          <w:szCs w:val="32"/>
          <w:highlight w:val="none"/>
        </w:rPr>
      </w:pPr>
      <w:r>
        <w:rPr>
          <w:rFonts w:hint="eastAsia" w:ascii="仿宋" w:hAnsi="仿宋" w:eastAsia="仿宋" w:cs="仿宋"/>
          <w:b w:val="0"/>
          <w:bCs/>
          <w:color w:val="auto"/>
          <w:sz w:val="32"/>
          <w:szCs w:val="32"/>
          <w:highlight w:val="none"/>
        </w:rPr>
        <w:t xml:space="preserve">项目编号：</w:t>
      </w:r>
      <w:r>
        <w:rPr>
          <w:rFonts w:hint="eastAsia" w:ascii="仿宋" w:hAnsi="仿宋" w:eastAsia="仿宋" w:cs="仿宋"/>
          <w:b w:val="0"/>
          <w:bCs/>
          <w:color w:val="auto"/>
          <w:sz w:val="32"/>
          <w:szCs w:val="32"/>
          <w:highlight w:val="none"/>
          <w:lang w:eastAsia="zh-CN"/>
        </w:rPr>
        <w:t xml:space="preserve">JSZC-320382-GXZB-C2026-0003</w:t>
      </w:r>
      <w:r/>
    </w:p>
    <w:p>
      <w:pPr>
        <w:pStyle w:val="753"/>
        <w:ind w:firstLine="1124"/>
        <w:jc w:val="left"/>
        <w:spacing w:line="360" w:lineRule="auto"/>
        <w:rPr>
          <w:rFonts w:hint="eastAsia" w:ascii="仿宋" w:hAnsi="仿宋" w:eastAsia="仿宋" w:cs="仿宋"/>
          <w:b w:val="0"/>
          <w:bCs/>
          <w:color w:val="auto"/>
          <w:sz w:val="32"/>
          <w:szCs w:val="32"/>
          <w:highlight w:val="none"/>
        </w:rPr>
      </w:pPr>
      <w:r>
        <w:rPr>
          <w:rFonts w:hint="eastAsia" w:ascii="仿宋" w:hAnsi="仿宋" w:eastAsia="仿宋" w:cs="仿宋"/>
          <w:b w:val="0"/>
          <w:bCs/>
          <w:color w:val="auto"/>
          <w:sz w:val="32"/>
          <w:szCs w:val="32"/>
          <w:highlight w:val="none"/>
        </w:rPr>
        <w:t xml:space="preserve">采 购 人：</w:t>
      </w:r>
      <w:r>
        <w:rPr>
          <w:rFonts w:hint="eastAsia" w:ascii="仿宋" w:hAnsi="仿宋" w:eastAsia="仿宋" w:cs="仿宋"/>
          <w:b w:val="0"/>
          <w:bCs/>
          <w:color w:val="auto"/>
          <w:sz w:val="32"/>
          <w:szCs w:val="32"/>
          <w:highlight w:val="none"/>
          <w:lang w:eastAsia="zh-CN"/>
        </w:rPr>
        <w:t xml:space="preserve">邳州市退役军人事务局</w:t>
      </w:r>
      <w:r/>
    </w:p>
    <w:p>
      <w:pPr>
        <w:pStyle w:val="753"/>
        <w:ind w:firstLine="2380"/>
        <w:spacing w:line="960" w:lineRule="exact"/>
        <w:rPr>
          <w:rFonts w:hint="eastAsia" w:ascii="仿宋" w:hAnsi="仿宋" w:eastAsia="仿宋" w:cs="仿宋"/>
          <w:b w:val="0"/>
          <w:bCs/>
          <w:color w:val="auto"/>
          <w:sz w:val="32"/>
          <w:szCs w:val="32"/>
          <w:highlight w:val="none"/>
        </w:rPr>
      </w:pPr>
      <w:r>
        <w:rPr>
          <w:rFonts w:hint="eastAsia" w:ascii="仿宋" w:hAnsi="仿宋" w:eastAsia="仿宋" w:cs="仿宋"/>
          <w:b w:val="0"/>
          <w:bCs/>
          <w:color w:val="auto"/>
          <w:sz w:val="32"/>
          <w:szCs w:val="32"/>
          <w:highlight w:val="none"/>
        </w:rPr>
      </w:r>
      <w:r/>
    </w:p>
    <w:p>
      <w:pPr>
        <w:pStyle w:val="757"/>
        <w:rPr>
          <w:rFonts w:hint="eastAsia" w:ascii="仿宋" w:hAnsi="仿宋" w:eastAsia="仿宋" w:cs="仿宋"/>
          <w:b w:val="0"/>
          <w:bCs/>
          <w:color w:val="auto"/>
          <w:sz w:val="32"/>
          <w:szCs w:val="32"/>
          <w:highlight w:val="none"/>
        </w:rPr>
      </w:pPr>
      <w:r>
        <w:rPr>
          <w:rFonts w:hint="eastAsia" w:ascii="仿宋" w:hAnsi="仿宋" w:eastAsia="仿宋" w:cs="仿宋"/>
          <w:b w:val="0"/>
          <w:bCs/>
          <w:color w:val="auto"/>
          <w:sz w:val="32"/>
          <w:szCs w:val="32"/>
          <w:highlight w:val="none"/>
        </w:rPr>
      </w:r>
      <w:r/>
    </w:p>
    <w:p>
      <w:pPr>
        <w:pStyle w:val="757"/>
        <w:rPr>
          <w:rFonts w:hint="eastAsia" w:ascii="仿宋" w:hAnsi="仿宋" w:eastAsia="仿宋" w:cs="仿宋"/>
          <w:b w:val="0"/>
          <w:bCs/>
          <w:color w:val="auto"/>
          <w:sz w:val="32"/>
          <w:szCs w:val="32"/>
          <w:highlight w:val="none"/>
        </w:rPr>
      </w:pPr>
      <w:r>
        <w:rPr>
          <w:rFonts w:hint="eastAsia" w:ascii="仿宋" w:hAnsi="仿宋" w:eastAsia="仿宋" w:cs="仿宋"/>
          <w:b w:val="0"/>
          <w:bCs/>
          <w:color w:val="auto"/>
          <w:sz w:val="32"/>
          <w:szCs w:val="32"/>
          <w:highlight w:val="none"/>
        </w:rPr>
      </w:r>
      <w:r/>
    </w:p>
    <w:p>
      <w:pPr>
        <w:pStyle w:val="753"/>
        <w:ind w:firstLine="2380"/>
        <w:spacing w:line="960" w:lineRule="exact"/>
        <w:rPr>
          <w:rFonts w:hint="eastAsia" w:ascii="仿宋" w:hAnsi="仿宋" w:eastAsia="仿宋" w:cs="仿宋"/>
          <w:b w:val="0"/>
          <w:bCs/>
          <w:color w:val="auto"/>
          <w:sz w:val="32"/>
          <w:szCs w:val="32"/>
          <w:highlight w:val="none"/>
        </w:rPr>
      </w:pPr>
      <w:r>
        <w:rPr>
          <w:rFonts w:hint="eastAsia" w:ascii="仿宋" w:hAnsi="仿宋" w:eastAsia="仿宋" w:cs="仿宋"/>
          <w:b w:val="0"/>
          <w:bCs/>
          <w:color w:val="auto"/>
          <w:sz w:val="32"/>
          <w:szCs w:val="32"/>
          <w:highlight w:val="none"/>
        </w:rPr>
      </w:r>
      <w:r/>
    </w:p>
    <w:p>
      <w:pPr>
        <w:pStyle w:val="758"/>
        <w:rPr>
          <w:rFonts w:hint="eastAsia" w:ascii="仿宋" w:hAnsi="仿宋" w:eastAsia="仿宋" w:cs="仿宋"/>
          <w:b w:val="0"/>
          <w:bCs/>
          <w:color w:val="auto"/>
          <w:sz w:val="32"/>
          <w:szCs w:val="32"/>
          <w:highlight w:val="none"/>
        </w:rPr>
      </w:pPr>
      <w:r>
        <w:rPr>
          <w:rFonts w:hint="eastAsia" w:ascii="仿宋" w:hAnsi="仿宋" w:eastAsia="仿宋" w:cs="仿宋"/>
          <w:b w:val="0"/>
          <w:bCs/>
          <w:color w:val="auto"/>
          <w:sz w:val="32"/>
          <w:szCs w:val="32"/>
          <w:highlight w:val="none"/>
        </w:rPr>
      </w:r>
      <w:r/>
    </w:p>
    <w:p>
      <w:pPr>
        <w:pStyle w:val="758"/>
        <w:ind w:left="0" w:firstLine="0"/>
        <w:rPr>
          <w:rFonts w:hint="eastAsia" w:ascii="仿宋" w:hAnsi="仿宋" w:eastAsia="仿宋" w:cs="仿宋"/>
          <w:b w:val="0"/>
          <w:bCs/>
          <w:color w:val="auto"/>
          <w:sz w:val="32"/>
          <w:szCs w:val="32"/>
          <w:highlight w:val="none"/>
        </w:rPr>
      </w:pPr>
      <w:r>
        <w:rPr>
          <w:rFonts w:hint="eastAsia" w:ascii="仿宋" w:hAnsi="仿宋" w:eastAsia="仿宋" w:cs="仿宋"/>
          <w:b w:val="0"/>
          <w:bCs/>
          <w:color w:val="auto"/>
          <w:sz w:val="32"/>
          <w:szCs w:val="32"/>
          <w:highlight w:val="none"/>
        </w:rPr>
      </w:r>
      <w:r/>
    </w:p>
    <w:p>
      <w:pPr>
        <w:pStyle w:val="758"/>
        <w:rPr>
          <w:rFonts w:hint="eastAsia" w:ascii="仿宋" w:hAnsi="仿宋" w:eastAsia="仿宋" w:cs="仿宋"/>
          <w:b w:val="0"/>
          <w:bCs/>
          <w:color w:val="auto"/>
          <w:sz w:val="32"/>
          <w:szCs w:val="32"/>
          <w:highlight w:val="none"/>
        </w:rPr>
      </w:pPr>
      <w:r>
        <w:rPr>
          <w:rFonts w:hint="eastAsia" w:ascii="仿宋" w:hAnsi="仿宋" w:eastAsia="仿宋" w:cs="仿宋"/>
          <w:b w:val="0"/>
          <w:bCs/>
          <w:color w:val="auto"/>
          <w:sz w:val="32"/>
          <w:szCs w:val="32"/>
          <w:highlight w:val="none"/>
        </w:rPr>
      </w:r>
      <w:r/>
    </w:p>
    <w:p>
      <w:pPr>
        <w:pStyle w:val="753"/>
        <w:jc w:val="center"/>
        <w:spacing w:line="360" w:lineRule="auto"/>
        <w:rPr>
          <w:rFonts w:hint="eastAsia" w:ascii="仿宋" w:hAnsi="仿宋" w:eastAsia="仿宋" w:cs="仿宋"/>
          <w:b w:val="0"/>
          <w:bCs/>
          <w:color w:val="auto"/>
          <w:sz w:val="32"/>
          <w:szCs w:val="32"/>
          <w:highlight w:val="none"/>
        </w:rPr>
      </w:pPr>
      <w:r>
        <w:rPr>
          <w:rFonts w:hint="eastAsia" w:ascii="仿宋" w:hAnsi="仿宋" w:eastAsia="仿宋" w:cs="仿宋"/>
          <w:b w:val="0"/>
          <w:bCs/>
          <w:color w:val="auto"/>
          <w:sz w:val="32"/>
          <w:szCs w:val="32"/>
          <w:highlight w:val="none"/>
        </w:rPr>
        <w:t xml:space="preserve">采购代理机构：</w:t>
      </w:r>
      <w:r>
        <w:rPr>
          <w:rFonts w:hint="eastAsia" w:ascii="仿宋" w:hAnsi="仿宋" w:eastAsia="仿宋" w:cs="仿宋"/>
          <w:b w:val="0"/>
          <w:bCs/>
          <w:color w:val="auto"/>
          <w:sz w:val="32"/>
          <w:szCs w:val="32"/>
          <w:highlight w:val="none"/>
          <w:lang w:eastAsia="zh-CN"/>
        </w:rPr>
        <w:t xml:space="preserve">徐州公信招标代理有限公司</w:t>
      </w:r>
      <w:r/>
    </w:p>
    <w:p>
      <w:pPr>
        <w:pStyle w:val="911"/>
        <w:ind w:firstLine="0"/>
        <w:jc w:val="center"/>
        <w:spacing w:line="360" w:lineRule="auto"/>
        <w:rPr>
          <w:rFonts w:hint="eastAsia" w:ascii="仿宋" w:hAnsi="仿宋" w:eastAsia="仿宋" w:cs="仿宋"/>
          <w:b w:val="0"/>
          <w:bCs/>
          <w:color w:val="auto"/>
          <w:sz w:val="32"/>
          <w:szCs w:val="32"/>
          <w:highlight w:val="none"/>
        </w:rPr>
      </w:pPr>
      <w:r>
        <w:rPr>
          <w:rFonts w:hint="eastAsia" w:ascii="仿宋" w:hAnsi="仿宋" w:eastAsia="仿宋" w:cs="仿宋"/>
          <w:b w:val="0"/>
          <w:bCs/>
          <w:color w:val="auto"/>
          <w:sz w:val="32"/>
          <w:szCs w:val="32"/>
          <w:highlight w:val="none"/>
        </w:rPr>
        <w:t xml:space="preserve">二</w:t>
      </w:r>
      <w:r>
        <w:rPr>
          <w:rFonts w:hint="eastAsia" w:ascii="仿宋" w:hAnsi="仿宋" w:eastAsia="仿宋" w:cs="仿宋"/>
          <w:b w:val="0"/>
          <w:bCs/>
          <w:color w:val="auto"/>
          <w:sz w:val="32"/>
          <w:szCs w:val="32"/>
          <w:highlight w:val="none"/>
          <w:lang w:val="en-US" w:eastAsia="zh-CN"/>
        </w:rPr>
        <w:t xml:space="preserve">〇</w:t>
      </w:r>
      <w:r>
        <w:rPr>
          <w:rFonts w:hint="eastAsia" w:ascii="仿宋" w:hAnsi="仿宋" w:eastAsia="仿宋" w:cs="仿宋"/>
          <w:b w:val="0"/>
          <w:bCs/>
          <w:color w:val="auto"/>
          <w:sz w:val="32"/>
          <w:szCs w:val="32"/>
          <w:highlight w:val="none"/>
          <w:lang w:eastAsia="zh-CN"/>
        </w:rPr>
        <w:t xml:space="preserve">二</w:t>
      </w:r>
      <w:r>
        <w:rPr>
          <w:rFonts w:hint="eastAsia" w:ascii="仿宋" w:hAnsi="仿宋" w:eastAsia="仿宋" w:cs="仿宋"/>
          <w:b w:val="0"/>
          <w:bCs/>
          <w:color w:val="auto"/>
          <w:sz w:val="32"/>
          <w:szCs w:val="32"/>
          <w:highlight w:val="none"/>
          <w:lang w:val="en-US" w:eastAsia="zh-CN"/>
        </w:rPr>
        <w:t xml:space="preserve">六</w:t>
      </w:r>
      <w:r>
        <w:rPr>
          <w:rFonts w:hint="eastAsia" w:ascii="仿宋" w:hAnsi="仿宋" w:eastAsia="仿宋" w:cs="仿宋"/>
          <w:b w:val="0"/>
          <w:bCs/>
          <w:color w:val="auto"/>
          <w:sz w:val="32"/>
          <w:szCs w:val="32"/>
          <w:highlight w:val="none"/>
        </w:rPr>
        <w:t xml:space="preserve">年</w:t>
      </w:r>
      <w:r>
        <w:rPr>
          <w:rFonts w:hint="eastAsia" w:ascii="仿宋" w:hAnsi="仿宋" w:eastAsia="仿宋" w:cs="仿宋"/>
          <w:b w:val="0"/>
          <w:bCs/>
          <w:color w:val="auto"/>
          <w:sz w:val="32"/>
          <w:szCs w:val="32"/>
          <w:highlight w:val="none"/>
          <w:lang w:val="en-US" w:eastAsia="zh-CN"/>
        </w:rPr>
        <w:t xml:space="preserve">三</w:t>
      </w:r>
      <w:r>
        <w:rPr>
          <w:rFonts w:hint="eastAsia" w:ascii="仿宋" w:hAnsi="仿宋" w:eastAsia="仿宋" w:cs="仿宋"/>
          <w:b w:val="0"/>
          <w:bCs/>
          <w:color w:val="auto"/>
          <w:sz w:val="32"/>
          <w:szCs w:val="32"/>
          <w:highlight w:val="none"/>
        </w:rPr>
        <w:t xml:space="preserve">月</w:t>
      </w:r>
      <w:r/>
    </w:p>
    <w:p>
      <w:pPr>
        <w:pStyle w:val="753"/>
        <w:jc w:val="center"/>
        <w:spacing w:line="360" w:lineRule="auto"/>
        <w:rPr>
          <w:rFonts w:hint="eastAsia" w:ascii="仿宋" w:hAnsi="仿宋" w:eastAsia="仿宋" w:cs="仿宋"/>
          <w:b/>
          <w:color w:val="auto"/>
          <w:sz w:val="36"/>
          <w:highlight w:val="none"/>
        </w:rPr>
        <w:sectPr>
          <w:headerReference w:type="default" r:id="rId9"/>
          <w:footerReference w:type="even" r:id="rId10"/>
          <w:footnotePr/>
          <w:endnotePr/>
          <w:type w:val="nextPage"/>
          <w:pgSz w:w="11906" w:h="16838" w:orient="portrait"/>
          <w:pgMar w:top="1588" w:right="1418" w:bottom="1474" w:left="1474" w:header="851" w:footer="992" w:gutter="0"/>
          <w:cols w:num="1" w:sep="0" w:space="1701" w:equalWidth="1"/>
          <w:docGrid w:linePitch="360"/>
        </w:sectPr>
      </w:pPr>
      <w:r>
        <w:rPr>
          <w:rFonts w:hint="eastAsia" w:ascii="仿宋" w:hAnsi="仿宋" w:eastAsia="仿宋" w:cs="仿宋"/>
          <w:b/>
          <w:color w:val="auto"/>
          <w:sz w:val="36"/>
          <w:highlight w:val="none"/>
        </w:rPr>
      </w:r>
      <w:r/>
    </w:p>
    <w:p>
      <w:pPr>
        <w:pStyle w:val="753"/>
        <w:jc w:val="center"/>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竞争性磋商文件</w:t>
      </w:r>
      <w:r/>
    </w:p>
    <w:p>
      <w:pPr>
        <w:pStyle w:val="753"/>
        <w:jc w:val="cente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lang w:eastAsia="zh-CN"/>
        </w:rPr>
        <w:t xml:space="preserve">JSZC-320382-GXZB-C2026-0003</w:t>
      </w:r>
      <w:r/>
    </w:p>
    <w:p>
      <w:pPr>
        <w:pStyle w:val="753"/>
        <w:spacing w:line="520" w:lineRule="exact"/>
        <w:tabs>
          <w:tab w:val="left" w:pos="32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（供应商）：</w:t>
      </w:r>
      <w:r/>
    </w:p>
    <w:p>
      <w:pPr>
        <w:pStyle w:val="753"/>
        <w:ind w:firstLine="499"/>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按照《中华人民共和国政府采购法》、《中华人民共和国政府采购法实施条例》及《政府采购竞争性磋商采购方式管理暂行办法》的规定, 经政府采购监督管理部门批准，本公司对</w:t>
      </w:r>
      <w:r>
        <w:rPr>
          <w:rFonts w:hint="eastAsia" w:ascii="仿宋" w:hAnsi="仿宋" w:eastAsia="仿宋" w:cs="仿宋"/>
          <w:color w:val="auto"/>
          <w:sz w:val="24"/>
          <w:szCs w:val="24"/>
          <w:highlight w:val="none"/>
          <w:lang w:eastAsia="zh-CN"/>
        </w:rPr>
        <w:t xml:space="preserve">邳州市退役军人事务局重点优抚对象住院医疗商业保险</w:t>
      </w:r>
      <w:r>
        <w:rPr>
          <w:rFonts w:hint="eastAsia" w:ascii="仿宋" w:hAnsi="仿宋" w:eastAsia="仿宋" w:cs="仿宋"/>
          <w:color w:val="auto"/>
          <w:sz w:val="24"/>
          <w:szCs w:val="24"/>
          <w:highlight w:val="none"/>
        </w:rPr>
        <w:t xml:space="preserve">项目采取竞争性磋商采购方式进行采购。如贵单位有意参与，请按以下竞争性磋商文件（以下简称磋商文件）要求参加磋商。</w:t>
      </w:r>
      <w:r/>
    </w:p>
    <w:p>
      <w:pPr>
        <w:pStyle w:val="703"/>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第一章 项目说明</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一、采 购 人：邳州市退役军人事务局</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二、项目名称：邳州市退役军人事务局重点优抚对象住院医疗商业保险</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三、项目编号：JSZC-320382-GXZB-C2026-0003</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四、采购邀请：通过发布公告的方式邀请符合相应资格条件的供应商参与竞争性磋商采购活动。</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五、采购方式：竞争性磋商</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六、供应商资格条件：</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1.满足《中华人民共和国政府采购法》第二十二条规定；</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2.落实政府采购政策需满足的资格要求：</w:t>
      </w:r>
      <w:r>
        <w:rPr>
          <w:rFonts w:hint="eastAsia" w:ascii="仿宋" w:hAnsi="仿宋" w:eastAsia="仿宋" w:cs="仿宋"/>
          <w:b/>
          <w:bCs/>
          <w:color w:val="auto"/>
          <w:sz w:val="24"/>
          <w:szCs w:val="24"/>
          <w:highlight w:val="none"/>
          <w:lang w:val="en-US" w:eastAsia="zh-CN" w:bidi="ar-SA"/>
        </w:rPr>
        <w:t xml:space="preserve">此项目不属于专门面向中小微企业采购的项目。</w:t>
      </w:r>
      <w:r/>
    </w:p>
    <w:p>
      <w:pPr>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3.</w:t>
      </w:r>
      <w:r>
        <w:rPr>
          <w:rFonts w:ascii="仿宋" w:hAnsi="仿宋" w:eastAsia="仿宋" w:cs="仿宋"/>
          <w:color w:val="000000"/>
          <w:sz w:val="24"/>
          <w:szCs w:val="18"/>
          <w:highlight w:val="white"/>
        </w:rPr>
        <w:t xml:space="preserve">未被“信用中国”网站（www.creditchina.gov.cn）列入失信被执行人、重大税收违法案件当事人名单、政府采购严重失信行为记录名单</w:t>
      </w:r>
      <w:r>
        <w:rPr>
          <w:rFonts w:hint="eastAsia" w:ascii="仿宋" w:hAnsi="仿宋" w:eastAsia="仿宋" w:cs="仿宋"/>
          <w:color w:val="auto"/>
          <w:sz w:val="22"/>
          <w:szCs w:val="22"/>
          <w:highlight w:val="none"/>
          <w:lang w:val="en-US" w:eastAsia="zh-CN" w:bidi="ar-SA"/>
        </w:rPr>
        <w:t xml:space="preserve">。</w:t>
      </w:r>
      <w:r/>
    </w:p>
    <w:p>
      <w:pPr>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4.本项目的特定资格要求：投标人须具有《经营保险业务许可证》或《保险许可证》（本项目属于保险行业，法人的分支机构可以参加投标。但同一家总公司只能有一家分支机构参与投标，且总公司不能与下属分支机构同时参与投标。如分支机构进行投标的，投标文件中须提供总公司的书面授权委托书，或提供总公司有关文件、证照或制度等能够证明总公司授权其独立开展业务的证明材料）。</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注：说明：</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1、本项目不接受联合体参与采购活动。</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2、单位负责人为同一人或者存在直接控股、管理关系的不同供应商，不得参加同一合同项下的政府采购活动。</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3、为本采购项目提供整体设计、规范编制或者项目管理、监理、检测等服务的供应商，不得再参加本采购项目的采购活动。</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4、查询及使用供应商信用记录：</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⑴由采购人查询信用信息。</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⑵查询渠道包括：</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①“信用中国”网（www.creditchina.gov.cn）；</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②中国政府采购网（</w:t>
      </w:r>
      <w:r>
        <w:rPr>
          <w:rFonts w:hint="eastAsia" w:ascii="仿宋" w:hAnsi="仿宋" w:eastAsia="仿宋" w:cs="仿宋"/>
          <w:color w:val="auto"/>
          <w:sz w:val="24"/>
          <w:szCs w:val="24"/>
          <w:highlight w:val="none"/>
          <w:lang w:val="en-US" w:eastAsia="zh-CN" w:bidi="ar-SA"/>
        </w:rPr>
        <w:fldChar w:fldCharType="begin"/>
      </w:r>
      <w:r>
        <w:rPr>
          <w:rFonts w:hint="eastAsia" w:ascii="仿宋" w:hAnsi="仿宋" w:eastAsia="仿宋" w:cs="仿宋"/>
          <w:color w:val="auto"/>
          <w:sz w:val="24"/>
          <w:szCs w:val="24"/>
          <w:highlight w:val="none"/>
          <w:lang w:val="en-US" w:eastAsia="zh-CN" w:bidi="ar-SA"/>
        </w:rPr>
        <w:instrText xml:space="preserve"> HYPERLINK "http://www.ccgp.gov.cn" </w:instrText>
      </w:r>
      <w:r>
        <w:rPr>
          <w:rFonts w:hint="eastAsia" w:ascii="仿宋" w:hAnsi="仿宋" w:eastAsia="仿宋" w:cs="仿宋"/>
          <w:color w:val="auto"/>
          <w:sz w:val="24"/>
          <w:szCs w:val="24"/>
          <w:highlight w:val="none"/>
          <w:lang w:val="en-US" w:eastAsia="zh-CN" w:bidi="ar-SA"/>
        </w:rPr>
        <w:fldChar w:fldCharType="separate"/>
      </w:r>
      <w:r>
        <w:rPr>
          <w:rFonts w:hint="eastAsia" w:ascii="仿宋" w:hAnsi="仿宋" w:eastAsia="仿宋" w:cs="仿宋"/>
          <w:color w:val="auto"/>
          <w:sz w:val="24"/>
          <w:szCs w:val="24"/>
          <w:highlight w:val="none"/>
          <w:lang w:val="en-US" w:eastAsia="zh-CN" w:bidi="ar-SA"/>
        </w:rPr>
        <w:t xml:space="preserve">www.ccgp.gov.cn</w:t>
      </w:r>
      <w:r>
        <w:rPr>
          <w:rFonts w:hint="eastAsia" w:ascii="仿宋" w:hAnsi="仿宋" w:eastAsia="仿宋" w:cs="仿宋"/>
          <w:color w:val="auto"/>
          <w:sz w:val="24"/>
          <w:szCs w:val="24"/>
          <w:highlight w:val="none"/>
          <w:lang w:val="en-US" w:eastAsia="zh-CN" w:bidi="ar-SA"/>
        </w:rPr>
        <w:fldChar w:fldCharType="end"/>
      </w:r>
      <w:r>
        <w:rPr>
          <w:rFonts w:hint="eastAsia" w:ascii="仿宋" w:hAnsi="仿宋" w:eastAsia="仿宋" w:cs="仿宋"/>
          <w:color w:val="auto"/>
          <w:sz w:val="24"/>
          <w:szCs w:val="24"/>
          <w:highlight w:val="none"/>
          <w:lang w:val="en-US" w:eastAsia="zh-CN" w:bidi="ar-SA"/>
        </w:rPr>
        <w:t xml:space="preserve">）；</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③“信用中国（江苏）”网（</w:t>
      </w:r>
      <w:r>
        <w:rPr>
          <w:rFonts w:hint="eastAsia" w:ascii="仿宋" w:hAnsi="仿宋" w:eastAsia="仿宋" w:cs="仿宋"/>
          <w:color w:val="auto"/>
          <w:sz w:val="24"/>
          <w:szCs w:val="24"/>
          <w:highlight w:val="none"/>
          <w:lang w:val="en-US" w:eastAsia="zh-CN" w:bidi="ar-SA"/>
        </w:rPr>
        <w:fldChar w:fldCharType="begin"/>
      </w:r>
      <w:r>
        <w:rPr>
          <w:rFonts w:hint="eastAsia" w:ascii="仿宋" w:hAnsi="仿宋" w:eastAsia="仿宋" w:cs="仿宋"/>
          <w:color w:val="auto"/>
          <w:sz w:val="24"/>
          <w:szCs w:val="24"/>
          <w:highlight w:val="none"/>
          <w:lang w:val="en-US" w:eastAsia="zh-CN" w:bidi="ar-SA"/>
        </w:rPr>
        <w:instrText xml:space="preserve"> HYPERLINK "http://www.jscredit.gov.cn/" </w:instrText>
      </w:r>
      <w:r>
        <w:rPr>
          <w:rFonts w:hint="eastAsia" w:ascii="仿宋" w:hAnsi="仿宋" w:eastAsia="仿宋" w:cs="仿宋"/>
          <w:color w:val="auto"/>
          <w:sz w:val="24"/>
          <w:szCs w:val="24"/>
          <w:highlight w:val="none"/>
          <w:lang w:val="en-US" w:eastAsia="zh-CN" w:bidi="ar-SA"/>
        </w:rPr>
        <w:fldChar w:fldCharType="separate"/>
      </w:r>
      <w:r>
        <w:rPr>
          <w:rFonts w:hint="eastAsia" w:ascii="仿宋" w:hAnsi="仿宋" w:eastAsia="仿宋" w:cs="仿宋"/>
          <w:color w:val="auto"/>
          <w:sz w:val="24"/>
          <w:szCs w:val="24"/>
          <w:highlight w:val="none"/>
          <w:lang w:val="en-US" w:eastAsia="zh-CN" w:bidi="ar-SA"/>
        </w:rPr>
        <w:t xml:space="preserve">http://www.jscredit.gov.cn/</w:t>
      </w:r>
      <w:r>
        <w:rPr>
          <w:rFonts w:hint="eastAsia" w:ascii="仿宋" w:hAnsi="仿宋" w:eastAsia="仿宋" w:cs="仿宋"/>
          <w:color w:val="auto"/>
          <w:sz w:val="24"/>
          <w:szCs w:val="24"/>
          <w:highlight w:val="none"/>
          <w:lang w:val="en-US" w:eastAsia="zh-CN" w:bidi="ar-SA"/>
        </w:rPr>
        <w:fldChar w:fldCharType="end"/>
      </w:r>
      <w:r>
        <w:rPr>
          <w:rFonts w:hint="eastAsia" w:ascii="仿宋" w:hAnsi="仿宋" w:eastAsia="仿宋" w:cs="仿宋"/>
          <w:color w:val="auto"/>
          <w:sz w:val="24"/>
          <w:szCs w:val="24"/>
          <w:highlight w:val="none"/>
          <w:lang w:val="en-US" w:eastAsia="zh-CN" w:bidi="ar-SA"/>
        </w:rPr>
        <w:t xml:space="preserve">）；</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④“信用中国（徐州）”网（</w:t>
      </w:r>
      <w:r>
        <w:rPr>
          <w:rFonts w:hint="eastAsia" w:ascii="仿宋" w:hAnsi="仿宋" w:eastAsia="仿宋" w:cs="仿宋"/>
          <w:color w:val="auto"/>
          <w:sz w:val="24"/>
          <w:szCs w:val="24"/>
          <w:highlight w:val="none"/>
          <w:lang w:val="en-US" w:eastAsia="zh-CN" w:bidi="ar-SA"/>
        </w:rPr>
        <w:fldChar w:fldCharType="begin"/>
      </w:r>
      <w:r>
        <w:rPr>
          <w:rFonts w:hint="eastAsia" w:ascii="仿宋" w:hAnsi="仿宋" w:eastAsia="仿宋" w:cs="仿宋"/>
          <w:color w:val="auto"/>
          <w:sz w:val="24"/>
          <w:szCs w:val="24"/>
          <w:highlight w:val="none"/>
          <w:lang w:val="en-US" w:eastAsia="zh-CN" w:bidi="ar-SA"/>
        </w:rPr>
        <w:instrText xml:space="preserve"> HYPERLINK "http://www.xuzhoucredit.gov.cn" </w:instrText>
      </w:r>
      <w:r>
        <w:rPr>
          <w:rFonts w:hint="eastAsia" w:ascii="仿宋" w:hAnsi="仿宋" w:eastAsia="仿宋" w:cs="仿宋"/>
          <w:color w:val="auto"/>
          <w:sz w:val="24"/>
          <w:szCs w:val="24"/>
          <w:highlight w:val="none"/>
          <w:lang w:val="en-US" w:eastAsia="zh-CN" w:bidi="ar-SA"/>
        </w:rPr>
        <w:fldChar w:fldCharType="separate"/>
      </w:r>
      <w:r>
        <w:rPr>
          <w:rFonts w:hint="eastAsia" w:ascii="仿宋" w:hAnsi="仿宋" w:eastAsia="仿宋" w:cs="仿宋"/>
          <w:color w:val="auto"/>
          <w:sz w:val="24"/>
          <w:szCs w:val="24"/>
          <w:highlight w:val="none"/>
          <w:lang w:val="en-US" w:eastAsia="zh-CN" w:bidi="ar-SA"/>
        </w:rPr>
        <w:t xml:space="preserve">http://www.xuzhoucredit.gov.cn</w:t>
      </w:r>
      <w:r>
        <w:rPr>
          <w:rFonts w:hint="eastAsia" w:ascii="仿宋" w:hAnsi="仿宋" w:eastAsia="仿宋" w:cs="仿宋"/>
          <w:color w:val="auto"/>
          <w:sz w:val="24"/>
          <w:szCs w:val="24"/>
          <w:highlight w:val="none"/>
          <w:lang w:val="en-US" w:eastAsia="zh-CN" w:bidi="ar-SA"/>
        </w:rPr>
        <w:fldChar w:fldCharType="end"/>
      </w:r>
      <w:r>
        <w:rPr>
          <w:rFonts w:hint="eastAsia" w:ascii="仿宋" w:hAnsi="仿宋" w:eastAsia="仿宋" w:cs="仿宋"/>
          <w:color w:val="auto"/>
          <w:sz w:val="24"/>
          <w:szCs w:val="24"/>
          <w:highlight w:val="none"/>
          <w:lang w:val="en-US" w:eastAsia="zh-CN" w:bidi="ar-SA"/>
        </w:rPr>
        <w:t xml:space="preserve">）；</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⑤“江苏省政府采购信用评价系统”。</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⑶截止时点（查询环节）：评审结束前。</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⑷信用信息查询记录和证据留存的具体方式：</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网页截屏打印，与其他采购文件一并保存。</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⑸信用信息的使用规则：</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七、采购预算：225万元。</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八、采购需求：见《磋商文件》第九章《项目要求（采购需求）》</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九、合同草案条款：见《磋商文件》 第十章 4.《合同草案条款》。</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十、报价要求</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1.供应商报价为要约，徐州公信招标代理有限公司无承诺表示时视为未成交，徐州公信招标代理有限公司认为必要时可重新进行竞争性磋商采购或采取其它方式采购。</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2.按照《磋商报价表》要求填写首次报价。</w:t>
      </w:r>
      <w:r/>
    </w:p>
    <w:p>
      <w:pPr>
        <w:spacing w:line="360" w:lineRule="auto"/>
        <w:rPr>
          <w:rFonts w:hint="eastAsia" w:ascii="仿宋" w:hAnsi="仿宋" w:eastAsia="仿宋" w:cs="仿宋"/>
          <w:color w:val="auto"/>
          <w:highlight w:val="none"/>
        </w:rPr>
      </w:pPr>
      <w:r>
        <w:rPr>
          <w:rFonts w:hint="eastAsia" w:ascii="仿宋" w:hAnsi="仿宋" w:eastAsia="仿宋" w:cs="仿宋"/>
          <w:color w:val="auto"/>
          <w:sz w:val="24"/>
          <w:szCs w:val="24"/>
          <w:highlight w:val="none"/>
          <w:lang w:val="en-US" w:eastAsia="zh-CN" w:bidi="ar-SA"/>
        </w:rPr>
        <w:t xml:space="preserve">3.报价包含本项目范围内的全部费用。供应商有漏报或不报的，采购人将视为有关费用已包括在本项目的报价中而不予支付。采购人不再支付报价以外的任何费用。</w:t>
      </w:r>
      <w:r/>
    </w:p>
    <w:p>
      <w:pPr>
        <w:pStyle w:val="703"/>
        <w:jc w:val="center"/>
        <w:rPr>
          <w:rFonts w:hint="eastAsia" w:ascii="仿宋" w:hAnsi="仿宋" w:eastAsia="仿宋" w:cs="仿宋"/>
          <w:b/>
          <w:bCs/>
          <w:color w:val="auto"/>
          <w:highlight w:val="none"/>
        </w:rPr>
      </w:pPr>
      <w:r/>
      <w:bookmarkStart w:id="0" w:name="_Toc108179638"/>
      <w:r/>
      <w:bookmarkStart w:id="1" w:name="_Toc108179673"/>
      <w:r/>
      <w:bookmarkStart w:id="2" w:name="_Toc108179554"/>
      <w:r/>
      <w:bookmarkStart w:id="3" w:name="_Toc108179596"/>
      <w:r>
        <w:rPr>
          <w:rFonts w:hint="eastAsia" w:ascii="仿宋" w:hAnsi="仿宋" w:eastAsia="仿宋" w:cs="仿宋"/>
          <w:b/>
          <w:bCs/>
          <w:color w:val="auto"/>
          <w:highlight w:val="none"/>
        </w:rPr>
        <w:t xml:space="preserve">第二章 磋商保证金</w:t>
      </w:r>
      <w:bookmarkEnd w:id="0"/>
      <w:r/>
      <w:bookmarkEnd w:id="1"/>
      <w:r/>
      <w:bookmarkEnd w:id="2"/>
      <w:r/>
      <w:bookmarkEnd w:id="3"/>
      <w:r/>
      <w:r/>
    </w:p>
    <w:p>
      <w:pPr>
        <w:pStyle w:val="753"/>
        <w:ind w:firstLine="480"/>
        <w:spacing w:line="360" w:lineRule="auto"/>
        <w:widowControl w:val="off"/>
        <w:rPr>
          <w:rFonts w:hint="eastAsia" w:ascii="仿宋" w:hAnsi="仿宋" w:eastAsia="仿宋" w:cs="仿宋"/>
          <w:color w:val="auto"/>
          <w:highlight w:val="none"/>
        </w:rPr>
      </w:pPr>
      <w:r>
        <w:rPr>
          <w:rFonts w:hint="eastAsia" w:ascii="仿宋" w:hAnsi="仿宋" w:eastAsia="仿宋" w:cs="仿宋"/>
          <w:b w:val="0"/>
          <w:color w:val="auto"/>
          <w:sz w:val="24"/>
          <w:szCs w:val="24"/>
          <w:highlight w:val="none"/>
        </w:rPr>
        <w:t xml:space="preserve">供应商提交磋商保证金：</w:t>
      </w:r>
      <w:r>
        <w:rPr>
          <w:rFonts w:hint="eastAsia" w:ascii="仿宋" w:hAnsi="仿宋" w:eastAsia="仿宋" w:cs="仿宋"/>
          <w:b w:val="0"/>
          <w:color w:val="auto"/>
          <w:sz w:val="24"/>
          <w:szCs w:val="24"/>
          <w:highlight w:val="none"/>
          <w:lang w:val="en-US" w:eastAsia="zh-CN"/>
        </w:rPr>
        <w:t xml:space="preserve">无</w:t>
      </w:r>
      <w:r>
        <w:rPr>
          <w:rFonts w:hint="eastAsia" w:ascii="仿宋" w:hAnsi="仿宋" w:eastAsia="仿宋" w:cs="仿宋"/>
          <w:b w:val="0"/>
          <w:color w:val="auto"/>
          <w:sz w:val="24"/>
          <w:szCs w:val="24"/>
          <w:highlight w:val="none"/>
        </w:rPr>
        <w:t xml:space="preserve">需交纳。</w:t>
      </w:r>
      <w:r/>
    </w:p>
    <w:p>
      <w:pPr>
        <w:pStyle w:val="703"/>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第</w:t>
      </w:r>
      <w:r>
        <w:rPr>
          <w:rFonts w:hint="eastAsia" w:ascii="仿宋" w:hAnsi="仿宋" w:eastAsia="仿宋" w:cs="仿宋"/>
          <w:b/>
          <w:bCs/>
          <w:color w:val="auto"/>
          <w:highlight w:val="none"/>
          <w:lang w:val="en-US" w:eastAsia="zh-CN"/>
        </w:rPr>
        <w:t xml:space="preserve">三</w:t>
      </w:r>
      <w:r>
        <w:rPr>
          <w:rFonts w:hint="eastAsia" w:ascii="仿宋" w:hAnsi="仿宋" w:eastAsia="仿宋" w:cs="仿宋"/>
          <w:b/>
          <w:bCs/>
          <w:color w:val="auto"/>
          <w:highlight w:val="none"/>
        </w:rPr>
        <w:t xml:space="preserve">章 响应文件要求</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十一、获取竞争性磋商文件</w:t>
      </w:r>
      <w:r/>
    </w:p>
    <w:p>
      <w:pPr>
        <w:ind w:left="0" w:right="0" w:firstLine="540"/>
        <w:jc w:val="both"/>
        <w:keepLines w:val="0"/>
        <w:keepNext w:val="0"/>
        <w:spacing w:before="0" w:beforeAutospacing="0" w:after="0" w:afterAutospacing="0" w:line="360" w:lineRule="auto"/>
        <w:widowControl/>
        <w:rPr>
          <w:rFonts w:hint="eastAsia" w:ascii="仿宋" w:hAnsi="仿宋" w:eastAsia="仿宋" w:cs="仿宋"/>
          <w:i w:val="0"/>
          <w:iCs w:val="0"/>
          <w:caps w:val="0"/>
          <w:color w:val="auto"/>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lang w:val="en-US" w:eastAsia="zh-CN" w:bidi="ar"/>
        </w:rPr>
        <w:t xml:space="preserve">1、时间：自磋商文件公告发布之日起5个工作日，其后时间下载的磋商文件和未通过“苏彩云”系统下载的磋商文件，为未依法获取的采购文件，不做为供应商权益受到损害的证明材料和依据。</w:t>
      </w:r>
      <w:r/>
    </w:p>
    <w:p>
      <w:pPr>
        <w:ind w:left="0" w:right="0" w:firstLine="560"/>
        <w:jc w:val="both"/>
        <w:keepLines w:val="0"/>
        <w:keepNext w:val="0"/>
        <w:spacing w:before="0" w:beforeAutospacing="0" w:after="0" w:afterAutospacing="0" w:line="360" w:lineRule="auto"/>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lang w:val="en-US" w:eastAsia="zh-CN" w:bidi="ar"/>
        </w:rPr>
        <w:t xml:space="preserve">2、地点：网上注册登记成功后系统内免费下载。</w:t>
      </w:r>
      <w:r/>
    </w:p>
    <w:p>
      <w:pPr>
        <w:ind w:left="0" w:right="0" w:firstLine="560"/>
        <w:jc w:val="both"/>
        <w:keepLines w:val="0"/>
        <w:keepNext w:val="0"/>
        <w:spacing w:before="0" w:beforeAutospacing="0" w:after="0" w:afterAutospacing="0" w:line="360" w:lineRule="auto"/>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lang w:val="en-US" w:eastAsia="zh-CN" w:bidi="ar"/>
        </w:rPr>
        <w:t xml:space="preserve">3、获取方式：本项目采用网上注册登记方式。</w:t>
      </w:r>
      <w:r/>
    </w:p>
    <w:p>
      <w:pPr>
        <w:ind w:left="0" w:right="0" w:firstLine="560"/>
        <w:jc w:val="both"/>
        <w:keepLines w:val="0"/>
        <w:keepNext w:val="0"/>
        <w:spacing w:before="0" w:beforeAutospacing="0" w:after="0" w:afterAutospacing="0" w:line="360" w:lineRule="auto"/>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lang w:val="en-US" w:eastAsia="zh-CN" w:bidi="ar"/>
        </w:rPr>
        <w:t xml:space="preserve">3.1 潜在投标人访问电子招标投标交易平台的网络地址和方法：</w:t>
      </w:r>
      <w:r/>
    </w:p>
    <w:p>
      <w:pPr>
        <w:ind w:left="0" w:right="0" w:firstLine="560"/>
        <w:jc w:val="both"/>
        <w:keepLines w:val="0"/>
        <w:keepNext w:val="0"/>
        <w:spacing w:before="0" w:beforeAutospacing="0" w:after="0" w:afterAutospacing="0" w:line="360" w:lineRule="auto"/>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lang w:val="en-US" w:eastAsia="zh-CN" w:bidi="ar"/>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系统政务CA办理材料、操作手册及控件下载》。</w:t>
      </w:r>
      <w:r/>
    </w:p>
    <w:p>
      <w:pPr>
        <w:ind w:left="0" w:right="0" w:firstLine="560"/>
        <w:jc w:val="both"/>
        <w:keepLines w:val="0"/>
        <w:keepNext w:val="0"/>
        <w:spacing w:before="0" w:beforeAutospacing="0" w:after="0" w:afterAutospacing="0" w:line="360" w:lineRule="auto"/>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lang w:val="en-US" w:eastAsia="zh-CN" w:bidi="ar"/>
        </w:rPr>
        <w:t xml:space="preserve">（2）潜在投标人访问“苏采云”系统的网络地址和方法：</w:t>
      </w:r>
      <w:r/>
    </w:p>
    <w:p>
      <w:pPr>
        <w:ind w:left="0" w:right="0" w:firstLine="560"/>
        <w:jc w:val="both"/>
        <w:keepLines w:val="0"/>
        <w:keepNext w:val="0"/>
        <w:spacing w:before="0" w:beforeAutospacing="0" w:after="0" w:afterAutospacing="0" w:line="360" w:lineRule="auto"/>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lang w:val="en-US" w:eastAsia="zh-CN" w:bidi="ar"/>
        </w:rPr>
        <w:t xml:space="preserve">“苏采云”系统的网址：http://jszfcg.jsczt.cn/；或进入徐州政府采购网（网址：http://czj.xz.gov.cn/Home/HomeIndex）--业务工作--用户登录，点击“苏采云”进入系统。</w:t>
      </w:r>
      <w:r/>
    </w:p>
    <w:p>
      <w:pPr>
        <w:ind w:left="0" w:right="0" w:firstLine="560"/>
        <w:jc w:val="both"/>
        <w:keepLines w:val="0"/>
        <w:keepNext w:val="0"/>
        <w:spacing w:before="0" w:beforeAutospacing="0" w:after="0" w:afterAutospacing="0" w:line="360" w:lineRule="auto"/>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lang w:val="en-US" w:eastAsia="zh-CN" w:bidi="ar"/>
        </w:rPr>
        <w:t xml:space="preserve">（3）“CA数字证书”的获取：</w:t>
      </w:r>
      <w:r/>
    </w:p>
    <w:p>
      <w:pPr>
        <w:ind w:left="0" w:right="0" w:firstLine="560"/>
        <w:jc w:val="both"/>
        <w:keepLines w:val="0"/>
        <w:keepNext w:val="0"/>
        <w:spacing w:before="0" w:beforeAutospacing="0" w:after="0" w:afterAutospacing="0" w:line="360" w:lineRule="auto"/>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lang w:val="en-US" w:eastAsia="zh-CN" w:bidi="ar"/>
        </w:rPr>
        <w:t xml:space="preserve">供应商需办理CA锁，“苏采云”系统目前仅支持“苏采云”系统下的政务CA，省内各地区办理的“苏采云”系统下的政务CA全省通用。“CA数字证书”的办理方法详见“徐州政府采购网-业务工作-快速服务-下载专区”中《“苏采云”系统政务CA办理材料、操作手册及控件下载》。</w:t>
      </w:r>
      <w:r/>
    </w:p>
    <w:p>
      <w:pPr>
        <w:ind w:left="0" w:right="0" w:firstLine="560"/>
        <w:jc w:val="both"/>
        <w:keepLines w:val="0"/>
        <w:keepNext w:val="0"/>
        <w:spacing w:before="0" w:beforeAutospacing="0" w:after="0" w:afterAutospacing="0" w:line="360" w:lineRule="auto"/>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lang w:val="en-US" w:eastAsia="zh-CN" w:bidi="ar"/>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苏采云”系统政务CA办理材料、操作手册及控件下载》，进行下载。</w:t>
      </w:r>
      <w:r/>
    </w:p>
    <w:p>
      <w:pPr>
        <w:ind w:left="0" w:right="0" w:firstLine="560"/>
        <w:jc w:val="both"/>
        <w:keepLines w:val="0"/>
        <w:keepNext w:val="0"/>
        <w:spacing w:before="0" w:beforeAutospacing="0" w:after="0" w:afterAutospacing="0" w:line="360" w:lineRule="auto"/>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lang w:val="en-US" w:eastAsia="zh-CN" w:bidi="ar"/>
        </w:rPr>
        <w:t xml:space="preserve">（5）采购代理机构将数据电文形式的磋商文件加载至“苏采云”系统，供潜在投标人下载或者查阅。</w:t>
      </w:r>
      <w:r/>
    </w:p>
    <w:p>
      <w:pPr>
        <w:ind w:left="0" w:right="0" w:firstLine="560"/>
        <w:jc w:val="both"/>
        <w:keepLines w:val="0"/>
        <w:keepNext w:val="0"/>
        <w:spacing w:before="0" w:beforeAutospacing="0" w:after="0" w:afterAutospacing="0" w:line="360" w:lineRule="auto"/>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lang w:val="en-US" w:eastAsia="zh-CN" w:bidi="ar"/>
        </w:rPr>
        <w:t xml:space="preserve">（6）苏采云系统使用谷歌浏览器参与不见面开标。</w:t>
      </w:r>
      <w:r/>
    </w:p>
    <w:p>
      <w:pPr>
        <w:ind w:left="0" w:right="0" w:firstLine="560"/>
        <w:jc w:val="both"/>
        <w:keepLines w:val="0"/>
        <w:keepNext w:val="0"/>
        <w:spacing w:before="0" w:beforeAutospacing="0" w:after="0" w:afterAutospacing="0" w:line="360" w:lineRule="auto"/>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lang w:val="en-US" w:eastAsia="zh-CN" w:bidi="ar"/>
        </w:rPr>
        <w:t xml:space="preserve">4、售价：免费。</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十二、提交响应文件要求</w:t>
      </w:r>
      <w:r/>
    </w:p>
    <w:p>
      <w:pPr>
        <w:pStyle w:val="757"/>
        <w:ind w:left="0" w:firstLine="0"/>
        <w:jc w:val="center"/>
        <w:spacing w:line="360" w:lineRule="auto"/>
        <w:rPr>
          <w:rFonts w:hint="eastAsia" w:ascii="仿宋" w:hAnsi="仿宋" w:eastAsia="仿宋" w:cs="仿宋"/>
          <w:b w:val="0"/>
          <w:bCs w:val="0"/>
          <w:color w:val="auto"/>
          <w:highlight w:val="none"/>
        </w:rPr>
      </w:pPr>
      <w:r>
        <w:rPr>
          <w:rStyle w:val="1098"/>
          <w:rFonts w:hint="eastAsia" w:ascii="仿宋" w:hAnsi="仿宋" w:eastAsia="仿宋" w:cs="仿宋"/>
          <w:b w:val="0"/>
          <w:bCs w:val="0"/>
          <w:color w:val="auto"/>
          <w:sz w:val="24"/>
          <w:szCs w:val="24"/>
          <w:highlight w:val="none"/>
        </w:rPr>
        <w:t xml:space="preserve">第一部分 基本要求</w:t>
      </w:r>
      <w:r/>
    </w:p>
    <w:p>
      <w:pPr>
        <w:pStyle w:val="909"/>
        <w:ind w:firstLine="480"/>
        <w:spacing w:line="360" w:lineRule="auto"/>
        <w:rPr>
          <w:rStyle w:val="1098"/>
          <w:rFonts w:hint="eastAsia" w:ascii="仿宋" w:hAnsi="仿宋" w:eastAsia="仿宋" w:cs="仿宋"/>
          <w:b w:val="0"/>
          <w:color w:val="auto"/>
          <w:sz w:val="24"/>
          <w:szCs w:val="24"/>
          <w:highlight w:val="none"/>
        </w:rPr>
      </w:pPr>
      <w:r>
        <w:rPr>
          <w:rFonts w:hint="eastAsia" w:ascii="仿宋" w:hAnsi="仿宋" w:eastAsia="仿宋" w:cs="仿宋"/>
          <w:color w:val="auto"/>
          <w:sz w:val="24"/>
          <w:szCs w:val="24"/>
          <w:highlight w:val="none"/>
        </w:rPr>
        <w:t xml:space="preserve">（一）本项目通过“苏采云”系统进行电子招标投标，</w:t>
      </w:r>
      <w:r>
        <w:rPr>
          <w:rStyle w:val="1098"/>
          <w:rFonts w:hint="eastAsia" w:ascii="仿宋" w:hAnsi="仿宋" w:eastAsia="仿宋" w:cs="仿宋"/>
          <w:b w:val="0"/>
          <w:color w:val="auto"/>
          <w:sz w:val="24"/>
          <w:szCs w:val="24"/>
          <w:highlight w:val="none"/>
        </w:rPr>
        <w:t xml:space="preserve">即供应商响应文件从政府采购客户端工具制作并通过“苏采云”系统提交。</w:t>
      </w:r>
      <w:r/>
    </w:p>
    <w:p>
      <w:pPr>
        <w:pStyle w:val="753"/>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753"/>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“CA数字证书”的获取：供应商需办理CA锁，“苏采云”系统目前仅支持“苏采云”系统下的</w:t>
      </w:r>
      <w:r>
        <w:rPr>
          <w:rFonts w:hint="eastAsia" w:ascii="仿宋" w:hAnsi="仿宋" w:eastAsia="仿宋" w:cs="仿宋"/>
          <w:color w:val="auto"/>
          <w:sz w:val="24"/>
          <w:szCs w:val="24"/>
          <w:highlight w:val="none"/>
          <w:lang w:val="en-US" w:eastAsia="zh-CN"/>
        </w:rPr>
        <w:t xml:space="preserve">政务</w:t>
      </w:r>
      <w:r>
        <w:rPr>
          <w:rFonts w:hint="eastAsia" w:ascii="仿宋" w:hAnsi="仿宋" w:eastAsia="仿宋" w:cs="仿宋"/>
          <w:color w:val="auto"/>
          <w:sz w:val="24"/>
          <w:szCs w:val="24"/>
          <w:highlight w:val="none"/>
        </w:rPr>
        <w:t xml:space="preserve">CA，省内各地区办理的“苏采云”系统下的</w:t>
      </w:r>
      <w:r>
        <w:rPr>
          <w:rFonts w:hint="eastAsia" w:ascii="仿宋" w:hAnsi="仿宋" w:eastAsia="仿宋" w:cs="仿宋"/>
          <w:color w:val="auto"/>
          <w:sz w:val="24"/>
          <w:szCs w:val="24"/>
          <w:highlight w:val="none"/>
          <w:lang w:val="en-US" w:eastAsia="zh-CN"/>
        </w:rPr>
        <w:t xml:space="preserve">政务</w:t>
      </w:r>
      <w:r>
        <w:rPr>
          <w:rFonts w:hint="eastAsia" w:ascii="仿宋" w:hAnsi="仿宋" w:eastAsia="仿宋" w:cs="仿宋"/>
          <w:color w:val="auto"/>
          <w:sz w:val="24"/>
          <w:szCs w:val="24"/>
          <w:highlight w:val="none"/>
        </w:rPr>
        <w:t xml:space="preserve">CA全省通用。“CA数字证书”的办理方法详见“徐州政府采购网-业务工作-快速服务-下载专区”中《</w:t>
      </w:r>
      <w:r>
        <w:rPr>
          <w:rFonts w:hint="eastAsia" w:ascii="仿宋" w:hAnsi="仿宋" w:eastAsia="仿宋" w:cs="仿宋"/>
          <w:color w:val="auto"/>
          <w:sz w:val="24"/>
          <w:szCs w:val="24"/>
          <w:highlight w:val="none"/>
          <w:lang w:eastAsia="zh-CN"/>
        </w:rPr>
        <w:t xml:space="preserve">“苏采云”系统政务CA办理材料、操作手册及控件下载</w:t>
      </w:r>
      <w:r>
        <w:rPr>
          <w:rFonts w:hint="eastAsia" w:ascii="仿宋" w:hAnsi="仿宋" w:eastAsia="仿宋" w:cs="仿宋"/>
          <w:color w:val="auto"/>
          <w:sz w:val="24"/>
          <w:szCs w:val="24"/>
          <w:highlight w:val="none"/>
        </w:rPr>
        <w:t xml:space="preserve">》。</w:t>
      </w:r>
      <w:r/>
    </w:p>
    <w:p>
      <w:pPr>
        <w:pStyle w:val="753"/>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使用需要第三方认证的电子签名、数据电文，通过互联网方式提交首次响应文件。即：使用“电子签名认证证书（CA数字证书）”登录“苏采云”系统（网址：</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HYPERLINK "http://jszfcg.jsczt.cn/"</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http://jszfcg.jsczt.cn/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；或进入徐州政府采购网（网址：http://czj.xz.gov.cn/Home/HomeIndex）--业务工作--用户登录，点击“苏采云”进入系统），按照要求通过互联网方式提交首次响应文件。</w:t>
      </w:r>
      <w:r/>
    </w:p>
    <w:p>
      <w:pPr>
        <w:pStyle w:val="909"/>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4、“苏采云”系统使用要求：</w:t>
      </w:r>
      <w:r/>
    </w:p>
    <w:p>
      <w:pPr>
        <w:pStyle w:val="909"/>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4.1使用谷歌浏览器参与不见面开标及磋商环节。</w:t>
      </w:r>
      <w:r/>
    </w:p>
    <w:p>
      <w:pPr>
        <w:pStyle w:val="909"/>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4.2电脑需提前准备好麦克风、音响，摄像头，提前检查保证能够正常使用。</w:t>
      </w:r>
      <w:r/>
    </w:p>
    <w:p>
      <w:pPr>
        <w:pStyle w:val="757"/>
        <w:ind w:left="0"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4.3操作系统至少win7以上，建议使用win10操作系统。</w:t>
      </w:r>
      <w:r/>
    </w:p>
    <w:p>
      <w:pPr>
        <w:pStyle w:val="753"/>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（二）首次响应文件提交时间、地点：</w:t>
      </w:r>
      <w:r/>
    </w:p>
    <w:p>
      <w:pPr>
        <w:pStyle w:val="753"/>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首次响应文件提交的截止时间：</w:t>
      </w:r>
      <w:r>
        <w:rPr>
          <w:rFonts w:hint="eastAsia" w:ascii="仿宋" w:hAnsi="仿宋" w:eastAsia="仿宋" w:cs="仿宋"/>
          <w:color w:val="auto"/>
          <w:sz w:val="24"/>
          <w:szCs w:val="24"/>
          <w:highlight w:val="none"/>
          <w:lang w:eastAsia="zh-CN"/>
        </w:rPr>
        <w:t xml:space="preserve">2026年3月24日</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:30，在截止时间后提交的首次响应文件为无效文件，将被拒收。</w:t>
      </w:r>
      <w:r/>
    </w:p>
    <w:p>
      <w:pPr>
        <w:pStyle w:val="753"/>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.首次响应文件提交时间：首次响应文件提交的截止时间（</w:t>
      </w:r>
      <w:r>
        <w:rPr>
          <w:rFonts w:hint="eastAsia" w:ascii="仿宋" w:hAnsi="仿宋" w:eastAsia="仿宋" w:cs="仿宋"/>
          <w:color w:val="auto"/>
          <w:sz w:val="24"/>
          <w:szCs w:val="24"/>
          <w:highlight w:val="none"/>
          <w:lang w:eastAsia="zh-CN"/>
        </w:rPr>
        <w:t xml:space="preserve">2026年3月24日</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:30）前。</w:t>
      </w:r>
      <w:r/>
    </w:p>
    <w:p>
      <w:pPr>
        <w:pStyle w:val="753"/>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.首次响应文件提交地点：“苏采云”系统（网址：http://jszfcg.jsczt.cn/）“开标大厅”或进入徐州政府采购网（网址：</w:t>
      </w:r>
      <w:r>
        <w:rPr>
          <w:rFonts w:hint="eastAsia" w:ascii="仿宋" w:hAnsi="仿宋" w:eastAsia="仿宋" w:cs="仿宋"/>
          <w:color w:val="auto"/>
          <w:sz w:val="24"/>
          <w:szCs w:val="24"/>
          <w:highlight w:val="none"/>
        </w:rPr>
        <w:t xml:space="preserve">https://czj.xz.gov.cn/zfcg/</w:t>
      </w:r>
      <w:r>
        <w:rPr>
          <w:rFonts w:hint="eastAsia" w:ascii="仿宋" w:hAnsi="仿宋" w:eastAsia="仿宋" w:cs="仿宋"/>
          <w:color w:val="auto"/>
          <w:sz w:val="24"/>
          <w:szCs w:val="24"/>
          <w:highlight w:val="none"/>
        </w:rPr>
        <w:t xml:space="preserve">）点击“苏采云”进入系统“开标大厅”。</w:t>
      </w:r>
      <w:r/>
    </w:p>
    <w:p>
      <w:pPr>
        <w:pStyle w:val="753"/>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（三）首次响应文件开启时间：</w:t>
      </w:r>
      <w:r>
        <w:rPr>
          <w:rFonts w:hint="eastAsia" w:ascii="仿宋" w:hAnsi="仿宋" w:eastAsia="仿宋" w:cs="仿宋"/>
          <w:color w:val="auto"/>
          <w:sz w:val="24"/>
          <w:szCs w:val="24"/>
          <w:highlight w:val="none"/>
          <w:lang w:eastAsia="zh-CN"/>
        </w:rPr>
        <w:t xml:space="preserve">2026年3月24日</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:30。</w:t>
      </w:r>
      <w:r/>
    </w:p>
    <w:p>
      <w:pPr>
        <w:pStyle w:val="753"/>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（四）首次响应文件开启地点：</w:t>
      </w:r>
      <w:r/>
    </w:p>
    <w:p>
      <w:pPr>
        <w:pStyle w:val="753"/>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“苏采云”系统（网址：http://jszfcg.jsczt.cn/）“开标大厅”或进入徐州政府采购网（网址：</w:t>
      </w:r>
      <w:r>
        <w:rPr>
          <w:rFonts w:hint="eastAsia" w:ascii="仿宋" w:hAnsi="仿宋" w:eastAsia="仿宋" w:cs="仿宋"/>
          <w:color w:val="auto"/>
          <w:sz w:val="24"/>
          <w:szCs w:val="24"/>
          <w:highlight w:val="none"/>
        </w:rPr>
        <w:t xml:space="preserve">https://czj.xz.gov.cn/zfcg/</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点击“苏采云”进入系统“开标大厅”。</w:t>
      </w:r>
      <w:bookmarkStart w:id="28" w:name="_GoBack"/>
      <w:r/>
      <w:bookmarkEnd w:id="28"/>
      <w:r/>
      <w:r/>
    </w:p>
    <w:p>
      <w:pPr>
        <w:pStyle w:val="753"/>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（五）供应商在首次响应文件提交的截止时间前，可以对所提交的首次响应文件进行补充、修改或者撤回，并书面通知本</w:t>
      </w:r>
      <w:r>
        <w:rPr>
          <w:rFonts w:hint="eastAsia" w:ascii="仿宋" w:hAnsi="仿宋" w:eastAsia="仿宋" w:cs="仿宋"/>
          <w:color w:val="auto"/>
          <w:sz w:val="24"/>
          <w:szCs w:val="24"/>
          <w:highlight w:val="none"/>
          <w:lang w:val="en-US" w:eastAsia="zh-CN"/>
        </w:rPr>
        <w:t xml:space="preserve">公司</w:t>
      </w:r>
      <w:r>
        <w:rPr>
          <w:rFonts w:hint="eastAsia" w:ascii="仿宋" w:hAnsi="仿宋" w:eastAsia="仿宋" w:cs="仿宋"/>
          <w:color w:val="auto"/>
          <w:sz w:val="24"/>
          <w:szCs w:val="24"/>
          <w:highlight w:val="none"/>
        </w:rPr>
        <w:t xml:space="preserve">。补充、修改的内容作为响应文件的组成部分。补充、修改的内容与首次响应文件不一致的，以补充、修改的内容为准，线上与线下补充、修改内容不一致的，以线下的为准。</w:t>
      </w:r>
      <w:r/>
    </w:p>
    <w:p>
      <w:pPr>
        <w:pStyle w:val="753"/>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（六）不接受不按要求加盖公章（电子签章）的首次响应文件。电子签章相关要求见“苏采云”系统。</w:t>
      </w:r>
      <w:r/>
    </w:p>
    <w:p>
      <w:pPr>
        <w:pStyle w:val="753"/>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首次响应文件解密：到达开启时间，“苏采云”系统自动提取所有响应文件，供应商按采购文件规定方式按时在线解密。本项目采购文件规定的供应商按时在线解密方式：开启时间后30分钟内，通过“苏采云”系统（使用“CA数字证书”）</w:t>
      </w:r>
      <w:r>
        <w:rPr>
          <w:rFonts w:hint="eastAsia" w:ascii="仿宋" w:hAnsi="仿宋" w:eastAsia="仿宋" w:cs="仿宋"/>
          <w:color w:val="auto"/>
          <w:sz w:val="24"/>
          <w:szCs w:val="24"/>
          <w:highlight w:val="none"/>
          <w:lang w:val="en-US" w:eastAsia="zh-CN"/>
        </w:rPr>
        <w:t xml:space="preserve">自行</w:t>
      </w:r>
      <w:r>
        <w:rPr>
          <w:rFonts w:hint="eastAsia" w:ascii="仿宋" w:hAnsi="仿宋" w:eastAsia="仿宋" w:cs="仿宋"/>
          <w:color w:val="auto"/>
          <w:sz w:val="24"/>
          <w:szCs w:val="24"/>
          <w:highlight w:val="none"/>
        </w:rPr>
        <w:t xml:space="preserve">解密。</w:t>
      </w:r>
      <w:r/>
    </w:p>
    <w:p>
      <w:pPr>
        <w:pStyle w:val="753"/>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（八）采购文件（后缀名为“.kedt”）、供应商操作手册及政府采购客户端工具可通过“苏采云”系统（网址：</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"http://jszfcg.jsczt.cn/" \o "http://jszfcg.jsczt.cn/"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http://jszfcg.jsczt.cn/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）--已报名项目--报名详情页面内相应链接进行下载；供应商操作手册及政府采购客户端工具也可通过徐州政府采购网--业务工作--快速服务--下载专区，点击进入《</w:t>
      </w:r>
      <w:r>
        <w:rPr>
          <w:rFonts w:hint="eastAsia" w:ascii="仿宋" w:hAnsi="仿宋" w:eastAsia="仿宋" w:cs="仿宋"/>
          <w:color w:val="auto"/>
          <w:sz w:val="24"/>
          <w:szCs w:val="24"/>
          <w:highlight w:val="none"/>
          <w:lang w:eastAsia="zh-CN"/>
        </w:rPr>
        <w:t xml:space="preserve">“苏采云”系统政务CA办理材料、操作手册及控件下载</w:t>
      </w:r>
      <w:r>
        <w:rPr>
          <w:rFonts w:hint="eastAsia" w:ascii="仿宋" w:hAnsi="仿宋" w:eastAsia="仿宋" w:cs="仿宋"/>
          <w:color w:val="auto"/>
          <w:sz w:val="24"/>
          <w:szCs w:val="24"/>
          <w:highlight w:val="none"/>
        </w:rPr>
        <w:t xml:space="preserve">》，进行下载。</w:t>
      </w:r>
      <w:r/>
    </w:p>
    <w:p>
      <w:pPr>
        <w:pStyle w:val="753"/>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（九）相关说明: 供应商在“苏采云”系统中提交首次响应文件的时间即为数据电文（响应文件，下同）的发送时间和接收时间。</w:t>
      </w:r>
      <w:r/>
    </w:p>
    <w:p>
      <w:pPr>
        <w:pStyle w:val="753"/>
        <w:jc w:val="center"/>
        <w:spacing w:line="360" w:lineRule="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第二部分 响应文件组成</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十三、响应文件编制要求</w:t>
      </w:r>
      <w:r/>
    </w:p>
    <w:p>
      <w:pPr>
        <w:pStyle w:val="909"/>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（一）基本目录</w:t>
      </w:r>
      <w:r/>
    </w:p>
    <w:p>
      <w:pPr>
        <w:pStyle w:val="909"/>
        <w:ind w:firstLine="48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w:t>
      </w:r>
      <w:r>
        <w:rPr>
          <w:rFonts w:hint="eastAsia" w:ascii="仿宋" w:hAnsi="仿宋" w:eastAsia="仿宋" w:cs="仿宋"/>
          <w:b w:val="0"/>
          <w:color w:val="auto"/>
          <w:sz w:val="24"/>
          <w:szCs w:val="24"/>
          <w:highlight w:val="none"/>
        </w:rPr>
        <w:t xml:space="preserve">《磋商报价表》（加盖电子签章，格式见《磋商文件》第十章 响应文件相关格式。</w:t>
      </w:r>
      <w:r>
        <w:rPr>
          <w:rFonts w:hint="eastAsia" w:ascii="仿宋" w:hAnsi="仿宋" w:eastAsia="仿宋" w:cs="仿宋"/>
          <w:b w:val="0"/>
          <w:bCs/>
          <w:color w:val="auto"/>
          <w:sz w:val="24"/>
          <w:szCs w:val="24"/>
          <w:highlight w:val="none"/>
        </w:rPr>
        <w:t xml:space="preserve">政府采购客户端工具输入报价自动生成）；</w:t>
      </w:r>
      <w:r/>
    </w:p>
    <w:p>
      <w:pPr>
        <w:pStyle w:val="909"/>
        <w:ind w:firstLine="480"/>
        <w:spacing w:line="360" w:lineRule="auto"/>
        <w:rPr>
          <w:rFonts w:hint="eastAsia" w:ascii="仿宋" w:hAnsi="仿宋" w:eastAsia="仿宋" w:cs="仿宋"/>
          <w:b w:val="0"/>
          <w:color w:val="auto"/>
          <w:sz w:val="24"/>
          <w:szCs w:val="24"/>
          <w:highlight w:val="none"/>
        </w:rPr>
        <w:outlineLvl w:val="2"/>
      </w:pPr>
      <w:r/>
      <w:bookmarkStart w:id="4" w:name="_Toc108179599"/>
      <w:r/>
      <w:bookmarkStart w:id="5" w:name="_Toc108179676"/>
      <w:r/>
      <w:bookmarkStart w:id="6" w:name="_Toc108179557"/>
      <w:r/>
      <w:bookmarkStart w:id="7" w:name="_Toc108179641"/>
      <w:r>
        <w:rPr>
          <w:rFonts w:hint="eastAsia" w:ascii="仿宋" w:hAnsi="仿宋" w:eastAsia="仿宋" w:cs="仿宋"/>
          <w:b w:val="0"/>
          <w:color w:val="auto"/>
          <w:sz w:val="24"/>
          <w:szCs w:val="24"/>
          <w:highlight w:val="none"/>
        </w:rPr>
        <w:t xml:space="preserve">2、所报产品的环境标志产品认证证书原件的扫描件（如有）。</w:t>
      </w:r>
      <w:bookmarkEnd w:id="4"/>
      <w:r/>
      <w:bookmarkEnd w:id="5"/>
      <w:r/>
      <w:bookmarkEnd w:id="6"/>
      <w:r/>
      <w:bookmarkEnd w:id="7"/>
      <w:r/>
      <w:r/>
    </w:p>
    <w:p>
      <w:pPr>
        <w:pStyle w:val="909"/>
        <w:spacing w:line="360" w:lineRule="auto"/>
        <w:rPr>
          <w:rFonts w:hint="eastAsia" w:ascii="仿宋" w:hAnsi="仿宋" w:eastAsia="仿宋" w:cs="仿宋"/>
          <w:b w:val="0"/>
          <w:color w:val="auto"/>
          <w:sz w:val="24"/>
          <w:szCs w:val="24"/>
          <w:highlight w:val="none"/>
        </w:rPr>
        <w:outlineLvl w:val="2"/>
      </w:pPr>
      <w:r/>
      <w:bookmarkStart w:id="8" w:name="_Toc108179558"/>
      <w:r/>
      <w:bookmarkStart w:id="9" w:name="_Toc108179677"/>
      <w:r/>
      <w:bookmarkStart w:id="10" w:name="_Toc108179642"/>
      <w:r/>
      <w:bookmarkStart w:id="11" w:name="_Toc108179600"/>
      <w:r>
        <w:rPr>
          <w:rFonts w:hint="eastAsia" w:ascii="仿宋" w:hAnsi="仿宋" w:eastAsia="仿宋" w:cs="仿宋"/>
          <w:b w:val="0"/>
          <w:color w:val="auto"/>
          <w:sz w:val="24"/>
          <w:szCs w:val="24"/>
          <w:highlight w:val="none"/>
        </w:rPr>
        <w:t xml:space="preserve">注：</w:t>
      </w:r>
      <w:bookmarkEnd w:id="8"/>
      <w:r/>
      <w:bookmarkEnd w:id="9"/>
      <w:r/>
      <w:bookmarkEnd w:id="10"/>
      <w:r/>
      <w:bookmarkEnd w:id="11"/>
      <w:r/>
      <w:r/>
    </w:p>
    <w:p>
      <w:pPr>
        <w:pStyle w:val="909"/>
        <w:ind w:firstLine="480"/>
        <w:spacing w:line="360" w:lineRule="auto"/>
        <w:rPr>
          <w:rFonts w:hint="eastAsia" w:ascii="仿宋" w:hAnsi="仿宋" w:eastAsia="仿宋" w:cs="仿宋"/>
          <w:b w:val="0"/>
          <w:color w:val="auto"/>
          <w:sz w:val="24"/>
          <w:szCs w:val="24"/>
          <w:highlight w:val="none"/>
        </w:rPr>
        <w:outlineLvl w:val="2"/>
      </w:pPr>
      <w:r/>
      <w:bookmarkStart w:id="12" w:name="_Toc108179601"/>
      <w:r/>
      <w:bookmarkStart w:id="13" w:name="_Toc108179643"/>
      <w:r/>
      <w:bookmarkStart w:id="14" w:name="_Toc108179678"/>
      <w:r/>
      <w:bookmarkStart w:id="15" w:name="_Toc108179559"/>
      <w:r>
        <w:rPr>
          <w:rFonts w:hint="eastAsia" w:ascii="仿宋" w:hAnsi="仿宋" w:eastAsia="仿宋" w:cs="仿宋"/>
          <w:b w:val="0"/>
          <w:color w:val="auto"/>
          <w:sz w:val="24"/>
          <w:szCs w:val="24"/>
          <w:highlight w:val="none"/>
        </w:rPr>
        <w:t xml:space="preserve">（1）所报产品属于《环境标志产品政府采购品目清单》（由财政部 生态环境部印发）范围的，响应文件中提供（如有）所报产品的国家确定的认证机构出具的、处于有效期之内（即“</w:t>
      </w:r>
      <w:r>
        <w:rPr>
          <w:rFonts w:hint="eastAsia" w:ascii="仿宋" w:hAnsi="仿宋" w:eastAsia="仿宋" w:cs="仿宋"/>
          <w:b w:val="0"/>
          <w:bCs/>
          <w:color w:val="auto"/>
          <w:sz w:val="24"/>
          <w:szCs w:val="24"/>
          <w:highlight w:val="none"/>
        </w:rPr>
        <w:t xml:space="preserve">首次响应文件开启时间</w:t>
      </w:r>
      <w:r>
        <w:rPr>
          <w:rFonts w:hint="eastAsia" w:ascii="仿宋" w:hAnsi="仿宋" w:eastAsia="仿宋" w:cs="仿宋"/>
          <w:b w:val="0"/>
          <w:color w:val="auto"/>
          <w:sz w:val="24"/>
          <w:szCs w:val="24"/>
          <w:highlight w:val="none"/>
        </w:rPr>
        <w:t xml:space="preserve">”当天在有效期之内）的环境标志产品认证证书原件的扫描件。</w:t>
      </w:r>
      <w:bookmarkEnd w:id="12"/>
      <w:r/>
      <w:bookmarkEnd w:id="13"/>
      <w:r/>
      <w:bookmarkEnd w:id="14"/>
      <w:r/>
      <w:bookmarkEnd w:id="15"/>
      <w:r/>
      <w:r/>
    </w:p>
    <w:p>
      <w:pPr>
        <w:pStyle w:val="909"/>
        <w:ind w:firstLine="480"/>
        <w:spacing w:line="360" w:lineRule="auto"/>
        <w:rPr>
          <w:rFonts w:hint="eastAsia" w:ascii="仿宋" w:hAnsi="仿宋" w:eastAsia="仿宋" w:cs="仿宋"/>
          <w:b w:val="0"/>
          <w:color w:val="auto"/>
          <w:sz w:val="24"/>
          <w:szCs w:val="24"/>
          <w:highlight w:val="none"/>
        </w:rPr>
        <w:outlineLvl w:val="2"/>
      </w:pPr>
      <w:r/>
      <w:bookmarkStart w:id="16" w:name="_Toc108179602"/>
      <w:r/>
      <w:bookmarkStart w:id="17" w:name="_Toc108179644"/>
      <w:r/>
      <w:bookmarkStart w:id="18" w:name="_Toc108179560"/>
      <w:r/>
      <w:bookmarkStart w:id="19" w:name="_Toc108179679"/>
      <w:r>
        <w:rPr>
          <w:rFonts w:hint="eastAsia" w:ascii="仿宋" w:hAnsi="仿宋" w:eastAsia="仿宋" w:cs="仿宋"/>
          <w:b w:val="0"/>
          <w:color w:val="auto"/>
          <w:sz w:val="24"/>
          <w:szCs w:val="24"/>
          <w:highlight w:val="none"/>
        </w:rPr>
        <w:t xml:space="preserve">（2）环境标志产品认证证书是否符合要求，采购人评审时查询中国政府采购网（www.ccgp.gov.cn）相关内容后确定。</w:t>
      </w:r>
      <w:bookmarkEnd w:id="16"/>
      <w:r/>
      <w:bookmarkEnd w:id="17"/>
      <w:r/>
      <w:bookmarkEnd w:id="18"/>
      <w:r/>
      <w:bookmarkEnd w:id="19"/>
      <w:r/>
      <w:r/>
    </w:p>
    <w:p>
      <w:pPr>
        <w:pStyle w:val="909"/>
        <w:ind w:firstLine="480"/>
        <w:spacing w:line="360" w:lineRule="auto"/>
        <w:rPr>
          <w:rFonts w:hint="eastAsia" w:ascii="仿宋" w:hAnsi="仿宋" w:eastAsia="仿宋" w:cs="仿宋"/>
          <w:b w:val="0"/>
          <w:color w:val="auto"/>
          <w:sz w:val="24"/>
          <w:szCs w:val="24"/>
          <w:highlight w:val="none"/>
        </w:rPr>
        <w:outlineLvl w:val="2"/>
      </w:pPr>
      <w:r/>
      <w:bookmarkStart w:id="20" w:name="_Toc108179680"/>
      <w:r/>
      <w:bookmarkStart w:id="21" w:name="_Toc108179603"/>
      <w:r/>
      <w:bookmarkStart w:id="22" w:name="_Toc108179561"/>
      <w:r/>
      <w:bookmarkStart w:id="23" w:name="_Toc108179645"/>
      <w:r>
        <w:rPr>
          <w:rFonts w:hint="eastAsia" w:ascii="仿宋" w:hAnsi="仿宋" w:eastAsia="仿宋" w:cs="仿宋"/>
          <w:b w:val="0"/>
          <w:color w:val="auto"/>
          <w:sz w:val="24"/>
          <w:szCs w:val="24"/>
          <w:highlight w:val="none"/>
        </w:rPr>
        <w:t xml:space="preserve">3、所报产品的节能产品认证证书原件的扫描件（如有）。</w:t>
      </w:r>
      <w:bookmarkEnd w:id="20"/>
      <w:r/>
      <w:bookmarkEnd w:id="21"/>
      <w:r/>
      <w:bookmarkEnd w:id="22"/>
      <w:r/>
      <w:bookmarkEnd w:id="23"/>
      <w:r/>
      <w:r/>
    </w:p>
    <w:p>
      <w:pPr>
        <w:pStyle w:val="909"/>
        <w:spacing w:line="360" w:lineRule="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注：</w:t>
      </w:r>
      <w:r/>
    </w:p>
    <w:p>
      <w:pPr>
        <w:pStyle w:val="909"/>
        <w:ind w:firstLine="480"/>
        <w:spacing w:line="360" w:lineRule="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仿宋"/>
          <w:b w:val="0"/>
          <w:bCs/>
          <w:color w:val="auto"/>
          <w:sz w:val="24"/>
          <w:szCs w:val="24"/>
          <w:highlight w:val="none"/>
        </w:rPr>
        <w:t xml:space="preserve">首次响应文件开启时间</w:t>
      </w:r>
      <w:r>
        <w:rPr>
          <w:rFonts w:hint="eastAsia" w:ascii="仿宋" w:hAnsi="仿宋" w:eastAsia="仿宋" w:cs="仿宋"/>
          <w:b w:val="0"/>
          <w:color w:val="auto"/>
          <w:sz w:val="24"/>
          <w:szCs w:val="24"/>
          <w:highlight w:val="none"/>
        </w:rPr>
        <w:t xml:space="preserve">”当天在有效期之内）的节能产品认证证书原件的扫描件。</w:t>
      </w:r>
      <w:r/>
    </w:p>
    <w:p>
      <w:pPr>
        <w:pStyle w:val="909"/>
        <w:ind w:firstLine="48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color w:val="auto"/>
          <w:sz w:val="24"/>
          <w:szCs w:val="24"/>
          <w:highlight w:val="none"/>
        </w:rPr>
        <w:t xml:space="preserve">（2）节能产品认证证书是否符合要求，采购人评审时查询中国政府采购网。（www.ccgp.gov.cn）相关内容后确定。</w:t>
      </w:r>
      <w:r/>
    </w:p>
    <w:p>
      <w:pPr>
        <w:pStyle w:val="909"/>
        <w:ind w:firstLine="48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4、供应商认为需要提供的其他资料的扫描件（如有）。</w:t>
      </w:r>
      <w:r/>
    </w:p>
    <w:p>
      <w:pPr>
        <w:pStyle w:val="909"/>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（二）资格审查条件（必须提供，否则响应无效）</w:t>
      </w:r>
      <w:r/>
    </w:p>
    <w:p>
      <w:pPr>
        <w:pStyle w:val="753"/>
        <w:ind w:right="-328" w:firstLine="420"/>
        <w:spacing w:line="360" w:lineRule="auto"/>
        <w:tabs>
          <w:tab w:val="left" w:pos="5578"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1、供应商合法有效的法人营业执照扫描件，或事业单位法人证书扫描件，或民办非企业单位登记证书扫描件或具有法定代表人委托的分支机构营业执照扫描件；</w:t>
      </w:r>
      <w:r/>
    </w:p>
    <w:p>
      <w:pPr>
        <w:pStyle w:val="753"/>
        <w:ind w:right="-328" w:firstLine="420"/>
        <w:spacing w:line="360" w:lineRule="auto"/>
        <w:tabs>
          <w:tab w:val="left" w:pos="5578"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财务状况报告，至少提供：</w:t>
      </w:r>
      <w:r/>
    </w:p>
    <w:p>
      <w:pPr>
        <w:pStyle w:val="753"/>
        <w:ind w:right="-328" w:firstLine="420"/>
        <w:spacing w:line="360" w:lineRule="auto"/>
        <w:tabs>
          <w:tab w:val="left" w:pos="5578"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供应商的提交首次响应文件时间前六个月（不含</w:t>
      </w:r>
      <w:r>
        <w:rPr>
          <w:rFonts w:hint="eastAsia" w:ascii="仿宋" w:hAnsi="仿宋" w:eastAsia="仿宋" w:cs="仿宋"/>
          <w:color w:val="auto"/>
          <w:sz w:val="24"/>
          <w:szCs w:val="24"/>
          <w:highlight w:val="none"/>
          <w:lang w:eastAsia="zh-CN"/>
        </w:rPr>
        <w:t xml:space="preserve">磋商</w:t>
      </w:r>
      <w:r>
        <w:rPr>
          <w:rFonts w:hint="eastAsia" w:ascii="仿宋" w:hAnsi="仿宋" w:eastAsia="仿宋" w:cs="仿宋"/>
          <w:color w:val="auto"/>
          <w:sz w:val="24"/>
          <w:szCs w:val="24"/>
          <w:highlight w:val="none"/>
        </w:rPr>
        <w:t xml:space="preserve">当月）内</w:t>
      </w:r>
      <w:r>
        <w:rPr>
          <w:rFonts w:hint="eastAsia" w:ascii="仿宋" w:hAnsi="仿宋" w:eastAsia="仿宋" w:cs="仿宋"/>
          <w:color w:val="auto"/>
          <w:sz w:val="24"/>
          <w:szCs w:val="24"/>
          <w:highlight w:val="none"/>
          <w:lang w:eastAsia="zh-CN"/>
        </w:rPr>
        <w:t xml:space="preserve">任意一月</w:t>
      </w:r>
      <w:r>
        <w:rPr>
          <w:rFonts w:hint="eastAsia" w:ascii="仿宋" w:hAnsi="仿宋" w:eastAsia="仿宋" w:cs="仿宋"/>
          <w:color w:val="auto"/>
          <w:sz w:val="24"/>
          <w:szCs w:val="24"/>
          <w:highlight w:val="none"/>
        </w:rPr>
        <w:t xml:space="preserve">的资产负债表和利润表扫描件各一份或提供投标人上年度财务审计报告或投标人的本项目开标时间前6个月内银行出具的资信证明扫描件。</w:t>
      </w:r>
      <w:r/>
    </w:p>
    <w:p>
      <w:pPr>
        <w:pStyle w:val="753"/>
        <w:ind w:right="-328" w:firstLine="420"/>
        <w:spacing w:line="360" w:lineRule="auto"/>
        <w:tabs>
          <w:tab w:val="left" w:pos="5578"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、有依法缴纳税收和社会保障资金的良好记录，至少提供：</w:t>
      </w:r>
      <w:r/>
    </w:p>
    <w:p>
      <w:pPr>
        <w:pStyle w:val="753"/>
        <w:ind w:right="-328" w:firstLine="420"/>
        <w:spacing w:line="360" w:lineRule="auto"/>
        <w:tabs>
          <w:tab w:val="left" w:pos="5578"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供应商的提交首次响应文件时间前六个月内（不含</w:t>
      </w:r>
      <w:r>
        <w:rPr>
          <w:rFonts w:hint="eastAsia" w:ascii="仿宋" w:hAnsi="仿宋" w:eastAsia="仿宋" w:cs="仿宋"/>
          <w:color w:val="auto"/>
          <w:sz w:val="24"/>
          <w:szCs w:val="24"/>
          <w:highlight w:val="none"/>
          <w:lang w:eastAsia="zh-CN"/>
        </w:rPr>
        <w:t xml:space="preserve">磋商</w:t>
      </w:r>
      <w:r>
        <w:rPr>
          <w:rFonts w:hint="eastAsia" w:ascii="仿宋" w:hAnsi="仿宋" w:eastAsia="仿宋" w:cs="仿宋"/>
          <w:color w:val="auto"/>
          <w:sz w:val="24"/>
          <w:szCs w:val="24"/>
          <w:highlight w:val="none"/>
        </w:rPr>
        <w:t xml:space="preserve">当月）</w:t>
      </w:r>
      <w:r>
        <w:rPr>
          <w:rFonts w:hint="eastAsia" w:ascii="仿宋" w:hAnsi="仿宋" w:eastAsia="仿宋" w:cs="仿宋"/>
          <w:color w:val="auto"/>
          <w:sz w:val="24"/>
          <w:szCs w:val="24"/>
          <w:highlight w:val="none"/>
          <w:lang w:eastAsia="zh-CN"/>
        </w:rPr>
        <w:t xml:space="preserve">任意</w:t>
      </w:r>
      <w:r>
        <w:rPr>
          <w:rFonts w:hint="eastAsia" w:ascii="仿宋" w:hAnsi="仿宋" w:eastAsia="仿宋" w:cs="仿宋"/>
          <w:color w:val="auto"/>
          <w:sz w:val="24"/>
          <w:szCs w:val="24"/>
          <w:highlight w:val="none"/>
        </w:rPr>
        <w:t xml:space="preserve">一月的依法缴纳税收和社会保障资金的相关材料扫描件；依法免税或不需要缴纳社会保障资金的供应商应提供相应其依法免税或不需要缴纳社会保障资金的证明文件扫描件。</w:t>
      </w:r>
      <w:r/>
    </w:p>
    <w:p>
      <w:pPr>
        <w:pStyle w:val="753"/>
        <w:ind w:right="-328" w:firstLine="420"/>
        <w:spacing w:line="360" w:lineRule="auto"/>
        <w:tabs>
          <w:tab w:val="left" w:pos="5578"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、具备履行合同所必需的设备和专业技术能力的证明材料</w:t>
      </w:r>
      <w:r/>
    </w:p>
    <w:p>
      <w:pPr>
        <w:pStyle w:val="753"/>
        <w:ind w:right="-328" w:firstLine="420"/>
        <w:spacing w:line="360" w:lineRule="auto"/>
        <w:tabs>
          <w:tab w:val="left" w:pos="5578"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供应商根据履行采购项目合同需要，响应文件中提供《具备履行合同所必需的设备和专业技术能力的书面声明》(加盖电子签章)。格式详见《磋商文件》第十章响应文件相关格式。</w:t>
      </w:r>
      <w:r/>
    </w:p>
    <w:p>
      <w:pPr>
        <w:pStyle w:val="753"/>
        <w:numPr>
          <w:ilvl w:val="0"/>
          <w:numId w:val="1"/>
        </w:numPr>
        <w:ind w:right="-328" w:firstLine="420"/>
        <w:spacing w:line="360" w:lineRule="auto"/>
        <w:tabs>
          <w:tab w:val="left" w:pos="5578"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供应商参加政府采购活动前三年内在经营活动中没有重大违法记录的书面声明（加盖电子签章，格式见《磋商文件》第十章 响应文件相关格式）。</w:t>
      </w:r>
      <w:r/>
    </w:p>
    <w:p>
      <w:pPr>
        <w:pStyle w:val="753"/>
        <w:numPr>
          <w:ilvl w:val="0"/>
          <w:numId w:val="1"/>
        </w:numPr>
        <w:ind w:left="0" w:right="-328" w:firstLine="420"/>
        <w:spacing w:line="360" w:lineRule="auto"/>
        <w:tabs>
          <w:tab w:val="left" w:pos="5578" w:leader="none"/>
        </w:tabs>
        <w:rPr>
          <w:rFonts w:hint="eastAsia" w:ascii="仿宋" w:hAnsi="仿宋" w:eastAsia="仿宋" w:cs="仿宋"/>
          <w:color w:val="auto"/>
          <w:sz w:val="24"/>
          <w:szCs w:val="24"/>
          <w:highlight w:val="none"/>
        </w:rPr>
      </w:pPr>
      <w:r>
        <w:rPr>
          <w:rFonts w:ascii="仿宋" w:hAnsi="仿宋" w:eastAsia="仿宋" w:cs="仿宋"/>
          <w:color w:val="000000"/>
          <w:sz w:val="24"/>
          <w:szCs w:val="22"/>
          <w:highlight w:val="white"/>
        </w:rPr>
        <w:t xml:space="preserve">未被“信用中国”网站（www.creditchina.gov.cn）列入失信被执行人、重大税收违法案件当事人名单、政府采购严重失信行为记录名单</w:t>
      </w:r>
      <w:r>
        <w:rPr>
          <w:rFonts w:hint="eastAsia" w:ascii="仿宋" w:hAnsi="仿宋" w:eastAsia="仿宋" w:cs="仿宋"/>
          <w:color w:val="auto"/>
          <w:sz w:val="22"/>
          <w:szCs w:val="22"/>
          <w:highlight w:val="none"/>
          <w:lang w:val="en-US" w:eastAsia="zh-CN"/>
        </w:rPr>
        <w:t xml:space="preserve">。</w:t>
      </w:r>
      <w:r/>
    </w:p>
    <w:p>
      <w:pPr>
        <w:pStyle w:val="753"/>
        <w:numPr>
          <w:ilvl w:val="0"/>
          <w:numId w:val="1"/>
        </w:numPr>
        <w:ind w:left="0" w:right="-328" w:firstLine="420"/>
        <w:spacing w:line="360" w:lineRule="auto"/>
        <w:tabs>
          <w:tab w:val="left" w:pos="5578"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本项目的特定资格要求：响应文件中须提供《经营保险业务许可证》或《保险许可证》扫描件。（本项目属于保险行业，法人的分支机构可以参加投标。但同一家总公司只能有一家分支机构参与投标，且总公司不能与下属分支机构同时参与投标。如分支机构进行投标的，投标文件中须提供总公司的书面授权委托书扫描件，或提供总公司有关文件、证照或制度等能够证明总公司授权其独立开展业务的证明材料扫描件）。</w:t>
      </w:r>
      <w:r/>
    </w:p>
    <w:p>
      <w:pPr>
        <w:pStyle w:val="753"/>
        <w:numPr>
          <w:ilvl w:val="0"/>
          <w:numId w:val="0"/>
        </w:numPr>
        <w:ind w:right="-328" w:firstLine="240"/>
        <w:spacing w:line="360" w:lineRule="auto"/>
        <w:tabs>
          <w:tab w:val="left" w:pos="5578"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以上资格、资信证明文件资料如未提供或提供不全，视为未响应采购文件要求，不具备投标资格。</w:t>
      </w:r>
      <w:r/>
    </w:p>
    <w:p>
      <w:pPr>
        <w:pStyle w:val="753"/>
        <w:ind w:right="-328" w:firstLine="420"/>
        <w:spacing w:line="360" w:lineRule="auto"/>
        <w:tabs>
          <w:tab w:val="left" w:pos="5578"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（三）符合性审查条件（必须提供，否则响应无效）</w:t>
      </w:r>
      <w:r/>
    </w:p>
    <w:p>
      <w:pPr>
        <w:pStyle w:val="753"/>
        <w:ind w:right="-328" w:firstLine="420"/>
        <w:spacing w:line="360" w:lineRule="auto"/>
        <w:tabs>
          <w:tab w:val="left" w:pos="5578"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1、《承诺书》（加盖电子签章，见《磋商文件》第十章 响应文件相关格式）；</w:t>
      </w:r>
      <w:r/>
    </w:p>
    <w:p>
      <w:pPr>
        <w:pStyle w:val="753"/>
        <w:ind w:right="-328" w:firstLine="420"/>
        <w:spacing w:line="360" w:lineRule="auto"/>
        <w:tabs>
          <w:tab w:val="left" w:pos="5578"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、《磋商报价表》（加盖电子签章，见《磋商文件》第十章 响应文件相关格式）；</w:t>
      </w:r>
      <w:r/>
    </w:p>
    <w:p>
      <w:pPr>
        <w:pStyle w:val="753"/>
        <w:ind w:right="-328" w:firstLine="420"/>
        <w:spacing w:line="360" w:lineRule="auto"/>
        <w:tabs>
          <w:tab w:val="left" w:pos="5578"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《分项价格表》（加盖电子签章，见《磋商文件》第十章 响应文件相关格式）；</w:t>
      </w:r>
      <w:r/>
    </w:p>
    <w:p>
      <w:pPr>
        <w:pStyle w:val="753"/>
        <w:ind w:right="-328" w:firstLine="420"/>
        <w:spacing w:line="360" w:lineRule="auto"/>
        <w:tabs>
          <w:tab w:val="left" w:pos="5578"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、《偏离表》（加盖电子签章，见《磋商文件》第十章 响应文件相关格式）。</w:t>
      </w:r>
      <w:r/>
    </w:p>
    <w:p>
      <w:pPr>
        <w:pStyle w:val="753"/>
        <w:ind w:right="-328" w:firstLine="420"/>
        <w:spacing w:line="360" w:lineRule="auto"/>
        <w:tabs>
          <w:tab w:val="left" w:pos="5578"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、《授权委托书》（加盖电子签章，见《磋商文件》第十章 响应文件相关格式）；</w:t>
      </w:r>
      <w:r/>
    </w:p>
    <w:p>
      <w:pPr>
        <w:ind w:firstLine="482"/>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（四）综合评审评分项</w:t>
      </w:r>
      <w:r/>
    </w:p>
    <w:p>
      <w:pPr>
        <w:ind w:firstLine="482"/>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1、技术部分（要求见《磋商文件》中《评分细则》、《采购需求》）</w:t>
      </w:r>
      <w:r/>
    </w:p>
    <w:p>
      <w:pPr>
        <w:ind w:firstLine="482"/>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2、商务部分（要求见《磋商文件》中《评分细则》）</w:t>
      </w:r>
      <w:r/>
    </w:p>
    <w:p>
      <w:pPr>
        <w:ind w:firstLine="482"/>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3、评分细则中评分得分需提供的相关证明文件扫描件或供应商认为需要提供的其他资料扫描件。</w:t>
      </w:r>
      <w:r/>
    </w:p>
    <w:p>
      <w:pPr>
        <w:pStyle w:val="909"/>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（五）价格折扣文件</w:t>
      </w:r>
      <w:r/>
    </w:p>
    <w:p>
      <w:pPr>
        <w:pStyle w:val="909"/>
        <w:ind w:firstLine="480"/>
        <w:spacing w:line="360" w:lineRule="auto"/>
        <w:rPr>
          <w:rFonts w:hint="eastAsia" w:ascii="仿宋" w:hAnsi="仿宋" w:eastAsia="仿宋" w:cs="仿宋"/>
          <w:b w:val="0"/>
          <w:color w:val="auto"/>
          <w:sz w:val="24"/>
          <w:szCs w:val="24"/>
          <w:highlight w:val="none"/>
        </w:rPr>
      </w:pPr>
      <w:r>
        <w:rPr>
          <w:rFonts w:hint="eastAsia" w:ascii="仿宋" w:hAnsi="仿宋" w:eastAsia="仿宋" w:cs="仿宋"/>
          <w:b w:val="0"/>
          <w:bCs/>
          <w:color w:val="auto"/>
          <w:sz w:val="24"/>
          <w:szCs w:val="24"/>
          <w:highlight w:val="none"/>
        </w:rPr>
        <w:t xml:space="preserve">供应商为中小企业（含中型、小型、微型企业，下同）的，提供《中小企业声明函》（</w:t>
      </w:r>
      <w:r>
        <w:rPr>
          <w:rStyle w:val="1098"/>
          <w:rFonts w:hint="eastAsia" w:ascii="仿宋" w:hAnsi="仿宋" w:eastAsia="仿宋" w:cs="仿宋"/>
          <w:b/>
          <w:bCs w:val="0"/>
          <w:color w:val="auto"/>
          <w:sz w:val="24"/>
          <w:szCs w:val="24"/>
          <w:highlight w:val="none"/>
        </w:rPr>
        <w:t xml:space="preserve">本项目不属于专门面向中小微企业采购的项目（非必须提供）</w:t>
      </w:r>
      <w:r>
        <w:rPr>
          <w:rFonts w:hint="eastAsia" w:ascii="仿宋" w:hAnsi="仿宋" w:eastAsia="仿宋" w:cs="仿宋"/>
          <w:b w:val="0"/>
          <w:bCs/>
          <w:color w:val="auto"/>
          <w:sz w:val="24"/>
          <w:szCs w:val="24"/>
          <w:highlight w:val="none"/>
        </w:rPr>
        <w:t xml:space="preserve">）（加盖电子签章，填写完整。格式见《磋商文件》第十章 响应文件相关格式）。</w:t>
      </w:r>
      <w:r>
        <w:rPr>
          <w:rFonts w:hint="eastAsia" w:ascii="仿宋" w:hAnsi="仿宋" w:eastAsia="仿宋" w:cs="仿宋"/>
          <w:b w:val="0"/>
          <w:color w:val="auto"/>
          <w:sz w:val="24"/>
          <w:szCs w:val="24"/>
          <w:highlight w:val="none"/>
        </w:rPr>
        <w:t xml:space="preserve">《中小企业声明函》查询渠道参考工业和信息化部发布的中小企业规模自测小程序。</w:t>
      </w:r>
      <w:r/>
    </w:p>
    <w:p>
      <w:pPr>
        <w:pStyle w:val="753"/>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注：中小企业（含中型、小型、微型企业，下同），应当同时符合以下条件：</w:t>
      </w:r>
      <w:r/>
    </w:p>
    <w:p>
      <w:pPr>
        <w:pStyle w:val="753"/>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 符合中小企业划分标准；</w:t>
      </w:r>
      <w:r/>
    </w:p>
    <w:p>
      <w:pPr>
        <w:pStyle w:val="753"/>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 提供本企业制造的货物、承担的工程或者服务，或者提供其他中小企业制造的货物。本项所称货物不包括使用大型企业注册商标的货物。小型、微型企业提供中型企业制造的货物的，视同为中型企业。</w:t>
      </w:r>
      <w:r/>
    </w:p>
    <w:p>
      <w:pPr>
        <w:pStyle w:val="753"/>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pStyle w:val="753"/>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响应供应商为残疾人福利性单位的，视同小微企业，提供《残疾人福利性单位声明函》（加盖公章，格式见磋商文件第七章《响应文件相关格式》）。具体</w:t>
      </w:r>
      <w:r>
        <w:rPr>
          <w:rFonts w:hint="eastAsia" w:ascii="仿宋" w:hAnsi="仿宋" w:eastAsia="仿宋" w:cs="仿宋"/>
          <w:color w:val="auto"/>
          <w:sz w:val="24"/>
          <w:szCs w:val="24"/>
          <w:highlight w:val="none"/>
        </w:rPr>
        <w:t xml:space="preserve">以《关于促进残疾人就业政府采购政策的通知》（财库〔2017〕141号）的规定为准。</w:t>
      </w:r>
      <w:r/>
    </w:p>
    <w:p>
      <w:pPr>
        <w:pStyle w:val="753"/>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响应供应商为监狱企业的，视同小微企业，提供省级以上监狱管理局、戒毒管理局（含新疆生产建设兵团）出具的属于监狱企业的证明文件复印件。具体以《财政部 司法部关于政府采购支持监狱企业发展有关问题的通知》（财库〔2014〕68号）的规定为准。</w:t>
      </w:r>
      <w:r/>
    </w:p>
    <w:p>
      <w:pPr>
        <w:pStyle w:val="753"/>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供应商为监狱企业的，提供省级以上监狱管理局、戒毒管理局（含新疆生产建设兵团）出具的属于监狱企业的证明文件复印件。</w:t>
      </w:r>
      <w:r/>
    </w:p>
    <w:p>
      <w:pPr>
        <w:pStyle w:val="753"/>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注：具体以《财政部司法部关于政府采购支持监狱企业发展有关问题的通知》（财库〔2014〕68号）的规定为准。</w:t>
      </w:r>
      <w:r/>
    </w:p>
    <w:p>
      <w:pPr>
        <w:pStyle w:val="753"/>
        <w:ind w:left="176" w:right="29"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供应商为享受政府采购支持政策的残疾人福利性单位的，提供《残疾人福利性单位声明函》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非必须提供</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原件（加盖公章，格式见《磋商文件》第十章 响应文件相关格式）。</w:t>
      </w:r>
      <w:r/>
    </w:p>
    <w:p>
      <w:pPr>
        <w:pStyle w:val="753"/>
        <w:ind w:firstLine="56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享受政府采购支持政策的残疾人福利性单位应当同时满足以下条件：</w:t>
      </w:r>
      <w:r/>
    </w:p>
    <w:p>
      <w:pPr>
        <w:pStyle w:val="753"/>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（一）安置的残疾人占本单位在职职工人数的比例不低于25%（含25%），并且安置的残疾人人数不少于10人（含10人）；</w:t>
      </w:r>
      <w:r/>
    </w:p>
    <w:p>
      <w:pPr>
        <w:pStyle w:val="753"/>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（二）依法与安置的每位残疾人签订了一年以上（含一年）的劳动合同或服务协议；</w:t>
      </w:r>
      <w:r/>
    </w:p>
    <w:p>
      <w:pPr>
        <w:pStyle w:val="753"/>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（三）为安置的每位残疾人按月足额缴纳了基本养老保险、基本医疗保险、失业保险、工伤保险和生育保险等社会保险费；</w:t>
      </w:r>
      <w:r/>
    </w:p>
    <w:p>
      <w:pPr>
        <w:pStyle w:val="753"/>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（四）通过银行等金融机构向安置的每位残疾人，按月支付了不低于单位所在区县适用的经省级人民政府批准的月最低工资标准的工资；</w:t>
      </w:r>
      <w:r/>
    </w:p>
    <w:p>
      <w:pPr>
        <w:pStyle w:val="753"/>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（五）提供本单位制造的货物、承担的工程或者服务（以下简称产品），或者提供其他残疾人福利性单位制造的货物（不包括使用非残疾人福利性单位注册商标的货物）。</w:t>
      </w:r>
      <w:r/>
    </w:p>
    <w:p>
      <w:pPr>
        <w:pStyle w:val="753"/>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9"/>
        <w:ind w:firstLine="480"/>
        <w:spacing w:line="360" w:lineRule="auto"/>
        <w:rPr>
          <w:rFonts w:hint="eastAsia" w:ascii="仿宋" w:hAnsi="仿宋" w:eastAsia="仿宋" w:cs="仿宋"/>
          <w:b w:val="0"/>
          <w:color w:val="auto"/>
          <w:sz w:val="24"/>
          <w:szCs w:val="24"/>
          <w:highlight w:val="none"/>
        </w:rPr>
      </w:pPr>
      <w:r>
        <w:rPr>
          <w:rFonts w:hint="eastAsia" w:ascii="仿宋" w:hAnsi="仿宋" w:eastAsia="仿宋" w:cs="仿宋"/>
          <w:color w:val="auto"/>
          <w:sz w:val="24"/>
          <w:szCs w:val="24"/>
          <w:highlight w:val="none"/>
        </w:rPr>
        <w:t xml:space="preserve">具体以《三部门联合发布关于促进残疾人就业政府采购政策的通知》（财库〔2017〕141号）规定为准。</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十四、提交的首次响应文件的密封、签署、盖章要求：</w:t>
      </w:r>
      <w:r/>
    </w:p>
    <w:p>
      <w:pPr>
        <w:pStyle w:val="909"/>
        <w:ind w:firstLine="48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1、密封（加密）要求：</w:t>
      </w:r>
      <w:r/>
    </w:p>
    <w:p>
      <w:pPr>
        <w:pStyle w:val="909"/>
        <w:ind w:firstLine="480"/>
        <w:spacing w:line="360" w:lineRule="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09"/>
        <w:ind w:firstLine="480"/>
        <w:spacing w:line="360" w:lineRule="auto"/>
        <w:rPr>
          <w:rFonts w:hint="eastAsia" w:ascii="仿宋" w:hAnsi="仿宋" w:eastAsia="仿宋" w:cs="仿宋"/>
          <w:b w:val="0"/>
          <w:color w:val="auto"/>
          <w:sz w:val="24"/>
          <w:szCs w:val="24"/>
          <w:highlight w:val="none"/>
        </w:rPr>
      </w:pPr>
      <w:r>
        <w:rPr>
          <w:rFonts w:hint="eastAsia" w:ascii="仿宋" w:hAnsi="仿宋" w:eastAsia="仿宋" w:cs="仿宋"/>
          <w:b w:val="0"/>
          <w:bCs/>
          <w:color w:val="auto"/>
          <w:sz w:val="24"/>
          <w:szCs w:val="24"/>
          <w:highlight w:val="none"/>
        </w:rPr>
        <w:t xml:space="preserve">2、签署要求：</w:t>
      </w:r>
      <w:r>
        <w:rPr>
          <w:rFonts w:hint="eastAsia" w:ascii="仿宋" w:hAnsi="仿宋" w:eastAsia="仿宋" w:cs="仿宋"/>
          <w:b w:val="0"/>
          <w:color w:val="auto"/>
          <w:sz w:val="24"/>
          <w:szCs w:val="24"/>
          <w:highlight w:val="none"/>
        </w:rPr>
        <w:t xml:space="preserve">见《磋商文件》第十章 响应文件相关格式。</w:t>
      </w:r>
      <w:r/>
    </w:p>
    <w:p>
      <w:pPr>
        <w:pStyle w:val="909"/>
        <w:ind w:firstLine="48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特别提醒：竞争性磋商文件中如需“被授权代表签字或盖章”，供应商可打印成文档，签字或盖章后再扫描上传，最后再电子签章。</w:t>
      </w:r>
      <w:r/>
    </w:p>
    <w:p>
      <w:pPr>
        <w:pStyle w:val="909"/>
        <w:ind w:firstLine="480"/>
        <w:spacing w:line="360" w:lineRule="auto"/>
        <w:rPr>
          <w:rFonts w:hint="eastAsia" w:ascii="仿宋" w:hAnsi="仿宋" w:eastAsia="仿宋" w:cs="仿宋"/>
          <w:b w:val="0"/>
          <w:color w:val="auto"/>
          <w:sz w:val="24"/>
          <w:szCs w:val="24"/>
          <w:highlight w:val="none"/>
        </w:rPr>
      </w:pPr>
      <w:r>
        <w:rPr>
          <w:rFonts w:hint="eastAsia" w:ascii="仿宋" w:hAnsi="仿宋" w:eastAsia="仿宋" w:cs="仿宋"/>
          <w:b w:val="0"/>
          <w:bCs/>
          <w:color w:val="auto"/>
          <w:sz w:val="24"/>
          <w:szCs w:val="24"/>
          <w:highlight w:val="none"/>
        </w:rPr>
        <w:t xml:space="preserve">3、盖章要求：</w:t>
      </w:r>
      <w:r>
        <w:rPr>
          <w:rFonts w:hint="eastAsia" w:ascii="仿宋" w:hAnsi="仿宋" w:eastAsia="仿宋" w:cs="仿宋"/>
          <w:b w:val="0"/>
          <w:color w:val="auto"/>
          <w:sz w:val="24"/>
          <w:szCs w:val="24"/>
          <w:highlight w:val="none"/>
        </w:rPr>
        <w:t xml:space="preserve">见《磋商文件》</w:t>
      </w:r>
      <w:r>
        <w:rPr>
          <w:rFonts w:hint="eastAsia" w:ascii="仿宋" w:hAnsi="仿宋" w:eastAsia="仿宋" w:cs="仿宋"/>
          <w:b w:val="0"/>
          <w:color w:val="auto"/>
          <w:sz w:val="24"/>
          <w:szCs w:val="24"/>
          <w:highlight w:val="none"/>
          <w:lang w:val="en-US" w:eastAsia="zh-CN"/>
        </w:rPr>
        <w:t xml:space="preserve"> 第十章 响应文件相关格式</w:t>
      </w:r>
      <w:r>
        <w:rPr>
          <w:rFonts w:hint="eastAsia" w:ascii="仿宋" w:hAnsi="仿宋" w:eastAsia="仿宋" w:cs="仿宋"/>
          <w:b w:val="0"/>
          <w:color w:val="auto"/>
          <w:sz w:val="24"/>
          <w:szCs w:val="24"/>
          <w:highlight w:val="none"/>
        </w:rPr>
        <w:t xml:space="preserve">。供应商须通过“苏采云”系统提供的政府采购客户端工具（使用“CA数字证书”）加盖电子签章。</w:t>
      </w:r>
      <w:r/>
    </w:p>
    <w:p>
      <w:pPr>
        <w:pStyle w:val="909"/>
        <w:ind w:firstLine="497"/>
        <w:spacing w:line="360" w:lineRule="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4、说明：通过“苏采云”系统提交政府采购客户端工具导出加密的响应文件（后缀名为zip）。响应文件不得超过</w:t>
      </w:r>
      <w:r>
        <w:rPr>
          <w:rFonts w:hint="eastAsia" w:ascii="仿宋" w:hAnsi="仿宋" w:eastAsia="仿宋" w:cs="仿宋"/>
          <w:b w:val="0"/>
          <w:color w:val="auto"/>
          <w:sz w:val="24"/>
          <w:szCs w:val="24"/>
          <w:highlight w:val="none"/>
          <w:lang w:val="en-US" w:eastAsia="zh-CN"/>
        </w:rPr>
        <w:t xml:space="preserve">1</w:t>
      </w:r>
      <w:r>
        <w:rPr>
          <w:rFonts w:hint="eastAsia" w:ascii="仿宋" w:hAnsi="仿宋" w:eastAsia="仿宋" w:cs="仿宋"/>
          <w:b w:val="0"/>
          <w:color w:val="auto"/>
          <w:sz w:val="24"/>
          <w:szCs w:val="24"/>
          <w:highlight w:val="none"/>
        </w:rPr>
        <w:t xml:space="preserve">50M！</w:t>
      </w:r>
      <w:r>
        <w:rPr>
          <w:rFonts w:hint="eastAsia" w:ascii="仿宋" w:hAnsi="仿宋" w:eastAsia="仿宋" w:cs="仿宋"/>
          <w:b w:val="0"/>
          <w:bCs/>
          <w:color w:val="auto"/>
          <w:sz w:val="24"/>
          <w:szCs w:val="24"/>
          <w:highlight w:val="none"/>
        </w:rPr>
        <w:t xml:space="preserve">（以系统为准）</w:t>
      </w:r>
      <w:r>
        <w:rPr>
          <w:rFonts w:hint="eastAsia" w:ascii="仿宋" w:hAnsi="仿宋" w:eastAsia="仿宋" w:cs="仿宋"/>
          <w:b w:val="0"/>
          <w:color w:val="auto"/>
          <w:sz w:val="24"/>
          <w:szCs w:val="24"/>
          <w:highlight w:val="none"/>
        </w:rPr>
        <w:t xml:space="preserve"> </w:t>
      </w:r>
      <w:r/>
    </w:p>
    <w:p>
      <w:pPr>
        <w:pStyle w:val="909"/>
        <w:ind w:firstLine="497"/>
        <w:spacing w:line="360" w:lineRule="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注：</w:t>
      </w:r>
      <w:r/>
    </w:p>
    <w:p>
      <w:pPr>
        <w:pStyle w:val="909"/>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1、供应商应当按照《磋商文件》的要求编制响应文件，并对其提交的响应文件的真实性、合法性承担法律责任。</w:t>
      </w:r>
      <w:r/>
    </w:p>
    <w:p>
      <w:pPr>
        <w:pStyle w:val="909"/>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2、供应商中标（成交）后，须向代理机构提供</w:t>
      </w:r>
      <w:bookmarkStart w:id="24" w:name="_Hlk105221193"/>
      <w:r>
        <w:rPr>
          <w:rFonts w:hint="eastAsia" w:ascii="仿宋" w:hAnsi="仿宋" w:eastAsia="仿宋" w:cs="仿宋"/>
          <w:color w:val="auto"/>
          <w:sz w:val="24"/>
          <w:szCs w:val="24"/>
          <w:highlight w:val="none"/>
        </w:rPr>
        <w:t xml:space="preserve">纸质版响应文件一正二副</w:t>
      </w:r>
      <w:bookmarkEnd w:id="24"/>
      <w:r>
        <w:rPr>
          <w:rFonts w:hint="eastAsia" w:ascii="仿宋" w:hAnsi="仿宋" w:eastAsia="仿宋" w:cs="仿宋"/>
          <w:color w:val="auto"/>
          <w:sz w:val="24"/>
          <w:szCs w:val="24"/>
          <w:highlight w:val="none"/>
        </w:rPr>
        <w:t xml:space="preserve">，采购人索取成交供应商的响应文件，须由</w:t>
      </w:r>
      <w:r>
        <w:rPr>
          <w:rFonts w:hint="eastAsia" w:ascii="仿宋" w:hAnsi="仿宋" w:eastAsia="仿宋" w:cs="仿宋"/>
          <w:color w:val="auto"/>
          <w:sz w:val="24"/>
          <w:szCs w:val="24"/>
          <w:highlight w:val="none"/>
          <w:lang w:eastAsia="zh-CN"/>
        </w:rPr>
        <w:t xml:space="preserve">徐州公信招标代理有限公司</w:t>
      </w:r>
      <w:r>
        <w:rPr>
          <w:rFonts w:hint="eastAsia" w:ascii="仿宋" w:hAnsi="仿宋" w:eastAsia="仿宋" w:cs="仿宋"/>
          <w:color w:val="auto"/>
          <w:sz w:val="24"/>
          <w:szCs w:val="24"/>
          <w:highlight w:val="none"/>
        </w:rPr>
        <w:t xml:space="preserve">提供给采购人。</w:t>
      </w:r>
      <w:r/>
    </w:p>
    <w:p>
      <w:pPr>
        <w:pStyle w:val="703"/>
        <w:jc w:val="center"/>
        <w:rPr>
          <w:rFonts w:hint="eastAsia" w:ascii="仿宋" w:hAnsi="仿宋" w:eastAsia="仿宋" w:cs="仿宋"/>
          <w:b/>
          <w:bCs/>
          <w:color w:val="auto"/>
          <w:highlight w:val="none"/>
        </w:rPr>
      </w:pPr>
      <w:r/>
      <w:bookmarkStart w:id="25" w:name="_Toc108179681"/>
      <w:r>
        <w:rPr>
          <w:rFonts w:hint="eastAsia" w:ascii="仿宋" w:hAnsi="仿宋" w:eastAsia="仿宋" w:cs="仿宋"/>
          <w:b/>
          <w:bCs/>
          <w:color w:val="auto"/>
          <w:highlight w:val="none"/>
        </w:rPr>
        <w:t xml:space="preserve">第四章 磋商相关说明</w:t>
      </w:r>
      <w:bookmarkEnd w:id="25"/>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十五、磋商要求</w:t>
      </w:r>
      <w:r/>
    </w:p>
    <w:p>
      <w:pPr>
        <w:pStyle w:val="909"/>
        <w:ind w:firstLine="48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1、被邀请参与磋商的供应商需按本竞争性磋商文件要求的截止时间、方式（地点）提交首次响应文件，同时派人通过“苏采云”系统在“开标大厅”等待磋商。</w:t>
      </w:r>
      <w:r/>
    </w:p>
    <w:p>
      <w:pPr>
        <w:pStyle w:val="909"/>
        <w:ind w:firstLine="48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2、供应商可通过CA数字证书，在首次响应文件开启时间后，使用CA数字证书在规定时间内解密各自响应文件。</w:t>
      </w:r>
      <w:r/>
    </w:p>
    <w:p>
      <w:pPr>
        <w:pStyle w:val="909"/>
        <w:ind w:firstLine="48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color w:val="auto"/>
          <w:sz w:val="24"/>
          <w:szCs w:val="24"/>
          <w:highlight w:val="none"/>
        </w:rPr>
        <w:t xml:space="preserve">3、</w:t>
      </w:r>
      <w:r>
        <w:rPr>
          <w:rFonts w:hint="eastAsia" w:ascii="仿宋" w:hAnsi="仿宋" w:eastAsia="仿宋" w:cs="仿宋"/>
          <w:b w:val="0"/>
          <w:bCs/>
          <w:color w:val="auto"/>
          <w:sz w:val="24"/>
          <w:szCs w:val="24"/>
          <w:highlight w:val="none"/>
        </w:rPr>
        <w:t xml:space="preserve">供应商授权的磋商人员需携带授权委托书原件及身份证原件，经磋商小组核查后参与磋商活动。</w:t>
      </w:r>
      <w:r/>
    </w:p>
    <w:p>
      <w:pPr>
        <w:pStyle w:val="909"/>
        <w:ind w:firstLine="480"/>
        <w:spacing w:line="360" w:lineRule="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4、磋商顺序按照电子标书解密先后时间进行，解密时间相同的，不分先后顺序。</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Cs/>
          <w:color w:val="auto"/>
          <w:sz w:val="24"/>
          <w:szCs w:val="24"/>
          <w:highlight w:val="none"/>
        </w:rPr>
        <w:t xml:space="preserve">5、磋商方式：</w:t>
      </w:r>
      <w:r>
        <w:rPr>
          <w:rFonts w:hint="eastAsia" w:ascii="仿宋" w:hAnsi="仿宋" w:eastAsia="仿宋" w:cs="仿宋"/>
          <w:color w:val="auto"/>
          <w:sz w:val="24"/>
          <w:szCs w:val="24"/>
          <w:highlight w:val="none"/>
        </w:rPr>
        <w:t xml:space="preserve">本次磋商采用“苏采云”系统中的视频会议，供应商自行选择任意地点参加远程磋商会议。请供应商在磋商前等候在开标大厅，随时接听磋商小组发出的</w:t>
      </w:r>
      <w:r>
        <w:rPr>
          <w:rFonts w:hint="eastAsia" w:ascii="仿宋" w:hAnsi="仿宋" w:eastAsia="仿宋" w:cs="仿宋"/>
          <w:b/>
          <w:bCs/>
          <w:color w:val="auto"/>
          <w:sz w:val="24"/>
          <w:szCs w:val="24"/>
          <w:highlight w:val="none"/>
        </w:rPr>
        <w:t xml:space="preserve">磋商视频邀请</w:t>
      </w:r>
      <w:r>
        <w:rPr>
          <w:rFonts w:hint="eastAsia" w:ascii="仿宋" w:hAnsi="仿宋" w:eastAsia="仿宋" w:cs="仿宋"/>
          <w:b/>
          <w:bCs/>
          <w:color w:val="auto"/>
          <w:sz w:val="24"/>
          <w:szCs w:val="24"/>
          <w:highlight w:val="none"/>
          <w:lang w:val="en-US" w:eastAsia="zh-CN"/>
        </w:rPr>
        <w:t xml:space="preserve">及磋商响应</w:t>
      </w:r>
      <w:r>
        <w:rPr>
          <w:rFonts w:hint="eastAsia" w:ascii="仿宋" w:hAnsi="仿宋" w:eastAsia="仿宋" w:cs="仿宋"/>
          <w:b/>
          <w:color w:val="auto"/>
          <w:sz w:val="24"/>
          <w:szCs w:val="24"/>
          <w:highlight w:val="none"/>
        </w:rPr>
        <w:t xml:space="preserve">（所有</w:t>
      </w:r>
      <w:r>
        <w:rPr>
          <w:rFonts w:hint="eastAsia" w:ascii="仿宋" w:hAnsi="仿宋" w:eastAsia="仿宋" w:cs="仿宋"/>
          <w:b/>
          <w:bCs/>
          <w:color w:val="auto"/>
          <w:sz w:val="24"/>
          <w:szCs w:val="24"/>
          <w:highlight w:val="none"/>
        </w:rPr>
        <w:t xml:space="preserve">磋商视频邀请</w:t>
      </w:r>
      <w:r>
        <w:rPr>
          <w:rFonts w:hint="eastAsia" w:ascii="仿宋" w:hAnsi="仿宋" w:eastAsia="仿宋" w:cs="仿宋"/>
          <w:b/>
          <w:color w:val="auto"/>
          <w:sz w:val="24"/>
          <w:szCs w:val="24"/>
          <w:highlight w:val="none"/>
        </w:rPr>
        <w:t xml:space="preserve">等待时间2分钟，2分钟内所邀请供应商无响应</w:t>
      </w:r>
      <w:r>
        <w:rPr>
          <w:rFonts w:hint="eastAsia" w:ascii="仿宋" w:hAnsi="仿宋" w:eastAsia="仿宋" w:cs="仿宋"/>
          <w:b/>
          <w:color w:val="auto"/>
          <w:sz w:val="24"/>
          <w:szCs w:val="24"/>
          <w:highlight w:val="none"/>
          <w:lang w:val="en-US" w:eastAsia="zh-CN"/>
        </w:rPr>
        <w:t xml:space="preserve">或未在线</w:t>
      </w:r>
      <w:r>
        <w:rPr>
          <w:rFonts w:hint="eastAsia" w:ascii="仿宋" w:hAnsi="仿宋" w:eastAsia="仿宋" w:cs="仿宋"/>
          <w:b/>
          <w:color w:val="auto"/>
          <w:sz w:val="24"/>
          <w:szCs w:val="24"/>
          <w:highlight w:val="none"/>
        </w:rPr>
        <w:t xml:space="preserve">，视同放弃磋商的权利，由解密顺序下一家进行磋商，不再后补</w:t>
      </w:r>
      <w:r>
        <w:rPr>
          <w:rFonts w:hint="eastAsia" w:ascii="仿宋" w:hAnsi="仿宋" w:eastAsia="仿宋" w:cs="仿宋"/>
          <w:b/>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磋商响应须在规定时间内在</w:t>
      </w:r>
      <w:r>
        <w:rPr>
          <w:rFonts w:hint="eastAsia" w:ascii="仿宋" w:hAnsi="仿宋" w:eastAsia="仿宋" w:cs="仿宋"/>
          <w:b/>
          <w:bCs/>
          <w:color w:val="auto"/>
          <w:sz w:val="24"/>
          <w:szCs w:val="24"/>
          <w:highlight w:val="none"/>
        </w:rPr>
        <w:t xml:space="preserve">“苏采云”系统中</w:t>
      </w:r>
      <w:r>
        <w:rPr>
          <w:rFonts w:hint="eastAsia" w:ascii="仿宋" w:hAnsi="仿宋" w:eastAsia="仿宋" w:cs="仿宋"/>
          <w:b/>
          <w:bCs/>
          <w:color w:val="auto"/>
          <w:sz w:val="24"/>
          <w:szCs w:val="24"/>
          <w:highlight w:val="none"/>
          <w:lang w:val="en-US" w:eastAsia="zh-CN"/>
        </w:rPr>
        <w:t xml:space="preserve">进行响应，</w:t>
      </w:r>
      <w:r>
        <w:rPr>
          <w:rFonts w:hint="eastAsia" w:ascii="仿宋" w:hAnsi="仿宋" w:eastAsia="仿宋" w:cs="仿宋"/>
          <w:b/>
          <w:bCs w:val="0"/>
          <w:color w:val="auto"/>
          <w:sz w:val="24"/>
          <w:szCs w:val="24"/>
          <w:highlight w:val="none"/>
        </w:rPr>
        <w:t xml:space="preserve">未在规定时间内进行</w:t>
      </w:r>
      <w:r>
        <w:rPr>
          <w:rFonts w:hint="eastAsia" w:ascii="仿宋" w:hAnsi="仿宋" w:eastAsia="仿宋" w:cs="仿宋"/>
          <w:b/>
          <w:bCs w:val="0"/>
          <w:color w:val="auto"/>
          <w:sz w:val="24"/>
          <w:szCs w:val="24"/>
          <w:highlight w:val="none"/>
          <w:lang w:val="en-US" w:eastAsia="zh-CN"/>
        </w:rPr>
        <w:t xml:space="preserve">磋商响应</w:t>
      </w:r>
      <w:r>
        <w:rPr>
          <w:rFonts w:hint="eastAsia" w:ascii="仿宋" w:hAnsi="仿宋" w:eastAsia="仿宋" w:cs="仿宋"/>
          <w:b/>
          <w:bCs w:val="0"/>
          <w:color w:val="auto"/>
          <w:sz w:val="24"/>
          <w:szCs w:val="24"/>
          <w:highlight w:val="none"/>
        </w:rPr>
        <w:t xml:space="preserve">的，视为响应无效</w:t>
      </w:r>
      <w:r>
        <w:rPr>
          <w:rFonts w:hint="eastAsia" w:ascii="仿宋" w:hAnsi="仿宋" w:eastAsia="仿宋" w:cs="仿宋"/>
          <w:b/>
          <w:color w:val="auto"/>
          <w:sz w:val="24"/>
          <w:szCs w:val="24"/>
          <w:highlight w:val="none"/>
        </w:rPr>
        <w:t xml:space="preserve">）</w:t>
      </w:r>
      <w:r>
        <w:rPr>
          <w:rFonts w:hint="eastAsia" w:ascii="仿宋" w:hAnsi="仿宋" w:eastAsia="仿宋" w:cs="仿宋"/>
          <w:color w:val="auto"/>
          <w:sz w:val="24"/>
          <w:szCs w:val="24"/>
          <w:highlight w:val="none"/>
        </w:rPr>
        <w:t xml:space="preserve">。</w:t>
      </w:r>
      <w:r/>
    </w:p>
    <w:p>
      <w:pPr>
        <w:pStyle w:val="909"/>
        <w:ind w:firstLine="48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6、未在规定时间内进行答疑澄清的，视同放弃澄清。</w:t>
      </w:r>
      <w:r/>
    </w:p>
    <w:p>
      <w:pPr>
        <w:pStyle w:val="909"/>
        <w:ind w:firstLine="48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7、未在规定时间内进行报价的，视为响应无效。</w:t>
      </w:r>
      <w:r/>
    </w:p>
    <w:p>
      <w:pPr>
        <w:pStyle w:val="753"/>
        <w:ind w:firstLine="482"/>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rPr>
        <w:t xml:space="preserve">8、被邀请参与磋商的供应商如未按上述磋商要求执行，视同放弃磋商的权利。</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十六、评审方法和评审标准</w:t>
      </w:r>
      <w:r/>
    </w:p>
    <w:p>
      <w:pPr>
        <w:pStyle w:val="909"/>
        <w:ind w:firstLine="48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1.评审方法：综合评分法</w:t>
      </w:r>
      <w:r/>
    </w:p>
    <w:p>
      <w:pPr>
        <w:pStyle w:val="909"/>
        <w:ind w:firstLine="48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2.评审标准：详见《评分细则》</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十七、评审程序</w:t>
      </w:r>
      <w:r/>
    </w:p>
    <w:p>
      <w:pPr>
        <w:pStyle w:val="753"/>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1、在磋商过程中，磋商小组可以根据磋商文件和磋商情况实质性变动采购需求中的技术、服务要求以及合同草案条款。</w:t>
      </w:r>
      <w:r/>
    </w:p>
    <w:p>
      <w:pPr>
        <w:pStyle w:val="753"/>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2、磋商小组在阅读完所有磋商供应商的响应文件后，集中与单一磋商供应商代表分别就技术参数等技术问题及价格和售后服务等内容进行磋商。</w:t>
      </w:r>
      <w:r/>
    </w:p>
    <w:p>
      <w:pPr>
        <w:pStyle w:val="753"/>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3、磋商后，磋商小组可以修改磋商文件，但修改的内容，要以书面形式通知所有参加磋商的供应商。</w:t>
      </w:r>
      <w:r/>
    </w:p>
    <w:p>
      <w:pPr>
        <w:pStyle w:val="753"/>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4、磋商结束后，磋商小组应当要求所有参加磋商的供应商在规定时间内进行最后报价。供应商可按照磋商小组的要求在磋商现场进行不少于两次的报价，</w:t>
      </w:r>
      <w:r>
        <w:rPr>
          <w:rFonts w:hint="eastAsia" w:ascii="仿宋" w:hAnsi="仿宋" w:eastAsia="仿宋" w:cs="仿宋"/>
          <w:color w:val="auto"/>
          <w:sz w:val="24"/>
          <w:szCs w:val="24"/>
          <w:highlight w:val="none"/>
          <w:lang w:val="en-US" w:eastAsia="zh-CN"/>
        </w:rPr>
        <w:t xml:space="preserve">如后一次报价高于前次报价，以第一次报价为准，不作为无效文件处理。</w:t>
      </w:r>
      <w:r>
        <w:rPr>
          <w:rFonts w:hint="eastAsia" w:ascii="仿宋" w:hAnsi="仿宋" w:eastAsia="仿宋" w:cs="仿宋"/>
          <w:color w:val="auto"/>
          <w:sz w:val="24"/>
          <w:szCs w:val="24"/>
          <w:highlight w:val="none"/>
        </w:rPr>
        <w:t xml:space="preserve">首轮报价不公开，本项目二次报价为最后报价。</w:t>
      </w:r>
      <w:r/>
    </w:p>
    <w:p>
      <w:pPr>
        <w:pStyle w:val="753"/>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5、经磋商确定最终采购需求和提交最后报价的供应商后，由磋商小组采用综合评分法对提交最后报价的供应商的响应文件和最后报价进行综合评分。</w:t>
      </w:r>
      <w:r/>
    </w:p>
    <w:p>
      <w:pPr>
        <w:pStyle w:val="753"/>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磋商小组应当根据综合评分情况，按照评审得分由高到低顺序推荐3名成交候选供应商，并编写评审报告。评审得分相同的，按照最后报价由低到高的顺序推荐。评审得分且最后报价相同的，按照技术指标优劣（得分）顺序推荐。</w:t>
      </w:r>
      <w:r/>
    </w:p>
    <w:p>
      <w:pPr>
        <w:pStyle w:val="753"/>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磋商小组认为供应商的报价明显低于其他供应商的报价，有可能影响服务质量或者不能诚信履约的，应当要求其在评审现场合理的时间内提供书面说明，必要时提交相关证明材料；供应商不能证明其报价合理性的，磋商小组应当将其按响应无效处理。</w:t>
      </w:r>
      <w:r/>
    </w:p>
    <w:p>
      <w:pPr>
        <w:pStyle w:val="753"/>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753"/>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采用竞争性磋商采购方式采购的政府购买服务项目（含政府和社会资本合作项目），在采购过程中符合要求的供应商（社会资本）只有2家的，竞争性磋商采购活动可以继续进行。</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十八、有下列情形之一的，其响应无效：</w:t>
      </w:r>
      <w:r/>
    </w:p>
    <w:p>
      <w:pPr>
        <w:pStyle w:val="753"/>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1、电子响应文件未按规定期限提交的； </w:t>
      </w:r>
      <w:r/>
    </w:p>
    <w:p>
      <w:pPr>
        <w:pStyle w:val="753"/>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2、电子响应文件未按磋商文件要求签章的；</w:t>
      </w:r>
      <w:r/>
    </w:p>
    <w:p>
      <w:pPr>
        <w:pStyle w:val="753"/>
        <w:ind w:firstLine="480"/>
        <w:spacing w:line="360" w:lineRule="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3、投标人未在规定时间内解密电子响应文件的；</w:t>
      </w:r>
      <w:r/>
    </w:p>
    <w:p>
      <w:pPr>
        <w:pStyle w:val="753"/>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4、供应商的法定代表人授权代表，无法定代表人授权委托书的；</w:t>
      </w:r>
      <w:r/>
    </w:p>
    <w:p>
      <w:pPr>
        <w:pStyle w:val="753"/>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5、不具备磋商文件中规定的资格要求或未按磋商文件规定的要求提供资格、资信证明文件的；</w:t>
      </w:r>
      <w:r/>
    </w:p>
    <w:p>
      <w:pPr>
        <w:pStyle w:val="753"/>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6、被列入“信用中国”网站（www.creditchina.gov.cn）失信被执行人、重大税收违法案件当事人名单、政府采购严重违法失信行为记录名单的；</w:t>
      </w:r>
      <w:r/>
    </w:p>
    <w:p>
      <w:pPr>
        <w:pStyle w:val="753"/>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7、响应文件未按磋商文件规定的内容和要求填写的；没有在投标系统指定位置上传对应文件、材料的；</w:t>
      </w:r>
      <w:r/>
    </w:p>
    <w:p>
      <w:pPr>
        <w:pStyle w:val="753"/>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8、响应文件中有磋商文件未允许提供的选择性内容；</w:t>
      </w:r>
      <w:r/>
    </w:p>
    <w:p>
      <w:pPr>
        <w:pStyle w:val="753"/>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9、不同供应商委托同一单位或者个人办理投标事宜的；</w:t>
      </w:r>
      <w:r/>
    </w:p>
    <w:p>
      <w:pPr>
        <w:pStyle w:val="753"/>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10、不同供应商的单位负责人为同一人或者存在直接控股、管理关系的；</w:t>
      </w:r>
      <w:r/>
    </w:p>
    <w:p>
      <w:pPr>
        <w:pStyle w:val="753"/>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11、不同供应商的响应文件的目录序号、排版格式、文字风格等存在明显的相似性或一致性，特征显示由同一单位或者同一个人编制的；</w:t>
      </w:r>
      <w:r/>
    </w:p>
    <w:p>
      <w:pPr>
        <w:pStyle w:val="753"/>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12、不同供应商响应文件内容存在非正常一致、项目组成员出现同一人、响应文件中错误（或异常）一致或雷同、电子文档信息一致或雷同的、投标报价呈规律性差异的；</w:t>
      </w:r>
      <w:r/>
    </w:p>
    <w:p>
      <w:pPr>
        <w:pStyle w:val="753"/>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13、不同供应商的委托代理人、项目负责人以及其他相关人员有在同一个单位缴纳社会保险、同一响应文件中单位名称落款与公章不是同一单位的；</w:t>
      </w:r>
      <w:r/>
    </w:p>
    <w:p>
      <w:pPr>
        <w:pStyle w:val="753"/>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14、项目（标段）投标总价超过本项目（标段）预算或最高限价的；</w:t>
      </w:r>
      <w:r/>
    </w:p>
    <w:p>
      <w:pPr>
        <w:pStyle w:val="753"/>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15、提供虚假材料的（包括工商营业执照、财务报表、资格证明文件等）；</w:t>
      </w:r>
      <w:r/>
    </w:p>
    <w:p>
      <w:pPr>
        <w:pStyle w:val="753"/>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16、响应文件含有采购人不能接受的附加条件的；</w:t>
      </w:r>
      <w:r/>
    </w:p>
    <w:p>
      <w:pPr>
        <w:pStyle w:val="753"/>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pStyle w:val="753"/>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18、除单一来源采购项目外，为采购项目提供整体设计、规范编制或者项目管理、监理、检测等服务的；</w:t>
      </w:r>
      <w:r/>
    </w:p>
    <w:p>
      <w:pPr>
        <w:pStyle w:val="753"/>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19、响应文件内容不全或不符合磋商文件中规定的其它实质性要求的；</w:t>
      </w:r>
      <w:r/>
    </w:p>
    <w:p>
      <w:pPr>
        <w:pStyle w:val="753"/>
        <w:ind w:firstLine="56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val="0"/>
          <w:color w:val="auto"/>
          <w:sz w:val="24"/>
          <w:szCs w:val="24"/>
          <w:highlight w:val="none"/>
        </w:rPr>
        <w:t xml:space="preserve">20、法律法规和磋商文件规定的其它无效情形。</w:t>
      </w:r>
      <w:r/>
    </w:p>
    <w:p>
      <w:pPr>
        <w:pStyle w:val="703"/>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第</w:t>
      </w:r>
      <w:r>
        <w:rPr>
          <w:rFonts w:hint="eastAsia" w:ascii="仿宋" w:hAnsi="仿宋" w:eastAsia="仿宋" w:cs="仿宋"/>
          <w:b/>
          <w:bCs/>
          <w:color w:val="auto"/>
          <w:highlight w:val="none"/>
          <w:lang w:val="en-US" w:eastAsia="zh-CN"/>
        </w:rPr>
        <w:t xml:space="preserve">五</w:t>
      </w:r>
      <w:r>
        <w:rPr>
          <w:rFonts w:hint="eastAsia" w:ascii="仿宋" w:hAnsi="仿宋" w:eastAsia="仿宋" w:cs="仿宋"/>
          <w:b/>
          <w:bCs/>
          <w:color w:val="auto"/>
          <w:highlight w:val="none"/>
        </w:rPr>
        <w:t xml:space="preserve">章 确定成交供应商及合同签订等</w:t>
      </w:r>
      <w:r/>
    </w:p>
    <w:p>
      <w:pPr>
        <w:pStyle w:val="753"/>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十九</w:t>
      </w:r>
      <w:r>
        <w:rPr>
          <w:rFonts w:hint="eastAsia" w:ascii="仿宋" w:hAnsi="仿宋" w:eastAsia="仿宋" w:cs="仿宋"/>
          <w:color w:val="auto"/>
          <w:sz w:val="24"/>
          <w:szCs w:val="24"/>
          <w:highlight w:val="none"/>
        </w:rPr>
        <w:t xml:space="preserve">、采购人应当在收到评审报告后5个工作日内，从评审报告提出的成交候选供应商中，按照排序由高到低的原则确定成交供应商。成交</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放弃成交或因不可抗力提出不能履行合同，采购人将把合同授予排名第二的供应商。采购人对未成交的供应商不做未成交原因的解释。</w:t>
      </w:r>
      <w:r/>
    </w:p>
    <w:p>
      <w:pPr>
        <w:pStyle w:val="753"/>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二十</w:t>
      </w:r>
      <w:r>
        <w:rPr>
          <w:rFonts w:hint="eastAsia" w:ascii="仿宋" w:hAnsi="仿宋" w:eastAsia="仿宋" w:cs="仿宋"/>
          <w:color w:val="auto"/>
          <w:sz w:val="24"/>
          <w:szCs w:val="24"/>
          <w:highlight w:val="none"/>
        </w:rPr>
        <w:t xml:space="preserve">、采购人有权对供应商的响应文件的真实性进行核实。如供应商不能提供有效文件，采购人将根据客观事实，有权取消成交供应商，同时供应商承担相应的法律责任。</w:t>
      </w:r>
      <w:r/>
    </w:p>
    <w:p>
      <w:pPr>
        <w:pStyle w:val="753"/>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二十一</w:t>
      </w:r>
      <w:r>
        <w:rPr>
          <w:rFonts w:hint="eastAsia" w:ascii="仿宋" w:hAnsi="仿宋" w:eastAsia="仿宋" w:cs="仿宋"/>
          <w:color w:val="auto"/>
          <w:sz w:val="24"/>
          <w:szCs w:val="24"/>
          <w:highlight w:val="none"/>
        </w:rPr>
        <w:t xml:space="preserve">、采购人与成交供应商应当在成交通知书发出之日起30日内，按照磋商文件确定的合同文本以及采购标的、</w:t>
      </w:r>
      <w:r>
        <w:rPr>
          <w:rFonts w:hint="eastAsia" w:ascii="仿宋" w:hAnsi="仿宋" w:eastAsia="仿宋" w:cs="仿宋"/>
          <w:color w:val="auto"/>
          <w:sz w:val="24"/>
          <w:szCs w:val="24"/>
          <w:highlight w:val="none"/>
          <w:lang w:eastAsia="zh-CN"/>
        </w:rPr>
        <w:t xml:space="preserve">服务要求</w:t>
      </w:r>
      <w:r>
        <w:rPr>
          <w:rFonts w:hint="eastAsia" w:ascii="仿宋" w:hAnsi="仿宋" w:eastAsia="仿宋" w:cs="仿宋"/>
          <w:color w:val="auto"/>
          <w:sz w:val="24"/>
          <w:szCs w:val="24"/>
          <w:highlight w:val="none"/>
        </w:rPr>
        <w:t xml:space="preserve">、采购金额、</w:t>
      </w:r>
      <w:r>
        <w:rPr>
          <w:rFonts w:hint="eastAsia" w:ascii="仿宋" w:hAnsi="仿宋" w:eastAsia="仿宋" w:cs="仿宋"/>
          <w:color w:val="auto"/>
          <w:sz w:val="24"/>
          <w:szCs w:val="24"/>
          <w:highlight w:val="none"/>
          <w:lang w:eastAsia="zh-CN"/>
        </w:rPr>
        <w:t xml:space="preserve">履约期限</w:t>
      </w:r>
      <w:r>
        <w:rPr>
          <w:rFonts w:hint="eastAsia" w:ascii="仿宋" w:hAnsi="仿宋" w:eastAsia="仿宋" w:cs="仿宋"/>
          <w:color w:val="auto"/>
          <w:sz w:val="24"/>
          <w:szCs w:val="24"/>
          <w:highlight w:val="none"/>
        </w:rPr>
        <w:t xml:space="preserve">、技术和服务要求等事项签订政府采购合同。</w:t>
      </w:r>
      <w:r/>
    </w:p>
    <w:p>
      <w:pPr>
        <w:pStyle w:val="753"/>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rPr>
        <w:t xml:space="preserve">、签订合同前，</w:t>
      </w:r>
      <w:r>
        <w:rPr>
          <w:rFonts w:hint="eastAsia" w:ascii="仿宋" w:hAnsi="仿宋" w:eastAsia="仿宋" w:cs="仿宋"/>
          <w:color w:val="auto"/>
          <w:sz w:val="24"/>
          <w:szCs w:val="24"/>
          <w:highlight w:val="none"/>
          <w:lang w:val="en-US" w:eastAsia="zh-CN"/>
        </w:rPr>
        <w:t xml:space="preserve">成交供应商</w:t>
      </w:r>
      <w:r>
        <w:rPr>
          <w:rFonts w:hint="eastAsia" w:ascii="仿宋" w:hAnsi="仿宋" w:eastAsia="仿宋" w:cs="仿宋"/>
          <w:color w:val="auto"/>
          <w:sz w:val="24"/>
          <w:szCs w:val="24"/>
          <w:highlight w:val="none"/>
        </w:rPr>
        <w:t xml:space="preserve">必须向采购人提交其投标文件中所有扫描件的原件，采购人核查无误后，签订合同。如中标人不能在采购人规定的时间内向采购人提供原件，将被采购人视为放弃</w:t>
      </w:r>
      <w:r>
        <w:rPr>
          <w:rFonts w:hint="eastAsia" w:ascii="仿宋" w:hAnsi="仿宋" w:eastAsia="仿宋" w:cs="仿宋"/>
          <w:color w:val="auto"/>
          <w:sz w:val="24"/>
          <w:szCs w:val="24"/>
          <w:highlight w:val="none"/>
          <w:lang w:eastAsia="zh-CN"/>
        </w:rPr>
        <w:t xml:space="preserve">成交</w:t>
      </w:r>
      <w:r>
        <w:rPr>
          <w:rFonts w:hint="eastAsia" w:ascii="仿宋" w:hAnsi="仿宋" w:eastAsia="仿宋" w:cs="仿宋"/>
          <w:color w:val="auto"/>
          <w:sz w:val="24"/>
          <w:szCs w:val="24"/>
          <w:highlight w:val="none"/>
        </w:rPr>
        <w:t xml:space="preserve">资格。</w:t>
      </w:r>
      <w:r/>
    </w:p>
    <w:p>
      <w:pPr>
        <w:pStyle w:val="703"/>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第</w:t>
      </w:r>
      <w:r>
        <w:rPr>
          <w:rFonts w:hint="eastAsia" w:ascii="仿宋" w:hAnsi="仿宋" w:eastAsia="仿宋" w:cs="仿宋"/>
          <w:b/>
          <w:bCs/>
          <w:color w:val="auto"/>
          <w:highlight w:val="none"/>
          <w:lang w:val="en-US" w:eastAsia="zh-CN"/>
        </w:rPr>
        <w:t xml:space="preserve">六</w:t>
      </w:r>
      <w:r>
        <w:rPr>
          <w:rFonts w:hint="eastAsia" w:ascii="仿宋" w:hAnsi="仿宋" w:eastAsia="仿宋" w:cs="仿宋"/>
          <w:b/>
          <w:bCs/>
          <w:color w:val="auto"/>
          <w:highlight w:val="none"/>
        </w:rPr>
        <w:t xml:space="preserve">章 磋商文件的澄清或者修改</w:t>
      </w:r>
      <w:r/>
    </w:p>
    <w:p>
      <w:pPr>
        <w:pStyle w:val="753"/>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rPr>
        <w:t xml:space="preserve">、竞争性磋商文件的澄清或者修改</w:t>
      </w:r>
      <w:r/>
    </w:p>
    <w:p>
      <w:pPr>
        <w:pStyle w:val="753"/>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交首次响应文件截止之日（即“首次响应文件提交的截止时间”）前，采购代理机构可以对已发出的竞争性磋商文件进行必要的澄清或者修改，澄清或者修改的内容作为竞争性磋商文件的组成部分。澄清或者修改的内容以所发布的本项目的“更正公告”的附件的形式通知所有获取竞争性磋商文件的供应商。发布本项目的“更正公告”后采购代理机构已尽通知义务。敬请各所有获取竞争性磋商文件的供应商关注本项目的“更正公告”及附件，否则，将自行承担相应的风险。</w:t>
      </w:r>
      <w:r/>
    </w:p>
    <w:p>
      <w:pPr>
        <w:pStyle w:val="703"/>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第</w:t>
      </w:r>
      <w:r>
        <w:rPr>
          <w:rFonts w:hint="eastAsia" w:ascii="仿宋" w:hAnsi="仿宋" w:eastAsia="仿宋" w:cs="仿宋"/>
          <w:b/>
          <w:bCs/>
          <w:color w:val="auto"/>
          <w:highlight w:val="none"/>
          <w:lang w:val="en-US" w:eastAsia="zh-CN"/>
        </w:rPr>
        <w:t xml:space="preserve">七</w:t>
      </w:r>
      <w:r>
        <w:rPr>
          <w:rFonts w:hint="eastAsia" w:ascii="仿宋" w:hAnsi="仿宋" w:eastAsia="仿宋" w:cs="仿宋"/>
          <w:b/>
          <w:bCs/>
          <w:color w:val="auto"/>
          <w:highlight w:val="none"/>
        </w:rPr>
        <w:t xml:space="preserve">章 询问和质疑</w:t>
      </w:r>
      <w:r/>
    </w:p>
    <w:p>
      <w:pPr>
        <w:pStyle w:val="753"/>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、询问和质疑</w:t>
      </w:r>
      <w:r/>
    </w:p>
    <w:p>
      <w:pPr>
        <w:pStyle w:val="753"/>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1、根据采购代理机构与采购人签订的本采购项目的《委托代理协议》，供应商对政府采购活动事项有疑问的，可以向采购人</w:t>
      </w:r>
      <w:r>
        <w:rPr>
          <w:rFonts w:hint="eastAsia" w:ascii="仿宋" w:hAnsi="仿宋" w:eastAsia="仿宋" w:cs="仿宋"/>
          <w:color w:val="auto"/>
          <w:sz w:val="24"/>
          <w:szCs w:val="24"/>
          <w:highlight w:val="none"/>
          <w:lang w:eastAsia="zh-CN"/>
        </w:rPr>
        <w:t xml:space="preserve">和</w:t>
      </w:r>
      <w:r>
        <w:rPr>
          <w:rFonts w:hint="eastAsia" w:ascii="仿宋" w:hAnsi="仿宋" w:eastAsia="仿宋" w:cs="仿宋"/>
          <w:color w:val="auto"/>
          <w:sz w:val="24"/>
          <w:szCs w:val="24"/>
          <w:highlight w:val="none"/>
        </w:rPr>
        <w:t xml:space="preserve">采购代理机构提出询问；供应商认为采购文件、采购过程、中标或成交结果使自己的权益受到损害的，可以在知道或者应知其权益受到损害之日起七个工作日内，以书面形式向采购人</w:t>
      </w:r>
      <w:r>
        <w:rPr>
          <w:rFonts w:hint="eastAsia" w:ascii="仿宋" w:hAnsi="仿宋" w:eastAsia="仿宋" w:cs="仿宋"/>
          <w:color w:val="auto"/>
          <w:sz w:val="24"/>
          <w:szCs w:val="24"/>
          <w:highlight w:val="none"/>
          <w:lang w:eastAsia="zh-CN"/>
        </w:rPr>
        <w:t xml:space="preserve">和</w:t>
      </w:r>
      <w:r>
        <w:rPr>
          <w:rFonts w:hint="eastAsia" w:ascii="仿宋" w:hAnsi="仿宋" w:eastAsia="仿宋" w:cs="仿宋"/>
          <w:color w:val="auto"/>
          <w:sz w:val="24"/>
          <w:szCs w:val="24"/>
          <w:highlight w:val="none"/>
        </w:rPr>
        <w:t xml:space="preserve">采购代理机构提出质疑，由采购人</w:t>
      </w:r>
      <w:r>
        <w:rPr>
          <w:rFonts w:hint="eastAsia" w:ascii="仿宋" w:hAnsi="仿宋" w:eastAsia="仿宋" w:cs="仿宋"/>
          <w:color w:val="auto"/>
          <w:sz w:val="24"/>
          <w:szCs w:val="24"/>
          <w:highlight w:val="none"/>
          <w:lang w:eastAsia="zh-CN"/>
        </w:rPr>
        <w:t xml:space="preserve">和</w:t>
      </w:r>
      <w:r>
        <w:rPr>
          <w:rFonts w:hint="eastAsia" w:ascii="仿宋" w:hAnsi="仿宋" w:eastAsia="仿宋" w:cs="仿宋"/>
          <w:color w:val="auto"/>
          <w:sz w:val="24"/>
          <w:szCs w:val="24"/>
          <w:highlight w:val="none"/>
        </w:rPr>
        <w:t xml:space="preserve">采购代理机构依法处理。 </w:t>
      </w:r>
      <w:r/>
    </w:p>
    <w:p>
      <w:pPr>
        <w:pStyle w:val="753"/>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2、质疑和投诉按《政府采购质疑和投诉办法》执行。 供应商对同一采购程序环节的质疑应在质疑期内一次性提出。</w:t>
      </w:r>
      <w:r/>
    </w:p>
    <w:p>
      <w:pPr>
        <w:pStyle w:val="753"/>
        <w:ind w:firstLine="240"/>
        <w:spacing w:line="360" w:lineRule="auto"/>
        <w:rPr>
          <w:rFonts w:hint="default"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质疑接收人：</w:t>
      </w:r>
      <w:r>
        <w:rPr>
          <w:rFonts w:hint="eastAsia" w:ascii="仿宋" w:hAnsi="仿宋" w:eastAsia="仿宋" w:cs="仿宋"/>
          <w:color w:val="auto"/>
          <w:sz w:val="24"/>
          <w:szCs w:val="24"/>
          <w:highlight w:val="none"/>
          <w:lang w:val="en-US" w:eastAsia="zh-CN"/>
        </w:rPr>
        <w:t xml:space="preserve">李通</w:t>
      </w:r>
      <w:r>
        <w:rPr>
          <w:rFonts w:hint="eastAsia" w:ascii="仿宋" w:hAnsi="仿宋" w:eastAsia="仿宋" w:cs="仿宋"/>
          <w:color w:val="auto"/>
          <w:sz w:val="24"/>
          <w:szCs w:val="24"/>
          <w:highlight w:val="none"/>
        </w:rPr>
        <w:t xml:space="preserve">  联系电话：0516-</w:t>
      </w:r>
      <w:r>
        <w:rPr>
          <w:rFonts w:hint="eastAsia" w:ascii="仿宋" w:hAnsi="仿宋" w:eastAsia="仿宋" w:cs="仿宋"/>
          <w:color w:val="auto"/>
          <w:sz w:val="24"/>
          <w:szCs w:val="24"/>
          <w:highlight w:val="none"/>
          <w:lang w:val="en-US" w:eastAsia="zh-CN"/>
        </w:rPr>
        <w:t xml:space="preserve">86626567</w:t>
      </w:r>
      <w:r>
        <w:rPr>
          <w:rFonts w:hint="eastAsia" w:ascii="仿宋" w:hAnsi="仿宋" w:eastAsia="仿宋" w:cs="仿宋"/>
          <w:color w:val="auto"/>
          <w:sz w:val="24"/>
          <w:szCs w:val="24"/>
          <w:highlight w:val="none"/>
        </w:rPr>
        <w:t xml:space="preserve"> 接收地址：</w:t>
      </w:r>
      <w:r>
        <w:rPr>
          <w:rFonts w:hint="eastAsia" w:ascii="仿宋" w:hAnsi="仿宋" w:eastAsia="仿宋" w:cs="仿宋"/>
          <w:color w:val="auto"/>
          <w:sz w:val="24"/>
          <w:szCs w:val="24"/>
          <w:highlight w:val="none"/>
          <w:lang w:val="en-US" w:eastAsia="zh-CN"/>
        </w:rPr>
        <w:t xml:space="preserve">邳州市中汇广场4号楼219室</w:t>
      </w:r>
      <w:r/>
    </w:p>
    <w:p>
      <w:pPr>
        <w:pStyle w:val="753"/>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3、供应商对评审过程、成交结果提出质疑的，采购人、采购代理机构可以组织原评审委员会协助答复质疑。</w:t>
      </w:r>
      <w:r/>
    </w:p>
    <w:p>
      <w:pPr>
        <w:pStyle w:val="753"/>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4、采购人或采购代理机构在收到供应商的书面质疑后7个工作日内予以答复，并告知本项目的有关供应商。</w:t>
      </w:r>
      <w:r/>
    </w:p>
    <w:p>
      <w:pPr>
        <w:pStyle w:val="753"/>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w:t>
      </w:r>
      <w:r>
        <w:rPr>
          <w:rFonts w:hint="eastAsia" w:ascii="仿宋" w:hAnsi="仿宋" w:eastAsia="仿宋" w:cs="仿宋"/>
          <w:color w:val="auto"/>
          <w:sz w:val="24"/>
          <w:szCs w:val="24"/>
          <w:highlight w:val="none"/>
          <w:lang w:val="en-US" w:eastAsia="zh-CN"/>
        </w:rPr>
        <w:t xml:space="preserve">五</w:t>
      </w:r>
      <w:r>
        <w:rPr>
          <w:rFonts w:hint="eastAsia" w:ascii="仿宋" w:hAnsi="仿宋" w:eastAsia="仿宋" w:cs="仿宋"/>
          <w:color w:val="auto"/>
          <w:sz w:val="24"/>
          <w:szCs w:val="24"/>
          <w:highlight w:val="none"/>
        </w:rPr>
        <w:t xml:space="preserve">、质疑时效期间的计算：（1）对磋商文件提出质疑的，为收到磋商文件之日或磋商文件公告期限届满之日；（2）对磋商过程提出质疑的，为磋商程序各环节结束之日；（3）对成交结果提出质疑的，为成交公告期限届满之日。</w:t>
      </w:r>
      <w:r/>
    </w:p>
    <w:p>
      <w:pPr>
        <w:pStyle w:val="753"/>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w:t>
      </w:r>
      <w:r>
        <w:rPr>
          <w:rFonts w:hint="eastAsia" w:ascii="仿宋" w:hAnsi="仿宋" w:eastAsia="仿宋" w:cs="仿宋"/>
          <w:color w:val="auto"/>
          <w:sz w:val="24"/>
          <w:szCs w:val="24"/>
          <w:highlight w:val="none"/>
          <w:lang w:val="en-US" w:eastAsia="zh-CN"/>
        </w:rPr>
        <w:t xml:space="preserve">六</w:t>
      </w:r>
      <w:r>
        <w:rPr>
          <w:rFonts w:hint="eastAsia" w:ascii="仿宋" w:hAnsi="仿宋" w:eastAsia="仿宋" w:cs="仿宋"/>
          <w:color w:val="auto"/>
          <w:sz w:val="24"/>
          <w:szCs w:val="24"/>
          <w:highlight w:val="none"/>
        </w:rPr>
        <w:t xml:space="preserve">、成交供应商领取成交通知书时一次性支付</w:t>
      </w:r>
      <w:r>
        <w:rPr>
          <w:rFonts w:hint="eastAsia" w:ascii="仿宋" w:hAnsi="仿宋" w:eastAsia="仿宋" w:cs="仿宋"/>
          <w:color w:val="auto"/>
          <w:sz w:val="24"/>
          <w:szCs w:val="24"/>
          <w:highlight w:val="none"/>
          <w:lang w:eastAsia="zh-CN"/>
        </w:rPr>
        <w:t xml:space="preserve">采购</w:t>
      </w:r>
      <w:r>
        <w:rPr>
          <w:rFonts w:hint="eastAsia" w:ascii="仿宋" w:hAnsi="仿宋" w:eastAsia="仿宋" w:cs="仿宋"/>
          <w:color w:val="auto"/>
          <w:sz w:val="24"/>
          <w:szCs w:val="24"/>
          <w:highlight w:val="none"/>
        </w:rPr>
        <w:t xml:space="preserve">代理服务费，收费标准见</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第十章 响应文件相关格式。</w:t>
      </w:r>
      <w:r/>
    </w:p>
    <w:p>
      <w:pPr>
        <w:pStyle w:val="753"/>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w:t>
      </w:r>
      <w:r>
        <w:rPr>
          <w:rFonts w:hint="eastAsia" w:ascii="仿宋" w:hAnsi="仿宋" w:eastAsia="仿宋" w:cs="仿宋"/>
          <w:color w:val="auto"/>
          <w:sz w:val="24"/>
          <w:szCs w:val="24"/>
          <w:highlight w:val="none"/>
          <w:lang w:val="en-US" w:eastAsia="zh-CN"/>
        </w:rPr>
        <w:t xml:space="preserve">七</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成交结果在徐州政府采购网http://218.3.177.171:8088/Home/HomeIndex/上公布。</w:t>
      </w:r>
      <w:r/>
    </w:p>
    <w:p>
      <w:pPr>
        <w:pStyle w:val="753"/>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w:t>
      </w:r>
      <w:r>
        <w:rPr>
          <w:rFonts w:hint="eastAsia" w:ascii="仿宋" w:hAnsi="仿宋" w:eastAsia="仿宋" w:cs="仿宋"/>
          <w:color w:val="auto"/>
          <w:sz w:val="24"/>
          <w:szCs w:val="24"/>
          <w:highlight w:val="none"/>
          <w:lang w:val="en-US" w:eastAsia="zh-CN"/>
        </w:rPr>
        <w:t xml:space="preserve">八</w:t>
      </w:r>
      <w:r>
        <w:rPr>
          <w:rFonts w:hint="eastAsia" w:ascii="仿宋" w:hAnsi="仿宋" w:eastAsia="仿宋" w:cs="仿宋"/>
          <w:color w:val="auto"/>
          <w:sz w:val="24"/>
          <w:szCs w:val="24"/>
          <w:highlight w:val="none"/>
        </w:rPr>
        <w:t xml:space="preserve">、联系方式</w:t>
      </w:r>
      <w:r/>
    </w:p>
    <w:p>
      <w:pPr>
        <w:pStyle w:val="753"/>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1、采购人信息</w:t>
      </w:r>
      <w:r/>
    </w:p>
    <w:p>
      <w:pPr>
        <w:pStyle w:val="753"/>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lang w:eastAsia="zh-CN"/>
        </w:rPr>
        <w:t xml:space="preserve">邳州市退役军人事务局</w:t>
      </w:r>
      <w:r/>
    </w:p>
    <w:p>
      <w:pPr>
        <w:pStyle w:val="753"/>
        <w:ind w:firstLine="492"/>
        <w:spacing w:line="360" w:lineRule="auto"/>
        <w:rPr>
          <w:rFonts w:hint="default"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rPr>
          <w:rFonts w:hint="eastAsia" w:ascii="仿宋" w:hAnsi="仿宋" w:eastAsia="仿宋" w:cs="仿宋"/>
          <w:color w:val="auto"/>
          <w:sz w:val="24"/>
          <w:szCs w:val="24"/>
          <w:highlight w:val="none"/>
          <w:lang w:val="en-US" w:eastAsia="zh-CN"/>
        </w:rPr>
        <w:t xml:space="preserve">邳州市福州路79号</w:t>
      </w:r>
      <w:r/>
    </w:p>
    <w:p>
      <w:pPr>
        <w:pStyle w:val="753"/>
        <w:ind w:firstLine="492"/>
        <w:spacing w:line="360" w:lineRule="auto"/>
        <w:rPr>
          <w:rFonts w:hint="default"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联系方式：0516-86299921</w:t>
      </w:r>
      <w:r/>
    </w:p>
    <w:p>
      <w:pPr>
        <w:pStyle w:val="753"/>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2.采购代理机构信息</w:t>
      </w:r>
      <w:r/>
    </w:p>
    <w:p>
      <w:pPr>
        <w:pStyle w:val="753"/>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名称：徐州公信招标代理有限公司</w:t>
      </w:r>
      <w:r/>
    </w:p>
    <w:p>
      <w:pPr>
        <w:pStyle w:val="753"/>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地址：邳州市中汇商业广场4号楼219室</w:t>
      </w:r>
      <w:r/>
    </w:p>
    <w:p>
      <w:pPr>
        <w:pStyle w:val="753"/>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联系方式：0516-86626567</w:t>
      </w:r>
      <w:r/>
    </w:p>
    <w:p>
      <w:pPr>
        <w:pStyle w:val="753"/>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3.项目联系方式</w:t>
      </w:r>
      <w:r/>
    </w:p>
    <w:p>
      <w:pPr>
        <w:pStyle w:val="753"/>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项目联系人：</w:t>
      </w:r>
      <w:r>
        <w:rPr>
          <w:rFonts w:hint="eastAsia" w:ascii="仿宋" w:hAnsi="仿宋" w:eastAsia="仿宋" w:cs="仿宋"/>
          <w:color w:val="auto"/>
          <w:sz w:val="24"/>
          <w:szCs w:val="24"/>
          <w:highlight w:val="none"/>
          <w:lang w:eastAsia="zh-CN"/>
        </w:rPr>
        <w:t xml:space="preserve">李通</w:t>
      </w:r>
      <w:r/>
    </w:p>
    <w:p>
      <w:pPr>
        <w:pStyle w:val="753"/>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联系方式：0516-86626567</w:t>
      </w:r>
      <w:r/>
    </w:p>
    <w:p>
      <w:pPr>
        <w:pStyle w:val="753"/>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电子邮箱：xzgxzbdl@163.com</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pStyle w:val="703"/>
        <w:jc w:val="center"/>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 xml:space="preserve">第八章 </w:t>
      </w:r>
      <w:r>
        <w:rPr>
          <w:rFonts w:hint="eastAsia" w:ascii="仿宋" w:hAnsi="仿宋" w:eastAsia="仿宋" w:cs="仿宋"/>
          <w:b/>
          <w:bCs/>
          <w:color w:val="auto"/>
          <w:highlight w:val="none"/>
        </w:rPr>
        <w:t xml:space="preserve">评分细则</w:t>
      </w:r>
      <w:r/>
    </w:p>
    <w:tbl>
      <w:tblPr>
        <w:tblStyle w:val="711"/>
        <w:tblW w:w="9723" w:type="dxa"/>
        <w:tblInd w:w="-261"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405"/>
        <w:gridCol w:w="1321"/>
        <w:gridCol w:w="6997"/>
      </w:tblGrid>
      <w:tr>
        <w:trPr>
          <w:trHeight w:val="23"/>
        </w:trPr>
        <w:tc>
          <w:tcPr>
            <w:tcW w:w="140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评分内容</w:t>
            </w:r>
            <w:r/>
          </w:p>
        </w:tc>
        <w:tc>
          <w:tcPr>
            <w:tcW w:w="13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项目</w:t>
            </w:r>
            <w:r/>
          </w:p>
        </w:tc>
        <w:tc>
          <w:tcPr>
            <w:tcW w:w="699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评分依据</w:t>
            </w:r>
            <w:r/>
          </w:p>
        </w:tc>
      </w:tr>
      <w:tr>
        <w:trPr>
          <w:trHeight w:val="441"/>
        </w:trPr>
        <w:tc>
          <w:tcPr>
            <w:gridSpan w:val="2"/>
            <w:tcW w:w="272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价格部分</w:t>
            </w:r>
            <w:r/>
          </w:p>
        </w:tc>
        <w:tc>
          <w:tcPr>
            <w:tcW w:w="699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本项目是采用固定价格采购的项目，其价格不列为评审因素。</w:t>
            </w:r>
            <w:r/>
          </w:p>
        </w:tc>
      </w:tr>
      <w:tr>
        <w:trPr>
          <w:cantSplit/>
          <w:trHeight w:val="23"/>
        </w:trPr>
        <w:tc>
          <w:tcPr>
            <w:tcW w:w="140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商务部分(14分)</w:t>
            </w:r>
            <w:r/>
          </w:p>
        </w:tc>
        <w:tc>
          <w:tcPr>
            <w:tcW w:w="13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业绩</w:t>
            </w:r>
            <w:r/>
          </w:p>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（4分）</w:t>
            </w:r>
            <w:r/>
          </w:p>
        </w:tc>
        <w:tc>
          <w:tcPr>
            <w:tcW w:w="6997" w:type="dxa"/>
            <w:vAlign w:val="center"/>
            <w:textDirection w:val="lrTb"/>
            <w:noWrap w:val="false"/>
          </w:tcPr>
          <w:p>
            <w:pPr>
              <w:ind w:left="0" w:right="0"/>
              <w:jc w:val="left"/>
              <w:keepLines w:val="0"/>
              <w:keepNext w:val="0"/>
              <w:spacing w:before="0" w:beforeAutospacing="0" w:after="0" w:afterAutospacing="0"/>
              <w:widowControl/>
              <w:rPr>
                <w:rFonts w:hint="default"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响应文件中提供供应商，自2023年1月1日以来承接过团体健康保险的，每提供1份业绩合同或合作协议的得2分，本项最高得4分。</w:t>
            </w:r>
            <w:r/>
          </w:p>
        </w:tc>
      </w:tr>
      <w:tr>
        <w:trPr>
          <w:cantSplit/>
          <w:trHeight w:val="23"/>
        </w:trPr>
        <w:tc>
          <w:tcPr>
            <w:tcW w:w="140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lang w:val="en-US" w:eastAsia="zh-CN"/>
              </w:rPr>
              <w:suppressLineNumbers w:val="0"/>
            </w:pPr>
            <w:r>
              <w:rPr>
                <w:rFonts w:hint="eastAsia" w:ascii="仿宋" w:hAnsi="仿宋" w:eastAsia="仿宋" w:cs="仿宋"/>
                <w:b w:val="0"/>
                <w:bCs w:val="0"/>
                <w:color w:val="auto"/>
                <w:sz w:val="24"/>
                <w:szCs w:val="24"/>
                <w:vertAlign w:val="baseline"/>
                <w:lang w:val="en-US" w:eastAsia="zh-CN"/>
              </w:rPr>
            </w:r>
            <w:r/>
          </w:p>
        </w:tc>
        <w:tc>
          <w:tcPr>
            <w:tcW w:w="13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服务人员配置</w:t>
            </w:r>
            <w:r/>
          </w:p>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（10分）</w:t>
            </w:r>
            <w:r/>
          </w:p>
        </w:tc>
        <w:tc>
          <w:tcPr>
            <w:tcW w:w="699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供应商提供的专属服务团队人员组成的合理性、完善性，含过往类似项目服务经验及小组人员的数量、人员职位，以及是否明确联系方式等方案的全面性、针对性、可行性等综合比较评价：</w:t>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全面性(3分)：全面具体详实得3分；较全面得2分；不全面得1分。</w:t>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针对性(4分)：针对性强得4分；针对性较强得2分；针对性不强得1分。</w:t>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可行性(3分)：符合实际切实可行得3分；较切实可行得2分；可行性欠缺得1分。</w:t>
            </w:r>
            <w:r/>
          </w:p>
        </w:tc>
      </w:tr>
      <w:tr>
        <w:trPr>
          <w:cantSplit/>
          <w:trHeight w:val="23"/>
        </w:trPr>
        <w:tc>
          <w:tcPr>
            <w:tcW w:w="140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技术部分(86分)</w:t>
            </w:r>
            <w:r/>
          </w:p>
        </w:tc>
        <w:tc>
          <w:tcPr>
            <w:tcW w:w="13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供应商保险金额总额(20分)</w:t>
            </w:r>
            <w:r/>
          </w:p>
        </w:tc>
        <w:tc>
          <w:tcPr>
            <w:tcW w:w="699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1、住院补贴保险金额在满足采购需求的基础上，每增加10元/天，得2分，最高得4分；</w:t>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2、住院医疗保险金额在满足采购需求的基础上，每增加1000元，得2分，最高的4分。</w:t>
            </w:r>
            <w:r/>
          </w:p>
          <w:p>
            <w:pPr>
              <w:ind w:left="0" w:right="0" w:firstLine="0"/>
              <w:keepLines w:val="0"/>
              <w:keepNext w:val="0"/>
              <w:spacing w:before="0" w:beforeAutospacing="0" w:after="0" w:afterAutospacing="0"/>
              <w:widowControl/>
              <w:rPr>
                <w:color w:val="auto"/>
                <w:sz w:val="21"/>
                <w:szCs w:val="22"/>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val="0"/>
                <w:bCs w:val="0"/>
                <w:color w:val="auto"/>
                <w:sz w:val="24"/>
                <w:szCs w:val="24"/>
                <w:vertAlign w:val="baseline"/>
                <w:lang w:val="en-US" w:eastAsia="zh-CN"/>
              </w:rPr>
              <w:t xml:space="preserve">3、医保已报销</w:t>
            </w:r>
            <w:r>
              <w:rPr>
                <w:rFonts w:ascii="仿宋" w:hAnsi="仿宋" w:eastAsia="仿宋" w:cs="仿宋"/>
                <w:color w:val="auto"/>
                <w:sz w:val="24"/>
                <w:szCs w:val="22"/>
              </w:rPr>
              <w:t xml:space="preserve">结算后的</w:t>
            </w:r>
            <w:r>
              <w:rPr>
                <w:rFonts w:hint="eastAsia" w:ascii="仿宋" w:hAnsi="仿宋" w:eastAsia="仿宋" w:cs="仿宋"/>
                <w:b w:val="0"/>
                <w:bCs w:val="0"/>
                <w:color w:val="auto"/>
                <w:sz w:val="24"/>
                <w:szCs w:val="24"/>
                <w:vertAlign w:val="baseline"/>
                <w:lang w:val="en-US" w:eastAsia="zh-CN"/>
              </w:rPr>
              <w:t xml:space="preserve">赔付比例在满足采购需求的基础上，每增加2%，得2分，最高得6分</w:t>
            </w:r>
            <w:r/>
          </w:p>
          <w:p>
            <w:pPr>
              <w:ind w:left="0" w:right="0" w:firstLine="0"/>
              <w:keepLines w:val="0"/>
              <w:keepNext w:val="0"/>
              <w:spacing w:before="0" w:beforeAutospacing="0" w:after="0" w:afterAutospacing="0"/>
              <w:widowControl/>
              <w:rPr>
                <w:color w:val="auto"/>
                <w:sz w:val="21"/>
                <w:szCs w:val="22"/>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val="0"/>
                <w:bCs w:val="0"/>
                <w:color w:val="auto"/>
                <w:sz w:val="24"/>
                <w:szCs w:val="24"/>
                <w:vertAlign w:val="baseline"/>
                <w:lang w:val="en-US" w:eastAsia="zh-CN"/>
              </w:rPr>
              <w:t xml:space="preserve">4、医保未报销</w:t>
            </w:r>
            <w:r>
              <w:rPr>
                <w:rFonts w:ascii="仿宋" w:hAnsi="仿宋" w:eastAsia="仿宋" w:cs="仿宋"/>
                <w:color w:val="auto"/>
                <w:sz w:val="24"/>
                <w:szCs w:val="22"/>
              </w:rPr>
              <w:t xml:space="preserve">结算后的</w:t>
            </w:r>
            <w:r>
              <w:rPr>
                <w:rFonts w:hint="eastAsia" w:ascii="仿宋" w:hAnsi="仿宋" w:eastAsia="仿宋" w:cs="仿宋"/>
                <w:b w:val="0"/>
                <w:bCs w:val="0"/>
                <w:color w:val="auto"/>
                <w:sz w:val="24"/>
                <w:szCs w:val="24"/>
                <w:vertAlign w:val="baseline"/>
                <w:lang w:val="en-US" w:eastAsia="zh-CN"/>
              </w:rPr>
              <w:t xml:space="preserve">赔付比例在满足采购需求的基础上，每增加2%，得2分，最高得6分</w:t>
            </w:r>
            <w:r/>
          </w:p>
        </w:tc>
      </w:tr>
      <w:tr>
        <w:trPr>
          <w:cantSplit/>
          <w:trHeight w:val="23"/>
        </w:trPr>
        <w:tc>
          <w:tcPr>
            <w:tcW w:w="140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lang w:val="en-US" w:eastAsia="zh-CN"/>
              </w:rPr>
              <w:suppressLineNumbers w:val="0"/>
            </w:pPr>
            <w:r>
              <w:rPr>
                <w:rFonts w:hint="eastAsia" w:ascii="仿宋" w:hAnsi="仿宋" w:eastAsia="仿宋" w:cs="仿宋"/>
                <w:b w:val="0"/>
                <w:bCs w:val="0"/>
                <w:color w:val="auto"/>
                <w:sz w:val="24"/>
                <w:szCs w:val="24"/>
                <w:vertAlign w:val="baseline"/>
                <w:lang w:val="en-US" w:eastAsia="zh-CN"/>
              </w:rPr>
            </w:r>
            <w:r/>
          </w:p>
        </w:tc>
        <w:tc>
          <w:tcPr>
            <w:tcW w:w="13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扩展条款保险责任范围和保额</w:t>
            </w:r>
            <w:r/>
          </w:p>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（6分）</w:t>
            </w:r>
            <w:r/>
          </w:p>
        </w:tc>
        <w:tc>
          <w:tcPr>
            <w:tcW w:w="699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本项基础分为4分，最低得0分，最高得6分。</w:t>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若有利于被保险人的，每项加0.5分；</w:t>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若限制了被保险人权利或缩小了保险责任范围的，每项扣0.5分。</w:t>
            </w:r>
            <w:r/>
          </w:p>
        </w:tc>
      </w:tr>
      <w:tr>
        <w:trPr>
          <w:cantSplit/>
          <w:trHeight w:val="3152"/>
        </w:trPr>
        <w:tc>
          <w:tcPr>
            <w:tcW w:w="140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lang w:val="en-US" w:eastAsia="zh-CN"/>
              </w:rPr>
              <w:suppressLineNumbers w:val="0"/>
            </w:pPr>
            <w:r>
              <w:rPr>
                <w:rFonts w:hint="eastAsia" w:ascii="仿宋" w:hAnsi="仿宋" w:eastAsia="仿宋" w:cs="仿宋"/>
                <w:b w:val="0"/>
                <w:bCs w:val="0"/>
                <w:color w:val="auto"/>
                <w:sz w:val="24"/>
                <w:szCs w:val="24"/>
                <w:vertAlign w:val="baseline"/>
                <w:lang w:val="en-US" w:eastAsia="zh-CN"/>
              </w:rPr>
            </w:r>
            <w:r/>
          </w:p>
        </w:tc>
        <w:tc>
          <w:tcPr>
            <w:tcW w:w="13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承保服务方案</w:t>
            </w:r>
            <w:r/>
          </w:p>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(15分)</w:t>
            </w:r>
            <w:r/>
          </w:p>
        </w:tc>
        <w:tc>
          <w:tcPr>
            <w:tcW w:w="699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对比供应商的总体承保服务方案中工作流程（具体实施措施、阶段安排）、保证措施、风控措施和其他增值服务承诺（如政策培训方案、协助政策制定等）等方案的全面性、针对性、可行性等综合比较评价。</w:t>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全面性(5分)：全面具体详实得5分；较全面得3分；不全面得1分。</w:t>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针对性(5分)：针对性强得5分；针对性较强得3分；针对性不强得1分。</w:t>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可行性(5分)：符合实际切实可行得5分；较切实可行得3分；可行性欠缺得1分。</w:t>
            </w:r>
            <w:r/>
          </w:p>
        </w:tc>
      </w:tr>
      <w:tr>
        <w:trPr>
          <w:cantSplit/>
          <w:trHeight w:val="1030"/>
        </w:trPr>
        <w:tc>
          <w:tcPr>
            <w:tcW w:w="140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lang w:val="en-US" w:eastAsia="zh-CN"/>
              </w:rPr>
              <w:suppressLineNumbers w:val="0"/>
            </w:pPr>
            <w:r>
              <w:rPr>
                <w:rFonts w:hint="eastAsia" w:ascii="仿宋" w:hAnsi="仿宋" w:eastAsia="仿宋" w:cs="仿宋"/>
                <w:b w:val="0"/>
                <w:bCs w:val="0"/>
                <w:color w:val="auto"/>
                <w:sz w:val="24"/>
                <w:szCs w:val="24"/>
                <w:vertAlign w:val="baseline"/>
                <w:lang w:val="en-US" w:eastAsia="zh-CN"/>
              </w:rPr>
            </w:r>
            <w:r/>
          </w:p>
        </w:tc>
        <w:tc>
          <w:tcPr>
            <w:tcW w:w="132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理赔服务方案</w:t>
            </w:r>
            <w:r/>
          </w:p>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(26分)</w:t>
            </w:r>
            <w:r/>
          </w:p>
        </w:tc>
        <w:tc>
          <w:tcPr>
            <w:tcW w:w="699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1、依据供应商是否明确表述索赔流程、理赔资料充分告知工作的承诺以及具体实施举措等方面综合比较评价（5分）：</w:t>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完善合理的得5分，较完善合理的得3分，欠缺的得1分。</w:t>
            </w:r>
            <w:r/>
          </w:p>
        </w:tc>
      </w:tr>
      <w:tr>
        <w:trPr>
          <w:cantSplit/>
          <w:trHeight w:val="23"/>
        </w:trPr>
        <w:tc>
          <w:tcPr>
            <w:tcW w:w="140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lang w:val="en-US" w:eastAsia="zh-CN"/>
              </w:rPr>
              <w:suppressLineNumbers w:val="0"/>
            </w:pPr>
            <w:r>
              <w:rPr>
                <w:rFonts w:hint="eastAsia" w:ascii="仿宋" w:hAnsi="仿宋" w:eastAsia="仿宋" w:cs="仿宋"/>
                <w:b w:val="0"/>
                <w:bCs w:val="0"/>
                <w:color w:val="auto"/>
                <w:sz w:val="24"/>
                <w:szCs w:val="24"/>
                <w:vertAlign w:val="baseline"/>
                <w:lang w:val="en-US" w:eastAsia="zh-CN"/>
              </w:rPr>
            </w:r>
            <w:r/>
          </w:p>
        </w:tc>
        <w:tc>
          <w:tcPr>
            <w:tcW w:w="132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lang w:val="en-US" w:eastAsia="zh-CN"/>
              </w:rPr>
              <w:suppressLineNumbers w:val="0"/>
            </w:pPr>
            <w:r>
              <w:rPr>
                <w:rFonts w:hint="eastAsia" w:ascii="仿宋" w:hAnsi="仿宋" w:eastAsia="仿宋" w:cs="仿宋"/>
                <w:b w:val="0"/>
                <w:bCs w:val="0"/>
                <w:color w:val="auto"/>
                <w:sz w:val="24"/>
                <w:szCs w:val="24"/>
                <w:vertAlign w:val="baseline"/>
                <w:lang w:val="en-US" w:eastAsia="zh-CN"/>
              </w:rPr>
            </w:r>
            <w:r/>
          </w:p>
        </w:tc>
        <w:tc>
          <w:tcPr>
            <w:tcW w:w="699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2、理赔响应时间（5分）：</w:t>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根据理赔响应时间的内容及相关情况的描述综合比较评价：理赔响应时间快、相关情况描述全面的得5分；理赔响应时间较快、相关情况描述较全面的得3分；理赔响应时间慢、相关情况描述不全面的得1分。</w:t>
            </w:r>
            <w:r/>
          </w:p>
        </w:tc>
      </w:tr>
      <w:tr>
        <w:trPr>
          <w:cantSplit/>
          <w:trHeight w:val="23"/>
        </w:trPr>
        <w:tc>
          <w:tcPr>
            <w:tcW w:w="140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lang w:val="en-US" w:eastAsia="zh-CN"/>
              </w:rPr>
              <w:suppressLineNumbers w:val="0"/>
            </w:pPr>
            <w:r>
              <w:rPr>
                <w:rFonts w:hint="eastAsia" w:ascii="仿宋" w:hAnsi="仿宋" w:eastAsia="仿宋" w:cs="仿宋"/>
                <w:b w:val="0"/>
                <w:bCs w:val="0"/>
                <w:color w:val="auto"/>
                <w:sz w:val="24"/>
                <w:szCs w:val="24"/>
                <w:vertAlign w:val="baseline"/>
                <w:lang w:val="en-US" w:eastAsia="zh-CN"/>
              </w:rPr>
            </w:r>
            <w:r/>
          </w:p>
        </w:tc>
        <w:tc>
          <w:tcPr>
            <w:tcW w:w="132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lang w:val="en-US" w:eastAsia="zh-CN"/>
              </w:rPr>
              <w:suppressLineNumbers w:val="0"/>
            </w:pPr>
            <w:r>
              <w:rPr>
                <w:rFonts w:hint="eastAsia" w:ascii="仿宋" w:hAnsi="仿宋" w:eastAsia="仿宋" w:cs="仿宋"/>
                <w:b w:val="0"/>
                <w:bCs w:val="0"/>
                <w:color w:val="auto"/>
                <w:sz w:val="24"/>
                <w:szCs w:val="24"/>
                <w:vertAlign w:val="baseline"/>
                <w:lang w:val="en-US" w:eastAsia="zh-CN"/>
              </w:rPr>
            </w:r>
            <w:r/>
          </w:p>
        </w:tc>
        <w:tc>
          <w:tcPr>
            <w:tcW w:w="699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3、理赔时效（5分）：</w:t>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根据理赔响应时效的内容及相关情况的描述综合比较评价：理赔时效短，相关情况描述全面的得5分；理赔时效较长、相关情况描述较全面的得3分；理赔时效长、相关情况描述不全面的得1分。</w:t>
            </w:r>
            <w:r/>
          </w:p>
        </w:tc>
      </w:tr>
      <w:tr>
        <w:trPr>
          <w:cantSplit/>
          <w:trHeight w:val="23"/>
        </w:trPr>
        <w:tc>
          <w:tcPr>
            <w:tcW w:w="140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lang w:val="en-US" w:eastAsia="zh-CN"/>
              </w:rPr>
              <w:suppressLineNumbers w:val="0"/>
            </w:pPr>
            <w:r>
              <w:rPr>
                <w:rFonts w:hint="eastAsia" w:ascii="仿宋" w:hAnsi="仿宋" w:eastAsia="仿宋" w:cs="仿宋"/>
                <w:b w:val="0"/>
                <w:bCs w:val="0"/>
                <w:color w:val="auto"/>
                <w:sz w:val="24"/>
                <w:szCs w:val="24"/>
                <w:vertAlign w:val="baseline"/>
                <w:lang w:val="en-US" w:eastAsia="zh-CN"/>
              </w:rPr>
            </w:r>
            <w:r/>
          </w:p>
        </w:tc>
        <w:tc>
          <w:tcPr>
            <w:tcW w:w="132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lang w:val="en-US" w:eastAsia="zh-CN"/>
              </w:rPr>
              <w:suppressLineNumbers w:val="0"/>
            </w:pPr>
            <w:r>
              <w:rPr>
                <w:rFonts w:hint="eastAsia" w:ascii="仿宋" w:hAnsi="仿宋" w:eastAsia="仿宋" w:cs="仿宋"/>
                <w:b w:val="0"/>
                <w:bCs w:val="0"/>
                <w:color w:val="auto"/>
                <w:sz w:val="24"/>
                <w:szCs w:val="24"/>
                <w:vertAlign w:val="baseline"/>
                <w:lang w:val="en-US" w:eastAsia="zh-CN"/>
              </w:rPr>
            </w:r>
            <w:r/>
          </w:p>
        </w:tc>
        <w:tc>
          <w:tcPr>
            <w:tcW w:w="699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4、理赔手续（3分）：</w:t>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根据理赔手续明确提供手续的主体、材料、期限等内容综合比较评价：完善合理的得3分，较完善合理的得2分，欠缺的得1分。</w:t>
            </w:r>
            <w:r/>
          </w:p>
        </w:tc>
      </w:tr>
      <w:tr>
        <w:trPr>
          <w:cantSplit/>
          <w:trHeight w:val="23"/>
        </w:trPr>
        <w:tc>
          <w:tcPr>
            <w:tcW w:w="140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lang w:val="en-US" w:eastAsia="zh-CN"/>
              </w:rPr>
              <w:suppressLineNumbers w:val="0"/>
            </w:pPr>
            <w:r>
              <w:rPr>
                <w:rFonts w:hint="eastAsia" w:ascii="仿宋" w:hAnsi="仿宋" w:eastAsia="仿宋" w:cs="仿宋"/>
                <w:b w:val="0"/>
                <w:bCs w:val="0"/>
                <w:color w:val="auto"/>
                <w:sz w:val="24"/>
                <w:szCs w:val="24"/>
                <w:vertAlign w:val="baseline"/>
                <w:lang w:val="en-US" w:eastAsia="zh-CN"/>
              </w:rPr>
            </w:r>
            <w:r/>
          </w:p>
        </w:tc>
        <w:tc>
          <w:tcPr>
            <w:tcW w:w="132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lang w:val="en-US" w:eastAsia="zh-CN"/>
              </w:rPr>
              <w:suppressLineNumbers w:val="0"/>
            </w:pPr>
            <w:r>
              <w:rPr>
                <w:rFonts w:hint="eastAsia" w:ascii="仿宋" w:hAnsi="仿宋" w:eastAsia="仿宋" w:cs="仿宋"/>
                <w:b w:val="0"/>
                <w:bCs w:val="0"/>
                <w:color w:val="auto"/>
                <w:sz w:val="24"/>
                <w:szCs w:val="24"/>
                <w:vertAlign w:val="baseline"/>
                <w:lang w:val="en-US" w:eastAsia="zh-CN"/>
              </w:rPr>
            </w:r>
            <w:r/>
          </w:p>
        </w:tc>
        <w:tc>
          <w:tcPr>
            <w:tcW w:w="6997" w:type="dxa"/>
            <w:vAlign w:val="center"/>
            <w:textDirection w:val="lrTb"/>
            <w:noWrap w:val="false"/>
          </w:tcPr>
          <w:p>
            <w:pPr>
              <w:ind w:left="0" w:right="0" w:firstLine="0"/>
              <w:keepLines w:val="0"/>
              <w:keepNext w:val="0"/>
              <w:spacing w:before="0" w:beforeAutospacing="0" w:after="0" w:afterAutospacing="0"/>
              <w:widowControl/>
              <w:rPr>
                <w:color w:val="auto"/>
                <w:sz w:val="21"/>
                <w:szCs w:val="22"/>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val="0"/>
                <w:bCs w:val="0"/>
                <w:color w:val="auto"/>
                <w:sz w:val="24"/>
                <w:szCs w:val="24"/>
                <w:vertAlign w:val="baseline"/>
                <w:lang w:val="en-US" w:eastAsia="zh-CN"/>
              </w:rPr>
              <w:t xml:space="preserve">5、</w:t>
            </w:r>
            <w:r>
              <w:rPr>
                <w:rFonts w:ascii="仿宋" w:hAnsi="仿宋" w:eastAsia="仿宋" w:cs="仿宋"/>
                <w:color w:val="auto"/>
                <w:sz w:val="24"/>
                <w:szCs w:val="22"/>
              </w:rPr>
              <w:t xml:space="preserve">重大事故应急预案（5分）：根据重大事故应急预案详细内容综合比较评价，完善合理的得5分，较完善合理的得3分，欠缺的得1分。</w:t>
            </w:r>
            <w:r/>
          </w:p>
        </w:tc>
      </w:tr>
      <w:tr>
        <w:trPr>
          <w:cantSplit/>
          <w:trHeight w:val="23"/>
        </w:trPr>
        <w:tc>
          <w:tcPr>
            <w:tcW w:w="140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lang w:val="en-US" w:eastAsia="zh-CN"/>
              </w:rPr>
              <w:suppressLineNumbers w:val="0"/>
            </w:pPr>
            <w:r>
              <w:rPr>
                <w:rFonts w:hint="eastAsia" w:ascii="仿宋" w:hAnsi="仿宋" w:eastAsia="仿宋" w:cs="仿宋"/>
                <w:b w:val="0"/>
                <w:bCs w:val="0"/>
                <w:color w:val="auto"/>
                <w:sz w:val="24"/>
                <w:szCs w:val="24"/>
                <w:vertAlign w:val="baseline"/>
                <w:lang w:val="en-US" w:eastAsia="zh-CN"/>
              </w:rPr>
            </w:r>
            <w:r/>
          </w:p>
        </w:tc>
        <w:tc>
          <w:tcPr>
            <w:tcW w:w="132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lang w:val="en-US" w:eastAsia="zh-CN"/>
              </w:rPr>
              <w:suppressLineNumbers w:val="0"/>
            </w:pPr>
            <w:r>
              <w:rPr>
                <w:rFonts w:hint="eastAsia" w:ascii="仿宋" w:hAnsi="仿宋" w:eastAsia="仿宋" w:cs="仿宋"/>
                <w:b w:val="0"/>
                <w:bCs w:val="0"/>
                <w:color w:val="auto"/>
                <w:sz w:val="24"/>
                <w:szCs w:val="24"/>
                <w:vertAlign w:val="baseline"/>
                <w:lang w:val="en-US" w:eastAsia="zh-CN"/>
              </w:rPr>
            </w:r>
            <w:r/>
          </w:p>
        </w:tc>
        <w:tc>
          <w:tcPr>
            <w:tcW w:w="699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6、其它理赔服务（3分）：</w:t>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依据供应商其它有利于投保人的理赔服务承诺内容综合比较评价：完善合理的得3分，较完善合理的得2分，欠缺的得1分。</w:t>
            </w:r>
            <w:r/>
          </w:p>
        </w:tc>
      </w:tr>
      <w:tr>
        <w:trPr>
          <w:cantSplit/>
          <w:trHeight w:val="23"/>
        </w:trPr>
        <w:tc>
          <w:tcPr>
            <w:tcW w:w="140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1"/>
                <w:szCs w:val="21"/>
              </w:rPr>
              <w:suppressLineNumbers w:val="0"/>
            </w:pPr>
            <w:r>
              <w:rPr>
                <w:rFonts w:hint="eastAsia" w:ascii="仿宋" w:hAnsi="仿宋" w:eastAsia="仿宋" w:cs="仿宋"/>
                <w:b w:val="0"/>
                <w:bCs w:val="0"/>
                <w:color w:val="auto"/>
                <w:sz w:val="21"/>
                <w:szCs w:val="21"/>
              </w:rPr>
            </w:r>
            <w:r/>
          </w:p>
        </w:tc>
        <w:tc>
          <w:tcPr>
            <w:shd w:val="clear" w:color="auto" w:fill="auto"/>
            <w:tcW w:w="13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宣传服务方案</w:t>
            </w:r>
            <w:r/>
          </w:p>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（5分）</w:t>
            </w:r>
            <w:r/>
          </w:p>
        </w:tc>
        <w:tc>
          <w:tcPr>
            <w:tcW w:w="699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依据培训服务方案，从培训服务方案全面性、可行性、合理性等方面综合比较评价。</w:t>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全面具体详实、针对性强、切实可行的得5分；</w:t>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较全面、针对性较强、较切实可行的得3分；</w:t>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不全面、针对性不强、可行性欠缺得1分。</w:t>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未提供的不得分。</w:t>
            </w:r>
            <w:r/>
          </w:p>
        </w:tc>
      </w:tr>
      <w:tr>
        <w:trPr>
          <w:cantSplit/>
          <w:trHeight w:val="23"/>
        </w:trPr>
        <w:tc>
          <w:tcPr>
            <w:tcW w:w="140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1"/>
                <w:szCs w:val="21"/>
              </w:rPr>
              <w:suppressLineNumbers w:val="0"/>
            </w:pPr>
            <w:r>
              <w:rPr>
                <w:rFonts w:hint="eastAsia" w:ascii="仿宋" w:hAnsi="仿宋" w:eastAsia="仿宋" w:cs="仿宋"/>
                <w:b w:val="0"/>
                <w:bCs w:val="0"/>
                <w:color w:val="auto"/>
                <w:sz w:val="21"/>
                <w:szCs w:val="21"/>
              </w:rPr>
            </w:r>
            <w:r/>
          </w:p>
        </w:tc>
        <w:tc>
          <w:tcPr>
            <w:shd w:val="clear" w:color="auto" w:fill="auto"/>
            <w:tcW w:w="132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bidi="ar-SA"/>
              </w:rPr>
              <w:t xml:space="preserve">投诉处理方案</w:t>
            </w:r>
            <w:r/>
          </w:p>
          <w:p>
            <w:pPr>
              <w:ind w:left="0" w:right="0"/>
              <w:jc w:val="center"/>
              <w:keepLines w:val="0"/>
              <w:keepNext w:val="0"/>
              <w:spacing w:before="0" w:beforeAutospacing="0" w:after="0" w:afterAutospacing="0"/>
              <w:widowControl w:val="off"/>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bidi="ar-SA"/>
              </w:rPr>
              <w:t xml:space="preserve">（5分）</w:t>
            </w:r>
            <w:r/>
          </w:p>
        </w:tc>
        <w:tc>
          <w:tcPr>
            <w:tcW w:w="699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bidi="ar-SA"/>
              </w:rPr>
              <w:t xml:space="preserve">依据投诉处理方案，投诉程序、处理流程、答复时间等方面综合比较评价（5分）</w:t>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bidi="ar-SA"/>
              </w:rPr>
              <w:t xml:space="preserve">方案措施切实细致，具体、全面，得5分； </w:t>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bidi="ar-SA"/>
              </w:rPr>
              <w:t xml:space="preserve">方案措施切实细致，较具体、全面，得3分；</w:t>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bidi="ar-SA"/>
              </w:rPr>
              <w:t xml:space="preserve">方案措施切实细致，工作不够具体、全面，得1分；</w:t>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bidi="ar-SA"/>
              </w:rPr>
              <w:t xml:space="preserve">未提供的不得分。</w:t>
            </w:r>
            <w:r/>
          </w:p>
        </w:tc>
      </w:tr>
      <w:tr>
        <w:trPr>
          <w:cantSplit/>
          <w:trHeight w:val="23"/>
        </w:trPr>
        <w:tc>
          <w:tcPr>
            <w:tcW w:w="140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1"/>
                <w:szCs w:val="21"/>
              </w:rPr>
              <w:suppressLineNumbers w:val="0"/>
            </w:pPr>
            <w:r>
              <w:rPr>
                <w:rFonts w:hint="eastAsia" w:ascii="仿宋" w:hAnsi="仿宋" w:eastAsia="仿宋" w:cs="仿宋"/>
                <w:b w:val="0"/>
                <w:bCs w:val="0"/>
                <w:color w:val="auto"/>
                <w:sz w:val="21"/>
                <w:szCs w:val="21"/>
              </w:rPr>
            </w:r>
            <w:r/>
          </w:p>
        </w:tc>
        <w:tc>
          <w:tcPr>
            <w:shd w:val="clear" w:color="auto" w:fill="auto"/>
            <w:tcW w:w="132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bidi="ar-SA"/>
              </w:rPr>
              <w:t xml:space="preserve">其它优惠服务方案(9分)</w:t>
            </w:r>
            <w:r/>
          </w:p>
        </w:tc>
        <w:tc>
          <w:tcPr>
            <w:tcW w:w="699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bidi="ar-SA"/>
              </w:rPr>
              <w:t xml:space="preserve">应在可能情况下和国家法律法规允许范围内，明确表述实际给予的实质性的优惠或有利于投保单位的方案进行综合比较评价。</w:t>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bidi="ar-SA"/>
              </w:rPr>
              <w:t xml:space="preserve">切实可行最为优惠的得9分；较为切实可行优惠较大的得7分；优惠一般的得5分；优惠较少的得3分；优惠少的得1分；</w:t>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bidi="ar-SA"/>
              </w:rPr>
              <w:t xml:space="preserve">未提供的不得分。</w:t>
            </w:r>
            <w:r/>
          </w:p>
        </w:tc>
      </w:tr>
    </w:tbl>
    <w:p>
      <w:pPr>
        <w:rPr>
          <w:rFonts w:hint="eastAsia" w:ascii="仿宋" w:hAnsi="仿宋" w:eastAsia="仿宋" w:cs="仿宋"/>
          <w:b/>
          <w:color w:val="auto"/>
          <w:sz w:val="36"/>
          <w:highlight w:val="none"/>
        </w:rPr>
      </w:pPr>
      <w:r>
        <w:rPr>
          <w:rFonts w:hint="eastAsia" w:ascii="仿宋" w:hAnsi="仿宋" w:eastAsia="仿宋" w:cs="仿宋"/>
          <w:b/>
          <w:color w:val="auto"/>
          <w:sz w:val="36"/>
          <w:highlight w:val="none"/>
        </w:rPr>
        <w:br w:type="page" w:clear="all"/>
      </w:r>
      <w:r/>
    </w:p>
    <w:p>
      <w:pPr>
        <w:pStyle w:val="703"/>
        <w:jc w:val="center"/>
        <w:rPr>
          <w:rFonts w:hint="eastAsia" w:ascii="仿宋" w:hAnsi="仿宋" w:eastAsia="仿宋" w:cs="仿宋"/>
          <w:color w:val="auto"/>
          <w:highlight w:val="none"/>
        </w:rPr>
      </w:pPr>
      <w:r>
        <w:rPr>
          <w:rFonts w:hint="eastAsia" w:ascii="仿宋" w:hAnsi="仿宋" w:eastAsia="仿宋" w:cs="仿宋"/>
          <w:b/>
          <w:bCs/>
          <w:color w:val="auto"/>
          <w:sz w:val="32"/>
          <w:szCs w:val="32"/>
          <w:highlight w:val="none"/>
          <w:lang w:val="en-US" w:eastAsia="zh-CN"/>
        </w:rPr>
        <w:t xml:space="preserve">第九章《项目要求》（采购需求）</w:t>
      </w:r>
      <w:r/>
    </w:p>
    <w:p>
      <w:pPr>
        <w:jc w:val="left"/>
        <w:keepLines w:val="0"/>
        <w:keepNext w:val="0"/>
        <w:pageBreakBefore w:val="0"/>
        <w:spacing w:line="360" w:lineRule="auto"/>
        <w:widowControl/>
        <w:rPr>
          <w:rFonts w:hint="eastAsia" w:ascii="仿宋" w:hAnsi="仿宋" w:eastAsia="仿宋" w:cs="仿宋"/>
          <w:b/>
          <w:bCs/>
          <w:color w:val="auto"/>
          <w:sz w:val="24"/>
          <w:szCs w:val="24"/>
          <w:highlight w:val="none"/>
        </w:rPr>
        <w:outlineLvl w:val="9"/>
      </w:pPr>
      <w:r/>
      <w:bookmarkStart w:id="26" w:name="_Toc108179687"/>
      <w:r>
        <w:rPr>
          <w:rFonts w:hint="eastAsia" w:ascii="仿宋" w:hAnsi="仿宋" w:eastAsia="仿宋" w:cs="仿宋"/>
          <w:b/>
          <w:bCs/>
          <w:color w:val="auto"/>
          <w:sz w:val="24"/>
          <w:szCs w:val="24"/>
          <w:highlight w:val="none"/>
          <w:lang w:val="en-US" w:eastAsia="zh-CN" w:bidi="ar-SA"/>
        </w:rPr>
        <w:t xml:space="preserve">一、项目概况</w:t>
      </w:r>
      <w:r/>
    </w:p>
    <w:p>
      <w:pPr>
        <w:numPr>
          <w:ilvl w:val="0"/>
          <w:numId w:val="0"/>
        </w:numPr>
        <w:ind w:firstLine="480"/>
        <w:jc w:val="left"/>
        <w:keepLines w:val="0"/>
        <w:keepNext w:val="0"/>
        <w:pageBreakBefore w:val="0"/>
        <w:spacing w:line="36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val="en-US" w:eastAsia="zh-CN" w:bidi="ar-SA"/>
        </w:rPr>
        <w:t xml:space="preserve">采购人名称：邳州市退役军人事务局</w:t>
      </w:r>
      <w:r/>
    </w:p>
    <w:p>
      <w:pPr>
        <w:numPr>
          <w:ilvl w:val="0"/>
          <w:numId w:val="0"/>
        </w:numPr>
        <w:ind w:firstLine="480"/>
        <w:jc w:val="left"/>
        <w:keepLines w:val="0"/>
        <w:keepNext w:val="0"/>
        <w:pageBreakBefore w:val="0"/>
        <w:spacing w:line="36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val="en-US" w:eastAsia="zh-CN" w:bidi="ar-SA"/>
        </w:rPr>
        <w:t xml:space="preserve">项目名称：邳州市退役军人事务局重点优抚对象住院医疗商业保险</w:t>
      </w:r>
      <w:r/>
    </w:p>
    <w:p>
      <w:pPr>
        <w:numPr>
          <w:ilvl w:val="0"/>
          <w:numId w:val="0"/>
        </w:numPr>
        <w:ind w:firstLine="480"/>
        <w:jc w:val="left"/>
        <w:keepLines w:val="0"/>
        <w:keepNext w:val="0"/>
        <w:pageBreakBefore w:val="0"/>
        <w:spacing w:line="36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val="en-US" w:eastAsia="zh-CN" w:bidi="ar-SA"/>
        </w:rPr>
        <w:t xml:space="preserve">采购金额：本项目采购总预算为225万元（保费300元/人，人数约2500名，保费75万元/年，服务期限3年，保险合同一年一签）。</w:t>
      </w:r>
      <w:r/>
    </w:p>
    <w:p>
      <w:pPr>
        <w:jc w:val="left"/>
        <w:keepLines w:val="0"/>
        <w:keepNext w:val="0"/>
        <w:pageBreakBefore w:val="0"/>
        <w:spacing w:line="360" w:lineRule="auto"/>
        <w:widowControl/>
        <w:rPr>
          <w:rFonts w:hint="eastAsia" w:ascii="仿宋" w:hAnsi="仿宋" w:eastAsia="仿宋" w:cs="仿宋"/>
          <w:b/>
          <w:bCs/>
          <w:color w:val="auto"/>
          <w:sz w:val="24"/>
          <w:szCs w:val="24"/>
          <w:highlight w:val="none"/>
        </w:rPr>
        <w:outlineLvl w:val="9"/>
      </w:pPr>
      <w:r>
        <w:rPr>
          <w:rFonts w:hint="eastAsia" w:ascii="仿宋" w:hAnsi="仿宋" w:eastAsia="仿宋" w:cs="仿宋"/>
          <w:b/>
          <w:bCs/>
          <w:color w:val="auto"/>
          <w:sz w:val="24"/>
          <w:szCs w:val="24"/>
          <w:highlight w:val="none"/>
          <w:lang w:val="en-US" w:eastAsia="zh-CN" w:bidi="ar-SA"/>
        </w:rPr>
        <w:t xml:space="preserve">二、保障对象</w:t>
      </w:r>
      <w:r/>
    </w:p>
    <w:p>
      <w:pPr>
        <w:numPr>
          <w:ilvl w:val="0"/>
          <w:numId w:val="0"/>
        </w:numPr>
        <w:ind w:firstLine="480"/>
        <w:jc w:val="left"/>
        <w:keepLines w:val="0"/>
        <w:keepNext w:val="0"/>
        <w:pageBreakBefore w:val="0"/>
        <w:spacing w:line="36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val="en-US" w:eastAsia="zh-CN" w:bidi="ar-SA"/>
        </w:rPr>
        <w:t xml:space="preserve">享受国家定期抚恤和定期生活补助的约2500名重点优抚对象，包含以下人员（被保险人）:</w:t>
      </w:r>
      <w:r/>
    </w:p>
    <w:p>
      <w:pPr>
        <w:numPr>
          <w:ilvl w:val="0"/>
          <w:numId w:val="0"/>
        </w:numPr>
        <w:ind w:firstLine="480"/>
        <w:jc w:val="left"/>
        <w:keepLines w:val="0"/>
        <w:keepNext w:val="0"/>
        <w:pageBreakBefore w:val="0"/>
        <w:spacing w:line="36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val="en-US" w:eastAsia="zh-CN" w:bidi="ar-SA"/>
        </w:rPr>
        <w:t xml:space="preserve">1、七至十级在乡残疾军人;</w:t>
      </w:r>
      <w:r/>
    </w:p>
    <w:p>
      <w:pPr>
        <w:numPr>
          <w:ilvl w:val="0"/>
          <w:numId w:val="0"/>
        </w:numPr>
        <w:ind w:firstLine="480"/>
        <w:jc w:val="left"/>
        <w:keepLines w:val="0"/>
        <w:keepNext w:val="0"/>
        <w:pageBreakBefore w:val="0"/>
        <w:spacing w:line="36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val="en-US" w:eastAsia="zh-CN" w:bidi="ar-SA"/>
        </w:rPr>
        <w:t xml:space="preserve">2、烈士遗属、因公牺牲军人遗属、病故军人遗属;</w:t>
      </w:r>
      <w:r/>
    </w:p>
    <w:p>
      <w:pPr>
        <w:numPr>
          <w:ilvl w:val="0"/>
          <w:numId w:val="0"/>
        </w:numPr>
        <w:ind w:firstLine="480"/>
        <w:jc w:val="left"/>
        <w:keepLines w:val="0"/>
        <w:keepNext w:val="0"/>
        <w:pageBreakBefore w:val="0"/>
        <w:spacing w:line="36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val="en-US" w:eastAsia="zh-CN" w:bidi="ar-SA"/>
        </w:rPr>
        <w:t xml:space="preserve">3、在乡老复员军人;</w:t>
      </w:r>
      <w:r/>
    </w:p>
    <w:p>
      <w:pPr>
        <w:numPr>
          <w:ilvl w:val="0"/>
          <w:numId w:val="0"/>
        </w:numPr>
        <w:ind w:firstLine="480"/>
        <w:jc w:val="left"/>
        <w:keepLines w:val="0"/>
        <w:keepNext w:val="0"/>
        <w:pageBreakBefore w:val="0"/>
        <w:spacing w:line="36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val="en-US" w:eastAsia="zh-CN" w:bidi="ar-SA"/>
        </w:rPr>
        <w:t xml:space="preserve">4、带病回乡退伍军人;</w:t>
      </w:r>
      <w:r/>
    </w:p>
    <w:p>
      <w:pPr>
        <w:numPr>
          <w:ilvl w:val="0"/>
          <w:numId w:val="0"/>
        </w:numPr>
        <w:ind w:firstLine="480"/>
        <w:jc w:val="left"/>
        <w:keepLines w:val="0"/>
        <w:keepNext w:val="0"/>
        <w:pageBreakBefore w:val="0"/>
        <w:spacing w:line="36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val="en-US" w:eastAsia="zh-CN" w:bidi="ar-SA"/>
        </w:rPr>
        <w:t xml:space="preserve">5、参战参试退役人员。</w:t>
      </w:r>
      <w:r/>
    </w:p>
    <w:p>
      <w:pPr>
        <w:jc w:val="left"/>
        <w:keepLines w:val="0"/>
        <w:keepNext w:val="0"/>
        <w:pageBreakBefore w:val="0"/>
        <w:spacing w:line="360" w:lineRule="auto"/>
        <w:widowControl/>
        <w:rPr>
          <w:rFonts w:hint="eastAsia" w:ascii="仿宋" w:hAnsi="仿宋" w:eastAsia="仿宋" w:cs="仿宋"/>
          <w:b/>
          <w:bCs/>
          <w:color w:val="auto"/>
          <w:sz w:val="24"/>
          <w:szCs w:val="24"/>
          <w:highlight w:val="none"/>
        </w:rPr>
        <w:outlineLvl w:val="9"/>
      </w:pPr>
      <w:r>
        <w:rPr>
          <w:rFonts w:hint="eastAsia" w:ascii="仿宋" w:hAnsi="仿宋" w:eastAsia="仿宋" w:cs="仿宋"/>
          <w:b/>
          <w:bCs/>
          <w:color w:val="auto"/>
          <w:sz w:val="24"/>
          <w:szCs w:val="24"/>
          <w:highlight w:val="none"/>
          <w:lang w:val="en-US" w:eastAsia="zh-CN" w:bidi="ar-SA"/>
        </w:rPr>
        <w:t xml:space="preserve">三、采购需求</w:t>
      </w:r>
      <w:r/>
    </w:p>
    <w:p>
      <w:pPr>
        <w:ind w:firstLine="480"/>
        <w:jc w:val="left"/>
        <w:keepLines w:val="0"/>
        <w:keepNext w:val="0"/>
        <w:pageBreakBefore w:val="0"/>
        <w:spacing w:line="360" w:lineRule="auto"/>
        <w:widowControl/>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bidi="ar-SA"/>
        </w:rPr>
        <w:t xml:space="preserve">在保险期间（一年）内，对被保险人因疾病在社会基本医疗保险定点医疗机构进行住院治疗所支出的、符合徐州市社会基本医疗保险统筹基金规定范围的合理医疗费用，依照约定给付住院医疗保险金;因意外伤害住院治疗，按住院天数给付住院津贴保险金。</w:t>
      </w:r>
      <w:r/>
    </w:p>
    <w:p>
      <w:pPr>
        <w:ind w:firstLine="480"/>
        <w:jc w:val="left"/>
        <w:keepLines w:val="0"/>
        <w:keepNext w:val="0"/>
        <w:pageBreakBefore w:val="0"/>
        <w:spacing w:line="360" w:lineRule="auto"/>
        <w:widowControl/>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bidi="ar-SA"/>
        </w:rPr>
        <w:t xml:space="preserve">1、给付疾病住院医疗保险金以10000元为限;意外伤害住院津贴每天40元，累计补贴以180天为限。对同一位被保险人一次或者累计给付住院医疗保险金达到10000元，住院津贴累计给付天数达到180日时，本保险合同对应的保险责任终止。</w:t>
      </w:r>
      <w:r/>
    </w:p>
    <w:p>
      <w:pPr>
        <w:ind w:firstLine="480"/>
        <w:jc w:val="left"/>
        <w:keepLines w:val="0"/>
        <w:keepNext w:val="0"/>
        <w:pageBreakBefore w:val="0"/>
        <w:spacing w:line="360" w:lineRule="auto"/>
        <w:widowControl/>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bidi="ar-SA"/>
        </w:rPr>
        <w:t xml:space="preserve">2、保险期间届满被保险人仍在住院治疗的，自保险期间届满次日起计算，至出院之日止，最长以90日为限。</w:t>
      </w:r>
      <w:r/>
    </w:p>
    <w:p>
      <w:pPr>
        <w:ind w:firstLine="480"/>
        <w:jc w:val="left"/>
        <w:keepLines w:val="0"/>
        <w:keepNext w:val="0"/>
        <w:pageBreakBefore w:val="0"/>
        <w:spacing w:line="360" w:lineRule="auto"/>
        <w:widowControl/>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bidi="ar-SA"/>
        </w:rPr>
        <w:t xml:space="preserve">3、本保险适用补偿原则。被保险人已经从社会基本医疗保险或任何第三方(包括医疗救助、大病保险和任何商业医疗保险)获得相关医疗费用补偿的，保险人仅对扣除已获得补偿后的剩余部分，按徐州市基本医疗保险的相关药品目录、诊疗项目范围、医疗服务设施范围和支付标准给付医疗费。</w:t>
      </w:r>
      <w:r/>
    </w:p>
    <w:p>
      <w:pPr>
        <w:jc w:val="left"/>
        <w:keepLines w:val="0"/>
        <w:keepNext w:val="0"/>
        <w:pageBreakBefore w:val="0"/>
        <w:spacing w:line="360" w:lineRule="auto"/>
        <w:widowControl/>
        <w:rPr>
          <w:rFonts w:hint="eastAsia" w:ascii="仿宋" w:hAnsi="仿宋" w:eastAsia="仿宋" w:cs="仿宋"/>
          <w:b/>
          <w:bCs/>
          <w:color w:val="auto"/>
          <w:sz w:val="24"/>
          <w:szCs w:val="24"/>
          <w:highlight w:val="none"/>
        </w:rPr>
        <w:outlineLvl w:val="9"/>
      </w:pPr>
      <w:r>
        <w:rPr>
          <w:rFonts w:hint="eastAsia" w:ascii="仿宋" w:hAnsi="仿宋" w:eastAsia="仿宋" w:cs="仿宋"/>
          <w:b/>
          <w:bCs/>
          <w:color w:val="auto"/>
          <w:sz w:val="24"/>
          <w:szCs w:val="24"/>
          <w:highlight w:val="none"/>
          <w:lang w:val="en-US" w:eastAsia="zh-CN" w:bidi="ar-SA"/>
        </w:rPr>
        <w:t xml:space="preserve">四、保险方案要求</w:t>
      </w:r>
      <w:r/>
    </w:p>
    <w:p>
      <w:pPr>
        <w:ind w:firstLine="480"/>
        <w:jc w:val="left"/>
        <w:keepLines w:val="0"/>
        <w:keepNext w:val="0"/>
        <w:pageBreakBefore w:val="0"/>
        <w:spacing w:line="360" w:lineRule="auto"/>
        <w:widowControl/>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bidi="ar-SA"/>
        </w:rPr>
        <w:t xml:space="preserve">1、保险金额:一般住院医疗每人保险金额10000元;意外伤害住院津贴每天40元，累计给付不超过180天。</w:t>
      </w:r>
      <w:r/>
    </w:p>
    <w:p>
      <w:pPr>
        <w:ind w:firstLine="480"/>
        <w:jc w:val="left"/>
        <w:keepLines w:val="0"/>
        <w:keepNext w:val="0"/>
        <w:pageBreakBefore w:val="0"/>
        <w:spacing w:line="360" w:lineRule="auto"/>
        <w:widowControl/>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bidi="ar-SA"/>
        </w:rPr>
        <w:t xml:space="preserve">2、保险费:300元/人。</w:t>
      </w:r>
      <w:r/>
    </w:p>
    <w:p>
      <w:pPr>
        <w:ind w:firstLine="480"/>
        <w:jc w:val="left"/>
        <w:keepLines w:val="0"/>
        <w:keepNext w:val="0"/>
        <w:pageBreakBefore w:val="0"/>
        <w:spacing w:line="360" w:lineRule="auto"/>
        <w:widowControl/>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bidi="ar-SA"/>
        </w:rPr>
        <w:t xml:space="preserve">3、保险期限:一年。</w:t>
      </w:r>
      <w:r/>
    </w:p>
    <w:p>
      <w:pPr>
        <w:ind w:firstLine="480"/>
        <w:jc w:val="left"/>
        <w:keepLines w:val="0"/>
        <w:keepNext w:val="0"/>
        <w:pageBreakBefore w:val="0"/>
        <w:spacing w:line="360" w:lineRule="auto"/>
        <w:widowControl/>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bidi="ar-SA"/>
        </w:rPr>
        <w:t xml:space="preserve">4、免赔及理赔比例:一般住院医疗费用免赔额0元，医保已报销结算后的赔付比例为85%，医保未报销结算后的赔付比例为80%。</w:t>
      </w:r>
      <w:r/>
    </w:p>
    <w:p>
      <w:pPr>
        <w:ind w:firstLine="480"/>
        <w:jc w:val="left"/>
        <w:keepLines w:val="0"/>
        <w:keepNext w:val="0"/>
        <w:pageBreakBefore w:val="0"/>
        <w:spacing w:line="360" w:lineRule="auto"/>
        <w:widowControl/>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bidi="ar-SA"/>
        </w:rPr>
        <w:t xml:space="preserve">5、双方同意因保险合同引起的纠纷由邳州市人民法院管辖。</w:t>
      </w:r>
      <w:r/>
    </w:p>
    <w:p>
      <w:pPr>
        <w:jc w:val="left"/>
        <w:keepLines w:val="0"/>
        <w:keepNext w:val="0"/>
        <w:pageBreakBefore w:val="0"/>
        <w:spacing w:line="360" w:lineRule="auto"/>
        <w:widowControl/>
        <w:rPr>
          <w:rFonts w:hint="eastAsia" w:ascii="仿宋" w:hAnsi="仿宋" w:eastAsia="仿宋" w:cs="仿宋"/>
          <w:b/>
          <w:bCs/>
          <w:color w:val="auto"/>
          <w:sz w:val="24"/>
          <w:szCs w:val="24"/>
          <w:highlight w:val="none"/>
        </w:rPr>
        <w:outlineLvl w:val="9"/>
      </w:pPr>
      <w:r>
        <w:rPr>
          <w:rFonts w:hint="eastAsia" w:ascii="仿宋" w:hAnsi="仿宋" w:eastAsia="仿宋" w:cs="仿宋"/>
          <w:b/>
          <w:bCs/>
          <w:color w:val="auto"/>
          <w:sz w:val="24"/>
          <w:szCs w:val="24"/>
          <w:highlight w:val="none"/>
          <w:lang w:val="en-US" w:eastAsia="zh-CN" w:bidi="ar-SA"/>
        </w:rPr>
        <w:t xml:space="preserve">五、保险公司要求</w:t>
      </w:r>
      <w:r/>
    </w:p>
    <w:p>
      <w:pPr>
        <w:ind w:firstLine="480"/>
        <w:jc w:val="left"/>
        <w:keepLines w:val="0"/>
        <w:keepNext w:val="0"/>
        <w:pageBreakBefore w:val="0"/>
        <w:spacing w:line="360" w:lineRule="auto"/>
        <w:widowControl/>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bidi="ar-SA"/>
        </w:rPr>
        <w:t xml:space="preserve">1、行业评价较高，具有相关经验；</w:t>
      </w:r>
      <w:r/>
    </w:p>
    <w:p>
      <w:pPr>
        <w:ind w:firstLine="480"/>
        <w:jc w:val="left"/>
        <w:keepLines w:val="0"/>
        <w:keepNext w:val="0"/>
        <w:pageBreakBefore w:val="0"/>
        <w:spacing w:line="360" w:lineRule="auto"/>
        <w:widowControl/>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bidi="ar-SA"/>
        </w:rPr>
        <w:t xml:space="preserve">2、综合赔付能力强，赔付效率高（时间短，手续简化）；</w:t>
      </w:r>
      <w:r/>
    </w:p>
    <w:p>
      <w:pPr>
        <w:ind w:firstLine="480"/>
        <w:jc w:val="left"/>
        <w:keepLines w:val="0"/>
        <w:keepNext w:val="0"/>
        <w:pageBreakBefore w:val="0"/>
        <w:spacing w:line="360" w:lineRule="auto"/>
        <w:widowControl/>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bidi="ar-SA"/>
        </w:rPr>
        <w:t xml:space="preserve">3、网点服务人员业绩好，经验丰富；</w:t>
      </w:r>
      <w:r/>
    </w:p>
    <w:p>
      <w:pPr>
        <w:ind w:firstLine="480"/>
        <w:jc w:val="left"/>
        <w:keepLines w:val="0"/>
        <w:keepNext w:val="0"/>
        <w:pageBreakBefore w:val="0"/>
        <w:spacing w:line="360" w:lineRule="auto"/>
        <w:widowControl/>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bidi="ar-SA"/>
        </w:rPr>
        <w:t xml:space="preserve">4、各项服务更倾向于服务好投保单位；</w:t>
      </w:r>
      <w:r/>
    </w:p>
    <w:p>
      <w:pPr>
        <w:ind w:firstLine="480"/>
        <w:jc w:val="left"/>
        <w:keepLines w:val="0"/>
        <w:keepNext w:val="0"/>
        <w:pageBreakBefore w:val="0"/>
        <w:spacing w:line="360" w:lineRule="auto"/>
        <w:widowControl/>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bidi="ar-SA"/>
        </w:rPr>
        <w:t xml:space="preserve">5、有方便明了医疗补充保险解释和宣传政策，可以真正惠及全体有需求保障对象。</w:t>
      </w:r>
      <w:r/>
    </w:p>
    <w:p>
      <w:pPr>
        <w:jc w:val="left"/>
        <w:keepLines w:val="0"/>
        <w:keepNext w:val="0"/>
        <w:pageBreakBefore w:val="0"/>
        <w:spacing w:line="360" w:lineRule="auto"/>
        <w:widowControl/>
        <w:rPr>
          <w:rFonts w:hint="eastAsia" w:ascii="仿宋" w:hAnsi="仿宋" w:eastAsia="仿宋" w:cs="仿宋"/>
          <w:b/>
          <w:bCs/>
          <w:color w:val="auto"/>
          <w:sz w:val="24"/>
          <w:szCs w:val="24"/>
          <w:highlight w:val="none"/>
        </w:rPr>
        <w:outlineLvl w:val="9"/>
      </w:pPr>
      <w:r>
        <w:rPr>
          <w:rFonts w:hint="eastAsia" w:ascii="仿宋" w:hAnsi="仿宋" w:eastAsia="仿宋" w:cs="仿宋"/>
          <w:b/>
          <w:bCs/>
          <w:color w:val="auto"/>
          <w:sz w:val="24"/>
          <w:szCs w:val="24"/>
          <w:highlight w:val="none"/>
          <w:lang w:val="en-US" w:eastAsia="zh-CN" w:bidi="ar-SA"/>
        </w:rPr>
        <w:t xml:space="preserve">六、项目要求</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bidi="ar-SA"/>
        </w:rPr>
        <w:t xml:space="preserve">1、理赔服务：供应商应对有关出险报案、理赔时间、处理办法及措施上有明确的承诺。</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bidi="ar-SA"/>
        </w:rPr>
        <w:t xml:space="preserve">2、宣传服务：宣传服务成交供应商应根据保险政策及其承诺，配合采购方制定相关保险宣传彩页或其他宣传方式，发放到参保人员手中，使知晓率达到80%以上。</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bidi="ar-SA"/>
        </w:rPr>
        <w:t xml:space="preserve">3、响应文件中所用各条款需充分响应本磋商文件中采购要求。</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bidi="ar-SA"/>
        </w:rPr>
        <w:t xml:space="preserve">4、供应商的承诺不得有违反保险行业相关法律法规内容，否则作为无效投标处理。</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bidi="ar-SA"/>
        </w:rPr>
        <w:t xml:space="preserve">5、成交供应商应明确投保、送交保单、保费缴纳、材料交接、赔款划付等有关工作的具体操作程序和步骤，以利于做好医疗补充保险的服务工作。</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bidi="ar-SA"/>
        </w:rPr>
        <w:t xml:space="preserve">6、</w:t>
      </w:r>
      <w:r>
        <w:rPr>
          <w:rFonts w:hint="eastAsia" w:ascii="仿宋" w:hAnsi="仿宋" w:eastAsia="仿宋" w:cs="仿宋"/>
          <w:b w:val="0"/>
          <w:bCs w:val="0"/>
          <w:color w:val="auto"/>
          <w:sz w:val="24"/>
          <w:szCs w:val="24"/>
          <w:highlight w:val="none"/>
          <w:lang w:val="en-US" w:eastAsia="zh-CN" w:bidi="ar-SA"/>
        </w:rPr>
        <w:t xml:space="preserve">成交供应商在采购方的统一组织协调下，</w:t>
      </w:r>
      <w:r>
        <w:rPr>
          <w:rFonts w:hint="eastAsia" w:ascii="仿宋" w:hAnsi="仿宋" w:eastAsia="仿宋" w:cs="仿宋"/>
          <w:color w:val="auto"/>
          <w:sz w:val="24"/>
          <w:szCs w:val="24"/>
          <w:highlight w:val="none"/>
          <w:lang w:val="en-US" w:eastAsia="zh-CN" w:bidi="ar-SA"/>
        </w:rPr>
        <w:t xml:space="preserve">为参加本保险的被保险人提供全面、便捷、高效的保险服务。协助做好政策宣传、解释等工作。</w:t>
      </w:r>
      <w:r/>
    </w:p>
    <w:p>
      <w:pPr>
        <w:jc w:val="left"/>
        <w:keepLines w:val="0"/>
        <w:keepNext w:val="0"/>
        <w:pageBreakBefore w:val="0"/>
        <w:spacing w:line="360" w:lineRule="auto"/>
        <w:widowControl/>
        <w:rPr>
          <w:rFonts w:hint="eastAsia" w:ascii="仿宋" w:hAnsi="仿宋" w:eastAsia="仿宋" w:cs="仿宋"/>
          <w:b/>
          <w:bCs/>
          <w:color w:val="auto"/>
          <w:sz w:val="24"/>
          <w:szCs w:val="24"/>
          <w:highlight w:val="none"/>
        </w:rPr>
        <w:outlineLvl w:val="9"/>
      </w:pPr>
      <w:r>
        <w:rPr>
          <w:rFonts w:hint="eastAsia" w:ascii="仿宋" w:hAnsi="仿宋" w:eastAsia="仿宋" w:cs="仿宋"/>
          <w:b/>
          <w:bCs/>
          <w:color w:val="auto"/>
          <w:sz w:val="24"/>
          <w:szCs w:val="24"/>
          <w:highlight w:val="none"/>
          <w:lang w:val="en-US" w:eastAsia="zh-CN" w:bidi="ar-SA"/>
        </w:rPr>
        <w:t xml:space="preserve">七、其他要求：</w:t>
      </w:r>
      <w:r>
        <w:rPr>
          <w:rFonts w:hint="eastAsia" w:ascii="仿宋" w:hAnsi="仿宋" w:eastAsia="仿宋" w:cs="仿宋"/>
          <w:b w:val="0"/>
          <w:bCs w:val="0"/>
          <w:color w:val="auto"/>
          <w:sz w:val="24"/>
          <w:szCs w:val="24"/>
          <w:highlight w:val="none"/>
          <w:lang w:val="en-US" w:eastAsia="zh-CN" w:bidi="ar-SA"/>
        </w:rPr>
        <w:t xml:space="preserve">见《合同草案条款》。</w:t>
      </w:r>
      <w:r/>
    </w:p>
    <w:p>
      <w:pPr>
        <w:rPr>
          <w:rStyle w:val="762"/>
          <w:rFonts w:hint="eastAsia" w:ascii="仿宋" w:hAnsi="仿宋" w:eastAsia="仿宋" w:cs="仿宋"/>
          <w:b/>
          <w:bCs/>
          <w:color w:val="auto"/>
          <w:highlight w:val="none"/>
        </w:rPr>
      </w:pPr>
      <w:r>
        <w:rPr>
          <w:rStyle w:val="762"/>
          <w:rFonts w:hint="eastAsia" w:ascii="仿宋" w:hAnsi="仿宋" w:eastAsia="仿宋" w:cs="仿宋"/>
          <w:b/>
          <w:bCs/>
          <w:color w:val="auto"/>
          <w:highlight w:val="none"/>
          <w:lang w:val="en-US" w:eastAsia="zh-CN"/>
        </w:rPr>
        <w:br w:type="page" w:clear="all"/>
      </w:r>
      <w:r/>
    </w:p>
    <w:p>
      <w:pPr>
        <w:pStyle w:val="701"/>
        <w:jc w:val="center"/>
        <w:spacing w:after="120"/>
        <w:rPr>
          <w:rStyle w:val="762"/>
          <w:rFonts w:hint="eastAsia" w:ascii="仿宋" w:hAnsi="仿宋" w:eastAsia="仿宋" w:cs="仿宋"/>
          <w:b/>
          <w:bCs/>
          <w:color w:val="auto"/>
          <w:highlight w:val="none"/>
        </w:rPr>
      </w:pPr>
      <w:r>
        <w:rPr>
          <w:rStyle w:val="762"/>
          <w:rFonts w:hint="eastAsia" w:ascii="仿宋" w:hAnsi="仿宋" w:eastAsia="仿宋" w:cs="仿宋"/>
          <w:b/>
          <w:bCs/>
          <w:color w:val="auto"/>
          <w:highlight w:val="none"/>
          <w:lang w:val="en-US" w:eastAsia="zh-CN"/>
        </w:rPr>
        <w:t xml:space="preserve">第十章 响应文件相关格式</w:t>
      </w:r>
      <w:bookmarkEnd w:id="26"/>
      <w:r/>
      <w:r/>
    </w:p>
    <w:p>
      <w:pPr>
        <w:pStyle w:val="753"/>
        <w:jc w:val="center"/>
        <w:spacing w:line="360" w:lineRule="auto"/>
        <w:widowControl w:val="off"/>
        <w:rPr>
          <w:rFonts w:hint="eastAsia" w:ascii="仿宋" w:hAnsi="仿宋" w:eastAsia="仿宋" w:cs="仿宋"/>
          <w:b w:val="0"/>
          <w:color w:val="auto"/>
          <w:sz w:val="24"/>
          <w:szCs w:val="24"/>
          <w:highlight w:val="none"/>
        </w:rPr>
      </w:pPr>
      <w:r>
        <w:rPr>
          <w:rStyle w:val="1098"/>
          <w:rFonts w:hint="eastAsia" w:ascii="仿宋" w:hAnsi="仿宋" w:eastAsia="仿宋" w:cs="仿宋"/>
          <w:b w:val="0"/>
          <w:color w:val="auto"/>
          <w:sz w:val="24"/>
          <w:szCs w:val="24"/>
          <w:highlight w:val="none"/>
        </w:rPr>
        <w:t xml:space="preserve">（</w:t>
      </w:r>
      <w:r>
        <w:rPr>
          <w:rFonts w:hint="eastAsia" w:ascii="仿宋" w:hAnsi="仿宋" w:eastAsia="仿宋" w:cs="仿宋"/>
          <w:b w:val="0"/>
          <w:color w:val="auto"/>
          <w:sz w:val="24"/>
          <w:szCs w:val="24"/>
          <w:highlight w:val="none"/>
        </w:rPr>
        <w:t xml:space="preserve">本章仅提供响应文件中的部分文件格式，不应被理解为包含了响应文件所需的全部资料）</w:t>
      </w:r>
      <w:r/>
    </w:p>
    <w:p>
      <w:pPr>
        <w:pStyle w:val="753"/>
        <w:ind w:firstLine="113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1.《磋商报价表》</w:t>
      </w:r>
      <w:r/>
    </w:p>
    <w:p>
      <w:pPr>
        <w:pStyle w:val="753"/>
        <w:ind w:firstLine="113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.《分项价格表》</w:t>
      </w:r>
      <w:r/>
    </w:p>
    <w:p>
      <w:pPr>
        <w:pStyle w:val="753"/>
        <w:ind w:firstLine="113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.《偏离表》</w:t>
      </w:r>
      <w:r/>
    </w:p>
    <w:p>
      <w:pPr>
        <w:pStyle w:val="753"/>
        <w:ind w:firstLine="113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.《合同草案条款》</w:t>
      </w:r>
      <w:r/>
    </w:p>
    <w:p>
      <w:pPr>
        <w:pStyle w:val="753"/>
        <w:ind w:firstLine="113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.《承诺书》</w:t>
      </w:r>
      <w:r/>
    </w:p>
    <w:p>
      <w:pPr>
        <w:pStyle w:val="753"/>
        <w:ind w:firstLine="113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.《授权委托书》</w:t>
      </w:r>
      <w:r/>
    </w:p>
    <w:p>
      <w:pPr>
        <w:pStyle w:val="753"/>
        <w:ind w:firstLine="113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.《中小企业声明函》</w:t>
      </w:r>
      <w:r/>
    </w:p>
    <w:p>
      <w:pPr>
        <w:pStyle w:val="753"/>
        <w:ind w:firstLine="113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.《残疾人福利性单位声明函》</w:t>
      </w:r>
      <w:r/>
    </w:p>
    <w:p>
      <w:pPr>
        <w:pStyle w:val="753"/>
        <w:ind w:firstLine="113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.《供应商参加政府采购活动前3年内在经营活动中没有重大违法记录的书面声明》</w:t>
      </w:r>
      <w:r/>
    </w:p>
    <w:p>
      <w:pPr>
        <w:pStyle w:val="753"/>
        <w:ind w:firstLine="113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《具备履行合同所必需的设备和专业技术能力的书面声明》</w:t>
      </w:r>
      <w:r/>
    </w:p>
    <w:p>
      <w:pPr>
        <w:pStyle w:val="753"/>
        <w:ind w:firstLine="113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11.《预付款保函支付条款模板》</w:t>
      </w:r>
      <w:r/>
    </w:p>
    <w:p>
      <w:pPr>
        <w:pStyle w:val="753"/>
        <w:ind w:firstLine="113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12.</w:t>
      </w:r>
      <w:r>
        <w:rPr>
          <w:rFonts w:hint="eastAsia" w:ascii="仿宋" w:hAnsi="仿宋" w:eastAsia="仿宋" w:cs="仿宋"/>
          <w:color w:val="auto"/>
          <w:sz w:val="24"/>
          <w:szCs w:val="24"/>
          <w:highlight w:val="none"/>
        </w:rPr>
        <w:t xml:space="preserve">《代理服务收费标准》</w:t>
      </w:r>
      <w:r/>
    </w:p>
    <w:p>
      <w:pPr>
        <w:pStyle w:val="753"/>
        <w:ind w:firstLine="113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57"/>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pStyle w:val="753"/>
        <w:jc w:val="center"/>
        <w:rPr>
          <w:rFonts w:hint="eastAsia" w:ascii="仿宋" w:hAnsi="仿宋" w:eastAsia="仿宋" w:cs="仿宋"/>
          <w:b/>
          <w:bCs/>
          <w:color w:val="auto"/>
          <w:sz w:val="36"/>
          <w:highlight w:val="none"/>
        </w:rPr>
      </w:pPr>
      <w:r>
        <w:rPr>
          <w:rFonts w:hint="eastAsia" w:ascii="仿宋" w:hAnsi="仿宋" w:eastAsia="仿宋" w:cs="仿宋"/>
          <w:b/>
          <w:color w:val="auto"/>
          <w:sz w:val="36"/>
          <w:highlight w:val="none"/>
          <w:lang w:val="en-US" w:eastAsia="zh-CN"/>
        </w:rPr>
        <w:t xml:space="preserve">1</w:t>
      </w:r>
      <w:r>
        <w:rPr>
          <w:rFonts w:hint="eastAsia" w:ascii="仿宋" w:hAnsi="仿宋" w:eastAsia="仿宋" w:cs="仿宋"/>
          <w:b/>
          <w:color w:val="auto"/>
          <w:sz w:val="36"/>
          <w:highlight w:val="none"/>
        </w:rPr>
        <w:t xml:space="preserve">、磋商</w:t>
      </w:r>
      <w:r>
        <w:rPr>
          <w:rFonts w:hint="eastAsia" w:ascii="仿宋" w:hAnsi="仿宋" w:eastAsia="仿宋" w:cs="仿宋"/>
          <w:b/>
          <w:bCs/>
          <w:color w:val="auto"/>
          <w:sz w:val="36"/>
          <w:highlight w:val="none"/>
        </w:rPr>
        <w:t xml:space="preserve">报价表</w:t>
      </w:r>
      <w:r/>
    </w:p>
    <w:p>
      <w:pPr>
        <w:pStyle w:val="753"/>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本次为首次报价                            货币单位：人民币元</w:t>
      </w:r>
      <w:r/>
    </w:p>
    <w:p>
      <w:pPr>
        <w:pStyle w:val="753"/>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JSZC-320382-GXZB-C2026-0003</w:t>
      </w:r>
      <w:r/>
    </w:p>
    <w:tbl>
      <w:tblPr>
        <w:tblStyle w:val="711"/>
        <w:tblW w:w="9227"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43"/>
        <w:gridCol w:w="1845"/>
        <w:gridCol w:w="1846"/>
        <w:gridCol w:w="2605"/>
        <w:gridCol w:w="1088"/>
      </w:tblGrid>
      <w:tr>
        <w:trPr>
          <w:cantSplit/>
          <w:jc w:val="center"/>
          <w:trHeight w:val="929"/>
        </w:trPr>
        <w:tc>
          <w:tcPr>
            <w:tcW w:w="1843" w:type="dxa"/>
            <w:vAlign w:val="center"/>
            <w:textDirection w:val="lrTb"/>
            <w:noWrap w:val="false"/>
          </w:tcPr>
          <w:p>
            <w:pPr>
              <w:pStyle w:val="753"/>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项目名称</w:t>
            </w:r>
            <w:r/>
          </w:p>
        </w:tc>
        <w:tc>
          <w:tcPr>
            <w:tcW w:w="1845" w:type="dxa"/>
            <w:vAlign w:val="center"/>
            <w:textDirection w:val="lrTb"/>
            <w:noWrap w:val="false"/>
          </w:tcPr>
          <w:p>
            <w:pPr>
              <w:pStyle w:val="753"/>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项目内容</w:t>
            </w:r>
            <w:r/>
          </w:p>
        </w:tc>
        <w:tc>
          <w:tcPr>
            <w:tcW w:w="1846" w:type="dxa"/>
            <w:vAlign w:val="center"/>
            <w:textDirection w:val="lrTb"/>
            <w:noWrap w:val="false"/>
          </w:tcPr>
          <w:p>
            <w:pPr>
              <w:pStyle w:val="753"/>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服务期</w:t>
            </w:r>
            <w:r/>
          </w:p>
        </w:tc>
        <w:tc>
          <w:tcPr>
            <w:tcW w:w="2605" w:type="dxa"/>
            <w:vAlign w:val="center"/>
            <w:textDirection w:val="lrTb"/>
            <w:noWrap w:val="false"/>
          </w:tcPr>
          <w:p>
            <w:pPr>
              <w:pStyle w:val="753"/>
              <w:ind w:left="0" w:right="0"/>
              <w:jc w:val="center"/>
              <w:keepLines w:val="0"/>
              <w:keepNext w:val="0"/>
              <w:spacing w:before="0" w:beforeAutospacing="0" w:after="0" w:afterAutospacing="0" w:line="520" w:lineRule="exact"/>
              <w:rPr>
                <w:rFonts w:hint="default"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总价（小写）</w:t>
            </w:r>
            <w:r/>
          </w:p>
        </w:tc>
        <w:tc>
          <w:tcPr>
            <w:tcW w:w="1088" w:type="dxa"/>
            <w:vAlign w:val="center"/>
            <w:textDirection w:val="lrTb"/>
            <w:noWrap w:val="false"/>
          </w:tcPr>
          <w:p>
            <w:pPr>
              <w:pStyle w:val="753"/>
              <w:ind w:left="0" w:right="0"/>
              <w:jc w:val="center"/>
              <w:keepLines w:val="0"/>
              <w:keepNext w:val="0"/>
              <w:spacing w:before="0" w:beforeAutospacing="0" w:after="0" w:afterAutospacing="0" w:line="520" w:lineRule="exact"/>
              <w:rPr>
                <w:rFonts w:hint="default"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备注</w:t>
            </w:r>
            <w:r/>
          </w:p>
        </w:tc>
      </w:tr>
      <w:tr>
        <w:trPr>
          <w:cantSplit/>
          <w:jc w:val="center"/>
          <w:trHeight w:val="1770"/>
        </w:trPr>
        <w:tc>
          <w:tcPr>
            <w:tcW w:w="1843" w:type="dxa"/>
            <w:vAlign w:val="center"/>
            <w:textDirection w:val="lrTb"/>
            <w:noWrap w:val="false"/>
          </w:tcPr>
          <w:p>
            <w:pPr>
              <w:pStyle w:val="753"/>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eastAsia="zh-CN"/>
              </w:rPr>
              <w:t xml:space="preserve">邳州市退役军人事务局重点优抚对象住院医疗商业保险</w:t>
            </w:r>
            <w:r/>
          </w:p>
        </w:tc>
        <w:tc>
          <w:tcPr>
            <w:tcW w:w="1845" w:type="dxa"/>
            <w:vAlign w:val="center"/>
            <w:textDirection w:val="lrTb"/>
            <w:noWrap w:val="false"/>
          </w:tcPr>
          <w:p>
            <w:pPr>
              <w:pStyle w:val="753"/>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详见</w:t>
            </w:r>
            <w:r>
              <w:rPr>
                <w:rFonts w:hint="eastAsia" w:ascii="仿宋" w:hAnsi="仿宋" w:eastAsia="仿宋" w:cs="仿宋"/>
                <w:bCs/>
                <w:color w:val="auto"/>
                <w:sz w:val="24"/>
                <w:szCs w:val="24"/>
                <w:highlight w:val="none"/>
              </w:rPr>
              <w:t xml:space="preserve">响应文件</w:t>
            </w:r>
            <w:r/>
          </w:p>
        </w:tc>
        <w:tc>
          <w:tcPr>
            <w:tcW w:w="1846" w:type="dxa"/>
            <w:vAlign w:val="center"/>
            <w:textDirection w:val="lrTb"/>
            <w:noWrap w:val="false"/>
          </w:tcPr>
          <w:p>
            <w:pPr>
              <w:pStyle w:val="753"/>
              <w:ind w:left="0" w:right="0"/>
              <w:jc w:val="center"/>
              <w:keepLines w:val="0"/>
              <w:keepNext w:val="0"/>
              <w:spacing w:before="0" w:beforeAutospacing="0" w:after="0" w:afterAutospacing="0" w:line="520" w:lineRule="exact"/>
              <w:rPr>
                <w:rFonts w:hint="default" w:ascii="仿宋" w:hAnsi="仿宋" w:eastAsia="仿宋" w:cs="仿宋"/>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rPr>
              <w:t xml:space="preserve">三年</w:t>
            </w:r>
            <w:r/>
          </w:p>
        </w:tc>
        <w:tc>
          <w:tcPr>
            <w:tcW w:w="2605" w:type="dxa"/>
            <w:vAlign w:val="center"/>
            <w:textDirection w:val="lrTb"/>
            <w:noWrap w:val="false"/>
          </w:tcPr>
          <w:p>
            <w:pPr>
              <w:pStyle w:val="753"/>
              <w:ind w:left="0" w:right="0"/>
              <w:jc w:val="center"/>
              <w:keepLines w:val="0"/>
              <w:keepNext w:val="0"/>
              <w:spacing w:before="0" w:beforeAutospacing="0" w:after="0" w:afterAutospacing="0" w:line="520" w:lineRule="exact"/>
              <w:rPr>
                <w:rFonts w:hint="default" w:ascii="仿宋" w:hAnsi="仿宋" w:eastAsia="仿宋" w:cs="仿宋"/>
                <w:b w:val="0"/>
                <w:bCs w:val="0"/>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2250000.00</w:t>
            </w:r>
            <w:r/>
          </w:p>
        </w:tc>
        <w:tc>
          <w:tcPr>
            <w:tcW w:w="1088" w:type="dxa"/>
            <w:vAlign w:val="center"/>
            <w:vMerge w:val="restart"/>
            <w:textDirection w:val="lrTb"/>
            <w:noWrap w:val="false"/>
          </w:tcPr>
          <w:p>
            <w:pPr>
              <w:pStyle w:val="753"/>
              <w:ind w:left="0" w:right="0"/>
              <w:jc w:val="both"/>
              <w:keepLines w:val="0"/>
              <w:keepNext w:val="0"/>
              <w:spacing w:before="0" w:beforeAutospacing="0" w:after="0" w:afterAutospacing="0" w:line="520" w:lineRule="exact"/>
              <w:rPr>
                <w:rFonts w:hint="default" w:ascii="仿宋" w:hAnsi="仿宋" w:eastAsia="仿宋" w:cs="仿宋"/>
                <w:color w:val="auto"/>
                <w:sz w:val="24"/>
                <w:szCs w:val="24"/>
                <w:highlight w:val="none"/>
              </w:rPr>
              <w:suppressLineNumbers w:val="0"/>
            </w:pPr>
            <w:r>
              <w:rPr>
                <w:rFonts w:hint="default" w:ascii="仿宋" w:hAnsi="仿宋" w:eastAsia="仿宋" w:cs="仿宋"/>
                <w:color w:val="auto"/>
                <w:sz w:val="24"/>
                <w:szCs w:val="24"/>
                <w:highlight w:val="none"/>
              </w:rPr>
            </w:r>
            <w:r/>
          </w:p>
        </w:tc>
      </w:tr>
      <w:tr>
        <w:trPr>
          <w:cantSplit/>
          <w:jc w:val="center"/>
          <w:trHeight w:val="1091"/>
        </w:trPr>
        <w:tc>
          <w:tcPr>
            <w:tcW w:w="1843" w:type="dxa"/>
            <w:vAlign w:val="center"/>
            <w:textDirection w:val="lrTb"/>
            <w:noWrap w:val="false"/>
          </w:tcPr>
          <w:p>
            <w:pPr>
              <w:pStyle w:val="753"/>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总</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价</w:t>
            </w:r>
            <w:r/>
          </w:p>
          <w:p>
            <w:pPr>
              <w:pStyle w:val="753"/>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（大写）</w:t>
            </w:r>
            <w:r/>
          </w:p>
        </w:tc>
        <w:tc>
          <w:tcPr>
            <w:gridSpan w:val="3"/>
            <w:tcW w:w="6296" w:type="dxa"/>
            <w:vAlign w:val="center"/>
            <w:textDirection w:val="lrTb"/>
            <w:noWrap w:val="false"/>
          </w:tcPr>
          <w:p>
            <w:pPr>
              <w:pStyle w:val="753"/>
              <w:ind w:left="0" w:right="0"/>
              <w:jc w:val="center"/>
              <w:keepLines w:val="0"/>
              <w:keepNext w:val="0"/>
              <w:spacing w:before="0" w:beforeAutospacing="0" w:after="0" w:afterAutospacing="0" w:line="520" w:lineRule="exact"/>
              <w:rPr>
                <w:rFonts w:hint="default"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贰佰贰拾伍万元</w:t>
            </w:r>
            <w:r/>
          </w:p>
        </w:tc>
        <w:tc>
          <w:tcPr>
            <w:tcW w:w="1088" w:type="dxa"/>
            <w:vAlign w:val="center"/>
            <w:vMerge w:val="continue"/>
            <w:textDirection w:val="lrTb"/>
            <w:noWrap w:val="false"/>
          </w:tcPr>
          <w:p>
            <w:pPr>
              <w:pStyle w:val="753"/>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tc>
      </w:tr>
    </w:tbl>
    <w:p>
      <w:pPr>
        <w:pStyle w:val="753"/>
        <w:ind w:right="-34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报价说明：</w:t>
      </w:r>
      <w:r/>
    </w:p>
    <w:p>
      <w:pPr>
        <w:pStyle w:val="753"/>
        <w:numPr>
          <w:ilvl w:val="0"/>
          <w:numId w:val="0"/>
        </w:numPr>
        <w:ind w:right="-340" w:firstLine="560"/>
        <w:spacing w:line="5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lang w:val="en-US" w:eastAsia="zh-CN" w:bidi="ar-SA"/>
        </w:rPr>
        <w:t xml:space="preserve">1、</w:t>
      </w:r>
      <w:r>
        <w:rPr>
          <w:rFonts w:hint="eastAsia" w:ascii="仿宋" w:hAnsi="仿宋" w:eastAsia="仿宋" w:cs="仿宋"/>
          <w:b/>
          <w:bCs/>
          <w:color w:val="auto"/>
          <w:sz w:val="24"/>
          <w:szCs w:val="24"/>
          <w:highlight w:val="none"/>
          <w:lang w:eastAsia="zh-CN"/>
        </w:rPr>
        <w:t xml:space="preserve">本项目采用固定价格采购的项目，</w:t>
      </w:r>
      <w:r>
        <w:rPr>
          <w:rFonts w:hint="eastAsia" w:ascii="仿宋" w:hAnsi="仿宋" w:eastAsia="仿宋" w:cs="仿宋"/>
          <w:b/>
          <w:bCs/>
          <w:color w:val="auto"/>
          <w:sz w:val="24"/>
          <w:szCs w:val="24"/>
          <w:highlight w:val="none"/>
          <w:lang w:val="en-US" w:eastAsia="zh-CN"/>
        </w:rPr>
        <w:t xml:space="preserve">单价为300元/人/年，约2500人，年保费75万元，服务期3年，预算总价为225万元。</w:t>
      </w:r>
      <w:r/>
    </w:p>
    <w:p>
      <w:pPr>
        <w:pStyle w:val="753"/>
        <w:numPr>
          <w:ilvl w:val="0"/>
          <w:numId w:val="0"/>
        </w:numPr>
        <w:ind w:right="-340" w:firstLine="560"/>
        <w:spacing w:line="520" w:lineRule="exact"/>
        <w:rPr>
          <w:rFonts w:hint="default" w:ascii="仿宋" w:hAnsi="仿宋" w:eastAsia="仿宋" w:cs="仿宋"/>
          <w:b/>
          <w:bCs/>
          <w:color w:val="auto"/>
          <w:sz w:val="24"/>
          <w:szCs w:val="24"/>
          <w:highlight w:val="none"/>
        </w:rPr>
      </w:pPr>
      <w:r>
        <w:rPr>
          <w:rFonts w:hint="default" w:ascii="仿宋" w:hAnsi="仿宋" w:eastAsia="仿宋" w:cs="仿宋"/>
          <w:b/>
          <w:bCs/>
          <w:color w:val="auto"/>
          <w:sz w:val="24"/>
          <w:szCs w:val="24"/>
          <w:lang w:val="en-US" w:eastAsia="zh-CN" w:bidi="ar-SA"/>
        </w:rPr>
        <w:t xml:space="preserve">2、</w:t>
      </w:r>
      <w:r>
        <w:rPr>
          <w:rFonts w:hint="eastAsia" w:ascii="仿宋" w:hAnsi="仿宋" w:eastAsia="仿宋" w:cs="仿宋"/>
          <w:b/>
          <w:bCs/>
          <w:color w:val="auto"/>
          <w:sz w:val="24"/>
          <w:szCs w:val="24"/>
          <w:highlight w:val="none"/>
          <w:lang w:val="en-US" w:eastAsia="zh-CN"/>
        </w:rPr>
        <w:t xml:space="preserve">苏彩云系统报价表填写总价225万元。</w:t>
      </w:r>
      <w:r/>
    </w:p>
    <w:p>
      <w:pPr>
        <w:pStyle w:val="753"/>
        <w:ind w:right="-340" w:firstLine="56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报价包括完成项目的所有费用。采购人不再支付报价以外的任何费用。</w:t>
      </w:r>
      <w:r/>
    </w:p>
    <w:p>
      <w:pPr>
        <w:pStyle w:val="753"/>
        <w:ind w:right="-340" w:firstLine="56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、报价以单价汇总为准，大小写不一致以大写为准；</w:t>
      </w:r>
      <w:r/>
    </w:p>
    <w:p>
      <w:pPr>
        <w:pStyle w:val="753"/>
        <w:ind w:right="29" w:firstLine="350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53"/>
        <w:ind w:right="29" w:firstLine="350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53"/>
        <w:ind w:right="29" w:firstLine="196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供应商（公章）：</w:t>
      </w:r>
      <w:r/>
    </w:p>
    <w:p>
      <w:pPr>
        <w:pStyle w:val="753"/>
        <w:ind w:right="29" w:firstLine="196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法定代表人（负责人）或授权代表（签字或盖章）：  </w:t>
      </w:r>
      <w:r/>
    </w:p>
    <w:p>
      <w:pPr>
        <w:pStyle w:val="753"/>
        <w:ind w:right="29" w:firstLine="1960"/>
        <w:spacing w:line="520" w:lineRule="exac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日期：</w:t>
      </w:r>
      <w:r/>
    </w:p>
    <w:p>
      <w:pPr>
        <w:pStyle w:val="753"/>
        <w:jc w:val="center"/>
        <w:spacing w:line="52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cs="仿宋"/>
          <w:b/>
          <w:color w:val="auto"/>
          <w:sz w:val="36"/>
          <w:highlight w:val="none"/>
          <w:lang w:val="en-US" w:eastAsia="zh-CN"/>
        </w:rPr>
        <w:t xml:space="preserve">2</w:t>
      </w:r>
      <w:r>
        <w:rPr>
          <w:rFonts w:hint="eastAsia" w:ascii="仿宋" w:hAnsi="仿宋" w:eastAsia="仿宋" w:cs="仿宋"/>
          <w:b/>
          <w:color w:val="auto"/>
          <w:sz w:val="36"/>
          <w:highlight w:val="none"/>
        </w:rPr>
        <w:t xml:space="preserve">．分项价格表</w:t>
      </w:r>
      <w:r/>
    </w:p>
    <w:p>
      <w:pPr>
        <w:pStyle w:val="753"/>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JSZC-320382-GXZB-C2026-0003</w:t>
      </w:r>
      <w:r>
        <w:rPr>
          <w:rFonts w:hint="eastAsia" w:ascii="仿宋" w:hAnsi="仿宋" w:eastAsia="仿宋" w:cs="仿宋"/>
          <w:color w:val="auto"/>
          <w:sz w:val="24"/>
          <w:szCs w:val="24"/>
          <w:highlight w:val="none"/>
        </w:rPr>
        <w:t xml:space="preserve">            </w:t>
      </w:r>
      <w:r/>
    </w:p>
    <w:p>
      <w:pPr>
        <w:pStyle w:val="753"/>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bl>
      <w:tblPr>
        <w:tblStyle w:val="711"/>
        <w:tblW w:w="8978"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776"/>
        <w:gridCol w:w="1276"/>
        <w:gridCol w:w="1276"/>
        <w:gridCol w:w="1546"/>
        <w:gridCol w:w="958"/>
        <w:gridCol w:w="970"/>
        <w:gridCol w:w="1461"/>
        <w:gridCol w:w="716"/>
      </w:tblGrid>
      <w:tr>
        <w:trPr>
          <w:cantSplit/>
          <w:jc w:val="center"/>
          <w:trHeight w:val="929"/>
        </w:trPr>
        <w:tc>
          <w:tcPr>
            <w:tcW w:w="776" w:type="dxa"/>
            <w:vAlign w:val="center"/>
            <w:textDirection w:val="lrTb"/>
            <w:noWrap w:val="false"/>
          </w:tcPr>
          <w:p>
            <w:pPr>
              <w:pStyle w:val="753"/>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序号</w:t>
            </w:r>
            <w:r/>
          </w:p>
        </w:tc>
        <w:tc>
          <w:tcPr>
            <w:tcW w:w="1276" w:type="dxa"/>
            <w:vAlign w:val="center"/>
            <w:textDirection w:val="lrTb"/>
            <w:noWrap w:val="false"/>
          </w:tcPr>
          <w:p>
            <w:pPr>
              <w:pStyle w:val="753"/>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保险</w:t>
            </w:r>
            <w:r>
              <w:rPr>
                <w:rFonts w:hint="eastAsia" w:ascii="仿宋" w:hAnsi="仿宋" w:eastAsia="仿宋" w:cs="仿宋"/>
                <w:color w:val="auto"/>
                <w:sz w:val="24"/>
                <w:szCs w:val="24"/>
                <w:highlight w:val="none"/>
              </w:rPr>
              <w:t xml:space="preserve">项目</w:t>
            </w:r>
            <w:r/>
          </w:p>
        </w:tc>
        <w:tc>
          <w:tcPr>
            <w:tcW w:w="1276" w:type="dxa"/>
            <w:vAlign w:val="center"/>
            <w:textDirection w:val="lrTb"/>
            <w:noWrap w:val="false"/>
          </w:tcPr>
          <w:p>
            <w:pPr>
              <w:pStyle w:val="753"/>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项目内容</w:t>
            </w:r>
            <w:r/>
          </w:p>
        </w:tc>
        <w:tc>
          <w:tcPr>
            <w:tcW w:w="1546" w:type="dxa"/>
            <w:vAlign w:val="center"/>
            <w:textDirection w:val="lrTb"/>
            <w:noWrap w:val="false"/>
          </w:tcPr>
          <w:p>
            <w:pPr>
              <w:pStyle w:val="753"/>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单价</w:t>
            </w:r>
            <w:r/>
          </w:p>
        </w:tc>
        <w:tc>
          <w:tcPr>
            <w:tcW w:w="958" w:type="dxa"/>
            <w:vAlign w:val="center"/>
            <w:textDirection w:val="lrTb"/>
            <w:noWrap w:val="false"/>
          </w:tcPr>
          <w:p>
            <w:pPr>
              <w:pStyle w:val="753"/>
              <w:ind w:left="0" w:right="0"/>
              <w:jc w:val="center"/>
              <w:keepLines w:val="0"/>
              <w:keepNext w:val="0"/>
              <w:spacing w:before="0" w:beforeAutospacing="0" w:after="0" w:afterAutospacing="0" w:line="520" w:lineRule="exact"/>
              <w:rPr>
                <w:rFonts w:hint="default"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人数</w:t>
            </w:r>
            <w:r/>
          </w:p>
        </w:tc>
        <w:tc>
          <w:tcPr>
            <w:tcW w:w="970" w:type="dxa"/>
            <w:vAlign w:val="center"/>
            <w:textDirection w:val="lrTb"/>
            <w:noWrap w:val="false"/>
          </w:tcPr>
          <w:p>
            <w:pPr>
              <w:pStyle w:val="753"/>
              <w:ind w:left="0" w:right="0"/>
              <w:jc w:val="center"/>
              <w:keepLines w:val="0"/>
              <w:keepNext w:val="0"/>
              <w:spacing w:before="0" w:beforeAutospacing="0" w:after="0" w:afterAutospacing="0" w:line="520" w:lineRule="exact"/>
              <w:rPr>
                <w:rFonts w:hint="default"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服务期</w:t>
            </w:r>
            <w:r/>
          </w:p>
        </w:tc>
        <w:tc>
          <w:tcPr>
            <w:tcW w:w="1461" w:type="dxa"/>
            <w:vAlign w:val="center"/>
            <w:textDirection w:val="lrTb"/>
            <w:noWrap w:val="false"/>
          </w:tcPr>
          <w:p>
            <w:pPr>
              <w:pStyle w:val="753"/>
              <w:ind w:left="0" w:right="0"/>
              <w:jc w:val="center"/>
              <w:keepLines w:val="0"/>
              <w:keepNext w:val="0"/>
              <w:spacing w:before="0" w:beforeAutospacing="0" w:after="0" w:afterAutospacing="0" w:line="520" w:lineRule="exact"/>
              <w:rPr>
                <w:rFonts w:hint="default"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总价</w:t>
            </w:r>
            <w:r/>
          </w:p>
        </w:tc>
        <w:tc>
          <w:tcPr>
            <w:tcW w:w="716" w:type="dxa"/>
            <w:vAlign w:val="center"/>
            <w:textDirection w:val="lrTb"/>
            <w:noWrap w:val="false"/>
          </w:tcPr>
          <w:p>
            <w:pPr>
              <w:pStyle w:val="753"/>
              <w:ind w:left="0" w:right="0"/>
              <w:jc w:val="center"/>
              <w:keepLines w:val="0"/>
              <w:keepNext w:val="0"/>
              <w:spacing w:before="0" w:beforeAutospacing="0" w:after="0" w:afterAutospacing="0" w:line="520" w:lineRule="exact"/>
              <w:rPr>
                <w:rFonts w:hint="default"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备注</w:t>
            </w:r>
            <w:r/>
          </w:p>
        </w:tc>
      </w:tr>
      <w:tr>
        <w:trPr>
          <w:cantSplit/>
          <w:jc w:val="center"/>
          <w:trHeight w:val="90"/>
        </w:trPr>
        <w:tc>
          <w:tcPr>
            <w:tcW w:w="776" w:type="dxa"/>
            <w:vAlign w:val="center"/>
            <w:textDirection w:val="lrTb"/>
            <w:noWrap w:val="false"/>
          </w:tcPr>
          <w:p>
            <w:pPr>
              <w:pStyle w:val="753"/>
              <w:ind w:left="0" w:right="0"/>
              <w:jc w:val="center"/>
              <w:keepLines w:val="0"/>
              <w:keepNext w:val="0"/>
              <w:spacing w:before="0" w:beforeAutospacing="0" w:after="0" w:afterAutospacing="0" w:line="520" w:lineRule="exact"/>
              <w:rPr>
                <w:rFonts w:hint="default"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1</w:t>
            </w:r>
            <w:r/>
          </w:p>
        </w:tc>
        <w:tc>
          <w:tcPr>
            <w:tcW w:w="1276" w:type="dxa"/>
            <w:vAlign w:val="center"/>
            <w:textDirection w:val="lrTb"/>
            <w:noWrap w:val="false"/>
          </w:tcPr>
          <w:p>
            <w:pPr>
              <w:pStyle w:val="753"/>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76" w:type="dxa"/>
            <w:vAlign w:val="center"/>
            <w:textDirection w:val="lrTb"/>
            <w:noWrap w:val="false"/>
          </w:tcPr>
          <w:p>
            <w:pPr>
              <w:pStyle w:val="753"/>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546" w:type="dxa"/>
            <w:vAlign w:val="center"/>
            <w:vMerge w:val="restart"/>
            <w:textDirection w:val="lrTb"/>
            <w:noWrap w:val="false"/>
          </w:tcPr>
          <w:p>
            <w:pPr>
              <w:pStyle w:val="753"/>
              <w:ind w:left="0" w:right="0"/>
              <w:jc w:val="left"/>
              <w:keepLines w:val="0"/>
              <w:keepNext w:val="0"/>
              <w:spacing w:before="0" w:beforeAutospacing="0" w:after="0" w:afterAutospacing="0" w:line="520" w:lineRule="exact"/>
              <w:rPr>
                <w:rFonts w:hint="default"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300元</w:t>
            </w:r>
            <w:r>
              <w:rPr>
                <w:rFonts w:hint="eastAsia" w:ascii="仿宋" w:hAnsi="仿宋" w:eastAsia="仿宋" w:cs="仿宋"/>
                <w:b w:val="0"/>
                <w:bCs w:val="0"/>
                <w:color w:val="auto"/>
                <w:sz w:val="24"/>
                <w:szCs w:val="24"/>
                <w:highlight w:val="none"/>
                <w:lang w:val="en-US" w:eastAsia="zh-CN"/>
              </w:rPr>
              <w:t xml:space="preserve">/人/年</w:t>
            </w:r>
            <w:r/>
          </w:p>
        </w:tc>
        <w:tc>
          <w:tcPr>
            <w:tcW w:w="958" w:type="dxa"/>
            <w:vAlign w:val="center"/>
            <w:vMerge w:val="restart"/>
            <w:textDirection w:val="lrTb"/>
            <w:noWrap w:val="false"/>
          </w:tcPr>
          <w:p>
            <w:pPr>
              <w:pStyle w:val="753"/>
              <w:ind w:left="0" w:right="0"/>
              <w:jc w:val="center"/>
              <w:keepLines w:val="0"/>
              <w:keepNext w:val="0"/>
              <w:spacing w:before="0" w:beforeAutospacing="0" w:after="0" w:afterAutospacing="0" w:line="520" w:lineRule="exact"/>
              <w:rPr>
                <w:rFonts w:hint="default"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2500人</w:t>
            </w:r>
            <w:r/>
          </w:p>
        </w:tc>
        <w:tc>
          <w:tcPr>
            <w:tcW w:w="970" w:type="dxa"/>
            <w:vAlign w:val="center"/>
            <w:vMerge w:val="restart"/>
            <w:textDirection w:val="lrTb"/>
            <w:noWrap w:val="false"/>
          </w:tcPr>
          <w:p>
            <w:pPr>
              <w:pStyle w:val="753"/>
              <w:ind w:left="0" w:right="0"/>
              <w:jc w:val="center"/>
              <w:keepLines w:val="0"/>
              <w:keepNext w:val="0"/>
              <w:spacing w:before="0" w:beforeAutospacing="0" w:after="0" w:afterAutospacing="0" w:line="520" w:lineRule="exact"/>
              <w:rPr>
                <w:rFonts w:hint="default"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三年</w:t>
            </w:r>
            <w:r/>
          </w:p>
        </w:tc>
        <w:tc>
          <w:tcPr>
            <w:tcW w:w="1461" w:type="dxa"/>
            <w:vAlign w:val="center"/>
            <w:vMerge w:val="restart"/>
            <w:textDirection w:val="lrTb"/>
            <w:noWrap w:val="false"/>
          </w:tcPr>
          <w:p>
            <w:pPr>
              <w:pStyle w:val="753"/>
              <w:ind w:left="0" w:right="0"/>
              <w:jc w:val="center"/>
              <w:keepLines w:val="0"/>
              <w:keepNext w:val="0"/>
              <w:spacing w:before="0" w:beforeAutospacing="0" w:after="0" w:afterAutospacing="0" w:line="520" w:lineRule="exact"/>
              <w:rPr>
                <w:rFonts w:hint="default"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rPr>
              <w:t xml:space="preserve">2250000.00</w:t>
            </w:r>
            <w:r/>
          </w:p>
        </w:tc>
        <w:tc>
          <w:tcPr>
            <w:tcW w:w="716" w:type="dxa"/>
            <w:vAlign w:val="center"/>
            <w:vMerge w:val="restart"/>
            <w:textDirection w:val="lrTb"/>
            <w:noWrap w:val="false"/>
          </w:tcPr>
          <w:p>
            <w:pPr>
              <w:pStyle w:val="753"/>
              <w:ind w:left="0" w:right="0"/>
              <w:jc w:val="both"/>
              <w:keepLines w:val="0"/>
              <w:keepNext w:val="0"/>
              <w:spacing w:before="0" w:beforeAutospacing="0" w:after="0" w:afterAutospacing="0" w:line="520" w:lineRule="exact"/>
              <w:rPr>
                <w:rFonts w:hint="default" w:ascii="仿宋" w:hAnsi="仿宋" w:eastAsia="仿宋" w:cs="仿宋"/>
                <w:color w:val="auto"/>
                <w:sz w:val="24"/>
                <w:szCs w:val="24"/>
                <w:highlight w:val="none"/>
              </w:rPr>
              <w:suppressLineNumbers w:val="0"/>
            </w:pPr>
            <w:r>
              <w:rPr>
                <w:rFonts w:hint="default" w:ascii="仿宋" w:hAnsi="仿宋" w:eastAsia="仿宋" w:cs="仿宋"/>
                <w:color w:val="auto"/>
                <w:sz w:val="24"/>
                <w:szCs w:val="24"/>
                <w:highlight w:val="none"/>
              </w:rPr>
            </w:r>
            <w:r/>
          </w:p>
        </w:tc>
      </w:tr>
      <w:tr>
        <w:trPr>
          <w:cantSplit/>
          <w:jc w:val="center"/>
          <w:trHeight w:val="547"/>
        </w:trPr>
        <w:tc>
          <w:tcPr>
            <w:tcW w:w="776" w:type="dxa"/>
            <w:vAlign w:val="center"/>
            <w:textDirection w:val="lrTb"/>
            <w:noWrap w:val="false"/>
          </w:tcPr>
          <w:p>
            <w:pPr>
              <w:pStyle w:val="753"/>
              <w:ind w:left="0" w:right="0"/>
              <w:jc w:val="center"/>
              <w:keepLines w:val="0"/>
              <w:keepNext w:val="0"/>
              <w:spacing w:before="0" w:beforeAutospacing="0" w:after="0" w:afterAutospacing="0" w:line="520" w:lineRule="exact"/>
              <w:rPr>
                <w:rFonts w:hint="default"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2</w:t>
            </w:r>
            <w:r/>
          </w:p>
        </w:tc>
        <w:tc>
          <w:tcPr>
            <w:tcW w:w="1276" w:type="dxa"/>
            <w:vAlign w:val="center"/>
            <w:textDirection w:val="lrTb"/>
            <w:noWrap w:val="false"/>
          </w:tcPr>
          <w:p>
            <w:pPr>
              <w:pStyle w:val="753"/>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76" w:type="dxa"/>
            <w:vAlign w:val="center"/>
            <w:textDirection w:val="lrTb"/>
            <w:noWrap w:val="false"/>
          </w:tcPr>
          <w:p>
            <w:pPr>
              <w:pStyle w:val="753"/>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546" w:type="dxa"/>
            <w:vAlign w:val="center"/>
            <w:vMerge w:val="continue"/>
            <w:textDirection w:val="lrTb"/>
            <w:noWrap w:val="false"/>
          </w:tcPr>
          <w:p>
            <w:pPr>
              <w:pStyle w:val="753"/>
              <w:ind w:left="0" w:right="0"/>
              <w:jc w:val="center"/>
              <w:keepLines w:val="0"/>
              <w:keepNext w:val="0"/>
              <w:spacing w:before="0" w:beforeAutospacing="0" w:after="0" w:afterAutospacing="0" w:line="520" w:lineRule="exact"/>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r>
            <w:r/>
          </w:p>
        </w:tc>
        <w:tc>
          <w:tcPr>
            <w:tcW w:w="958" w:type="dxa"/>
            <w:vAlign w:val="center"/>
            <w:vMerge w:val="continue"/>
            <w:textDirection w:val="lrTb"/>
            <w:noWrap w:val="false"/>
          </w:tcPr>
          <w:p>
            <w:pPr>
              <w:pStyle w:val="753"/>
              <w:ind w:left="0" w:right="0"/>
              <w:jc w:val="center"/>
              <w:keepLines w:val="0"/>
              <w:keepNext w:val="0"/>
              <w:spacing w:before="0" w:beforeAutospacing="0" w:after="0" w:afterAutospacing="0" w:line="520" w:lineRule="exact"/>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r>
            <w:r/>
          </w:p>
        </w:tc>
        <w:tc>
          <w:tcPr>
            <w:tcW w:w="970" w:type="dxa"/>
            <w:vAlign w:val="center"/>
            <w:vMerge w:val="continue"/>
            <w:textDirection w:val="lrTb"/>
            <w:noWrap w:val="false"/>
          </w:tcPr>
          <w:p>
            <w:pPr>
              <w:pStyle w:val="753"/>
              <w:ind w:left="0" w:right="0"/>
              <w:jc w:val="center"/>
              <w:keepLines w:val="0"/>
              <w:keepNext w:val="0"/>
              <w:spacing w:before="0" w:beforeAutospacing="0" w:after="0" w:afterAutospacing="0" w:line="520" w:lineRule="exact"/>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r>
            <w:r/>
          </w:p>
        </w:tc>
        <w:tc>
          <w:tcPr>
            <w:tcW w:w="1461" w:type="dxa"/>
            <w:vAlign w:val="center"/>
            <w:vMerge w:val="continue"/>
            <w:textDirection w:val="lrTb"/>
            <w:noWrap w:val="false"/>
          </w:tcPr>
          <w:p>
            <w:pPr>
              <w:pStyle w:val="753"/>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tc>
        <w:tc>
          <w:tcPr>
            <w:tcW w:w="716" w:type="dxa"/>
            <w:vAlign w:val="center"/>
            <w:vMerge w:val="continue"/>
            <w:textDirection w:val="lrTb"/>
            <w:noWrap w:val="false"/>
          </w:tcPr>
          <w:p>
            <w:pPr>
              <w:pStyle w:val="753"/>
              <w:ind w:left="0" w:right="0"/>
              <w:jc w:val="both"/>
              <w:keepLines w:val="0"/>
              <w:keepNext w:val="0"/>
              <w:spacing w:before="0" w:beforeAutospacing="0" w:after="0" w:afterAutospacing="0" w:line="520" w:lineRule="exact"/>
              <w:rPr>
                <w:rFonts w:hint="default" w:ascii="仿宋" w:hAnsi="仿宋" w:eastAsia="仿宋" w:cs="仿宋"/>
                <w:color w:val="auto"/>
                <w:sz w:val="24"/>
                <w:szCs w:val="24"/>
                <w:highlight w:val="none"/>
                <w:lang w:val="en-US" w:eastAsia="zh-CN"/>
              </w:rPr>
              <w:suppressLineNumbers w:val="0"/>
            </w:pPr>
            <w:r>
              <w:rPr>
                <w:rFonts w:hint="default" w:ascii="仿宋" w:hAnsi="仿宋" w:eastAsia="仿宋" w:cs="仿宋"/>
                <w:color w:val="auto"/>
                <w:sz w:val="24"/>
                <w:szCs w:val="24"/>
                <w:highlight w:val="none"/>
                <w:lang w:val="en-US" w:eastAsia="zh-CN"/>
              </w:rPr>
            </w:r>
            <w:r/>
          </w:p>
        </w:tc>
      </w:tr>
      <w:tr>
        <w:trPr>
          <w:cantSplit/>
          <w:jc w:val="center"/>
          <w:trHeight w:val="435"/>
        </w:trPr>
        <w:tc>
          <w:tcPr>
            <w:tcW w:w="776" w:type="dxa"/>
            <w:vAlign w:val="center"/>
            <w:textDirection w:val="lrTb"/>
            <w:noWrap w:val="false"/>
          </w:tcPr>
          <w:p>
            <w:pPr>
              <w:pStyle w:val="753"/>
              <w:ind w:left="0" w:right="0"/>
              <w:jc w:val="center"/>
              <w:keepLines w:val="0"/>
              <w:keepNext w:val="0"/>
              <w:spacing w:before="0" w:beforeAutospacing="0" w:after="0" w:afterAutospacing="0" w:line="520" w:lineRule="exact"/>
              <w:rPr>
                <w:rFonts w:hint="default"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3</w:t>
            </w:r>
            <w:r/>
          </w:p>
        </w:tc>
        <w:tc>
          <w:tcPr>
            <w:tcW w:w="1276" w:type="dxa"/>
            <w:vAlign w:val="center"/>
            <w:textDirection w:val="lrTb"/>
            <w:noWrap w:val="false"/>
          </w:tcPr>
          <w:p>
            <w:pPr>
              <w:pStyle w:val="753"/>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76" w:type="dxa"/>
            <w:vAlign w:val="center"/>
            <w:textDirection w:val="lrTb"/>
            <w:noWrap w:val="false"/>
          </w:tcPr>
          <w:p>
            <w:pPr>
              <w:pStyle w:val="753"/>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546" w:type="dxa"/>
            <w:vAlign w:val="center"/>
            <w:vMerge w:val="continue"/>
            <w:textDirection w:val="lrTb"/>
            <w:noWrap w:val="false"/>
          </w:tcPr>
          <w:p>
            <w:pPr>
              <w:pStyle w:val="753"/>
              <w:ind w:left="0" w:right="0"/>
              <w:jc w:val="center"/>
              <w:keepLines w:val="0"/>
              <w:keepNext w:val="0"/>
              <w:spacing w:before="0" w:beforeAutospacing="0" w:after="0" w:afterAutospacing="0" w:line="520" w:lineRule="exact"/>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r>
            <w:r/>
          </w:p>
        </w:tc>
        <w:tc>
          <w:tcPr>
            <w:tcW w:w="958" w:type="dxa"/>
            <w:vAlign w:val="center"/>
            <w:vMerge w:val="continue"/>
            <w:textDirection w:val="lrTb"/>
            <w:noWrap w:val="false"/>
          </w:tcPr>
          <w:p>
            <w:pPr>
              <w:pStyle w:val="753"/>
              <w:ind w:left="0" w:right="0"/>
              <w:jc w:val="center"/>
              <w:keepLines w:val="0"/>
              <w:keepNext w:val="0"/>
              <w:spacing w:before="0" w:beforeAutospacing="0" w:after="0" w:afterAutospacing="0" w:line="520" w:lineRule="exact"/>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r>
            <w:r/>
          </w:p>
        </w:tc>
        <w:tc>
          <w:tcPr>
            <w:tcW w:w="970" w:type="dxa"/>
            <w:vAlign w:val="center"/>
            <w:vMerge w:val="continue"/>
            <w:textDirection w:val="lrTb"/>
            <w:noWrap w:val="false"/>
          </w:tcPr>
          <w:p>
            <w:pPr>
              <w:pStyle w:val="753"/>
              <w:ind w:left="0" w:right="0"/>
              <w:jc w:val="center"/>
              <w:keepLines w:val="0"/>
              <w:keepNext w:val="0"/>
              <w:spacing w:before="0" w:beforeAutospacing="0" w:after="0" w:afterAutospacing="0" w:line="520" w:lineRule="exact"/>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r>
            <w:r/>
          </w:p>
        </w:tc>
        <w:tc>
          <w:tcPr>
            <w:tcW w:w="1461" w:type="dxa"/>
            <w:vAlign w:val="center"/>
            <w:vMerge w:val="continue"/>
            <w:textDirection w:val="lrTb"/>
            <w:noWrap w:val="false"/>
          </w:tcPr>
          <w:p>
            <w:pPr>
              <w:pStyle w:val="753"/>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tc>
        <w:tc>
          <w:tcPr>
            <w:tcW w:w="716" w:type="dxa"/>
            <w:vAlign w:val="center"/>
            <w:vMerge w:val="continue"/>
            <w:textDirection w:val="lrTb"/>
            <w:noWrap w:val="false"/>
          </w:tcPr>
          <w:p>
            <w:pPr>
              <w:pStyle w:val="753"/>
              <w:ind w:left="0" w:right="0"/>
              <w:jc w:val="both"/>
              <w:keepLines w:val="0"/>
              <w:keepNext w:val="0"/>
              <w:spacing w:before="0" w:beforeAutospacing="0" w:after="0" w:afterAutospacing="0" w:line="520" w:lineRule="exact"/>
              <w:rPr>
                <w:rFonts w:hint="default" w:ascii="仿宋" w:hAnsi="仿宋" w:eastAsia="仿宋" w:cs="仿宋"/>
                <w:color w:val="auto"/>
                <w:sz w:val="24"/>
                <w:szCs w:val="24"/>
                <w:highlight w:val="none"/>
                <w:lang w:val="en-US" w:eastAsia="zh-CN"/>
              </w:rPr>
              <w:suppressLineNumbers w:val="0"/>
            </w:pPr>
            <w:r>
              <w:rPr>
                <w:rFonts w:hint="default" w:ascii="仿宋" w:hAnsi="仿宋" w:eastAsia="仿宋" w:cs="仿宋"/>
                <w:color w:val="auto"/>
                <w:sz w:val="24"/>
                <w:szCs w:val="24"/>
                <w:highlight w:val="none"/>
                <w:lang w:val="en-US" w:eastAsia="zh-CN"/>
              </w:rPr>
            </w:r>
            <w:r/>
          </w:p>
        </w:tc>
      </w:tr>
      <w:tr>
        <w:trPr>
          <w:cantSplit/>
          <w:jc w:val="center"/>
          <w:trHeight w:val="90"/>
        </w:trPr>
        <w:tc>
          <w:tcPr>
            <w:tcW w:w="776" w:type="dxa"/>
            <w:vAlign w:val="center"/>
            <w:textDirection w:val="lrTb"/>
            <w:noWrap w:val="false"/>
          </w:tcPr>
          <w:p>
            <w:pPr>
              <w:pStyle w:val="753"/>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w:t>
            </w:r>
            <w:r/>
          </w:p>
        </w:tc>
        <w:tc>
          <w:tcPr>
            <w:tcW w:w="1276" w:type="dxa"/>
            <w:vAlign w:val="center"/>
            <w:textDirection w:val="lrTb"/>
            <w:noWrap w:val="false"/>
          </w:tcPr>
          <w:p>
            <w:pPr>
              <w:pStyle w:val="753"/>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76" w:type="dxa"/>
            <w:vAlign w:val="center"/>
            <w:textDirection w:val="lrTb"/>
            <w:noWrap w:val="false"/>
          </w:tcPr>
          <w:p>
            <w:pPr>
              <w:pStyle w:val="753"/>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546" w:type="dxa"/>
            <w:vAlign w:val="center"/>
            <w:vMerge w:val="continue"/>
            <w:textDirection w:val="lrTb"/>
            <w:noWrap w:val="false"/>
          </w:tcPr>
          <w:p>
            <w:pPr>
              <w:pStyle w:val="753"/>
              <w:ind w:left="0" w:right="0"/>
              <w:jc w:val="center"/>
              <w:keepLines w:val="0"/>
              <w:keepNext w:val="0"/>
              <w:spacing w:before="0" w:beforeAutospacing="0" w:after="0" w:afterAutospacing="0" w:line="520" w:lineRule="exact"/>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r>
            <w:r/>
          </w:p>
        </w:tc>
        <w:tc>
          <w:tcPr>
            <w:tcW w:w="958" w:type="dxa"/>
            <w:vAlign w:val="center"/>
            <w:vMerge w:val="continue"/>
            <w:textDirection w:val="lrTb"/>
            <w:noWrap w:val="false"/>
          </w:tcPr>
          <w:p>
            <w:pPr>
              <w:pStyle w:val="753"/>
              <w:ind w:left="0" w:right="0"/>
              <w:jc w:val="center"/>
              <w:keepLines w:val="0"/>
              <w:keepNext w:val="0"/>
              <w:spacing w:before="0" w:beforeAutospacing="0" w:after="0" w:afterAutospacing="0" w:line="520" w:lineRule="exact"/>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r>
            <w:r/>
          </w:p>
        </w:tc>
        <w:tc>
          <w:tcPr>
            <w:tcW w:w="970" w:type="dxa"/>
            <w:vAlign w:val="center"/>
            <w:vMerge w:val="continue"/>
            <w:textDirection w:val="lrTb"/>
            <w:noWrap w:val="false"/>
          </w:tcPr>
          <w:p>
            <w:pPr>
              <w:pStyle w:val="753"/>
              <w:ind w:left="0" w:right="0"/>
              <w:jc w:val="center"/>
              <w:keepLines w:val="0"/>
              <w:keepNext w:val="0"/>
              <w:spacing w:before="0" w:beforeAutospacing="0" w:after="0" w:afterAutospacing="0" w:line="520" w:lineRule="exact"/>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r>
            <w:r/>
          </w:p>
        </w:tc>
        <w:tc>
          <w:tcPr>
            <w:tcW w:w="1461" w:type="dxa"/>
            <w:vAlign w:val="center"/>
            <w:vMerge w:val="continue"/>
            <w:textDirection w:val="lrTb"/>
            <w:noWrap w:val="false"/>
          </w:tcPr>
          <w:p>
            <w:pPr>
              <w:pStyle w:val="753"/>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tc>
        <w:tc>
          <w:tcPr>
            <w:tcW w:w="716" w:type="dxa"/>
            <w:vAlign w:val="center"/>
            <w:vMerge w:val="continue"/>
            <w:textDirection w:val="lrTb"/>
            <w:noWrap w:val="false"/>
          </w:tcPr>
          <w:p>
            <w:pPr>
              <w:pStyle w:val="753"/>
              <w:ind w:left="0" w:right="0"/>
              <w:jc w:val="both"/>
              <w:keepLines w:val="0"/>
              <w:keepNext w:val="0"/>
              <w:spacing w:before="0" w:beforeAutospacing="0" w:after="0" w:afterAutospacing="0" w:line="520" w:lineRule="exact"/>
              <w:rPr>
                <w:rFonts w:hint="default" w:ascii="仿宋" w:hAnsi="仿宋" w:eastAsia="仿宋" w:cs="仿宋"/>
                <w:color w:val="auto"/>
                <w:sz w:val="24"/>
                <w:szCs w:val="24"/>
                <w:highlight w:val="none"/>
                <w:lang w:val="en-US" w:eastAsia="zh-CN"/>
              </w:rPr>
              <w:suppressLineNumbers w:val="0"/>
            </w:pPr>
            <w:r>
              <w:rPr>
                <w:rFonts w:hint="default" w:ascii="仿宋" w:hAnsi="仿宋" w:eastAsia="仿宋" w:cs="仿宋"/>
                <w:color w:val="auto"/>
                <w:sz w:val="24"/>
                <w:szCs w:val="24"/>
                <w:highlight w:val="none"/>
                <w:lang w:val="en-US" w:eastAsia="zh-CN"/>
              </w:rPr>
            </w:r>
            <w:r/>
          </w:p>
        </w:tc>
      </w:tr>
      <w:tr>
        <w:trPr>
          <w:cantSplit/>
          <w:jc w:val="center"/>
          <w:trHeight w:val="1091"/>
        </w:trPr>
        <w:tc>
          <w:tcPr>
            <w:gridSpan w:val="3"/>
            <w:tcW w:w="3327" w:type="dxa"/>
            <w:vAlign w:val="center"/>
            <w:textDirection w:val="lrTb"/>
            <w:noWrap w:val="false"/>
          </w:tcPr>
          <w:p>
            <w:pPr>
              <w:pStyle w:val="753"/>
              <w:ind w:left="0" w:right="0"/>
              <w:jc w:val="center"/>
              <w:keepLines w:val="0"/>
              <w:keepNext w:val="0"/>
              <w:spacing w:before="0" w:beforeAutospacing="0" w:after="0" w:afterAutospacing="0" w:line="520" w:lineRule="exact"/>
              <w:rPr>
                <w:rFonts w:hint="default"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总计</w:t>
            </w:r>
            <w:r>
              <w:rPr>
                <w:rFonts w:hint="eastAsia" w:ascii="仿宋" w:hAnsi="仿宋" w:eastAsia="仿宋" w:cs="仿宋"/>
                <w:color w:val="auto"/>
                <w:sz w:val="24"/>
                <w:szCs w:val="24"/>
                <w:highlight w:val="none"/>
              </w:rPr>
              <w:t xml:space="preserve">（大写）</w:t>
            </w:r>
            <w:r/>
          </w:p>
        </w:tc>
        <w:tc>
          <w:tcPr>
            <w:gridSpan w:val="4"/>
            <w:tcW w:w="4935" w:type="dxa"/>
            <w:vAlign w:val="center"/>
            <w:textDirection w:val="lrTb"/>
            <w:noWrap w:val="false"/>
          </w:tcPr>
          <w:p>
            <w:pPr>
              <w:pStyle w:val="753"/>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贰佰贰拾伍万元</w:t>
            </w:r>
            <w:r/>
          </w:p>
        </w:tc>
        <w:tc>
          <w:tcPr>
            <w:tcW w:w="716" w:type="dxa"/>
            <w:vAlign w:val="center"/>
            <w:vMerge w:val="continue"/>
            <w:textDirection w:val="lrTb"/>
            <w:noWrap w:val="false"/>
          </w:tcPr>
          <w:p>
            <w:pPr>
              <w:pStyle w:val="753"/>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tc>
      </w:tr>
    </w:tbl>
    <w:p>
      <w:pPr>
        <w:pStyle w:val="753"/>
        <w:jc w:val="left"/>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53"/>
        <w:jc w:val="left"/>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53"/>
        <w:ind w:right="29" w:firstLine="462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53"/>
        <w:ind w:right="29" w:firstLine="196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供应商（公章）：</w:t>
      </w:r>
      <w:r/>
    </w:p>
    <w:p>
      <w:pPr>
        <w:pStyle w:val="753"/>
        <w:ind w:right="29" w:firstLine="196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法定代表人（负责人）或授权代表（签字或盖章）：  </w:t>
      </w:r>
      <w:r/>
    </w:p>
    <w:p>
      <w:pPr>
        <w:pStyle w:val="753"/>
        <w:ind w:right="29" w:firstLine="196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p>
    <w:p>
      <w:pPr>
        <w:pStyle w:val="753"/>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53"/>
        <w:ind w:firstLine="56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r/>
    </w:p>
    <w:p>
      <w:pPr>
        <w:pStyle w:val="753"/>
        <w:ind w:firstLine="56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①如果不提供详细分项报价的，将视为没有实质性响应磋商文件。</w:t>
      </w:r>
      <w:r/>
    </w:p>
    <w:p>
      <w:pPr>
        <w:pStyle w:val="753"/>
        <w:ind w:firstLine="56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②供应商对以上数据的真实性负责。</w:t>
      </w:r>
      <w:r/>
    </w:p>
    <w:p>
      <w:pPr>
        <w:pStyle w:val="753"/>
        <w:ind w:firstLine="56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徐州公信招标代理有限公司</w:t>
      </w:r>
      <w:r>
        <w:rPr>
          <w:rFonts w:hint="eastAsia" w:ascii="仿宋" w:hAnsi="仿宋" w:eastAsia="仿宋" w:cs="仿宋"/>
          <w:color w:val="auto"/>
          <w:sz w:val="24"/>
          <w:szCs w:val="24"/>
          <w:highlight w:val="none"/>
        </w:rPr>
        <w:t xml:space="preserve">有权将以上内容进行公示。</w:t>
      </w:r>
      <w:r/>
    </w:p>
    <w:p>
      <w:pPr>
        <w:pStyle w:val="753"/>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53"/>
        <w:jc w:val="center"/>
        <w:spacing w:line="52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cs="仿宋"/>
          <w:b/>
          <w:color w:val="auto"/>
          <w:sz w:val="36"/>
          <w:highlight w:val="none"/>
          <w:lang w:val="en-US" w:eastAsia="zh-CN"/>
        </w:rPr>
        <w:t xml:space="preserve">3</w:t>
      </w:r>
      <w:r>
        <w:rPr>
          <w:rFonts w:hint="eastAsia" w:ascii="仿宋" w:hAnsi="仿宋" w:eastAsia="仿宋" w:cs="仿宋"/>
          <w:b/>
          <w:color w:val="auto"/>
          <w:sz w:val="36"/>
          <w:highlight w:val="none"/>
        </w:rPr>
        <w:t xml:space="preserve">、偏离表</w:t>
      </w:r>
      <w:r/>
    </w:p>
    <w:p>
      <w:pPr>
        <w:pStyle w:val="753"/>
        <w:jc w:val="center"/>
        <w:spacing w:line="52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（首次报价）</w:t>
      </w:r>
      <w:r/>
    </w:p>
    <w:p>
      <w:pPr>
        <w:pStyle w:val="753"/>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JSZC-320382-GXZB-C2026-0003</w:t>
      </w:r>
      <w:r/>
    </w:p>
    <w:tbl>
      <w:tblPr>
        <w:tblStyle w:val="711"/>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28"/>
        <w:gridCol w:w="3317"/>
        <w:gridCol w:w="1560"/>
        <w:gridCol w:w="1755"/>
        <w:gridCol w:w="1515"/>
      </w:tblGrid>
      <w:tr>
        <w:trPr>
          <w:trHeight w:val="41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pStyle w:val="753"/>
              <w:ind w:left="0" w:right="0"/>
              <w:jc w:val="center"/>
              <w:keepLines w:val="0"/>
              <w:keepNext w:val="0"/>
              <w:spacing w:before="0" w:beforeAutospacing="0" w:after="0" w:afterAutospacing="0" w:line="520" w:lineRule="exact"/>
              <w:rPr>
                <w:rFonts w:hint="eastAsia" w:ascii="仿宋" w:hAnsi="仿宋" w:eastAsia="仿宋" w:cs="仿宋"/>
                <w:caps/>
                <w:color w:val="auto"/>
                <w:sz w:val="24"/>
                <w:szCs w:val="24"/>
                <w:highlight w:val="none"/>
              </w:rPr>
              <w:suppressLineNumbers w:val="0"/>
            </w:pPr>
            <w:r>
              <w:rPr>
                <w:rFonts w:hint="eastAsia" w:ascii="仿宋" w:hAnsi="仿宋" w:eastAsia="仿宋" w:cs="仿宋"/>
                <w:cap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317" w:type="dxa"/>
            <w:vAlign w:val="top"/>
            <w:textDirection w:val="lrTb"/>
            <w:noWrap w:val="false"/>
          </w:tcPr>
          <w:p>
            <w:pPr>
              <w:pStyle w:val="753"/>
              <w:ind w:left="0" w:right="0"/>
              <w:jc w:val="center"/>
              <w:keepLines w:val="0"/>
              <w:keepNext w:val="0"/>
              <w:spacing w:before="0" w:beforeAutospacing="0" w:after="0" w:afterAutospacing="0" w:line="520" w:lineRule="exact"/>
              <w:rPr>
                <w:rFonts w:hint="eastAsia" w:ascii="仿宋" w:hAnsi="仿宋" w:eastAsia="仿宋" w:cs="仿宋"/>
                <w:caps/>
                <w:color w:val="auto"/>
                <w:sz w:val="24"/>
                <w:szCs w:val="24"/>
                <w:highlight w:val="none"/>
              </w:rPr>
              <w:suppressLineNumbers w:val="0"/>
            </w:pPr>
            <w:r>
              <w:rPr>
                <w:rFonts w:hint="eastAsia" w:ascii="仿宋" w:hAnsi="仿宋" w:eastAsia="仿宋" w:cs="仿宋"/>
                <w:color w:val="auto"/>
                <w:sz w:val="24"/>
                <w:szCs w:val="24"/>
                <w:highlight w:val="none"/>
              </w:rPr>
              <w:t xml:space="preserve">竞争性磋商文件（含竞争性磋商文件的澄清或者修改）的要求</w:t>
            </w:r>
            <w:r/>
          </w:p>
        </w:tc>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pStyle w:val="753"/>
              <w:ind w:left="0" w:right="0"/>
              <w:jc w:val="center"/>
              <w:keepLines w:val="0"/>
              <w:keepNext w:val="0"/>
              <w:spacing w:before="0" w:beforeAutospacing="0" w:after="0" w:afterAutospacing="0" w:line="520" w:lineRule="exact"/>
              <w:rPr>
                <w:rFonts w:hint="eastAsia" w:ascii="仿宋" w:hAnsi="仿宋" w:eastAsia="仿宋" w:cs="仿宋"/>
                <w:caps/>
                <w:color w:val="auto"/>
                <w:sz w:val="24"/>
                <w:szCs w:val="24"/>
                <w:highlight w:val="none"/>
              </w:rPr>
              <w:suppressLineNumbers w:val="0"/>
            </w:pPr>
            <w:r>
              <w:rPr>
                <w:rFonts w:hint="eastAsia" w:ascii="仿宋" w:hAnsi="仿宋" w:eastAsia="仿宋" w:cs="仿宋"/>
                <w:color w:val="auto"/>
                <w:sz w:val="24"/>
                <w:szCs w:val="24"/>
                <w:highlight w:val="none"/>
              </w:rPr>
              <w:t xml:space="preserve">首次响应文件中的内容</w:t>
            </w:r>
            <w:r/>
          </w:p>
        </w:tc>
        <w:tc>
          <w:tcPr>
            <w:tcBorders>
              <w:top w:val="single" w:color="auto" w:sz="4" w:space="0"/>
              <w:left w:val="single" w:color="auto" w:sz="4" w:space="0"/>
              <w:bottom w:val="single" w:color="auto" w:sz="4" w:space="0"/>
              <w:right w:val="single" w:color="auto" w:sz="4" w:space="0"/>
            </w:tcBorders>
            <w:tcW w:w="1755" w:type="dxa"/>
            <w:vAlign w:val="top"/>
            <w:textDirection w:val="lrTb"/>
            <w:noWrap w:val="false"/>
          </w:tcPr>
          <w:p>
            <w:pPr>
              <w:pStyle w:val="753"/>
              <w:ind w:left="0" w:right="0"/>
              <w:keepLines w:val="0"/>
              <w:keepNext w:val="0"/>
              <w:spacing w:before="0" w:beforeAutospacing="0" w:after="0" w:afterAutospacing="0" w:line="520" w:lineRule="exact"/>
              <w:rPr>
                <w:rFonts w:hint="eastAsia" w:ascii="仿宋" w:hAnsi="仿宋" w:eastAsia="仿宋" w:cs="仿宋"/>
                <w:caps/>
                <w:color w:val="auto"/>
                <w:sz w:val="24"/>
                <w:szCs w:val="24"/>
                <w:highlight w:val="none"/>
              </w:rPr>
              <w:suppressLineNumbers w:val="0"/>
            </w:pPr>
            <w:r>
              <w:rPr>
                <w:rFonts w:hint="eastAsia" w:ascii="仿宋" w:hAnsi="仿宋" w:eastAsia="仿宋" w:cs="仿宋"/>
                <w:caps/>
                <w:color w:val="auto"/>
                <w:sz w:val="24"/>
                <w:szCs w:val="24"/>
                <w:highlight w:val="none"/>
              </w:rPr>
              <w:t xml:space="preserve">（正/负/无）偏离</w:t>
            </w:r>
            <w:r/>
          </w:p>
        </w:tc>
        <w:tc>
          <w:tcPr>
            <w:tcBorders>
              <w:top w:val="single" w:color="auto" w:sz="4" w:space="0"/>
              <w:left w:val="single" w:color="auto" w:sz="4" w:space="0"/>
              <w:bottom w:val="single" w:color="auto" w:sz="4" w:space="0"/>
              <w:right w:val="single" w:color="auto" w:sz="4" w:space="0"/>
            </w:tcBorders>
            <w:tcW w:w="1515" w:type="dxa"/>
            <w:vAlign w:val="top"/>
            <w:textDirection w:val="lrTb"/>
            <w:noWrap w:val="false"/>
          </w:tcPr>
          <w:p>
            <w:pPr>
              <w:pStyle w:val="753"/>
              <w:ind w:left="0" w:right="0"/>
              <w:jc w:val="center"/>
              <w:keepLines w:val="0"/>
              <w:keepNext w:val="0"/>
              <w:spacing w:before="0" w:beforeAutospacing="0" w:after="0" w:afterAutospacing="0" w:line="520" w:lineRule="exact"/>
              <w:rPr>
                <w:rFonts w:hint="eastAsia" w:ascii="仿宋" w:hAnsi="仿宋" w:eastAsia="仿宋" w:cs="仿宋"/>
                <w:caps/>
                <w:color w:val="auto"/>
                <w:sz w:val="24"/>
                <w:szCs w:val="24"/>
                <w:highlight w:val="none"/>
              </w:rPr>
              <w:suppressLineNumbers w:val="0"/>
            </w:pPr>
            <w:r>
              <w:rPr>
                <w:rFonts w:hint="eastAsia" w:ascii="仿宋" w:hAnsi="仿宋" w:eastAsia="仿宋" w:cs="仿宋"/>
                <w:caps/>
                <w:color w:val="auto"/>
                <w:sz w:val="24"/>
                <w:szCs w:val="24"/>
                <w:highlight w:val="none"/>
              </w:rPr>
              <w:t xml:space="preserve">说明</w:t>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753"/>
              <w:ind w:left="0" w:right="0"/>
              <w:jc w:val="center"/>
              <w:keepLines w:val="0"/>
              <w:keepNext w:val="0"/>
              <w:spacing w:before="0" w:beforeAutospacing="0" w:after="0" w:afterAutospacing="0" w:line="520" w:lineRule="exact"/>
              <w:rPr>
                <w:rFonts w:hint="eastAsia" w:ascii="仿宋" w:hAnsi="仿宋" w:eastAsia="仿宋" w:cs="仿宋"/>
                <w:caps/>
                <w:color w:val="auto"/>
                <w:sz w:val="24"/>
                <w:szCs w:val="24"/>
                <w:highlight w:val="none"/>
              </w:rPr>
              <w:suppressLineNumbers w:val="0"/>
            </w:pPr>
            <w:r>
              <w:rPr>
                <w:rFonts w:hint="eastAsia" w:ascii="仿宋" w:hAnsi="仿宋" w:eastAsia="仿宋" w:cs="仿宋"/>
                <w:cap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17" w:type="dxa"/>
            <w:vAlign w:val="center"/>
            <w:textDirection w:val="lrTb"/>
            <w:noWrap w:val="false"/>
          </w:tcPr>
          <w:p>
            <w:pPr>
              <w:pStyle w:val="753"/>
              <w:ind w:left="0" w:right="0"/>
              <w:jc w:val="center"/>
              <w:keepLines w:val="0"/>
              <w:keepNext w:val="0"/>
              <w:spacing w:before="0" w:beforeAutospacing="0" w:after="0" w:afterAutospacing="0" w:line="520" w:lineRule="exact"/>
              <w:rPr>
                <w:rFonts w:hint="eastAsia" w:ascii="仿宋" w:hAnsi="仿宋" w:eastAsia="仿宋" w:cs="仿宋"/>
                <w:caps/>
                <w:color w:val="auto"/>
                <w:sz w:val="24"/>
                <w:szCs w:val="24"/>
                <w:highlight w:val="none"/>
              </w:rPr>
              <w:suppressLineNumbers w:val="0"/>
            </w:pPr>
            <w:r>
              <w:rPr>
                <w:rFonts w:hint="eastAsia" w:ascii="仿宋" w:hAnsi="仿宋" w:eastAsia="仿宋" w:cs="仿宋"/>
                <w:cap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753"/>
              <w:ind w:left="0" w:right="0"/>
              <w:jc w:val="center"/>
              <w:keepLines w:val="0"/>
              <w:keepNext w:val="0"/>
              <w:spacing w:before="0" w:beforeAutospacing="0" w:after="0" w:afterAutospacing="0" w:line="520" w:lineRule="exact"/>
              <w:rPr>
                <w:rFonts w:hint="eastAsia" w:ascii="仿宋" w:hAnsi="仿宋" w:eastAsia="仿宋" w:cs="仿宋"/>
                <w:caps/>
                <w:color w:val="auto"/>
                <w:sz w:val="24"/>
                <w:szCs w:val="24"/>
                <w:highlight w:val="none"/>
              </w:rPr>
              <w:suppressLineNumbers w:val="0"/>
            </w:pPr>
            <w:r>
              <w:rPr>
                <w:rFonts w:hint="eastAsia" w:ascii="仿宋" w:hAnsi="仿宋" w:eastAsia="仿宋" w:cs="仿宋"/>
                <w:cap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pStyle w:val="753"/>
              <w:ind w:left="0" w:right="0"/>
              <w:jc w:val="center"/>
              <w:keepLines w:val="0"/>
              <w:keepNext w:val="0"/>
              <w:spacing w:before="0" w:beforeAutospacing="0" w:after="0" w:afterAutospacing="0" w:line="520" w:lineRule="exact"/>
              <w:rPr>
                <w:rFonts w:hint="eastAsia" w:ascii="仿宋" w:hAnsi="仿宋" w:eastAsia="仿宋" w:cs="仿宋"/>
                <w:caps/>
                <w:color w:val="auto"/>
                <w:sz w:val="24"/>
                <w:szCs w:val="24"/>
                <w:highlight w:val="none"/>
              </w:rPr>
              <w:suppressLineNumbers w:val="0"/>
            </w:pPr>
            <w:r>
              <w:rPr>
                <w:rFonts w:hint="eastAsia" w:ascii="仿宋" w:hAnsi="仿宋" w:eastAsia="仿宋" w:cs="仿宋"/>
                <w:cap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pStyle w:val="753"/>
              <w:ind w:left="0" w:right="0"/>
              <w:jc w:val="center"/>
              <w:keepLines w:val="0"/>
              <w:keepNext w:val="0"/>
              <w:spacing w:before="0" w:beforeAutospacing="0" w:after="0" w:afterAutospacing="0" w:line="520" w:lineRule="exact"/>
              <w:rPr>
                <w:rFonts w:hint="eastAsia" w:ascii="仿宋" w:hAnsi="仿宋" w:eastAsia="仿宋" w:cs="仿宋"/>
                <w:caps/>
                <w:color w:val="auto"/>
                <w:sz w:val="24"/>
                <w:szCs w:val="24"/>
                <w:highlight w:val="none"/>
              </w:rPr>
              <w:suppressLineNumbers w:val="0"/>
            </w:pPr>
            <w:r>
              <w:rPr>
                <w:rFonts w:hint="eastAsia" w:ascii="仿宋" w:hAnsi="仿宋" w:eastAsia="仿宋" w:cs="仿宋"/>
                <w:caps/>
                <w:color w:val="auto"/>
                <w:sz w:val="24"/>
                <w:szCs w:val="24"/>
                <w:highlight w:val="none"/>
              </w:rPr>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pStyle w:val="753"/>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17" w:type="dxa"/>
            <w:vAlign w:val="top"/>
            <w:textDirection w:val="lrTb"/>
            <w:noWrap w:val="false"/>
          </w:tcPr>
          <w:p>
            <w:pPr>
              <w:pStyle w:val="753"/>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pStyle w:val="753"/>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5" w:type="dxa"/>
            <w:vAlign w:val="top"/>
            <w:textDirection w:val="lrTb"/>
            <w:noWrap w:val="false"/>
          </w:tcPr>
          <w:p>
            <w:pPr>
              <w:pStyle w:val="753"/>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15" w:type="dxa"/>
            <w:vAlign w:val="top"/>
            <w:textDirection w:val="lrTb"/>
            <w:noWrap w:val="false"/>
          </w:tcPr>
          <w:p>
            <w:pPr>
              <w:pStyle w:val="753"/>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pStyle w:val="753"/>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17" w:type="dxa"/>
            <w:vAlign w:val="top"/>
            <w:textDirection w:val="lrTb"/>
            <w:noWrap w:val="false"/>
          </w:tcPr>
          <w:p>
            <w:pPr>
              <w:pStyle w:val="753"/>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pStyle w:val="753"/>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5" w:type="dxa"/>
            <w:vAlign w:val="top"/>
            <w:textDirection w:val="lrTb"/>
            <w:noWrap w:val="false"/>
          </w:tcPr>
          <w:p>
            <w:pPr>
              <w:pStyle w:val="753"/>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15" w:type="dxa"/>
            <w:vAlign w:val="top"/>
            <w:textDirection w:val="lrTb"/>
            <w:noWrap w:val="false"/>
          </w:tcPr>
          <w:p>
            <w:pPr>
              <w:pStyle w:val="753"/>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pStyle w:val="753"/>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17" w:type="dxa"/>
            <w:vAlign w:val="top"/>
            <w:textDirection w:val="lrTb"/>
            <w:noWrap w:val="false"/>
          </w:tcPr>
          <w:p>
            <w:pPr>
              <w:pStyle w:val="753"/>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pStyle w:val="753"/>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5" w:type="dxa"/>
            <w:vAlign w:val="top"/>
            <w:textDirection w:val="lrTb"/>
            <w:noWrap w:val="false"/>
          </w:tcPr>
          <w:p>
            <w:pPr>
              <w:pStyle w:val="753"/>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15" w:type="dxa"/>
            <w:vAlign w:val="top"/>
            <w:textDirection w:val="lrTb"/>
            <w:noWrap w:val="false"/>
          </w:tcPr>
          <w:p>
            <w:pPr>
              <w:pStyle w:val="753"/>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pStyle w:val="753"/>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17" w:type="dxa"/>
            <w:vAlign w:val="top"/>
            <w:textDirection w:val="lrTb"/>
            <w:noWrap w:val="false"/>
          </w:tcPr>
          <w:p>
            <w:pPr>
              <w:pStyle w:val="753"/>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pStyle w:val="753"/>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5" w:type="dxa"/>
            <w:vAlign w:val="top"/>
            <w:textDirection w:val="lrTb"/>
            <w:noWrap w:val="false"/>
          </w:tcPr>
          <w:p>
            <w:pPr>
              <w:pStyle w:val="753"/>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15" w:type="dxa"/>
            <w:vAlign w:val="top"/>
            <w:textDirection w:val="lrTb"/>
            <w:noWrap w:val="false"/>
          </w:tcPr>
          <w:p>
            <w:pPr>
              <w:pStyle w:val="753"/>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pStyle w:val="753"/>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17" w:type="dxa"/>
            <w:vAlign w:val="top"/>
            <w:textDirection w:val="lrTb"/>
            <w:noWrap w:val="false"/>
          </w:tcPr>
          <w:p>
            <w:pPr>
              <w:pStyle w:val="753"/>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pStyle w:val="753"/>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5" w:type="dxa"/>
            <w:vAlign w:val="top"/>
            <w:textDirection w:val="lrTb"/>
            <w:noWrap w:val="false"/>
          </w:tcPr>
          <w:p>
            <w:pPr>
              <w:pStyle w:val="753"/>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15" w:type="dxa"/>
            <w:vAlign w:val="top"/>
            <w:textDirection w:val="lrTb"/>
            <w:noWrap w:val="false"/>
          </w:tcPr>
          <w:p>
            <w:pPr>
              <w:pStyle w:val="753"/>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bl>
    <w:p>
      <w:pPr>
        <w:pStyle w:val="753"/>
        <w:spacing w:line="52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pStyle w:val="753"/>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753"/>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53"/>
        <w:ind w:right="29" w:firstLine="280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供应商（公章）：</w:t>
      </w:r>
      <w:r/>
    </w:p>
    <w:p>
      <w:pPr>
        <w:pStyle w:val="753"/>
        <w:ind w:right="29" w:firstLine="252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法定代表人（负责人）或授权代表（签字或盖章）：  </w:t>
      </w:r>
      <w:r/>
    </w:p>
    <w:p>
      <w:pPr>
        <w:pStyle w:val="753"/>
        <w:ind w:right="29" w:firstLine="280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p>
    <w:p>
      <w:pPr>
        <w:pStyle w:val="753"/>
        <w:spacing w:line="520" w:lineRule="exact"/>
        <w:rPr>
          <w:rFonts w:hint="eastAsia" w:ascii="仿宋" w:hAnsi="仿宋" w:eastAsia="仿宋" w:cs="仿宋"/>
          <w:color w:val="auto"/>
          <w:sz w:val="24"/>
          <w:szCs w:val="24"/>
          <w:highlight w:val="none"/>
        </w:rPr>
      </w:pPr>
      <w:r/>
      <w:bookmarkStart w:id="27" w:name="_Toc87952868"/>
      <w:r/>
      <w:r/>
    </w:p>
    <w:p>
      <w:pPr>
        <w:pStyle w:val="753"/>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58"/>
        <w:rPr>
          <w:rFonts w:hint="eastAsia" w:ascii="仿宋" w:hAnsi="仿宋" w:eastAsia="仿宋" w:cs="仿宋"/>
          <w:color w:val="auto"/>
          <w:highlight w:val="none"/>
        </w:rPr>
      </w:pPr>
      <w:r>
        <w:rPr>
          <w:rFonts w:hint="eastAsia" w:ascii="仿宋" w:hAnsi="仿宋" w:eastAsia="仿宋" w:cs="仿宋"/>
          <w:color w:val="auto"/>
          <w:highlight w:val="none"/>
        </w:rPr>
      </w:r>
      <w:r/>
    </w:p>
    <w:p>
      <w:pPr>
        <w:pStyle w:val="753"/>
        <w:jc w:val="center"/>
        <w:spacing w:line="52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lang w:val="en-US" w:eastAsia="zh-CN"/>
        </w:rPr>
        <w:t xml:space="preserve">4</w:t>
      </w:r>
      <w:r>
        <w:rPr>
          <w:rFonts w:hint="eastAsia" w:ascii="仿宋" w:hAnsi="仿宋" w:eastAsia="仿宋" w:cs="仿宋"/>
          <w:b/>
          <w:color w:val="auto"/>
          <w:sz w:val="36"/>
          <w:highlight w:val="none"/>
        </w:rPr>
        <w:t xml:space="preserve">、合同草案条款</w:t>
      </w:r>
      <w:bookmarkEnd w:id="27"/>
      <w:r/>
      <w:r/>
    </w:p>
    <w:p>
      <w:pPr>
        <w:pStyle w:val="7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5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16"/>
        <w:rPr>
          <w:rFonts w:hint="eastAsia" w:ascii="仿宋" w:hAnsi="仿宋" w:eastAsia="仿宋" w:cs="仿宋"/>
          <w:color w:val="auto"/>
          <w:highlight w:val="none"/>
        </w:rPr>
      </w:pPr>
      <w:r>
        <w:rPr>
          <w:rFonts w:hint="eastAsia" w:ascii="仿宋" w:hAnsi="仿宋" w:eastAsia="仿宋" w:cs="仿宋"/>
          <w:color w:val="auto"/>
          <w:highlight w:val="none"/>
        </w:rPr>
      </w:r>
      <w:r/>
    </w:p>
    <w:p>
      <w:pPr>
        <w:pStyle w:val="748"/>
        <w:jc w:val="center"/>
        <w:rPr>
          <w:rFonts w:hint="eastAsia" w:ascii="仿宋" w:hAnsi="仿宋" w:eastAsia="仿宋" w:cs="仿宋"/>
          <w:color w:val="auto"/>
          <w:sz w:val="56"/>
          <w:szCs w:val="56"/>
          <w:highlight w:val="none"/>
        </w:rPr>
      </w:pPr>
      <w:r>
        <w:rPr>
          <w:rFonts w:hint="eastAsia" w:ascii="仿宋" w:hAnsi="仿宋" w:eastAsia="仿宋" w:cs="仿宋"/>
          <w:color w:val="auto"/>
          <w:sz w:val="56"/>
          <w:szCs w:val="56"/>
          <w:highlight w:val="none"/>
          <w:lang w:val="en-US" w:eastAsia="zh-CN"/>
        </w:rPr>
        <w:t xml:space="preserve">政府采购合同</w:t>
      </w:r>
      <w:r/>
    </w:p>
    <w:p>
      <w:pPr>
        <w:pStyle w:val="748"/>
        <w:jc w:val="center"/>
        <w:rPr>
          <w:rFonts w:hint="eastAsia" w:ascii="仿宋" w:hAnsi="仿宋" w:eastAsia="仿宋" w:cs="仿宋"/>
          <w:color w:val="auto"/>
          <w:sz w:val="22"/>
          <w:szCs w:val="22"/>
          <w:highlight w:val="none"/>
        </w:rPr>
      </w:pPr>
      <w:r>
        <w:rPr>
          <w:rFonts w:hint="eastAsia" w:ascii="仿宋" w:hAnsi="仿宋" w:eastAsia="仿宋" w:cs="仿宋"/>
          <w:color w:val="auto"/>
          <w:sz w:val="32"/>
          <w:szCs w:val="32"/>
          <w:highlight w:val="none"/>
          <w:lang w:val="en-US" w:eastAsia="zh-CN"/>
        </w:rPr>
        <w:t xml:space="preserve">（项目名称：）</w:t>
      </w:r>
      <w:r/>
    </w:p>
    <w:p>
      <w:pPr>
        <w:pStyle w:val="750"/>
        <w:rPr>
          <w:rFonts w:hint="eastAsia" w:ascii="仿宋" w:hAnsi="仿宋" w:eastAsia="仿宋" w:cs="仿宋"/>
          <w:color w:val="auto"/>
          <w:sz w:val="16"/>
          <w:szCs w:val="16"/>
          <w:highlight w:val="none"/>
        </w:rPr>
      </w:pPr>
      <w:r>
        <w:rPr>
          <w:rFonts w:hint="eastAsia" w:ascii="仿宋" w:hAnsi="仿宋" w:eastAsia="仿宋" w:cs="仿宋"/>
          <w:color w:val="auto"/>
          <w:sz w:val="16"/>
          <w:szCs w:val="16"/>
          <w:highlight w:val="none"/>
        </w:rPr>
      </w:r>
      <w:r/>
    </w:p>
    <w:p>
      <w:pPr>
        <w:pStyle w:val="748"/>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eastAsia="zh-CN"/>
        </w:rPr>
        <w:t xml:space="preserve">（项目编号：）</w:t>
      </w:r>
      <w:r/>
    </w:p>
    <w:p>
      <w:pPr>
        <w:pStyle w:val="750"/>
        <w:rPr>
          <w:rFonts w:hint="eastAsia" w:ascii="仿宋" w:hAnsi="仿宋" w:eastAsia="仿宋" w:cs="仿宋"/>
          <w:color w:val="auto"/>
          <w:highlight w:val="none"/>
        </w:rPr>
      </w:pPr>
      <w:r>
        <w:rPr>
          <w:rFonts w:hint="eastAsia" w:ascii="仿宋" w:hAnsi="仿宋" w:eastAsia="仿宋" w:cs="仿宋"/>
          <w:color w:val="auto"/>
          <w:highlight w:val="none"/>
        </w:rPr>
      </w:r>
      <w:r/>
    </w:p>
    <w:p>
      <w:pPr>
        <w:pStyle w:val="752"/>
        <w:rPr>
          <w:rFonts w:hint="eastAsia" w:ascii="仿宋" w:hAnsi="仿宋" w:eastAsia="仿宋" w:cs="仿宋"/>
          <w:color w:val="auto"/>
          <w:highlight w:val="none"/>
        </w:rPr>
      </w:pPr>
      <w:r>
        <w:rPr>
          <w:rFonts w:hint="eastAsia" w:ascii="仿宋" w:hAnsi="仿宋" w:eastAsia="仿宋" w:cs="仿宋"/>
          <w:color w:val="auto"/>
          <w:highlight w:val="none"/>
        </w:rPr>
      </w:r>
      <w:r/>
    </w:p>
    <w:p>
      <w:pPr>
        <w:pStyle w:val="717"/>
        <w:ind w:left="0" w:firstLine="0"/>
        <w:rPr>
          <w:rFonts w:hint="eastAsia" w:ascii="仿宋" w:hAnsi="仿宋" w:eastAsia="仿宋" w:cs="仿宋"/>
          <w:color w:val="auto"/>
          <w:highlight w:val="none"/>
        </w:rPr>
      </w:pPr>
      <w:r>
        <w:rPr>
          <w:rFonts w:hint="eastAsia" w:ascii="仿宋" w:hAnsi="仿宋" w:eastAsia="仿宋" w:cs="仿宋"/>
          <w:color w:val="auto"/>
          <w:highlight w:val="none"/>
        </w:rPr>
      </w:r>
      <w:r/>
    </w:p>
    <w:p>
      <w:pPr>
        <w:ind w:left="840" w:firstLine="420"/>
        <w:jc w:val="left"/>
        <w:spacing w:line="360" w:lineRule="auto"/>
        <w:widowControl w:val="off"/>
        <w:rPr>
          <w:rFonts w:hint="eastAsia" w:ascii="仿宋" w:hAnsi="仿宋" w:eastAsia="仿宋" w:cs="仿宋"/>
          <w:b/>
          <w:color w:val="auto"/>
          <w:spacing w:val="16"/>
          <w:sz w:val="32"/>
          <w:szCs w:val="32"/>
          <w:highlight w:val="none"/>
        </w:rPr>
      </w:pPr>
      <w:r>
        <w:rPr>
          <w:rFonts w:hint="eastAsia" w:ascii="仿宋" w:hAnsi="仿宋" w:eastAsia="仿宋" w:cs="仿宋"/>
          <w:b/>
          <w:color w:val="auto"/>
          <w:spacing w:val="16"/>
          <w:sz w:val="32"/>
          <w:szCs w:val="32"/>
          <w:highlight w:val="none"/>
          <w:lang w:eastAsia="zh-CN"/>
        </w:rPr>
        <w:t xml:space="preserve">采  购  人：</w:t>
      </w:r>
      <w:r/>
    </w:p>
    <w:p>
      <w:pPr>
        <w:ind w:left="840" w:firstLine="420"/>
        <w:jc w:val="left"/>
        <w:spacing w:line="360" w:lineRule="auto"/>
        <w:widowControl w:val="off"/>
        <w:rPr>
          <w:rFonts w:hint="eastAsia" w:ascii="仿宋" w:hAnsi="仿宋" w:eastAsia="仿宋" w:cs="仿宋"/>
          <w:b/>
          <w:color w:val="auto"/>
          <w:spacing w:val="16"/>
          <w:sz w:val="32"/>
          <w:szCs w:val="32"/>
          <w:highlight w:val="none"/>
        </w:rPr>
      </w:pPr>
      <w:r>
        <w:rPr>
          <w:rFonts w:hint="eastAsia" w:ascii="仿宋" w:hAnsi="仿宋" w:eastAsia="仿宋" w:cs="仿宋"/>
          <w:b/>
          <w:color w:val="auto"/>
          <w:spacing w:val="16"/>
          <w:sz w:val="32"/>
          <w:szCs w:val="32"/>
          <w:highlight w:val="none"/>
          <w:lang w:eastAsia="zh-CN"/>
        </w:rPr>
        <w:t xml:space="preserve">成交供应商：</w:t>
      </w:r>
      <w:r/>
    </w:p>
    <w:p>
      <w:pPr>
        <w:ind w:left="840" w:firstLine="420"/>
        <w:jc w:val="left"/>
        <w:spacing w:line="360" w:lineRule="auto"/>
        <w:widowControl w:val="off"/>
        <w:rPr>
          <w:rFonts w:hint="eastAsia" w:ascii="仿宋" w:hAnsi="仿宋" w:eastAsia="仿宋" w:cs="仿宋"/>
          <w:b/>
          <w:color w:val="auto"/>
          <w:spacing w:val="16"/>
          <w:sz w:val="32"/>
          <w:szCs w:val="32"/>
          <w:highlight w:val="none"/>
        </w:rPr>
      </w:pPr>
      <w:r>
        <w:rPr>
          <w:rFonts w:hint="eastAsia" w:ascii="仿宋" w:hAnsi="仿宋" w:eastAsia="仿宋" w:cs="仿宋"/>
          <w:b/>
          <w:color w:val="auto"/>
          <w:spacing w:val="16"/>
          <w:sz w:val="32"/>
          <w:szCs w:val="32"/>
          <w:highlight w:val="none"/>
          <w:lang w:val="en-US" w:eastAsia="zh-CN"/>
        </w:rPr>
        <w:t xml:space="preserve">年 月 日</w:t>
      </w:r>
      <w:r/>
    </w:p>
    <w:p>
      <w:pPr>
        <w:ind w:firstLine="560"/>
        <w:spacing w:line="360" w:lineRule="auto"/>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友情提醒：采购人与中标、成交供应商应当在中标、成交通知书发出之日起三十日内，按照采购文件确定的事项签订政府采购合同。</w:t>
      </w:r>
      <w:r/>
    </w:p>
    <w:p>
      <w:pPr>
        <w:pStyle w:val="753"/>
        <w:ind w:firstLine="562"/>
        <w:spacing w:line="360" w:lineRule="auto"/>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753"/>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w:t>
      </w:r>
      <w:r>
        <w:rPr>
          <w:rFonts w:hint="eastAsia" w:ascii="仿宋" w:hAnsi="仿宋" w:eastAsia="仿宋" w:cs="仿宋"/>
          <w:color w:val="auto"/>
          <w:sz w:val="28"/>
          <w:szCs w:val="28"/>
          <w:highlight w:val="none"/>
          <w:lang w:eastAsia="zh-CN"/>
        </w:rPr>
        <w:t xml:space="preserve">买方</w:t>
      </w:r>
      <w:r>
        <w:rPr>
          <w:rFonts w:hint="eastAsia" w:ascii="仿宋" w:hAnsi="仿宋" w:eastAsia="仿宋" w:cs="仿宋"/>
          <w:color w:val="auto"/>
          <w:sz w:val="28"/>
          <w:szCs w:val="28"/>
          <w:highlight w:val="none"/>
        </w:rPr>
        <w:t xml:space="preserve">委托</w:t>
      </w:r>
      <w:r>
        <w:rPr>
          <w:rFonts w:hint="eastAsia" w:ascii="仿宋" w:hAnsi="仿宋" w:eastAsia="仿宋" w:cs="仿宋"/>
          <w:color w:val="auto"/>
          <w:sz w:val="28"/>
          <w:szCs w:val="28"/>
          <w:highlight w:val="none"/>
          <w:lang w:eastAsia="zh-CN"/>
        </w:rPr>
        <w:t xml:space="preserve">卖方</w:t>
      </w:r>
      <w:r>
        <w:rPr>
          <w:rFonts w:hint="eastAsia" w:ascii="仿宋" w:hAnsi="仿宋" w:eastAsia="仿宋" w:cs="仿宋"/>
          <w:color w:val="auto"/>
          <w:sz w:val="28"/>
          <w:szCs w:val="28"/>
          <w:highlight w:val="none"/>
        </w:rPr>
        <w:t xml:space="preserve">就</w:t>
      </w:r>
      <w:r>
        <w:rPr>
          <w:rFonts w:hint="eastAsia" w:ascii="仿宋" w:hAnsi="仿宋" w:eastAsia="仿宋" w:cs="仿宋"/>
          <w:color w:val="auto"/>
          <w:sz w:val="28"/>
          <w:szCs w:val="28"/>
          <w:highlight w:val="none"/>
          <w:lang w:eastAsia="zh-CN"/>
        </w:rPr>
        <w:t xml:space="preserve">邳州市退役军人事务局重点优抚对象住院医疗商业保险</w:t>
      </w:r>
      <w:r>
        <w:rPr>
          <w:rFonts w:hint="eastAsia" w:ascii="仿宋" w:hAnsi="仿宋" w:eastAsia="仿宋" w:cs="仿宋"/>
          <w:color w:val="auto"/>
          <w:sz w:val="28"/>
          <w:szCs w:val="28"/>
          <w:highlight w:val="none"/>
        </w:rPr>
        <w:t xml:space="preserve">进行安全技术服务，并支付相应技术服务报酬。双方经过平等协商，在真实、充分地表达各自意愿的基础上，根据《中华人民共和国政府采购法》、《中华人民共和国</w:t>
      </w:r>
      <w:r>
        <w:rPr>
          <w:rFonts w:hint="eastAsia" w:ascii="仿宋" w:hAnsi="仿宋" w:eastAsia="仿宋" w:cs="仿宋"/>
          <w:color w:val="auto"/>
          <w:sz w:val="28"/>
          <w:szCs w:val="28"/>
          <w:highlight w:val="none"/>
          <w:lang w:val="en-US" w:eastAsia="zh-CN"/>
        </w:rPr>
        <w:t xml:space="preserve">民法典</w:t>
      </w:r>
      <w:r>
        <w:rPr>
          <w:rFonts w:hint="eastAsia" w:ascii="仿宋" w:hAnsi="仿宋" w:eastAsia="仿宋" w:cs="仿宋"/>
          <w:color w:val="auto"/>
          <w:sz w:val="28"/>
          <w:szCs w:val="28"/>
          <w:highlight w:val="none"/>
        </w:rPr>
        <w:t xml:space="preserve">》的规定，达成如下协议，并由双方共同恪守。</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根据《中华人民共和国政府采购法》、《中华人民共和国</w:t>
      </w:r>
      <w:r>
        <w:rPr>
          <w:rFonts w:hint="eastAsia" w:ascii="仿宋" w:hAnsi="仿宋" w:eastAsia="仿宋" w:cs="仿宋"/>
          <w:color w:val="auto"/>
          <w:sz w:val="24"/>
          <w:highlight w:val="none"/>
          <w:lang w:val="en-US" w:eastAsia="zh-CN"/>
        </w:rPr>
        <w:t xml:space="preserve">民法典</w:t>
      </w:r>
      <w:r>
        <w:rPr>
          <w:rFonts w:hint="eastAsia" w:ascii="仿宋" w:hAnsi="仿宋" w:eastAsia="仿宋" w:cs="仿宋"/>
          <w:color w:val="auto"/>
          <w:sz w:val="24"/>
          <w:highlight w:val="none"/>
        </w:rPr>
        <w:t xml:space="preserve">》等法律法规的规定，甲乙双方按照</w:t>
      </w:r>
      <w:r>
        <w:rPr>
          <w:rFonts w:hint="eastAsia" w:ascii="仿宋" w:hAnsi="仿宋" w:eastAsia="仿宋" w:cs="仿宋"/>
          <w:color w:val="auto"/>
          <w:sz w:val="24"/>
          <w:highlight w:val="none"/>
          <w:lang w:eastAsia="zh-CN"/>
        </w:rPr>
        <w:t xml:space="preserve">邳州市退役军人事务局重点优抚对象住院医疗商业保险</w:t>
      </w:r>
      <w:r>
        <w:rPr>
          <w:rFonts w:hint="eastAsia" w:ascii="仿宋" w:hAnsi="仿宋" w:eastAsia="仿宋" w:cs="仿宋"/>
          <w:color w:val="auto"/>
          <w:sz w:val="24"/>
          <w:highlight w:val="none"/>
          <w:lang w:val="en-US" w:eastAsia="zh-CN"/>
        </w:rPr>
        <w:t xml:space="preserve">项目</w:t>
      </w:r>
      <w:r>
        <w:rPr>
          <w:rFonts w:hint="eastAsia" w:ascii="仿宋" w:hAnsi="仿宋" w:eastAsia="仿宋" w:cs="仿宋"/>
          <w:color w:val="auto"/>
          <w:sz w:val="24"/>
          <w:highlight w:val="none"/>
        </w:rPr>
        <w:t xml:space="preserve">的采购结果签订本合同，合同条款应不少于并不限于以下内容。</w:t>
      </w:r>
      <w:r/>
    </w:p>
    <w:p>
      <w:pPr>
        <w:ind w:firstLine="460"/>
        <w:jc w:val="both"/>
        <w:spacing w:line="360" w:lineRule="auto"/>
        <w:shd w:val="clear" w:color="auto"/>
        <w:widowControl w:val="off"/>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合同编号（政府采购项目编号）：</w:t>
      </w:r>
      <w:r>
        <w:rPr>
          <w:rFonts w:hint="eastAsia" w:ascii="仿宋" w:hAnsi="仿宋" w:eastAsia="仿宋" w:cs="仿宋"/>
          <w:color w:val="auto"/>
          <w:sz w:val="24"/>
          <w:szCs w:val="24"/>
          <w:u w:val="single"/>
          <w:lang w:eastAsia="zh-CN"/>
        </w:rPr>
        <w:t xml:space="preserve">JSZC-320382-GXZB-C2026-0003</w:t>
      </w:r>
      <w:r>
        <w:rPr>
          <w:rFonts w:hint="eastAsia" w:ascii="仿宋" w:hAnsi="仿宋" w:eastAsia="仿宋" w:cs="仿宋"/>
          <w:color w:val="auto"/>
          <w:sz w:val="24"/>
          <w:szCs w:val="24"/>
          <w:u w:val="single"/>
        </w:rPr>
        <w:t xml:space="preserve">                    </w:t>
      </w:r>
      <w:r/>
    </w:p>
    <w:p>
      <w:pPr>
        <w:ind w:firstLine="480"/>
        <w:jc w:val="left"/>
        <w:spacing w:line="360" w:lineRule="auto"/>
        <w:shd w:val="clear" w:color="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采购人（以下称甲方）：</w:t>
      </w:r>
      <w:r>
        <w:rPr>
          <w:rFonts w:hint="eastAsia" w:ascii="仿宋" w:hAnsi="仿宋" w:eastAsia="仿宋" w:cs="仿宋"/>
          <w:color w:val="auto"/>
          <w:sz w:val="24"/>
          <w:szCs w:val="24"/>
          <w:u w:val="single"/>
          <w:lang w:val="en-US" w:eastAsia="zh-CN"/>
        </w:rPr>
        <w:t xml:space="preserve">邳州市退役军人事务局     </w:t>
      </w:r>
      <w:r/>
    </w:p>
    <w:p>
      <w:pPr>
        <w:ind w:firstLine="480"/>
        <w:jc w:val="left"/>
        <w:spacing w:line="360" w:lineRule="auto"/>
        <w:shd w:val="clear" w:color="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供应商（以下称乙方）：</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p>
    <w:p>
      <w:pPr>
        <w:ind w:left="0" w:right="6" w:firstLine="482"/>
        <w:jc w:val="both"/>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第一条 甲方为邳州市退役军人事务局重点优抚对象向乙方投保。</w:t>
      </w:r>
      <w:r/>
    </w:p>
    <w:p>
      <w:pPr>
        <w:ind w:left="0" w:right="6" w:firstLine="482"/>
        <w:jc w:val="both"/>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第二条 合同期限</w:t>
      </w:r>
      <w:r/>
    </w:p>
    <w:p>
      <w:pPr>
        <w:ind w:left="0" w:right="6" w:firstLine="480"/>
        <w:jc w:val="both"/>
        <w:spacing w:line="360" w:lineRule="auto"/>
        <w:widowControl w:val="off"/>
        <w:rPr>
          <w:rFonts w:hint="eastAsia" w:ascii="仿宋" w:hAnsi="仿宋" w:eastAsia="仿宋" w:cs="仿宋"/>
          <w:color w:val="auto"/>
          <w:sz w:val="24"/>
          <w:szCs w:val="20"/>
        </w:rPr>
      </w:pPr>
      <w:r>
        <w:rPr>
          <w:rFonts w:hint="eastAsia" w:ascii="仿宋" w:hAnsi="仿宋" w:eastAsia="仿宋" w:cs="仿宋"/>
          <w:color w:val="auto"/>
          <w:sz w:val="24"/>
          <w:szCs w:val="20"/>
          <w:lang w:val="en-US" w:eastAsia="zh-CN" w:bidi="ar-SA"/>
        </w:rPr>
        <w:t xml:space="preserve">保险期限:</w:t>
      </w:r>
      <w:r>
        <w:rPr>
          <w:rFonts w:hint="default" w:ascii="仿宋" w:hAnsi="仿宋" w:eastAsia="仿宋" w:cs="仿宋"/>
          <w:color w:val="auto"/>
          <w:sz w:val="24"/>
          <w:szCs w:val="20"/>
          <w:lang w:eastAsia="zh-CN" w:bidi="ar-SA"/>
        </w:rPr>
        <w:t xml:space="preserve">3年</w:t>
      </w:r>
      <w:r>
        <w:rPr>
          <w:rFonts w:hint="eastAsia" w:ascii="仿宋" w:hAnsi="仿宋" w:eastAsia="仿宋" w:cs="仿宋"/>
          <w:color w:val="auto"/>
          <w:sz w:val="24"/>
          <w:szCs w:val="20"/>
          <w:lang w:val="en-US" w:eastAsia="zh-CN" w:bidi="ar-SA"/>
        </w:rPr>
        <w:t xml:space="preserve">，</w:t>
      </w:r>
      <w:r>
        <w:rPr>
          <w:rFonts w:hint="default" w:ascii="仿宋" w:hAnsi="仿宋" w:eastAsia="仿宋" w:cs="仿宋"/>
          <w:color w:val="auto"/>
          <w:sz w:val="24"/>
          <w:szCs w:val="20"/>
          <w:lang w:eastAsia="zh-CN" w:bidi="ar-SA"/>
        </w:rPr>
        <w:t xml:space="preserve">保险合同一年一签。</w:t>
      </w:r>
      <w:r/>
    </w:p>
    <w:p>
      <w:pPr>
        <w:ind w:left="0" w:right="6" w:firstLine="482"/>
        <w:jc w:val="both"/>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第三条 合同价款及付款方式</w:t>
      </w:r>
      <w:r/>
    </w:p>
    <w:p>
      <w:pPr>
        <w:ind w:left="0" w:right="6" w:firstLine="480"/>
        <w:jc w:val="both"/>
        <w:spacing w:line="360" w:lineRule="auto"/>
        <w:widowControl w:val="off"/>
        <w:rPr>
          <w:rFonts w:hint="default"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1、邳州市退役军人事务局重点优抚对象住院医疗商业保险保费为每人每年300元，参保人员数量</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人，</w:t>
      </w:r>
      <w:r>
        <w:rPr>
          <w:rFonts w:hint="default" w:ascii="仿宋" w:hAnsi="仿宋" w:eastAsia="仿宋" w:cs="仿宋"/>
          <w:color w:val="auto"/>
          <w:sz w:val="24"/>
          <w:szCs w:val="24"/>
          <w:lang w:eastAsia="zh-CN" w:bidi="ar-SA"/>
        </w:rPr>
        <w:t xml:space="preserve">年</w:t>
      </w:r>
      <w:r>
        <w:rPr>
          <w:rFonts w:hint="eastAsia" w:ascii="仿宋" w:hAnsi="仿宋" w:eastAsia="仿宋" w:cs="仿宋"/>
          <w:color w:val="auto"/>
          <w:sz w:val="24"/>
          <w:szCs w:val="24"/>
          <w:lang w:val="en-US" w:eastAsia="zh-CN" w:bidi="ar-SA"/>
        </w:rPr>
        <w:t xml:space="preserve">保费</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元（大写：</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元人民币）</w:t>
      </w:r>
      <w:r>
        <w:rPr>
          <w:rFonts w:hint="default" w:ascii="仿宋" w:hAnsi="仿宋" w:eastAsia="仿宋" w:cs="仿宋"/>
          <w:color w:val="auto"/>
          <w:sz w:val="24"/>
          <w:szCs w:val="24"/>
          <w:lang w:eastAsia="zh-CN" w:bidi="ar-SA"/>
        </w:rPr>
        <w:t xml:space="preserve">，总金额</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元（大写：</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元人民币）。</w:t>
      </w:r>
      <w:r/>
    </w:p>
    <w:p>
      <w:pPr>
        <w:ind w:firstLine="482"/>
        <w:jc w:val="both"/>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highlight w:val="none"/>
        </w:rPr>
        <w:t xml:space="preserve">经双方协商一致</w:t>
      </w:r>
      <w:r>
        <w:rPr>
          <w:rFonts w:hint="eastAsia" w:ascii="仿宋" w:hAnsi="仿宋" w:eastAsia="仿宋" w:cs="仿宋"/>
          <w:color w:val="auto"/>
          <w:sz w:val="24"/>
          <w:szCs w:val="24"/>
          <w:highlight w:val="none"/>
          <w:lang w:eastAsia="zh-CN"/>
        </w:rPr>
        <w:t xml:space="preserve">，</w:t>
      </w:r>
      <w:r>
        <w:rPr>
          <w:rFonts w:hint="default" w:ascii="仿宋" w:hAnsi="仿宋" w:eastAsia="仿宋" w:cs="仿宋"/>
          <w:color w:val="auto"/>
          <w:sz w:val="24"/>
          <w:szCs w:val="24"/>
          <w:highlight w:val="none"/>
          <w:lang w:eastAsia="zh-CN"/>
        </w:rPr>
        <w:t xml:space="preserve">每年保险</w:t>
      </w:r>
      <w:r>
        <w:rPr>
          <w:rFonts w:hint="eastAsia" w:ascii="仿宋" w:hAnsi="仿宋" w:eastAsia="仿宋" w:cs="仿宋"/>
          <w:color w:val="auto"/>
          <w:sz w:val="24"/>
          <w:szCs w:val="24"/>
          <w:highlight w:val="none"/>
        </w:rPr>
        <w:t xml:space="preserve">合同签订生效30日</w:t>
      </w:r>
      <w:r>
        <w:rPr>
          <w:rFonts w:hint="eastAsia" w:ascii="仿宋" w:hAnsi="仿宋" w:eastAsia="仿宋" w:cs="仿宋"/>
          <w:color w:val="auto"/>
          <w:sz w:val="24"/>
          <w:szCs w:val="24"/>
          <w:highlight w:val="none"/>
          <w:lang w:val="en-US" w:eastAsia="zh-CN"/>
        </w:rPr>
        <w:t xml:space="preserve">内</w:t>
      </w:r>
      <w:r>
        <w:rPr>
          <w:rFonts w:hint="eastAsia" w:ascii="仿宋" w:hAnsi="仿宋" w:eastAsia="仿宋" w:cs="仿宋"/>
          <w:color w:val="auto"/>
          <w:sz w:val="24"/>
          <w:szCs w:val="24"/>
          <w:highlight w:val="none"/>
        </w:rPr>
        <w:t xml:space="preserve">，乙方</w:t>
      </w:r>
      <w:r>
        <w:rPr>
          <w:rFonts w:hint="eastAsia" w:ascii="仿宋" w:hAnsi="仿宋" w:eastAsia="仿宋" w:cs="仿宋"/>
          <w:color w:val="auto"/>
          <w:sz w:val="24"/>
          <w:szCs w:val="24"/>
          <w:highlight w:val="none"/>
          <w:lang w:val="en-US" w:eastAsia="zh-CN"/>
        </w:rPr>
        <w:t xml:space="preserve">向甲方</w:t>
      </w:r>
      <w:r>
        <w:rPr>
          <w:rFonts w:hint="eastAsia" w:ascii="仿宋" w:hAnsi="仿宋" w:eastAsia="仿宋" w:cs="仿宋"/>
          <w:color w:val="auto"/>
          <w:sz w:val="24"/>
          <w:szCs w:val="24"/>
          <w:highlight w:val="none"/>
        </w:rPr>
        <w:t xml:space="preserve">开具全额正式发票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凭发票、合同等原始凭证向市财政支付中心申请资金，财政批复后由市财政支付中心直接支付</w:t>
      </w:r>
      <w:r>
        <w:rPr>
          <w:rFonts w:hint="default" w:ascii="仿宋" w:hAnsi="仿宋" w:eastAsia="仿宋" w:cs="仿宋"/>
          <w:color w:val="auto"/>
          <w:sz w:val="24"/>
          <w:szCs w:val="24"/>
          <w:highlight w:val="none"/>
          <w:lang w:eastAsia="zh-CN"/>
        </w:rPr>
        <w:t xml:space="preserve">当年保费</w:t>
      </w:r>
      <w:r>
        <w:rPr>
          <w:rFonts w:hint="eastAsia" w:ascii="仿宋" w:hAnsi="仿宋" w:eastAsia="仿宋" w:cs="仿宋"/>
          <w:color w:val="auto"/>
          <w:sz w:val="24"/>
          <w:szCs w:val="24"/>
          <w:highlight w:val="none"/>
        </w:rPr>
        <w:t xml:space="preserve">。</w:t>
      </w:r>
      <w:r/>
    </w:p>
    <w:p>
      <w:pPr>
        <w:ind w:left="0" w:right="6" w:firstLine="480"/>
        <w:jc w:val="both"/>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卖方需提交的支付文件包括：</w:t>
      </w:r>
      <w:r/>
    </w:p>
    <w:p>
      <w:pPr>
        <w:ind w:left="0" w:right="6" w:firstLine="480"/>
        <w:jc w:val="both"/>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en-US" w:eastAsia="zh-CN" w:bidi="ar-SA"/>
        </w:rPr>
        <w:t xml:space="preserve">卖方出具的全额正式发票；</w:t>
      </w:r>
      <w:r/>
    </w:p>
    <w:p>
      <w:pPr>
        <w:ind w:left="0" w:right="6" w:firstLine="480"/>
        <w:jc w:val="both"/>
        <w:spacing w:line="360" w:lineRule="auto"/>
        <w:widowControl w:val="off"/>
        <w:rPr>
          <w:rFonts w:hint="eastAsia" w:ascii="仿宋" w:hAnsi="仿宋" w:eastAsia="仿宋" w:cs="仿宋"/>
          <w:b/>
          <w:bCs/>
          <w:color w:val="auto"/>
          <w:sz w:val="24"/>
          <w:szCs w:val="24"/>
        </w:rPr>
      </w:pPr>
      <w:r>
        <w:rPr>
          <w:rFonts w:hint="eastAsia" w:ascii="仿宋" w:hAnsi="仿宋" w:eastAsia="仿宋" w:cs="仿宋"/>
          <w:color w:val="auto"/>
          <w:sz w:val="24"/>
          <w:szCs w:val="24"/>
          <w:lang w:val="en-US" w:eastAsia="zh-CN" w:bidi="ar-SA"/>
        </w:rPr>
        <w:t xml:space="preserve">注：保险金的申领及给付：按实际情况在保单约定金额内进行支付，保险理赔款直接支付给被保险人。</w:t>
      </w:r>
      <w:r/>
    </w:p>
    <w:p>
      <w:pPr>
        <w:ind w:left="0" w:right="6" w:firstLine="482"/>
        <w:jc w:val="both"/>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第四条 甲方的权利和义务</w:t>
      </w:r>
      <w:r/>
    </w:p>
    <w:p>
      <w:pPr>
        <w:ind w:left="0" w:right="6"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1.甲方应协助提供参保人员的投保资料。</w:t>
      </w:r>
      <w:r/>
    </w:p>
    <w:p>
      <w:pPr>
        <w:ind w:left="0" w:right="6"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2.甲方应协助乙方进行住院医疗商业保险宣传。</w:t>
      </w:r>
      <w:r/>
    </w:p>
    <w:p>
      <w:pPr>
        <w:ind w:left="0" w:right="6"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3.甲方向乙方支付保费，付款前乙方向甲方开具发票。</w:t>
      </w:r>
      <w:r/>
    </w:p>
    <w:p>
      <w:pPr>
        <w:ind w:left="0" w:right="6"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4.甲方有权对乙方的服务进行满意度调查，满意度分为：非常满意、满意、基本满意、不满意。</w:t>
      </w:r>
      <w:r/>
    </w:p>
    <w:p>
      <w:pPr>
        <w:ind w:left="0" w:right="6" w:firstLine="482"/>
        <w:jc w:val="both"/>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第五条 乙方的权利和义务</w:t>
      </w:r>
      <w:r/>
    </w:p>
    <w:p>
      <w:pPr>
        <w:ind w:left="0" w:right="6"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1.乙方每年应提供团体意外伤害保险基本运行和管理必需的设备、政策宣传、业务培训等服务。</w:t>
      </w:r>
      <w:r/>
    </w:p>
    <w:p>
      <w:pPr>
        <w:ind w:left="0" w:right="6"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2.乙方应确保参保地区的重点优抚对象对本项目保险知晓率达80%以上。</w:t>
      </w:r>
      <w:r/>
    </w:p>
    <w:p>
      <w:pPr>
        <w:ind w:left="0" w:right="6"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3.提供的增值配套服务详见乙方的响应文件[项目编号：</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]。乙方在投标文件中承诺的增值配套服务必须按承诺及时履行，若未按投标文件承诺或未及时履行，甲方可视情况严重程度对乙方做出相应处理。</w:t>
      </w:r>
      <w:r/>
    </w:p>
    <w:p>
      <w:pPr>
        <w:ind w:left="0" w:right="6"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4.乙方对甲方提供的参保人信息以及相关资料承担保密责任，不得用于其他用途，不得向第三方泄露。</w:t>
      </w:r>
      <w:r/>
    </w:p>
    <w:p>
      <w:pPr>
        <w:ind w:left="0" w:right="6"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5.每月5日前提供截止到上月底前的统计资料，包括理赔情况、索赔人员联系电话等。</w:t>
      </w:r>
      <w:r/>
    </w:p>
    <w:p>
      <w:pPr>
        <w:ind w:left="480" w:right="6" w:firstLine="0"/>
        <w:jc w:val="both"/>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第六条 共同责任</w:t>
      </w:r>
      <w:r/>
    </w:p>
    <w:p>
      <w:pPr>
        <w:ind w:firstLine="482"/>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1.甲乙双方合同履行的情况，以及重点优抚对象住院医疗商业保险赔付情况等按规定接受财政、审计等部门的监督。</w:t>
      </w:r>
      <w:r/>
    </w:p>
    <w:p>
      <w:pPr>
        <w:ind w:firstLine="482"/>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2.乙方在保险期间内出现新情况或遭遇突发事件，要及时通报甲方。</w:t>
      </w:r>
      <w:r/>
    </w:p>
    <w:p>
      <w:pPr>
        <w:ind w:firstLine="482"/>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3.甲乙双方要对相关工作人员进行重点优抚对象住院医疗商业保险保障范围、理赔知识等方面的培训，以利于索赔。</w:t>
      </w:r>
      <w:r/>
    </w:p>
    <w:p>
      <w:pPr>
        <w:ind w:firstLine="482"/>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4.合同结束或提前终止前已发生但未结算的重点优抚对象住院医疗商业保险理赔款由乙方支付。甲乙双方协商有效办法，落实结算责任，保障参保人的权益。</w:t>
      </w:r>
      <w:r/>
    </w:p>
    <w:p>
      <w:pPr>
        <w:ind w:firstLine="480"/>
        <w:jc w:val="both"/>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第七条 管理与评价</w:t>
      </w:r>
      <w:r/>
    </w:p>
    <w:p>
      <w:pPr>
        <w:ind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1.乙方接受甲方的工作指导与监督检查。</w:t>
      </w:r>
      <w:r/>
    </w:p>
    <w:p>
      <w:pPr>
        <w:ind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2.甲方有权邀请第三方专业机构组成考核小组对乙方相关工作进行评价，内容包括但不限于：本合同履行情况、理赔时限情况、服务质量情况、群众满意度等，乙方须积极配合。</w:t>
      </w:r>
      <w:r/>
    </w:p>
    <w:p>
      <w:pPr>
        <w:ind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b/>
          <w:bCs/>
          <w:color w:val="auto"/>
          <w:sz w:val="24"/>
          <w:szCs w:val="24"/>
          <w:lang w:val="en-US" w:eastAsia="zh-CN" w:bidi="ar-SA"/>
        </w:rPr>
        <w:t xml:space="preserve">第八条 违约责任</w:t>
      </w:r>
      <w:r/>
    </w:p>
    <w:p>
      <w:pPr>
        <w:ind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甲、乙双方因违反合同约定或发生其他严重损害参保人权益的情况，合同双方可以提前终止或解除合作，并就违约情况提请有关部门依法追究责任。</w:t>
      </w:r>
      <w:r/>
    </w:p>
    <w:p>
      <w:pPr>
        <w:ind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乙方利用专业技术和行业信息优势之便，故意隐瞒和掩盖自身过失，违背承诺和未尽义务，甲方均可追究乙方的违约责任并索取赔偿，且不受合同时效的限制。</w:t>
      </w:r>
      <w:r/>
    </w:p>
    <w:p>
      <w:pPr>
        <w:ind w:firstLine="480"/>
        <w:jc w:val="both"/>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第九条 违约处罚</w:t>
      </w:r>
      <w:r/>
    </w:p>
    <w:p>
      <w:pPr>
        <w:ind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调查的群众满意度，如发生服务对象群体性上访事件或重大负面舆情，影响保险工作正常推进的，取消其中标资格。</w:t>
      </w:r>
      <w:r/>
    </w:p>
    <w:p>
      <w:pPr>
        <w:ind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乙方未履行责任的，甲方有权视情况严重程度对乙方做出相应违约处罚。情节严重的解除该合同，乙方违约给甲方造成的损失，应当依法赔偿损失，并报相关部门依法追究其法律责任。</w:t>
      </w:r>
      <w:r/>
    </w:p>
    <w:p>
      <w:pPr>
        <w:ind w:firstLine="36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第十条 甲、乙双方发生有关重点优抚对象住院医疗商业保险争议时，可通过协商解决；如果协商不能解决争议，向</w:t>
      </w:r>
      <w:r>
        <w:rPr>
          <w:rFonts w:hint="eastAsia" w:ascii="仿宋" w:hAnsi="仿宋" w:eastAsia="仿宋" w:cs="仿宋"/>
          <w:color w:val="auto"/>
          <w:sz w:val="24"/>
          <w:szCs w:val="24"/>
          <w:u w:val="single"/>
          <w:lang w:val="en-US" w:eastAsia="zh-CN" w:bidi="ar-SA"/>
        </w:rPr>
        <w:t xml:space="preserve"> 邳州市 </w:t>
      </w:r>
      <w:r>
        <w:rPr>
          <w:rFonts w:hint="eastAsia" w:ascii="仿宋" w:hAnsi="仿宋" w:eastAsia="仿宋" w:cs="仿宋"/>
          <w:color w:val="auto"/>
          <w:sz w:val="24"/>
          <w:szCs w:val="24"/>
          <w:lang w:val="en-US" w:eastAsia="zh-CN" w:bidi="ar-SA"/>
        </w:rPr>
        <w:t xml:space="preserve">人民法院提起诉讼。</w:t>
      </w:r>
      <w:r/>
    </w:p>
    <w:p>
      <w:pPr>
        <w:ind w:firstLine="36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第十一条 任何一方由于不可抗力原因不能履行合同时，应在不可抗力事件发生后24小时内向对方通报，以减轻可能给对方造成的损失，在取得有关机构的不可抗力证明或双方谅解确认后，允许延期履行或修订合同，并根据情况可部分或全部免于承担违约责任。</w:t>
      </w:r>
      <w:r/>
    </w:p>
    <w:p>
      <w:pPr>
        <w:ind w:firstLine="36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第十二条 如乙方因非不可抗力原因不能履行合同，影响了参保人权益，甲方按政策规定履行职能，甲方赔付参保人员的保险费用由乙方承担并报相关部门追究其责任。</w:t>
      </w:r>
      <w:r/>
    </w:p>
    <w:p>
      <w:pPr>
        <w:ind w:firstLine="36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第十三条 本项目磋商文件[编号：</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和乙方响应文件均为本合同不可分割的有效组成部分，与本合同具有同等的法律效力和履约义务。本合同解释权归甲方所有，对履行本合同的争议及分歧由甲方按照相关法律法规政策规定及甲方以前的惯例向乙方释明，乙方必须无条件接受。</w:t>
      </w:r>
      <w:r/>
    </w:p>
    <w:p>
      <w:pPr>
        <w:ind w:firstLine="36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第十四条 本合同在甲乙双方盖章后生效。</w:t>
      </w:r>
      <w:r/>
    </w:p>
    <w:p>
      <w:pPr>
        <w:ind w:firstLine="36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第十五条 本合同其他未尽事宜由甲乙双方协商，签订协议或补充合同。</w:t>
      </w:r>
      <w:r/>
    </w:p>
    <w:p>
      <w:pPr>
        <w:ind w:firstLine="36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本合同一式</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份，甲、乙双方各执</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份，采购代理机构</w:t>
      </w:r>
      <w:r>
        <w:rPr>
          <w:rFonts w:hint="eastAsia" w:ascii="仿宋" w:hAnsi="仿宋" w:eastAsia="仿宋" w:cs="仿宋"/>
          <w:color w:val="auto"/>
          <w:sz w:val="24"/>
          <w:szCs w:val="24"/>
          <w:u w:val="single"/>
          <w:lang w:val="en-US" w:eastAsia="zh-CN" w:bidi="ar-SA"/>
        </w:rPr>
        <w:t xml:space="preserve">壹</w:t>
      </w:r>
      <w:r>
        <w:rPr>
          <w:rFonts w:hint="eastAsia" w:ascii="仿宋" w:hAnsi="仿宋" w:eastAsia="仿宋" w:cs="仿宋"/>
          <w:color w:val="auto"/>
          <w:sz w:val="24"/>
          <w:szCs w:val="24"/>
          <w:lang w:val="en-US" w:eastAsia="zh-CN" w:bidi="ar-SA"/>
        </w:rPr>
        <w:t xml:space="preserve">份存档，具有同等法律效力。</w:t>
      </w:r>
      <w:r/>
    </w:p>
    <w:p>
      <w:pPr>
        <w:ind w:left="480" w:hanging="480"/>
        <w:jc w:val="both"/>
        <w:spacing w:line="360" w:lineRule="auto"/>
        <w:shd w:val="clear" w:color="auto"/>
        <w:widowControl w:val="off"/>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bidi="ar-SA"/>
        </w:rPr>
        <w:t xml:space="preserve">  甲方：                                   乙方： </w:t>
      </w:r>
      <w:r/>
    </w:p>
    <w:p>
      <w:pPr>
        <w:jc w:val="both"/>
        <w:spacing w:line="360" w:lineRule="auto"/>
        <w:shd w:val="clear" w:color="auto"/>
        <w:widowControl w:val="off"/>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bidi="ar-SA"/>
        </w:rPr>
        <w:t xml:space="preserve">  法定（授权）代表人：                     法定（授权）代表人：</w:t>
      </w:r>
      <w:r/>
    </w:p>
    <w:p>
      <w:pPr>
        <w:jc w:val="both"/>
        <w:spacing w:line="360" w:lineRule="auto"/>
        <w:shd w:val="clear" w:color="auto"/>
        <w:widowControl w:val="off"/>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bidi="ar-SA"/>
        </w:rPr>
        <w:t xml:space="preserve">  地址：                                   地址： </w:t>
      </w:r>
      <w:r/>
    </w:p>
    <w:p>
      <w:pPr>
        <w:jc w:val="both"/>
        <w:spacing w:line="360" w:lineRule="auto"/>
        <w:shd w:val="clear" w:color="auto"/>
        <w:widowControl w:val="off"/>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bidi="ar-SA"/>
        </w:rPr>
        <w:t xml:space="preserve">  邮编：                                   邮编: </w:t>
      </w:r>
      <w:r/>
    </w:p>
    <w:p>
      <w:pPr>
        <w:jc w:val="both"/>
        <w:spacing w:line="360" w:lineRule="auto"/>
        <w:shd w:val="clear" w:color="auto"/>
        <w:widowControl w:val="off"/>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bidi="ar-SA"/>
        </w:rPr>
        <w:t xml:space="preserve">  电话：                                   电话： </w:t>
      </w:r>
      <w:r/>
    </w:p>
    <w:p>
      <w:pPr>
        <w:jc w:val="both"/>
        <w:spacing w:line="360" w:lineRule="auto"/>
        <w:shd w:val="clear" w:color="auto"/>
        <w:widowControl w:val="off"/>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bidi="ar-SA"/>
        </w:rPr>
        <w:t xml:space="preserve">  开户银行：                               开户银行：</w:t>
      </w:r>
      <w:r/>
    </w:p>
    <w:p>
      <w:pPr>
        <w:jc w:val="both"/>
        <w:spacing w:line="360" w:lineRule="auto"/>
        <w:shd w:val="clear" w:color="auto"/>
        <w:widowControl w:val="off"/>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bidi="ar-SA"/>
        </w:rPr>
        <w:t xml:space="preserve">  账号：                                   账号：</w:t>
      </w:r>
      <w:r/>
    </w:p>
    <w:p>
      <w:pPr>
        <w:jc w:val="both"/>
        <w:spacing w:line="360" w:lineRule="auto"/>
        <w:shd w:val="clear" w:color="auto"/>
        <w:widowControl w:val="off"/>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bidi="ar-SA"/>
        </w:rPr>
        <w:t xml:space="preserve">  日期：                                   日期：</w:t>
      </w:r>
      <w:r/>
    </w:p>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zh-CN"/>
        </w:rPr>
        <w:t xml:space="preserve">买卖双方可根据项目实际情况，经协商一致可对本合同范本内容作出相应调整。</w:t>
      </w:r>
      <w:r/>
    </w:p>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zh-CN"/>
        </w:rPr>
        <w:br w:type="page" w:clear="all"/>
      </w:r>
      <w:r>
        <w:rPr>
          <w:rFonts w:hint="eastAsia" w:ascii="仿宋" w:hAnsi="仿宋" w:eastAsia="仿宋" w:cs="仿宋"/>
          <w:b/>
          <w:bCs/>
          <w:color w:val="auto"/>
          <w:sz w:val="24"/>
          <w:highlight w:val="none"/>
          <w:lang w:val="zh-CN"/>
        </w:rPr>
        <w:t xml:space="preserve">                            </w:t>
      </w:r>
      <w:r>
        <w:rPr>
          <w:rFonts w:hint="eastAsia" w:ascii="仿宋" w:hAnsi="仿宋" w:eastAsia="仿宋" w:cs="仿宋"/>
          <w:b/>
          <w:color w:val="auto"/>
          <w:sz w:val="36"/>
          <w:highlight w:val="none"/>
          <w:lang w:val="en-US" w:eastAsia="zh-CN"/>
        </w:rPr>
        <w:t xml:space="preserve">5</w:t>
      </w:r>
      <w:r>
        <w:rPr>
          <w:rFonts w:hint="eastAsia" w:ascii="仿宋" w:hAnsi="仿宋" w:eastAsia="仿宋" w:cs="仿宋"/>
          <w:b/>
          <w:color w:val="auto"/>
          <w:sz w:val="36"/>
          <w:highlight w:val="none"/>
        </w:rPr>
        <w:t xml:space="preserve">、承诺书</w:t>
      </w:r>
      <w:r/>
    </w:p>
    <w:p>
      <w:pPr>
        <w:pStyle w:val="753"/>
        <w:jc w:val="center"/>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53"/>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致</w:t>
      </w:r>
      <w:r>
        <w:rPr>
          <w:rFonts w:hint="eastAsia" w:ascii="仿宋" w:hAnsi="仿宋" w:eastAsia="仿宋" w:cs="仿宋"/>
          <w:color w:val="auto"/>
          <w:sz w:val="24"/>
          <w:szCs w:val="24"/>
          <w:highlight w:val="none"/>
          <w:lang w:eastAsia="zh-CN"/>
        </w:rPr>
        <w:t xml:space="preserve">徐州公信招标代理有限公司</w:t>
      </w:r>
      <w:r>
        <w:rPr>
          <w:rFonts w:hint="eastAsia" w:ascii="仿宋" w:hAnsi="仿宋" w:eastAsia="仿宋" w:cs="仿宋"/>
          <w:color w:val="auto"/>
          <w:sz w:val="24"/>
          <w:szCs w:val="24"/>
          <w:highlight w:val="none"/>
        </w:rPr>
        <w:t xml:space="preserve">：</w:t>
      </w:r>
      <w:r/>
    </w:p>
    <w:p>
      <w:pPr>
        <w:pStyle w:val="958"/>
        <w:ind w:firstLine="56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根据贵方《</w:t>
      </w:r>
      <w:r>
        <w:rPr>
          <w:rFonts w:hint="eastAsia" w:ascii="仿宋" w:hAnsi="仿宋" w:eastAsia="仿宋" w:cs="仿宋"/>
          <w:bCs/>
          <w:color w:val="auto"/>
          <w:sz w:val="24"/>
          <w:szCs w:val="24"/>
          <w:highlight w:val="none"/>
        </w:rPr>
        <w:t xml:space="preserve">磋商文件</w:t>
      </w: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JSZC-320382-GXZB-C2026-0003</w:t>
      </w:r>
      <w:r>
        <w:rPr>
          <w:rFonts w:hint="eastAsia" w:ascii="仿宋" w:hAnsi="仿宋" w:eastAsia="仿宋" w:cs="仿宋"/>
          <w:color w:val="auto"/>
          <w:sz w:val="24"/>
          <w:szCs w:val="24"/>
          <w:highlight w:val="none"/>
        </w:rPr>
        <w:t xml:space="preserve">）要求，本供应商正式提交以下首次响应文件。</w:t>
      </w:r>
      <w:r/>
    </w:p>
    <w:p>
      <w:pPr>
        <w:pStyle w:val="958"/>
        <w:ind w:firstLine="48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3" name="直接连接符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flip:y;visibility:visible;" from="147.0pt,1.3pt" to="147.1pt,2.6pt" filled="f" strokecolor="#000000"/>
            </w:pict>
          </mc:Fallback>
        </mc:AlternateContent>
      </w:r>
      <w:r>
        <w:rPr>
          <w:rFonts w:hint="eastAsia" w:ascii="仿宋" w:hAnsi="仿宋" w:eastAsia="仿宋" w:cs="仿宋"/>
          <w:color w:val="auto"/>
          <w:sz w:val="24"/>
          <w:szCs w:val="24"/>
          <w:highlight w:val="none"/>
        </w:rPr>
        <w:t xml:space="preserve">（1）承诺书； </w:t>
      </w:r>
      <w:r/>
    </w:p>
    <w:p>
      <w:pPr>
        <w:pStyle w:val="958"/>
        <w:ind w:firstLine="48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（2）磋商报价表； </w:t>
      </w:r>
      <w:r/>
    </w:p>
    <w:p>
      <w:pPr>
        <w:pStyle w:val="958"/>
        <w:ind w:firstLine="48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（3）偏离表；</w:t>
      </w:r>
      <w:r/>
    </w:p>
    <w:p>
      <w:pPr>
        <w:pStyle w:val="958"/>
        <w:ind w:firstLine="48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（4）磋商</w:t>
      </w:r>
      <w:r>
        <w:rPr>
          <w:rFonts w:hint="eastAsia" w:ascii="仿宋" w:hAnsi="仿宋" w:eastAsia="仿宋" w:cs="仿宋"/>
          <w:bCs/>
          <w:color w:val="auto"/>
          <w:sz w:val="24"/>
          <w:szCs w:val="24"/>
          <w:highlight w:val="none"/>
        </w:rPr>
        <w:t xml:space="preserve">文件</w:t>
      </w:r>
      <w:r>
        <w:rPr>
          <w:rFonts w:hint="eastAsia" w:ascii="仿宋" w:hAnsi="仿宋" w:eastAsia="仿宋" w:cs="仿宋"/>
          <w:color w:val="auto"/>
          <w:sz w:val="24"/>
          <w:szCs w:val="24"/>
          <w:highlight w:val="none"/>
        </w:rPr>
        <w:t xml:space="preserve">要求提供的其他响应文件。</w:t>
      </w:r>
      <w:r/>
    </w:p>
    <w:p>
      <w:pPr>
        <w:pStyle w:val="958"/>
        <w:ind w:firstLine="48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我单位符合《中华人民共和国政府采购法》第二十二条的规定，符合本项目供应商资格要求。</w:t>
      </w:r>
      <w:r/>
    </w:p>
    <w:p>
      <w:pPr>
        <w:pStyle w:val="958"/>
        <w:ind w:firstLine="48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我单位按照磋商文件的要求编制响应文件，并对其提交的响应文件的真实性、合法性承担法律责任。</w:t>
      </w:r>
      <w:r/>
    </w:p>
    <w:p>
      <w:pPr>
        <w:pStyle w:val="753"/>
        <w:ind w:right="29" w:firstLine="56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供应商兹宣布同意如下: </w:t>
      </w:r>
      <w:r/>
    </w:p>
    <w:p>
      <w:pPr>
        <w:pStyle w:val="958"/>
        <w:ind w:firstLine="56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4"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46.8pt,23.4pt" to="246.8pt,23.4pt" filled="f" strokecolor="#000000"/>
            </w:pict>
          </mc:Fallback>
        </mc:AlternateContent>
      </w: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5"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仿宋" w:hAnsi="仿宋" w:eastAsia="仿宋" w:cs="仿宋"/>
          <w:color w:val="auto"/>
          <w:sz w:val="24"/>
          <w:szCs w:val="24"/>
          <w:highlight w:val="none"/>
        </w:rPr>
        <w:t xml:space="preserve">一、完全承担根据《磋商文件》规定完成合同的责任和义务（如有偏离，将全部填写在偏离表中）。</w:t>
      </w:r>
      <w:r/>
    </w:p>
    <w:p>
      <w:pPr>
        <w:pStyle w:val="958"/>
        <w:ind w:firstLine="56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cs="仿宋"/>
          <w:color w:val="auto"/>
          <w:sz w:val="24"/>
          <w:szCs w:val="24"/>
          <w:highlight w:val="none"/>
        </w:rPr>
        <w:t xml:space="preserve">二、保证所提供的响应文件及所有材料的真实、合法、有效，并对其负责。</w:t>
      </w:r>
      <w:r/>
    </w:p>
    <w:p>
      <w:pPr>
        <w:pStyle w:val="753"/>
        <w:ind w:firstLine="56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三、已详细审核竞争性磋商文件（含竞争性磋商文件的澄清或者修改），本供应商完全理解并同意放弃对这方面不明及误解的权利。</w:t>
      </w:r>
      <w:r/>
    </w:p>
    <w:p>
      <w:pPr>
        <w:pStyle w:val="753"/>
        <w:ind w:right="29" w:firstLine="56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四、所供货物保证符合国家有关产品质量、性能和安全标准，无权利瑕疵。</w:t>
      </w:r>
      <w:r/>
    </w:p>
    <w:p>
      <w:pPr>
        <w:pStyle w:val="753"/>
        <w:ind w:right="29" w:firstLine="56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五、报价有效期为30个工作日。</w:t>
      </w:r>
      <w:r/>
    </w:p>
    <w:p>
      <w:pPr>
        <w:pStyle w:val="753"/>
        <w:ind w:right="29" w:firstLine="56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六、同意向贵方提供贵方可能要求的与本次磋商采购有关的任何证据或资料。</w:t>
      </w:r>
      <w:r/>
    </w:p>
    <w:p>
      <w:pPr>
        <w:pStyle w:val="753"/>
        <w:ind w:right="29" w:firstLine="56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七、完全理解贵方不一定要接受最低的报价或收到的任何报价。</w:t>
      </w:r>
      <w:r/>
    </w:p>
    <w:p>
      <w:pPr>
        <w:pStyle w:val="753"/>
        <w:ind w:right="29" w:firstLine="56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八、供应商同意在授予合同后，按照磋商文件的有关规定支付代理服务费。</w:t>
      </w:r>
      <w:r/>
    </w:p>
    <w:p>
      <w:pPr>
        <w:pStyle w:val="753"/>
        <w:ind w:right="29" w:firstLine="56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w:t>
      </w:r>
      <w:r>
        <w:rPr>
          <w:rFonts w:hint="eastAsia" w:ascii="仿宋" w:hAnsi="仿宋" w:eastAsia="仿宋" w:cs="仿宋"/>
          <w:color w:val="auto"/>
          <w:sz w:val="24"/>
          <w:szCs w:val="24"/>
          <w:highlight w:val="none"/>
          <w:lang w:eastAsia="zh-CN"/>
        </w:rPr>
        <w:t xml:space="preserve">徐州公信招标代理有限公司</w:t>
      </w:r>
      <w:r>
        <w:rPr>
          <w:rFonts w:hint="eastAsia" w:ascii="仿宋" w:hAnsi="仿宋" w:eastAsia="仿宋" w:cs="仿宋"/>
          <w:color w:val="auto"/>
          <w:sz w:val="24"/>
          <w:szCs w:val="24"/>
          <w:highlight w:val="none"/>
        </w:rPr>
        <w:t xml:space="preserve">有权将我单位本项目的《磋商报价表》和《分项价格表》予以公示，公示的方式由</w:t>
      </w:r>
      <w:r>
        <w:rPr>
          <w:rFonts w:hint="eastAsia" w:ascii="仿宋" w:hAnsi="仿宋" w:eastAsia="仿宋" w:cs="仿宋"/>
          <w:color w:val="auto"/>
          <w:sz w:val="24"/>
          <w:szCs w:val="24"/>
          <w:highlight w:val="none"/>
          <w:lang w:eastAsia="zh-CN"/>
        </w:rPr>
        <w:t xml:space="preserve">徐州公信招标代理有限公司</w:t>
      </w:r>
      <w:r>
        <w:rPr>
          <w:rFonts w:hint="eastAsia" w:ascii="仿宋" w:hAnsi="仿宋" w:eastAsia="仿宋" w:cs="仿宋"/>
          <w:color w:val="auto"/>
          <w:sz w:val="24"/>
          <w:szCs w:val="24"/>
          <w:highlight w:val="none"/>
        </w:rPr>
        <w:t xml:space="preserve">确定。</w:t>
      </w:r>
      <w:r/>
    </w:p>
    <w:p>
      <w:pPr>
        <w:pStyle w:val="753"/>
        <w:ind w:right="29" w:firstLine="56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53"/>
        <w:ind w:right="29" w:firstLine="252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供应商（公章）：</w:t>
      </w:r>
      <w:r/>
    </w:p>
    <w:p>
      <w:pPr>
        <w:pStyle w:val="753"/>
        <w:ind w:right="29" w:firstLine="252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法定代表人（负责人）或授权代表（签字或盖章）：  </w:t>
      </w:r>
      <w:r/>
    </w:p>
    <w:p>
      <w:pPr>
        <w:pStyle w:val="753"/>
        <w:ind w:firstLine="252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p>
      <w:pPr>
        <w:pStyle w:val="753"/>
        <w:ind w:firstLine="252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移动电话：</w:t>
      </w:r>
      <w:r/>
    </w:p>
    <w:p>
      <w:pPr>
        <w:pStyle w:val="753"/>
        <w:ind w:right="29" w:firstLine="252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p>
    <w:p>
      <w:pPr>
        <w:pStyle w:val="753"/>
        <w:jc w:val="center"/>
        <w:spacing w:line="380" w:lineRule="exact"/>
        <w:rPr>
          <w:rFonts w:hint="eastAsia" w:ascii="仿宋" w:hAnsi="仿宋" w:eastAsia="仿宋" w:cs="仿宋"/>
          <w:b/>
          <w:color w:val="auto"/>
          <w:sz w:val="36"/>
          <w:szCs w:val="36"/>
          <w:highlight w:val="none"/>
        </w:rPr>
      </w:pPr>
      <w:r>
        <w:rPr>
          <w:rFonts w:hint="eastAsia" w:ascii="仿宋" w:hAnsi="仿宋" w:eastAsia="仿宋" w:cs="仿宋"/>
          <w:b/>
          <w:color w:val="auto"/>
          <w:sz w:val="24"/>
          <w:szCs w:val="24"/>
          <w:highlight w:val="none"/>
        </w:rPr>
        <w:br w:type="page" w:clear="all"/>
      </w:r>
      <w:r>
        <w:rPr>
          <w:rFonts w:hint="eastAsia" w:ascii="仿宋" w:hAnsi="仿宋" w:eastAsia="仿宋" w:cs="仿宋"/>
          <w:b/>
          <w:color w:val="auto"/>
          <w:sz w:val="36"/>
          <w:szCs w:val="36"/>
          <w:highlight w:val="none"/>
          <w:lang w:val="en-US" w:eastAsia="zh-CN"/>
        </w:rPr>
        <w:t xml:space="preserve">6</w:t>
      </w:r>
      <w:r>
        <w:rPr>
          <w:rFonts w:hint="eastAsia" w:ascii="仿宋" w:hAnsi="仿宋" w:eastAsia="仿宋" w:cs="仿宋"/>
          <w:b/>
          <w:color w:val="auto"/>
          <w:sz w:val="36"/>
          <w:szCs w:val="36"/>
          <w:highlight w:val="none"/>
        </w:rPr>
        <w:t xml:space="preserve">、授权委托书</w:t>
      </w:r>
      <w:r/>
    </w:p>
    <w:p>
      <w:pPr>
        <w:pStyle w:val="753"/>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委托人（全称）：</w:t>
      </w:r>
      <w:r/>
    </w:p>
    <w:p>
      <w:pPr>
        <w:pStyle w:val="753"/>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p>
    <w:p>
      <w:pPr>
        <w:pStyle w:val="753"/>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法定代表人（负责人）：              </w:t>
      </w:r>
      <w:r/>
    </w:p>
    <w:p>
      <w:pPr>
        <w:pStyle w:val="753"/>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统一社会信用代码：</w:t>
      </w:r>
      <w:r/>
    </w:p>
    <w:p>
      <w:pPr>
        <w:pStyle w:val="753"/>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53"/>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受托人：                  先生（女士）</w:t>
      </w:r>
      <w:r/>
    </w:p>
    <w:p>
      <w:pPr>
        <w:pStyle w:val="753"/>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w:t>
      </w:r>
      <w:r/>
    </w:p>
    <w:p>
      <w:pPr>
        <w:pStyle w:val="753"/>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53"/>
        <w:ind w:firstLine="63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兹委托（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）全权代表我企业（公司）参与</w:t>
      </w:r>
      <w:r>
        <w:rPr>
          <w:rFonts w:hint="eastAsia" w:ascii="仿宋" w:hAnsi="仿宋" w:eastAsia="仿宋" w:cs="仿宋"/>
          <w:color w:val="auto"/>
          <w:sz w:val="24"/>
          <w:szCs w:val="24"/>
          <w:highlight w:val="none"/>
          <w:lang w:eastAsia="zh-CN"/>
        </w:rPr>
        <w:t xml:space="preserve">邳州市退役军人事务局重点优抚对象住院医疗商业保险</w:t>
      </w:r>
      <w:r>
        <w:rPr>
          <w:rFonts w:hint="eastAsia" w:ascii="仿宋" w:hAnsi="仿宋" w:eastAsia="仿宋" w:cs="仿宋"/>
          <w:color w:val="auto"/>
          <w:sz w:val="24"/>
          <w:szCs w:val="24"/>
          <w:highlight w:val="none"/>
        </w:rPr>
        <w:t xml:space="preserve">项目[项目编号：</w:t>
      </w:r>
      <w:r>
        <w:rPr>
          <w:rFonts w:hint="eastAsia" w:ascii="仿宋" w:hAnsi="仿宋" w:eastAsia="仿宋" w:cs="仿宋"/>
          <w:color w:val="auto"/>
          <w:sz w:val="24"/>
          <w:szCs w:val="24"/>
          <w:highlight w:val="none"/>
          <w:lang w:eastAsia="zh-CN"/>
        </w:rPr>
        <w:t xml:space="preserve">JSZC-320382-GXZB-C2026-0003</w:t>
      </w:r>
      <w:r>
        <w:rPr>
          <w:rFonts w:hint="eastAsia" w:ascii="仿宋" w:hAnsi="仿宋" w:eastAsia="仿宋" w:cs="仿宋"/>
          <w:color w:val="auto"/>
          <w:sz w:val="24"/>
          <w:szCs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753"/>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53"/>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53"/>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委托人（公章）：</w:t>
      </w:r>
      <w:r/>
    </w:p>
    <w:p>
      <w:pPr>
        <w:pStyle w:val="753"/>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法定代表人（负责人）（签字）：</w:t>
      </w:r>
      <w:r/>
    </w:p>
    <w:p>
      <w:pPr>
        <w:pStyle w:val="753"/>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受托人（签字）：</w:t>
      </w:r>
      <w:r/>
    </w:p>
    <w:p>
      <w:pPr>
        <w:pStyle w:val="753"/>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(受托人身份证复印件附后)</w:t>
      </w:r>
      <w:r/>
    </w:p>
    <w:p>
      <w:pPr>
        <w:pStyle w:val="753"/>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53"/>
        <w:ind w:firstLine="4155"/>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年   月   日</w:t>
      </w:r>
      <w:r/>
    </w:p>
    <w:p>
      <w:pPr>
        <w:pStyle w:val="753"/>
        <w:jc w:val="center"/>
        <w:spacing w:line="380" w:lineRule="exact"/>
        <w:widowControl/>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r>
      <w:r/>
    </w:p>
    <w:p>
      <w:pPr>
        <w:pStyle w:val="753"/>
        <w:jc w:val="center"/>
        <w:spacing w:line="38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53"/>
        <w:jc w:val="center"/>
        <w:spacing w:line="380" w:lineRule="exact"/>
        <w:widowControl/>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pStyle w:val="753"/>
        <w:jc w:val="center"/>
        <w:spacing w:line="380" w:lineRule="exact"/>
        <w:widowControl/>
        <w:rPr>
          <w:rFonts w:hint="eastAsia" w:ascii="仿宋" w:hAnsi="仿宋" w:eastAsia="仿宋" w:cs="仿宋"/>
          <w:b/>
          <w:color w:val="auto"/>
          <w:sz w:val="28"/>
          <w:szCs w:val="28"/>
          <w:highlight w:val="none"/>
        </w:rPr>
      </w:pPr>
      <w:r>
        <w:rPr>
          <w:rFonts w:hint="eastAsia" w:ascii="仿宋" w:hAnsi="仿宋" w:eastAsia="仿宋" w:cs="仿宋"/>
          <w:b/>
          <w:color w:val="auto"/>
          <w:sz w:val="36"/>
          <w:szCs w:val="36"/>
          <w:highlight w:val="none"/>
        </w:rPr>
        <w:br w:type="page" w:clear="all"/>
      </w:r>
      <w:r>
        <w:rPr>
          <w:rFonts w:hint="eastAsia" w:ascii="仿宋" w:hAnsi="仿宋" w:eastAsia="仿宋" w:cs="仿宋"/>
          <w:b/>
          <w:color w:val="auto"/>
          <w:sz w:val="36"/>
          <w:szCs w:val="36"/>
          <w:highlight w:val="none"/>
          <w:lang w:val="en-US" w:eastAsia="zh-CN"/>
        </w:rPr>
        <w:t xml:space="preserve">7</w:t>
      </w:r>
      <w:r>
        <w:rPr>
          <w:rFonts w:hint="eastAsia" w:ascii="仿宋" w:hAnsi="仿宋" w:eastAsia="仿宋" w:cs="仿宋"/>
          <w:b/>
          <w:color w:val="auto"/>
          <w:sz w:val="36"/>
          <w:szCs w:val="36"/>
          <w:highlight w:val="none"/>
        </w:rPr>
        <w:t xml:space="preserve">、中小企业声明函</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本公司（联合体）郑重声明，根据《政府采购促进中小企业发展管理办法》（财库﹝2020﹞46 号）的规定，本公司 （联合体）参加（单位名称）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（项目名称）采购活动，服务全部由符合政策要求的中小企业承接。相关企业（含联合体中的中小企业、签订分包意向协议的中小企业）的具体情况如下：</w:t>
      </w:r>
      <w:r/>
    </w:p>
    <w:p>
      <w:pPr>
        <w:numPr>
          <w:ilvl w:val="0"/>
          <w:numId w:val="2"/>
        </w:num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（采购文件中明确的所属行业）</w:t>
      </w:r>
      <w:r>
        <w:rPr>
          <w:rFonts w:hint="eastAsia" w:ascii="仿宋" w:hAnsi="仿宋" w:eastAsia="仿宋" w:cs="仿宋"/>
          <w:color w:val="auto"/>
          <w:sz w:val="24"/>
          <w:szCs w:val="24"/>
          <w:highlight w:val="none"/>
        </w:rPr>
        <w:t xml:space="preserve">；承接企业为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w:t>
      </w:r>
      <w:r>
        <w:rPr>
          <w:rFonts w:hint="eastAsia" w:ascii="仿宋" w:hAnsi="仿宋" w:eastAsia="仿宋" w:cs="仿宋"/>
          <w:color w:val="auto"/>
          <w:sz w:val="24"/>
          <w:szCs w:val="24"/>
          <w:highlight w:val="none"/>
          <w:vertAlign w:val="superscript"/>
          <w:lang w:bidi="ar"/>
        </w:rPr>
        <w:t xml:space="preserve">1</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none"/>
        </w:rPr>
        <w:t xml:space="preserve">中型企业、 小型企业、微型企业）</w:t>
      </w:r>
      <w:r>
        <w:rPr>
          <w:rFonts w:hint="eastAsia" w:ascii="仿宋" w:hAnsi="仿宋" w:eastAsia="仿宋" w:cs="仿宋"/>
          <w:color w:val="auto"/>
          <w:sz w:val="24"/>
          <w:szCs w:val="24"/>
          <w:highlight w:val="none"/>
        </w:rPr>
        <w:t xml:space="preserve">；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 为大企业的情形，也不存在与大企业的负责人为同一人的情 形。</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 法承担相应责任。 </w:t>
      </w:r>
      <w:r/>
    </w:p>
    <w:p>
      <w:pPr>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righ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企业名称（盖章）：</w:t>
      </w:r>
      <w:r/>
    </w:p>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 期</w:t>
      </w:r>
      <w:r/>
    </w:p>
    <w:p>
      <w:pPr>
        <w:pStyle w:val="753"/>
        <w:ind w:firstLine="525"/>
        <w:jc w:val="left"/>
        <w:keepLines w:val="0"/>
        <w:keepNext w:val="0"/>
        <w:pageBreakBefore w:val="0"/>
        <w:spacing w:before="100" w:beforeAutospacing="1" w:after="100" w:afterAutospacing="1"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ind w:left="0" w:right="0" w:firstLine="482"/>
        <w:jc w:val="left"/>
        <w:keepLines w:val="0"/>
        <w:keepNext w:val="0"/>
        <w:pageBreakBefore w:val="0"/>
        <w:spacing w:before="0" w:beforeAutospacing="0" w:after="0" w:afterAutospacing="0" w:line="480" w:lineRule="exact"/>
        <w:widowControl w:val="off"/>
        <w:rPr>
          <w:rFonts w:hint="eastAsia" w:ascii="仿宋" w:hAnsi="仿宋" w:eastAsia="仿宋" w:cs="仿宋"/>
          <w:b/>
          <w:bCs w:val="0"/>
          <w:color w:val="auto"/>
          <w:sz w:val="24"/>
          <w:szCs w:val="20"/>
        </w:rPr>
        <w:suppressLineNumbers w:val="0"/>
      </w:pPr>
      <w:r>
        <w:rPr>
          <w:rFonts w:hint="eastAsia" w:ascii="仿宋" w:hAnsi="仿宋" w:eastAsia="仿宋" w:cs="仿宋"/>
          <w:b/>
          <w:bCs w:val="0"/>
          <w:color w:val="auto"/>
          <w:sz w:val="24"/>
          <w:szCs w:val="20"/>
          <w:lang w:val="en-US" w:eastAsia="zh-CN" w:bidi="ar"/>
        </w:rPr>
        <w:t xml:space="preserve">备注：1.从业人员、营业收入、资产总额填报上一年度数据，无上一年度数据的新成立企业可不填报。</w:t>
      </w:r>
      <w:r/>
    </w:p>
    <w:p>
      <w:pPr>
        <w:ind w:left="0" w:right="0" w:firstLine="482"/>
        <w:jc w:val="left"/>
        <w:keepLines w:val="0"/>
        <w:keepNext w:val="0"/>
        <w:pageBreakBefore w:val="0"/>
        <w:spacing w:before="0" w:beforeAutospacing="0" w:after="0" w:afterAutospacing="0" w:line="480" w:lineRule="exact"/>
        <w:widowControl w:val="off"/>
        <w:rPr>
          <w:rFonts w:hint="eastAsia" w:ascii="仿宋" w:hAnsi="仿宋" w:eastAsia="仿宋" w:cs="仿宋"/>
          <w:b/>
          <w:bCs w:val="0"/>
          <w:color w:val="auto"/>
          <w:sz w:val="24"/>
          <w:szCs w:val="20"/>
        </w:rPr>
        <w:suppressLineNumbers w:val="0"/>
      </w:pPr>
      <w:r>
        <w:rPr>
          <w:rFonts w:hint="eastAsia" w:ascii="仿宋" w:hAnsi="仿宋" w:eastAsia="仿宋" w:cs="仿宋"/>
          <w:b/>
          <w:bCs w:val="0"/>
          <w:color w:val="auto"/>
          <w:sz w:val="24"/>
          <w:szCs w:val="20"/>
          <w:lang w:val="en-US" w:eastAsia="zh-CN" w:bidi="ar"/>
        </w:rPr>
        <w:t xml:space="preserve">2.《中小企业声明函》查询渠道参考工业和信息化部发布的中小企业规模自测小程序，https://baosong.miit.gov.cn/ScaleTest。</w:t>
      </w:r>
      <w:r/>
    </w:p>
    <w:p>
      <w:pPr>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53"/>
        <w:spacing w:line="38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753"/>
        <w:jc w:val="cente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pStyle w:val="753"/>
        <w:jc w:val="center"/>
        <w:spacing w:line="520" w:lineRule="exact"/>
        <w:rPr>
          <w:rFonts w:hint="eastAsia" w:ascii="仿宋" w:hAnsi="仿宋" w:eastAsia="仿宋" w:cs="仿宋"/>
          <w:b/>
          <w:color w:val="auto"/>
          <w:spacing w:val="6"/>
          <w:sz w:val="36"/>
          <w:szCs w:val="36"/>
          <w:highlight w:val="none"/>
        </w:rPr>
      </w:pPr>
      <w:r>
        <w:rPr>
          <w:rFonts w:hint="eastAsia" w:ascii="仿宋" w:hAnsi="仿宋" w:eastAsia="仿宋" w:cs="仿宋"/>
          <w:b/>
          <w:color w:val="auto"/>
          <w:sz w:val="36"/>
          <w:szCs w:val="36"/>
          <w:highlight w:val="none"/>
          <w:lang w:val="en-US" w:eastAsia="zh-CN"/>
        </w:rPr>
        <w:t xml:space="preserve">8</w:t>
      </w:r>
      <w:r>
        <w:rPr>
          <w:rFonts w:hint="eastAsia" w:ascii="仿宋" w:hAnsi="仿宋" w:eastAsia="仿宋" w:cs="仿宋"/>
          <w:b/>
          <w:color w:val="auto"/>
          <w:sz w:val="36"/>
          <w:szCs w:val="36"/>
          <w:highlight w:val="none"/>
        </w:rPr>
        <w:t xml:space="preserve">、</w:t>
      </w:r>
      <w:r>
        <w:rPr>
          <w:rFonts w:hint="eastAsia" w:ascii="仿宋" w:hAnsi="仿宋" w:eastAsia="仿宋" w:cs="仿宋"/>
          <w:b/>
          <w:color w:val="auto"/>
          <w:spacing w:val="6"/>
          <w:sz w:val="36"/>
          <w:szCs w:val="36"/>
          <w:highlight w:val="none"/>
        </w:rPr>
        <w:t xml:space="preserve">残疾人福利性单位声明函</w:t>
      </w:r>
      <w:r/>
    </w:p>
    <w:p>
      <w:pPr>
        <w:pStyle w:val="753"/>
        <w:jc w:val="center"/>
        <w:spacing w:line="0" w:lineRule="atLeas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pStyle w:val="753"/>
        <w:jc w:val="center"/>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JSZC-320382-GXZB-C2026-0003</w:t>
      </w:r>
      <w:r/>
    </w:p>
    <w:p>
      <w:pPr>
        <w:pStyle w:val="753"/>
        <w:ind w:firstLine="56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53"/>
        <w:ind w:firstLine="56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本单位对上述声明的真实性负责。如有虚假，将依法承担相应责任。</w:t>
      </w:r>
      <w:r/>
    </w:p>
    <w:p>
      <w:pPr>
        <w:pStyle w:val="753"/>
        <w:ind w:right="1560" w:firstLine="560"/>
        <w:jc w:val="center"/>
        <w:spacing w:line="520" w:lineRule="exact"/>
        <w:tabs>
          <w:tab w:val="left" w:pos="48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单位名称（盖章）：</w:t>
      </w:r>
      <w:r/>
    </w:p>
    <w:p>
      <w:pPr>
        <w:pStyle w:val="753"/>
        <w:ind w:right="1560" w:firstLine="560"/>
        <w:jc w:val="center"/>
        <w:spacing w:line="520" w:lineRule="exact"/>
        <w:tabs>
          <w:tab w:val="left" w:pos="48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  期：</w:t>
      </w:r>
      <w:r/>
    </w:p>
    <w:p>
      <w:pPr>
        <w:pStyle w:val="753"/>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53"/>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53"/>
        <w:ind w:firstLine="56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53"/>
        <w:ind w:firstLine="56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说明：</w:t>
      </w:r>
      <w:r/>
    </w:p>
    <w:p>
      <w:pPr>
        <w:pStyle w:val="753"/>
        <w:ind w:firstLine="56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中标、成交供应商为残疾人福利性单位的，采购人或者其委托的采购代理机构应当随中标、成交结果同时公告其《残疾人福利性单位声明函》，接受社会监督。</w:t>
      </w:r>
      <w:r/>
    </w:p>
    <w:p>
      <w:pPr>
        <w:pStyle w:val="753"/>
        <w:ind w:firstLine="56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供应商提供的《残疾人福利性单位声明函》与事实不符的，依照《政府采购法》第七十七条第一款的规定追究法律责任。</w:t>
      </w:r>
      <w:r/>
    </w:p>
    <w:p>
      <w:pPr>
        <w:pStyle w:val="753"/>
        <w:ind w:right="480" w:firstLine="4620"/>
        <w:spacing w:line="380" w:lineRule="exac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p>
      <w:pPr>
        <w:pStyle w:val="753"/>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753"/>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753"/>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753"/>
        <w:jc w:val="center"/>
        <w:spacing w:line="380" w:lineRule="exact"/>
        <w:rPr>
          <w:rFonts w:hint="eastAsia" w:ascii="仿宋" w:hAnsi="仿宋" w:eastAsia="仿宋" w:cs="仿宋"/>
          <w:b/>
          <w:color w:val="auto"/>
          <w:sz w:val="36"/>
          <w:szCs w:val="36"/>
          <w:highlight w:val="none"/>
        </w:rPr>
      </w:pPr>
      <w:r>
        <w:rPr>
          <w:rFonts w:hint="eastAsia" w:ascii="仿宋" w:hAnsi="仿宋" w:eastAsia="仿宋" w:cs="仿宋"/>
          <w:color w:val="auto"/>
          <w:sz w:val="36"/>
          <w:szCs w:val="36"/>
          <w:highlight w:val="none"/>
        </w:rPr>
        <w:br w:type="page" w:clear="all"/>
      </w:r>
      <w:r>
        <w:rPr>
          <w:rFonts w:hint="eastAsia" w:ascii="仿宋" w:hAnsi="仿宋" w:eastAsia="仿宋" w:cs="仿宋"/>
          <w:b/>
          <w:color w:val="auto"/>
          <w:sz w:val="36"/>
          <w:szCs w:val="36"/>
          <w:highlight w:val="none"/>
          <w:lang w:val="en-US" w:eastAsia="zh-CN"/>
        </w:rPr>
        <w:t xml:space="preserve">9</w:t>
      </w:r>
      <w:r>
        <w:rPr>
          <w:rFonts w:hint="eastAsia" w:ascii="仿宋" w:hAnsi="仿宋" w:eastAsia="仿宋" w:cs="仿宋"/>
          <w:b/>
          <w:color w:val="auto"/>
          <w:sz w:val="36"/>
          <w:szCs w:val="36"/>
          <w:highlight w:val="none"/>
        </w:rPr>
        <w:t xml:space="preserve">、供应商参加政府采购活动前3年内在经营活动中没有重大违法记录的书面声明</w:t>
      </w:r>
      <w:r/>
    </w:p>
    <w:p>
      <w:pPr>
        <w:pStyle w:val="753"/>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53"/>
        <w:ind w:firstLine="840"/>
        <w:jc w:val="left"/>
        <w:spacing w:line="5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我单位在参加（</w:t>
      </w:r>
      <w:r>
        <w:rPr>
          <w:rFonts w:hint="eastAsia" w:ascii="仿宋" w:hAnsi="仿宋" w:eastAsia="仿宋" w:cs="仿宋"/>
          <w:color w:val="auto"/>
          <w:sz w:val="24"/>
          <w:szCs w:val="24"/>
          <w:highlight w:val="none"/>
          <w:lang w:eastAsia="zh-CN"/>
        </w:rPr>
        <w:t xml:space="preserve">邳州市退役军人事务局重点优抚对象住院医疗商业保险</w:t>
      </w:r>
      <w:r>
        <w:rPr>
          <w:rFonts w:hint="eastAsia" w:ascii="仿宋" w:hAnsi="仿宋" w:eastAsia="仿宋" w:cs="仿宋"/>
          <w:color w:val="auto"/>
          <w:sz w:val="24"/>
          <w:szCs w:val="24"/>
          <w:highlight w:val="none"/>
        </w:rPr>
        <w:t xml:space="preserve">）项目（项目编号：</w:t>
      </w:r>
      <w:r>
        <w:rPr>
          <w:rFonts w:hint="eastAsia" w:ascii="仿宋" w:hAnsi="仿宋" w:eastAsia="仿宋" w:cs="仿宋"/>
          <w:color w:val="auto"/>
          <w:sz w:val="24"/>
          <w:szCs w:val="24"/>
          <w:highlight w:val="none"/>
          <w:lang w:eastAsia="zh-CN"/>
        </w:rPr>
        <w:t xml:space="preserve">JSZC-320382-GXZB-C2026-0003</w:t>
      </w:r>
      <w:r>
        <w:rPr>
          <w:rFonts w:hint="eastAsia" w:ascii="仿宋" w:hAnsi="仿宋" w:eastAsia="仿宋" w:cs="仿宋"/>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753"/>
        <w:ind w:firstLine="840"/>
        <w:jc w:val="left"/>
        <w:spacing w:line="5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我单位对上述声明的真实性负责。如有虚假，将依法承担相应责任。</w:t>
      </w:r>
      <w:r/>
    </w:p>
    <w:p>
      <w:pPr>
        <w:pStyle w:val="753"/>
        <w:ind w:right="29" w:firstLine="462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53"/>
        <w:ind w:right="29" w:firstLine="462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53"/>
        <w:ind w:right="29" w:firstLine="462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53"/>
        <w:ind w:right="29" w:firstLine="252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供应商（公章）：</w:t>
      </w:r>
      <w:r/>
    </w:p>
    <w:p>
      <w:pPr>
        <w:pStyle w:val="753"/>
        <w:ind w:right="29" w:firstLine="252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法定代表人（负责人）或授权代表（签字或盖章）：  </w:t>
      </w:r>
      <w:r/>
    </w:p>
    <w:p>
      <w:pPr>
        <w:pStyle w:val="753"/>
        <w:ind w:right="29" w:firstLine="252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p>
    <w:p>
      <w:pPr>
        <w:pStyle w:val="976"/>
        <w:ind w:left="239" w:firstLine="2640"/>
        <w:spacing w:before="0" w:beforeAutospacing="0" w:after="0" w:afterAutospacing="0"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76"/>
        <w:ind w:left="239" w:firstLine="2640"/>
        <w:spacing w:before="0" w:beforeAutospacing="0" w:after="0" w:afterAutospacing="0"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976"/>
        <w:ind w:left="239" w:firstLine="2640"/>
        <w:spacing w:before="0" w:beforeAutospacing="0" w:after="0" w:afterAutospacing="0"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976"/>
        <w:ind w:left="239" w:firstLine="2640"/>
        <w:spacing w:before="0" w:beforeAutospacing="0" w:after="0" w:afterAutospacing="0"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976"/>
        <w:ind w:left="239" w:firstLine="2640"/>
        <w:spacing w:before="0" w:beforeAutospacing="0" w:after="0" w:afterAutospacing="0"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976"/>
        <w:ind w:left="239" w:firstLine="2640"/>
        <w:spacing w:before="0" w:beforeAutospacing="0" w:after="0" w:afterAutospacing="0"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976"/>
        <w:ind w:left="239" w:firstLine="2640"/>
        <w:spacing w:before="0" w:beforeAutospacing="0" w:after="0" w:afterAutospacing="0"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976"/>
        <w:ind w:left="239" w:firstLine="2640"/>
        <w:spacing w:before="0" w:beforeAutospacing="0" w:after="0" w:afterAutospacing="0"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976"/>
        <w:ind w:left="239" w:firstLine="2640"/>
        <w:spacing w:before="0" w:beforeAutospacing="0" w:after="0" w:afterAutospacing="0"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976"/>
        <w:ind w:left="239" w:firstLine="2640"/>
        <w:spacing w:before="0" w:beforeAutospacing="0" w:after="0" w:afterAutospacing="0"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976"/>
        <w:ind w:left="239" w:firstLine="2640"/>
        <w:spacing w:before="0" w:beforeAutospacing="0" w:after="0" w:afterAutospacing="0"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976"/>
        <w:ind w:left="239" w:firstLine="2640"/>
        <w:spacing w:before="0" w:beforeAutospacing="0" w:after="0" w:afterAutospacing="0"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753"/>
        <w:jc w:val="center"/>
        <w:spacing w:line="520" w:lineRule="exact"/>
        <w:widowControl/>
        <w:rPr>
          <w:rFonts w:hint="eastAsia" w:ascii="仿宋" w:hAnsi="仿宋" w:eastAsia="仿宋" w:cs="仿宋"/>
          <w:b/>
          <w:color w:val="auto"/>
          <w:sz w:val="28"/>
          <w:szCs w:val="28"/>
          <w:highlight w:val="none"/>
        </w:rPr>
      </w:pPr>
      <w:r>
        <w:rPr>
          <w:rFonts w:hint="eastAsia" w:ascii="仿宋" w:hAnsi="仿宋" w:eastAsia="仿宋" w:cs="仿宋"/>
          <w:color w:val="auto"/>
          <w:highlight w:val="none"/>
        </w:rPr>
        <w:br w:type="page" w:clear="all"/>
      </w:r>
      <w:r>
        <w:rPr>
          <w:rFonts w:hint="eastAsia" w:ascii="仿宋" w:hAnsi="仿宋" w:eastAsia="仿宋" w:cs="仿宋"/>
          <w:b/>
          <w:bCs/>
          <w:color w:val="auto"/>
          <w:sz w:val="36"/>
          <w:szCs w:val="36"/>
          <w:highlight w:val="none"/>
          <w:lang w:val="en-US" w:eastAsia="zh-CN"/>
        </w:rPr>
        <w:t xml:space="preserve">10</w:t>
      </w:r>
      <w:r>
        <w:rPr>
          <w:rFonts w:hint="eastAsia" w:ascii="仿宋" w:hAnsi="仿宋" w:eastAsia="仿宋" w:cs="仿宋"/>
          <w:b/>
          <w:bCs/>
          <w:color w:val="auto"/>
          <w:sz w:val="36"/>
          <w:szCs w:val="36"/>
          <w:highlight w:val="none"/>
        </w:rPr>
        <w:t xml:space="preserve">、具备履行合同所必需的设备和专业技术能力的</w:t>
      </w:r>
      <w:r>
        <w:rPr>
          <w:rFonts w:hint="eastAsia" w:ascii="仿宋" w:hAnsi="仿宋" w:eastAsia="仿宋" w:cs="仿宋"/>
          <w:b/>
          <w:bCs/>
          <w:color w:val="auto"/>
          <w:sz w:val="36"/>
          <w:szCs w:val="36"/>
          <w:highlight w:val="none"/>
          <w:lang w:eastAsia="zh-CN"/>
        </w:rPr>
        <w:t xml:space="preserve">承诺</w:t>
      </w:r>
      <w:r>
        <w:rPr>
          <w:rFonts w:hint="eastAsia" w:ascii="仿宋" w:hAnsi="仿宋" w:eastAsia="仿宋" w:cs="仿宋"/>
          <w:b/>
          <w:bCs/>
          <w:color w:val="auto"/>
          <w:sz w:val="36"/>
          <w:szCs w:val="36"/>
          <w:highlight w:val="none"/>
        </w:rPr>
        <w:t xml:space="preserve">格式</w:t>
      </w:r>
      <w:r/>
    </w:p>
    <w:p>
      <w:pPr>
        <w:pStyle w:val="753"/>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53"/>
        <w:ind w:firstLine="560"/>
        <w:spacing w:line="48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邳州市退役军人事务局重点优抚对象住院医疗商业保险</w:t>
      </w:r>
      <w:r/>
    </w:p>
    <w:p>
      <w:pPr>
        <w:pStyle w:val="753"/>
        <w:ind w:firstLine="56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53"/>
        <w:ind w:firstLine="560"/>
        <w:spacing w:line="48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JSZC-320382-GXZB-C2026-0003</w:t>
      </w:r>
      <w:r/>
    </w:p>
    <w:p>
      <w:pPr>
        <w:pStyle w:val="753"/>
        <w:ind w:firstLine="56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53"/>
        <w:ind w:firstLine="56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响应供应商郑重声明：供应商具备履行合同（项目名称：</w:t>
      </w:r>
      <w:r>
        <w:rPr>
          <w:rFonts w:hint="eastAsia" w:ascii="仿宋" w:hAnsi="仿宋" w:eastAsia="仿宋" w:cs="仿宋"/>
          <w:color w:val="auto"/>
          <w:sz w:val="24"/>
          <w:szCs w:val="24"/>
          <w:highlight w:val="none"/>
          <w:lang w:eastAsia="zh-CN"/>
        </w:rPr>
        <w:t xml:space="preserve">邳州市退役军人事务局重点优抚对象住院医疗商业保险</w:t>
      </w: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JSZC-320382-GXZB-C2026-0003</w:t>
      </w:r>
      <w:r>
        <w:rPr>
          <w:rFonts w:hint="eastAsia" w:ascii="仿宋" w:hAnsi="仿宋" w:eastAsia="仿宋" w:cs="仿宋"/>
          <w:color w:val="auto"/>
          <w:sz w:val="24"/>
          <w:szCs w:val="24"/>
          <w:highlight w:val="none"/>
        </w:rPr>
        <w:t xml:space="preserve">）所必需的设备和专业技术能力</w:t>
      </w:r>
      <w:r>
        <w:rPr>
          <w:rFonts w:hint="eastAsia" w:ascii="仿宋" w:hAnsi="仿宋" w:eastAsia="仿宋" w:cs="仿宋"/>
          <w:color w:val="auto"/>
          <w:sz w:val="24"/>
          <w:szCs w:val="24"/>
          <w:highlight w:val="none"/>
          <w:lang w:eastAsia="zh-CN"/>
        </w:rPr>
        <w:t xml:space="preserve">。</w:t>
      </w:r>
      <w:r/>
    </w:p>
    <w:p>
      <w:pPr>
        <w:pStyle w:val="753"/>
        <w:ind w:firstLine="56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53"/>
        <w:ind w:firstLine="56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特此声明。</w:t>
      </w:r>
      <w:r/>
    </w:p>
    <w:p>
      <w:pPr>
        <w:pStyle w:val="753"/>
        <w:ind w:firstLine="56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53"/>
        <w:ind w:firstLine="56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响应供应商对上述声明的真实性负责。如有虚假，将依法承担相应责任。</w:t>
      </w:r>
      <w:r/>
    </w:p>
    <w:p>
      <w:pPr>
        <w:pStyle w:val="753"/>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53"/>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53"/>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753"/>
        <w:ind w:firstLine="364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供应商：（盖单位公章）</w:t>
      </w:r>
      <w:r/>
    </w:p>
    <w:p>
      <w:pPr>
        <w:pStyle w:val="753"/>
        <w:ind w:firstLine="56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753"/>
        <w:ind w:firstLine="392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供应商授权代表：（签字或盖章）</w:t>
      </w:r>
      <w:r/>
    </w:p>
    <w:p>
      <w:pPr>
        <w:pStyle w:val="753"/>
        <w:ind w:firstLine="51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53"/>
        <w:ind w:firstLine="560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  年</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 月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日</w:t>
      </w:r>
      <w:r/>
    </w:p>
    <w:p>
      <w:pPr>
        <w:pStyle w:val="753"/>
        <w:ind w:right="29" w:firstLine="723"/>
        <w:spacing w:line="52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pStyle w:val="747"/>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pStyle w:val="758"/>
        <w:rPr>
          <w:rFonts w:hint="eastAsia" w:ascii="仿宋" w:hAnsi="仿宋" w:eastAsia="仿宋" w:cs="仿宋"/>
          <w:color w:val="auto"/>
          <w:highlight w:val="none"/>
        </w:rPr>
      </w:pPr>
      <w:r>
        <w:rPr>
          <w:rFonts w:hint="eastAsia" w:ascii="仿宋" w:hAnsi="仿宋" w:eastAsia="仿宋" w:cs="仿宋"/>
          <w:color w:val="auto"/>
          <w:highlight w:val="none"/>
        </w:rPr>
      </w:r>
      <w:r/>
    </w:p>
    <w:p>
      <w:pPr>
        <w:pStyle w:val="757"/>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pStyle w:val="757"/>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pStyle w:val="753"/>
        <w:ind w:right="29"/>
        <w:jc w:val="both"/>
        <w:spacing w:line="520" w:lineRule="exact"/>
        <w:rPr>
          <w:rFonts w:hint="eastAsia" w:ascii="仿宋" w:hAnsi="仿宋" w:eastAsia="仿宋" w:cs="仿宋"/>
          <w:b/>
          <w:bCs/>
          <w:color w:val="auto"/>
          <w:sz w:val="36"/>
          <w:szCs w:val="36"/>
          <w:highlight w:val="none"/>
        </w:rPr>
        <w:sectPr>
          <w:footerReference w:type="default" r:id="rId11"/>
          <w:footnotePr/>
          <w:endnotePr/>
          <w:type w:val="nextPage"/>
          <w:pgSz w:w="11906" w:h="16838" w:orient="portrait"/>
          <w:pgMar w:top="1588" w:right="1418" w:bottom="1474" w:left="1474" w:header="851" w:footer="992" w:gutter="0"/>
          <w:pgNumType w:start="1"/>
          <w:cols w:num="1" w:sep="0" w:space="1701" w:equalWidth="1"/>
          <w:docGrid w:linePitch="360"/>
        </w:sectPr>
      </w:pPr>
      <w:r>
        <w:rPr>
          <w:rFonts w:hint="eastAsia" w:ascii="仿宋" w:hAnsi="仿宋" w:eastAsia="仿宋" w:cs="仿宋"/>
          <w:b/>
          <w:bCs/>
          <w:color w:val="auto"/>
          <w:sz w:val="36"/>
          <w:szCs w:val="36"/>
          <w:highlight w:val="none"/>
        </w:rPr>
      </w:r>
      <w:r/>
    </w:p>
    <w:p>
      <w:pPr>
        <w:pStyle w:val="736"/>
        <w:ind w:left="0" w:right="0"/>
        <w:jc w:val="both"/>
        <w:keepLines w:val="0"/>
        <w:keepNext w:val="0"/>
        <w:spacing w:before="0" w:beforeAutospacing="0" w:after="0" w:afterAutospacing="0"/>
        <w:widowControl w:val="off"/>
        <w:rPr>
          <w:rFonts w:hint="eastAsia" w:ascii="仿宋" w:hAnsi="仿宋" w:eastAsia="仿宋" w:cs="仿宋"/>
          <w:b/>
          <w:bCs/>
          <w:color w:val="auto"/>
          <w:sz w:val="36"/>
          <w:szCs w:val="36"/>
          <w:highlight w:val="none"/>
        </w:rPr>
        <w:suppressLineNumbers w:val="0"/>
      </w:pPr>
      <w:r>
        <w:rPr>
          <w:rFonts w:hint="eastAsia" w:ascii="仿宋" w:hAnsi="仿宋" w:eastAsia="仿宋" w:cs="仿宋"/>
          <w:b/>
          <w:bCs/>
          <w:color w:val="auto"/>
          <w:sz w:val="36"/>
          <w:szCs w:val="36"/>
          <w:highlight w:val="none"/>
          <w:lang w:val="en-US" w:eastAsia="zh-CN" w:bidi="ar-SA"/>
        </w:rPr>
        <w:t xml:space="preserve">         11、预付款保函支付条款模板</w:t>
      </w:r>
      <w:r/>
    </w:p>
    <w:p>
      <w:pPr>
        <w:ind w:left="0" w:right="0" w:firstLine="565"/>
        <w:jc w:val="both"/>
        <w:keepLines w:val="0"/>
        <w:keepNext w:val="0"/>
        <w:spacing w:before="0" w:beforeAutospacing="0" w:after="0" w:afterAutospacing="0" w:line="480" w:lineRule="exact"/>
        <w:widowControl w:val="off"/>
        <w:rPr>
          <w:rFonts w:hint="eastAsia" w:ascii="宋体" w:hAnsi="宋体" w:eastAsia="宋体" w:cs="宋体"/>
          <w:b/>
          <w:bCs w:val="0"/>
          <w:color w:val="auto"/>
          <w:sz w:val="28"/>
          <w:szCs w:val="28"/>
        </w:rPr>
        <w:suppressLineNumbers w:val="0"/>
      </w:pPr>
      <w:r>
        <w:rPr>
          <w:rFonts w:hint="eastAsia" w:ascii="宋体" w:hAnsi="宋体" w:eastAsia="宋体" w:cs="宋体"/>
          <w:b/>
          <w:bCs w:val="0"/>
          <w:color w:val="auto"/>
          <w:sz w:val="28"/>
          <w:szCs w:val="28"/>
        </w:rPr>
      </w:r>
      <w:r/>
    </w:p>
    <w:p>
      <w:pPr>
        <w:ind w:left="0" w:right="0" w:firstLine="565"/>
        <w:jc w:val="both"/>
        <w:keepLines w:val="0"/>
        <w:keepNext w:val="0"/>
        <w:spacing w:before="0" w:beforeAutospacing="0" w:after="0" w:afterAutospacing="0" w:line="480" w:lineRule="exact"/>
        <w:widowControl w:val="off"/>
        <w:rPr>
          <w:rFonts w:hint="eastAsia" w:ascii="仿宋" w:hAnsi="仿宋" w:eastAsia="仿宋" w:cs="仿宋"/>
          <w:b/>
          <w:bCs w:val="0"/>
          <w:color w:val="auto"/>
          <w:sz w:val="24"/>
          <w:szCs w:val="24"/>
        </w:rPr>
        <w:suppressLineNumbers w:val="0"/>
      </w:pPr>
      <w:r>
        <w:rPr>
          <w:rFonts w:hint="eastAsia" w:ascii="仿宋" w:hAnsi="仿宋" w:eastAsia="仿宋" w:cs="仿宋"/>
          <w:b/>
          <w:bCs w:val="0"/>
          <w:color w:val="auto"/>
          <w:sz w:val="24"/>
          <w:szCs w:val="24"/>
          <w:lang w:val="en-US" w:eastAsia="zh-CN" w:bidi="ar"/>
        </w:rPr>
        <w:t xml:space="preserve">符合条件一：提交预付款保函的</w:t>
      </w:r>
      <w:r/>
    </w:p>
    <w:p>
      <w:pPr>
        <w:ind w:left="0" w:right="0" w:firstLine="562"/>
        <w:jc w:val="both"/>
        <w:keepLines w:val="0"/>
        <w:keepNext w:val="0"/>
        <w:spacing w:before="0" w:beforeAutospacing="0" w:after="0" w:afterAutospacing="0" w:line="480" w:lineRule="exact"/>
        <w:widowControl w:val="off"/>
        <w:rPr>
          <w:rFonts w:hint="eastAsia" w:ascii="仿宋" w:hAnsi="仿宋" w:eastAsia="仿宋" w:cs="仿宋"/>
          <w:color w:val="auto"/>
          <w:sz w:val="24"/>
          <w:szCs w:val="24"/>
          <w:u w:val="single"/>
        </w:rPr>
        <w:suppressLineNumbers w:val="0"/>
      </w:pPr>
      <w:r>
        <w:rPr>
          <w:rFonts w:hint="eastAsia" w:ascii="仿宋" w:hAnsi="仿宋" w:eastAsia="仿宋" w:cs="仿宋"/>
          <w:color w:val="auto"/>
          <w:sz w:val="24"/>
          <w:szCs w:val="24"/>
          <w:lang w:val="en-US" w:eastAsia="zh-CN" w:bidi="ar"/>
        </w:rPr>
        <w:t xml:space="preserve">（1）合同签订且乙方向甲方出具预付款保函后</w:t>
      </w:r>
      <w:r>
        <w:rPr>
          <w:rFonts w:hint="eastAsia" w:ascii="仿宋" w:hAnsi="仿宋" w:eastAsia="仿宋" w:cs="仿宋"/>
          <w:color w:val="auto"/>
          <w:sz w:val="24"/>
          <w:szCs w:val="24"/>
          <w:u w:val="single"/>
          <w:lang w:val="en-US" w:eastAsia="zh-CN" w:bidi="ar"/>
        </w:rPr>
        <w:t xml:space="preserve">    </w:t>
      </w:r>
      <w:r>
        <w:rPr>
          <w:rFonts w:hint="eastAsia" w:ascii="仿宋" w:hAnsi="仿宋" w:eastAsia="仿宋" w:cs="仿宋"/>
          <w:color w:val="auto"/>
          <w:sz w:val="24"/>
          <w:szCs w:val="24"/>
          <w:lang w:val="en-US" w:eastAsia="zh-CN" w:bidi="ar"/>
        </w:rPr>
        <w:t xml:space="preserve">个工作日内，甲方应支付合同价款的百分之</w:t>
      </w:r>
      <w:r>
        <w:rPr>
          <w:rFonts w:hint="eastAsia" w:ascii="仿宋" w:hAnsi="仿宋" w:eastAsia="仿宋" w:cs="仿宋"/>
          <w:color w:val="auto"/>
          <w:sz w:val="24"/>
          <w:szCs w:val="24"/>
          <w:u w:val="single"/>
          <w:lang w:val="en-US" w:eastAsia="zh-CN" w:bidi="ar"/>
        </w:rPr>
        <w:t xml:space="preserve">        XX（    XX%），</w:t>
      </w:r>
      <w:r>
        <w:rPr>
          <w:rFonts w:hint="eastAsia" w:ascii="仿宋" w:hAnsi="仿宋" w:eastAsia="仿宋" w:cs="仿宋"/>
          <w:color w:val="auto"/>
          <w:sz w:val="24"/>
          <w:szCs w:val="24"/>
          <w:lang w:val="en-US" w:eastAsia="zh-CN" w:bidi="ar"/>
        </w:rPr>
        <w:t xml:space="preserve">小写￥</w:t>
      </w:r>
      <w:r>
        <w:rPr>
          <w:rFonts w:hint="eastAsia" w:ascii="仿宋" w:hAnsi="仿宋" w:eastAsia="仿宋" w:cs="仿宋"/>
          <w:color w:val="auto"/>
          <w:sz w:val="24"/>
          <w:szCs w:val="24"/>
          <w:u w:val="single"/>
          <w:lang w:val="en-US" w:eastAsia="zh-CN" w:bidi="ar"/>
        </w:rPr>
        <w:t xml:space="preserve">      </w:t>
      </w:r>
      <w:r>
        <w:rPr>
          <w:rFonts w:hint="eastAsia" w:ascii="仿宋" w:hAnsi="仿宋" w:eastAsia="仿宋" w:cs="仿宋"/>
          <w:color w:val="auto"/>
          <w:sz w:val="24"/>
          <w:szCs w:val="24"/>
          <w:lang w:val="en-US" w:eastAsia="zh-CN" w:bidi="ar"/>
        </w:rPr>
        <w:t xml:space="preserve">大写：人民币</w:t>
      </w:r>
      <w:r>
        <w:rPr>
          <w:rFonts w:hint="eastAsia" w:ascii="仿宋" w:hAnsi="仿宋" w:eastAsia="仿宋" w:cs="仿宋"/>
          <w:color w:val="auto"/>
          <w:sz w:val="24"/>
          <w:szCs w:val="24"/>
          <w:u w:val="single"/>
          <w:lang w:val="en-US" w:eastAsia="zh-CN" w:bidi="ar"/>
        </w:rPr>
        <w:t xml:space="preserve">          </w:t>
      </w:r>
      <w:r>
        <w:rPr>
          <w:rFonts w:hint="eastAsia" w:ascii="仿宋" w:hAnsi="仿宋" w:eastAsia="仿宋" w:cs="仿宋"/>
          <w:color w:val="auto"/>
          <w:sz w:val="24"/>
          <w:szCs w:val="24"/>
          <w:lang w:val="en-US" w:eastAsia="zh-CN" w:bidi="ar"/>
        </w:rPr>
        <w:t xml:space="preserve">。</w:t>
      </w:r>
      <w:r/>
    </w:p>
    <w:p>
      <w:pPr>
        <w:ind w:left="140" w:right="0" w:firstLine="562"/>
        <w:jc w:val="both"/>
        <w:keepLines w:val="0"/>
        <w:keepNext w:val="0"/>
        <w:spacing w:before="0" w:beforeAutospacing="0" w:after="0" w:afterAutospacing="0" w:line="480" w:lineRule="exact"/>
        <w:widowControl w:val="off"/>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乙方需提交的支付文件：乙方出具的全额正式发票。</w:t>
      </w:r>
      <w:r/>
    </w:p>
    <w:p>
      <w:pPr>
        <w:ind w:left="140" w:right="0" w:firstLine="562"/>
        <w:jc w:val="both"/>
        <w:keepLines w:val="0"/>
        <w:keepNext w:val="0"/>
        <w:spacing w:before="0" w:beforeAutospacing="0" w:after="0" w:afterAutospacing="0" w:line="480" w:lineRule="exact"/>
        <w:widowControl w:val="off"/>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（2）验收合格后</w:t>
      </w:r>
      <w:r>
        <w:rPr>
          <w:rFonts w:hint="eastAsia" w:ascii="仿宋" w:hAnsi="仿宋" w:eastAsia="仿宋" w:cs="仿宋"/>
          <w:color w:val="auto"/>
          <w:sz w:val="24"/>
          <w:szCs w:val="24"/>
          <w:u w:val="single"/>
          <w:lang w:val="en-US" w:eastAsia="zh-CN" w:bidi="ar"/>
        </w:rPr>
        <w:t xml:space="preserve">   </w:t>
      </w:r>
      <w:r>
        <w:rPr>
          <w:rFonts w:hint="eastAsia" w:ascii="仿宋" w:hAnsi="仿宋" w:eastAsia="仿宋" w:cs="仿宋"/>
          <w:color w:val="auto"/>
          <w:sz w:val="24"/>
          <w:szCs w:val="24"/>
          <w:lang w:val="en-US" w:eastAsia="zh-CN" w:bidi="ar"/>
        </w:rPr>
        <w:t xml:space="preserve">个工作日内，甲方应支付合同价款的百分之</w:t>
      </w:r>
      <w:r>
        <w:rPr>
          <w:rFonts w:hint="eastAsia" w:ascii="仿宋" w:hAnsi="仿宋" w:eastAsia="仿宋" w:cs="仿宋"/>
          <w:color w:val="auto"/>
          <w:sz w:val="24"/>
          <w:szCs w:val="24"/>
          <w:u w:val="single"/>
          <w:lang w:val="en-US" w:eastAsia="zh-CN" w:bidi="ar"/>
        </w:rPr>
        <w:t xml:space="preserve">XX（    XX%），</w:t>
      </w:r>
      <w:r>
        <w:rPr>
          <w:rFonts w:hint="eastAsia" w:ascii="仿宋" w:hAnsi="仿宋" w:eastAsia="仿宋" w:cs="仿宋"/>
          <w:color w:val="auto"/>
          <w:sz w:val="24"/>
          <w:szCs w:val="24"/>
          <w:lang w:val="en-US" w:eastAsia="zh-CN" w:bidi="ar"/>
        </w:rPr>
        <w:t xml:space="preserve">小写￥</w:t>
      </w:r>
      <w:r>
        <w:rPr>
          <w:rFonts w:hint="eastAsia" w:ascii="仿宋" w:hAnsi="仿宋" w:eastAsia="仿宋" w:cs="仿宋"/>
          <w:color w:val="auto"/>
          <w:sz w:val="24"/>
          <w:szCs w:val="24"/>
          <w:u w:val="single"/>
          <w:lang w:val="en-US" w:eastAsia="zh-CN" w:bidi="ar"/>
        </w:rPr>
        <w:t xml:space="preserve">      </w:t>
      </w:r>
      <w:r>
        <w:rPr>
          <w:rFonts w:hint="eastAsia" w:ascii="仿宋" w:hAnsi="仿宋" w:eastAsia="仿宋" w:cs="仿宋"/>
          <w:color w:val="auto"/>
          <w:sz w:val="24"/>
          <w:szCs w:val="24"/>
          <w:lang w:val="en-US" w:eastAsia="zh-CN" w:bidi="ar"/>
        </w:rPr>
        <w:t xml:space="preserve">大写：人民币</w:t>
      </w:r>
      <w:r>
        <w:rPr>
          <w:rFonts w:hint="eastAsia" w:ascii="仿宋" w:hAnsi="仿宋" w:eastAsia="仿宋" w:cs="仿宋"/>
          <w:color w:val="auto"/>
          <w:sz w:val="24"/>
          <w:szCs w:val="24"/>
          <w:u w:val="single"/>
          <w:lang w:val="en-US" w:eastAsia="zh-CN" w:bidi="ar"/>
        </w:rPr>
        <w:t xml:space="preserve">          </w:t>
      </w:r>
      <w:r>
        <w:rPr>
          <w:rFonts w:hint="eastAsia" w:ascii="仿宋" w:hAnsi="仿宋" w:eastAsia="仿宋" w:cs="仿宋"/>
          <w:color w:val="auto"/>
          <w:sz w:val="24"/>
          <w:szCs w:val="24"/>
          <w:lang w:val="en-US" w:eastAsia="zh-CN" w:bidi="ar"/>
        </w:rPr>
        <w:t xml:space="preserve">。</w:t>
      </w:r>
      <w:r/>
    </w:p>
    <w:p>
      <w:pPr>
        <w:ind w:left="0" w:right="0" w:firstLine="565"/>
        <w:jc w:val="both"/>
        <w:keepLines w:val="0"/>
        <w:keepNext w:val="0"/>
        <w:spacing w:before="0" w:beforeAutospacing="0" w:after="0" w:afterAutospacing="0" w:line="480" w:lineRule="exact"/>
        <w:widowControl w:val="off"/>
        <w:rPr>
          <w:rFonts w:hint="eastAsia" w:ascii="仿宋" w:hAnsi="仿宋" w:eastAsia="仿宋" w:cs="仿宋"/>
          <w:b/>
          <w:bCs w:val="0"/>
          <w:color w:val="auto"/>
          <w:sz w:val="24"/>
          <w:szCs w:val="24"/>
        </w:rPr>
        <w:suppressLineNumbers w:val="0"/>
      </w:pPr>
      <w:r>
        <w:rPr>
          <w:rFonts w:hint="eastAsia" w:ascii="仿宋" w:hAnsi="仿宋" w:eastAsia="仿宋" w:cs="仿宋"/>
          <w:b/>
          <w:bCs w:val="0"/>
          <w:color w:val="auto"/>
          <w:sz w:val="24"/>
          <w:szCs w:val="24"/>
          <w:lang w:val="en-US" w:eastAsia="zh-CN" w:bidi="ar"/>
        </w:rPr>
        <w:t xml:space="preserve">……</w:t>
      </w:r>
      <w:r/>
    </w:p>
    <w:p>
      <w:pPr>
        <w:ind w:left="0" w:right="0" w:firstLine="565"/>
        <w:jc w:val="both"/>
        <w:keepLines w:val="0"/>
        <w:keepNext w:val="0"/>
        <w:spacing w:before="0" w:beforeAutospacing="0" w:after="0" w:afterAutospacing="0" w:line="480" w:lineRule="exact"/>
        <w:widowControl w:val="off"/>
        <w:rPr>
          <w:rFonts w:hint="eastAsia" w:ascii="仿宋" w:hAnsi="仿宋" w:eastAsia="仿宋" w:cs="仿宋"/>
          <w:b/>
          <w:bCs w:val="0"/>
          <w:color w:val="auto"/>
          <w:sz w:val="24"/>
          <w:szCs w:val="24"/>
        </w:rPr>
        <w:suppressLineNumbers w:val="0"/>
      </w:pPr>
      <w:r>
        <w:rPr>
          <w:rFonts w:hint="eastAsia" w:ascii="仿宋" w:hAnsi="仿宋" w:eastAsia="仿宋" w:cs="仿宋"/>
          <w:b/>
          <w:bCs w:val="0"/>
          <w:color w:val="auto"/>
          <w:sz w:val="24"/>
          <w:szCs w:val="24"/>
          <w:lang w:val="en-US" w:eastAsia="zh-CN" w:bidi="ar"/>
        </w:rPr>
        <w:t xml:space="preserve">符合条件二：不提交预付款保函的</w:t>
      </w:r>
      <w:r/>
    </w:p>
    <w:p>
      <w:pPr>
        <w:ind w:left="0" w:right="0" w:firstLine="562"/>
        <w:jc w:val="both"/>
        <w:keepLines w:val="0"/>
        <w:keepNext w:val="0"/>
        <w:spacing w:before="0" w:beforeAutospacing="0" w:after="0" w:afterAutospacing="0" w:line="480" w:lineRule="exact"/>
        <w:widowControl w:val="off"/>
        <w:rPr>
          <w:rFonts w:hint="eastAsia" w:ascii="仿宋" w:hAnsi="仿宋" w:eastAsia="仿宋" w:cs="仿宋"/>
          <w:color w:val="auto"/>
          <w:sz w:val="24"/>
          <w:szCs w:val="24"/>
          <w:u w:val="single"/>
        </w:rPr>
        <w:suppressLineNumbers w:val="0"/>
      </w:pPr>
      <w:r>
        <w:rPr>
          <w:rFonts w:hint="eastAsia" w:ascii="仿宋" w:hAnsi="仿宋" w:eastAsia="仿宋" w:cs="仿宋"/>
          <w:color w:val="auto"/>
          <w:sz w:val="24"/>
          <w:szCs w:val="24"/>
          <w:lang w:val="en-US" w:eastAsia="zh-CN" w:bidi="ar"/>
        </w:rPr>
        <w:t xml:space="preserve">（1）合同签订后</w:t>
      </w:r>
      <w:r>
        <w:rPr>
          <w:rFonts w:hint="eastAsia" w:ascii="仿宋" w:hAnsi="仿宋" w:eastAsia="仿宋" w:cs="仿宋"/>
          <w:color w:val="auto"/>
          <w:sz w:val="24"/>
          <w:szCs w:val="24"/>
          <w:u w:val="single"/>
          <w:lang w:val="en-US" w:eastAsia="zh-CN" w:bidi="ar"/>
        </w:rPr>
        <w:t xml:space="preserve">   </w:t>
      </w:r>
      <w:r>
        <w:rPr>
          <w:rFonts w:hint="eastAsia" w:ascii="仿宋" w:hAnsi="仿宋" w:eastAsia="仿宋" w:cs="仿宋"/>
          <w:color w:val="auto"/>
          <w:sz w:val="24"/>
          <w:szCs w:val="24"/>
          <w:lang w:val="en-US" w:eastAsia="zh-CN" w:bidi="ar"/>
        </w:rPr>
        <w:t xml:space="preserve">个工作日内，甲方应支付合同价款的百分之</w:t>
      </w:r>
      <w:r>
        <w:rPr>
          <w:rFonts w:hint="eastAsia" w:ascii="仿宋" w:hAnsi="仿宋" w:eastAsia="仿宋" w:cs="仿宋"/>
          <w:color w:val="auto"/>
          <w:sz w:val="24"/>
          <w:szCs w:val="24"/>
          <w:u w:val="single"/>
          <w:lang w:val="en-US" w:eastAsia="zh-CN" w:bidi="ar"/>
        </w:rPr>
        <w:t xml:space="preserve">XX（    XX%），</w:t>
      </w:r>
      <w:r>
        <w:rPr>
          <w:rFonts w:hint="eastAsia" w:ascii="仿宋" w:hAnsi="仿宋" w:eastAsia="仿宋" w:cs="仿宋"/>
          <w:color w:val="auto"/>
          <w:sz w:val="24"/>
          <w:szCs w:val="24"/>
          <w:lang w:val="en-US" w:eastAsia="zh-CN" w:bidi="ar"/>
        </w:rPr>
        <w:t xml:space="preserve">小写￥</w:t>
      </w:r>
      <w:r>
        <w:rPr>
          <w:rFonts w:hint="eastAsia" w:ascii="仿宋" w:hAnsi="仿宋" w:eastAsia="仿宋" w:cs="仿宋"/>
          <w:color w:val="auto"/>
          <w:sz w:val="24"/>
          <w:szCs w:val="24"/>
          <w:u w:val="single"/>
          <w:lang w:val="en-US" w:eastAsia="zh-CN" w:bidi="ar"/>
        </w:rPr>
        <w:t xml:space="preserve">      </w:t>
      </w:r>
      <w:r>
        <w:rPr>
          <w:rFonts w:hint="eastAsia" w:ascii="仿宋" w:hAnsi="仿宋" w:eastAsia="仿宋" w:cs="仿宋"/>
          <w:color w:val="auto"/>
          <w:sz w:val="24"/>
          <w:szCs w:val="24"/>
          <w:lang w:val="en-US" w:eastAsia="zh-CN" w:bidi="ar"/>
        </w:rPr>
        <w:t xml:space="preserve">大写：人民币</w:t>
      </w:r>
      <w:r>
        <w:rPr>
          <w:rFonts w:hint="eastAsia" w:ascii="仿宋" w:hAnsi="仿宋" w:eastAsia="仿宋" w:cs="仿宋"/>
          <w:color w:val="auto"/>
          <w:sz w:val="24"/>
          <w:szCs w:val="24"/>
          <w:u w:val="single"/>
          <w:lang w:val="en-US" w:eastAsia="zh-CN" w:bidi="ar"/>
        </w:rPr>
        <w:t xml:space="preserve">          </w:t>
      </w:r>
      <w:r>
        <w:rPr>
          <w:rFonts w:hint="eastAsia" w:ascii="仿宋" w:hAnsi="仿宋" w:eastAsia="仿宋" w:cs="仿宋"/>
          <w:color w:val="auto"/>
          <w:sz w:val="24"/>
          <w:szCs w:val="24"/>
          <w:lang w:val="en-US" w:eastAsia="zh-CN" w:bidi="ar"/>
        </w:rPr>
        <w:t xml:space="preserve">。</w:t>
      </w:r>
      <w:r/>
    </w:p>
    <w:p>
      <w:pPr>
        <w:ind w:left="140" w:right="0" w:firstLine="562"/>
        <w:jc w:val="both"/>
        <w:keepLines w:val="0"/>
        <w:keepNext w:val="0"/>
        <w:spacing w:before="0" w:beforeAutospacing="0" w:after="0" w:afterAutospacing="0" w:line="480" w:lineRule="exact"/>
        <w:widowControl w:val="off"/>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乙方需提交的支付文件：乙方出具的全额正式发票。</w:t>
      </w:r>
      <w:r/>
    </w:p>
    <w:p>
      <w:pPr>
        <w:ind w:left="140" w:right="0" w:firstLine="562"/>
        <w:jc w:val="both"/>
        <w:keepLines w:val="0"/>
        <w:keepNext w:val="0"/>
        <w:spacing w:before="0" w:beforeAutospacing="0" w:after="0" w:afterAutospacing="0" w:line="480" w:lineRule="exact"/>
        <w:widowControl w:val="off"/>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（2）验收合格后</w:t>
      </w:r>
      <w:r>
        <w:rPr>
          <w:rFonts w:hint="eastAsia" w:ascii="仿宋" w:hAnsi="仿宋" w:eastAsia="仿宋" w:cs="仿宋"/>
          <w:color w:val="auto"/>
          <w:sz w:val="24"/>
          <w:szCs w:val="24"/>
          <w:u w:val="single"/>
          <w:lang w:val="en-US" w:eastAsia="zh-CN" w:bidi="ar"/>
        </w:rPr>
        <w:t xml:space="preserve">   </w:t>
      </w:r>
      <w:r>
        <w:rPr>
          <w:rFonts w:hint="eastAsia" w:ascii="仿宋" w:hAnsi="仿宋" w:eastAsia="仿宋" w:cs="仿宋"/>
          <w:color w:val="auto"/>
          <w:sz w:val="24"/>
          <w:szCs w:val="24"/>
          <w:lang w:val="en-US" w:eastAsia="zh-CN" w:bidi="ar"/>
        </w:rPr>
        <w:t xml:space="preserve">个工作日内，甲方应支付合同价款的百分之</w:t>
      </w:r>
      <w:r>
        <w:rPr>
          <w:rFonts w:hint="eastAsia" w:ascii="仿宋" w:hAnsi="仿宋" w:eastAsia="仿宋" w:cs="仿宋"/>
          <w:color w:val="auto"/>
          <w:sz w:val="24"/>
          <w:szCs w:val="24"/>
          <w:u w:val="single"/>
          <w:lang w:val="en-US" w:eastAsia="zh-CN" w:bidi="ar"/>
        </w:rPr>
        <w:t xml:space="preserve">XX（    XX%），</w:t>
      </w:r>
      <w:r>
        <w:rPr>
          <w:rFonts w:hint="eastAsia" w:ascii="仿宋" w:hAnsi="仿宋" w:eastAsia="仿宋" w:cs="仿宋"/>
          <w:color w:val="auto"/>
          <w:sz w:val="24"/>
          <w:szCs w:val="24"/>
          <w:lang w:val="en-US" w:eastAsia="zh-CN" w:bidi="ar"/>
        </w:rPr>
        <w:t xml:space="preserve">小写￥</w:t>
      </w:r>
      <w:r>
        <w:rPr>
          <w:rFonts w:hint="eastAsia" w:ascii="仿宋" w:hAnsi="仿宋" w:eastAsia="仿宋" w:cs="仿宋"/>
          <w:color w:val="auto"/>
          <w:sz w:val="24"/>
          <w:szCs w:val="24"/>
          <w:u w:val="single"/>
          <w:lang w:val="en-US" w:eastAsia="zh-CN" w:bidi="ar"/>
        </w:rPr>
        <w:t xml:space="preserve">      </w:t>
      </w:r>
      <w:r>
        <w:rPr>
          <w:rFonts w:hint="eastAsia" w:ascii="仿宋" w:hAnsi="仿宋" w:eastAsia="仿宋" w:cs="仿宋"/>
          <w:color w:val="auto"/>
          <w:sz w:val="24"/>
          <w:szCs w:val="24"/>
          <w:lang w:val="en-US" w:eastAsia="zh-CN" w:bidi="ar"/>
        </w:rPr>
        <w:t xml:space="preserve">大写：人民币</w:t>
      </w:r>
      <w:r>
        <w:rPr>
          <w:rFonts w:hint="eastAsia" w:ascii="仿宋" w:hAnsi="仿宋" w:eastAsia="仿宋" w:cs="仿宋"/>
          <w:color w:val="auto"/>
          <w:sz w:val="24"/>
          <w:szCs w:val="24"/>
          <w:u w:val="single"/>
          <w:lang w:val="en-US" w:eastAsia="zh-CN" w:bidi="ar"/>
        </w:rPr>
        <w:t xml:space="preserve">          </w:t>
      </w:r>
      <w:r>
        <w:rPr>
          <w:rFonts w:hint="eastAsia" w:ascii="仿宋" w:hAnsi="仿宋" w:eastAsia="仿宋" w:cs="仿宋"/>
          <w:color w:val="auto"/>
          <w:sz w:val="24"/>
          <w:szCs w:val="24"/>
          <w:lang w:val="en-US" w:eastAsia="zh-CN" w:bidi="ar"/>
        </w:rPr>
        <w:t xml:space="preserve">。</w:t>
      </w:r>
      <w:r/>
    </w:p>
    <w:p>
      <w:pPr>
        <w:ind w:left="0" w:right="0" w:firstLine="565"/>
        <w:jc w:val="both"/>
        <w:keepLines w:val="0"/>
        <w:keepNext w:val="0"/>
        <w:spacing w:before="0" w:beforeAutospacing="0" w:after="0" w:afterAutospacing="0" w:line="480" w:lineRule="exact"/>
        <w:widowControl w:val="off"/>
        <w:rPr>
          <w:rFonts w:hint="eastAsia" w:ascii="仿宋" w:hAnsi="仿宋" w:eastAsia="仿宋" w:cs="仿宋"/>
          <w:b/>
          <w:bCs w:val="0"/>
          <w:color w:val="auto"/>
          <w:sz w:val="24"/>
          <w:szCs w:val="24"/>
        </w:rPr>
        <w:suppressLineNumbers w:val="0"/>
      </w:pPr>
      <w:r>
        <w:rPr>
          <w:rFonts w:hint="eastAsia" w:ascii="仿宋" w:hAnsi="仿宋" w:eastAsia="仿宋" w:cs="仿宋"/>
          <w:b/>
          <w:bCs w:val="0"/>
          <w:color w:val="auto"/>
          <w:sz w:val="24"/>
          <w:szCs w:val="24"/>
          <w:lang w:val="en-US" w:eastAsia="zh-CN" w:bidi="ar"/>
        </w:rPr>
        <w:t xml:space="preserve">……</w:t>
      </w:r>
      <w:r/>
    </w:p>
    <w:p>
      <w:pPr>
        <w:ind w:left="140" w:right="0" w:firstLine="565"/>
        <w:jc w:val="both"/>
        <w:keepLines w:val="0"/>
        <w:keepNext w:val="0"/>
        <w:spacing w:before="0" w:beforeAutospacing="0" w:after="0" w:afterAutospacing="0" w:line="480" w:lineRule="exact"/>
        <w:widowControl w:val="off"/>
        <w:rPr>
          <w:rFonts w:hint="eastAsia" w:ascii="仿宋" w:hAnsi="仿宋" w:eastAsia="仿宋" w:cs="仿宋"/>
          <w:b/>
          <w:bCs w:val="0"/>
          <w:color w:val="auto"/>
          <w:sz w:val="24"/>
          <w:szCs w:val="24"/>
        </w:rPr>
        <w:suppressLineNumbers w:val="0"/>
      </w:pPr>
      <w:r>
        <w:rPr>
          <w:rFonts w:hint="eastAsia" w:ascii="仿宋" w:hAnsi="仿宋" w:eastAsia="仿宋" w:cs="仿宋"/>
          <w:b/>
          <w:bCs w:val="0"/>
          <w:color w:val="auto"/>
          <w:sz w:val="24"/>
          <w:szCs w:val="24"/>
          <w:lang w:val="en-US" w:eastAsia="zh-CN" w:bidi="ar"/>
        </w:rPr>
        <w:t xml:space="preserve">注:</w:t>
      </w:r>
      <w:r/>
    </w:p>
    <w:p>
      <w:pPr>
        <w:ind w:left="140" w:right="0" w:firstLine="562"/>
        <w:jc w:val="both"/>
        <w:keepLines w:val="0"/>
        <w:keepNext w:val="0"/>
        <w:spacing w:before="0" w:beforeAutospacing="0" w:after="0" w:afterAutospacing="0" w:line="480" w:lineRule="exact"/>
        <w:widowControl w:val="off"/>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1、付款条件一中，出具预付款保函后支付的合同款应当与保函金额一致。</w:t>
      </w:r>
      <w:r/>
    </w:p>
    <w:p>
      <w:pPr>
        <w:ind w:left="140" w:right="0" w:firstLine="562"/>
        <w:jc w:val="both"/>
        <w:keepLines w:val="0"/>
        <w:keepNext w:val="0"/>
        <w:spacing w:before="0" w:beforeAutospacing="0" w:after="0" w:afterAutospacing="0" w:line="480" w:lineRule="exact"/>
        <w:widowControl w:val="off"/>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2、付款条件二中，预付款比例设定应符合《关于做好政府采购支持企业发展有关事项的通知》(苏财购〔2020〕52号)要求。</w:t>
      </w:r>
      <w:r/>
    </w:p>
    <w:p>
      <w:pPr>
        <w:ind w:left="0" w:right="0"/>
        <w:jc w:val="both"/>
        <w:keepLines w:val="0"/>
        <w:keepNext w:val="0"/>
        <w:spacing w:before="0" w:beforeAutospacing="0" w:after="0" w:afterAutospacing="0" w:line="480" w:lineRule="exact"/>
        <w:widowControl w:val="off"/>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r>
      <w:r/>
    </w:p>
    <w:p>
      <w:pPr>
        <w:ind w:left="0" w:right="0"/>
        <w:jc w:val="both"/>
        <w:keepLines w:val="0"/>
        <w:keepNext w:val="0"/>
        <w:spacing w:before="0" w:beforeAutospacing="0" w:after="0" w:afterAutospacing="0"/>
        <w:widowControl w:val="off"/>
        <w:rPr>
          <w:rFonts w:hint="eastAsia" w:ascii="宋体" w:hAnsi="宋体" w:eastAsia="宋体" w:cs="宋体"/>
          <w:color w:val="auto"/>
        </w:rPr>
        <w:suppressLineNumbers w:val="0"/>
      </w:pPr>
      <w:r>
        <w:rPr>
          <w:rFonts w:hint="eastAsia" w:ascii="宋体" w:hAnsi="宋体" w:eastAsia="宋体" w:cs="宋体"/>
          <w:color w:val="auto"/>
        </w:rPr>
      </w:r>
      <w:r/>
    </w:p>
    <w:p>
      <w:pPr>
        <w:ind w:left="0" w:right="0"/>
        <w:jc w:val="both"/>
        <w:keepLines w:val="0"/>
        <w:keepNext w:val="0"/>
        <w:spacing w:before="0" w:beforeAutospacing="0" w:after="0" w:afterAutospacing="0"/>
        <w:widowControl w:val="off"/>
        <w:rPr>
          <w:rFonts w:hint="eastAsia" w:ascii="宋体" w:hAnsi="宋体" w:eastAsia="宋体" w:cs="宋体"/>
          <w:color w:val="auto"/>
        </w:rPr>
        <w:suppressLineNumbers w:val="0"/>
      </w:pPr>
      <w:r>
        <w:rPr>
          <w:rFonts w:hint="eastAsia" w:ascii="宋体" w:hAnsi="宋体" w:eastAsia="宋体" w:cs="宋体"/>
          <w:color w:val="auto"/>
        </w:rPr>
      </w:r>
      <w:r/>
    </w:p>
    <w:p>
      <w:pPr>
        <w:pStyle w:val="753"/>
        <w:ind w:right="29"/>
        <w:jc w:val="center"/>
        <w:spacing w:line="520" w:lineRule="exact"/>
        <w:rPr>
          <w:rFonts w:hint="eastAsia" w:ascii="仿宋" w:hAnsi="仿宋" w:eastAsia="仿宋" w:cs="仿宋"/>
          <w:b/>
          <w:bCs/>
          <w:color w:val="auto"/>
          <w:sz w:val="36"/>
          <w:szCs w:val="36"/>
          <w:highlight w:val="none"/>
        </w:rPr>
        <w:sectPr>
          <w:footerReference w:type="default" r:id="rId12"/>
          <w:footnotePr/>
          <w:endnotePr/>
          <w:type w:val="nextPage"/>
          <w:pgSz w:w="11906" w:h="16838" w:orient="portrait"/>
          <w:pgMar w:top="1588" w:right="1418" w:bottom="1474" w:left="1474" w:header="851" w:footer="992" w:gutter="0"/>
          <w:cols w:num="1" w:sep="0" w:space="1701" w:equalWidth="1"/>
          <w:docGrid w:linePitch="360"/>
        </w:sectPr>
      </w:pPr>
      <w:r>
        <w:rPr>
          <w:rFonts w:hint="eastAsia" w:ascii="仿宋" w:hAnsi="仿宋" w:eastAsia="仿宋" w:cs="仿宋"/>
          <w:b/>
          <w:bCs/>
          <w:color w:val="auto"/>
          <w:sz w:val="36"/>
          <w:szCs w:val="36"/>
          <w:highlight w:val="none"/>
        </w:rPr>
      </w:r>
      <w:r/>
    </w:p>
    <w:p>
      <w:pPr>
        <w:pStyle w:val="736"/>
        <w:numPr>
          <w:ilvl w:val="0"/>
          <w:numId w:val="3"/>
        </w:numPr>
        <w:ind w:left="0" w:right="0"/>
        <w:jc w:val="center"/>
        <w:keepLines w:val="0"/>
        <w:keepNext w:val="0"/>
        <w:spacing w:before="0" w:beforeAutospacing="0" w:after="0" w:afterAutospacing="0"/>
        <w:widowControl w:val="off"/>
        <w:rPr>
          <w:rFonts w:hint="eastAsia" w:ascii="仿宋" w:hAnsi="仿宋" w:eastAsia="仿宋" w:cs="仿宋"/>
          <w:b/>
          <w:bCs/>
          <w:color w:val="auto"/>
          <w:sz w:val="36"/>
          <w:szCs w:val="36"/>
          <w:highlight w:val="none"/>
        </w:rPr>
        <w:suppressLineNumbers w:val="0"/>
      </w:pPr>
      <w:r>
        <w:rPr>
          <w:rFonts w:hint="eastAsia" w:ascii="仿宋" w:hAnsi="仿宋" w:eastAsia="仿宋" w:cs="仿宋"/>
          <w:b/>
          <w:bCs/>
          <w:color w:val="auto"/>
          <w:sz w:val="36"/>
          <w:szCs w:val="36"/>
          <w:highlight w:val="none"/>
          <w:lang w:val="en-US" w:eastAsia="zh-CN" w:bidi="ar-SA"/>
        </w:rPr>
        <w:t xml:space="preserve">代理服务收费标准</w:t>
      </w:r>
      <w:r/>
    </w:p>
    <w:p>
      <w:pPr>
        <w:pStyle w:val="736"/>
        <w:numPr>
          <w:ilvl w:val="0"/>
          <w:numId w:val="0"/>
        </w:numPr>
        <w:ind w:right="0"/>
        <w:jc w:val="both"/>
        <w:keepLines w:val="0"/>
        <w:keepNext w:val="0"/>
        <w:spacing w:before="0" w:beforeAutospacing="0" w:after="0" w:afterAutospacing="0"/>
        <w:widowControl w:val="off"/>
        <w:rPr>
          <w:rFonts w:hint="eastAsia" w:ascii="仿宋" w:hAnsi="仿宋" w:eastAsia="仿宋" w:cs="仿宋"/>
          <w:b/>
          <w:bCs/>
          <w:color w:val="auto"/>
          <w:sz w:val="36"/>
          <w:szCs w:val="36"/>
          <w:highlight w:val="none"/>
        </w:rPr>
        <w:suppressLineNumbers w:val="0"/>
      </w:pPr>
      <w:r>
        <w:rPr>
          <w:rFonts w:hint="eastAsia" w:ascii="仿宋" w:hAnsi="仿宋" w:eastAsia="仿宋" w:cs="仿宋"/>
          <w:b/>
          <w:bCs/>
          <w:color w:val="auto"/>
          <w:sz w:val="36"/>
          <w:szCs w:val="36"/>
          <w:highlight w:val="none"/>
        </w:rPr>
      </w:r>
      <w:r/>
    </w:p>
    <w:p>
      <w:pPr>
        <w:ind w:firstLine="480"/>
        <w:jc w:val="both"/>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1、供应商参与本项目采购活动发生的一切费用自理。</w:t>
      </w:r>
      <w:r/>
    </w:p>
    <w:p>
      <w:pPr>
        <w:ind w:firstLine="480"/>
        <w:jc w:val="both"/>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2、代理服务费用标准如下</w:t>
      </w:r>
      <w:r>
        <w:rPr>
          <w:rFonts w:hint="eastAsia" w:ascii="仿宋" w:hAnsi="仿宋" w:eastAsia="仿宋" w:cs="仿宋"/>
          <w:bCs/>
          <w:color w:val="auto"/>
          <w:sz w:val="24"/>
          <w:szCs w:val="24"/>
          <w:highlight w:val="none"/>
        </w:rPr>
        <w:t xml:space="preserve">（代理服务费由成交供应商支付）</w:t>
      </w:r>
      <w:r>
        <w:rPr>
          <w:rFonts w:hint="eastAsia" w:ascii="仿宋" w:hAnsi="仿宋" w:eastAsia="仿宋" w:cs="仿宋"/>
          <w:color w:val="auto"/>
          <w:sz w:val="24"/>
          <w:szCs w:val="24"/>
          <w:highlight w:val="none"/>
        </w:rPr>
        <w:t xml:space="preserve">：</w:t>
      </w:r>
      <w:r/>
    </w:p>
    <w:tbl>
      <w:tblPr>
        <w:tblStyle w:val="711"/>
        <w:tblW w:w="7905"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87"/>
        <w:gridCol w:w="2418"/>
      </w:tblGrid>
      <w:tr>
        <w:trPr>
          <w:jc w:val="center"/>
          <w:trHeight w:val="429"/>
        </w:trPr>
        <w:tc>
          <w:tcPr>
            <w:tcBorders>
              <w:top w:val="single" w:color="auto" w:sz="4" w:space="0"/>
            </w:tcBorders>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中标</w:t>
            </w:r>
            <w:r>
              <w:rPr>
                <w:rFonts w:hint="eastAsia" w:ascii="仿宋" w:hAnsi="仿宋" w:eastAsia="仿宋" w:cs="仿宋"/>
                <w:color w:val="auto"/>
                <w:sz w:val="24"/>
                <w:szCs w:val="24"/>
                <w:lang w:val="en-US" w:eastAsia="zh-CN"/>
              </w:rPr>
              <w:t xml:space="preserve">或成交</w:t>
            </w:r>
            <w:r>
              <w:rPr>
                <w:rFonts w:hint="eastAsia" w:ascii="仿宋" w:hAnsi="仿宋" w:eastAsia="仿宋" w:cs="仿宋"/>
                <w:color w:val="auto"/>
                <w:sz w:val="24"/>
                <w:szCs w:val="24"/>
              </w:rPr>
              <w:t xml:space="preserve">金额</w:t>
            </w:r>
            <w:r/>
          </w:p>
        </w:tc>
        <w:tc>
          <w:tcPr>
            <w:tcBorders>
              <w:top w:val="single" w:color="auto" w:sz="4" w:space="0"/>
            </w:tcBorders>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rPr>
              <w:t xml:space="preserve">费率</w:t>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default"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rPr>
              <w:t xml:space="preserve">最低收费金额（每个委托项目）</w:t>
            </w:r>
            <w:r/>
          </w:p>
        </w:tc>
        <w:tc>
          <w:tcPr>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default"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rPr>
              <w:t xml:space="preserve">5000元</w:t>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default"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rPr>
              <w:t xml:space="preserve">50万元以下（含50万元）</w:t>
            </w:r>
            <w:r/>
          </w:p>
        </w:tc>
        <w:tc>
          <w:tcPr>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w:t>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0</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00万</w:t>
            </w:r>
            <w:r>
              <w:rPr>
                <w:rFonts w:hint="eastAsia" w:ascii="仿宋" w:hAnsi="仿宋" w:eastAsia="仿宋" w:cs="仿宋"/>
                <w:color w:val="auto"/>
                <w:sz w:val="24"/>
                <w:szCs w:val="24"/>
                <w:lang w:val="en-US" w:eastAsia="zh-CN"/>
              </w:rPr>
              <w:t xml:space="preserve">元（含400万元）</w:t>
            </w:r>
            <w:r/>
          </w:p>
        </w:tc>
        <w:tc>
          <w:tcPr>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rPr>
              <w:t xml:space="preserve">1.5</w:t>
            </w:r>
            <w:r>
              <w:rPr>
                <w:rFonts w:hint="eastAsia" w:ascii="仿宋" w:hAnsi="仿宋" w:eastAsia="仿宋" w:cs="仿宋"/>
                <w:color w:val="auto"/>
                <w:sz w:val="24"/>
                <w:szCs w:val="24"/>
              </w:rPr>
              <w:t xml:space="preserve">%</w:t>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00</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000万</w:t>
            </w:r>
            <w:r>
              <w:rPr>
                <w:rFonts w:hint="eastAsia" w:ascii="仿宋" w:hAnsi="仿宋" w:eastAsia="仿宋" w:cs="仿宋"/>
                <w:color w:val="auto"/>
                <w:sz w:val="24"/>
                <w:szCs w:val="24"/>
                <w:lang w:val="en-US" w:eastAsia="zh-CN"/>
              </w:rPr>
              <w:t xml:space="preserve">元（含1000万元）</w:t>
            </w:r>
            <w:r/>
          </w:p>
        </w:tc>
        <w:tc>
          <w:tcPr>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rPr>
              <w:t xml:space="preserve">1.1</w:t>
            </w:r>
            <w:r>
              <w:rPr>
                <w:rFonts w:hint="eastAsia" w:ascii="仿宋" w:hAnsi="仿宋" w:eastAsia="仿宋" w:cs="仿宋"/>
                <w:color w:val="auto"/>
                <w:sz w:val="24"/>
                <w:szCs w:val="24"/>
              </w:rPr>
              <w:t xml:space="preserve">%</w:t>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000</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000万</w:t>
            </w:r>
            <w:r>
              <w:rPr>
                <w:rFonts w:hint="eastAsia" w:ascii="仿宋" w:hAnsi="仿宋" w:eastAsia="仿宋" w:cs="仿宋"/>
                <w:color w:val="auto"/>
                <w:sz w:val="24"/>
                <w:szCs w:val="24"/>
                <w:lang w:val="en-US" w:eastAsia="zh-CN"/>
              </w:rPr>
              <w:t xml:space="preserve">元（含5000万元）</w:t>
            </w:r>
            <w:r/>
          </w:p>
        </w:tc>
        <w:tc>
          <w:tcPr>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0.</w:t>
            </w: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w:t>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000</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亿</w:t>
            </w:r>
            <w:r>
              <w:rPr>
                <w:rFonts w:hint="eastAsia" w:ascii="仿宋" w:hAnsi="仿宋" w:eastAsia="仿宋" w:cs="仿宋"/>
                <w:color w:val="auto"/>
                <w:sz w:val="24"/>
                <w:szCs w:val="24"/>
                <w:lang w:val="en-US" w:eastAsia="zh-CN"/>
              </w:rPr>
              <w:t xml:space="preserve">元（含1</w:t>
            </w:r>
            <w:r>
              <w:rPr>
                <w:rFonts w:hint="eastAsia" w:ascii="仿宋" w:hAnsi="仿宋" w:eastAsia="仿宋" w:cs="仿宋"/>
                <w:color w:val="auto"/>
                <w:sz w:val="24"/>
                <w:szCs w:val="24"/>
              </w:rPr>
              <w:t xml:space="preserve">亿</w:t>
            </w:r>
            <w:r>
              <w:rPr>
                <w:rFonts w:hint="eastAsia" w:ascii="仿宋" w:hAnsi="仿宋" w:eastAsia="仿宋" w:cs="仿宋"/>
                <w:color w:val="auto"/>
                <w:sz w:val="24"/>
                <w:szCs w:val="24"/>
                <w:lang w:val="en-US" w:eastAsia="zh-CN"/>
              </w:rPr>
              <w:t xml:space="preserve">元）</w:t>
            </w:r>
            <w:r/>
          </w:p>
        </w:tc>
        <w:tc>
          <w:tcPr>
            <w:shd w:val="clear" w:color="auto" w:fill="auto"/>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0.25%</w:t>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10亿</w:t>
            </w:r>
            <w:r>
              <w:rPr>
                <w:rFonts w:hint="eastAsia" w:ascii="仿宋" w:hAnsi="仿宋" w:eastAsia="仿宋" w:cs="仿宋"/>
                <w:color w:val="auto"/>
                <w:sz w:val="24"/>
                <w:szCs w:val="24"/>
                <w:lang w:val="en-US" w:eastAsia="zh-CN"/>
              </w:rPr>
              <w:t xml:space="preserve">元（含10</w:t>
            </w:r>
            <w:r>
              <w:rPr>
                <w:rFonts w:hint="eastAsia" w:ascii="仿宋" w:hAnsi="仿宋" w:eastAsia="仿宋" w:cs="仿宋"/>
                <w:color w:val="auto"/>
                <w:sz w:val="24"/>
                <w:szCs w:val="24"/>
              </w:rPr>
              <w:t xml:space="preserve">亿</w:t>
            </w:r>
            <w:r>
              <w:rPr>
                <w:rFonts w:hint="eastAsia" w:ascii="仿宋" w:hAnsi="仿宋" w:eastAsia="仿宋" w:cs="仿宋"/>
                <w:color w:val="auto"/>
                <w:sz w:val="24"/>
                <w:szCs w:val="24"/>
                <w:lang w:val="en-US" w:eastAsia="zh-CN"/>
              </w:rPr>
              <w:t xml:space="preserve">元）</w:t>
            </w:r>
            <w:r/>
          </w:p>
        </w:tc>
        <w:tc>
          <w:tcPr>
            <w:shd w:val="clear" w:color="auto" w:fill="auto"/>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0.05%</w:t>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10</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50亿</w:t>
            </w:r>
            <w:r>
              <w:rPr>
                <w:rFonts w:hint="eastAsia" w:ascii="仿宋" w:hAnsi="仿宋" w:eastAsia="仿宋" w:cs="仿宋"/>
                <w:color w:val="auto"/>
                <w:sz w:val="24"/>
                <w:szCs w:val="24"/>
                <w:lang w:val="en-US" w:eastAsia="zh-CN"/>
              </w:rPr>
              <w:t xml:space="preserve">元（含50</w:t>
            </w:r>
            <w:r>
              <w:rPr>
                <w:rFonts w:hint="eastAsia" w:ascii="仿宋" w:hAnsi="仿宋" w:eastAsia="仿宋" w:cs="仿宋"/>
                <w:color w:val="auto"/>
                <w:sz w:val="24"/>
                <w:szCs w:val="24"/>
              </w:rPr>
              <w:t xml:space="preserve">亿</w:t>
            </w:r>
            <w:r>
              <w:rPr>
                <w:rFonts w:hint="eastAsia" w:ascii="仿宋" w:hAnsi="仿宋" w:eastAsia="仿宋" w:cs="仿宋"/>
                <w:color w:val="auto"/>
                <w:sz w:val="24"/>
                <w:szCs w:val="24"/>
                <w:lang w:val="en-US" w:eastAsia="zh-CN"/>
              </w:rPr>
              <w:t xml:space="preserve">元）</w:t>
            </w:r>
            <w:r/>
          </w:p>
        </w:tc>
        <w:tc>
          <w:tcPr>
            <w:shd w:val="clear" w:color="auto" w:fill="auto"/>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0.0</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w:t>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50亿</w:t>
            </w:r>
            <w:r>
              <w:rPr>
                <w:rFonts w:hint="eastAsia" w:ascii="仿宋" w:hAnsi="仿宋" w:eastAsia="仿宋" w:cs="仿宋"/>
                <w:color w:val="auto"/>
                <w:sz w:val="24"/>
                <w:szCs w:val="24"/>
                <w:lang w:val="en-US" w:eastAsia="zh-CN"/>
              </w:rPr>
              <w:t xml:space="preserve">元以上</w:t>
            </w:r>
            <w:r/>
          </w:p>
        </w:tc>
        <w:tc>
          <w:tcPr>
            <w:shd w:val="clear" w:color="auto" w:fill="auto"/>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0.00</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w:t>
            </w:r>
            <w:r/>
          </w:p>
        </w:tc>
      </w:tr>
    </w:tbl>
    <w:p>
      <w:pPr>
        <w:pStyle w:val="738"/>
        <w:ind w:firstLine="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38"/>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说明：</w:t>
      </w:r>
      <w:r/>
    </w:p>
    <w:p>
      <w:pPr>
        <w:pStyle w:val="738"/>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按上表计算的收费为代理服务全过程的收费金额。</w:t>
      </w:r>
      <w:r/>
    </w:p>
    <w:p>
      <w:pPr>
        <w:pStyle w:val="738"/>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代理服务费按差额定率累进法计算。</w:t>
      </w:r>
      <w:r/>
    </w:p>
    <w:p>
      <w:pPr>
        <w:pStyle w:val="738"/>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代理服务费基准金额（按差额定率累进法计算的）=中标金额（按差额定率累进法计算的） * 费率（%）</w:t>
      </w:r>
      <w:r/>
    </w:p>
    <w:p>
      <w:pPr>
        <w:pStyle w:val="738"/>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代理服务费应收取金额=代理服务费基准金额（按差额定率累进法计算的）的合计数。</w:t>
      </w:r>
      <w:r/>
    </w:p>
    <w:p>
      <w:pPr>
        <w:pStyle w:val="738"/>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定点类等无金额或事先不能计算出价格总额的项目，按中标（成交）金额100万元计算服务费。</w:t>
      </w:r>
      <w:r/>
    </w:p>
    <w:p>
      <w:pPr>
        <w:pStyle w:val="738"/>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（6）成交供应商应在成交通知书发出前一次性缴纳代理服务费。</w:t>
      </w:r>
      <w:r/>
    </w:p>
    <w:p>
      <w:pPr>
        <w:pStyle w:val="738"/>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收款人：徐州公信招标代理有限公司</w:t>
      </w:r>
      <w:r/>
    </w:p>
    <w:p>
      <w:pPr>
        <w:pStyle w:val="738"/>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开户银行：中国建设银行股份有限公司邳州支行</w:t>
      </w:r>
      <w:r/>
    </w:p>
    <w:p>
      <w:pPr>
        <w:pStyle w:val="738"/>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账号：32050171756000000432</w:t>
      </w:r>
      <w:r/>
    </w:p>
    <w:sectPr>
      <w:footnotePr/>
      <w:endnotePr/>
      <w:type w:val="nextPage"/>
      <w:pgSz w:w="11906" w:h="16838" w:orient="portrait"/>
      <w:pgMar w:top="1588" w:right="1418" w:bottom="1474" w:left="147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Wingdings">
    <w:panose1 w:val="05000000000000000000"/>
  </w:font>
  <w:font w:name="全真中明體">
    <w:panose1 w:val="020B0503020202020204"/>
  </w:font>
  <w:font w:name="Arial Rounded MT Bold">
    <w:panose1 w:val="020F0704030504030204"/>
  </w:font>
  <w:font w:name="Arial Black">
    <w:panose1 w:val="020B0A04020102020204"/>
  </w:font>
  <w:font w:name="方正楷体_GBK">
    <w:panose1 w:val="020B0503020202020204"/>
  </w:font>
  <w:font w:name="MingLiU">
    <w:panose1 w:val="02020500000000000000"/>
  </w:font>
  <w:font w:name="Courier New">
    <w:panose1 w:val="02070309020205020404"/>
  </w:font>
  <w:font w:name="方正仿宋_GBK">
    <w:panose1 w:val="020B0503020202020204"/>
  </w:font>
  <w:font w:name="Futura Bk">
    <w:panose1 w:val="020B0503020202020204"/>
  </w:font>
  <w:font w:name="Cambria">
    <w:panose1 w:val="02040503050406030204"/>
  </w:font>
  <w:font w:name="PMingLiU">
    <w:panose1 w:val="02020500000000000000"/>
  </w:font>
  <w:font w:name="黑体">
    <w:panose1 w:val="02010609060101010101"/>
  </w:font>
  <w:font w:name="幼圆">
    <w:panose1 w:val="02010509060101010101"/>
  </w:font>
  <w:font w:name="Verdana">
    <w:panose1 w:val="020B0604030504040204"/>
  </w:font>
  <w:font w:name="仿宋_GB2312">
    <w:panose1 w:val="02010609060101010101"/>
  </w:font>
  <w:font w:name="楷体_GB2312">
    <w:panose1 w:val="02010609060101010101"/>
  </w:font>
  <w:font w:name="Arial">
    <w:panose1 w:val="020B0604020202020204"/>
  </w:font>
  <w:font w:name="微软雅黑">
    <w:panose1 w:val="020B0503020204020204"/>
  </w:font>
  <w:font w:name="Calibri">
    <w:panose1 w:val="020F0502020204030204"/>
  </w:font>
  <w:font w:name="Tahoma">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rPr>
        <w:rStyle w:val="983"/>
      </w:rPr>
      <w:framePr w:wrap="around" w:vAnchor="text" w:hAnchor="margin" w:xAlign="center" w:y="1"/>
    </w:pPr>
    <w:r>
      <w:fldChar w:fldCharType="begin"/>
    </w:r>
    <w:r>
      <w:rPr>
        <w:rStyle w:val="983"/>
      </w:rPr>
      <w:instrText xml:space="preserve">PAGE  </w:instrText>
    </w:r>
    <w:r>
      <w:fldChar w:fldCharType="end"/>
    </w:r>
    <w:r/>
  </w:p>
  <w:p>
    <w:pPr>
      <w:pStyle w:val="95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Pr>
    <w: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next w:val="712"/>
    <w:uiPriority w:val="0"/>
    <w:qFormat/>
    <w:rPr>
      <w:rFonts w:hint="default" w:ascii="Tahoma" w:hAnsi="Tahoma" w:eastAsia="微软雅黑" w:cs="Times New Roman"/>
      <w:lang w:val="en-US" w:eastAsia="zh-CN" w:bidi="ar-SA"/>
    </w:rPr>
  </w:style>
  <w:style w:type="paragraph" w:styleId="701">
    <w:name w:val="Heading 1"/>
    <w:basedOn w:val="700"/>
    <w:next w:val="700"/>
    <w:link w:val="1102"/>
    <w:uiPriority w:val="9"/>
    <w:qFormat/>
    <w:pPr>
      <w:keepLines/>
      <w:keepNext/>
      <w:spacing w:before="480" w:after="200"/>
      <w:outlineLvl w:val="0"/>
    </w:pPr>
    <w:rPr>
      <w:rFonts w:ascii="Arial" w:hAnsi="Arial" w:eastAsia="Arial" w:cs="Arial"/>
      <w:sz w:val="40"/>
      <w:szCs w:val="40"/>
    </w:rPr>
  </w:style>
  <w:style w:type="paragraph" w:styleId="702">
    <w:name w:val="Heading 2"/>
    <w:basedOn w:val="700"/>
    <w:next w:val="700"/>
    <w:link w:val="761"/>
    <w:uiPriority w:val="9"/>
    <w:unhideWhenUsed/>
    <w:qFormat/>
    <w:pPr>
      <w:keepLines/>
      <w:keepNext/>
      <w:spacing w:before="360" w:after="200"/>
      <w:outlineLvl w:val="1"/>
    </w:pPr>
    <w:rPr>
      <w:rFonts w:ascii="Arial" w:hAnsi="Arial" w:eastAsia="Arial" w:cs="Arial"/>
      <w:sz w:val="34"/>
    </w:rPr>
  </w:style>
  <w:style w:type="paragraph" w:styleId="703">
    <w:name w:val="Heading 3"/>
    <w:basedOn w:val="700"/>
    <w:next w:val="700"/>
    <w:link w:val="762"/>
    <w:uiPriority w:val="9"/>
    <w:unhideWhenUsed/>
    <w:qFormat/>
    <w:pPr>
      <w:keepLines/>
      <w:keepNext/>
      <w:spacing w:before="320" w:after="200"/>
      <w:outlineLvl w:val="2"/>
    </w:pPr>
    <w:rPr>
      <w:rFonts w:ascii="Arial" w:hAnsi="Arial" w:eastAsia="Arial" w:cs="Arial"/>
      <w:sz w:val="30"/>
      <w:szCs w:val="30"/>
    </w:rPr>
  </w:style>
  <w:style w:type="paragraph" w:styleId="704">
    <w:name w:val="Heading 4"/>
    <w:basedOn w:val="700"/>
    <w:next w:val="700"/>
    <w:link w:val="763"/>
    <w:uiPriority w:val="9"/>
    <w:unhideWhenUsed/>
    <w:qFormat/>
    <w:pPr>
      <w:keepLines/>
      <w:keepNext/>
      <w:spacing w:before="320" w:after="200"/>
      <w:outlineLvl w:val="3"/>
    </w:pPr>
    <w:rPr>
      <w:rFonts w:ascii="Arial" w:hAnsi="Arial" w:eastAsia="Arial" w:cs="Arial"/>
      <w:b/>
      <w:bCs/>
      <w:sz w:val="26"/>
      <w:szCs w:val="26"/>
    </w:rPr>
  </w:style>
  <w:style w:type="paragraph" w:styleId="705">
    <w:name w:val="Heading 5"/>
    <w:basedOn w:val="700"/>
    <w:next w:val="700"/>
    <w:link w:val="764"/>
    <w:uiPriority w:val="9"/>
    <w:unhideWhenUsed/>
    <w:qFormat/>
    <w:pPr>
      <w:keepLines/>
      <w:keepNext/>
      <w:spacing w:before="320" w:after="200"/>
      <w:outlineLvl w:val="4"/>
    </w:pPr>
    <w:rPr>
      <w:rFonts w:ascii="Arial" w:hAnsi="Arial" w:eastAsia="Arial" w:cs="Arial"/>
      <w:b/>
      <w:bCs/>
      <w:sz w:val="24"/>
      <w:szCs w:val="24"/>
    </w:rPr>
  </w:style>
  <w:style w:type="paragraph" w:styleId="706">
    <w:name w:val="Heading 6"/>
    <w:basedOn w:val="700"/>
    <w:next w:val="700"/>
    <w:link w:val="765"/>
    <w:uiPriority w:val="9"/>
    <w:unhideWhenUsed/>
    <w:qFormat/>
    <w:pPr>
      <w:keepLines/>
      <w:keepNext/>
      <w:spacing w:before="320" w:after="200"/>
      <w:outlineLvl w:val="5"/>
    </w:pPr>
    <w:rPr>
      <w:rFonts w:ascii="Arial" w:hAnsi="Arial" w:eastAsia="Arial" w:cs="Arial"/>
      <w:b/>
      <w:bCs/>
      <w:sz w:val="22"/>
      <w:szCs w:val="22"/>
    </w:rPr>
  </w:style>
  <w:style w:type="paragraph" w:styleId="707">
    <w:name w:val="Heading 7"/>
    <w:basedOn w:val="700"/>
    <w:next w:val="700"/>
    <w:link w:val="766"/>
    <w:uiPriority w:val="9"/>
    <w:unhideWhenUsed/>
    <w:qFormat/>
    <w:pPr>
      <w:keepLines/>
      <w:keepNext/>
      <w:spacing w:before="320" w:after="200"/>
      <w:outlineLvl w:val="6"/>
    </w:pPr>
    <w:rPr>
      <w:rFonts w:ascii="Arial" w:hAnsi="Arial" w:eastAsia="Arial" w:cs="Arial"/>
      <w:b/>
      <w:bCs/>
      <w:i/>
      <w:iCs/>
      <w:sz w:val="22"/>
      <w:szCs w:val="22"/>
    </w:rPr>
  </w:style>
  <w:style w:type="paragraph" w:styleId="708">
    <w:name w:val="Heading 8"/>
    <w:basedOn w:val="700"/>
    <w:next w:val="700"/>
    <w:link w:val="767"/>
    <w:uiPriority w:val="9"/>
    <w:unhideWhenUsed/>
    <w:qFormat/>
    <w:pPr>
      <w:keepLines/>
      <w:keepNext/>
      <w:spacing w:before="320" w:after="200"/>
      <w:outlineLvl w:val="7"/>
    </w:pPr>
    <w:rPr>
      <w:rFonts w:ascii="Arial" w:hAnsi="Arial" w:eastAsia="Arial" w:cs="Arial"/>
      <w:i/>
      <w:iCs/>
      <w:sz w:val="22"/>
      <w:szCs w:val="22"/>
    </w:rPr>
  </w:style>
  <w:style w:type="paragraph" w:styleId="709">
    <w:name w:val="Heading 9"/>
    <w:basedOn w:val="700"/>
    <w:next w:val="700"/>
    <w:link w:val="768"/>
    <w:uiPriority w:val="9"/>
    <w:unhideWhenUsed/>
    <w:qFormat/>
    <w:pPr>
      <w:keepLines/>
      <w:keepNext/>
      <w:spacing w:before="320" w:after="200"/>
      <w:outlineLvl w:val="8"/>
    </w:pPr>
    <w:rPr>
      <w:rFonts w:ascii="Arial" w:hAnsi="Arial" w:eastAsia="Arial" w:cs="Arial"/>
      <w:i/>
      <w:iCs/>
      <w:sz w:val="21"/>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pPr>
      <w:ind w:left="0" w:right="0"/>
      <w:keepLines w:val="0"/>
      <w:keepNext w:val="0"/>
      <w:spacing w:before="0" w:beforeAutospacing="0" w:after="0" w:afterAutospacing="0"/>
      <w:widowControl/>
      <w:suppressLineNumbers w:val="0"/>
    </w:pPr>
    <w:rPr>
      <w:rFonts w:ascii="Calibri" w:hAnsi="Calibri" w:cs="Calibri"/>
      <w:sz w:val="21"/>
      <w:szCs w:val="22"/>
    </w:rPr>
    <w:tblPr>
      <w:tblCellMar>
        <w:left w:w="108" w:type="dxa"/>
        <w:top w:w="0" w:type="dxa"/>
        <w:right w:w="108" w:type="dxa"/>
        <w:bottom w:w="0" w:type="dxa"/>
      </w:tblCellMar>
    </w:tblPr>
  </w:style>
  <w:style w:type="paragraph" w:styleId="712" w:customStyle="1">
    <w:name w:val="BodyTextIndent"/>
    <w:uiPriority w:val="0"/>
    <w:qFormat/>
    <w:pPr>
      <w:ind w:left="420"/>
      <w:jc w:val="both"/>
      <w:spacing w:after="120"/>
      <w:widowControl w:val="off"/>
    </w:pPr>
    <w:rPr>
      <w:rFonts w:hint="default" w:ascii="Calibri" w:hAnsi="Calibri" w:eastAsia="宋体" w:cs="Times New Roman"/>
      <w:sz w:val="21"/>
      <w:lang w:val="en-US" w:eastAsia="zh-CN" w:bidi="ar-SA"/>
    </w:rPr>
  </w:style>
  <w:style w:type="paragraph" w:styleId="713">
    <w:name w:val="toc 7"/>
    <w:basedOn w:val="700"/>
    <w:next w:val="700"/>
    <w:uiPriority w:val="39"/>
    <w:unhideWhenUsed/>
    <w:qFormat/>
    <w:pPr>
      <w:ind w:left="1701" w:right="0" w:firstLine="0"/>
      <w:spacing w:after="57"/>
    </w:pPr>
  </w:style>
  <w:style w:type="paragraph" w:styleId="714">
    <w:name w:val="Caption"/>
    <w:basedOn w:val="700"/>
    <w:next w:val="7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5">
    <w:name w:val="Body Text 3"/>
    <w:basedOn w:val="700"/>
    <w:uiPriority w:val="0"/>
    <w:qFormat/>
    <w:pPr>
      <w:spacing w:line="360" w:lineRule="auto"/>
    </w:pPr>
    <w:rPr>
      <w:rFonts w:ascii="宋体" w:hAnsi="宋体" w:eastAsia="宋体"/>
    </w:rPr>
  </w:style>
  <w:style w:type="paragraph" w:styleId="716">
    <w:name w:val="Body Text"/>
    <w:basedOn w:val="700"/>
    <w:next w:val="717"/>
    <w:uiPriority w:val="0"/>
    <w:qFormat/>
    <w:rPr>
      <w:rFonts w:ascii="楷体_GB2312" w:hAnsi="Arial" w:eastAsia="楷体_GB2312"/>
      <w:sz w:val="28"/>
      <w:szCs w:val="28"/>
    </w:rPr>
  </w:style>
  <w:style w:type="paragraph" w:styleId="717">
    <w:name w:val="Body Text First Indent"/>
    <w:basedOn w:val="716"/>
    <w:uiPriority w:val="0"/>
    <w:qFormat/>
    <w:pPr>
      <w:ind w:firstLine="200"/>
      <w:spacing w:line="360" w:lineRule="auto"/>
    </w:pPr>
    <w:rPr>
      <w:rFonts w:ascii="仿宋_GB2312" w:eastAsia="仿宋_GB2312"/>
      <w:sz w:val="30"/>
      <w:szCs w:val="30"/>
    </w:rPr>
  </w:style>
  <w:style w:type="paragraph" w:styleId="718">
    <w:name w:val="Body Text Indent"/>
    <w:basedOn w:val="700"/>
    <w:next w:val="719"/>
    <w:uiPriority w:val="0"/>
    <w:qFormat/>
    <w:pPr>
      <w:ind w:left="420"/>
      <w:spacing w:after="120"/>
    </w:pPr>
  </w:style>
  <w:style w:type="paragraph" w:styleId="719">
    <w:name w:val="envelope return"/>
    <w:basedOn w:val="700"/>
    <w:uiPriority w:val="0"/>
    <w:qFormat/>
    <w:rPr>
      <w:rFonts w:ascii="Arial" w:hAnsi="Arial"/>
    </w:rPr>
  </w:style>
  <w:style w:type="paragraph" w:styleId="720">
    <w:name w:val="List 2"/>
    <w:basedOn w:val="700"/>
    <w:next w:val="715"/>
    <w:uiPriority w:val="0"/>
    <w:qFormat/>
    <w:pPr>
      <w:ind w:left="100" w:hanging="200"/>
    </w:pPr>
  </w:style>
  <w:style w:type="paragraph" w:styleId="721">
    <w:name w:val="Block Text"/>
    <w:basedOn w:val="700"/>
    <w:uiPriority w:val="0"/>
    <w:qFormat/>
    <w:pPr>
      <w:ind w:left="1440" w:right="1440"/>
      <w:spacing w:after="120"/>
    </w:pPr>
  </w:style>
  <w:style w:type="paragraph" w:styleId="722">
    <w:name w:val="toc 5"/>
    <w:basedOn w:val="700"/>
    <w:next w:val="700"/>
    <w:uiPriority w:val="39"/>
    <w:unhideWhenUsed/>
    <w:qFormat/>
    <w:pPr>
      <w:ind w:left="1134" w:right="0" w:firstLine="0"/>
      <w:spacing w:after="57"/>
    </w:pPr>
  </w:style>
  <w:style w:type="paragraph" w:styleId="723">
    <w:name w:val="toc 3"/>
    <w:basedOn w:val="700"/>
    <w:next w:val="700"/>
    <w:uiPriority w:val="39"/>
    <w:unhideWhenUsed/>
    <w:qFormat/>
    <w:pPr>
      <w:ind w:left="567" w:right="0" w:firstLine="0"/>
      <w:spacing w:after="57"/>
    </w:pPr>
  </w:style>
  <w:style w:type="paragraph" w:styleId="724">
    <w:name w:val="toc 8"/>
    <w:basedOn w:val="700"/>
    <w:next w:val="700"/>
    <w:uiPriority w:val="39"/>
    <w:unhideWhenUsed/>
    <w:qFormat/>
    <w:pPr>
      <w:ind w:left="1984" w:right="0" w:firstLine="0"/>
      <w:spacing w:after="57"/>
    </w:pPr>
  </w:style>
  <w:style w:type="paragraph" w:styleId="725">
    <w:name w:val="endnote text"/>
    <w:basedOn w:val="700"/>
    <w:link w:val="906"/>
    <w:uiPriority w:val="99"/>
    <w:semiHidden/>
    <w:unhideWhenUsed/>
    <w:qFormat/>
    <w:pPr>
      <w:spacing w:after="0" w:line="240" w:lineRule="auto"/>
    </w:pPr>
    <w:rPr>
      <w:sz w:val="20"/>
    </w:rPr>
  </w:style>
  <w:style w:type="paragraph" w:styleId="726">
    <w:name w:val="Footer"/>
    <w:basedOn w:val="700"/>
    <w:link w:val="779"/>
    <w:uiPriority w:val="99"/>
    <w:unhideWhenUsed/>
    <w:qFormat/>
    <w:pPr>
      <w:spacing w:after="0" w:line="240" w:lineRule="auto"/>
      <w:tabs>
        <w:tab w:val="center" w:pos="7143" w:leader="none"/>
        <w:tab w:val="right" w:pos="14287" w:leader="none"/>
      </w:tabs>
    </w:pPr>
  </w:style>
  <w:style w:type="paragraph" w:styleId="727">
    <w:name w:val="Header"/>
    <w:basedOn w:val="700"/>
    <w:link w:val="777"/>
    <w:uiPriority w:val="99"/>
    <w:unhideWhenUsed/>
    <w:qFormat/>
    <w:pPr>
      <w:spacing w:after="0" w:line="240" w:lineRule="auto"/>
      <w:tabs>
        <w:tab w:val="center" w:pos="7143" w:leader="none"/>
        <w:tab w:val="right" w:pos="14287" w:leader="none"/>
      </w:tabs>
    </w:pPr>
  </w:style>
  <w:style w:type="paragraph" w:styleId="728">
    <w:name w:val="toc 1"/>
    <w:basedOn w:val="700"/>
    <w:next w:val="700"/>
    <w:uiPriority w:val="39"/>
    <w:unhideWhenUsed/>
    <w:qFormat/>
    <w:pPr>
      <w:ind w:left="0" w:right="0" w:firstLine="0"/>
      <w:spacing w:after="57"/>
    </w:pPr>
  </w:style>
  <w:style w:type="paragraph" w:styleId="729">
    <w:name w:val="toc 4"/>
    <w:basedOn w:val="700"/>
    <w:next w:val="700"/>
    <w:uiPriority w:val="39"/>
    <w:unhideWhenUsed/>
    <w:qFormat/>
    <w:pPr>
      <w:ind w:left="850" w:right="0" w:firstLine="0"/>
      <w:spacing w:after="57"/>
    </w:pPr>
  </w:style>
  <w:style w:type="paragraph" w:styleId="730">
    <w:name w:val="Subtitle"/>
    <w:basedOn w:val="700"/>
    <w:next w:val="700"/>
    <w:link w:val="772"/>
    <w:uiPriority w:val="11"/>
    <w:qFormat/>
    <w:pPr>
      <w:spacing w:before="200" w:after="200"/>
    </w:pPr>
    <w:rPr>
      <w:sz w:val="24"/>
      <w:szCs w:val="24"/>
    </w:rPr>
  </w:style>
  <w:style w:type="paragraph" w:styleId="731">
    <w:name w:val="footnote text"/>
    <w:basedOn w:val="700"/>
    <w:link w:val="1106"/>
    <w:uiPriority w:val="99"/>
    <w:semiHidden/>
    <w:unhideWhenUsed/>
    <w:qFormat/>
    <w:pPr>
      <w:spacing w:after="40" w:line="240" w:lineRule="auto"/>
    </w:pPr>
    <w:rPr>
      <w:sz w:val="18"/>
    </w:rPr>
  </w:style>
  <w:style w:type="paragraph" w:styleId="732">
    <w:name w:val="toc 6"/>
    <w:basedOn w:val="700"/>
    <w:next w:val="700"/>
    <w:uiPriority w:val="39"/>
    <w:unhideWhenUsed/>
    <w:qFormat/>
    <w:pPr>
      <w:ind w:left="1417" w:right="0" w:firstLine="0"/>
      <w:spacing w:after="57"/>
    </w:pPr>
  </w:style>
  <w:style w:type="paragraph" w:styleId="733">
    <w:name w:val="table of figures"/>
    <w:basedOn w:val="700"/>
    <w:next w:val="700"/>
    <w:uiPriority w:val="99"/>
    <w:unhideWhenUsed/>
    <w:qFormat/>
    <w:pPr>
      <w:spacing w:after="0" w:afterAutospacing="0"/>
    </w:pPr>
  </w:style>
  <w:style w:type="paragraph" w:styleId="734">
    <w:name w:val="toc 2"/>
    <w:basedOn w:val="700"/>
    <w:next w:val="700"/>
    <w:uiPriority w:val="39"/>
    <w:unhideWhenUsed/>
    <w:qFormat/>
    <w:pPr>
      <w:ind w:left="283" w:right="0" w:firstLine="0"/>
      <w:spacing w:after="57"/>
    </w:pPr>
  </w:style>
  <w:style w:type="paragraph" w:styleId="735">
    <w:name w:val="toc 9"/>
    <w:basedOn w:val="700"/>
    <w:next w:val="700"/>
    <w:uiPriority w:val="39"/>
    <w:unhideWhenUsed/>
    <w:qFormat/>
    <w:pPr>
      <w:ind w:left="2268" w:right="0" w:firstLine="0"/>
      <w:spacing w:after="57"/>
    </w:pPr>
  </w:style>
  <w:style w:type="paragraph" w:styleId="736">
    <w:name w:val="Normal (Web)"/>
    <w:basedOn w:val="700"/>
    <w:uiPriority w:val="0"/>
    <w:qFormat/>
    <w:pPr>
      <w:jc w:val="left"/>
      <w:spacing w:before="100" w:beforeAutospacing="1" w:after="100" w:afterAutospacing="1"/>
      <w:widowControl/>
    </w:pPr>
    <w:rPr>
      <w:rFonts w:ascii="宋体" w:hAnsi="宋体" w:cs="宋体"/>
      <w:sz w:val="24"/>
    </w:rPr>
  </w:style>
  <w:style w:type="paragraph" w:styleId="737">
    <w:name w:val="Title"/>
    <w:basedOn w:val="700"/>
    <w:next w:val="700"/>
    <w:link w:val="771"/>
    <w:uiPriority w:val="10"/>
    <w:qFormat/>
    <w:pPr>
      <w:contextualSpacing/>
      <w:spacing w:before="300" w:after="200"/>
    </w:pPr>
    <w:rPr>
      <w:sz w:val="48"/>
      <w:szCs w:val="48"/>
    </w:rPr>
  </w:style>
  <w:style w:type="paragraph" w:styleId="738">
    <w:name w:val="Body Text First Indent 2"/>
    <w:basedOn w:val="718"/>
    <w:uiPriority w:val="0"/>
    <w:qFormat/>
    <w:pPr>
      <w:ind w:left="0" w:firstLine="420"/>
      <w:jc w:val="both"/>
      <w:spacing w:after="0" w:line="360" w:lineRule="auto"/>
      <w:widowControl w:val="off"/>
    </w:pPr>
    <w:rPr>
      <w:rFonts w:hint="default" w:ascii="宋体" w:hAnsi="宋体" w:eastAsia="宋体" w:cs="Times New Roman"/>
      <w:sz w:val="20"/>
      <w:szCs w:val="20"/>
      <w:lang w:val="en-US" w:eastAsia="zh-CN" w:bidi="ar-SA"/>
    </w:rPr>
  </w:style>
  <w:style w:type="table" w:styleId="73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0">
    <w:name w:val="endnote reference"/>
    <w:uiPriority w:val="99"/>
    <w:semiHidden/>
    <w:unhideWhenUsed/>
    <w:qFormat/>
    <w:rPr>
      <w:vertAlign w:val="superscript"/>
    </w:rPr>
  </w:style>
  <w:style w:type="character" w:styleId="741">
    <w:name w:val="Hyperlink"/>
    <w:uiPriority w:val="99"/>
    <w:unhideWhenUsed/>
    <w:qFormat/>
    <w:rPr>
      <w:color w:val="0000ff" w:themeColor="hyperlink"/>
      <w:u w:val="single"/>
      <w14:textFill>
        <w14:solidFill>
          <w14:schemeClr w14:val="hlink"/>
        </w14:solidFill>
      </w14:textFill>
    </w:rPr>
  </w:style>
  <w:style w:type="character" w:styleId="742">
    <w:name w:val="footnote reference"/>
    <w:uiPriority w:val="99"/>
    <w:unhideWhenUsed/>
    <w:qFormat/>
    <w:rPr>
      <w:vertAlign w:val="superscript"/>
    </w:rPr>
  </w:style>
  <w:style w:type="paragraph" w:styleId="743" w:customStyle="1">
    <w:name w:val="无格式"/>
    <w:uiPriority w:val="0"/>
    <w:qFormat/>
    <w:pPr>
      <w:jc w:val="both"/>
    </w:pPr>
    <w:rPr>
      <w:rFonts w:hint="default" w:ascii="宋体" w:hAnsi="宋体" w:eastAsia="宋体" w:cs="Times New Roman"/>
      <w:sz w:val="24"/>
      <w:szCs w:val="22"/>
      <w:lang w:val="en-US" w:eastAsia="zh-CN" w:bidi="ar-SA"/>
    </w:rPr>
  </w:style>
  <w:style w:type="paragraph" w:styleId="744"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745" w:customStyle="1">
    <w:name w:val="列出段落1"/>
    <w:basedOn w:val="746"/>
    <w:link w:val="1045"/>
    <w:uiPriority w:val="0"/>
    <w:qFormat/>
    <w:pPr>
      <w:ind w:left="480"/>
      <w:jc w:val="left"/>
    </w:pPr>
    <w:rPr>
      <w:rFonts w:eastAsia="PMingLiU"/>
      <w:sz w:val="24"/>
      <w:szCs w:val="20"/>
      <w:lang w:eastAsia="zh-TW"/>
    </w:rPr>
  </w:style>
  <w:style w:type="paragraph" w:styleId="746" w:customStyle="1">
    <w:name w:val="正文112"/>
    <w:next w:val="7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7" w:customStyle="1">
    <w:name w:val="正文首行缩进1"/>
    <w:basedOn w:val="748"/>
    <w:next w:val="755"/>
    <w:link w:val="981"/>
    <w:uiPriority w:val="0"/>
    <w:qFormat/>
    <w:pPr>
      <w:ind w:firstLine="200"/>
      <w:spacing w:line="360" w:lineRule="auto"/>
    </w:pPr>
    <w:rPr>
      <w:rFonts w:ascii="仿宋_GB2312" w:eastAsia="仿宋_GB2312"/>
      <w:sz w:val="30"/>
      <w:szCs w:val="30"/>
    </w:rPr>
  </w:style>
  <w:style w:type="paragraph" w:styleId="748" w:customStyle="1">
    <w:name w:val="正文文本1"/>
    <w:basedOn w:val="749"/>
    <w:next w:val="750"/>
    <w:link w:val="942"/>
    <w:uiPriority w:val="0"/>
    <w:qFormat/>
    <w:rPr>
      <w:rFonts w:ascii="楷体_GB2312" w:hAnsi="Arial" w:eastAsia="楷体_GB2312"/>
      <w:sz w:val="28"/>
      <w:szCs w:val="28"/>
    </w:rPr>
  </w:style>
  <w:style w:type="paragraph" w:styleId="749" w:customStyle="1">
    <w:name w:val="正文13"/>
    <w:next w:val="7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0" w:customStyle="1">
    <w:name w:val="一级条标题"/>
    <w:basedOn w:val="751"/>
    <w:next w:val="752"/>
    <w:link w:val="98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51" w:customStyle="1">
    <w:name w:val="章标题"/>
    <w:next w:val="700"/>
    <w:link w:val="987"/>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52" w:customStyle="1">
    <w:name w:val="段"/>
    <w:basedOn w:val="753"/>
    <w:next w:val="700"/>
    <w:uiPriority w:val="0"/>
    <w:qFormat/>
    <w:pPr>
      <w:ind w:firstLine="200"/>
      <w:widowControl/>
    </w:pPr>
    <w:rPr>
      <w:rFonts w:ascii="宋体"/>
      <w:sz w:val="20"/>
      <w:szCs w:val="20"/>
    </w:rPr>
  </w:style>
  <w:style w:type="paragraph" w:styleId="753" w:customStyle="1">
    <w:name w:val="正文11"/>
    <w:next w:val="754"/>
    <w:link w:val="10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4" w:customStyle="1">
    <w:name w:val="标题 21"/>
    <w:basedOn w:val="753"/>
    <w:next w:val="753"/>
    <w:link w:val="922"/>
    <w:uiPriority w:val="0"/>
    <w:qFormat/>
    <w:pPr>
      <w:keepLines/>
      <w:keepNext/>
      <w:spacing w:before="260" w:after="260" w:line="416" w:lineRule="auto"/>
      <w:outlineLvl w:val="1"/>
    </w:pPr>
    <w:rPr>
      <w:rFonts w:ascii="Cambria" w:hAnsi="Cambria"/>
      <w:b/>
      <w:bCs/>
      <w:sz w:val="32"/>
      <w:szCs w:val="32"/>
    </w:rPr>
  </w:style>
  <w:style w:type="paragraph" w:styleId="755" w:customStyle="1">
    <w:name w:val="正文首行缩进 211"/>
    <w:basedOn w:val="756"/>
    <w:next w:val="746"/>
    <w:uiPriority w:val="0"/>
    <w:qFormat/>
    <w:pPr>
      <w:ind w:firstLine="420"/>
    </w:pPr>
    <w:rPr>
      <w:rFonts w:ascii="Times New Roman" w:hAnsi="Times New Roman" w:eastAsia="宋体"/>
      <w:sz w:val="24"/>
      <w:szCs w:val="24"/>
    </w:rPr>
  </w:style>
  <w:style w:type="paragraph" w:styleId="756" w:customStyle="1">
    <w:name w:val="正文文本缩进11"/>
    <w:basedOn w:val="746"/>
    <w:next w:val="746"/>
    <w:uiPriority w:val="0"/>
    <w:qFormat/>
    <w:pPr>
      <w:ind w:firstLine="538"/>
    </w:pPr>
    <w:rPr>
      <w:sz w:val="28"/>
    </w:rPr>
  </w:style>
  <w:style w:type="paragraph" w:styleId="757" w:customStyle="1">
    <w:name w:val="文本块1"/>
    <w:basedOn w:val="753"/>
    <w:uiPriority w:val="0"/>
    <w:qFormat/>
    <w:pPr>
      <w:ind w:left="256" w:right="6" w:firstLine="624"/>
    </w:pPr>
    <w:rPr>
      <w:rFonts w:ascii="Times New Roman" w:hAnsi="Times New Roman" w:eastAsia="仿宋_GB2312"/>
      <w:sz w:val="28"/>
      <w:szCs w:val="20"/>
    </w:rPr>
  </w:style>
  <w:style w:type="paragraph" w:styleId="758" w:customStyle="1">
    <w:name w:val="正文首行缩进 21"/>
    <w:basedOn w:val="759"/>
    <w:uiPriority w:val="0"/>
    <w:qFormat/>
    <w:pPr>
      <w:ind w:left="0" w:firstLine="420"/>
      <w:spacing w:after="0" w:line="360" w:lineRule="auto"/>
    </w:pPr>
    <w:rPr>
      <w:rFonts w:ascii="宋体" w:hAnsi="宋体"/>
      <w:sz w:val="20"/>
      <w:szCs w:val="20"/>
    </w:rPr>
  </w:style>
  <w:style w:type="paragraph" w:styleId="759" w:customStyle="1">
    <w:name w:val="正文文本缩进1"/>
    <w:basedOn w:val="753"/>
    <w:link w:val="920"/>
    <w:uiPriority w:val="0"/>
    <w:qFormat/>
    <w:pPr>
      <w:ind w:left="420"/>
      <w:spacing w:after="120"/>
    </w:pPr>
  </w:style>
  <w:style w:type="character" w:styleId="760" w:customStyle="1">
    <w:name w:val="Heading 1 Char"/>
    <w:link w:val="701"/>
    <w:uiPriority w:val="9"/>
    <w:qFormat/>
    <w:rPr>
      <w:rFonts w:ascii="Arial" w:hAnsi="Arial" w:eastAsia="Arial" w:cs="Arial"/>
      <w:sz w:val="40"/>
      <w:szCs w:val="40"/>
    </w:rPr>
  </w:style>
  <w:style w:type="character" w:styleId="761" w:customStyle="1">
    <w:name w:val="Heading 2 Char"/>
    <w:link w:val="702"/>
    <w:uiPriority w:val="9"/>
    <w:qFormat/>
    <w:rPr>
      <w:rFonts w:ascii="Arial" w:hAnsi="Arial" w:eastAsia="Arial" w:cs="Arial"/>
      <w:sz w:val="34"/>
    </w:rPr>
  </w:style>
  <w:style w:type="character" w:styleId="762" w:customStyle="1">
    <w:name w:val="Heading 3 Char"/>
    <w:link w:val="703"/>
    <w:uiPriority w:val="9"/>
    <w:qFormat/>
    <w:rPr>
      <w:rFonts w:ascii="Arial" w:hAnsi="Arial" w:eastAsia="Arial" w:cs="Arial"/>
      <w:sz w:val="30"/>
      <w:szCs w:val="30"/>
    </w:rPr>
  </w:style>
  <w:style w:type="character" w:styleId="763" w:customStyle="1">
    <w:name w:val="Heading 4 Char"/>
    <w:link w:val="704"/>
    <w:uiPriority w:val="9"/>
    <w:qFormat/>
    <w:rPr>
      <w:rFonts w:ascii="Arial" w:hAnsi="Arial" w:eastAsia="Arial" w:cs="Arial"/>
      <w:b/>
      <w:bCs/>
      <w:sz w:val="26"/>
      <w:szCs w:val="26"/>
    </w:rPr>
  </w:style>
  <w:style w:type="character" w:styleId="764" w:customStyle="1">
    <w:name w:val="Heading 5 Char"/>
    <w:link w:val="705"/>
    <w:uiPriority w:val="9"/>
    <w:qFormat/>
    <w:rPr>
      <w:rFonts w:ascii="Arial" w:hAnsi="Arial" w:eastAsia="Arial" w:cs="Arial"/>
      <w:b/>
      <w:bCs/>
      <w:sz w:val="24"/>
      <w:szCs w:val="24"/>
    </w:rPr>
  </w:style>
  <w:style w:type="character" w:styleId="765" w:customStyle="1">
    <w:name w:val="Heading 6 Char"/>
    <w:link w:val="706"/>
    <w:uiPriority w:val="9"/>
    <w:qFormat/>
    <w:rPr>
      <w:rFonts w:ascii="Arial" w:hAnsi="Arial" w:eastAsia="Arial" w:cs="Arial"/>
      <w:b/>
      <w:bCs/>
      <w:sz w:val="22"/>
      <w:szCs w:val="22"/>
    </w:rPr>
  </w:style>
  <w:style w:type="character" w:styleId="766" w:customStyle="1">
    <w:name w:val="Heading 7 Char"/>
    <w:link w:val="707"/>
    <w:uiPriority w:val="9"/>
    <w:qFormat/>
    <w:rPr>
      <w:rFonts w:ascii="Arial" w:hAnsi="Arial" w:eastAsia="Arial" w:cs="Arial"/>
      <w:b/>
      <w:bCs/>
      <w:i/>
      <w:iCs/>
      <w:sz w:val="22"/>
      <w:szCs w:val="22"/>
    </w:rPr>
  </w:style>
  <w:style w:type="character" w:styleId="767" w:customStyle="1">
    <w:name w:val="Heading 8 Char"/>
    <w:link w:val="708"/>
    <w:uiPriority w:val="9"/>
    <w:qFormat/>
    <w:rPr>
      <w:rFonts w:ascii="Arial" w:hAnsi="Arial" w:eastAsia="Arial" w:cs="Arial"/>
      <w:i/>
      <w:iCs/>
      <w:sz w:val="22"/>
      <w:szCs w:val="22"/>
    </w:rPr>
  </w:style>
  <w:style w:type="character" w:styleId="768" w:customStyle="1">
    <w:name w:val="Heading 9 Char"/>
    <w:link w:val="709"/>
    <w:uiPriority w:val="9"/>
    <w:qFormat/>
    <w:rPr>
      <w:rFonts w:ascii="Arial" w:hAnsi="Arial" w:eastAsia="Arial" w:cs="Arial"/>
      <w:i/>
      <w:iCs/>
      <w:sz w:val="21"/>
      <w:szCs w:val="21"/>
    </w:rPr>
  </w:style>
  <w:style w:type="paragraph" w:styleId="769">
    <w:name w:val="List Paragraph"/>
    <w:basedOn w:val="700"/>
    <w:uiPriority w:val="34"/>
    <w:qFormat/>
    <w:pPr>
      <w:contextualSpacing/>
      <w:ind w:left="720"/>
    </w:pPr>
  </w:style>
  <w:style w:type="paragraph" w:styleId="770">
    <w:name w:val="No Spacing"/>
    <w:uiPriority w:val="1"/>
    <w:qFormat/>
    <w:pPr>
      <w:spacing w:before="0" w:after="0" w:line="240" w:lineRule="auto"/>
    </w:pPr>
    <w:rPr>
      <w:rFonts w:hint="default" w:ascii="Times New Roman" w:hAnsi="Times New Roman" w:eastAsia="宋体" w:cs="Times New Roman"/>
    </w:rPr>
  </w:style>
  <w:style w:type="character" w:styleId="771" w:customStyle="1">
    <w:name w:val="Title Char"/>
    <w:link w:val="737"/>
    <w:uiPriority w:val="10"/>
    <w:qFormat/>
    <w:rPr>
      <w:sz w:val="48"/>
      <w:szCs w:val="48"/>
    </w:rPr>
  </w:style>
  <w:style w:type="character" w:styleId="772" w:customStyle="1">
    <w:name w:val="Subtitle Char"/>
    <w:link w:val="730"/>
    <w:uiPriority w:val="11"/>
    <w:qFormat/>
    <w:rPr>
      <w:sz w:val="24"/>
      <w:szCs w:val="24"/>
    </w:rPr>
  </w:style>
  <w:style w:type="paragraph" w:styleId="773">
    <w:name w:val="Quote"/>
    <w:basedOn w:val="700"/>
    <w:next w:val="700"/>
    <w:link w:val="774"/>
    <w:uiPriority w:val="29"/>
    <w:qFormat/>
    <w:pPr>
      <w:ind w:left="720" w:right="720"/>
    </w:pPr>
    <w:rPr>
      <w:i/>
    </w:rPr>
  </w:style>
  <w:style w:type="character" w:styleId="774" w:customStyle="1">
    <w:name w:val="Quote Char"/>
    <w:link w:val="773"/>
    <w:uiPriority w:val="29"/>
    <w:qFormat/>
    <w:rPr>
      <w:i/>
    </w:rPr>
  </w:style>
  <w:style w:type="paragraph" w:styleId="775">
    <w:name w:val="Intense Quote"/>
    <w:basedOn w:val="700"/>
    <w:next w:val="700"/>
    <w:link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Intense Quote Char"/>
    <w:link w:val="775"/>
    <w:uiPriority w:val="30"/>
    <w:qFormat/>
    <w:rPr>
      <w:i/>
    </w:rPr>
  </w:style>
  <w:style w:type="character" w:styleId="777" w:customStyle="1">
    <w:name w:val="Header Char"/>
    <w:link w:val="727"/>
    <w:uiPriority w:val="99"/>
    <w:qFormat/>
  </w:style>
  <w:style w:type="character" w:styleId="778" w:customStyle="1">
    <w:name w:val="Footer Char"/>
    <w:link w:val="726"/>
    <w:uiPriority w:val="99"/>
    <w:qFormat/>
  </w:style>
  <w:style w:type="character" w:styleId="779" w:customStyle="1">
    <w:name w:val="Caption Char"/>
    <w:link w:val="726"/>
    <w:uiPriority w:val="99"/>
    <w:qFormat/>
  </w:style>
  <w:style w:type="table" w:styleId="78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5" w:customStyle="1">
    <w:name w:val="Footnote Text Char"/>
    <w:link w:val="731"/>
    <w:uiPriority w:val="99"/>
    <w:qFormat/>
    <w:rPr>
      <w:sz w:val="18"/>
    </w:rPr>
  </w:style>
  <w:style w:type="character" w:styleId="906" w:customStyle="1">
    <w:name w:val="Endnote Text Char"/>
    <w:link w:val="725"/>
    <w:uiPriority w:val="99"/>
    <w:qFormat/>
    <w:rPr>
      <w:sz w:val="20"/>
    </w:rPr>
  </w:style>
  <w:style w:type="paragraph" w:styleId="907" w:customStyle="1">
    <w:name w:val="TOC Heading"/>
    <w:uiPriority w:val="39"/>
    <w:unhideWhenUsed/>
    <w:qFormat/>
    <w:rPr>
      <w:rFonts w:hint="default" w:ascii="Times New Roman" w:hAnsi="Times New Roman" w:eastAsia="宋体" w:cs="Times New Roman"/>
    </w:rPr>
  </w:style>
  <w:style w:type="paragraph" w:styleId="908" w:customStyle="1">
    <w:name w:val="标题 11"/>
    <w:basedOn w:val="753"/>
    <w:next w:val="753"/>
    <w:link w:val="921"/>
    <w:uiPriority w:val="0"/>
    <w:qFormat/>
    <w:pPr>
      <w:keepLines/>
      <w:keepNext/>
      <w:spacing w:before="340" w:after="330" w:line="578" w:lineRule="atLeast"/>
      <w:outlineLvl w:val="0"/>
    </w:pPr>
    <w:rPr>
      <w:rFonts w:eastAsia="方正仿宋_GBK"/>
      <w:b/>
      <w:sz w:val="44"/>
      <w:szCs w:val="20"/>
    </w:rPr>
  </w:style>
  <w:style w:type="paragraph" w:styleId="909" w:customStyle="1">
    <w:name w:val="正文1"/>
    <w:basedOn w:val="753"/>
    <w:next w:val="754"/>
    <w:link w:val="1004"/>
    <w:uiPriority w:val="0"/>
    <w:qFormat/>
    <w:pPr>
      <w:jc w:val="left"/>
      <w:spacing w:line="360" w:lineRule="atLeast"/>
    </w:pPr>
    <w:rPr>
      <w:rFonts w:ascii="宋体"/>
      <w:sz w:val="24"/>
      <w:szCs w:val="20"/>
    </w:rPr>
  </w:style>
  <w:style w:type="paragraph" w:styleId="910" w:customStyle="1">
    <w:name w:val="标题 31"/>
    <w:basedOn w:val="753"/>
    <w:next w:val="911"/>
    <w:link w:val="923"/>
    <w:uiPriority w:val="0"/>
    <w:qFormat/>
    <w:pPr>
      <w:keepLines/>
      <w:keepNext/>
      <w:spacing w:before="260" w:after="260" w:line="416" w:lineRule="auto"/>
      <w:outlineLvl w:val="2"/>
    </w:pPr>
    <w:rPr>
      <w:b/>
      <w:bCs/>
      <w:sz w:val="24"/>
      <w:szCs w:val="32"/>
    </w:rPr>
  </w:style>
  <w:style w:type="paragraph" w:styleId="911" w:customStyle="1">
    <w:name w:val="正文缩进1"/>
    <w:basedOn w:val="753"/>
    <w:link w:val="924"/>
    <w:uiPriority w:val="0"/>
    <w:qFormat/>
    <w:pPr>
      <w:ind w:firstLine="420"/>
    </w:pPr>
  </w:style>
  <w:style w:type="paragraph" w:styleId="912" w:customStyle="1">
    <w:name w:val="标题 41"/>
    <w:basedOn w:val="753"/>
    <w:next w:val="753"/>
    <w:link w:val="925"/>
    <w:uiPriority w:val="0"/>
    <w:qFormat/>
    <w:pPr>
      <w:keepLines/>
      <w:keepNext/>
      <w:spacing w:before="280" w:after="290" w:line="376" w:lineRule="auto"/>
      <w:outlineLvl w:val="3"/>
    </w:pPr>
    <w:rPr>
      <w:rFonts w:ascii="Cambria" w:hAnsi="Cambria"/>
      <w:b/>
      <w:bCs/>
      <w:sz w:val="28"/>
      <w:szCs w:val="28"/>
    </w:rPr>
  </w:style>
  <w:style w:type="paragraph" w:styleId="913" w:customStyle="1">
    <w:name w:val="标题 51"/>
    <w:basedOn w:val="753"/>
    <w:next w:val="753"/>
    <w:link w:val="926"/>
    <w:uiPriority w:val="0"/>
    <w:qFormat/>
    <w:pPr>
      <w:keepLines/>
      <w:keepNext/>
      <w:spacing w:before="280" w:after="290" w:line="376" w:lineRule="auto"/>
      <w:outlineLvl w:val="4"/>
    </w:pPr>
    <w:rPr>
      <w:b/>
      <w:bCs/>
      <w:sz w:val="28"/>
      <w:szCs w:val="28"/>
    </w:rPr>
  </w:style>
  <w:style w:type="paragraph" w:styleId="914" w:customStyle="1">
    <w:name w:val="标题 61"/>
    <w:basedOn w:val="753"/>
    <w:next w:val="753"/>
    <w:link w:val="927"/>
    <w:uiPriority w:val="0"/>
    <w:qFormat/>
    <w:pPr>
      <w:keepLines/>
      <w:keepNext/>
      <w:spacing w:before="240" w:after="64" w:line="320" w:lineRule="auto"/>
      <w:outlineLvl w:val="5"/>
    </w:pPr>
    <w:rPr>
      <w:rFonts w:ascii="Arial" w:hAnsi="Arial" w:eastAsia="黑体"/>
      <w:b/>
      <w:bCs/>
      <w:sz w:val="24"/>
    </w:rPr>
  </w:style>
  <w:style w:type="paragraph" w:styleId="915" w:customStyle="1">
    <w:name w:val="标题 71"/>
    <w:basedOn w:val="753"/>
    <w:next w:val="753"/>
    <w:link w:val="928"/>
    <w:uiPriority w:val="0"/>
    <w:qFormat/>
    <w:pPr>
      <w:keepLines/>
      <w:keepNext/>
      <w:spacing w:before="240" w:after="64" w:line="320" w:lineRule="auto"/>
      <w:outlineLvl w:val="6"/>
    </w:pPr>
    <w:rPr>
      <w:b/>
      <w:bCs/>
      <w:sz w:val="24"/>
    </w:rPr>
  </w:style>
  <w:style w:type="paragraph" w:styleId="916" w:customStyle="1">
    <w:name w:val="标题 81"/>
    <w:basedOn w:val="753"/>
    <w:next w:val="753"/>
    <w:link w:val="929"/>
    <w:uiPriority w:val="0"/>
    <w:qFormat/>
    <w:pPr>
      <w:keepLines/>
      <w:keepNext/>
      <w:spacing w:before="240" w:after="64" w:line="320" w:lineRule="auto"/>
      <w:outlineLvl w:val="7"/>
    </w:pPr>
    <w:rPr>
      <w:rFonts w:ascii="Arial" w:hAnsi="Arial" w:eastAsia="黑体"/>
      <w:sz w:val="24"/>
    </w:rPr>
  </w:style>
  <w:style w:type="paragraph" w:styleId="917" w:customStyle="1">
    <w:name w:val="标题 91"/>
    <w:basedOn w:val="753"/>
    <w:next w:val="753"/>
    <w:link w:val="930"/>
    <w:uiPriority w:val="0"/>
    <w:qFormat/>
    <w:pPr>
      <w:keepLines/>
      <w:keepNext/>
      <w:spacing w:before="240" w:after="64" w:line="320" w:lineRule="auto"/>
      <w:outlineLvl w:val="8"/>
    </w:pPr>
    <w:rPr>
      <w:rFonts w:ascii="Arial" w:hAnsi="Arial" w:eastAsia="黑体"/>
      <w:sz w:val="21"/>
      <w:szCs w:val="21"/>
    </w:rPr>
  </w:style>
  <w:style w:type="character" w:styleId="918" w:customStyle="1">
    <w:name w:val="默认段落字体1"/>
    <w:link w:val="753"/>
    <w:uiPriority w:val="0"/>
    <w:semiHidden/>
    <w:qFormat/>
  </w:style>
  <w:style w:type="table" w:styleId="919" w:customStyle="1">
    <w:name w:val="普通表格1"/>
    <w:uiPriority w:val="0"/>
    <w:semiHidden/>
    <w:qFormat/>
    <w:tblPr/>
  </w:style>
  <w:style w:type="character" w:styleId="920" w:customStyle="1">
    <w:name w:val="正文文本缩进 Char"/>
    <w:link w:val="759"/>
    <w:uiPriority w:val="0"/>
    <w:qFormat/>
    <w:rPr>
      <w:sz w:val="21"/>
      <w:szCs w:val="24"/>
    </w:rPr>
  </w:style>
  <w:style w:type="character" w:styleId="921" w:customStyle="1">
    <w:name w:val="标题 1 Char"/>
    <w:link w:val="908"/>
    <w:uiPriority w:val="0"/>
    <w:qFormat/>
    <w:rPr>
      <w:rFonts w:eastAsia="方正仿宋_GBK"/>
      <w:b/>
      <w:sz w:val="44"/>
      <w:lang w:val="en-US" w:eastAsia="zh-CN" w:bidi="ar-SA"/>
    </w:rPr>
  </w:style>
  <w:style w:type="character" w:styleId="922" w:customStyle="1">
    <w:name w:val="标题 2 Char"/>
    <w:link w:val="754"/>
    <w:uiPriority w:val="0"/>
    <w:qFormat/>
    <w:rPr>
      <w:rFonts w:ascii="Cambria" w:hAnsi="Cambria" w:eastAsia="宋体"/>
      <w:b/>
      <w:bCs/>
      <w:sz w:val="32"/>
      <w:szCs w:val="32"/>
      <w:lang w:val="en-US" w:eastAsia="zh-CN" w:bidi="ar-SA"/>
    </w:rPr>
  </w:style>
  <w:style w:type="character" w:styleId="923" w:customStyle="1">
    <w:name w:val="标题 3 Char"/>
    <w:link w:val="910"/>
    <w:uiPriority w:val="0"/>
    <w:qFormat/>
    <w:rPr>
      <w:rFonts w:eastAsia="宋体"/>
      <w:b/>
      <w:bCs/>
      <w:sz w:val="24"/>
      <w:szCs w:val="32"/>
      <w:lang w:val="en-US" w:eastAsia="zh-CN" w:bidi="ar-SA"/>
    </w:rPr>
  </w:style>
  <w:style w:type="character" w:styleId="924" w:customStyle="1">
    <w:name w:val="正文缩进 Char"/>
    <w:link w:val="911"/>
    <w:uiPriority w:val="0"/>
    <w:qFormat/>
    <w:rPr>
      <w:rFonts w:eastAsia="宋体"/>
      <w:sz w:val="21"/>
      <w:szCs w:val="24"/>
      <w:lang w:val="en-US" w:eastAsia="zh-CN" w:bidi="ar-SA"/>
    </w:rPr>
  </w:style>
  <w:style w:type="character" w:styleId="925" w:customStyle="1">
    <w:name w:val="标题 4 Char"/>
    <w:link w:val="912"/>
    <w:uiPriority w:val="0"/>
    <w:qFormat/>
    <w:rPr>
      <w:rFonts w:ascii="Cambria" w:hAnsi="Cambria" w:eastAsia="宋体"/>
      <w:b/>
      <w:bCs/>
      <w:sz w:val="28"/>
      <w:szCs w:val="28"/>
      <w:lang w:val="en-US" w:eastAsia="zh-CN" w:bidi="ar-SA"/>
    </w:rPr>
  </w:style>
  <w:style w:type="character" w:styleId="926" w:customStyle="1">
    <w:name w:val="标题 5 Char"/>
    <w:link w:val="913"/>
    <w:uiPriority w:val="0"/>
    <w:qFormat/>
    <w:rPr>
      <w:rFonts w:eastAsia="宋体"/>
      <w:b/>
      <w:bCs/>
      <w:sz w:val="28"/>
      <w:szCs w:val="28"/>
      <w:lang w:val="en-US" w:eastAsia="zh-CN" w:bidi="ar-SA"/>
    </w:rPr>
  </w:style>
  <w:style w:type="character" w:styleId="927" w:customStyle="1">
    <w:name w:val="标题 6 Char"/>
    <w:link w:val="914"/>
    <w:uiPriority w:val="0"/>
    <w:qFormat/>
    <w:rPr>
      <w:rFonts w:ascii="Arial" w:hAnsi="Arial" w:eastAsia="黑体"/>
      <w:b/>
      <w:bCs/>
      <w:sz w:val="24"/>
      <w:szCs w:val="24"/>
      <w:lang w:bidi="ar-SA"/>
    </w:rPr>
  </w:style>
  <w:style w:type="character" w:styleId="928" w:customStyle="1">
    <w:name w:val="标题 7 Char"/>
    <w:link w:val="915"/>
    <w:uiPriority w:val="0"/>
    <w:qFormat/>
    <w:rPr>
      <w:rFonts w:ascii="Calibri" w:hAnsi="Calibri" w:eastAsia="宋体"/>
      <w:b/>
      <w:bCs/>
      <w:sz w:val="24"/>
      <w:szCs w:val="24"/>
      <w:lang w:bidi="ar-SA"/>
    </w:rPr>
  </w:style>
  <w:style w:type="character" w:styleId="929" w:customStyle="1">
    <w:name w:val="标题 8 Char"/>
    <w:link w:val="916"/>
    <w:uiPriority w:val="0"/>
    <w:qFormat/>
    <w:rPr>
      <w:rFonts w:ascii="Arial" w:hAnsi="Arial" w:eastAsia="黑体"/>
      <w:sz w:val="24"/>
      <w:szCs w:val="24"/>
      <w:lang w:bidi="ar-SA"/>
    </w:rPr>
  </w:style>
  <w:style w:type="character" w:styleId="930" w:customStyle="1">
    <w:name w:val="标题 9 Char"/>
    <w:link w:val="917"/>
    <w:uiPriority w:val="0"/>
    <w:qFormat/>
    <w:rPr>
      <w:rFonts w:ascii="Arial" w:hAnsi="Arial" w:eastAsia="黑体"/>
      <w:sz w:val="21"/>
      <w:szCs w:val="21"/>
      <w:lang w:bidi="ar-SA"/>
    </w:rPr>
  </w:style>
  <w:style w:type="paragraph" w:styleId="931" w:customStyle="1">
    <w:name w:val="列表 31"/>
    <w:basedOn w:val="753"/>
    <w:link w:val="932"/>
    <w:uiPriority w:val="0"/>
    <w:qFormat/>
    <w:pPr>
      <w:ind w:left="100" w:hanging="200"/>
    </w:pPr>
    <w:rPr>
      <w:bCs/>
      <w:sz w:val="24"/>
      <w:szCs w:val="32"/>
    </w:rPr>
  </w:style>
  <w:style w:type="character" w:styleId="932" w:customStyle="1">
    <w:name w:val="列表 3 Char"/>
    <w:link w:val="931"/>
    <w:uiPriority w:val="0"/>
    <w:qFormat/>
    <w:rPr>
      <w:rFonts w:eastAsia="宋体"/>
      <w:bCs/>
      <w:sz w:val="24"/>
      <w:szCs w:val="32"/>
      <w:lang w:val="en-US" w:eastAsia="zh-CN" w:bidi="ar-SA"/>
    </w:rPr>
  </w:style>
  <w:style w:type="paragraph" w:styleId="933" w:customStyle="1">
    <w:name w:val="目录 71"/>
    <w:basedOn w:val="753"/>
    <w:next w:val="753"/>
    <w:uiPriority w:val="0"/>
    <w:qFormat/>
    <w:pPr>
      <w:ind w:left="1260"/>
      <w:jc w:val="left"/>
    </w:pPr>
    <w:rPr>
      <w:rFonts w:ascii="Calibri" w:hAnsi="Calibri"/>
      <w:sz w:val="18"/>
      <w:szCs w:val="18"/>
    </w:rPr>
  </w:style>
  <w:style w:type="paragraph" w:styleId="934" w:customStyle="1">
    <w:name w:val="索引 51"/>
    <w:basedOn w:val="753"/>
    <w:next w:val="753"/>
    <w:uiPriority w:val="0"/>
    <w:qFormat/>
    <w:pPr>
      <w:ind w:left="798"/>
      <w:jc w:val="left"/>
    </w:pPr>
    <w:rPr>
      <w:rFonts w:ascii="Calibri" w:hAnsi="Calibri"/>
      <w:sz w:val="21"/>
    </w:rPr>
  </w:style>
  <w:style w:type="paragraph" w:styleId="935" w:customStyle="1">
    <w:name w:val="文档结构图1"/>
    <w:basedOn w:val="753"/>
    <w:link w:val="936"/>
    <w:uiPriority w:val="0"/>
    <w:qFormat/>
    <w:rPr>
      <w:rFonts w:ascii="宋体"/>
      <w:sz w:val="18"/>
      <w:szCs w:val="18"/>
    </w:rPr>
  </w:style>
  <w:style w:type="character" w:styleId="936" w:customStyle="1">
    <w:name w:val="文档结构图 Char"/>
    <w:link w:val="935"/>
    <w:uiPriority w:val="0"/>
    <w:semiHidden/>
    <w:qFormat/>
    <w:rPr>
      <w:rFonts w:ascii="宋体" w:eastAsia="宋体"/>
      <w:sz w:val="18"/>
      <w:szCs w:val="18"/>
      <w:lang w:val="en-US" w:eastAsia="zh-CN" w:bidi="ar-SA"/>
    </w:rPr>
  </w:style>
  <w:style w:type="paragraph" w:styleId="937" w:customStyle="1">
    <w:name w:val="批注文字1"/>
    <w:basedOn w:val="753"/>
    <w:link w:val="938"/>
    <w:uiPriority w:val="0"/>
    <w:qFormat/>
    <w:pPr>
      <w:jc w:val="left"/>
    </w:pPr>
  </w:style>
  <w:style w:type="character" w:styleId="938" w:customStyle="1">
    <w:name w:val="批注文字 Char"/>
    <w:link w:val="937"/>
    <w:uiPriority w:val="0"/>
    <w:qFormat/>
    <w:rPr>
      <w:rFonts w:eastAsia="宋体"/>
      <w:sz w:val="21"/>
      <w:szCs w:val="24"/>
      <w:lang w:val="en-US" w:eastAsia="zh-CN" w:bidi="ar-SA"/>
    </w:rPr>
  </w:style>
  <w:style w:type="paragraph" w:styleId="939" w:customStyle="1">
    <w:name w:val="正文文本 31"/>
    <w:basedOn w:val="753"/>
    <w:link w:val="940"/>
    <w:uiPriority w:val="0"/>
    <w:qFormat/>
    <w:rPr>
      <w:rFonts w:ascii="仿宋_GB2312" w:hAnsi="Arial" w:eastAsia="仿宋_GB2312"/>
      <w:sz w:val="32"/>
      <w:szCs w:val="32"/>
    </w:rPr>
  </w:style>
  <w:style w:type="character" w:styleId="940" w:customStyle="1">
    <w:name w:val="正文文本 3 Char"/>
    <w:link w:val="939"/>
    <w:uiPriority w:val="0"/>
    <w:qFormat/>
    <w:rPr>
      <w:rFonts w:ascii="仿宋_GB2312" w:hAnsi="Arial" w:eastAsia="仿宋_GB2312"/>
      <w:sz w:val="32"/>
      <w:szCs w:val="32"/>
      <w:lang w:bidi="ar-SA"/>
    </w:rPr>
  </w:style>
  <w:style w:type="paragraph" w:styleId="941"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942" w:customStyle="1">
    <w:name w:val="正文文本 Char"/>
    <w:link w:val="748"/>
    <w:uiPriority w:val="0"/>
    <w:qFormat/>
    <w:rPr>
      <w:rFonts w:ascii="楷体_GB2312" w:hAnsi="Arial" w:eastAsia="楷体_GB2312"/>
      <w:sz w:val="28"/>
      <w:szCs w:val="28"/>
      <w:lang w:bidi="ar-SA"/>
    </w:rPr>
  </w:style>
  <w:style w:type="paragraph" w:styleId="943" w:customStyle="1">
    <w:name w:val="HTML 地址1"/>
    <w:basedOn w:val="753"/>
    <w:link w:val="944"/>
    <w:uiPriority w:val="0"/>
    <w:qFormat/>
    <w:rPr>
      <w:rFonts w:ascii="宋体"/>
      <w:i/>
      <w:iCs/>
      <w:sz w:val="20"/>
      <w:szCs w:val="21"/>
    </w:rPr>
  </w:style>
  <w:style w:type="character" w:styleId="944" w:customStyle="1">
    <w:name w:val="HTML 地址 Char"/>
    <w:link w:val="943"/>
    <w:uiPriority w:val="0"/>
    <w:qFormat/>
    <w:rPr>
      <w:rFonts w:ascii="宋体"/>
      <w:i/>
      <w:iCs/>
      <w:sz w:val="21"/>
      <w:szCs w:val="21"/>
      <w:lang w:bidi="ar-SA"/>
    </w:rPr>
  </w:style>
  <w:style w:type="paragraph" w:styleId="945" w:customStyle="1">
    <w:name w:val="目录 51"/>
    <w:basedOn w:val="753"/>
    <w:next w:val="753"/>
    <w:uiPriority w:val="0"/>
    <w:qFormat/>
    <w:pPr>
      <w:ind w:left="840"/>
      <w:jc w:val="left"/>
    </w:pPr>
    <w:rPr>
      <w:rFonts w:ascii="Calibri" w:hAnsi="Calibri"/>
      <w:sz w:val="18"/>
      <w:szCs w:val="18"/>
    </w:rPr>
  </w:style>
  <w:style w:type="paragraph" w:styleId="946" w:customStyle="1">
    <w:name w:val="目录 31"/>
    <w:basedOn w:val="753"/>
    <w:next w:val="753"/>
    <w:uiPriority w:val="0"/>
    <w:qFormat/>
    <w:pPr>
      <w:ind w:left="840"/>
    </w:pPr>
  </w:style>
  <w:style w:type="paragraph" w:styleId="947" w:customStyle="1">
    <w:name w:val="纯文本1"/>
    <w:basedOn w:val="753"/>
    <w:link w:val="948"/>
    <w:uiPriority w:val="0"/>
    <w:qFormat/>
    <w:rPr>
      <w:rFonts w:ascii="宋体" w:hAnsi="Courier New"/>
      <w:sz w:val="21"/>
      <w:szCs w:val="21"/>
    </w:rPr>
  </w:style>
  <w:style w:type="character" w:styleId="948" w:customStyle="1">
    <w:name w:val="纯文本 Char"/>
    <w:link w:val="947"/>
    <w:uiPriority w:val="0"/>
    <w:qFormat/>
    <w:rPr>
      <w:rFonts w:ascii="宋体" w:hAnsi="Courier New" w:eastAsia="宋体"/>
      <w:sz w:val="21"/>
      <w:szCs w:val="21"/>
      <w:lang w:bidi="ar-SA"/>
    </w:rPr>
  </w:style>
  <w:style w:type="paragraph" w:styleId="949" w:customStyle="1">
    <w:name w:val="目录 81"/>
    <w:basedOn w:val="753"/>
    <w:next w:val="753"/>
    <w:uiPriority w:val="0"/>
    <w:qFormat/>
    <w:pPr>
      <w:ind w:left="1470"/>
      <w:jc w:val="left"/>
    </w:pPr>
    <w:rPr>
      <w:rFonts w:ascii="Calibri" w:hAnsi="Calibri"/>
      <w:sz w:val="18"/>
      <w:szCs w:val="18"/>
    </w:rPr>
  </w:style>
  <w:style w:type="paragraph" w:styleId="950" w:customStyle="1">
    <w:name w:val="日期1"/>
    <w:basedOn w:val="753"/>
    <w:next w:val="753"/>
    <w:link w:val="951"/>
    <w:uiPriority w:val="0"/>
    <w:qFormat/>
    <w:rPr>
      <w:sz w:val="24"/>
    </w:rPr>
  </w:style>
  <w:style w:type="character" w:styleId="951" w:customStyle="1">
    <w:name w:val="日期 Char"/>
    <w:link w:val="950"/>
    <w:uiPriority w:val="0"/>
    <w:qFormat/>
    <w:rPr>
      <w:rFonts w:eastAsia="宋体"/>
      <w:sz w:val="24"/>
      <w:szCs w:val="24"/>
      <w:lang w:bidi="ar-SA"/>
    </w:rPr>
  </w:style>
  <w:style w:type="paragraph" w:styleId="952" w:customStyle="1">
    <w:name w:val="正文文本缩进 21"/>
    <w:basedOn w:val="753"/>
    <w:link w:val="953"/>
    <w:uiPriority w:val="0"/>
    <w:qFormat/>
    <w:pPr>
      <w:ind w:left="630" w:firstLine="645"/>
    </w:pPr>
    <w:rPr>
      <w:rFonts w:ascii="Arial" w:hAnsi="Arial" w:eastAsia="仿宋_GB2312"/>
      <w:sz w:val="32"/>
      <w:szCs w:val="32"/>
    </w:rPr>
  </w:style>
  <w:style w:type="character" w:styleId="953" w:customStyle="1">
    <w:name w:val="正文文本缩进 2 Char"/>
    <w:link w:val="952"/>
    <w:uiPriority w:val="0"/>
    <w:qFormat/>
    <w:rPr>
      <w:rFonts w:ascii="Arial" w:hAnsi="Arial" w:eastAsia="仿宋_GB2312"/>
      <w:sz w:val="32"/>
      <w:szCs w:val="32"/>
    </w:rPr>
  </w:style>
  <w:style w:type="paragraph" w:styleId="954" w:customStyle="1">
    <w:name w:val="尾注文本1"/>
    <w:basedOn w:val="753"/>
    <w:link w:val="955"/>
    <w:uiPriority w:val="0"/>
    <w:qFormat/>
    <w:pPr>
      <w:jc w:val="left"/>
      <w:widowControl/>
    </w:pPr>
    <w:rPr>
      <w:sz w:val="20"/>
      <w:szCs w:val="20"/>
    </w:rPr>
  </w:style>
  <w:style w:type="character" w:styleId="955" w:customStyle="1">
    <w:name w:val="尾注文本 Char"/>
    <w:link w:val="954"/>
    <w:uiPriority w:val="0"/>
    <w:qFormat/>
    <w:rPr>
      <w:rFonts w:eastAsia="宋体"/>
      <w:lang w:bidi="ar-SA"/>
    </w:rPr>
  </w:style>
  <w:style w:type="paragraph" w:styleId="956" w:customStyle="1">
    <w:name w:val="批注框文本1"/>
    <w:basedOn w:val="753"/>
    <w:link w:val="957"/>
    <w:uiPriority w:val="0"/>
    <w:qFormat/>
    <w:rPr>
      <w:sz w:val="18"/>
      <w:szCs w:val="18"/>
    </w:rPr>
  </w:style>
  <w:style w:type="character" w:styleId="957" w:customStyle="1">
    <w:name w:val="批注框文本 Char"/>
    <w:link w:val="956"/>
    <w:uiPriority w:val="0"/>
    <w:qFormat/>
    <w:rPr>
      <w:rFonts w:eastAsia="宋体"/>
      <w:sz w:val="18"/>
      <w:szCs w:val="18"/>
      <w:lang w:val="en-US" w:eastAsia="zh-CN" w:bidi="ar-SA"/>
    </w:rPr>
  </w:style>
  <w:style w:type="paragraph" w:styleId="958" w:customStyle="1">
    <w:name w:val="页脚1"/>
    <w:basedOn w:val="753"/>
    <w:link w:val="959"/>
    <w:uiPriority w:val="0"/>
    <w:qFormat/>
    <w:pPr>
      <w:jc w:val="left"/>
      <w:tabs>
        <w:tab w:val="center" w:pos="4153" w:leader="none"/>
        <w:tab w:val="right" w:pos="8306" w:leader="none"/>
      </w:tabs>
    </w:pPr>
    <w:rPr>
      <w:sz w:val="18"/>
      <w:szCs w:val="18"/>
    </w:rPr>
  </w:style>
  <w:style w:type="character" w:styleId="959" w:customStyle="1">
    <w:name w:val="页脚 Char"/>
    <w:link w:val="958"/>
    <w:uiPriority w:val="0"/>
    <w:qFormat/>
    <w:rPr>
      <w:rFonts w:eastAsia="宋体"/>
      <w:sz w:val="18"/>
      <w:szCs w:val="18"/>
      <w:lang w:val="en-US" w:eastAsia="zh-CN" w:bidi="ar-SA"/>
    </w:rPr>
  </w:style>
  <w:style w:type="paragraph" w:styleId="960" w:customStyle="1">
    <w:name w:val="寄信人地址1"/>
    <w:basedOn w:val="753"/>
    <w:uiPriority w:val="0"/>
    <w:qFormat/>
    <w:rPr>
      <w:rFonts w:ascii="Arial" w:hAnsi="Arial" w:eastAsia="宋体"/>
    </w:rPr>
  </w:style>
  <w:style w:type="paragraph" w:styleId="961" w:customStyle="1">
    <w:name w:val="页眉1"/>
    <w:basedOn w:val="753"/>
    <w:link w:val="962"/>
    <w:uiPriority w:val="0"/>
    <w:qFormat/>
    <w:pPr>
      <w:jc w:val="center"/>
      <w:tabs>
        <w:tab w:val="center" w:pos="4153" w:leader="none"/>
        <w:tab w:val="right" w:pos="8306" w:leader="none"/>
      </w:tabs>
      <w:pBdr>
        <w:bottom w:val="single" w:color="000000" w:sz="6" w:space="1"/>
      </w:pBdr>
    </w:pPr>
    <w:rPr>
      <w:sz w:val="18"/>
      <w:szCs w:val="18"/>
    </w:rPr>
  </w:style>
  <w:style w:type="character" w:styleId="962" w:customStyle="1">
    <w:name w:val="页眉 Char"/>
    <w:link w:val="961"/>
    <w:uiPriority w:val="0"/>
    <w:qFormat/>
    <w:rPr>
      <w:rFonts w:eastAsia="宋体"/>
      <w:sz w:val="18"/>
      <w:szCs w:val="18"/>
      <w:lang w:val="en-US" w:eastAsia="zh-CN" w:bidi="ar-SA"/>
    </w:rPr>
  </w:style>
  <w:style w:type="paragraph" w:styleId="963" w:customStyle="1">
    <w:name w:val="目录 11"/>
    <w:basedOn w:val="753"/>
    <w:next w:val="753"/>
    <w:uiPriority w:val="0"/>
    <w:qFormat/>
    <w:pPr>
      <w:jc w:val="left"/>
      <w:spacing w:before="120" w:after="120"/>
    </w:pPr>
    <w:rPr>
      <w:rFonts w:ascii="Calibri" w:hAnsi="Calibri"/>
      <w:b/>
      <w:bCs/>
      <w:caps/>
      <w:sz w:val="20"/>
      <w:szCs w:val="20"/>
    </w:rPr>
  </w:style>
  <w:style w:type="paragraph" w:styleId="964" w:customStyle="1">
    <w:name w:val="目录 41"/>
    <w:basedOn w:val="753"/>
    <w:next w:val="753"/>
    <w:uiPriority w:val="0"/>
    <w:qFormat/>
    <w:pPr>
      <w:ind w:left="420"/>
      <w:jc w:val="left"/>
    </w:pPr>
    <w:rPr>
      <w:rFonts w:ascii="Calibri" w:hAnsi="Calibri"/>
      <w:sz w:val="20"/>
      <w:szCs w:val="20"/>
    </w:rPr>
  </w:style>
  <w:style w:type="paragraph" w:styleId="965" w:customStyle="1">
    <w:name w:val="副标题1"/>
    <w:basedOn w:val="753"/>
    <w:next w:val="753"/>
    <w:uiPriority w:val="0"/>
    <w:qFormat/>
    <w:pPr>
      <w:ind w:firstLine="200"/>
      <w:jc w:val="center"/>
      <w:spacing w:before="240" w:after="60" w:line="312" w:lineRule="auto"/>
      <w:outlineLvl w:val="1"/>
    </w:pPr>
    <w:rPr>
      <w:rFonts w:ascii="Cambria" w:hAnsi="Cambria"/>
      <w:b/>
      <w:bCs/>
      <w:sz w:val="32"/>
      <w:szCs w:val="32"/>
    </w:rPr>
  </w:style>
  <w:style w:type="paragraph" w:styleId="966" w:customStyle="1">
    <w:name w:val="脚注文本1"/>
    <w:basedOn w:val="753"/>
    <w:next w:val="934"/>
    <w:uiPriority w:val="0"/>
    <w:qFormat/>
    <w:pPr>
      <w:jc w:val="left"/>
    </w:pPr>
    <w:rPr>
      <w:rFonts w:ascii="宋体" w:eastAsia="Times New Roman"/>
      <w:sz w:val="18"/>
      <w:szCs w:val="18"/>
    </w:rPr>
  </w:style>
  <w:style w:type="paragraph" w:styleId="967" w:customStyle="1">
    <w:name w:val="目录 61"/>
    <w:basedOn w:val="753"/>
    <w:next w:val="753"/>
    <w:uiPriority w:val="0"/>
    <w:qFormat/>
    <w:pPr>
      <w:ind w:left="1050"/>
      <w:jc w:val="left"/>
    </w:pPr>
    <w:rPr>
      <w:rFonts w:ascii="Calibri" w:hAnsi="Calibri"/>
      <w:sz w:val="18"/>
      <w:szCs w:val="18"/>
    </w:rPr>
  </w:style>
  <w:style w:type="paragraph" w:styleId="968" w:customStyle="1">
    <w:name w:val="正文文本缩进 31"/>
    <w:basedOn w:val="753"/>
    <w:link w:val="969"/>
    <w:uiPriority w:val="0"/>
    <w:qFormat/>
    <w:pPr>
      <w:ind w:left="645" w:firstLine="645"/>
    </w:pPr>
    <w:rPr>
      <w:rFonts w:ascii="Arial" w:hAnsi="Arial" w:eastAsia="仿宋_GB2312"/>
      <w:color w:val="ffff00"/>
      <w:sz w:val="32"/>
      <w:szCs w:val="32"/>
    </w:rPr>
  </w:style>
  <w:style w:type="character" w:styleId="969" w:customStyle="1">
    <w:name w:val="正文文本缩进 3 Char"/>
    <w:link w:val="968"/>
    <w:uiPriority w:val="0"/>
    <w:qFormat/>
    <w:rPr>
      <w:rFonts w:ascii="Arial" w:hAnsi="Arial" w:eastAsia="仿宋_GB2312"/>
      <w:color w:val="ffff00"/>
      <w:sz w:val="32"/>
      <w:szCs w:val="32"/>
      <w:lang w:bidi="ar-SA"/>
    </w:rPr>
  </w:style>
  <w:style w:type="paragraph" w:styleId="970" w:customStyle="1">
    <w:name w:val="目录 21"/>
    <w:basedOn w:val="753"/>
    <w:next w:val="753"/>
    <w:uiPriority w:val="0"/>
    <w:qFormat/>
    <w:pPr>
      <w:ind w:left="210"/>
      <w:jc w:val="left"/>
    </w:pPr>
    <w:rPr>
      <w:rFonts w:ascii="Calibri" w:hAnsi="Calibri"/>
      <w:smallCaps/>
      <w:sz w:val="20"/>
      <w:szCs w:val="20"/>
    </w:rPr>
  </w:style>
  <w:style w:type="paragraph" w:styleId="971" w:customStyle="1">
    <w:name w:val="目录 91"/>
    <w:basedOn w:val="753"/>
    <w:next w:val="753"/>
    <w:uiPriority w:val="0"/>
    <w:qFormat/>
    <w:pPr>
      <w:ind w:left="1680"/>
      <w:jc w:val="left"/>
    </w:pPr>
    <w:rPr>
      <w:rFonts w:ascii="Calibri" w:hAnsi="Calibri"/>
      <w:sz w:val="18"/>
      <w:szCs w:val="18"/>
    </w:rPr>
  </w:style>
  <w:style w:type="paragraph" w:styleId="972" w:customStyle="1">
    <w:name w:val="正文文本 21"/>
    <w:basedOn w:val="753"/>
    <w:link w:val="973"/>
    <w:uiPriority w:val="0"/>
    <w:qFormat/>
    <w:pPr>
      <w:jc w:val="center"/>
      <w:widowControl/>
    </w:pPr>
    <w:rPr>
      <w:rFonts w:ascii="楷体_GB2312" w:eastAsia="楷体_GB2312"/>
      <w:sz w:val="28"/>
      <w:szCs w:val="28"/>
    </w:rPr>
  </w:style>
  <w:style w:type="character" w:styleId="973" w:customStyle="1">
    <w:name w:val="正文文本 2 Char"/>
    <w:link w:val="972"/>
    <w:uiPriority w:val="0"/>
    <w:qFormat/>
    <w:rPr>
      <w:rFonts w:ascii="楷体_GB2312" w:eastAsia="楷体_GB2312"/>
      <w:sz w:val="28"/>
      <w:szCs w:val="28"/>
      <w:lang w:bidi="ar-SA"/>
    </w:rPr>
  </w:style>
  <w:style w:type="paragraph" w:styleId="974" w:customStyle="1">
    <w:name w:val="HTML 预设格式1"/>
    <w:basedOn w:val="753"/>
    <w:link w:val="97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75" w:customStyle="1">
    <w:name w:val="HTML 预设格式 Char"/>
    <w:link w:val="974"/>
    <w:uiPriority w:val="0"/>
    <w:qFormat/>
    <w:rPr>
      <w:rFonts w:ascii="宋体" w:hAnsi="宋体" w:eastAsia="宋体"/>
      <w:sz w:val="24"/>
      <w:szCs w:val="24"/>
      <w:lang w:bidi="ar-SA"/>
    </w:rPr>
  </w:style>
  <w:style w:type="paragraph" w:styleId="976" w:customStyle="1">
    <w:name w:val="普通(网站)1"/>
    <w:basedOn w:val="753"/>
    <w:uiPriority w:val="0"/>
    <w:qFormat/>
    <w:pPr>
      <w:jc w:val="left"/>
      <w:spacing w:before="100" w:beforeAutospacing="1" w:after="100" w:afterAutospacing="1"/>
      <w:widowControl/>
    </w:pPr>
    <w:rPr>
      <w:rFonts w:ascii="宋体" w:hAnsi="宋体"/>
      <w:sz w:val="24"/>
    </w:rPr>
  </w:style>
  <w:style w:type="paragraph" w:styleId="977" w:customStyle="1">
    <w:name w:val="标题1"/>
    <w:basedOn w:val="753"/>
    <w:next w:val="753"/>
    <w:link w:val="978"/>
    <w:uiPriority w:val="0"/>
    <w:qFormat/>
    <w:pPr>
      <w:jc w:val="center"/>
    </w:pPr>
    <w:rPr>
      <w:sz w:val="30"/>
    </w:rPr>
  </w:style>
  <w:style w:type="character" w:styleId="978" w:customStyle="1">
    <w:name w:val="标题 Char"/>
    <w:link w:val="977"/>
    <w:uiPriority w:val="0"/>
    <w:qFormat/>
    <w:rPr>
      <w:sz w:val="30"/>
      <w:szCs w:val="24"/>
      <w:lang w:bidi="ar-SA"/>
    </w:rPr>
  </w:style>
  <w:style w:type="paragraph" w:styleId="979" w:customStyle="1">
    <w:name w:val="批注主题1"/>
    <w:basedOn w:val="937"/>
    <w:next w:val="937"/>
    <w:link w:val="980"/>
    <w:uiPriority w:val="0"/>
    <w:qFormat/>
    <w:rPr>
      <w:b/>
      <w:bCs/>
      <w:sz w:val="20"/>
      <w:szCs w:val="21"/>
    </w:rPr>
  </w:style>
  <w:style w:type="character" w:styleId="980" w:customStyle="1">
    <w:name w:val="批注主题 Char"/>
    <w:link w:val="979"/>
    <w:uiPriority w:val="0"/>
    <w:qFormat/>
    <w:rPr>
      <w:rFonts w:eastAsia="宋体"/>
      <w:b/>
      <w:bCs/>
      <w:sz w:val="21"/>
      <w:szCs w:val="21"/>
      <w:lang w:bidi="ar-SA"/>
    </w:rPr>
  </w:style>
  <w:style w:type="character" w:styleId="981" w:customStyle="1">
    <w:name w:val="正文首行缩进 Char"/>
    <w:link w:val="747"/>
    <w:uiPriority w:val="0"/>
    <w:qFormat/>
    <w:rPr>
      <w:rFonts w:ascii="仿宋_GB2312" w:eastAsia="仿宋_GB2312"/>
      <w:sz w:val="30"/>
      <w:szCs w:val="30"/>
      <w:lang w:bidi="ar-SA"/>
    </w:rPr>
  </w:style>
  <w:style w:type="table" w:styleId="982" w:customStyle="1">
    <w:name w:val="网格型1"/>
    <w:basedOn w:val="919"/>
    <w:uiPriority w:val="0"/>
    <w:qFormat/>
    <w:tblPr/>
  </w:style>
  <w:style w:type="character" w:styleId="983" w:customStyle="1">
    <w:name w:val="页码1"/>
    <w:basedOn w:val="918"/>
    <w:link w:val="753"/>
    <w:uiPriority w:val="0"/>
    <w:qFormat/>
  </w:style>
  <w:style w:type="character" w:styleId="984" w:customStyle="1">
    <w:name w:val="强调1"/>
    <w:link w:val="753"/>
    <w:uiPriority w:val="0"/>
    <w:qFormat/>
    <w:rPr>
      <w:i/>
      <w:iCs/>
    </w:rPr>
  </w:style>
  <w:style w:type="character" w:styleId="985" w:customStyle="1">
    <w:name w:val="超链接1"/>
    <w:link w:val="753"/>
    <w:uiPriority w:val="0"/>
    <w:qFormat/>
    <w:rPr>
      <w:color w:val="0000ff"/>
      <w:u w:val="single"/>
    </w:rPr>
  </w:style>
  <w:style w:type="character" w:styleId="986" w:customStyle="1">
    <w:name w:val="批注引用1"/>
    <w:link w:val="753"/>
    <w:uiPriority w:val="0"/>
    <w:qFormat/>
    <w:rPr>
      <w:sz w:val="21"/>
      <w:szCs w:val="21"/>
    </w:rPr>
  </w:style>
  <w:style w:type="character" w:styleId="987" w:customStyle="1">
    <w:name w:val="章标题 Char"/>
    <w:link w:val="751"/>
    <w:uiPriority w:val="0"/>
    <w:qFormat/>
    <w:rPr>
      <w:rFonts w:ascii="黑体" w:eastAsia="黑体"/>
      <w:sz w:val="21"/>
      <w:szCs w:val="22"/>
      <w:lang w:val="en-US" w:eastAsia="zh-CN" w:bidi="ar-SA"/>
    </w:rPr>
  </w:style>
  <w:style w:type="character" w:styleId="988" w:customStyle="1">
    <w:name w:val="一级条标题 Char"/>
    <w:link w:val="750"/>
    <w:uiPriority w:val="0"/>
    <w:qFormat/>
    <w:rPr>
      <w:rFonts w:ascii="黑体" w:hAnsi="宋体" w:eastAsia="黑体"/>
      <w:lang w:bidi="ar-SA"/>
    </w:rPr>
  </w:style>
  <w:style w:type="character" w:styleId="989" w:customStyle="1">
    <w:name w:val="二级条标题 + 宋体 Char"/>
    <w:link w:val="990"/>
    <w:uiPriority w:val="0"/>
    <w:qFormat/>
    <w:rPr>
      <w:rFonts w:ascii="宋体" w:hAnsi="宋体" w:eastAsia="黑体"/>
      <w:lang w:bidi="ar-SA"/>
    </w:rPr>
  </w:style>
  <w:style w:type="paragraph" w:styleId="990" w:customStyle="1">
    <w:name w:val="二级条标题 + 宋体"/>
    <w:basedOn w:val="991"/>
    <w:link w:val="989"/>
    <w:uiPriority w:val="0"/>
    <w:qFormat/>
    <w:pPr>
      <w:ind w:left="0" w:firstLine="0"/>
      <w:tabs>
        <w:tab w:val="left" w:pos="810" w:leader="none"/>
        <w:tab w:val="left" w:pos="907" w:leader="none"/>
        <w:tab w:val="left" w:pos="1265" w:leader="none"/>
      </w:tabs>
    </w:pPr>
    <w:rPr>
      <w:rFonts w:ascii="宋体"/>
    </w:rPr>
  </w:style>
  <w:style w:type="paragraph" w:styleId="991" w:customStyle="1">
    <w:name w:val="二级条标题"/>
    <w:basedOn w:val="750"/>
    <w:next w:val="752"/>
    <w:link w:val="992"/>
    <w:uiPriority w:val="0"/>
    <w:qFormat/>
    <w:pPr>
      <w:outlineLvl w:val="3"/>
    </w:pPr>
  </w:style>
  <w:style w:type="character" w:styleId="992" w:customStyle="1">
    <w:name w:val="二级条标题 Char"/>
    <w:link w:val="991"/>
    <w:uiPriority w:val="0"/>
    <w:qFormat/>
    <w:rPr>
      <w:rFonts w:ascii="黑体" w:hAnsi="宋体" w:eastAsia="黑体"/>
      <w:lang w:bidi="ar-SA"/>
    </w:rPr>
  </w:style>
  <w:style w:type="character" w:styleId="993" w:customStyle="1">
    <w:name w:val="美标题一 Char Char"/>
    <w:link w:val="994"/>
    <w:uiPriority w:val="0"/>
    <w:qFormat/>
    <w:rPr>
      <w:rFonts w:ascii="Calibri" w:hAnsi="Calibri" w:eastAsia="宋体"/>
      <w:b/>
      <w:sz w:val="36"/>
      <w:szCs w:val="24"/>
      <w:lang w:bidi="ar-SA"/>
    </w:rPr>
  </w:style>
  <w:style w:type="paragraph" w:styleId="994" w:customStyle="1">
    <w:name w:val="美标题一"/>
    <w:basedOn w:val="753"/>
    <w:link w:val="993"/>
    <w:uiPriority w:val="0"/>
    <w:qFormat/>
    <w:pPr>
      <w:ind w:left="480" w:hanging="480"/>
      <w:jc w:val="center"/>
      <w:tabs>
        <w:tab w:val="left" w:pos="480" w:leader="none"/>
        <w:tab w:val="left" w:pos="907" w:leader="none"/>
        <w:tab w:val="left" w:pos="1035" w:leader="none"/>
        <w:tab w:val="left" w:pos="1995" w:leader="none"/>
      </w:tabs>
    </w:pPr>
    <w:rPr>
      <w:b/>
      <w:sz w:val="36"/>
    </w:rPr>
  </w:style>
  <w:style w:type="character" w:styleId="995" w:customStyle="1">
    <w:name w:val="Table Text Char1"/>
    <w:link w:val="996"/>
    <w:uiPriority w:val="0"/>
    <w:qFormat/>
    <w:rPr>
      <w:rFonts w:ascii="Arial" w:hAnsi="Arial" w:eastAsia="Times New Roman"/>
      <w:sz w:val="18"/>
      <w:szCs w:val="18"/>
      <w:lang w:val="en-US" w:eastAsia="zh-CN" w:bidi="ar-SA"/>
    </w:rPr>
  </w:style>
  <w:style w:type="paragraph" w:styleId="996" w:customStyle="1">
    <w:name w:val="Table Text"/>
    <w:link w:val="995"/>
    <w:uiPriority w:val="0"/>
    <w:qFormat/>
    <w:pPr>
      <w:spacing w:before="80" w:after="80"/>
    </w:pPr>
    <w:rPr>
      <w:rFonts w:hint="default" w:ascii="Arial" w:hAnsi="Arial" w:eastAsia="Times New Roman" w:cs="Times New Roman"/>
      <w:sz w:val="18"/>
      <w:szCs w:val="18"/>
      <w:lang w:val="en-US" w:eastAsia="zh-CN" w:bidi="ar-SA"/>
    </w:rPr>
  </w:style>
  <w:style w:type="character" w:styleId="997" w:customStyle="1">
    <w:name w:val="正文文本 (9)_"/>
    <w:link w:val="998"/>
    <w:uiPriority w:val="0"/>
    <w:qFormat/>
    <w:rPr>
      <w:rFonts w:ascii="MingLiU" w:hAnsi="MingLiU" w:eastAsia="MingLiU"/>
      <w:spacing w:val="20"/>
      <w:sz w:val="16"/>
      <w:szCs w:val="16"/>
      <w:shd w:val="clear" w:color="auto" w:fill="ffffff"/>
      <w:lang w:bidi="ar-SA"/>
    </w:rPr>
  </w:style>
  <w:style w:type="paragraph" w:styleId="998" w:customStyle="1">
    <w:name w:val="正文文本 (9)3"/>
    <w:basedOn w:val="753"/>
    <w:link w:val="997"/>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999" w:customStyle="1">
    <w:name w:val="彩色列表 - 强调文字颜色 1 Char1"/>
    <w:link w:val="1000"/>
    <w:uiPriority w:val="0"/>
    <w:qFormat/>
    <w:rPr>
      <w:rFonts w:ascii="Calibri" w:hAnsi="Calibri" w:eastAsia="宋体"/>
      <w:sz w:val="24"/>
      <w:szCs w:val="24"/>
      <w:lang w:eastAsia="en-US" w:bidi="en-US"/>
    </w:rPr>
  </w:style>
  <w:style w:type="paragraph" w:styleId="1000" w:customStyle="1">
    <w:name w:val="彩色列表 - 强调文字颜色 11"/>
    <w:basedOn w:val="753"/>
    <w:link w:val="999"/>
    <w:uiPriority w:val="0"/>
    <w:qFormat/>
    <w:pPr>
      <w:contextualSpacing/>
      <w:ind w:left="720"/>
      <w:jc w:val="left"/>
      <w:widowControl/>
    </w:pPr>
    <w:rPr>
      <w:sz w:val="24"/>
      <w:lang w:eastAsia="en-US" w:bidi="en-US"/>
    </w:rPr>
  </w:style>
  <w:style w:type="character" w:styleId="1001" w:customStyle="1">
    <w:name w:val="缺省文本 Char"/>
    <w:link w:val="1002"/>
    <w:uiPriority w:val="0"/>
    <w:qFormat/>
    <w:rPr>
      <w:rFonts w:ascii="Arial" w:hAnsi="Arial" w:eastAsia="宋体"/>
      <w:sz w:val="24"/>
      <w:szCs w:val="21"/>
      <w:lang w:bidi="ar-SA"/>
    </w:rPr>
  </w:style>
  <w:style w:type="paragraph" w:styleId="1002" w:customStyle="1">
    <w:name w:val="缺省文本"/>
    <w:basedOn w:val="753"/>
    <w:link w:val="1001"/>
    <w:uiPriority w:val="0"/>
    <w:qFormat/>
    <w:pPr>
      <w:jc w:val="left"/>
      <w:spacing w:line="360" w:lineRule="auto"/>
    </w:pPr>
    <w:rPr>
      <w:rFonts w:ascii="Arial" w:hAnsi="Arial"/>
      <w:sz w:val="24"/>
      <w:szCs w:val="21"/>
    </w:rPr>
  </w:style>
  <w:style w:type="character" w:styleId="1003" w:customStyle="1">
    <w:name w:val="DeltaView Insertion"/>
    <w:link w:val="753"/>
    <w:uiPriority w:val="0"/>
    <w:qFormat/>
    <w:rPr>
      <w:color w:val="0000ff"/>
      <w:spacing w:val="0"/>
      <w:u w:val="single"/>
    </w:rPr>
  </w:style>
  <w:style w:type="character" w:styleId="1004" w:customStyle="1">
    <w:name w:val="正文1 Char"/>
    <w:link w:val="909"/>
    <w:uiPriority w:val="0"/>
    <w:qFormat/>
    <w:rPr>
      <w:rFonts w:ascii="宋体"/>
      <w:sz w:val="24"/>
      <w:lang w:bidi="ar-SA"/>
    </w:rPr>
  </w:style>
  <w:style w:type="character" w:styleId="1005" w:customStyle="1">
    <w:name w:val="曹阿龙 Char"/>
    <w:link w:val="1006"/>
    <w:uiPriority w:val="0"/>
    <w:qFormat/>
    <w:rPr>
      <w:rFonts w:ascii="宋体" w:hAnsi="宋体" w:eastAsia="幼圆"/>
      <w:b/>
      <w:bCs/>
      <w:sz w:val="28"/>
      <w:szCs w:val="28"/>
      <w:lang w:bidi="ar-SA"/>
    </w:rPr>
  </w:style>
  <w:style w:type="paragraph" w:styleId="1006" w:customStyle="1">
    <w:name w:val="曹阿龙"/>
    <w:basedOn w:val="754"/>
    <w:link w:val="1005"/>
    <w:uiPriority w:val="0"/>
    <w:qFormat/>
    <w:pPr>
      <w:ind w:firstLine="561"/>
      <w:jc w:val="left"/>
      <w:spacing w:line="400" w:lineRule="exact"/>
    </w:pPr>
    <w:rPr>
      <w:rFonts w:ascii="宋体" w:hAnsi="宋体" w:eastAsia="幼圆"/>
      <w:sz w:val="28"/>
      <w:szCs w:val="28"/>
    </w:rPr>
  </w:style>
  <w:style w:type="character" w:styleId="1007" w:customStyle="1">
    <w:name w:val="Para head"/>
    <w:basedOn w:val="918"/>
    <w:link w:val="753"/>
    <w:uiPriority w:val="0"/>
    <w:qFormat/>
  </w:style>
  <w:style w:type="character" w:styleId="1008" w:customStyle="1">
    <w:name w:val="正文（首行缩进2字符） Char"/>
    <w:link w:val="1009"/>
    <w:uiPriority w:val="0"/>
    <w:qFormat/>
    <w:rPr>
      <w:rFonts w:eastAsia="宋体"/>
      <w:sz w:val="21"/>
      <w:szCs w:val="21"/>
      <w:lang w:bidi="ar-SA"/>
    </w:rPr>
  </w:style>
  <w:style w:type="paragraph" w:styleId="1009" w:customStyle="1">
    <w:name w:val="正文（首行缩进2字符）"/>
    <w:basedOn w:val="753"/>
    <w:link w:val="1008"/>
    <w:uiPriority w:val="0"/>
    <w:qFormat/>
    <w:pPr>
      <w:ind w:firstLine="420"/>
      <w:spacing w:line="360" w:lineRule="auto"/>
    </w:pPr>
    <w:rPr>
      <w:sz w:val="20"/>
      <w:szCs w:val="21"/>
    </w:rPr>
  </w:style>
  <w:style w:type="character" w:styleId="1010" w:customStyle="1">
    <w:name w:val="表格 Char Char"/>
    <w:link w:val="1011"/>
    <w:uiPriority w:val="0"/>
    <w:qFormat/>
    <w:rPr>
      <w:rFonts w:ascii="宋体" w:hAnsi="宋体" w:eastAsia="宋体"/>
      <w:lang w:bidi="ar-SA"/>
    </w:rPr>
  </w:style>
  <w:style w:type="paragraph" w:styleId="1011" w:customStyle="1">
    <w:name w:val="表格"/>
    <w:basedOn w:val="753"/>
    <w:link w:val="1010"/>
    <w:uiPriority w:val="0"/>
    <w:qFormat/>
    <w:pPr>
      <w:ind w:firstLine="42"/>
    </w:pPr>
    <w:rPr>
      <w:rFonts w:ascii="宋体" w:hAnsi="宋体"/>
      <w:sz w:val="20"/>
      <w:szCs w:val="20"/>
    </w:rPr>
  </w:style>
  <w:style w:type="character" w:styleId="1012" w:customStyle="1">
    <w:name w:val="纯文本 Char1"/>
    <w:link w:val="753"/>
    <w:uiPriority w:val="0"/>
    <w:semiHidden/>
    <w:qFormat/>
    <w:rPr>
      <w:rFonts w:ascii="宋体" w:hAnsi="Courier New"/>
      <w:sz w:val="21"/>
      <w:szCs w:val="21"/>
    </w:rPr>
  </w:style>
  <w:style w:type="character" w:styleId="1013" w:customStyle="1">
    <w:name w:val="美标题2 Char Char"/>
    <w:link w:val="1014"/>
    <w:uiPriority w:val="0"/>
    <w:qFormat/>
    <w:rPr>
      <w:rFonts w:ascii="宋体" w:hAnsi="宋体"/>
      <w:b/>
      <w:sz w:val="28"/>
      <w:lang w:bidi="ar-SA"/>
    </w:rPr>
  </w:style>
  <w:style w:type="paragraph" w:styleId="1014" w:customStyle="1">
    <w:name w:val="美标题2"/>
    <w:basedOn w:val="753"/>
    <w:link w:val="1013"/>
    <w:uiPriority w:val="0"/>
    <w:qFormat/>
    <w:rPr>
      <w:rFonts w:ascii="宋体" w:hAnsi="宋体"/>
      <w:b/>
      <w:sz w:val="28"/>
      <w:szCs w:val="20"/>
    </w:rPr>
  </w:style>
  <w:style w:type="character" w:styleId="1015" w:customStyle="1">
    <w:name w:val="表蕊 Char1"/>
    <w:link w:val="1016"/>
    <w:uiPriority w:val="0"/>
    <w:qFormat/>
    <w:rPr>
      <w:rFonts w:eastAsia="楷体_GB2312"/>
      <w:spacing w:val="-10"/>
      <w:lang w:bidi="ar-SA"/>
    </w:rPr>
  </w:style>
  <w:style w:type="paragraph" w:styleId="1016" w:customStyle="1">
    <w:name w:val="表蕊"/>
    <w:basedOn w:val="753"/>
    <w:link w:val="1015"/>
    <w:uiPriority w:val="0"/>
    <w:qFormat/>
    <w:pPr>
      <w:jc w:val="left"/>
      <w:spacing w:line="320" w:lineRule="atLeast"/>
    </w:pPr>
    <w:rPr>
      <w:rFonts w:eastAsia="楷体_GB2312"/>
      <w:spacing w:val="-10"/>
      <w:sz w:val="20"/>
      <w:szCs w:val="20"/>
    </w:rPr>
  </w:style>
  <w:style w:type="character" w:styleId="1017" w:customStyle="1">
    <w:name w:val="方案文档 Char Char"/>
    <w:link w:val="1018"/>
    <w:uiPriority w:val="0"/>
    <w:qFormat/>
    <w:rPr>
      <w:rFonts w:ascii="宋体" w:hAnsi="宋体"/>
      <w:b/>
      <w:lang w:bidi="ar-SA"/>
    </w:rPr>
  </w:style>
  <w:style w:type="paragraph" w:styleId="1018" w:customStyle="1">
    <w:name w:val="方案文档"/>
    <w:basedOn w:val="753"/>
    <w:link w:val="1017"/>
    <w:uiPriority w:val="0"/>
    <w:qFormat/>
    <w:pPr>
      <w:ind w:left="420"/>
      <w:spacing w:line="360" w:lineRule="auto"/>
      <w:tabs>
        <w:tab w:val="left" w:pos="420" w:leader="none"/>
      </w:tabs>
    </w:pPr>
    <w:rPr>
      <w:rFonts w:ascii="宋体" w:hAnsi="宋体"/>
      <w:b/>
      <w:sz w:val="20"/>
      <w:szCs w:val="20"/>
    </w:rPr>
  </w:style>
  <w:style w:type="character" w:styleId="1019" w:customStyle="1">
    <w:name w:val="正文文本缩进 Char1"/>
    <w:link w:val="753"/>
    <w:uiPriority w:val="0"/>
    <w:semiHidden/>
    <w:qFormat/>
    <w:rPr>
      <w:sz w:val="21"/>
      <w:szCs w:val="24"/>
    </w:rPr>
  </w:style>
  <w:style w:type="character" w:styleId="1020" w:customStyle="1">
    <w:name w:val="二级目录 Char"/>
    <w:link w:val="1021"/>
    <w:uiPriority w:val="0"/>
    <w:qFormat/>
    <w:rPr>
      <w:rFonts w:eastAsia="Times New Roman"/>
      <w:b/>
      <w:sz w:val="30"/>
      <w:szCs w:val="28"/>
      <w:lang w:val="en-US" w:eastAsia="zh-CN" w:bidi="ar-SA"/>
    </w:rPr>
  </w:style>
  <w:style w:type="paragraph" w:styleId="1021" w:customStyle="1">
    <w:name w:val="二级目录"/>
    <w:next w:val="753"/>
    <w:link w:val="1020"/>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022" w:customStyle="1">
    <w:name w:val="Item List Char"/>
    <w:link w:val="1023"/>
    <w:uiPriority w:val="0"/>
    <w:qFormat/>
    <w:rPr>
      <w:rFonts w:eastAsia="Times New Roman"/>
      <w:sz w:val="21"/>
      <w:szCs w:val="21"/>
      <w:lang w:val="en-US" w:eastAsia="zh-CN" w:bidi="ar-SA"/>
    </w:rPr>
  </w:style>
  <w:style w:type="paragraph" w:styleId="1023" w:customStyle="1">
    <w:name w:val="Item List"/>
    <w:link w:val="1022"/>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Times New Roman"/>
      <w:sz w:val="21"/>
      <w:szCs w:val="21"/>
      <w:lang w:val="en-US" w:eastAsia="zh-CN" w:bidi="ar-SA"/>
    </w:rPr>
  </w:style>
  <w:style w:type="character" w:styleId="1024" w:customStyle="1">
    <w:name w:val="正文文本 (10)_"/>
    <w:link w:val="1025"/>
    <w:uiPriority w:val="0"/>
    <w:qFormat/>
    <w:rPr>
      <w:rFonts w:ascii="MingLiU" w:hAnsi="MingLiU" w:eastAsia="MingLiU"/>
      <w:spacing w:val="40"/>
      <w:sz w:val="19"/>
      <w:szCs w:val="19"/>
      <w:shd w:val="clear" w:color="auto" w:fill="ffffff"/>
      <w:lang w:bidi="ar-SA"/>
    </w:rPr>
  </w:style>
  <w:style w:type="paragraph" w:styleId="1025" w:customStyle="1">
    <w:name w:val="正文文本 (10)6"/>
    <w:basedOn w:val="753"/>
    <w:link w:val="1024"/>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026" w:customStyle="1">
    <w:name w:val="标题2 Char Char"/>
    <w:link w:val="1027"/>
    <w:uiPriority w:val="0"/>
    <w:qFormat/>
    <w:rPr>
      <w:rFonts w:eastAsia="方正楷体_GBK"/>
      <w:sz w:val="32"/>
      <w:lang w:bidi="ar-SA"/>
    </w:rPr>
  </w:style>
  <w:style w:type="paragraph" w:styleId="1027" w:customStyle="1">
    <w:name w:val="标题2"/>
    <w:basedOn w:val="753"/>
    <w:next w:val="753"/>
    <w:link w:val="1026"/>
    <w:uiPriority w:val="0"/>
    <w:qFormat/>
    <w:pPr>
      <w:jc w:val="center"/>
    </w:pPr>
    <w:rPr>
      <w:rFonts w:eastAsia="方正楷体_GBK"/>
      <w:sz w:val="32"/>
      <w:szCs w:val="20"/>
    </w:rPr>
  </w:style>
  <w:style w:type="character" w:styleId="1028" w:customStyle="1">
    <w:name w:val="wwwww Char"/>
    <w:link w:val="1029"/>
    <w:uiPriority w:val="0"/>
    <w:qFormat/>
    <w:rPr>
      <w:rFonts w:ascii="宋体" w:hAnsi="宋体"/>
      <w:sz w:val="24"/>
      <w:szCs w:val="21"/>
      <w:lang w:bidi="ar-SA"/>
    </w:rPr>
  </w:style>
  <w:style w:type="paragraph" w:styleId="1029" w:customStyle="1">
    <w:name w:val="wwwww"/>
    <w:basedOn w:val="753"/>
    <w:link w:val="1028"/>
    <w:uiPriority w:val="0"/>
    <w:qFormat/>
    <w:pPr>
      <w:spacing w:line="400" w:lineRule="exact"/>
      <w:widowControl/>
    </w:pPr>
    <w:rPr>
      <w:rFonts w:ascii="宋体" w:hAnsi="宋体"/>
      <w:sz w:val="24"/>
      <w:szCs w:val="21"/>
    </w:rPr>
  </w:style>
  <w:style w:type="character" w:styleId="1030" w:customStyle="1">
    <w:name w:val="fix161 Char"/>
    <w:link w:val="1031"/>
    <w:uiPriority w:val="0"/>
    <w:qFormat/>
    <w:rPr>
      <w:rFonts w:ascii="宋体" w:hAnsi="宋体"/>
      <w:sz w:val="24"/>
      <w:szCs w:val="24"/>
      <w:lang w:bidi="ar-SA"/>
    </w:rPr>
  </w:style>
  <w:style w:type="paragraph" w:styleId="1031" w:customStyle="1">
    <w:name w:val="fix161"/>
    <w:basedOn w:val="753"/>
    <w:link w:val="1030"/>
    <w:uiPriority w:val="0"/>
    <w:qFormat/>
    <w:pPr>
      <w:jc w:val="left"/>
      <w:spacing w:before="100" w:beforeAutospacing="1" w:after="100" w:afterAutospacing="1"/>
      <w:widowControl/>
    </w:pPr>
    <w:rPr>
      <w:rFonts w:ascii="宋体" w:hAnsi="宋体"/>
      <w:sz w:val="24"/>
    </w:rPr>
  </w:style>
  <w:style w:type="character" w:styleId="1032" w:customStyle="1">
    <w:name w:val="12black1"/>
    <w:link w:val="753"/>
    <w:uiPriority w:val="0"/>
    <w:qFormat/>
    <w:rPr>
      <w:color w:val="000000"/>
      <w:sz w:val="24"/>
      <w:szCs w:val="24"/>
      <w:u w:val="none"/>
    </w:rPr>
  </w:style>
  <w:style w:type="character" w:styleId="1033" w:customStyle="1">
    <w:name w:val="表格标题 Char"/>
    <w:link w:val="1034"/>
    <w:uiPriority w:val="0"/>
    <w:qFormat/>
    <w:rPr>
      <w:rFonts w:ascii="Arial Black" w:hAnsi="Arial Black" w:eastAsia="黑体"/>
      <w:sz w:val="24"/>
      <w:szCs w:val="24"/>
    </w:rPr>
  </w:style>
  <w:style w:type="paragraph" w:styleId="1034" w:customStyle="1">
    <w:name w:val="表格标题"/>
    <w:basedOn w:val="753"/>
    <w:link w:val="1033"/>
    <w:uiPriority w:val="0"/>
    <w:qFormat/>
    <w:pPr>
      <w:jc w:val="center"/>
      <w:spacing w:after="156" w:line="400" w:lineRule="exact"/>
    </w:pPr>
    <w:rPr>
      <w:rFonts w:ascii="Arial Black" w:hAnsi="Arial Black" w:eastAsia="黑体"/>
      <w:sz w:val="24"/>
    </w:rPr>
  </w:style>
  <w:style w:type="character" w:styleId="1035" w:customStyle="1">
    <w:name w:val="表头 Char"/>
    <w:link w:val="1036"/>
    <w:uiPriority w:val="0"/>
    <w:qFormat/>
    <w:rPr>
      <w:rFonts w:eastAsia="黑体"/>
      <w:spacing w:val="-10"/>
      <w:lang w:bidi="ar-SA"/>
    </w:rPr>
  </w:style>
  <w:style w:type="paragraph" w:styleId="1036" w:customStyle="1">
    <w:name w:val="表头"/>
    <w:basedOn w:val="753"/>
    <w:link w:val="1035"/>
    <w:uiPriority w:val="0"/>
    <w:qFormat/>
    <w:pPr>
      <w:jc w:val="center"/>
      <w:spacing w:line="320" w:lineRule="atLeast"/>
    </w:pPr>
    <w:rPr>
      <w:rFonts w:eastAsia="黑体"/>
      <w:spacing w:val="-10"/>
      <w:sz w:val="20"/>
      <w:szCs w:val="20"/>
    </w:rPr>
  </w:style>
  <w:style w:type="character" w:styleId="1037" w:customStyle="1">
    <w:name w:val="不明显参考"/>
    <w:link w:val="753"/>
    <w:uiPriority w:val="0"/>
    <w:qFormat/>
    <w:rPr>
      <w:smallCaps/>
      <w:color w:val="c0504d"/>
      <w:u w:val="single"/>
    </w:rPr>
  </w:style>
  <w:style w:type="character" w:styleId="1038" w:customStyle="1">
    <w:name w:val=" Char Char29"/>
    <w:link w:val="753"/>
    <w:uiPriority w:val="0"/>
    <w:qFormat/>
    <w:rPr>
      <w:rFonts w:ascii="Arial" w:hAnsi="Arial" w:eastAsia="黑体"/>
      <w:b/>
      <w:bCs/>
      <w:sz w:val="28"/>
      <w:szCs w:val="28"/>
      <w:lang w:val="en-US" w:eastAsia="zh-CN" w:bidi="ar-SA"/>
    </w:rPr>
  </w:style>
  <w:style w:type="character" w:styleId="1039" w:customStyle="1">
    <w:name w:val=" Char Char17"/>
    <w:link w:val="753"/>
    <w:uiPriority w:val="0"/>
    <w:qFormat/>
    <w:rPr>
      <w:rFonts w:eastAsia="宋体"/>
      <w:sz w:val="18"/>
      <w:szCs w:val="18"/>
      <w:lang w:bidi="ar-SA"/>
    </w:rPr>
  </w:style>
  <w:style w:type="character" w:styleId="1040" w:customStyle="1">
    <w:name w:val="三级条标题 Char"/>
    <w:link w:val="1041"/>
    <w:uiPriority w:val="0"/>
    <w:qFormat/>
    <w:rPr>
      <w:rFonts w:ascii="黑体" w:hAnsi="宋体" w:eastAsia="黑体"/>
      <w:lang w:bidi="ar-SA"/>
    </w:rPr>
  </w:style>
  <w:style w:type="paragraph" w:styleId="1041" w:customStyle="1">
    <w:name w:val="三级条标题"/>
    <w:basedOn w:val="991"/>
    <w:next w:val="752"/>
    <w:link w:val="1040"/>
    <w:uiPriority w:val="0"/>
    <w:qFormat/>
    <w:pPr>
      <w:numPr>
        <w:ilvl w:val="4"/>
        <w:numId w:val="0"/>
      </w:numPr>
      <w:ind w:left="907" w:hanging="907"/>
      <w:outlineLvl w:val="4"/>
    </w:pPr>
  </w:style>
  <w:style w:type="character" w:styleId="1042" w:customStyle="1">
    <w:name w:val="HTML 地址 Char1"/>
    <w:link w:val="753"/>
    <w:uiPriority w:val="0"/>
    <w:qFormat/>
    <w:rPr>
      <w:i/>
      <w:iCs/>
      <w:sz w:val="21"/>
      <w:szCs w:val="21"/>
    </w:rPr>
  </w:style>
  <w:style w:type="character" w:styleId="1043" w:customStyle="1">
    <w:name w:val="标题 B Char"/>
    <w:link w:val="1044"/>
    <w:uiPriority w:val="0"/>
    <w:qFormat/>
    <w:rPr>
      <w:rFonts w:ascii="Arial Rounded MT Bold" w:hAnsi="Arial Rounded MT Bold" w:eastAsia="黑体"/>
      <w:spacing w:val="8"/>
      <w:sz w:val="32"/>
      <w:lang w:bidi="ar-SA"/>
    </w:rPr>
  </w:style>
  <w:style w:type="paragraph" w:styleId="1044" w:customStyle="1">
    <w:name w:val="标题 B"/>
    <w:basedOn w:val="754"/>
    <w:link w:val="1043"/>
    <w:uiPriority w:val="0"/>
    <w:qFormat/>
    <w:pPr>
      <w:jc w:val="center"/>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045" w:customStyle="1">
    <w:name w:val="列出段落 Char"/>
    <w:link w:val="745"/>
    <w:uiPriority w:val="0"/>
    <w:qFormat/>
    <w:rPr>
      <w:rFonts w:ascii="Calibri" w:hAnsi="Calibri" w:eastAsia="PMingLiU"/>
      <w:sz w:val="24"/>
      <w:lang w:eastAsia="zh-TW" w:bidi="ar-SA"/>
    </w:rPr>
  </w:style>
  <w:style w:type="character" w:styleId="1046" w:customStyle="1">
    <w:name w:val=" Char Char30"/>
    <w:link w:val="753"/>
    <w:uiPriority w:val="0"/>
    <w:qFormat/>
    <w:rPr>
      <w:rFonts w:eastAsia="宋体"/>
      <w:b/>
      <w:bCs/>
      <w:sz w:val="32"/>
      <w:szCs w:val="32"/>
      <w:lang w:val="en-US" w:eastAsia="zh-CN" w:bidi="ar-SA"/>
    </w:rPr>
  </w:style>
  <w:style w:type="character" w:styleId="1047" w:customStyle="1">
    <w:name w:val="apple-converted-space"/>
    <w:basedOn w:val="918"/>
    <w:link w:val="753"/>
    <w:uiPriority w:val="0"/>
    <w:qFormat/>
  </w:style>
  <w:style w:type="character" w:styleId="1048" w:customStyle="1">
    <w:name w:val="正文文本 (2)_"/>
    <w:link w:val="1049"/>
    <w:uiPriority w:val="0"/>
    <w:qFormat/>
    <w:rPr>
      <w:rFonts w:ascii="MingLiU" w:hAnsi="MingLiU" w:eastAsia="MingLiU"/>
      <w:spacing w:val="10"/>
      <w:sz w:val="18"/>
      <w:szCs w:val="18"/>
      <w:shd w:val="clear" w:color="auto" w:fill="ffffff"/>
      <w:lang w:bidi="ar-SA"/>
    </w:rPr>
  </w:style>
  <w:style w:type="paragraph" w:styleId="1049" w:customStyle="1">
    <w:name w:val="正文文本 (2)11"/>
    <w:basedOn w:val="753"/>
    <w:link w:val="1048"/>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050" w:customStyle="1">
    <w:name w:val="美标题3 Char Char"/>
    <w:link w:val="1051"/>
    <w:uiPriority w:val="0"/>
    <w:qFormat/>
    <w:rPr>
      <w:rFonts w:ascii="宋体" w:hAnsi="宋体" w:eastAsia="宋体"/>
      <w:b/>
      <w:lang w:bidi="ar-SA"/>
    </w:rPr>
  </w:style>
  <w:style w:type="paragraph" w:styleId="1051" w:customStyle="1">
    <w:name w:val="美标题3"/>
    <w:basedOn w:val="753"/>
    <w:link w:val="1050"/>
    <w:uiPriority w:val="0"/>
    <w:qFormat/>
    <w:pPr>
      <w:spacing w:line="360" w:lineRule="auto"/>
    </w:pPr>
    <w:rPr>
      <w:rFonts w:ascii="宋体" w:hAnsi="宋体"/>
      <w:b/>
      <w:sz w:val="20"/>
      <w:szCs w:val="20"/>
    </w:rPr>
  </w:style>
  <w:style w:type="character" w:styleId="1052" w:customStyle="1">
    <w:name w:val=" Char Char33"/>
    <w:link w:val="753"/>
    <w:uiPriority w:val="0"/>
    <w:qFormat/>
    <w:rPr>
      <w:rFonts w:eastAsia="方正仿宋_GBK"/>
      <w:b/>
      <w:sz w:val="44"/>
      <w:lang w:val="en-US" w:eastAsia="zh-CN" w:bidi="ar-SA"/>
    </w:rPr>
  </w:style>
  <w:style w:type="character" w:styleId="1053" w:customStyle="1">
    <w:name w:val="首行缩进正文 Char"/>
    <w:link w:val="1054"/>
    <w:uiPriority w:val="0"/>
    <w:qFormat/>
    <w:rPr>
      <w:rFonts w:ascii="微软雅黑" w:hAnsi="微软雅黑" w:eastAsia="微软雅黑"/>
      <w:sz w:val="24"/>
      <w:szCs w:val="24"/>
      <w:lang w:bidi="ar-SA"/>
    </w:rPr>
  </w:style>
  <w:style w:type="paragraph" w:styleId="1054" w:customStyle="1">
    <w:name w:val="首行缩进正文"/>
    <w:basedOn w:val="753"/>
    <w:link w:val="1053"/>
    <w:uiPriority w:val="0"/>
    <w:qFormat/>
    <w:pPr>
      <w:ind w:firstLine="420"/>
      <w:jc w:val="left"/>
      <w:spacing w:line="400" w:lineRule="exact"/>
      <w:widowControl/>
    </w:pPr>
    <w:rPr>
      <w:rFonts w:ascii="微软雅黑" w:hAnsi="微软雅黑" w:eastAsia="微软雅黑"/>
      <w:sz w:val="20"/>
    </w:rPr>
  </w:style>
  <w:style w:type="character" w:styleId="1055" w:customStyle="1">
    <w:name w:val=" Char Char7"/>
    <w:link w:val="753"/>
    <w:uiPriority w:val="0"/>
    <w:qFormat/>
    <w:rPr>
      <w:rFonts w:ascii="Arial" w:hAnsi="Arial" w:eastAsia="幼圆"/>
      <w:b/>
      <w:bCs/>
      <w:sz w:val="44"/>
      <w:szCs w:val="44"/>
      <w:lang w:val="en-US" w:eastAsia="zh-CN" w:bidi="ar-SA"/>
    </w:rPr>
  </w:style>
  <w:style w:type="character" w:styleId="1056" w:customStyle="1">
    <w:name w:val=" Char Char31"/>
    <w:link w:val="753"/>
    <w:uiPriority w:val="0"/>
    <w:qFormat/>
    <w:rPr>
      <w:rFonts w:ascii="Arial" w:hAnsi="Arial" w:eastAsia="幼圆"/>
      <w:b/>
      <w:bCs/>
      <w:sz w:val="44"/>
      <w:szCs w:val="44"/>
      <w:lang w:val="en-US" w:eastAsia="zh-CN" w:bidi="ar-SA"/>
    </w:rPr>
  </w:style>
  <w:style w:type="character" w:styleId="1057" w:customStyle="1">
    <w:name w:val="正文4 Char"/>
    <w:link w:val="1058"/>
    <w:uiPriority w:val="0"/>
    <w:qFormat/>
    <w:rPr>
      <w:rFonts w:eastAsia="楷体_GB2312"/>
      <w:spacing w:val="8"/>
      <w:sz w:val="28"/>
    </w:rPr>
  </w:style>
  <w:style w:type="paragraph" w:styleId="1058" w:customStyle="1">
    <w:name w:val="正文4"/>
    <w:basedOn w:val="753"/>
    <w:link w:val="1057"/>
    <w:uiPriority w:val="0"/>
    <w:qFormat/>
    <w:pPr>
      <w:ind w:firstLine="601"/>
      <w:spacing w:line="440" w:lineRule="exact"/>
    </w:pPr>
    <w:rPr>
      <w:rFonts w:eastAsia="楷体_GB2312"/>
      <w:spacing w:val="8"/>
      <w:sz w:val="28"/>
      <w:szCs w:val="20"/>
    </w:rPr>
  </w:style>
  <w:style w:type="character" w:styleId="1059" w:customStyle="1">
    <w:name w:val="普通正文 Char"/>
    <w:link w:val="1060"/>
    <w:uiPriority w:val="0"/>
    <w:qFormat/>
    <w:rPr>
      <w:rFonts w:ascii="Arial" w:hAnsi="Arial" w:eastAsia="宋体"/>
      <w:sz w:val="24"/>
      <w:szCs w:val="24"/>
      <w:lang w:val="en-US" w:eastAsia="zh-CN" w:bidi="ar-SA"/>
    </w:rPr>
  </w:style>
  <w:style w:type="paragraph" w:styleId="1060" w:customStyle="1">
    <w:name w:val="普通正文"/>
    <w:basedOn w:val="753"/>
    <w:link w:val="1059"/>
    <w:uiPriority w:val="0"/>
    <w:qFormat/>
    <w:pPr>
      <w:ind w:firstLine="480"/>
      <w:jc w:val="left"/>
      <w:spacing w:before="120" w:after="120" w:line="360" w:lineRule="auto"/>
    </w:pPr>
    <w:rPr>
      <w:rFonts w:ascii="Arial" w:hAnsi="Arial"/>
      <w:sz w:val="24"/>
    </w:rPr>
  </w:style>
  <w:style w:type="character" w:styleId="1061" w:customStyle="1">
    <w:name w:val="明显参考"/>
    <w:link w:val="753"/>
    <w:uiPriority w:val="0"/>
    <w:qFormat/>
    <w:rPr>
      <w:b/>
      <w:bCs/>
      <w:smallCaps/>
      <w:color w:val="c0504d"/>
      <w:spacing w:val="5"/>
      <w:u w:val="single"/>
    </w:rPr>
  </w:style>
  <w:style w:type="character" w:styleId="1062" w:customStyle="1">
    <w:name w:val="Table Heading Char"/>
    <w:link w:val="1063"/>
    <w:uiPriority w:val="0"/>
    <w:qFormat/>
    <w:rPr>
      <w:rFonts w:ascii="Arial" w:hAnsi="Arial" w:eastAsia="黑体"/>
      <w:sz w:val="18"/>
      <w:szCs w:val="22"/>
      <w:lang w:val="en-US" w:eastAsia="en-US" w:bidi="ar-SA"/>
    </w:rPr>
  </w:style>
  <w:style w:type="paragraph" w:styleId="1063" w:customStyle="1">
    <w:name w:val="Table Heading"/>
    <w:link w:val="1062"/>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paragraph" w:styleId="1064" w:customStyle="1">
    <w:name w:val="xl62"/>
    <w:basedOn w:val="753"/>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065"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6" w:customStyle="1">
    <w:name w:val="xl70"/>
    <w:basedOn w:val="753"/>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067" w:customStyle="1">
    <w:name w:val="样式 样式 左侧:  2 字符 + 左侧:  0.85 厘米 首行缩进:  2 字符1"/>
    <w:basedOn w:val="753"/>
    <w:uiPriority w:val="0"/>
    <w:qFormat/>
    <w:pPr>
      <w:ind w:left="482" w:firstLine="200"/>
    </w:pPr>
    <w:rPr>
      <w:sz w:val="20"/>
      <w:szCs w:val="20"/>
    </w:rPr>
  </w:style>
  <w:style w:type="paragraph" w:styleId="1068" w:customStyle="1">
    <w:name w:val="示例"/>
    <w:next w:val="752"/>
    <w:uiPriority w:val="0"/>
    <w:qFormat/>
    <w:pPr>
      <w:ind w:firstLine="419"/>
      <w:jc w:val="both"/>
      <w:tabs>
        <w:tab w:val="left" w:pos="816" w:leader="none"/>
      </w:tabs>
    </w:pPr>
    <w:rPr>
      <w:rFonts w:hint="default" w:ascii="宋体" w:hAnsi="Times New Roman" w:eastAsia="宋体" w:cs="Times New Roman"/>
      <w:sz w:val="18"/>
      <w:lang w:val="en-US" w:eastAsia="zh-CN" w:bidi="ar-SA"/>
    </w:rPr>
  </w:style>
  <w:style w:type="paragraph" w:styleId="1069" w:customStyle="1">
    <w:name w:val="正文_2_0"/>
    <w:uiPriority w:val="0"/>
    <w:qFormat/>
    <w:pPr>
      <w:jc w:val="both"/>
      <w:widowControl w:val="off"/>
    </w:pPr>
    <w:rPr>
      <w:rFonts w:hint="default" w:ascii="Calibri" w:hAnsi="Calibri" w:eastAsia="宋体" w:cs="Times New Roman"/>
      <w:sz w:val="21"/>
      <w:lang w:val="en-US" w:eastAsia="zh-CN" w:bidi="ar-SA"/>
    </w:rPr>
  </w:style>
  <w:style w:type="paragraph" w:styleId="1070" w:customStyle="1">
    <w:name w:val="Sub Item List"/>
    <w:basedOn w:val="753"/>
    <w:uiPriority w:val="0"/>
    <w:qFormat/>
    <w:pPr>
      <w:ind w:left="1923" w:hanging="284"/>
      <w:jc w:val="left"/>
      <w:spacing w:before="80" w:line="240" w:lineRule="atLeast"/>
      <w:widowControl/>
      <w:tabs>
        <w:tab w:val="left" w:pos="1922" w:leader="none"/>
      </w:tabs>
    </w:pPr>
    <w:rPr>
      <w:sz w:val="21"/>
      <w:szCs w:val="21"/>
    </w:rPr>
  </w:style>
  <w:style w:type="paragraph" w:styleId="1071" w:customStyle="1">
    <w:name w:val="修订"/>
    <w:uiPriority w:val="0"/>
    <w:semiHidden/>
    <w:qFormat/>
    <w:rPr>
      <w:rFonts w:hint="default" w:ascii="Times New Roman" w:hAnsi="Times New Roman" w:eastAsia="宋体" w:cs="Times New Roman"/>
      <w:sz w:val="21"/>
      <w:szCs w:val="24"/>
      <w:lang w:val="en-US" w:eastAsia="zh-CN" w:bidi="ar-SA"/>
    </w:rPr>
  </w:style>
  <w:style w:type="paragraph" w:styleId="1072" w:customStyle="1">
    <w:name w:val="_Style 10"/>
    <w:basedOn w:val="753"/>
    <w:uiPriority w:val="0"/>
    <w:qFormat/>
    <w:rPr>
      <w:rFonts w:ascii="Tahoma" w:hAnsi="Tahoma"/>
      <w:sz w:val="24"/>
      <w:szCs w:val="20"/>
    </w:rPr>
  </w:style>
  <w:style w:type="paragraph" w:styleId="1073" w:customStyle="1">
    <w:name w:val="列项——"/>
    <w:uiPriority w:val="0"/>
    <w:qFormat/>
    <w:pPr>
      <w:ind w:left="200" w:hanging="200"/>
      <w:jc w:val="both"/>
      <w:widowControl w:val="off"/>
      <w:tabs>
        <w:tab w:val="left" w:pos="720" w:leader="none"/>
        <w:tab w:val="left" w:pos="854" w:leader="none"/>
      </w:tabs>
    </w:pPr>
    <w:rPr>
      <w:rFonts w:hint="default" w:ascii="宋体" w:hAnsi="Times New Roman" w:eastAsia="宋体" w:cs="Times New Roman"/>
      <w:sz w:val="21"/>
      <w:lang w:val="en-US" w:eastAsia="zh-CN" w:bidi="ar-SA"/>
    </w:rPr>
  </w:style>
  <w:style w:type="paragraph" w:styleId="1074"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075" w:customStyle="1">
    <w:name w:val="样式 Numbered list 2.1 +"/>
    <w:basedOn w:val="753"/>
    <w:uiPriority w:val="0"/>
    <w:qFormat/>
    <w:pPr>
      <w:ind w:left="425" w:hanging="425"/>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076" w:customStyle="1">
    <w:name w:val="正文缩进编号"/>
    <w:basedOn w:val="753"/>
    <w:uiPriority w:val="0"/>
    <w:qFormat/>
    <w:pPr>
      <w:ind w:left="840" w:hanging="420"/>
      <w:spacing w:line="360" w:lineRule="auto"/>
    </w:pPr>
    <w:rPr>
      <w:rFonts w:ascii="Calibri" w:hAnsi="Calibri"/>
      <w:sz w:val="24"/>
      <w:szCs w:val="21"/>
    </w:rPr>
  </w:style>
  <w:style w:type="paragraph" w:styleId="1077"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078" w:customStyle="1">
    <w:name w:val="HPC正文"/>
    <w:basedOn w:val="753"/>
    <w:uiPriority w:val="0"/>
    <w:qFormat/>
    <w:pPr>
      <w:ind w:firstLine="424"/>
      <w:spacing w:line="360" w:lineRule="auto"/>
    </w:pPr>
    <w:rPr>
      <w:sz w:val="24"/>
    </w:rPr>
  </w:style>
  <w:style w:type="paragraph" w:styleId="1079" w:customStyle="1">
    <w:name w:val="Char"/>
    <w:basedOn w:val="753"/>
    <w:uiPriority w:val="0"/>
    <w:qFormat/>
    <w:pPr>
      <w:tabs>
        <w:tab w:val="left" w:pos="360" w:leader="none"/>
      </w:tabs>
    </w:pPr>
    <w:rPr>
      <w:sz w:val="24"/>
    </w:rPr>
  </w:style>
  <w:style w:type="paragraph" w:styleId="1080" w:customStyle="1">
    <w:name w:val=" Char1"/>
    <w:basedOn w:val="753"/>
    <w:uiPriority w:val="0"/>
    <w:qFormat/>
    <w:pPr>
      <w:ind w:left="432" w:hanging="432"/>
      <w:spacing w:before="156" w:after="156"/>
      <w:tabs>
        <w:tab w:val="left" w:pos="432" w:leader="none"/>
      </w:tabs>
    </w:pPr>
  </w:style>
  <w:style w:type="paragraph" w:styleId="1081" w:customStyle="1">
    <w:name w:val="注×："/>
    <w:uiPriority w:val="0"/>
    <w:qFormat/>
    <w:pPr>
      <w:ind w:left="1035" w:hanging="555"/>
      <w:jc w:val="both"/>
      <w:widowControl w:val="off"/>
      <w:tabs>
        <w:tab w:val="left" w:pos="630" w:leader="none"/>
        <w:tab w:val="left" w:pos="1035" w:leader="none"/>
      </w:tabs>
    </w:pPr>
    <w:rPr>
      <w:rFonts w:hint="default" w:ascii="宋体" w:hAnsi="Times New Roman" w:eastAsia="宋体" w:cs="Times New Roman"/>
      <w:sz w:val="18"/>
      <w:lang w:val="en-US" w:eastAsia="zh-CN" w:bidi="ar-SA"/>
    </w:rPr>
  </w:style>
  <w:style w:type="paragraph" w:styleId="1082" w:customStyle="1">
    <w:name w:val="Default Text"/>
    <w:basedOn w:val="753"/>
    <w:uiPriority w:val="0"/>
    <w:qFormat/>
    <w:pPr>
      <w:jc w:val="left"/>
      <w:widowControl/>
    </w:pPr>
    <w:rPr>
      <w:rFonts w:ascii="Calibri" w:hAnsi="Calibri"/>
      <w:sz w:val="20"/>
      <w:szCs w:val="20"/>
      <w:lang w:eastAsia="en-US"/>
    </w:rPr>
  </w:style>
  <w:style w:type="paragraph" w:styleId="1083" w:customStyle="1">
    <w:name w:val="正文编号"/>
    <w:basedOn w:val="753"/>
    <w:uiPriority w:val="0"/>
    <w:qFormat/>
    <w:pPr>
      <w:spacing w:line="400" w:lineRule="exact"/>
      <w:tabs>
        <w:tab w:val="left" w:pos="720" w:leader="none"/>
      </w:tabs>
    </w:pPr>
    <w:rPr>
      <w:rFonts w:eastAsia="楷体_GB2312"/>
      <w:spacing w:val="8"/>
      <w:sz w:val="28"/>
      <w:szCs w:val="20"/>
    </w:rPr>
  </w:style>
  <w:style w:type="paragraph" w:styleId="1084" w:customStyle="1">
    <w:name w:val="GP（表格）"/>
    <w:basedOn w:val="753"/>
    <w:uiPriority w:val="0"/>
    <w:qFormat/>
    <w:rPr>
      <w:rFonts w:ascii="Arial" w:hAnsi="Arial" w:eastAsia="宋体"/>
      <w:sz w:val="18"/>
    </w:rPr>
  </w:style>
  <w:style w:type="paragraph" w:styleId="1085" w:customStyle="1">
    <w:name w:val="Char1"/>
    <w:basedOn w:val="753"/>
    <w:uiPriority w:val="0"/>
    <w:qFormat/>
    <w:pPr>
      <w:spacing w:line="360" w:lineRule="auto"/>
    </w:pPr>
    <w:rPr>
      <w:sz w:val="24"/>
      <w:szCs w:val="20"/>
    </w:rPr>
  </w:style>
  <w:style w:type="paragraph" w:styleId="1086" w:customStyle="1">
    <w:name w:val="一级项目符号"/>
    <w:basedOn w:val="753"/>
    <w:uiPriority w:val="0"/>
    <w:qFormat/>
    <w:pPr>
      <w:ind w:left="840" w:hanging="480"/>
      <w:spacing w:line="360" w:lineRule="auto"/>
      <w:widowControl/>
      <w:tabs>
        <w:tab w:val="left" w:pos="840" w:leader="none"/>
      </w:tabs>
    </w:pPr>
    <w:rPr>
      <w:rFonts w:ascii="Calibri" w:hAnsi="Calibri" w:eastAsia="宋体"/>
      <w:sz w:val="24"/>
    </w:rPr>
  </w:style>
  <w:style w:type="paragraph" w:styleId="1087" w:customStyle="1">
    <w:name w:val="样式2"/>
    <w:basedOn w:val="908"/>
    <w:uiPriority w:val="0"/>
    <w:qFormat/>
    <w:pPr>
      <w:ind w:left="360" w:hanging="360"/>
      <w:spacing w:before="0" w:after="0" w:line="400" w:lineRule="atLeast"/>
      <w:widowControl/>
      <w:tabs>
        <w:tab w:val="left" w:pos="480" w:leader="none"/>
      </w:tabs>
      <w:outlineLvl w:val="9"/>
    </w:pPr>
    <w:rPr>
      <w:rFonts w:ascii="宋体" w:eastAsia="黑体"/>
      <w:sz w:val="21"/>
    </w:rPr>
  </w:style>
  <w:style w:type="paragraph" w:styleId="1088" w:customStyle="1">
    <w:name w:val="默认段落字体 Para Char Char Char Char Char Char Char"/>
    <w:basedOn w:val="753"/>
    <w:uiPriority w:val="0"/>
    <w:qFormat/>
    <w:rPr>
      <w:rFonts w:ascii="Tahoma" w:hAnsi="Tahoma"/>
      <w:sz w:val="24"/>
      <w:szCs w:val="20"/>
    </w:rPr>
  </w:style>
  <w:style w:type="paragraph" w:styleId="1089" w:customStyle="1">
    <w:name w:val="jx标题1"/>
    <w:basedOn w:val="908"/>
    <w:uiPriority w:val="0"/>
    <w:qFormat/>
    <w:pPr>
      <w:ind w:left="425" w:hanging="425"/>
      <w:spacing w:line="360" w:lineRule="auto"/>
      <w:tabs>
        <w:tab w:val="left" w:pos="425" w:leader="none"/>
      </w:tabs>
    </w:pPr>
    <w:rPr>
      <w:rFonts w:ascii="Calibri" w:hAnsi="Calibri" w:eastAsia="黑体"/>
      <w:bCs/>
      <w:sz w:val="44"/>
      <w:szCs w:val="44"/>
    </w:rPr>
  </w:style>
  <w:style w:type="paragraph" w:styleId="1090" w:customStyle="1">
    <w:name w:val="正文图标题"/>
    <w:basedOn w:val="753"/>
    <w:next w:val="752"/>
    <w:uiPriority w:val="0"/>
    <w:qFormat/>
    <w:pPr>
      <w:ind w:left="480" w:hanging="480"/>
      <w:jc w:val="center"/>
      <w:widowControl/>
      <w:tabs>
        <w:tab w:val="left" w:pos="480" w:leader="none"/>
      </w:tabs>
    </w:pPr>
    <w:rPr>
      <w:rFonts w:ascii="黑体" w:eastAsia="黑体"/>
      <w:sz w:val="20"/>
      <w:szCs w:val="20"/>
    </w:rPr>
  </w:style>
  <w:style w:type="paragraph" w:styleId="1091" w:customStyle="1">
    <w:name w:val="列出段落"/>
    <w:basedOn w:val="753"/>
    <w:uiPriority w:val="0"/>
    <w:qFormat/>
    <w:pPr>
      <w:ind w:firstLine="420"/>
    </w:pPr>
  </w:style>
  <w:style w:type="paragraph" w:styleId="1092"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093" w:customStyle="1">
    <w:name w:val="Char Char1 Char Char Char Char Char Char Char Char Char Char Char Char Char Char Char"/>
    <w:basedOn w:val="753"/>
    <w:uiPriority w:val="0"/>
    <w:qFormat/>
    <w:pPr>
      <w:ind w:left="4200"/>
      <w:jc w:val="left"/>
      <w:spacing w:after="160" w:line="240" w:lineRule="exact"/>
      <w:widowControl/>
      <w:tabs>
        <w:tab w:val="left" w:pos="4200" w:leader="none"/>
      </w:tabs>
    </w:pPr>
    <w:rPr>
      <w:rFonts w:ascii="Verdana" w:hAnsi="Verdana"/>
      <w:sz w:val="20"/>
      <w:szCs w:val="20"/>
      <w:lang w:eastAsia="en-US"/>
    </w:rPr>
  </w:style>
  <w:style w:type="paragraph" w:styleId="1094" w:customStyle="1">
    <w:name w:val="Section VII Header2"/>
    <w:basedOn w:val="908"/>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bCs/>
      <w:sz w:val="24"/>
    </w:rPr>
  </w:style>
  <w:style w:type="paragraph" w:styleId="1095" w:customStyle="1">
    <w:name w:val="正文缩进2格"/>
    <w:basedOn w:val="753"/>
    <w:uiPriority w:val="0"/>
    <w:qFormat/>
    <w:pPr>
      <w:ind w:firstLine="639"/>
      <w:spacing w:line="600" w:lineRule="exact"/>
    </w:pPr>
    <w:rPr>
      <w:rFonts w:ascii="仿宋_GB2312" w:hAnsi="宋体" w:eastAsia="仿宋_GB2312"/>
      <w:sz w:val="31"/>
      <w:szCs w:val="20"/>
    </w:rPr>
  </w:style>
  <w:style w:type="paragraph" w:styleId="1096" w:customStyle="1">
    <w:name w:val="Body text|1"/>
    <w:basedOn w:val="753"/>
    <w:uiPriority w:val="0"/>
    <w:qFormat/>
    <w:pPr>
      <w:ind w:firstLine="180"/>
      <w:spacing w:line="360" w:lineRule="auto"/>
    </w:pPr>
    <w:rPr>
      <w:rFonts w:ascii="宋体" w:hAnsi="宋体"/>
      <w:sz w:val="66"/>
      <w:szCs w:val="66"/>
      <w:lang w:val="zh-TW" w:eastAsia="zh-TW"/>
    </w:rPr>
  </w:style>
  <w:style w:type="paragraph" w:styleId="1097" w:customStyle="1">
    <w:name w:val="Body text|4"/>
    <w:basedOn w:val="753"/>
    <w:uiPriority w:val="0"/>
    <w:qFormat/>
    <w:rPr>
      <w:sz w:val="28"/>
      <w:szCs w:val="28"/>
      <w:shd w:val="clear" w:color="auto" w:fill="ffffff"/>
    </w:rPr>
  </w:style>
  <w:style w:type="character" w:styleId="1098" w:customStyle="1">
    <w:name w:val="NormalCharacter"/>
    <w:link w:val="753"/>
    <w:uiPriority w:val="0"/>
    <w:semiHidden/>
    <w:qFormat/>
    <w:rPr>
      <w:rFonts w:hint="default" w:ascii="Tahoma" w:hAnsi="Tahoma" w:eastAsia="微软雅黑" w:cs="Times New Roman"/>
      <w:lang w:val="en-US" w:eastAsia="zh-CN" w:bidi="ar-SA"/>
    </w:rPr>
  </w:style>
  <w:style w:type="paragraph" w:styleId="1099" w:customStyle="1">
    <w:name w:val="标书标题"/>
    <w:basedOn w:val="977"/>
    <w:uiPriority w:val="0"/>
    <w:qFormat/>
    <w:rPr>
      <w:rFonts w:ascii="仿宋" w:hAnsi="仿宋" w:eastAsia="仿宋"/>
      <w:sz w:val="24"/>
      <w:szCs w:val="24"/>
    </w:rPr>
  </w:style>
  <w:style w:type="paragraph" w:styleId="1100" w:customStyle="1">
    <w:name w:val="_HT_正文"/>
    <w:basedOn w:val="753"/>
    <w:uiPriority w:val="0"/>
    <w:qFormat/>
    <w:pPr>
      <w:ind w:firstLine="200"/>
      <w:jc w:val="both"/>
      <w:spacing w:line="360" w:lineRule="auto"/>
    </w:pPr>
    <w:rPr>
      <w:sz w:val="24"/>
    </w:rPr>
  </w:style>
  <w:style w:type="paragraph" w:styleId="1101" w:customStyle="1">
    <w:name w:val="xc正文"/>
    <w:basedOn w:val="700"/>
    <w:uiPriority w:val="0"/>
    <w:qFormat/>
    <w:pPr>
      <w:ind w:firstLine="200"/>
      <w:spacing w:line="360" w:lineRule="auto"/>
    </w:pPr>
    <w:rPr>
      <w:rFonts w:ascii="Calibri" w:hAnsi="Calibri" w:eastAsia="宋体" w:cs="Times New Roman"/>
      <w:sz w:val="24"/>
      <w:lang w:val="zh-CN"/>
    </w:rPr>
  </w:style>
  <w:style w:type="character" w:styleId="1102" w:customStyle="1">
    <w:name w:val="标题 1 字符"/>
    <w:link w:val="701"/>
    <w:uiPriority w:val="0"/>
    <w:qFormat/>
    <w:rPr>
      <w:rFonts w:eastAsia="方正仿宋_GBK"/>
      <w:b/>
      <w:sz w:val="44"/>
    </w:rPr>
  </w:style>
  <w:style w:type="paragraph" w:styleId="1103" w:customStyle="1">
    <w:name w:val="正文111"/>
    <w:next w:val="11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4" w:customStyle="1">
    <w:name w:val="目录 111"/>
    <w:basedOn w:val="1103"/>
    <w:next w:val="1103"/>
    <w:uiPriority w:val="0"/>
    <w:qFormat/>
  </w:style>
  <w:style w:type="paragraph" w:styleId="1105" w:customStyle="1">
    <w:name w:val="纯文本2"/>
    <w:basedOn w:val="1103"/>
    <w:uiPriority w:val="0"/>
    <w:qFormat/>
    <w:rPr>
      <w:rFonts w:ascii="宋体" w:hAnsi="Courier New"/>
      <w:sz w:val="20"/>
      <w:szCs w:val="20"/>
    </w:rPr>
  </w:style>
  <w:style w:type="character" w:styleId="1106" w:customStyle="1">
    <w:name w:val="脚注文本 Char"/>
    <w:basedOn w:val="710"/>
    <w:link w:val="731"/>
    <w:uiPriority w:val="0"/>
    <w:qFormat/>
    <w:rPr>
      <w:rFonts w:hint="eastAsia" w:ascii="宋体" w:hAnsi="宋体" w:eastAsia="Times New Roman" w:cs="宋体"/>
      <w:sz w:val="18"/>
      <w:szCs w:val="18"/>
    </w:rPr>
  </w:style>
  <w:style w:type="paragraph" w:styleId="1107" w:customStyle="1">
    <w:name w:val="正文1111"/>
    <w:next w:val="11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8" w:customStyle="1">
    <w:name w:val="目录 112"/>
    <w:next w:val="1107"/>
    <w:uiPriority w:val="0"/>
    <w:qFormat/>
    <w:pPr>
      <w:spacing w:after="57"/>
    </w:pPr>
    <w:rPr>
      <w:rFonts w:hint="default" w:ascii="Times New Roman" w:hAnsi="Times New Roman" w:eastAsia="宋体" w:cs="Times New Roman"/>
      <w:lang w:val="en-US" w:eastAsia="zh-CN" w:bidi="ar-SA"/>
    </w:rPr>
  </w:style>
  <w:style w:type="character" w:styleId="1109" w:customStyle="1">
    <w:name w:val="font01"/>
    <w:basedOn w:val="710"/>
    <w:uiPriority w:val="0"/>
    <w:qFormat/>
    <w:rPr>
      <w:rFonts w:hint="eastAsia" w:ascii="宋体" w:hAnsi="宋体" w:eastAsia="宋体" w:cs="宋体"/>
      <w:b/>
      <w:color w:val="000000"/>
      <w:sz w:val="24"/>
      <w:szCs w:val="24"/>
      <w:u w:val="none"/>
    </w:rPr>
  </w:style>
  <w:style w:type="numbering" w:styleId="57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 Id="rId17" Type="http://schemas.openxmlformats.org/officeDocument/2006/relationships/customXml" Target="../customXml/item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w:settings xmlns:w="http://schemas.openxmlformats.org/wordprocessingml/2006/main">
  <w:SpecialFormsHighlight w:val="c9c8ff"/>
</w:settings>
</file>

<file path=customXml/item5.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5D0AEA6B-E499-4EEF-98A3-AFBB261C493E}"/>
</file>

<file path=customXml/itemProps5.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徐州公信</dc:creator>
  <cp:lastModifiedBy>刘林壮</cp:lastModifiedBy>
  <cp:revision>15</cp:revision>
  <dcterms:created xsi:type="dcterms:W3CDTF">2022-06-23T08:32:00Z</dcterms:created>
  <dcterms:modified xsi:type="dcterms:W3CDTF">2026-03-11T01:45:34Z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8A0975E8282B462DB7DD695A80574D6D_13</vt:lpwstr>
  </property>
  <property fmtid="{D5CDD505-2E9C-101B-9397-08002B2CF9AE}" pid="4" name="KSOTemplateDocerSaveRecord">
    <vt:lpwstr>eyJoZGlkIjoiNjNiNWZhYzIyMTI1YmU4NmU5MGFmNzRiNTQ0ZWY5YzYiLCJ1c2VySWQiOiIyOTEwNDYyNzEifQ==</vt:lpwstr>
  </property>
</Properties>
</file>