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       </w:t>
      </w:r>
      <w:r/>
    </w:p>
    <w:p>
      <w:pPr>
        <w:jc w:val="center"/>
        <w:spacing w:line="360" w:lineRule="auto"/>
        <w:rPr>
          <w:rFonts w:hint="eastAsia" w:ascii="仿宋" w:hAnsi="仿宋" w:eastAsia="仿宋" w:cs="仿宋"/>
          <w:b/>
          <w:spacing w:val="76"/>
          <w:sz w:val="144"/>
          <w:szCs w:val="22"/>
          <w:highlight w:val="none"/>
        </w:rPr>
      </w:pPr>
      <w:r>
        <w:rPr>
          <w:rFonts w:hint="eastAsia" w:ascii="仿宋" w:hAnsi="仿宋" w:eastAsia="仿宋" w:cs="仿宋"/>
          <w:b/>
          <w:spacing w:val="76"/>
          <w:sz w:val="144"/>
          <w:szCs w:val="144"/>
          <w:highlight w:val="none"/>
        </w:rPr>
        <w:t xml:space="preserve">招标文件</w:t>
      </w:r>
      <w:r/>
    </w:p>
    <w:p>
      <w:pPr>
        <w:pStyle w:val="833"/>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left="2244" w:hanging="1606"/>
        <w:spacing w:line="360" w:lineRule="auto"/>
        <w:rPr>
          <w:rFonts w:hint="eastAsia" w:ascii="仿宋" w:hAnsi="仿宋" w:eastAsia="仿宋" w:cs="仿宋"/>
          <w:b/>
          <w:bCs/>
          <w:sz w:val="32"/>
          <w:highlight w:val="none"/>
        </w:rPr>
      </w:pPr>
      <w:r>
        <w:rPr>
          <w:rFonts w:hint="eastAsia" w:ascii="仿宋" w:hAnsi="仿宋" w:eastAsia="仿宋" w:cs="仿宋"/>
          <w:b/>
          <w:bCs/>
          <w:color w:val="000000"/>
          <w:sz w:val="32"/>
          <w:highlight w:val="none"/>
        </w:rPr>
        <w:t xml:space="preserve">项目名称：</w:t>
      </w:r>
      <w:r>
        <w:rPr>
          <w:rFonts w:hint="eastAsia" w:ascii="仿宋" w:hAnsi="仿宋" w:eastAsia="仿宋" w:cs="仿宋"/>
          <w:b/>
          <w:bCs/>
          <w:color w:val="000000"/>
          <w:sz w:val="32"/>
          <w:highlight w:val="none"/>
          <w:lang w:val="en-US" w:eastAsia="zh-CN"/>
        </w:rPr>
        <w:t xml:space="preserve">江苏睢宁经济开发区文物资源区域评估项目</w:t>
      </w:r>
      <w:r>
        <w:rPr>
          <w:rFonts w:hint="eastAsia" w:ascii="仿宋" w:hAnsi="仿宋" w:eastAsia="仿宋" w:cs="仿宋"/>
          <w:b/>
          <w:bCs/>
          <w:sz w:val="32"/>
          <w:highlight w:val="none"/>
        </w:rPr>
        <w:t xml:space="preserve">  </w:t>
      </w:r>
      <w:r/>
    </w:p>
    <w:p>
      <w:pPr>
        <w:ind w:left="2244" w:hanging="1606"/>
        <w:spacing w:line="360" w:lineRule="auto"/>
        <w:rPr>
          <w:rFonts w:hint="eastAsia" w:ascii="仿宋" w:hAnsi="仿宋" w:eastAsia="仿宋" w:cs="仿宋"/>
          <w:b/>
          <w:bCs/>
          <w:color w:val="000000"/>
          <w:sz w:val="32"/>
          <w:highlight w:val="none"/>
          <w:lang w:val="en-US" w:eastAsia="zh-CN"/>
        </w:rPr>
      </w:pPr>
      <w:r/>
      <w:bookmarkStart w:id="0" w:name="_Toc11990"/>
      <w:r>
        <w:rPr>
          <w:rFonts w:hint="eastAsia" w:ascii="仿宋" w:hAnsi="仿宋" w:eastAsia="仿宋" w:cs="仿宋"/>
          <w:b/>
          <w:bCs/>
          <w:color w:val="000000"/>
          <w:sz w:val="32"/>
          <w:highlight w:val="none"/>
          <w:lang w:val="en-US" w:eastAsia="zh-CN"/>
        </w:rPr>
        <w:t xml:space="preserve">项目编号：</w:t>
      </w:r>
      <w:bookmarkEnd w:id="0"/>
      <w:r/>
      <w:bookmarkStart w:id="1" w:name="_Toc25341"/>
      <w:r>
        <w:rPr>
          <w:rFonts w:hint="eastAsia" w:ascii="仿宋" w:hAnsi="仿宋" w:eastAsia="仿宋" w:cs="仿宋"/>
          <w:b/>
          <w:bCs/>
          <w:color w:val="000000"/>
          <w:sz w:val="32"/>
          <w:highlight w:val="none"/>
          <w:lang w:val="en-US" w:eastAsia="zh-CN"/>
        </w:rPr>
        <w:t xml:space="preserve">JSZC-320324-JSDK-G2026-0001</w:t>
      </w:r>
      <w:r/>
    </w:p>
    <w:p>
      <w:pPr>
        <w:ind w:left="2244" w:hanging="1606"/>
        <w:spacing w:line="360" w:lineRule="auto"/>
        <w:rPr>
          <w:rFonts w:hint="eastAsia" w:ascii="仿宋" w:hAnsi="仿宋" w:eastAsia="仿宋" w:cs="仿宋"/>
          <w:b/>
          <w:bCs/>
          <w:color w:val="000000"/>
          <w:sz w:val="32"/>
          <w:highlight w:val="none"/>
          <w:lang w:val="en-US" w:eastAsia="zh-CN"/>
        </w:rPr>
      </w:pPr>
      <w:r>
        <w:rPr>
          <w:rFonts w:hint="eastAsia" w:ascii="仿宋" w:hAnsi="仿宋" w:eastAsia="仿宋" w:cs="仿宋"/>
          <w:b/>
          <w:bCs/>
          <w:color w:val="000000"/>
          <w:sz w:val="32"/>
          <w:highlight w:val="none"/>
          <w:lang w:val="en-US" w:eastAsia="zh-CN"/>
        </w:rPr>
        <w:t xml:space="preserve">采 购 人：</w:t>
      </w:r>
      <w:bookmarkEnd w:id="1"/>
      <w:r>
        <w:rPr>
          <w:rFonts w:hint="eastAsia" w:ascii="仿宋" w:hAnsi="仿宋" w:eastAsia="仿宋" w:cs="仿宋"/>
          <w:b/>
          <w:bCs/>
          <w:color w:val="000000"/>
          <w:sz w:val="32"/>
          <w:highlight w:val="none"/>
          <w:lang w:val="en-US" w:eastAsia="zh-CN"/>
        </w:rPr>
        <w:t xml:space="preserve">江苏睢宁经济开发区管理委员会</w:t>
      </w:r>
      <w:r/>
    </w:p>
    <w:p>
      <w:pPr>
        <w:ind w:left="2244" w:hanging="1606"/>
        <w:spacing w:line="360" w:lineRule="auto"/>
        <w:rPr>
          <w:rFonts w:hint="eastAsia" w:ascii="仿宋" w:hAnsi="仿宋" w:eastAsia="仿宋" w:cs="仿宋"/>
          <w:b/>
          <w:bCs/>
          <w:sz w:val="32"/>
          <w:szCs w:val="32"/>
          <w:highlight w:val="none"/>
        </w:rPr>
      </w:pPr>
      <w:r/>
      <w:bookmarkStart w:id="2" w:name="_Toc28082"/>
      <w:r>
        <w:rPr>
          <w:rFonts w:hint="eastAsia" w:ascii="仿宋" w:hAnsi="仿宋" w:eastAsia="仿宋" w:cs="仿宋"/>
          <w:b/>
          <w:bCs/>
          <w:color w:val="000000"/>
          <w:sz w:val="32"/>
          <w:highlight w:val="none"/>
          <w:lang w:val="en-US" w:eastAsia="zh-CN"/>
        </w:rPr>
        <w:t xml:space="preserve">采购代理机构：</w:t>
      </w:r>
      <w:bookmarkEnd w:id="2"/>
      <w:r>
        <w:rPr>
          <w:rFonts w:hint="eastAsia" w:ascii="仿宋" w:hAnsi="仿宋" w:eastAsia="仿宋" w:cs="仿宋"/>
          <w:b/>
          <w:bCs/>
          <w:color w:val="000000"/>
          <w:sz w:val="32"/>
          <w:highlight w:val="none"/>
          <w:lang w:val="en-US" w:eastAsia="zh-CN"/>
        </w:rPr>
        <w:t xml:space="preserve">江苏东科建设项目管理有限公司</w:t>
      </w:r>
      <w:r>
        <w:rPr>
          <w:rFonts w:hint="eastAsia" w:ascii="仿宋" w:hAnsi="仿宋" w:eastAsia="仿宋" w:cs="仿宋"/>
          <w:b/>
          <w:bCs/>
          <w:color w:val="000000"/>
          <w:sz w:val="32"/>
          <w:szCs w:val="32"/>
          <w:highlight w:val="none"/>
          <w:lang w:val="en-US" w:eastAsia="zh-CN" w:bidi="ar-SA"/>
        </w:rPr>
        <w:t xml:space="preserve">  </w:t>
      </w:r>
      <w:r>
        <w:rPr>
          <w:rFonts w:hint="eastAsia" w:ascii="仿宋" w:hAnsi="仿宋" w:eastAsia="仿宋" w:cs="仿宋"/>
          <w:b/>
          <w:bCs/>
          <w:sz w:val="32"/>
          <w:szCs w:val="32"/>
          <w:highlight w:val="none"/>
        </w:rPr>
        <w:t xml:space="preserve">            </w:t>
      </w:r>
      <w:r/>
    </w:p>
    <w:p>
      <w:pPr>
        <w:pStyle w:val="821"/>
        <w:ind w:left="0" w:right="0" w:firstLine="643"/>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21"/>
        <w:ind w:left="0" w:right="0" w:firstLine="643"/>
        <w:jc w:val="center"/>
        <w:spacing w:line="360" w:lineRule="auto"/>
        <w:rPr>
          <w:rFonts w:hint="eastAsia" w:ascii="仿宋" w:hAnsi="仿宋" w:eastAsia="仿宋" w:cs="仿宋"/>
          <w:sz w:val="24"/>
          <w:szCs w:val="18"/>
          <w:highlight w:val="none"/>
        </w:r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val="en-US" w:eastAsia="zh-CN"/>
        </w:rPr>
        <w:t xml:space="preserve">三</w:t>
      </w:r>
      <w:r>
        <w:rPr>
          <w:rFonts w:hint="eastAsia" w:ascii="仿宋" w:hAnsi="仿宋" w:eastAsia="仿宋" w:cs="仿宋"/>
          <w:b/>
          <w:bCs/>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6"/>
          <w:szCs w:val="21"/>
          <w:highlight w:val="none"/>
        </w:rPr>
      </w:pPr>
      <w:r>
        <w:rPr>
          <w:rFonts w:hint="eastAsia" w:ascii="仿宋" w:hAnsi="仿宋" w:eastAsia="仿宋" w:cs="仿宋"/>
          <w:b/>
          <w:bCs/>
          <w:sz w:val="36"/>
          <w:szCs w:val="21"/>
          <w:highlight w:val="none"/>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目 录</w:t>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第一章  投标邀请</w:t>
      </w:r>
      <w:r>
        <w:rPr>
          <w:rStyle w:val="851"/>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hint="default" w:ascii="仿宋" w:hAnsi="仿宋" w:eastAsia="仿宋" w:cs="仿宋"/>
          <w:color w:val="auto"/>
          <w:sz w:val="28"/>
          <w:szCs w:val="28"/>
          <w:highlight w:val="none"/>
          <w:lang w:val="en-US"/>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第二章  投标人须知</w:t>
      </w:r>
      <w:r>
        <w:rPr>
          <w:rStyle w:val="851"/>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第三章  投标资料表</w:t>
      </w:r>
      <w:r>
        <w:rPr>
          <w:rStyle w:val="851"/>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第四章  评标标准</w:t>
      </w:r>
      <w:r>
        <w:rPr>
          <w:rStyle w:val="851"/>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第五章  拟签订的合同文本</w:t>
      </w:r>
      <w:r>
        <w:rPr>
          <w:rStyle w:val="851"/>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第六章  采购需求</w:t>
      </w:r>
      <w:r>
        <w:rPr>
          <w:rStyle w:val="851"/>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51"/>
          <w:rFonts w:hint="eastAsia" w:ascii="仿宋" w:hAnsi="仿宋" w:eastAsia="仿宋" w:cs="仿宋"/>
          <w:color w:val="auto"/>
          <w:sz w:val="28"/>
          <w:szCs w:val="28"/>
          <w:highlight w:val="none"/>
          <w:u w:val="none"/>
          <w:lang w:eastAsia="zh-CN"/>
        </w:rPr>
        <w:t xml:space="preserve">第七章  投标文件相关格式</w:t>
      </w:r>
      <w:r>
        <w:rPr>
          <w:rStyle w:val="851"/>
          <w:rFonts w:hint="eastAsia" w:ascii="仿宋" w:hAnsi="仿宋" w:eastAsia="仿宋" w:cs="仿宋"/>
          <w:color w:val="auto"/>
          <w:sz w:val="28"/>
          <w:szCs w:val="28"/>
          <w:highlight w:val="none"/>
          <w:u w:val="none"/>
          <w:lang w:eastAsia="zh-CN"/>
        </w:rPr>
        <w:fldChar w:fldCharType="end"/>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600" w:lineRule="exact"/>
        <w:rPr>
          <w:rFonts w:hint="eastAsia" w:ascii="仿宋" w:hAnsi="仿宋" w:eastAsia="仿宋" w:cs="仿宋"/>
          <w:b/>
          <w:color w:val="auto"/>
          <w:sz w:val="40"/>
          <w:szCs w:val="21"/>
          <w:highlight w:val="none"/>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color w:val="auto"/>
          <w:sz w:val="40"/>
          <w:szCs w:val="21"/>
          <w:highlight w:val="none"/>
          <w:lang w:eastAsia="zh-CN"/>
        </w:rPr>
      </w:r>
      <w:r/>
    </w:p>
    <w:p>
      <w:pPr>
        <w:jc w:val="center"/>
        <w:keepLines w:val="0"/>
        <w:keepNext w:val="0"/>
        <w:pageBreakBefore w:val="0"/>
        <w:spacing w:after="361" w:line="240" w:lineRule="auto"/>
        <w:widowControl/>
        <w:rPr>
          <w:rFonts w:hint="eastAsia" w:ascii="仿宋" w:hAnsi="仿宋" w:eastAsia="仿宋" w:cs="仿宋"/>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 </w:t>
      </w:r>
      <w:r>
        <w:rPr>
          <w:rFonts w:hint="eastAsia" w:ascii="仿宋" w:hAnsi="仿宋" w:eastAsia="仿宋" w:cs="仿宋"/>
          <w:b/>
          <w:color w:val="auto"/>
          <w:sz w:val="36"/>
          <w:szCs w:val="36"/>
          <w:highlight w:val="none"/>
          <w:lang w:val="en-US" w:eastAsia="zh-CN"/>
        </w:rPr>
        <w:t xml:space="preserve">江苏睢宁经济开发区文物资源区域评估项目</w:t>
      </w:r>
      <w:r/>
    </w:p>
    <w:p>
      <w:pPr>
        <w:jc w:val="center"/>
        <w:keepLines w:val="0"/>
        <w:keepNext w:val="0"/>
        <w:pageBreakBefore w:val="0"/>
        <w:spacing w:after="361" w:line="240" w:lineRule="auto"/>
        <w:widowControl/>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招标文件</w:t>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第一章  投标邀请</w:t>
      </w:r>
      <w:r>
        <w:rPr>
          <w:rFonts w:hint="eastAsia" w:ascii="仿宋" w:hAnsi="仿宋" w:eastAsia="仿宋" w:cs="仿宋"/>
          <w:color w:val="auto"/>
          <w:sz w:val="28"/>
          <w:szCs w:val="28"/>
          <w:highlight w:val="none"/>
          <w:lang w:eastAsia="zh-CN"/>
        </w:rPr>
        <w:t xml:space="preserve"> </w:t>
      </w:r>
      <w:r/>
    </w:p>
    <w:p>
      <w:pPr>
        <w:pStyle w:val="787"/>
        <w:ind w:left="0" w:right="0" w:firstLine="560"/>
        <w:jc w:val="left"/>
        <w:keepLines w:val="0"/>
        <w:keepNext w:val="0"/>
        <w:pageBreakBefore w:val="0"/>
        <w:spacing w:before="0" w:beforeAutospacing="0" w:after="0" w:afterAutospacing="0" w:line="500" w:lineRule="exact"/>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bidi="ar-SA"/>
        </w:rPr>
        <w:t xml:space="preserve">江苏东科建设项目管理有限公司对江苏睢宁经济开发区管理委员会“江苏睢宁经济开发区文物资源区域评估项目”进行公开招标采购，现邀请符合相关条件的投标人投标。</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一、项目名称和项目编号</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w:t>
      </w:r>
      <w:r>
        <w:rPr>
          <w:rFonts w:hint="eastAsia" w:ascii="仿宋" w:hAnsi="仿宋" w:eastAsia="仿宋" w:cs="仿宋"/>
          <w:color w:val="auto"/>
          <w:sz w:val="28"/>
          <w:szCs w:val="28"/>
          <w:highlight w:val="none"/>
          <w:lang w:val="en-US" w:eastAsia="zh-CN"/>
        </w:rPr>
        <w:t xml:space="preserve">江苏睢宁经济开发区文物资源区域评估项目</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(二)项目编号：JSZC-320324-JSDK-G2026-0001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二、对投标人的资格要求</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详见本项目公开招标公告。</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三、获取招标文件</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（1）潜在投标人访问电子招标投标交易平台的网络地址和方法：</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①登录http://jszfcg.jsczt.cn/ ，或进入徐州政府采购网--业务工作--用户登录，点击“苏采云”进入系统。</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（2）采购代理机构将数据电文形式的招标文件加载至电子招标投标交易平台，供潜在投标人下载或者查阅。</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（3）售价：免费。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四、提交投标文件截止时间、开标时间和地点</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（一）投标截止时间：</w:t>
      </w:r>
      <w:r>
        <w:rPr>
          <w:rFonts w:hint="eastAsia" w:ascii="仿宋" w:hAnsi="仿宋" w:eastAsia="仿宋" w:cs="仿宋"/>
          <w:color w:val="auto"/>
          <w:sz w:val="28"/>
          <w:szCs w:val="28"/>
          <w:highlight w:val="none"/>
          <w:lang w:val="en-US" w:eastAsia="zh-CN"/>
        </w:rPr>
        <w:t xml:space="preserve">2026年04月10日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（二）开标时间：</w:t>
      </w:r>
      <w:r>
        <w:rPr>
          <w:rFonts w:hint="eastAsia" w:ascii="仿宋" w:hAnsi="仿宋" w:eastAsia="仿宋" w:cs="仿宋"/>
          <w:color w:val="auto"/>
          <w:sz w:val="28"/>
          <w:szCs w:val="28"/>
          <w:highlight w:val="none"/>
          <w:lang w:val="en-US" w:eastAsia="zh-CN"/>
        </w:rPr>
        <w:t xml:space="preserve">2026年04月10日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（三）开标地点：“苏采云”系统（网址： http://jszfcg.jsczt.cn/）“开标大厅”或进入徐州政府采购网（网址：http://czj.xz.gov.cn/Home/HomeIndex）-业务工作 -用户登录，点击“苏采云”进入系统“开标大厅”。</w:t>
      </w:r>
      <w:r/>
    </w:p>
    <w:p>
      <w:pPr>
        <w:jc w:val="left"/>
        <w:keepLines w:val="0"/>
        <w:keepNext w:val="0"/>
        <w:pageBreakBefore w:val="0"/>
        <w:spacing w:line="500" w:lineRule="exact"/>
        <w:widowControl/>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五、公告期限</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自本公告发布之日起5个工作日。</w:t>
      </w:r>
      <w:r/>
    </w:p>
    <w:p>
      <w:pPr>
        <w:jc w:val="left"/>
        <w:keepLines w:val="0"/>
        <w:keepNext w:val="0"/>
        <w:pageBreakBefore w:val="0"/>
        <w:spacing w:line="500" w:lineRule="exac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六、其他补充事宜</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(一)获取采购文件: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招标文件提供期限届满后仍可以下载，期限届满后下载的招标文件，视为非有效方式且不作为供应商权益受到损害的证明材料和依据。</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(二)投标文件的提交与接收: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1.线上投标文件提交与接收时间</w:t>
      </w:r>
      <w:r>
        <w:rPr>
          <w:rFonts w:hint="eastAsia" w:ascii="仿宋" w:hAnsi="仿宋" w:eastAsia="仿宋" w:cs="仿宋"/>
          <w:color w:val="auto"/>
          <w:sz w:val="28"/>
          <w:szCs w:val="28"/>
          <w:highlight w:val="none"/>
          <w:lang w:val="en-US" w:eastAsia="zh-CN"/>
        </w:rPr>
        <w:t xml:space="preserve">:提交投标文件截止时间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(2026年04月10日北京时间09:10) 前。</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2.线上投标文件提交与接收地点:投标人应当通过“苏采云”系统提交数据电文形式的投标文件(即电子投标)，“苏采云”系统自动接收。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(三)询问和质疑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2.供应商在法定质疑期内一次性提出针对同一采购程序环节的质疑。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3.质疑函</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接收质疑函的方式:供应商直接送交或供应商通过EMS邮寄。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联系部门:江苏东科建设项目管理有限公司</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联系电话:15061716410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地址:睢宁县睢城镇温馨家园3栋304室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(四)招标文件的澄清或者修改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高线编制投标文件，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(五)终止招标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(六)说明</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1.本项目不接受联合体参与采购活动，成交后不得转包或分包。</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2.单位负责人为同一人或者存在直接控股、管理关系的不同供应商，不得参加同一合同项下的政府采购活动。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3.为本采购项目提供整体设计、规范编制或者项目管理、监理、检测等服务的供应商，不得再参加本采购项目的采购活动。</w:t>
      </w:r>
      <w:r/>
    </w:p>
    <w:p>
      <w:pPr>
        <w:ind w:firstLine="562"/>
        <w:jc w:val="both"/>
        <w:keepLines w:val="0"/>
        <w:keepNext w:val="0"/>
        <w:pageBreakBefore w:val="0"/>
        <w:spacing w:after="0" w:line="500" w:lineRule="exact"/>
        <w:widowControl/>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七、对本</w:t>
      </w:r>
      <w:r>
        <w:rPr>
          <w:rFonts w:hint="eastAsia" w:ascii="仿宋" w:hAnsi="仿宋" w:eastAsia="仿宋" w:cs="仿宋"/>
          <w:b/>
          <w:sz w:val="28"/>
          <w:szCs w:val="28"/>
          <w:highlight w:val="none"/>
        </w:rPr>
        <w:t xml:space="preserve">次招标提出询问，请按以下方式联系</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1.采购人信息</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单位名称：江苏睢宁经济开发区管理委员会</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单位地址：江苏省睢宁县前进路1号</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联系人：王磊</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联系电话：18852277054</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2.采购代理机构信息</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名称：江苏东科建设项目管理有限公司</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地址：</w:t>
      </w:r>
      <w:r>
        <w:rPr>
          <w:rFonts w:hint="eastAsia" w:ascii="仿宋" w:hAnsi="仿宋" w:eastAsia="仿宋" w:cs="仿宋"/>
          <w:b w:val="0"/>
          <w:bCs w:val="0"/>
          <w:sz w:val="28"/>
          <w:szCs w:val="28"/>
          <w:highlight w:val="none"/>
          <w:lang w:val="en-US" w:eastAsia="zh-CN" w:bidi="ar-SA"/>
        </w:rPr>
        <w:t xml:space="preserve">睢宁县睢城镇温馨家园3栋304室</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w:t>
      </w:r>
      <w:r>
        <w:rPr>
          <w:rFonts w:hint="eastAsia" w:ascii="仿宋" w:hAnsi="仿宋" w:eastAsia="仿宋" w:cs="仿宋"/>
          <w:b w:val="0"/>
          <w:bCs w:val="0"/>
          <w:sz w:val="28"/>
          <w:szCs w:val="28"/>
          <w:highlight w:val="none"/>
          <w:lang w:val="en-US" w:eastAsia="zh-CN" w:bidi="ar-SA"/>
        </w:rPr>
        <w:t xml:space="preserve">15061716410</w:t>
      </w:r>
      <w:r>
        <w:rPr>
          <w:rFonts w:hint="eastAsia" w:ascii="仿宋" w:hAnsi="仿宋" w:eastAsia="仿宋" w:cs="仿宋"/>
          <w:b w:val="0"/>
          <w:bCs w:val="0"/>
          <w:sz w:val="28"/>
          <w:szCs w:val="28"/>
          <w:highlight w:val="none"/>
          <w:lang w:val="en-US" w:eastAsia="zh-CN" w:bidi="ar-SA"/>
        </w:rPr>
        <w:t xml:space="preserve"> </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3.项目联系方式</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联系人：韩海霞</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w:t>
      </w:r>
      <w:r/>
    </w:p>
    <w:p>
      <w:pPr>
        <w:pStyle w:val="787"/>
        <w:ind w:firstLine="560"/>
        <w:keepLines w:val="0"/>
        <w:keepNext w:val="0"/>
        <w:pageBreakBefore w:val="0"/>
        <w:spacing w:before="0" w:after="0" w:line="360" w:lineRule="auto"/>
        <w:widowControl/>
        <w:rPr>
          <w:rFonts w:hint="eastAsia" w:ascii="仿宋" w:hAnsi="仿宋" w:eastAsia="仿宋" w:cs="仿宋"/>
          <w:b w:val="0"/>
          <w:bCs w:val="0"/>
          <w:sz w:val="28"/>
          <w:szCs w:val="28"/>
          <w:highlight w:val="none"/>
          <w:lang w:val="en-US" w:eastAsia="zh-CN" w:bidi="ar-SA"/>
        </w:rPr>
        <w:sectPr>
          <w:footerReference w:type="default" r:id="rId12"/>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val="0"/>
          <w:bCs w:val="0"/>
          <w:sz w:val="28"/>
          <w:szCs w:val="28"/>
          <w:highlight w:val="none"/>
          <w:lang w:val="en-US" w:eastAsia="zh-CN" w:bidi="ar-SA"/>
        </w:rPr>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highlight w:val="none"/>
          <w:lang w:eastAsia="zh-CN"/>
        </w:rPr>
        <w:t xml:space="preserve">第二章  投标人须知</w:t>
      </w:r>
      <w:r/>
    </w:p>
    <w:p>
      <w:pPr>
        <w:ind w:firstLine="600"/>
        <w:jc w:val="both"/>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一、总则</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（一）招标人。招标人即指依法进行政府采购的国家机关、事业单位和团体组织。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（二）政府招标采购方式。政府采购货物或服务（以下简称“货物服务”）的招标方式，分为公开招标和邀请招标。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（三）招标人在采购货物服务的招标投标活动中，应当贯彻落实“节约能源、保护环境、扶持不发达地区和少数民族地区和促进中小企业发展”等政府采购政策。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（四）招标人应当按照财政部制定的《政府采购品目分类目录》确定采购项目属性，对按照《政府采购品目分类目录》无法确定采购项目属性的，应按照有利于采购项目实施的原则确定。</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（五）招标人委托采购代理机构代理招标的，采购代理机构必须在招标人委托的范围内依法开展采购活动。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（六）投标人的资格条件：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投标人是指响应招标、参加投标竞争的法人、其他组织或者自然人。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2.投标人授权代表系指法定代表人或受法人委托的受托人。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（八）招标文件应包括以下内容：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第一章，投标邀请；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第二章，投标人须知；</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第三章，投标资料表；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第四章，评标标准；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第五章，拟签订的合同文本；</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第六章，采购需求；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第七章，投标文件相关格式。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（九）招标文件澄清或者修改：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2.现场考察以本文件第三章《投标资料表》中的要求为准。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3.开标前答疑会以本文件第三章《投标资料表》中的要求为准。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三、投标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（十）投标人应当按照招标文件的要求编制投标文件。投标文件应对招标文件提出的要求和条件作出实质性响应。</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（十二）投标文件的构成：</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1.投标文件的构成以本文件第三章《投标资料表》中的要求为准。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2.投标人应当提交的资格、资信证明文件，以本文件第三章《投标资料表》中的所提要求为准。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（十三）投标函和价格表、商务条件、交货和提供服务的时间：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1.投标函和价格表的要求见本章（十二）、（十三），格式见本文件第七章《投标文件相关格式》中《投标函》和《开标一览表》。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2.商务条件以本文件第三章《投标资料表》中的要求为准。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3.交货和提供服务的时间，以本文件第三章《投标资料表》中所提要求为准。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（十四）投标报价要求：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1.投标人应按照招标文件的要求报出分项价格和总价。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2.投标人应按照招标文件的要求进行报价，如投标人作出偏离，应在《偏离表》中列出。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3.招标人不支付报价以外的任何费用。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5.投标人只能提交一个投标价格，投标人提交多个价格的投标文件，在资格性、符合性检查时按照无效投标处理。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（十五）投标货币。以本文件第三章《投标资料表》中所提要求为准。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（十六）投标有效期：</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1.投标有效期为开标之日后120天。招标人可以要求对投标有效期延长一次，但该延长期最长不得超过30天。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2.招标人要求延长投标有效期的，必须要在距投标有效期满20日之前，以书面形式通知投标人，如果有关投标人同意延长投标有效期的要求，其应在原投标有效期期满前以书面形式向招标人确认。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3.如果招标人发出要求延长投标有效期的通知，并在投标有效期届满前，没有收到投标人同意的书面通知，则视为该投标人不接受上述延期的要求。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（十七）投标文件的编制要求和签署要求：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1.电子投标文件要求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（1）电子招标投标交易平台（即“苏采云”系统）相关要求是本招标文件的组成部分。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（2）投标人应对 CA 证书妥善保管，如被他人盗用投标，因此带来的结果均由投标人自行承担。</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（3）投标人应当对招标文件提出的要求和条件作出实质性响应，并在电子投标系统逐条应答。</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（4）投标人应对要求提供的资格证明文件（如资质证书、资格证书）、技术资料（如白皮书、彩页、手册、检测报告等）扫描上传至投标系统。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（十八）投标文件的盖章要求：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投标文件的盖章要求，以本文件第三章《投标资料表》中所提要求为准。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（十九）提交电子投标文件的截止时间注意事项。投标人应在招标文件要求的提交投标文件的截止时间前，将投标文件提交至“苏采云”系统。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（二十）凡在招标文件要求提交投标文件的截止时间之后提交的投标文件，均为无效投标文件，“苏采云”系统将自动拒收。各投标人应在规定时间内通过CA锁进行网上解密。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（二十二）本项目不允许分包。</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（二十三）投标人应当遵循公平竞争的原则，不得恶意串通，不得妨碍其他投标人的竞争行为，不得损害招标人或者其他投标人的合法权益。</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在评标过程中发现投标人有上述情形的，评标委员会应当认定其投标无效，并书面报告本级财政部门。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（二十四）有下列情形之一的，其投标无效。</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1.不同投标人的投标文件，由同一单位或者个人编制；</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2.不同投标人委托同一单位或者个人办理投标事宜；</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3.不同投标人的投标文件中，所载明的项目管理成员或联系人为同一人；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4.不同投标人的投标文件，异常一致或者投标报价呈规律性差异；</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5.不同投标人的投标文件相互混装；</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6.不同投标人投标文件内容存在非正常一致、项目组成员出现同一人、投标文件中错误（或异常）一致或雷同、电子文档信息一致或雷同的、投标报价呈规律性差异的；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7.电子投标文件未按规定期限投标的；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8.电子投标文件未按招标文件要求签章的；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9.投标人未在规定时间内解密电子投标文件的；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10.投标文件未按招标文件规定的内容和要求填写的；没有在投标系统指定位置上传对应文件、材料的。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11.不具备招标文件中规定的资格要求的；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12.报价超过招标文件中规定的预算金额或者最高限价的；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13.投标文件含有招标人不能接受的附加条件的；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14.法律、法规和招标文件规定的其他无效情形。</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（二十五）开标：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2.由电子招标投标交易平台主持，邀请投标人参加。</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所有投标单位使用 CA 证书在开标时间时，解密各自投标文件，由工作人员操作系统进行开标，投标人不足3家的，不得评标。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（二十六）公开招标采购项目开标结束后，招标人依法对投标人的资格进行审查。合格投标人不足3家的，不得评标。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1.评标工作由采购代理机构负责组织，并履行下列职责：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（1）核对评审专家身份和招标人代表授权函，对评审专家在政府采购活动中的职责履行情况予以记录，并及时将有关违法违规行为向财政部门报告；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（2）宣布评标纪律；</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（3）公布投标人名单，告知评审专家应当回避的情形；</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（4）组织评标委员会推选评标组长（招标人代表不得担任组长）；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（5）在评标期间采取必要的通讯管理措施，保证评标活动不受外界干扰；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（6）根据评标委员会的要求介绍政府采购相关政策法规、招标文件；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（7）维护评标秩序，监督评标委员会依照招标文件规定的评标程序、方法和标准进行独立评审。及时制止和纠正招标人代表、评审专家的倾向性言论或者违法违规行为；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（8）核对评标结果，对有《</w:t>
      </w:r>
      <w:r>
        <w:rPr>
          <w:rFonts w:hint="eastAsia" w:ascii="仿宋" w:hAnsi="仿宋" w:eastAsia="仿宋" w:cs="仿宋"/>
          <w:color w:val="auto"/>
          <w:sz w:val="28"/>
          <w:szCs w:val="28"/>
          <w:highlight w:val="none"/>
          <w:u w:val="none"/>
        </w:rPr>
        <w:fldChar w:fldCharType="begin"/>
      </w:r>
      <w:r>
        <w:rPr>
          <w:rFonts w:hint="eastAsia" w:ascii="仿宋" w:hAnsi="仿宋" w:eastAsia="仿宋" w:cs="仿宋"/>
          <w:color w:val="auto"/>
          <w:sz w:val="28"/>
          <w:szCs w:val="28"/>
          <w:highlight w:val="none"/>
          <w:u w:val="none"/>
        </w:rPr>
        <w:instrText xml:space="preserve"> HYPERLINK "http://www.caigou2003.com/" \o "http://www.caigou2003.com/" </w:instrText>
      </w:r>
      <w:r>
        <w:rPr>
          <w:rFonts w:hint="eastAsia" w:ascii="仿宋" w:hAnsi="仿宋" w:eastAsia="仿宋" w:cs="仿宋"/>
          <w:color w:val="auto"/>
          <w:sz w:val="28"/>
          <w:szCs w:val="28"/>
          <w:highlight w:val="none"/>
          <w:u w:val="none"/>
        </w:rPr>
        <w:fldChar w:fldCharType="separate"/>
      </w:r>
      <w:r>
        <w:rPr>
          <w:rStyle w:val="851"/>
          <w:rFonts w:hint="eastAsia" w:ascii="仿宋" w:hAnsi="仿宋" w:eastAsia="仿宋" w:cs="仿宋"/>
          <w:color w:val="auto"/>
          <w:sz w:val="28"/>
          <w:szCs w:val="28"/>
          <w:highlight w:val="none"/>
          <w:u w:val="none"/>
          <w:lang w:eastAsia="zh-CN"/>
        </w:rPr>
        <w:t xml:space="preserve">政府采购</w:t>
      </w:r>
      <w:r>
        <w:rPr>
          <w:rStyle w:val="851"/>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color w:val="auto"/>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（9）评审工作完成后，按照规定向评审专家支付劳务报酬和异地评审差旅费，不得向评审专家以外的其他人员支付评审劳务报酬；</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（10）处理与评标有关的其他事项。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招标人可以在评标前说明项目背景和采购需求，说明内容不得含有歧视性、倾向性意见，不得超出招标文件所述范围。其说明应当提交书面材料，并随采购文件一并存档。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2.评标委员会负责具体评标事务，并独立履行下列职责：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（1）审查、评价投标文件是否符合招标文件的商务、技术等实质性要求；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（2）要求投标人对投标文件有关事项作出澄清或者说明；</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（3）对投标文件进行比较和评价；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（4）确定中标候选人名单，以及根据招标人委托直接确定中标人；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（5）向招标人、采购代理机构或有关部门报告评标中发现的违法行为。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（二十七）评标方法分为最低评标价法和综合评分法。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（二十八）评标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1.评标工作程序：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（1）投标文件初审。</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①资格性审查。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②符合性审查。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（2）澄清有关问题。</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（3）比较与评价。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（4）推荐中标候选投标人名单。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（5）编写评审报告（评标报告）。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\o "http://lilun.caigou2003.com/recijiedu/2365668.html" </w:instrText>
      </w:r>
      <w:r>
        <w:rPr>
          <w:rFonts w:hint="eastAsia" w:ascii="仿宋" w:hAnsi="仿宋" w:eastAsia="仿宋" w:cs="仿宋"/>
          <w:color w:val="auto"/>
          <w:sz w:val="28"/>
          <w:szCs w:val="28"/>
          <w:highlight w:val="none"/>
        </w:rPr>
        <w:fldChar w:fldCharType="separate"/>
      </w:r>
      <w:r>
        <w:rPr>
          <w:rStyle w:val="851"/>
          <w:rFonts w:hint="eastAsia" w:ascii="仿宋" w:hAnsi="仿宋" w:eastAsia="仿宋" w:cs="仿宋"/>
          <w:color w:val="auto"/>
          <w:sz w:val="28"/>
          <w:szCs w:val="28"/>
          <w:highlight w:val="none"/>
          <w:lang w:eastAsia="zh-CN"/>
        </w:rPr>
        <w:t xml:space="preserve">最低评标价法</w:t>
      </w:r>
      <w:r>
        <w:rPr>
          <w:rStyle w:val="851"/>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\o "http://lilun.caigou2003.com/recijiedu/2365667.html" </w:instrText>
      </w:r>
      <w:r>
        <w:rPr>
          <w:rFonts w:hint="eastAsia" w:ascii="仿宋" w:hAnsi="仿宋" w:eastAsia="仿宋" w:cs="仿宋"/>
          <w:color w:val="auto"/>
          <w:sz w:val="28"/>
          <w:szCs w:val="28"/>
          <w:highlight w:val="none"/>
        </w:rPr>
        <w:fldChar w:fldCharType="separate"/>
      </w:r>
      <w:r>
        <w:rPr>
          <w:rStyle w:val="851"/>
          <w:rFonts w:hint="eastAsia" w:ascii="仿宋" w:hAnsi="仿宋" w:eastAsia="仿宋" w:cs="仿宋"/>
          <w:color w:val="auto"/>
          <w:sz w:val="28"/>
          <w:szCs w:val="28"/>
          <w:highlight w:val="none"/>
          <w:lang w:eastAsia="zh-CN"/>
        </w:rPr>
        <w:t xml:space="preserve">综合评分法</w:t>
      </w:r>
      <w:r>
        <w:rPr>
          <w:rStyle w:val="851"/>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非单一产品采购项目，多家投标人提供的核心产品品牌相同的，按前两款规定处理。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（二十九）投标文件报价出现前后不一致的，按照下列规定修正：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1.投标文件中开标一览表（报价表）内容与投标文件中相应内容不一致的，以开标一览表（报价表）为准；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2.大写金额和小写金额不一致的，以大写金额为准；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3.单价金额小数点或者百分比有明显错位的，以开标一览表的总价为准，并修改单价；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4.总价金额与按单价合计金额不一致的，以单价金额计算结果为准。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评标中需要投标人对投标文件澄清或者说明的，应当通过“苏采云”系统交换数据电文。在评标期间，请投标人保持在线。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评审过程中出现下列情形之一的，评审委员会应当启动异常低价投标(响应)审查程序:</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1.投标(响应)报价低于全部通过符合性审查供应商投标(响应)报价平均值50%的，即投标(响应)报价〈全部通过符合性审查供应商投标(响应)报价平均值X50%;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2.投标(响应)报价低于通过符合性审查的次低报价供应商投标(响应)报价50%的，即投标(响应)报价〈通过符合性审查的次低报价供应商投标(响应)报价X50%;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3.投标(响应)报价低于采购项目最高限价45%的，即投标(响应)报价&lt;采购项目最高限价X45%;</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4.评审委员会基于专业判断，认为供应商报价过低，有可能影响产品质量或者不能诚信履约的其他情形。</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启动异常低价投标（响应）审查后，</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应当通过“苏采云”系统要求相关供应商在合理的时间内，提供项目具体成本测算等与报价合理性相关的书面说明及相关证明材料，对投标（响应）价格作出解释，由</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（三十二）废标条款：</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出现下列情形之一的，应予废标。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1.符合专业条件的投标人或者对招标文件作实质响应的投标人不足三家的；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2.出现影响采购公正的违法、违规行为的；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3.投标人的报价均超过了采购预算，招标人不能支付的；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4.因重大变故，采购任务取消的。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六、定标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（三十三）采购代理机构应当在评标结束后2个工作日内将评标报告送招标人。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（三十四）招标人应当自收到评标报告之日起5个工作日内，在评标报告确定的中标候选人名单中按顺序确定中标人。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五）招标人有权对投标人投标文件的真实性进行核实，如果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七、政府采购合同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（三十六）签订政府采购合同（合同签订方式）：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1.招标人应当自中标通知书发出之日起30日内，按照招标文件和中标人投标文件的规定，与中标人签订书面合同。所签订的合同不得对招标文件确定的事项和中标人投标文件作实质性修改。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招标人不得向中标人提出任何不合理的要求作为签订合同的条件。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招标人可以按照评审报告推荐的中标或者成交候选人名单排序，确定下一个候选人为中标或者成交投标人，也可以重新开展政府采购活动。</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（三十七）招标人与中标人应当根据合同的约定依法履行合同义务。政府采购合同的履行、违约责任和解决争议的方法等，按《中华人民共和国民法典》相关条款执行。</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（三十八）履约保证金：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1.中标人应在政府采购合同签订后，向招标人提交本文件第三章《投标资料表》中规定金额的履约保证金。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2.如果中标人没有遵守本章（三十八）1 或本章（三十九） 的规定，采购代理机构有权取消该中标决定。在此情况下，招标人可以与排位在中标人之后第一位的中标候选人签订政府采购合同，以此类推。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3.中标人凭招标人出具的合同履行完毕证明材料及收款收据办理履约保证金退付手续。履约保证金在招标人处存放期间，不计利息。</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（三十九）腐败和欺诈行为：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1.采购代理机构、招标人、投标人等参与招投标的各方，均应在招标、采购、合同执行等过程中保持廉洁和最高的道德水准。</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（1）腐败和欺诈行为的含义：</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（2）如果被推荐的中标人有腐败和欺诈行为，将取消其中标资格。</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八、询问和质疑</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（四十）询问和质疑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九、电子招标投标交易平台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"http://jszfcg.jsczt.cn/" \o "http://jszfcg.jsczt.cn/" </w:instrText>
      </w:r>
      <w:r>
        <w:rPr>
          <w:rFonts w:hint="eastAsia" w:ascii="仿宋" w:hAnsi="仿宋" w:eastAsia="仿宋" w:cs="仿宋"/>
          <w:color w:val="auto"/>
          <w:sz w:val="28"/>
          <w:szCs w:val="28"/>
          <w:highlight w:val="none"/>
        </w:rPr>
        <w:fldChar w:fldCharType="separate"/>
      </w:r>
      <w:r>
        <w:rPr>
          <w:rStyle w:val="851"/>
          <w:rFonts w:hint="eastAsia" w:ascii="仿宋" w:hAnsi="仿宋" w:eastAsia="仿宋" w:cs="仿宋"/>
          <w:color w:val="auto"/>
          <w:sz w:val="28"/>
          <w:szCs w:val="28"/>
          <w:highlight w:val="none"/>
          <w:u w:val="none"/>
        </w:rPr>
        <w:t xml:space="preserve">http://jszfcg.jsczt.cn/</w:t>
      </w:r>
      <w:r>
        <w:rPr>
          <w:rStyle w:val="851"/>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jc w:val="center"/>
        <w:spacing w:after="0" w:line="40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2"/>
          <w:szCs w:val="24"/>
          <w:highlight w:val="none"/>
          <w:lang w:eastAsia="zh-CN"/>
        </w:rPr>
        <w:t xml:space="preserve">第三章  投标资料表</w:t>
      </w:r>
      <w:r/>
    </w:p>
    <w:p>
      <w:pPr>
        <w:ind w:firstLine="600"/>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25"/>
      </w:tblGrid>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条款项号</w:t>
            </w:r>
            <w:r/>
          </w:p>
        </w:tc>
        <w:tc>
          <w:tcPr>
            <w:tcMar>
              <w:left w:w="108" w:type="dxa"/>
              <w:top w:w="0" w:type="dxa"/>
              <w:right w:w="108" w:type="dxa"/>
              <w:bottom w:w="0" w:type="dxa"/>
            </w:tcMar>
            <w:tcW w:w="662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内    容</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总则</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本项目招标人：江苏睢宁经济开发区管理委员会</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招标人确定的采购项目属性：</w:t>
            </w:r>
            <w:r>
              <w:rPr>
                <w:rFonts w:hint="eastAsia" w:ascii="仿宋" w:hAnsi="仿宋" w:eastAsia="仿宋" w:cs="仿宋"/>
                <w:color w:val="auto"/>
                <w:sz w:val="28"/>
                <w:highlight w:val="none"/>
                <w:lang w:val="en-US" w:eastAsia="zh-CN"/>
              </w:rPr>
              <w:t xml:space="preserve">服务</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本项目采购代理机构：江苏东科建设项目管理有限公司</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(六)</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投标人的资格条件：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一、符合《中华人民共和国政府采购法》第二十二条的规定。</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w:t>
            </w:r>
            <w:r>
              <w:rPr>
                <w:rFonts w:hint="eastAsia" w:ascii="仿宋" w:hAnsi="仿宋" w:eastAsia="仿宋" w:cs="仿宋"/>
                <w:b/>
                <w:bCs/>
                <w:color w:val="auto"/>
                <w:sz w:val="28"/>
                <w:highlight w:val="none"/>
                <w:lang w:eastAsia="zh-CN"/>
              </w:rPr>
              <w:t xml:space="preserve">本项目</w:t>
            </w:r>
            <w:r>
              <w:rPr>
                <w:rFonts w:hint="eastAsia" w:ascii="仿宋" w:hAnsi="仿宋" w:eastAsia="仿宋" w:cs="仿宋"/>
                <w:b/>
                <w:bCs/>
                <w:color w:val="auto"/>
                <w:sz w:val="28"/>
                <w:highlight w:val="none"/>
                <w:lang w:val="en-US" w:eastAsia="zh-CN"/>
              </w:rPr>
              <w:t xml:space="preserve">不属于专门面向中小微企业采购的项目</w:t>
            </w:r>
            <w:r>
              <w:rPr>
                <w:rFonts w:hint="eastAsia" w:ascii="仿宋" w:hAnsi="仿宋" w:eastAsia="仿宋" w:cs="仿宋"/>
                <w:b/>
                <w:bCs/>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一、本项目不接受联合体参与采购活动。</w:t>
            </w:r>
            <w:r/>
          </w:p>
          <w:p>
            <w:pPr>
              <w:ind w:left="560" w:hanging="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二、单位负责人为同一人或者存在直接控股、管理关系的不同投标人，不得参加同一合同项下的政府采购活动。</w:t>
            </w:r>
            <w:r/>
          </w:p>
          <w:p>
            <w:pPr>
              <w:ind w:left="560" w:hanging="56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三、为本采购项目提供整体设计、规范编制或者项目管理、监理、检测等服务的投标人，不得再参加本采购项目的采购活动。</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四、查询及使用投标人信用记录：</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(一)由招标人查询信用信息。</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(二)查询渠道包括：</w:t>
            </w:r>
            <w:r/>
          </w:p>
          <w:p>
            <w:pPr>
              <w:contextualSpacing w:val="0"/>
              <w:ind w:left="709" w:firstLine="0"/>
              <w:jc w:val="left"/>
              <w:keepLines/>
              <w:keepNex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highlight w:val="none"/>
              </w:rPr>
              <w:t xml:space="preserve">1.“信用中国”</w:t>
            </w:r>
            <w:r>
              <w:rPr>
                <w:rFonts w:hint="eastAsia" w:ascii="仿宋" w:hAnsi="仿宋" w:eastAsia="仿宋" w:cs="仿宋"/>
                <w:color w:val="auto"/>
                <w:sz w:val="28"/>
                <w:szCs w:val="28"/>
                <w:highlight w:val="none"/>
              </w:rPr>
              <w:t xml:space="preserve">网</w:t>
            </w:r>
            <w:r>
              <w:rPr>
                <w:rFonts w:hint="eastAsia" w:ascii="仿宋" w:hAnsi="仿宋" w:eastAsia="仿宋" w:cs="仿宋"/>
                <w:color w:val="auto"/>
                <w:sz w:val="28"/>
                <w:szCs w:val="28"/>
                <w:highlight w:val="none"/>
              </w:rPr>
              <w:t xml:space="preserve">（www.creditchina.gov.cn）；</w:t>
            </w:r>
            <w:r>
              <w:rPr>
                <w:rFonts w:hint="eastAsia" w:ascii="仿宋" w:hAnsi="仿宋" w:eastAsia="仿宋" w:cs="仿宋"/>
                <w:color w:val="auto"/>
                <w:sz w:val="28"/>
                <w:szCs w:val="28"/>
                <w:highlight w:val="none"/>
              </w:rPr>
            </w:r>
            <w:r/>
          </w:p>
          <w:p>
            <w:pPr>
              <w:ind w:firstLine="700"/>
              <w:jc w:val="lef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51"/>
                <w:rFonts w:hint="eastAsia" w:ascii="仿宋" w:hAnsi="仿宋" w:eastAsia="仿宋" w:cs="仿宋"/>
                <w:color w:val="auto"/>
                <w:sz w:val="28"/>
                <w:highlight w:val="none"/>
                <w:u w:val="none"/>
              </w:rPr>
              <w:t xml:space="preserve">www.ccgp.gov.cn</w:t>
            </w:r>
            <w:r>
              <w:rPr>
                <w:rStyle w:val="851"/>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left="709"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3.“信用江苏”网     （www.jscredit.gov.cn）；</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4.“信用中国（江苏徐州）”网</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851"/>
                <w:rFonts w:hint="eastAsia" w:ascii="仿宋" w:hAnsi="仿宋" w:eastAsia="仿宋" w:cs="仿宋"/>
                <w:color w:val="auto"/>
                <w:sz w:val="28"/>
                <w:highlight w:val="none"/>
                <w:u w:val="none"/>
              </w:rPr>
              <w:t xml:space="preserve">http://www.xuzhoucredit.gov.cn</w:t>
            </w:r>
            <w:r>
              <w:rPr>
                <w:rStyle w:val="851"/>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(三)截止时点（查询环节）：评标结束前。</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(四)信用信息查询记录和证据留存的具体方式：网页截屏打印，与其他采购文件一并保存。</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(五)信用信息的使用规则：</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招标代理服务费由中标人支付，标准见《招标代理服务收费标准》（见附件）。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5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(九)2</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投标人应根据实际需要自行联系踏勘现场，并对相关数据、要求进行确认，责任和风险自行承担。</w:t>
            </w:r>
            <w:r/>
          </w:p>
        </w:tc>
      </w:tr>
      <w:tr>
        <w:trPr>
          <w:jc w:val="center"/>
          <w:trHeight w:val="479"/>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不安排开标前答疑会。</w:t>
            </w:r>
            <w:r/>
          </w:p>
        </w:tc>
      </w:tr>
      <w:tr>
        <w:trPr>
          <w:jc w:val="center"/>
          <w:trHeight w:val="528"/>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(十一)</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投标文件的语言为中文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(十二)2</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(十三)2</w:t>
            </w:r>
            <w:r/>
          </w:p>
        </w:tc>
        <w:tc>
          <w:tcPr>
            <w:tcMar>
              <w:left w:w="108" w:type="dxa"/>
              <w:top w:w="0" w:type="dxa"/>
              <w:right w:w="108" w:type="dxa"/>
              <w:bottom w:w="0" w:type="dxa"/>
            </w:tcMar>
            <w:tcW w:w="6625" w:type="dxa"/>
            <w:vMerge w:val="restart"/>
            <w:textDirection w:val="lrTb"/>
            <w:noWrap w:val="false"/>
          </w:tcPr>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线上</w:t>
            </w:r>
            <w:r>
              <w:rPr>
                <w:rFonts w:hint="eastAsia" w:ascii="仿宋" w:hAnsi="仿宋" w:eastAsia="仿宋" w:cs="仿宋"/>
                <w:sz w:val="28"/>
                <w:szCs w:val="28"/>
                <w:highlight w:val="none"/>
              </w:rPr>
              <w:t xml:space="preserve">投标文件编制要求：</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请按照以下要求（包括但不限于以下要求）制作：</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一、基本目录</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1.《开标一览表》（电子签章，政府采购客户端工具输入报价自动生成）；</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2.投标人认为需要提供的其他材料（如有）。</w:t>
            </w:r>
            <w:r/>
          </w:p>
          <w:p>
            <w:p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二、资格条件（1-</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必须提供，否则投标无效）</w:t>
            </w:r>
            <w:r/>
          </w:p>
          <w:p>
            <w:pPr>
              <w:ind w:left="0" w:right="0" w:firstLine="520"/>
              <w:keepLines w:val="0"/>
              <w:keepNext w:val="0"/>
              <w:spacing w:before="0" w:beforeAutospacing="0" w:after="0" w:afterAutospacing="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1.</w:t>
            </w:r>
            <w:r>
              <w:rPr>
                <w:rFonts w:hint="eastAsia" w:ascii="仿宋" w:hAnsi="仿宋" w:eastAsia="仿宋" w:cs="宋体"/>
                <w:b/>
                <w:bCs/>
                <w:sz w:val="28"/>
                <w:szCs w:val="28"/>
                <w:highlight w:val="none"/>
              </w:rPr>
              <w:t xml:space="preserve">具有独立承担民事责任的能力：</w:t>
            </w:r>
            <w:r>
              <w:rPr>
                <w:rFonts w:hint="eastAsia" w:ascii="仿宋" w:hAnsi="仿宋" w:eastAsia="仿宋" w:cs="宋体"/>
                <w:bCs/>
                <w:sz w:val="28"/>
                <w:szCs w:val="28"/>
                <w:highlight w:val="none"/>
              </w:rPr>
              <w:t xml:space="preserve">提供</w:t>
            </w:r>
            <w:r>
              <w:rPr>
                <w:rFonts w:hint="eastAsia" w:ascii="仿宋" w:hAnsi="仿宋" w:eastAsia="仿宋" w:cs="仿宋"/>
                <w:sz w:val="28"/>
                <w:szCs w:val="28"/>
                <w:highlight w:val="none"/>
              </w:rPr>
              <w:t xml:space="preserve">投标人合法有效的法人或者其他组织的营业执照等证明文件，自然人的身份证明，以上证明文件提供原件的扫描件。</w:t>
            </w:r>
            <w:bookmarkStart w:id="3" w:name="OLE_LINK5"/>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w:t>
            </w:r>
            <w:r>
              <w:rPr>
                <w:rFonts w:hint="eastAsia" w:ascii="仿宋" w:hAnsi="仿宋" w:eastAsia="仿宋" w:cs="宋体"/>
                <w:b/>
                <w:bCs/>
                <w:sz w:val="28"/>
                <w:szCs w:val="28"/>
                <w:highlight w:val="none"/>
              </w:rPr>
              <w:t xml:space="preserve">具有良好的商业信誉和健全的财务会计制度：</w:t>
            </w:r>
            <w:bookmarkEnd w:id="3"/>
            <w:r/>
            <w:bookmarkStart w:id="4" w:name="OLE_LINK6"/>
            <w:r>
              <w:rPr>
                <w:rFonts w:hint="eastAsia" w:ascii="仿宋" w:hAnsi="仿宋" w:eastAsia="仿宋" w:cs="仿宋"/>
                <w:sz w:val="28"/>
                <w:szCs w:val="28"/>
                <w:highlight w:val="none"/>
              </w:rPr>
              <w:t xml:space="preserve">即提供投标人的本项目开标时间前6个月内（不含开标当月）任何时间的资产负债表、利润表各一份或提供投标人上年度财务报告或投标人的本项目开标时间前6个月内（不含开标当月）银行出具的资信证明扫描件</w:t>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3.</w:t>
            </w:r>
            <w:r>
              <w:rPr>
                <w:rFonts w:hint="eastAsia" w:ascii="仿宋" w:hAnsi="仿宋" w:eastAsia="仿宋" w:cs="宋体"/>
                <w:b/>
                <w:bCs/>
                <w:sz w:val="28"/>
                <w:szCs w:val="28"/>
                <w:highlight w:val="none"/>
              </w:rPr>
              <w:t xml:space="preserve">有依法缴纳税收和社会保障资金的良好记录：</w:t>
            </w:r>
            <w:bookmarkEnd w:id="4"/>
            <w:r>
              <w:rPr>
                <w:rFonts w:hint="eastAsia" w:ascii="仿宋" w:hAnsi="仿宋" w:eastAsia="仿宋" w:cs="仿宋"/>
                <w:sz w:val="28"/>
                <w:szCs w:val="28"/>
                <w:highlight w:val="none"/>
              </w:rPr>
              <w:t xml:space="preserve">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ind w:left="0" w:right="28" w:firstLine="522"/>
              <w:keepLines w:val="0"/>
              <w:keepNext w:val="0"/>
              <w:spacing w:before="0" w:beforeAutospacing="0" w:after="0" w:afterAutospacing="0"/>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b/>
                <w:bCs/>
                <w:sz w:val="28"/>
                <w:szCs w:val="28"/>
                <w:highlight w:val="none"/>
              </w:rPr>
              <w:t xml:space="preserve">4.</w:t>
            </w:r>
            <w:r>
              <w:rPr>
                <w:rFonts w:hint="eastAsia" w:ascii="仿宋" w:hAnsi="仿宋" w:eastAsia="仿宋" w:cs="宋体"/>
                <w:b/>
                <w:bCs/>
                <w:sz w:val="28"/>
                <w:szCs w:val="28"/>
                <w:highlight w:val="none"/>
              </w:rPr>
              <w:t xml:space="preserve">具备履行合同所必需的设备和专业技术能力的证明材料：</w:t>
            </w:r>
            <w:r>
              <w:rPr>
                <w:rFonts w:hint="eastAsia" w:ascii="仿宋" w:hAnsi="仿宋" w:eastAsia="仿宋" w:cs="宋体"/>
                <w:sz w:val="28"/>
                <w:szCs w:val="28"/>
                <w:highlight w:val="none"/>
              </w:rPr>
              <w:t xml:space="preserve">即投标文件中提供《具备履行合同所必需的设备和专业技术能力的书面声明（附证明材料）（加盖电子签章，格式见本文件第七章《投标文件相关格式》</w:t>
            </w:r>
            <w:r>
              <w:rPr>
                <w:rFonts w:hint="eastAsia" w:ascii="仿宋" w:hAnsi="仿宋" w:eastAsia="仿宋" w:cs="仿宋"/>
                <w:sz w:val="28"/>
                <w:szCs w:val="28"/>
                <w:highlight w:val="none"/>
              </w:rPr>
              <w:t xml:space="preserve">）；</w:t>
            </w:r>
            <w:r/>
          </w:p>
          <w:p>
            <w:pPr>
              <w:ind w:firstLine="280"/>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5</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投标人参加政府采购活动前3年内在经营活动中没有重大违法记录的书面声明，加盖</w:t>
            </w:r>
            <w:r>
              <w:rPr>
                <w:rFonts w:hint="eastAsia" w:ascii="仿宋" w:hAnsi="仿宋" w:eastAsia="仿宋" w:cs="宋体"/>
                <w:b/>
                <w:sz w:val="28"/>
                <w:szCs w:val="28"/>
                <w:highlight w:val="none"/>
              </w:rPr>
              <w:t xml:space="preserve">电子签章</w:t>
            </w:r>
            <w:r>
              <w:rPr>
                <w:rFonts w:hint="eastAsia" w:ascii="仿宋" w:hAnsi="仿宋" w:eastAsia="仿宋" w:cs="宋体"/>
                <w:sz w:val="28"/>
                <w:szCs w:val="28"/>
                <w:highlight w:val="none"/>
              </w:rPr>
              <w:t xml:space="preserve">，格式见本文件第七章《投标文件相关格式》。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三、符合条件（必须提供，否则投标无效）</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(一)报价</w:t>
            </w:r>
            <w:r/>
          </w:p>
          <w:p>
            <w:pPr>
              <w:ind w:left="0" w:right="0" w:firstLine="52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宋体"/>
                <w:bCs/>
                <w:sz w:val="26"/>
                <w:szCs w:val="26"/>
                <w:highlight w:val="none"/>
              </w:rPr>
              <w:t xml:space="preserve">1</w:t>
            </w:r>
            <w:bookmarkStart w:id="5" w:name="OLE_LINK8"/>
            <w:r>
              <w:rPr>
                <w:rFonts w:hint="eastAsia" w:ascii="仿宋" w:hAnsi="仿宋" w:eastAsia="仿宋" w:cs="宋体"/>
                <w:bCs/>
                <w:sz w:val="26"/>
                <w:szCs w:val="26"/>
                <w:highlight w:val="none"/>
                <w:lang w:eastAsia="zh-CN"/>
              </w:rPr>
              <w:t xml:space="preserve">.</w:t>
            </w:r>
            <w:r>
              <w:rPr>
                <w:rFonts w:hint="eastAsia" w:ascii="仿宋" w:hAnsi="仿宋" w:eastAsia="仿宋" w:cs="宋体"/>
                <w:bCs/>
                <w:sz w:val="26"/>
                <w:szCs w:val="26"/>
                <w:highlight w:val="none"/>
              </w:rPr>
              <w:t xml:space="preserve">《开标一览表》</w:t>
            </w:r>
            <w:bookmarkEnd w:id="5"/>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（二）商务资信</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《投标函》（加盖电子签章，格式见招标文件第七章《投标文件相关格式》。）；</w:t>
            </w:r>
            <w:r/>
          </w:p>
          <w:p>
            <w:pPr>
              <w:ind w:left="0" w:right="0" w:firstLine="520"/>
              <w:keepLines w:val="0"/>
              <w:keepNext w:val="0"/>
              <w:spacing w:before="0" w:beforeAutospacing="0" w:after="0" w:afterAutospacing="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《授权委托书》（加盖电子签章，格式见招标文件第七章《投标文件相关格式》）；</w:t>
            </w:r>
            <w:r>
              <w:rPr>
                <w:rFonts w:hint="eastAsia" w:ascii="仿宋" w:hAnsi="仿宋" w:eastAsia="仿宋" w:cs="仿宋"/>
                <w:b/>
                <w:bCs/>
                <w:sz w:val="28"/>
                <w:szCs w:val="28"/>
                <w:highlight w:val="none"/>
              </w:rPr>
              <w:t xml:space="preserve">（必须提供，否则在符合性审查时按照投标无效处理）</w:t>
            </w:r>
            <w:r/>
          </w:p>
          <w:p>
            <w:pPr>
              <w:ind w:left="0" w:right="0" w:firstLine="520"/>
              <w:keepLines w:val="0"/>
              <w:keepNext w:val="0"/>
              <w:spacing w:before="0" w:beforeAutospacing="0" w:after="0" w:afterAutospacing="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承诺书</w:t>
            </w:r>
            <w:r>
              <w:rPr>
                <w:rFonts w:hint="eastAsia" w:ascii="仿宋" w:hAnsi="仿宋" w:eastAsia="仿宋" w:cs="仿宋"/>
                <w:sz w:val="28"/>
                <w:szCs w:val="28"/>
                <w:highlight w:val="none"/>
              </w:rPr>
              <w:t xml:space="preserve">》（加盖电子签章，格式见招标文件第七章《投标文件相关格式》）</w:t>
            </w:r>
            <w:r>
              <w:rPr>
                <w:rFonts w:hint="eastAsia" w:ascii="仿宋" w:hAnsi="仿宋" w:eastAsia="仿宋" w:cs="仿宋"/>
                <w:sz w:val="28"/>
                <w:szCs w:val="28"/>
                <w:highlight w:val="none"/>
                <w:lang w:eastAsia="zh-CN"/>
              </w:rPr>
              <w:t xml:space="preserve">。</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（三）技术响应</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1.《偏离表》（加盖电子签章，格式见招标文件第七章《投标文件相关格式》。）</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四、综合评审评分项</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（一）技术部分</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（二）商务部分</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widowControl w:val="off"/>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五、价格折扣文件格式：</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4"/>
                <w:highlight w:val="none"/>
                <w:lang w:eastAsia="zh-CN"/>
              </w:rPr>
              <w:t xml:space="preserve">投标人如为中小企业，提供《中小企业声明函》（填写完整，加盖电子签章，格式见《第七章 投标文件相关格式》）如不填写完整，《中小企业声明函》视为无效）。《中小企业声明函》查询渠道参考工业和信息化部发布的中小企业规模自测小程序</w:t>
            </w:r>
            <w:r>
              <w:rPr>
                <w:rFonts w:hint="default" w:ascii="仿宋" w:hAnsi="仿宋" w:eastAsia="仿宋" w:cs="仿宋"/>
                <w:color w:val="000000"/>
                <w:sz w:val="28"/>
                <w:szCs w:val="24"/>
                <w:highlight w:val="none"/>
                <w:lang w:eastAsia="zh-CN"/>
              </w:rPr>
              <w:t xml:space="preserve">；</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注：中小微企业，应当同时符合以下条件：</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投标人为残疾人福利性单位的，视同小微企业，提供《残疾人福利性单位声明函》（电子签章，格式见附件》）。具体以《关于促进残疾人就业政府采购政策的通知》（财库〔2017〕141号）的规定为准。</w:t>
            </w:r>
            <w:r/>
          </w:p>
          <w:p>
            <w:pPr>
              <w:jc w:val="both"/>
              <w:spacing w:after="0" w:line="40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注：</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1.投标人应对以上文件的合法性、真实性负责。</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7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c>
          <w:tcPr>
            <w:tcMar>
              <w:left w:w="108" w:type="dxa"/>
              <w:top w:w="0" w:type="dxa"/>
              <w:right w:w="108" w:type="dxa"/>
              <w:bottom w:w="0" w:type="dxa"/>
            </w:tcMar>
            <w:tcW w:w="6625" w:type="dxa"/>
            <w:vMerge w:val="continue"/>
            <w:textDirection w:val="lrTb"/>
            <w:noWrap w:val="false"/>
          </w:tcPr>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(十四)</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本项目不接受超过</w:t>
            </w:r>
            <w:r>
              <w:rPr>
                <w:rFonts w:hint="eastAsia" w:ascii="仿宋" w:hAnsi="仿宋" w:eastAsia="仿宋" w:cs="仿宋"/>
                <w:b/>
                <w:bCs/>
                <w:color w:val="auto"/>
                <w:sz w:val="28"/>
                <w:highlight w:val="none"/>
                <w:lang w:val="en-US" w:eastAsia="zh-CN"/>
              </w:rPr>
              <w:t xml:space="preserve">162</w:t>
            </w:r>
            <w:r>
              <w:rPr>
                <w:rFonts w:hint="eastAsia" w:ascii="仿宋" w:hAnsi="仿宋" w:eastAsia="仿宋" w:cs="仿宋"/>
                <w:b/>
                <w:bCs/>
                <w:color w:val="auto"/>
                <w:sz w:val="28"/>
                <w:highlight w:val="none"/>
                <w:lang w:eastAsia="zh-CN"/>
              </w:rPr>
              <w:t xml:space="preserve">万元（采购项目预算金额）的投标报价。</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报价应包括符合采购需求和施工场地所需的所有材料费、人工费、设备租赁及使用费、安全文明施工费、税费等。采购人不再支付报价以外的任何费用。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以人民币报价。</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投标人应当通过“苏采云”系统提交数据电文形式的投标文件（即电子投标）。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特别说明：通过“苏采云”系统提交政府采购客户端工具导出加密的投标文件（后缀名为zip）。投标文件不得超过150M！</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说明：本项目采用线上投标，即投标人投标文件从政府采购客户端工具制作通过“苏采云”系统提交，未提供线上投标文件的，投标无效。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(十八)</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线上投标文件的密封、签署、盖章要求：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一、投标文件的密封（加密）要求：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二、投标文件的签署要求：见招标文件第七章《投标文件相关格式》。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说明：投标人应</w:t>
            </w:r>
            <w:r>
              <w:rPr>
                <w:rFonts w:hint="eastAsia" w:ascii="仿宋" w:hAnsi="仿宋" w:eastAsia="仿宋" w:cs="仿宋"/>
                <w:color w:val="auto"/>
                <w:sz w:val="28"/>
                <w:highlight w:val="none"/>
                <w:lang w:val="en-US" w:eastAsia="zh-CN"/>
              </w:rPr>
              <w:t xml:space="preserve">使用</w:t>
            </w:r>
            <w:r>
              <w:rPr>
                <w:rFonts w:hint="eastAsia" w:ascii="仿宋" w:hAnsi="仿宋" w:eastAsia="仿宋" w:cs="仿宋"/>
                <w:color w:val="auto"/>
                <w:sz w:val="28"/>
                <w:highlight w:val="none"/>
                <w:lang w:eastAsia="zh-CN"/>
              </w:rPr>
              <w:t xml:space="preserve">CA数字证书以及自备的能够登录“苏采云”系统的笔记本电脑，在达到开标时间后，使用CA数字证书解密各自投标文件。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投标人未按规定加密的投标文件，“苏采云”系统应当拒收并提示。</w:t>
            </w:r>
            <w:r/>
          </w:p>
        </w:tc>
      </w:tr>
      <w:tr>
        <w:trPr>
          <w:jc w:val="center"/>
          <w:trHeight w:val="767"/>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(十九)</w:t>
            </w:r>
            <w:r/>
          </w:p>
        </w:tc>
        <w:tc>
          <w:tcPr>
            <w:tcMar>
              <w:left w:w="108" w:type="dxa"/>
              <w:top w:w="0" w:type="dxa"/>
              <w:right w:w="108" w:type="dxa"/>
              <w:bottom w:w="0" w:type="dxa"/>
            </w:tcMar>
            <w:tcW w:w="6625" w:type="dxa"/>
            <w:textDirection w:val="lrTb"/>
            <w:noWrap w:val="false"/>
          </w:tcPr>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投标文件的提交：</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1.投标文件提交时间：</w:t>
            </w:r>
            <w:r>
              <w:rPr>
                <w:rFonts w:hint="eastAsia" w:ascii="仿宋" w:hAnsi="仿宋" w:eastAsia="仿宋" w:cs="仿宋"/>
                <w:color w:val="auto"/>
                <w:sz w:val="28"/>
                <w:szCs w:val="28"/>
                <w:highlight w:val="none"/>
                <w:lang w:val="en-US" w:eastAsia="zh-CN"/>
              </w:rPr>
              <w:t xml:space="preserve">2026年04月10日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highlight w:val="none"/>
                <w:lang w:eastAsia="zh-CN"/>
              </w:rPr>
              <w:t xml:space="preserve">前。</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2.投标截止时间：</w:t>
            </w:r>
            <w:r>
              <w:rPr>
                <w:rFonts w:hint="eastAsia" w:ascii="仿宋" w:hAnsi="仿宋" w:eastAsia="仿宋" w:cs="仿宋"/>
                <w:color w:val="auto"/>
                <w:sz w:val="28"/>
                <w:szCs w:val="28"/>
                <w:highlight w:val="none"/>
                <w:lang w:val="en-US" w:eastAsia="zh-CN"/>
              </w:rPr>
              <w:t xml:space="preserve">2026年04月10日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开标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w:t>
            </w:r>
            <w:r/>
          </w:p>
        </w:tc>
        <w:tc>
          <w:tcPr>
            <w:tcMar>
              <w:left w:w="108" w:type="dxa"/>
              <w:top w:w="0" w:type="dxa"/>
              <w:right w:w="108" w:type="dxa"/>
              <w:bottom w:w="0" w:type="dxa"/>
            </w:tcMar>
            <w:tcW w:w="6625" w:type="dxa"/>
            <w:textDirection w:val="lrTb"/>
            <w:noWrap w:val="false"/>
          </w:tcPr>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开标时间及地点：</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1.开标时间：</w:t>
            </w:r>
            <w:r>
              <w:rPr>
                <w:rFonts w:hint="eastAsia" w:ascii="仿宋" w:hAnsi="仿宋" w:eastAsia="仿宋" w:cs="仿宋"/>
                <w:color w:val="auto"/>
                <w:sz w:val="28"/>
                <w:szCs w:val="28"/>
                <w:highlight w:val="none"/>
                <w:lang w:val="en-US" w:eastAsia="zh-CN"/>
              </w:rPr>
              <w:t xml:space="preserve">2026年04月10日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30"/>
                <w:highlight w:val="none"/>
                <w:lang w:eastAsia="zh-CN"/>
              </w:rPr>
              <w:t xml:space="preserve">  </w:t>
            </w:r>
            <w:r>
              <w:rPr>
                <w:rFonts w:hint="eastAsia" w:ascii="仿宋" w:hAnsi="仿宋" w:eastAsia="仿宋" w:cs="仿宋"/>
                <w:color w:val="auto"/>
                <w:sz w:val="28"/>
                <w:highlight w:val="none"/>
                <w:lang w:eastAsia="zh-CN"/>
              </w:rPr>
              <w:t xml:space="preserve">（标准时间）</w:t>
            </w:r>
            <w:r/>
          </w:p>
          <w:p>
            <w:pPr>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2.开标地点：“苏采云”系统（网址：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评标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采用综合评分法。</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(二十八)1（4）</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评委推荐中标候选投标人数量为</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3名。中标候选投标人数量应当根据采购需要确定，但必须按顺序排列中标候选投标人。</w:t>
            </w:r>
            <w:r/>
          </w:p>
          <w:p>
            <w:pPr>
              <w:jc w:val="both"/>
              <w:spacing w:after="0" w:line="400" w:lineRule="exac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采用综合评分法的，按评审后得分由高到低顺序排列。得分相同的，按投标报价由低到高顺序排列。得分且投标报价相同的，按技术服务方案得分顺序排列。</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（二十九）</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1.评标中需要投标人对投标文件澄清或者说明的，应当通过“苏采云”系统交换数据电文。在评标期间，请投标人保持在线。</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政府采购合同</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(三十</w:t>
            </w:r>
            <w:r>
              <w:rPr>
                <w:rFonts w:hint="eastAsia" w:ascii="仿宋" w:hAnsi="仿宋" w:eastAsia="仿宋" w:cs="仿宋"/>
                <w:color w:val="auto"/>
                <w:sz w:val="28"/>
                <w:highlight w:val="none"/>
                <w:lang w:eastAsia="zh-CN"/>
              </w:rPr>
              <w:t xml:space="preserve">六</w:t>
            </w:r>
            <w:r>
              <w:rPr>
                <w:rFonts w:hint="eastAsia" w:ascii="仿宋" w:hAnsi="仿宋" w:eastAsia="仿宋" w:cs="仿宋"/>
                <w:color w:val="auto"/>
                <w:sz w:val="28"/>
                <w:highlight w:val="none"/>
              </w:rPr>
              <w:t xml:space="preserve">)1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招标人与中标、成交投标人应当在中标、成交通知书发出之日起30日内，按照采购文件确定的事项签订政府采购合同。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665" w:type="dxa"/>
            <w:textDirection w:val="lrTb"/>
            <w:noWrap w:val="false"/>
          </w:tcPr>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（三十八）</w:t>
            </w:r>
            <w:r/>
          </w:p>
        </w:tc>
        <w:tc>
          <w:tcPr>
            <w:tcMar>
              <w:left w:w="108" w:type="dxa"/>
              <w:top w:w="0" w:type="dxa"/>
              <w:right w:w="108" w:type="dxa"/>
              <w:bottom w:w="0" w:type="dxa"/>
            </w:tcMar>
            <w:tcW w:w="6625" w:type="dxa"/>
            <w:textDirection w:val="lrTb"/>
            <w:noWrap w:val="false"/>
          </w:tcPr>
          <w:p>
            <w:pPr>
              <w:ind w:left="0" w:right="0"/>
              <w:keepLines w:val="0"/>
              <w:keepNext w:val="0"/>
              <w:spacing w:before="0" w:beforeAutospacing="0" w:after="0" w:afterAutospacing="0" w:line="400" w:lineRule="exact"/>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履约保证金：</w:t>
            </w:r>
            <w:r/>
          </w:p>
          <w:p>
            <w:pPr>
              <w:ind w:left="0" w:right="0" w:firstLine="560"/>
              <w:keepLines w:val="0"/>
              <w:keepNext w:val="0"/>
              <w:spacing w:before="0" w:beforeAutospacing="0" w:after="0" w:afterAutospacing="0" w:line="40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履约保证金金额为中标金额的百分之五（5%）</w:t>
            </w:r>
            <w:r/>
          </w:p>
          <w:p>
            <w:pPr>
              <w:jc w:val="both"/>
              <w:spacing w:after="0" w:line="400" w:lineRule="exact"/>
              <w:rPr>
                <w:rFonts w:hint="default" w:ascii="仿宋" w:hAnsi="仿宋" w:eastAsia="仿宋" w:cs="仿宋"/>
                <w:color w:val="auto"/>
                <w:sz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中标人应在政府采购合同签订后</w:t>
            </w:r>
            <w:r>
              <w:rPr>
                <w:rFonts w:hint="eastAsia" w:ascii="仿宋" w:hAnsi="仿宋" w:eastAsia="仿宋" w:cs="仿宋"/>
                <w:color w:val="000000"/>
                <w:sz w:val="28"/>
                <w:szCs w:val="28"/>
                <w:highlight w:val="none"/>
                <w:lang w:val="en-US" w:eastAsia="zh-CN"/>
              </w:rPr>
              <w:t xml:space="preserve">5日内向采购人足额提交履约保证金，否则采购人可以取消其中标资格。</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二、投标人在法定质疑期内一次性提出针对同一采购程序环节的质疑。</w:t>
            </w:r>
            <w:r/>
          </w:p>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质疑接收人：韩海霞;</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联系电话：15061716410;</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办公地址：睢宁县睢城镇温馨家园3栋304室。</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附加说明</w:t>
            </w:r>
            <w:r/>
          </w:p>
        </w:tc>
        <w:tc>
          <w:tcPr>
            <w:tcMar>
              <w:left w:w="108" w:type="dxa"/>
              <w:top w:w="0" w:type="dxa"/>
              <w:right w:w="108" w:type="dxa"/>
              <w:bottom w:w="0" w:type="dxa"/>
            </w:tcMar>
            <w:tcW w:w="6625" w:type="dxa"/>
            <w:textDirection w:val="lrTb"/>
            <w:noWrap w:val="false"/>
          </w:tcPr>
          <w:p>
            <w:pPr>
              <w:jc w:val="both"/>
              <w:spacing w:after="0" w:line="400" w:lineRule="exact"/>
              <w:rPr>
                <w:rFonts w:hint="default" w:ascii="仿宋" w:hAnsi="仿宋" w:eastAsia="仿宋" w:cs="仿宋"/>
                <w:color w:val="auto"/>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中标人在收到中标通知书时，须向采购代理机构提交《开标一览表》和《分项价格表》的数据文件（WORD格式），</w:t>
            </w:r>
            <w:r>
              <w:rPr>
                <w:rFonts w:hint="eastAsia" w:ascii="仿宋" w:hAnsi="仿宋" w:eastAsia="仿宋" w:cs="仿宋"/>
                <w:color w:val="auto"/>
                <w:sz w:val="28"/>
                <w:highlight w:val="none"/>
                <w:lang w:val="en-US" w:eastAsia="zh-CN"/>
              </w:rPr>
              <w:t xml:space="preserve">以及</w:t>
            </w:r>
            <w:r>
              <w:rPr>
                <w:rFonts w:hint="eastAsia" w:ascii="仿宋" w:hAnsi="仿宋" w:eastAsia="仿宋" w:cs="仿宋"/>
                <w:color w:val="auto"/>
                <w:sz w:val="28"/>
                <w:highlight w:val="none"/>
                <w:lang w:eastAsia="zh-CN"/>
              </w:rPr>
              <w:t xml:space="preserve">投标文件纸质版</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lang w:eastAsia="zh-CN"/>
              </w:rPr>
              <w:t xml:space="preserve">份（</w:t>
            </w:r>
            <w:r>
              <w:rPr>
                <w:rFonts w:hint="eastAsia" w:ascii="仿宋" w:hAnsi="仿宋" w:eastAsia="仿宋" w:cs="仿宋"/>
                <w:color w:val="auto"/>
                <w:sz w:val="28"/>
                <w:highlight w:val="none"/>
                <w:lang w:val="en-US" w:eastAsia="zh-CN"/>
              </w:rPr>
              <w:t xml:space="preserve">1正，3副）</w:t>
            </w:r>
            <w:r>
              <w:rPr>
                <w:rFonts w:hint="eastAsia" w:ascii="仿宋" w:hAnsi="仿宋" w:eastAsia="仿宋" w:cs="仿宋"/>
                <w:sz w:val="28"/>
                <w:szCs w:val="28"/>
                <w:highlight w:val="none"/>
                <w:lang w:val="en-US" w:eastAsia="zh-CN"/>
              </w:rPr>
              <w:t xml:space="preserve">并附电子版U盘</w:t>
            </w:r>
            <w:r>
              <w:rPr>
                <w:rFonts w:hint="eastAsia" w:ascii="仿宋" w:hAnsi="仿宋" w:eastAsia="仿宋" w:cs="仿宋"/>
                <w:color w:val="auto"/>
                <w:sz w:val="28"/>
                <w:highlight w:val="none"/>
                <w:lang w:eastAsia="zh-CN"/>
              </w:rPr>
              <w:t xml:space="preserve">。</w:t>
            </w:r>
            <w:r/>
          </w:p>
        </w:tc>
      </w:tr>
    </w:tbl>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rPr>
          <w:rFonts w:hint="eastAsia" w:ascii="仿宋" w:hAnsi="仿宋" w:eastAsia="仿宋" w:cs="仿宋"/>
          <w:color w:val="auto"/>
          <w:sz w:val="28"/>
          <w:szCs w:val="28"/>
          <w:highlight w:val="none"/>
          <w:lang w:eastAsia="zh-CN"/>
        </w:rPr>
        <w:t xml:space="preserve">徐州市政府采购业务代理服务费行业指导价格标准</w:t>
      </w:r>
      <w:r/>
    </w:p>
    <w:tbl>
      <w:tblPr>
        <w:tblStyle w:val="79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tblCellSpacing w:w="0" w:type="dxa"/>
          <w:trHeight w:val="717"/>
        </w:trPr>
        <w:tc>
          <w:tcPr>
            <w:shd w:val="clear" w:color="auto" w:fill="auto"/>
            <w:tcW w:w="6270" w:type="dxa"/>
            <w:vAlign w:val="center"/>
            <w:textDirection w:val="lrTb"/>
            <w:noWrap w:val="false"/>
          </w:tcPr>
          <w:p>
            <w:pPr>
              <w:pStyle w:val="844"/>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中标或者成交金额</w:t>
            </w:r>
            <w:r/>
          </w:p>
        </w:tc>
        <w:tc>
          <w:tcPr>
            <w:shd w:val="clear" w:color="auto" w:fill="auto"/>
            <w:tcW w:w="2580" w:type="dxa"/>
            <w:vAlign w:val="center"/>
            <w:textDirection w:val="lrTb"/>
            <w:noWrap w:val="false"/>
          </w:tcPr>
          <w:p>
            <w:pPr>
              <w:pStyle w:val="844"/>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844"/>
              <w:spacing w:before="15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最低收费金额(每个委托项目)</w:t>
            </w:r>
            <w:r/>
          </w:p>
        </w:tc>
        <w:tc>
          <w:tcPr>
            <w:shd w:val="clear" w:color="auto" w:fill="auto"/>
            <w:tcW w:w="2580" w:type="dxa"/>
            <w:vAlign w:val="center"/>
            <w:textDirection w:val="lrTb"/>
            <w:noWrap w:val="false"/>
          </w:tcPr>
          <w:p>
            <w:pPr>
              <w:pStyle w:val="844"/>
              <w:jc w:val="center"/>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844"/>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50万元以下(含50万元)</w:t>
            </w:r>
            <w:r/>
          </w:p>
        </w:tc>
        <w:tc>
          <w:tcPr>
            <w:shd w:val="clear" w:color="auto" w:fill="auto"/>
            <w:tcW w:w="2580" w:type="dxa"/>
            <w:vAlign w:val="center"/>
            <w:textDirection w:val="lrTb"/>
            <w:noWrap w:val="false"/>
          </w:tcPr>
          <w:p>
            <w:pPr>
              <w:pStyle w:val="844"/>
              <w:jc w:val="center"/>
              <w:spacing w:before="236"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844"/>
              <w:spacing w:before="156"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50-400万元(含400万元)</w:t>
            </w:r>
            <w:r/>
          </w:p>
        </w:tc>
        <w:tc>
          <w:tcPr>
            <w:shd w:val="clear" w:color="auto" w:fill="auto"/>
            <w:tcW w:w="2580" w:type="dxa"/>
            <w:vAlign w:val="center"/>
            <w:textDirection w:val="lrTb"/>
            <w:noWrap w:val="false"/>
          </w:tcPr>
          <w:p>
            <w:pPr>
              <w:pStyle w:val="844"/>
              <w:jc w:val="center"/>
              <w:spacing w:before="237"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844"/>
              <w:spacing w:before="167"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400-1000万元(含1000万元)</w:t>
            </w:r>
            <w:r/>
          </w:p>
        </w:tc>
        <w:tc>
          <w:tcPr>
            <w:shd w:val="clear" w:color="auto" w:fill="auto"/>
            <w:tcW w:w="2580" w:type="dxa"/>
            <w:vAlign w:val="center"/>
            <w:textDirection w:val="lrTb"/>
            <w:noWrap w:val="false"/>
          </w:tcPr>
          <w:p>
            <w:pPr>
              <w:pStyle w:val="844"/>
              <w:jc w:val="center"/>
              <w:spacing w:before="248"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r>
      <w:tr>
        <w:trPr>
          <w:tblCellSpacing w:w="0" w:type="dxa"/>
          <w:trHeight w:val="90"/>
        </w:trPr>
        <w:tc>
          <w:tcPr>
            <w:shd w:val="clear" w:color="auto" w:fill="auto"/>
            <w:tcW w:w="6270" w:type="dxa"/>
            <w:vAlign w:val="center"/>
            <w:textDirection w:val="lrTb"/>
            <w:noWrap w:val="false"/>
          </w:tcPr>
          <w:p>
            <w:pPr>
              <w:pStyle w:val="844"/>
              <w:spacing w:before="158"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1000-5000万元(含5000万元)</w:t>
            </w:r>
            <w:r/>
          </w:p>
        </w:tc>
        <w:tc>
          <w:tcPr>
            <w:shd w:val="clear" w:color="auto" w:fill="auto"/>
            <w:tcW w:w="2580" w:type="dxa"/>
            <w:vAlign w:val="center"/>
            <w:textDirection w:val="lrTb"/>
            <w:noWrap w:val="false"/>
          </w:tcPr>
          <w:p>
            <w:pPr>
              <w:pStyle w:val="844"/>
              <w:jc w:val="center"/>
              <w:spacing w:before="240"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844"/>
              <w:spacing w:before="159"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5000-1亿元(含1亿元)</w:t>
            </w:r>
            <w:r/>
          </w:p>
        </w:tc>
        <w:tc>
          <w:tcPr>
            <w:shd w:val="clear" w:color="auto" w:fill="auto"/>
            <w:tcW w:w="2580" w:type="dxa"/>
            <w:vAlign w:val="center"/>
            <w:textDirection w:val="lrTb"/>
            <w:noWrap w:val="false"/>
          </w:tcPr>
          <w:p>
            <w:pPr>
              <w:pStyle w:val="844"/>
              <w:jc w:val="center"/>
              <w:spacing w:before="241"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844"/>
              <w:spacing w:before="170"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1-10亿元(含10亿元)</w:t>
            </w:r>
            <w:r/>
          </w:p>
        </w:tc>
        <w:tc>
          <w:tcPr>
            <w:shd w:val="clear" w:color="auto" w:fill="auto"/>
            <w:tcW w:w="2580" w:type="dxa"/>
            <w:vAlign w:val="center"/>
            <w:textDirection w:val="lrTb"/>
            <w:noWrap w:val="false"/>
          </w:tcPr>
          <w:p>
            <w:pPr>
              <w:pStyle w:val="844"/>
              <w:jc w:val="center"/>
              <w:spacing w:before="252"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844"/>
              <w:spacing w:before="162"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10-50亿元(含50亿元)</w:t>
            </w:r>
            <w:r/>
          </w:p>
        </w:tc>
        <w:tc>
          <w:tcPr>
            <w:shd w:val="clear" w:color="auto" w:fill="auto"/>
            <w:tcW w:w="2580" w:type="dxa"/>
            <w:vAlign w:val="center"/>
            <w:textDirection w:val="lrTb"/>
            <w:noWrap w:val="false"/>
          </w:tcPr>
          <w:p>
            <w:pPr>
              <w:pStyle w:val="844"/>
              <w:jc w:val="center"/>
              <w:spacing w:before="243"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844"/>
              <w:spacing w:before="16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50亿元以上</w:t>
            </w:r>
            <w:r/>
          </w:p>
        </w:tc>
        <w:tc>
          <w:tcPr>
            <w:shd w:val="clear" w:color="auto" w:fill="auto"/>
            <w:tcW w:w="2580" w:type="dxa"/>
            <w:vAlign w:val="center"/>
            <w:textDirection w:val="lrTb"/>
            <w:noWrap w:val="false"/>
          </w:tcPr>
          <w:p>
            <w:pPr>
              <w:pStyle w:val="844"/>
              <w:jc w:val="center"/>
              <w:spacing w:before="245"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0.005%</w:t>
            </w:r>
            <w:r/>
          </w:p>
        </w:tc>
      </w:tr>
    </w:tbl>
    <w:p>
      <w:pPr>
        <w:pStyle w:val="844"/>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44"/>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pStyle w:val="844"/>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pStyle w:val="844"/>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pStyle w:val="844"/>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w:t>
      </w:r>
      <w:r/>
    </w:p>
    <w:p>
      <w:pPr>
        <w:pStyle w:val="844"/>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pStyle w:val="844"/>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5.定点类等无金额或事先不能计算出价格总额的项目，按中标（成交）金额100万元计算。</w:t>
      </w:r>
      <w:r/>
    </w:p>
    <w:p>
      <w:pPr>
        <w:pStyle w:val="844"/>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6.有分包（分标段）的按一个项目计算。</w:t>
      </w:r>
      <w:r/>
    </w:p>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30"/>
          <w:highlight w:val="none"/>
        </w:rPr>
        <w:t xml:space="preserve">第四章 评标标准</w:t>
      </w:r>
      <w:r/>
    </w:p>
    <w:tbl>
      <w:tblPr>
        <w:tblStyle w:val="796"/>
        <w:tblpPr w:horzAnchor="margin" w:tblpXSpec="center" w:vertAnchor="text" w:tblpY="130" w:leftFromText="180" w:topFromText="0" w:rightFromText="180" w:bottomFromText="0"/>
        <w:tblW w:w="10018"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2"/>
        <w:gridCol w:w="1397"/>
        <w:gridCol w:w="7549"/>
      </w:tblGrid>
      <w:tr>
        <w:trPr>
          <w:trHeight w:val="364"/>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评价细则</w:t>
            </w:r>
            <w:r/>
          </w:p>
        </w:tc>
      </w:tr>
      <w:tr>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价格</w:t>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jc w:val="left"/>
              <w:keepLines w:val="0"/>
              <w:keepNext w:val="0"/>
              <w:pageBreakBefore w:val="0"/>
              <w:spacing w:after="0" w:line="440" w:lineRule="exact"/>
              <w:widowControl w:val="off"/>
              <w:tabs>
                <w:tab w:val="left" w:pos="72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采用低价优先法计算，即满足招标文件要求且评审价格最低的供应商报价为评标基准价，其价格得分为满分；</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bidi="ar-SA"/>
              </w:rPr>
              <w:t xml:space="preserve">各供应商价格得分=评标基准价（供应商的最低评审价格）÷各供应商评审价格×20。（按四舍五入取至小数点后两位）</w:t>
            </w:r>
            <w:r/>
          </w:p>
        </w:tc>
      </w:tr>
      <w:tr>
        <w:trPr>
          <w:trHeight w:val="1288"/>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商务部分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（20分）</w:t>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业绩</w:t>
            </w:r>
            <w:bookmarkStart w:id="8" w:name="_GoBack"/>
            <w:r/>
            <w:bookmarkEnd w:id="8"/>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en-US" w:bidi="ar-SA"/>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供应商自20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月1日以来（以合同签订时间为准）承担过</w:t>
            </w:r>
            <w:r>
              <w:rPr>
                <w:rFonts w:hint="eastAsia" w:ascii="仿宋" w:hAnsi="仿宋" w:eastAsia="仿宋" w:cs="仿宋"/>
                <w:color w:val="auto"/>
                <w:sz w:val="28"/>
                <w:szCs w:val="28"/>
                <w:highlight w:val="none"/>
                <w:lang w:val="en-US" w:eastAsia="zh-CN"/>
              </w:rPr>
              <w:t xml:space="preserve">类似文物资源区域评估或考古调查勘探等项目服务经验</w:t>
            </w:r>
            <w:r>
              <w:rPr>
                <w:rFonts w:hint="eastAsia" w:ascii="仿宋" w:hAnsi="仿宋" w:eastAsia="仿宋" w:cs="仿宋"/>
                <w:color w:val="auto"/>
                <w:sz w:val="28"/>
                <w:szCs w:val="28"/>
                <w:highlight w:val="none"/>
              </w:rPr>
              <w:t xml:space="preserve">，每有一个得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注：响应文件</w:t>
            </w:r>
            <w:r>
              <w:rPr>
                <w:rFonts w:hint="eastAsia" w:ascii="仿宋" w:hAnsi="仿宋" w:eastAsia="仿宋" w:cs="仿宋"/>
                <w:b/>
                <w:bCs/>
                <w:color w:val="000000" w:themeColor="text1"/>
                <w:sz w:val="28"/>
                <w:szCs w:val="28"/>
                <w:highlight w:val="none"/>
                <w14:textFill>
                  <w14:solidFill>
                    <w14:schemeClr w14:val="tx1"/>
                  </w14:solidFill>
                </w14:textFill>
              </w:rPr>
              <w:t xml:space="preserve">提供</w:t>
            </w:r>
            <w:r>
              <w:rPr>
                <w:rFonts w:hint="eastAsia" w:ascii="仿宋" w:hAnsi="仿宋" w:eastAsia="仿宋" w:cs="仿宋"/>
                <w:b/>
                <w:bCs/>
                <w:color w:val="auto"/>
                <w:sz w:val="28"/>
                <w:szCs w:val="28"/>
                <w:highlight w:val="none"/>
              </w:rPr>
              <w:t xml:space="preserve">合同原件</w:t>
            </w:r>
            <w:r>
              <w:rPr>
                <w:rFonts w:hint="eastAsia" w:ascii="仿宋" w:hAnsi="仿宋" w:eastAsia="仿宋" w:cs="仿宋"/>
                <w:b/>
                <w:bCs/>
                <w:color w:val="000000" w:themeColor="text1"/>
                <w:sz w:val="28"/>
                <w:szCs w:val="28"/>
                <w:highlight w:val="none"/>
                <w14:textFill>
                  <w14:solidFill>
                    <w14:schemeClr w14:val="tx1"/>
                  </w14:solidFill>
                </w14:textFill>
              </w:rPr>
              <w:t xml:space="preserve">的扫描件。</w:t>
            </w:r>
            <w:r/>
          </w:p>
        </w:tc>
      </w:tr>
      <w:tr>
        <w:trPr>
          <w:trHeight w:val="3569"/>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项目负责人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1.拟选派项目负责人须具有国家文物局颁发的考古发掘项目负责人（领队）资格，具有考古专业及相关高级职称或博士学位的得5分；具有考古专业及相关中级职称或硕士学位的2.5分；最高得5分。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2.拟选派项目负责人自2023年1月1日以来（以合同签订时间为准）承担过类似文物资源区域评估或考古调查勘探等项目服务经验，每有一个得2分，最高得4分。</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注：提供由投标单位为该人员缴纳的开标前六个月内任意一月的社保缴费证明，否则本项不得分</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本项最高得9分，最低得0分。</w:t>
            </w:r>
            <w:r/>
          </w:p>
        </w:tc>
      </w:tr>
      <w:tr>
        <w:trPr>
          <w:trHeight w:val="2334"/>
        </w:trPr>
        <w:tc>
          <w:tcPr>
            <w:tcBorders>
              <w:left w:val="single" w:color="auto" w:sz="4" w:space="0"/>
              <w:bottom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人员配备</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提供拟投入的技术成员（项目负责人除外）情况：持有考古发掘领队证书或参加过全国考古调查勘探岗位人员职业技能培训且获得相应证书的，得1分，最高得5分。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注：提供项目组成人员的相关证书及本单位缴纳的开标前六个月内任意一月的社保证明复印件，扫描件并加盖公章，否则不得分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本项最高得5分，最低得0分。</w:t>
            </w:r>
            <w:r/>
          </w:p>
        </w:tc>
      </w:tr>
      <w:tr>
        <w:trPr>
          <w:trHeight w:val="102"/>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（60分）</w:t>
            </w:r>
            <w:r/>
          </w:p>
        </w:tc>
        <w:tc>
          <w:tcPr>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项目理解</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根据供应商对项目基本情况、背景、现状、目标的理解，项目周边文物信息的整体把握等评审。</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对项目地点周边文物遗存了解、认识全面、整体把握准确的，得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了解、认识</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全面、整体把握</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准确的，得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对项目基本情况基本了解、认识基本全面、整体把握基本准确的，得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对项目基本情况不了解、认识不全面、整体把握不准确的，得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未提供不得分。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项目总体方案</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根据供应商对本项目的理解程度，提交的项目总体方案设想（包括调查技术方案、工期安排、人员安排、拟投入设施、设备配置、突发应急等）：</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方案内容详实，实际情况分析准确、评估思路新颖、可操作性强得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方案比较满足使用需求，实际情况分析未有偏离、评估思路比较清晰、具有比较可操作性得8分；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方案基本满足使用需求，实际情况分析稍有偏离、评估思路基本清晰、具有一定可操作性得5分；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方案内容不完善、实际情况分析有较大偏离、评估思路陈旧、操作性较低，得2分；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文物保护措施</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全面有深度，响应国家及地方政策文物保护措施等评审：</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措施全面详实、针对性强，实施办法具体且完善的得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措施全面可行、针对性明确，实施办法比较完善的得8分;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措施全面一般可行、针对性一般明确，实施办法一般完善的得5分;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措施基本可行、针对性基本明确的得2分；</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104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重点难点分析</w:t>
            </w:r>
            <w:r/>
          </w:p>
          <w:p>
            <w:pPr>
              <w:ind w:right="0"/>
              <w:jc w:val="center"/>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针对本项目需求特点,准确提出本次文物资源区域评估工作涉及的重大关键问题，对重点问题的理解和分析。</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对重点和难点分析全面透彻，提供的解决方案具体，得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对重点和难点分析较透彻，提供的解决办法较具体，得8分；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对重点和难点分析一般透彻，提供的解决办法一般具体，得5分；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对重点和难点分析不透彻，提出的解决办法不具体，得2分；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bottom w:val="none" w:color="000000"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进度计划和服务保障体系</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对本项目制定的项目时间和进度管理方案的科学性、合理性以及服务措施等方面进行评分：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管理方案科学性、合理性及服务措施详实、内容完整的，得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管理方案科学性、合理性及服务措施较完善的，得8分；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管理方案科学性、合理性及服务措施一般完善的，得5分；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管理方案科学性、合理性及服务措施基本完整的，得2分；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603"/>
        </w:trPr>
        <w:tc>
          <w:tcPr>
            <w:tcBorders>
              <w:top w:val="none" w:color="000000" w:sz="4" w:space="0"/>
              <w:left w:val="single" w:color="auto" w:sz="4" w:space="0"/>
              <w:right w:val="single" w:color="auto" w:sz="4" w:space="0"/>
            </w:tcBorders>
            <w:tcW w:w="1072"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质量管理和后续服务工作安排及承诺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对供应服务商提供的质量管理保障与措施，包括组织保障、人员保障以及具体可行的后续服务措施和承诺进行评分：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措施及承诺详细完整且能保障服务质量的得 </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措施及承诺较完整且能保障服务质量的得8分；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措施及承诺一般完整且能保障服务质量的得5分；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措施及承诺基本完整且基本保障服务质量的得2分；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bl>
    <w:p>
      <w:pPr>
        <w:spacing w:after="0"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本章说明：本项目采用综合评分法。投标报价得分保留两位小数。</w:t>
      </w:r>
      <w:r/>
    </w:p>
    <w:p>
      <w:pPr>
        <w:rPr>
          <w:rFonts w:ascii="仿宋" w:hAnsi="仿宋" w:eastAsia="仿宋" w:cs="仿宋"/>
          <w:b/>
          <w:color w:val="auto"/>
          <w:sz w:val="30"/>
          <w:highlight w:val="none"/>
        </w:rPr>
      </w:pPr>
      <w:r>
        <w:rPr>
          <w:rFonts w:hint="eastAsia" w:ascii="仿宋" w:hAnsi="仿宋" w:eastAsia="仿宋" w:cs="仿宋"/>
          <w:b/>
          <w:color w:val="auto"/>
          <w:sz w:val="28"/>
          <w:szCs w:val="28"/>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第五章  拟签订的合同文本</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1073"/>
        <w:jc w:val="both"/>
        <w:rPr>
          <w:rFonts w:hint="eastAsia" w:ascii="仿宋" w:hAnsi="仿宋" w:eastAsia="仿宋" w:cs="仿宋"/>
          <w:b w:val="0"/>
          <w:bCs/>
          <w:color w:val="auto"/>
          <w:sz w:val="44"/>
          <w:szCs w:val="44"/>
          <w:highlight w:val="none"/>
          <w:lang w:val="en-US" w:eastAsia="zh-CN"/>
        </w:rPr>
      </w:pPr>
      <w:r>
        <w:rPr>
          <w:rFonts w:hint="eastAsia" w:ascii="仿宋" w:hAnsi="仿宋" w:eastAsia="仿宋" w:cs="仿宋"/>
          <w:b w:val="0"/>
          <w:bCs/>
          <w:color w:val="auto"/>
          <w:sz w:val="44"/>
          <w:szCs w:val="44"/>
          <w:highlight w:val="none"/>
          <w:lang w:val="en-US" w:eastAsia="zh-CN"/>
        </w:rPr>
      </w:r>
      <w:r/>
    </w:p>
    <w:p>
      <w:pPr>
        <w:pStyle w:val="1073"/>
        <w:jc w:val="both"/>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lang w:val="en-US" w:eastAsia="zh-CN"/>
        </w:rPr>
        <w:t xml:space="preserve">江苏睢宁经济开发区文物资源区域评估项目</w:t>
      </w:r>
      <w:r>
        <w:rPr>
          <w:rFonts w:hint="eastAsia" w:ascii="仿宋" w:hAnsi="仿宋" w:eastAsia="仿宋" w:cs="仿宋"/>
          <w:b w:val="0"/>
          <w:bCs/>
          <w:color w:val="auto"/>
          <w:sz w:val="44"/>
          <w:szCs w:val="44"/>
          <w:highlight w:val="none"/>
        </w:rPr>
        <w:t xml:space="preserve">合同</w:t>
      </w:r>
      <w:r/>
    </w:p>
    <w:p>
      <w:pPr>
        <w:pStyle w:val="1073"/>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项目编号：</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spacing w:line="360" w:lineRule="auto"/>
        <w:rPr>
          <w:rFonts w:hint="eastAsia" w:ascii="仿宋" w:hAnsi="仿宋" w:eastAsia="仿宋" w:cs="仿宋"/>
          <w:b w:val="0"/>
          <w:bCs/>
          <w:color w:val="auto"/>
          <w:sz w:val="30"/>
          <w:szCs w:val="30"/>
          <w:highlight w:val="none"/>
          <w:lang w:val="en-US" w:eastAsia="zh-CN"/>
        </w:rPr>
      </w:pPr>
      <w:r>
        <w:rPr>
          <w:rFonts w:hint="eastAsia" w:ascii="仿宋" w:hAnsi="仿宋" w:eastAsia="仿宋" w:cs="仿宋"/>
          <w:b w:val="0"/>
          <w:bCs/>
          <w:color w:val="auto"/>
          <w:sz w:val="30"/>
          <w:szCs w:val="30"/>
          <w:highlight w:val="none"/>
        </w:rPr>
        <w:t xml:space="preserve">项目名称：</w:t>
      </w:r>
      <w:r>
        <w:rPr>
          <w:rFonts w:hint="eastAsia" w:ascii="仿宋" w:hAnsi="仿宋" w:eastAsia="仿宋" w:cs="仿宋"/>
          <w:b w:val="0"/>
          <w:bCs/>
          <w:color w:val="auto"/>
          <w:sz w:val="30"/>
          <w:szCs w:val="30"/>
          <w:highlight w:val="none"/>
          <w:lang w:val="en-US" w:eastAsia="zh-CN"/>
        </w:rPr>
        <w:t xml:space="preserve">江苏睢宁经济开发区文物资源区域评估项目</w:t>
      </w:r>
      <w:r/>
    </w:p>
    <w:p>
      <w:pPr>
        <w:pStyle w:val="1073"/>
        <w:ind w:firstLine="904"/>
        <w:rPr>
          <w:rFonts w:hint="eastAsia" w:ascii="仿宋" w:hAnsi="仿宋" w:eastAsia="仿宋" w:cs="仿宋"/>
          <w:b w:val="0"/>
          <w:bCs/>
          <w:color w:val="auto"/>
          <w:sz w:val="30"/>
          <w:szCs w:val="30"/>
          <w:highlight w:val="none"/>
          <w:lang w:eastAsia="zh-CN"/>
        </w:rPr>
      </w:pPr>
      <w:r>
        <w:rPr>
          <w:rFonts w:hint="eastAsia" w:ascii="仿宋" w:hAnsi="仿宋" w:eastAsia="仿宋" w:cs="仿宋"/>
          <w:b w:val="0"/>
          <w:bCs/>
          <w:color w:val="auto"/>
          <w:sz w:val="30"/>
          <w:szCs w:val="30"/>
          <w:highlight w:val="none"/>
          <w:lang w:val="en-US" w:eastAsia="zh-CN"/>
        </w:rPr>
        <w:t xml:space="preserve">甲    方</w:t>
      </w:r>
      <w:r>
        <w:rPr>
          <w:rFonts w:hint="eastAsia" w:ascii="仿宋" w:hAnsi="仿宋" w:eastAsia="仿宋" w:cs="仿宋"/>
          <w:b w:val="0"/>
          <w:bCs/>
          <w:color w:val="auto"/>
          <w:sz w:val="30"/>
          <w:szCs w:val="30"/>
          <w:highlight w:val="none"/>
        </w:rPr>
        <w:t xml:space="preserve">：</w:t>
      </w:r>
      <w:r>
        <w:rPr>
          <w:rFonts w:hint="eastAsia" w:ascii="仿宋" w:hAnsi="仿宋" w:eastAsia="仿宋" w:cs="仿宋"/>
          <w:b w:val="0"/>
          <w:bCs/>
          <w:color w:val="auto"/>
          <w:sz w:val="30"/>
          <w:szCs w:val="30"/>
          <w:highlight w:val="none"/>
          <w:lang w:eastAsia="zh-CN"/>
        </w:rPr>
        <w:t xml:space="preserve">江苏睢宁经济开发区管理委员会</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乙   方：</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签订时间： 年  月  日 </w:t>
      </w:r>
      <w:r/>
    </w:p>
    <w:p>
      <w:pPr>
        <w:pStyle w:val="1073"/>
        <w:ind w:firstLine="643"/>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3"/>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3"/>
        <w:ind w:firstLine="562"/>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073"/>
        <w:ind w:firstLine="562"/>
        <w:rPr>
          <w:rFonts w:hint="eastAsia" w:ascii="仿宋" w:hAnsi="仿宋" w:eastAsia="仿宋" w:cs="仿宋"/>
          <w:b/>
          <w:color w:val="auto"/>
          <w:sz w:val="28"/>
          <w:szCs w:val="28"/>
          <w:highlight w:val="none"/>
          <w:lang w:eastAsia="zh-CN"/>
        </w:rPr>
        <w:sectPr>
          <w:headerReference w:type="default" r:id="rId10"/>
          <w:footerReference w:type="default" r:id="rId13"/>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1"/>
        <w:ind w:firstLine="560"/>
        <w:jc w:val="both"/>
        <w:keepLines w:val="0"/>
        <w:keepNext w:val="0"/>
        <w:pageBreakBefore w:val="0"/>
        <w:spacing w:after="0" w:line="52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color w:val="auto"/>
          <w:sz w:val="28"/>
          <w:szCs w:val="28"/>
          <w:highlight w:val="none"/>
        </w:rPr>
        <w:t xml:space="preserve">甲方（采购人/买方）：</w:t>
      </w:r>
      <w:r>
        <w:rPr>
          <w:rFonts w:hint="eastAsia" w:ascii="仿宋" w:hAnsi="仿宋" w:eastAsia="仿宋" w:cs="仿宋"/>
          <w:sz w:val="28"/>
          <w:szCs w:val="28"/>
          <w:highlight w:val="none"/>
          <w:u w:val="single"/>
          <w:lang w:eastAsia="zh-CN"/>
        </w:rPr>
        <w:t xml:space="preserve">江苏睢宁经济开发区管理委员会</w:t>
      </w:r>
      <w:r/>
    </w:p>
    <w:p>
      <w:pPr>
        <w:pStyle w:val="1101"/>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乙方（供应商/卖方）：</w:t>
      </w:r>
      <w:r>
        <w:rPr>
          <w:rFonts w:hint="eastAsia" w:ascii="仿宋" w:hAnsi="仿宋" w:eastAsia="仿宋" w:cs="仿宋"/>
          <w:color w:val="auto"/>
          <w:sz w:val="28"/>
          <w:szCs w:val="28"/>
          <w:highlight w:val="none"/>
          <w:u w:val="single"/>
          <w:lang w:val="en-US" w:eastAsia="zh-CN"/>
        </w:rPr>
        <w:t xml:space="preserve">                            </w:t>
      </w:r>
      <w:r/>
    </w:p>
    <w:p>
      <w:pPr>
        <w:pStyle w:val="1101"/>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根据《中华人民共和国政府采购法》、《中华人民共和国民法典》</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相关法律法规及</w:t>
      </w:r>
      <w:r>
        <w:rPr>
          <w:rFonts w:hint="eastAsia" w:ascii="仿宋" w:hAnsi="仿宋" w:eastAsia="仿宋" w:cs="仿宋"/>
          <w:sz w:val="28"/>
          <w:szCs w:val="28"/>
          <w:highlight w:val="none"/>
          <w:u w:val="single"/>
          <w:lang w:eastAsia="zh-CN"/>
        </w:rPr>
        <w:t xml:space="preserve">江苏睢宁经济开发区文物资源区域评估项目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采购项目的采购结果、招标文件、中标通知书及投标响应文件，甲乙双方遵循平等、自愿、公平、诚实信用的原则，就</w:t>
      </w:r>
      <w:r>
        <w:rPr>
          <w:rFonts w:hint="eastAsia" w:ascii="仿宋" w:hAnsi="仿宋" w:eastAsia="仿宋" w:cs="仿宋"/>
          <w:color w:val="auto"/>
          <w:sz w:val="28"/>
          <w:szCs w:val="28"/>
          <w:highlight w:val="none"/>
          <w:u w:val="single"/>
        </w:rPr>
        <w:t xml:space="preserve">  </w:t>
      </w:r>
      <w:r>
        <w:rPr>
          <w:rFonts w:hint="eastAsia" w:ascii="仿宋" w:hAnsi="仿宋" w:eastAsia="仿宋" w:cs="仿宋"/>
          <w:sz w:val="28"/>
          <w:szCs w:val="28"/>
          <w:highlight w:val="none"/>
          <w:u w:val="single"/>
          <w:lang w:eastAsia="zh-CN"/>
        </w:rPr>
        <w:t xml:space="preserve">江苏睢宁经济开发区文物资源区域评估项目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项目事宜经双方协商一致，订立本合同。</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w:t>
      </w:r>
      <w:r>
        <w:rPr>
          <w:rFonts w:hint="eastAsia" w:ascii="仿宋" w:hAnsi="仿宋" w:eastAsia="仿宋" w:cs="仿宋"/>
          <w:b/>
          <w:bCs/>
          <w:color w:val="auto"/>
          <w:sz w:val="28"/>
          <w:szCs w:val="28"/>
          <w:highlight w:val="none"/>
          <w:lang w:val="en-US" w:eastAsia="zh-CN"/>
        </w:rPr>
        <w:t xml:space="preserve">服务内容</w:t>
      </w:r>
      <w:r>
        <w:rPr>
          <w:rFonts w:hint="eastAsia" w:ascii="仿宋" w:hAnsi="仿宋" w:eastAsia="仿宋" w:cs="仿宋"/>
          <w:b/>
          <w:bCs/>
          <w:color w:val="auto"/>
          <w:sz w:val="28"/>
          <w:szCs w:val="28"/>
          <w:highlight w:val="none"/>
        </w:rPr>
        <w:t xml:space="preserve">：</w:t>
      </w:r>
      <w:r/>
    </w:p>
    <w:p>
      <w:pPr>
        <w:numPr>
          <w:ilvl w:val="0"/>
          <w:numId w:val="0"/>
        </w:numPr>
        <w:ind w:right="0" w:firstLine="562"/>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1.开展相关文物资源区域评估工作：</w:t>
      </w:r>
      <w:r>
        <w:rPr>
          <w:rFonts w:hint="eastAsia" w:ascii="仿宋" w:hAnsi="仿宋" w:eastAsia="仿宋" w:cs="仿宋"/>
          <w:color w:val="auto"/>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89"/>
        <w:numPr>
          <w:ilvl w:val="0"/>
          <w:numId w:val="0"/>
        </w:numPr>
        <w:ind w:firstLine="562"/>
        <w:jc w:val="left"/>
        <w:keepLines/>
        <w:keepNext/>
        <w:pageBreakBefore w:val="0"/>
        <w:spacing w:before="0" w:after="0" w:line="52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2.编制文物资源区域评估报告：</w:t>
      </w:r>
      <w:r>
        <w:rPr>
          <w:rFonts w:hint="eastAsia" w:ascii="仿宋" w:hAnsi="仿宋" w:eastAsia="仿宋" w:cs="仿宋"/>
          <w:b w:val="0"/>
          <w:bCs w:val="0"/>
          <w:color w:val="auto"/>
          <w:sz w:val="28"/>
          <w:szCs w:val="28"/>
          <w:highlight w:val="none"/>
          <w:lang w:val="en-US" w:eastAsia="zh-CN" w:bidi="ar-SA"/>
        </w:rPr>
        <w:t xml:space="preserve">区域评估工作结束，需按地块出具调查评估报告（包括文字、图纸、表格、影像、总结等合规的详细记录）。</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t xml:space="preserve">二、合同金额</w:t>
      </w:r>
      <w:r>
        <w:rPr>
          <w:rFonts w:hint="eastAsia" w:ascii="仿宋" w:hAnsi="仿宋" w:eastAsia="仿宋" w:cs="仿宋"/>
          <w:b/>
          <w:bCs/>
          <w:color w:val="auto"/>
          <w:sz w:val="28"/>
          <w:szCs w:val="28"/>
          <w:highlight w:val="none"/>
          <w:lang w:val="en-US" w:eastAsia="zh-CN"/>
        </w:rPr>
        <w:t xml:space="preserve">及支付方式</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1.本合同金额为（大写）：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（小写：）¥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人民币。</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价款包括符合采购需求和对考古场地所需的人工费用、其他考古发掘费（消耗材料费、器材、设备更新折旧费、资料记录费、交通运输费、占地补偿费、临时建筑设施费、文物标本测试鉴定及多学科合作费）、发掘工作管理费、发掘现场安全保卫费、资料整理及报告出版费及不可预见费等。采购人不再支付报价以外的任何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zh-CN" w:eastAsia="zh-CN" w:bidi="ar-SA"/>
        </w:rPr>
        <w:t xml:space="preserve">具体支付方式和时间如下：</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合同签订后成交人提供合规的发票后15日内支付合同总价的 20%作为预付款；完成评估报告编制后支付至合同总价的 60%；评估报告通过省文物局组织的专家验收后付清尾款。</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每次付款前乙方应提供合格等额的咨询服务费发票给甲方。同时在本合同执行中相关的一切税费均由乙方负担。</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三、区域评估服务要求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2.文物资源区域评估工作实施前，根据区域现场情况和历年考古成果，制定科学、详实的工作计划，明确工作任务、技术路线、人员分工和职责、文物保护措施和应急预案等。</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实际评估工作中确定评估单元等，对评估的结果测绘成图，并按照相关文物考古等规范要求规范记录。在实际工作中将严格按照《考古勘探工作规程（试行）》的相关要求规范进行。在区域评估的基础之上，对于已经发现或者疑似文物埋藏区的区域进行重点勘探。</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4.本次土地文物资源区域评估工作田野勘探将采取5×5米梅花状等距的方式进行布孔勘探，对经普探发现文物遗存的区域将进行重点卡探。勘探对象为其他地形的，酌情布孔。</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区域评估结束，需按地块出具区域评估报告（包括文字、图纸、表格、影像、遗迹地理信息、总结等合规的详细记录）。报告须符合《江苏省开发区区域评估工作方案(试行)》的通知要求，并通过文物主管部门的审核。</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6.勘探人员在不违反安全操作规范的前提下须服从并配合采购人安排，所有勘探工作应在采购人的统一指导安排下进行，如不服从或不及时投标采购人要求，造成的一切损失由中标服务商承担。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7.本次江苏睢宁经济开发区文物资源区域评估项目涉及共20个地块，评估面积约7.26平方公里；</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Hans" w:bidi="ar-SA"/>
        </w:rPr>
        <w:t xml:space="preserve">不论何时，</w:t>
      </w:r>
      <w:r>
        <w:rPr>
          <w:rFonts w:hint="eastAsia" w:ascii="仿宋" w:hAnsi="仿宋" w:eastAsia="仿宋" w:cs="仿宋"/>
          <w:color w:val="auto"/>
          <w:sz w:val="28"/>
          <w:szCs w:val="28"/>
          <w:highlight w:val="none"/>
          <w:lang w:val="en-US" w:eastAsia="zh-CN" w:bidi="ar-SA"/>
        </w:rPr>
        <w:t xml:space="preserve">中标服务商</w:t>
      </w:r>
      <w:r>
        <w:rPr>
          <w:rFonts w:hint="eastAsia" w:ascii="仿宋" w:hAnsi="仿宋" w:eastAsia="仿宋" w:cs="仿宋"/>
          <w:color w:val="auto"/>
          <w:sz w:val="28"/>
          <w:szCs w:val="28"/>
          <w:highlight w:val="none"/>
          <w:lang w:val="en-US" w:eastAsia="zh-Hans" w:bidi="ar-SA"/>
        </w:rPr>
        <w:t xml:space="preserve">都应承担</w:t>
      </w:r>
      <w:r>
        <w:rPr>
          <w:rFonts w:hint="eastAsia" w:ascii="仿宋" w:hAnsi="仿宋" w:eastAsia="仿宋" w:cs="仿宋"/>
          <w:color w:val="auto"/>
          <w:sz w:val="28"/>
          <w:szCs w:val="28"/>
          <w:highlight w:val="none"/>
          <w:lang w:val="en-US" w:eastAsia="zh-CN" w:bidi="ar-SA"/>
        </w:rPr>
        <w:t xml:space="preserve">该项目考古</w:t>
      </w:r>
      <w:r>
        <w:rPr>
          <w:rFonts w:hint="eastAsia" w:ascii="仿宋" w:hAnsi="仿宋" w:eastAsia="仿宋" w:cs="仿宋"/>
          <w:color w:val="auto"/>
          <w:sz w:val="28"/>
          <w:szCs w:val="28"/>
          <w:highlight w:val="none"/>
          <w:lang w:val="en-US" w:eastAsia="zh-Hans" w:bidi="ar-SA"/>
        </w:rPr>
        <w:t xml:space="preserve">的保密责任；</w:t>
      </w:r>
      <w:r>
        <w:rPr>
          <w:rFonts w:hint="eastAsia" w:ascii="仿宋" w:hAnsi="仿宋" w:eastAsia="仿宋" w:cs="仿宋"/>
          <w:color w:val="auto"/>
          <w:sz w:val="28"/>
          <w:szCs w:val="28"/>
          <w:highlight w:val="none"/>
          <w:lang w:val="en-US" w:eastAsia="zh-CN" w:bidi="ar-SA"/>
        </w:rPr>
        <w:t xml:space="preserve">未经采购人同意，</w:t>
      </w:r>
      <w:r>
        <w:rPr>
          <w:rFonts w:hint="eastAsia" w:ascii="仿宋" w:hAnsi="仿宋" w:eastAsia="仿宋" w:cs="仿宋"/>
          <w:color w:val="auto"/>
          <w:sz w:val="28"/>
          <w:szCs w:val="28"/>
          <w:highlight w:val="none"/>
          <w:lang w:val="en-US" w:eastAsia="zh-Hans" w:bidi="ar-SA"/>
        </w:rPr>
        <w:t xml:space="preserve">均不得以任何方式和渠道向外界传递</w:t>
      </w:r>
      <w:r>
        <w:rPr>
          <w:rFonts w:hint="eastAsia" w:ascii="仿宋" w:hAnsi="仿宋" w:eastAsia="仿宋" w:cs="仿宋"/>
          <w:color w:val="auto"/>
          <w:sz w:val="28"/>
          <w:szCs w:val="28"/>
          <w:highlight w:val="none"/>
          <w:lang w:val="en-US" w:eastAsia="zh-CN" w:bidi="ar-SA"/>
        </w:rPr>
        <w:t xml:space="preserve">或泄露考古资料</w:t>
      </w:r>
      <w:r>
        <w:rPr>
          <w:rFonts w:hint="eastAsia" w:ascii="仿宋" w:hAnsi="仿宋" w:eastAsia="仿宋" w:cs="仿宋"/>
          <w:color w:val="auto"/>
          <w:sz w:val="28"/>
          <w:szCs w:val="28"/>
          <w:highlight w:val="none"/>
          <w:lang w:val="en-US" w:eastAsia="zh-Hans" w:bidi="ar-SA"/>
        </w:rPr>
        <w:t xml:space="preserve">。</w:t>
      </w:r>
      <w:r>
        <w:rPr>
          <w:rFonts w:hint="eastAsia" w:ascii="仿宋" w:hAnsi="仿宋" w:eastAsia="仿宋" w:cs="仿宋"/>
          <w:color w:val="auto"/>
          <w:sz w:val="28"/>
          <w:szCs w:val="28"/>
          <w:highlight w:val="none"/>
          <w:lang w:val="en-US" w:eastAsia="zh-CN" w:bidi="ar-SA"/>
        </w:rPr>
        <w:t xml:space="preserve">参与项目所有人员不得私自保管和泄露考古资料，所有的考古资料、工作成果及报告须严格保密。中标服务商参与该项目所有人员必须与中标服务商签订保密协议，采购人在后期发现未签订保密协议或者泄密等行为，有权扣除费用，一人/次壹万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9.参与项目所有人员应熟悉《中华人民共和国文物保护法》的有关规定，不得私留截留、保管、倒卖工地上出土的古代文物和标本，一经发现，采购人有权终止合同，并依法追究当事人及连带中标服务商法律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10.中标服务商需设有固定服务电话，以便及时回应，在接到采购人通知起，2小时之内回复，在5个工作日内根据采购人所下达的考古任务及考古时间要求，自行组织相关人员进场。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11.本次区域评估工作任务由采购人统筹安排，在不违背法律法规的前提下，中标服务商须无条件服从采购人安排。</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12.项目在120个工作日内完成；若遇不可抗拒因素 (雨雪、重要考古发现、政府有权部门的要求等)，工期顺延。考古勘探工作结束后7个工作日内中标服务商应当将工作报告提交给采购人，工作报告包括但不限于以下内容:项目名称、项目负责人、区域评估范围图、区域评估过程描述、地层遗迹描述、主要收获(价值初判)、遗迹定位测量图、工作过程照片、相关建议等。</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四、技术队伍要求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为了满足项目的要求及强度，中标服务商需提供受过专业训练的人员，详细列出用于本项目的负责人、各层次的专业技术人员、服务人员的名单。为了方便实施本项目，中标服务商应明确一名项目主要负责人以及 1-2 名联系人。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2.现场环境的管理，每次考古工作当天工作结束后，现场不能留有中标服务商人员垃圾，保证现场人走场清。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3.中标服务商所安排的工作人员必须经过专业培训，同时应提前告知所有现场工作人员注意事项,如由勘探人员所引起的事故,中标服务商应承担所有责任同时采购人保留追究其相关责任的权利。</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4.中标服务商须组织及协调现场人员，维持现场秩序，保证工作有条不紊的进行，同时应对现场工作人员及其他第三方人员人身安全负责</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中标服务商在项目实施过程中应做到制度上墙，人员工作时应配戴安全帽和必要的安全防护措施。每次考古项目至少设置一名安全员，挂牌上岗。如勘探人员因违规操作发生事故,或将地下管线损坏，由中标服务商自行处理并承担由此造成的所有损失和费用。对考古工作中出现的高危项目及特殊情况，中标服务商应向采购人说明，并要求采取合理的保护措施，确保人员安全。在安全条件和措施不到位的情况下，中标服务商有权拒绝施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6.中标服务商对其项目的人员、物资、场地等安全负全部责任。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7.中标服务商须在项目实施前同采购人签订安全协议书及廉政协议书，如中标服务商违反协议书上所述条款，采购人可依据承诺书依法追究中标服务商责任。</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五、甲、乙双方的权利和义务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（一）甲方的权利和义务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配合乙方提供必要的、真实准确的技术资料。</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因产业政策、总量指标等必须由甲方办理并提供材料的原因导致的不利后果，由甲方承担，不影响本合同费用支付。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为乙方现场踏勘提供必要便利，并安排一名联络人员协助工作。</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 按合同约定及时支付款项。</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（二）乙方的权利和义务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按国家规范、合同约定及投标承诺提供服务，按时保质完成工作。因乙方原因造成成果遗漏或错误的，由乙方负责无偿修改并承担相应责任。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进入甲方场地工作，须严格遵守甲方的安全管理制度。</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未经甲方书面同意，乙方不得擅自更换投标文件承诺的项目负责人及核心技术人员。</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六、知识产权、产权担保及保密措施</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知识产权担保： 乙方保证其服务及成果不侵犯任何第三方知识产权。如有侵权，由乙方承担全部责任。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所有权保证： 乙方保证所交付成果无任何权利瑕疵。</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知识产权归属： 乙方为履行本合同所产生的一切工作成果（以下简称“交付成果”，包括但不限于规划文本、环评报告及其全部数据、图件、分析模型等任何形式载体）的知识产权（包括著作权、专利申请权、技术秘密等）及所有权，自产生之日起即独占性、排他性地归属于甲方所有。甲方有权不受限制地使用、修改、复制、对外报批及许可他人使用该等成果，无需另行取得乙方同意或支付费用。乙方可在其宣传材料中提及参与本项目，但须事先获得甲方书面同意，且不得损害甲方利益或泄露任何保密信息。</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保密义务：双方应对在合同履行中知悉的对方商业秘密及项目数据予以保密，未经对方书面同意不得向任何第三方泄露。具体保密要求详见本合同附件《保密协议书》。</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七、履约保证金</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本合同签订后5日内，乙方应以非现金形式（支票、汇票、保函等）向甲方提交合同金额5%的履约保证金，计人民币 ________ 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履约保证金退还方式：项目最终验收合格（即甲方收到正式批复文件）后15个工作日内，甲方无息退还履约保证金的50%；剩余50%作为质量保证金，在全部成果交付满6个月且无任何质量或违约问题后，甲方无息退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若乙方违约，甲方有权扣除履约保证金以弥补损失，不足部分可继续追偿。</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八、实施和管理</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本项目严禁转包，否则甲方有权解除合同并追究乙方违约责任。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乙方应自行踏勘现场并承担相关费用，不得因现场情况不明要求增加费用。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项目实施期间的安全责任由乙方全部承担。</w:t>
      </w:r>
      <w:r/>
    </w:p>
    <w:p>
      <w:pPr>
        <w:pStyle w:val="1101"/>
        <w:numPr>
          <w:ilvl w:val="0"/>
          <w:numId w:val="0"/>
        </w:numPr>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九、</w:t>
      </w:r>
      <w:r>
        <w:rPr>
          <w:rFonts w:hint="eastAsia" w:ascii="仿宋" w:hAnsi="仿宋" w:eastAsia="仿宋" w:cs="仿宋"/>
          <w:b/>
          <w:bCs/>
          <w:color w:val="auto"/>
          <w:sz w:val="28"/>
          <w:szCs w:val="28"/>
          <w:highlight w:val="none"/>
          <w:lang w:val="en-US" w:eastAsia="zh-CN"/>
        </w:rPr>
        <w:t xml:space="preserve">验收</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验收程序：</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甲方初审： 乙方提交送审稿后，甲方有权在15个工作日内组织内部或第三方专家进行初审并提出书面意见。乙方应根据甲方初审意见修改完善后，方可正式提交主管部门审查。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最终验收： 本项目所提供的技术咨询服务及成果应符合国家及江苏省现行相关规范要求，成果（文物资源区域评估报告）需通过省级主管部门审核，并获得批复。</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验收标准：通过甲方初审，并最终取得省级主管部门正式书面批复文件。</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十、违约责任</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甲方逾期提供资料超过30日，乙方有权解除合同，已收取费用不予退还，并可要求甲方支付合同总额10%的违约金。</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乙方原因逾期提交任何阶段成果的，每逾期一日，应向甲方支付合同总金额千分之一（0.1%）的违约金。逾期超过30日的，甲方有权解除合同，乙方应返还已收款项，并向甲方支付合同总额20%的违约金。若前述违约金不足以弥补甲方全部损失（包括但不限于项目延期损失、另行委托费用等），乙方应继续赔偿。</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任何一方违反保密义务，应向对方支付合同总额5%的违约金，并赔偿全部损失。</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十一、不可抗力事件处理</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在合同有效期内，任何一方因不可抗力事件导致不能履行合同，则合同履行期延长，其延长期与不可抗力影响期相同。</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不可抗力事件发生后，应立即通知对方，并寄送有关权威机构出具的证明。</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不可抗力事件延续120天以上，双方应通过友好协商，确定是否继续履行合同。</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十二、争议的解决办法</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在合同履行过程中如发生争议，采取协商解决办法解决。协商不成，可向</w:t>
      </w:r>
      <w:r>
        <w:rPr>
          <w:rFonts w:hint="eastAsia" w:ascii="仿宋" w:hAnsi="仿宋" w:eastAsia="仿宋" w:cs="仿宋"/>
          <w:color w:val="auto"/>
          <w:sz w:val="28"/>
          <w:szCs w:val="28"/>
          <w:highlight w:val="none"/>
          <w:u w:val="single"/>
        </w:rPr>
        <w:t xml:space="preserve">合同签订地</w:t>
      </w:r>
      <w:r>
        <w:rPr>
          <w:rFonts w:hint="eastAsia" w:ascii="仿宋" w:hAnsi="仿宋" w:eastAsia="仿宋" w:cs="仿宋"/>
          <w:color w:val="auto"/>
          <w:sz w:val="28"/>
          <w:szCs w:val="28"/>
          <w:highlight w:val="none"/>
        </w:rPr>
        <w:t xml:space="preserve">法院起诉，合同签订地在此约定为</w:t>
      </w:r>
      <w:r>
        <w:rPr>
          <w:rFonts w:hint="eastAsia" w:ascii="仿宋" w:hAnsi="仿宋" w:eastAsia="仿宋" w:cs="仿宋"/>
          <w:b/>
          <w:bCs/>
          <w:color w:val="auto"/>
          <w:sz w:val="28"/>
          <w:szCs w:val="28"/>
          <w:highlight w:val="none"/>
          <w:u w:val="single"/>
        </w:rPr>
        <w:t xml:space="preserve">江苏睢宁经济开发区</w:t>
      </w:r>
      <w:r>
        <w:rPr>
          <w:rFonts w:hint="eastAsia" w:ascii="仿宋" w:hAnsi="仿宋" w:eastAsia="仿宋" w:cs="仿宋"/>
          <w:color w:val="auto"/>
          <w:sz w:val="28"/>
          <w:szCs w:val="28"/>
          <w:highlight w:val="none"/>
        </w:rPr>
        <w:t xml:space="preserve">。</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十二、合同生效及其它</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本合同未尽事宜，双方可签订补充协议作为附件，补充协议与本合同具有同等效力。</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本合同正本一式</w:t>
      </w:r>
      <w:r>
        <w:rPr>
          <w:rFonts w:hint="eastAsia" w:ascii="仿宋" w:hAnsi="仿宋" w:eastAsia="仿宋" w:cs="仿宋"/>
          <w:color w:val="auto"/>
          <w:sz w:val="28"/>
          <w:szCs w:val="28"/>
          <w:highlight w:val="none"/>
          <w:lang w:val="en-US" w:eastAsia="zh-CN"/>
        </w:rPr>
        <w:t xml:space="preserve">陆</w:t>
      </w:r>
      <w:r>
        <w:rPr>
          <w:rFonts w:hint="eastAsia" w:ascii="仿宋" w:hAnsi="仿宋" w:eastAsia="仿宋" w:cs="仿宋"/>
          <w:color w:val="auto"/>
          <w:sz w:val="28"/>
          <w:szCs w:val="28"/>
          <w:highlight w:val="none"/>
        </w:rPr>
        <w:t xml:space="preserve">份，甲乙双方各执</w:t>
      </w:r>
      <w:r>
        <w:rPr>
          <w:rFonts w:hint="eastAsia" w:ascii="仿宋" w:hAnsi="仿宋" w:eastAsia="仿宋" w:cs="仿宋"/>
          <w:color w:val="auto"/>
          <w:sz w:val="28"/>
          <w:szCs w:val="28"/>
          <w:highlight w:val="none"/>
          <w:lang w:val="en-US" w:eastAsia="zh-CN"/>
        </w:rPr>
        <w:t xml:space="preserve">叁</w:t>
      </w:r>
      <w:r>
        <w:rPr>
          <w:rFonts w:hint="eastAsia" w:ascii="仿宋" w:hAnsi="仿宋" w:eastAsia="仿宋" w:cs="仿宋"/>
          <w:color w:val="auto"/>
          <w:sz w:val="28"/>
          <w:szCs w:val="28"/>
          <w:highlight w:val="none"/>
        </w:rPr>
        <w:t xml:space="preserve">份。</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本合同经甲、乙双方签字盖章后生效。双方履行完合同规定的义务后，本合同即行终止。</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ind w:firstLine="562"/>
        <w:keepLines w:val="0"/>
        <w:keepNext w:val="0"/>
        <w:pageBreakBefore w:val="0"/>
        <w:spacing w:after="0"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pageBreakBefore w:val="0"/>
        <w:spacing w:after="0"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附件                    </w:t>
      </w:r>
      <w:r/>
    </w:p>
    <w:p>
      <w:pPr>
        <w:ind w:firstLine="562"/>
        <w:jc w:val="center"/>
        <w:keepLines w:val="0"/>
        <w:keepNext w:val="0"/>
        <w:pageBreakBefore w:val="0"/>
        <w:spacing w:after="0" w:line="50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保 密 协 议 书</w:t>
      </w:r>
      <w:r/>
    </w:p>
    <w:p>
      <w:pPr>
        <w:pStyle w:val="1101"/>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u w:val="single"/>
          <w:lang w:eastAsia="zh-CN"/>
        </w:rPr>
        <w:t xml:space="preserve">江苏睢宁经济开发区管理委员会</w:t>
      </w:r>
      <w:r/>
    </w:p>
    <w:p>
      <w:pPr>
        <w:pStyle w:val="1101"/>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u w:val="single"/>
          <w:lang w:val="en-US" w:eastAsia="zh-CN"/>
        </w:rPr>
        <w:t xml:space="preserve">                            </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鉴于乙方接受甲方委托，将在</w:t>
      </w:r>
      <w:r>
        <w:rPr>
          <w:rFonts w:hint="eastAsia" w:ascii="仿宋" w:hAnsi="仿宋" w:eastAsia="仿宋" w:cs="仿宋"/>
          <w:sz w:val="28"/>
          <w:szCs w:val="28"/>
          <w:highlight w:val="none"/>
          <w:u w:val="single"/>
          <w:lang w:eastAsia="zh-CN"/>
        </w:rPr>
        <w:t xml:space="preserve">江苏睢宁经济开发区文物资源区域评估项目 </w:t>
      </w:r>
      <w:r>
        <w:rPr>
          <w:rFonts w:hint="eastAsia" w:ascii="仿宋" w:hAnsi="仿宋" w:eastAsia="仿宋" w:cs="仿宋"/>
          <w:sz w:val="28"/>
          <w:szCs w:val="28"/>
          <w:highlight w:val="none"/>
        </w:rPr>
        <w:t xml:space="preserve">实施过程中，乙方将不可避免地接触到甲方的涉密设备、涉密信息以及保密资料，为落实保密措施，做好保密工作，切实维护国家安全和利益以及甲方的利益，双方就有关保密事宜达成如下意见：</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一、甲方职责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1.对于乙方提出的与服务密切相关且必须提供保密资料等相关事宜进行保密审查认证，并对提供给乙方的相关保密资料提出保密要求，做好交接登记工作。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2.发现乙方在为甲方提供服务过程中存在安全隐患和泄密漏洞的，应当及时提出，并督促落实改进措施，确保安全。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二、乙方职责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1.乙方在接受甲方委托之日起，应当事先做好相关准备工作：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（1）对相关工作人员进行保密教育，明确保密责任、义务，并与之签订《保密协议》，该《保密协议》对乙方工作人员的保密义务应不低于本协议书对乙方的保密要求。</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（2）乙方在项目实施过程中增加的相关工作人员，乙方应及时按同等要求落实相关措施。</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工作人员在为甲方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在为甲方服务时，甲方根据乙方提出的要求，必须提供保密资料时，双方应当办理交接手续，做好登记、使用台帐；乙方在将相关保密资料带回使用时，应提前向甲方报告，并应确保携带、使用、存放全过程的安全，保密资料严禁另行复制。</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在完成甲方某项服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5.乙方对于甲方提供的保密资料以及相关工作人员在为甲方服务时掌握的其他涉密信息，均不得向第三方或其他无关人员透露，应按照服务需要严格控制使用、知悉范围。</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6.乙方在使用电子设备(包括笔记本电脑、移动存储介质等)为甲方提供服务时，应严格按照国家有关保密规定要求，落实技防、人防、物防综合防范措施，确保安全。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三、其他事宜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1.由于乙方违反约定，造成泄密事件发生或者产生严重泄密隐患的，由乙方承担全部赔偿等法律责任，乙方还应向甲方支付违约金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p>
    <w:p>
      <w:pPr>
        <w:ind w:firstLine="560"/>
        <w:jc w:val="left"/>
        <w:keepLines w:val="0"/>
        <w:keepNext w:val="0"/>
        <w:pageBreakBefore w:val="0"/>
        <w:spacing w:after="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sz w:val="28"/>
          <w:szCs w:val="28"/>
          <w:highlight w:val="none"/>
        </w:rPr>
        <w:t xml:space="preserve">乙方承担相关违约及赔偿责任后，不免除乙方应尽最大努力追回被泄露的信息或采取有效措施避免、减少因信息泄露所引起的不良后果的义务。</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3.本协议未尽事宜，双方另行商定。</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rPr>
          <w:highlight w:val="none"/>
        </w:rPr>
      </w:pPr>
      <w:r>
        <w:rPr>
          <w:highlight w:val="none"/>
        </w:rPr>
      </w:r>
      <w:r/>
    </w:p>
    <w:p>
      <w:pPr>
        <w:contextualSpacing/>
        <w:jc w:val="both"/>
        <w:spacing w:after="0" w:line="240" w:lineRule="auto"/>
        <w:widowControl w:val="off"/>
        <w:rPr>
          <w:rFonts w:hint="eastAsia" w:ascii="仿宋" w:hAnsi="仿宋" w:eastAsia="仿宋" w:cs="仿宋"/>
          <w:sz w:val="28"/>
          <w:szCs w:val="28"/>
          <w:highlight w:val="none"/>
          <w:lang w:val="en-US" w:eastAsia="zh-CN"/>
        </w:rPr>
        <w:sectPr>
          <w:footerReference w:type="default" r:id="rId14"/>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sz w:val="28"/>
          <w:szCs w:val="28"/>
          <w:highlight w:val="none"/>
          <w:lang w:val="en-US" w:eastAsia="zh-CN"/>
        </w:rPr>
      </w:r>
      <w:r/>
    </w:p>
    <w:p>
      <w:pPr>
        <w:numPr>
          <w:ilvl w:val="0"/>
          <w:numId w:val="1"/>
        </w:numPr>
        <w:jc w:val="center"/>
        <w:spacing w:line="400" w:lineRule="exac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采购需求</w:t>
      </w:r>
      <w:bookmarkStart w:id="6" w:name="_Toc322457054"/>
      <w:r/>
      <w:bookmarkEnd w:id="6"/>
      <w:r/>
      <w:bookmarkStart w:id="7" w:name="_Toc324452802"/>
      <w:r/>
      <w:bookmarkEnd w:id="7"/>
      <w:r/>
      <w:r/>
    </w:p>
    <w:p>
      <w:pPr>
        <w:ind w:left="0" w:right="0" w:firstLine="562"/>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一、本项目不接受</w:t>
      </w:r>
      <w:r>
        <w:rPr>
          <w:rFonts w:hint="eastAsia" w:ascii="仿宋" w:hAnsi="仿宋" w:eastAsia="仿宋" w:cs="仿宋"/>
          <w:b/>
          <w:color w:val="000000"/>
          <w:sz w:val="28"/>
          <w:szCs w:val="28"/>
          <w:highlight w:val="none"/>
        </w:rPr>
        <w:t xml:space="preserve">超过</w:t>
      </w:r>
      <w:r>
        <w:rPr>
          <w:rFonts w:hint="eastAsia" w:ascii="仿宋" w:hAnsi="仿宋" w:eastAsia="仿宋" w:cs="仿宋"/>
          <w:b/>
          <w:color w:val="000000"/>
          <w:sz w:val="28"/>
          <w:szCs w:val="28"/>
          <w:highlight w:val="none"/>
          <w:u w:val="single"/>
        </w:rPr>
        <w:t xml:space="preserve">1</w:t>
      </w:r>
      <w:r>
        <w:rPr>
          <w:rFonts w:hint="eastAsia" w:ascii="仿宋" w:hAnsi="仿宋" w:eastAsia="仿宋" w:cs="仿宋"/>
          <w:b/>
          <w:color w:val="000000"/>
          <w:sz w:val="28"/>
          <w:szCs w:val="28"/>
          <w:highlight w:val="none"/>
          <w:u w:val="single"/>
          <w:lang w:val="en-US" w:eastAsia="zh-CN"/>
        </w:rPr>
        <w:t xml:space="preserve">62</w:t>
      </w:r>
      <w:r>
        <w:rPr>
          <w:rFonts w:hint="eastAsia" w:ascii="仿宋" w:hAnsi="仿宋" w:eastAsia="仿宋" w:cs="仿宋"/>
          <w:b/>
          <w:color w:val="000000"/>
          <w:sz w:val="28"/>
          <w:szCs w:val="28"/>
          <w:highlight w:val="none"/>
        </w:rPr>
        <w:t xml:space="preserve">万元</w:t>
      </w:r>
      <w:r>
        <w:rPr>
          <w:rFonts w:hint="eastAsia" w:ascii="仿宋" w:hAnsi="仿宋" w:eastAsia="仿宋" w:cs="仿宋"/>
          <w:b/>
          <w:color w:val="000000"/>
          <w:sz w:val="28"/>
          <w:szCs w:val="28"/>
          <w:highlight w:val="none"/>
        </w:rPr>
        <w:t xml:space="preserve">（采购项目预算金额）的报价。</w:t>
      </w:r>
      <w:r/>
    </w:p>
    <w:p>
      <w:pPr>
        <w:ind w:left="0" w:right="0" w:firstLine="560"/>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报价应包括符合采购需求和</w:t>
      </w:r>
      <w:r>
        <w:rPr>
          <w:rFonts w:hint="eastAsia" w:ascii="仿宋" w:hAnsi="仿宋" w:eastAsia="仿宋" w:cs="仿宋"/>
          <w:color w:val="000000"/>
          <w:sz w:val="28"/>
          <w:szCs w:val="28"/>
          <w:highlight w:val="none"/>
          <w:lang w:val="en-US" w:eastAsia="zh-CN"/>
        </w:rPr>
        <w:t xml:space="preserve">对考古</w:t>
      </w:r>
      <w:r>
        <w:rPr>
          <w:rFonts w:hint="eastAsia" w:ascii="仿宋" w:hAnsi="仿宋" w:eastAsia="仿宋" w:cs="仿宋"/>
          <w:color w:val="000000"/>
          <w:sz w:val="28"/>
          <w:szCs w:val="28"/>
          <w:highlight w:val="none"/>
        </w:rPr>
        <w:t xml:space="preserve">场地所需的</w:t>
      </w:r>
      <w:r>
        <w:rPr>
          <w:rFonts w:hint="eastAsia" w:ascii="仿宋" w:hAnsi="仿宋" w:eastAsia="仿宋" w:cs="仿宋"/>
          <w:color w:val="000000"/>
          <w:sz w:val="28"/>
          <w:szCs w:val="28"/>
          <w:highlight w:val="none"/>
          <w:u w:val="single"/>
          <w:lang w:val="en-US" w:eastAsia="zh-CN"/>
        </w:rPr>
        <w:t xml:space="preserve">人工费用</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其他考古发掘费（消耗材料</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val="en-US" w:eastAsia="zh-CN"/>
        </w:rPr>
        <w:t xml:space="preserve">器材、</w:t>
      </w:r>
      <w:r>
        <w:rPr>
          <w:rFonts w:hint="eastAsia" w:ascii="仿宋" w:hAnsi="仿宋" w:eastAsia="仿宋" w:cs="仿宋"/>
          <w:color w:val="000000"/>
          <w:sz w:val="28"/>
          <w:szCs w:val="28"/>
          <w:highlight w:val="none"/>
          <w:u w:val="single"/>
        </w:rPr>
        <w:t xml:space="preserve">设备更新折旧费、资料</w:t>
      </w:r>
      <w:r>
        <w:rPr>
          <w:rFonts w:hint="eastAsia" w:ascii="仿宋" w:hAnsi="仿宋" w:eastAsia="仿宋" w:cs="仿宋"/>
          <w:color w:val="000000"/>
          <w:sz w:val="28"/>
          <w:szCs w:val="28"/>
          <w:highlight w:val="none"/>
          <w:u w:val="single"/>
          <w:lang w:val="en-US" w:eastAsia="zh-CN"/>
        </w:rPr>
        <w:t xml:space="preserve">记录</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交通</w:t>
      </w:r>
      <w:r>
        <w:rPr>
          <w:rFonts w:hint="eastAsia" w:ascii="仿宋" w:hAnsi="仿宋" w:eastAsia="仿宋" w:cs="仿宋"/>
          <w:color w:val="000000"/>
          <w:sz w:val="28"/>
          <w:szCs w:val="28"/>
          <w:highlight w:val="none"/>
          <w:u w:val="single"/>
        </w:rPr>
        <w:t xml:space="preserve">运输费、</w:t>
      </w:r>
      <w:r>
        <w:rPr>
          <w:rFonts w:hint="eastAsia" w:ascii="仿宋" w:hAnsi="仿宋" w:eastAsia="仿宋" w:cs="仿宋"/>
          <w:color w:val="000000"/>
          <w:sz w:val="28"/>
          <w:szCs w:val="28"/>
          <w:highlight w:val="none"/>
          <w:u w:val="single"/>
          <w:lang w:val="en-US" w:eastAsia="zh-CN"/>
        </w:rPr>
        <w:t xml:space="preserve">占地补偿费、临时建筑设施费、</w:t>
      </w:r>
      <w:r>
        <w:rPr>
          <w:rFonts w:hint="eastAsia" w:ascii="仿宋" w:hAnsi="仿宋" w:eastAsia="仿宋" w:cs="仿宋"/>
          <w:color w:val="000000"/>
          <w:sz w:val="28"/>
          <w:szCs w:val="28"/>
          <w:highlight w:val="none"/>
          <w:u w:val="single"/>
        </w:rPr>
        <w:t xml:space="preserve">文物标本测试鉴定及多学科合作费</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发掘工作管理费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发掘现场安全保卫费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资料整理及报告出版费及不可预见费</w:t>
      </w:r>
      <w:r>
        <w:rPr>
          <w:rFonts w:hint="eastAsia" w:ascii="仿宋" w:hAnsi="仿宋" w:eastAsia="仿宋" w:cs="仿宋"/>
          <w:color w:val="000000"/>
          <w:sz w:val="28"/>
          <w:szCs w:val="28"/>
          <w:highlight w:val="none"/>
          <w:u w:val="single"/>
          <w:lang w:val="en-US" w:eastAsia="zh-CN"/>
        </w:rPr>
        <w:t xml:space="preserve">等</w:t>
      </w:r>
      <w:r>
        <w:rPr>
          <w:rFonts w:hint="eastAsia" w:ascii="仿宋" w:hAnsi="仿宋" w:eastAsia="仿宋" w:cs="仿宋"/>
          <w:color w:val="000000"/>
          <w:sz w:val="28"/>
          <w:szCs w:val="28"/>
          <w:highlight w:val="none"/>
        </w:rPr>
        <w:t xml:space="preserve">。采购人不再支付报价以外的任何费用。</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项目概况：</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此次文物区域评估分为20个地块，总面积7.26平方公里（最终已实际评估区域为准）。按照《关于印发江苏省开发区域评估工作方案（试行）的通知》（苏商开发[2019]280号）精神，为加快推进“多规合一”，探索“规划同评”，该区域在土地储备、规划之前，需要开展文物资源区域评估。经现场踏察确认，评估区域已达到开展评估工作的基本条件。</w:t>
      </w:r>
      <w:r/>
    </w:p>
    <w:p>
      <w:pPr>
        <w:numPr>
          <w:ilvl w:val="0"/>
          <w:numId w:val="0"/>
        </w:num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bidi="ar-SA"/>
        </w:rPr>
        <w:t xml:space="preserve">三、</w:t>
      </w:r>
      <w:r>
        <w:rPr>
          <w:rFonts w:hint="eastAsia" w:ascii="仿宋" w:hAnsi="仿宋" w:eastAsia="仿宋" w:cs="仿宋"/>
          <w:b/>
          <w:color w:val="000000"/>
          <w:sz w:val="28"/>
          <w:szCs w:val="28"/>
          <w:highlight w:val="none"/>
          <w:lang w:val="en-US" w:eastAsia="zh-CN"/>
        </w:rPr>
        <w:t xml:space="preserve">服务内容</w:t>
      </w:r>
      <w:r/>
    </w:p>
    <w:p>
      <w:pPr>
        <w:numPr>
          <w:ilvl w:val="0"/>
          <w:numId w:val="0"/>
        </w:numPr>
        <w:ind w:right="0" w:firstLine="562"/>
        <w:jc w:val="left"/>
        <w:keepLines w:val="0"/>
        <w:keepNext w:val="0"/>
        <w:pageBreakBefore w:val="0"/>
        <w:spacing w:before="0" w:after="0" w:line="440" w:lineRule="exact"/>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1.开展相关文物资源区域评估工作：</w:t>
      </w:r>
      <w:r>
        <w:rPr>
          <w:rFonts w:hint="eastAsia" w:ascii="仿宋" w:hAnsi="仿宋" w:eastAsia="仿宋" w:cs="仿宋"/>
          <w:color w:val="000000"/>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89"/>
        <w:numPr>
          <w:ilvl w:val="0"/>
          <w:numId w:val="0"/>
        </w:numPr>
        <w:ind w:firstLine="562"/>
        <w:jc w:val="left"/>
        <w:keepLines/>
        <w:keepNext/>
        <w:pageBreakBefore w:val="0"/>
        <w:spacing w:before="0" w:after="0" w:line="440" w:lineRule="exact"/>
        <w:widowControl w:val="off"/>
        <w:rPr>
          <w:rFonts w:hint="eastAsia" w:ascii="仿宋" w:hAnsi="仿宋" w:eastAsia="仿宋" w:cs="仿宋"/>
          <w:highlight w:val="none"/>
          <w:lang w:val="en-US" w:eastAsia="zh-CN"/>
        </w:rPr>
      </w:pPr>
      <w:r>
        <w:rPr>
          <w:rFonts w:hint="eastAsia" w:ascii="仿宋" w:hAnsi="仿宋" w:eastAsia="仿宋" w:cs="仿宋"/>
          <w:b/>
          <w:bCs/>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rPr>
        <w:t xml:space="preserve">编制文物资源区域评估报告：</w:t>
      </w:r>
      <w:r>
        <w:rPr>
          <w:rFonts w:hint="eastAsia" w:ascii="仿宋" w:hAnsi="仿宋" w:eastAsia="仿宋" w:cs="仿宋"/>
          <w:b w:val="0"/>
          <w:bCs w:val="0"/>
          <w:color w:val="000000"/>
          <w:sz w:val="28"/>
          <w:szCs w:val="28"/>
          <w:highlight w:val="none"/>
          <w:lang w:val="en-US" w:eastAsia="zh-CN" w:bidi="ar-SA"/>
        </w:rPr>
        <w:t xml:space="preserve">区域评估工作结束，需按地块出具调查评估报告（包括文字、图纸、表格、影像、总结等合规的详细记录）。</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四、区域评估服务要求</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文物资源区域评估</w:t>
      </w:r>
      <w:r>
        <w:rPr>
          <w:rFonts w:hint="eastAsia" w:ascii="仿宋" w:hAnsi="仿宋" w:eastAsia="仿宋" w:cs="仿宋"/>
          <w:color w:val="000000"/>
          <w:sz w:val="28"/>
          <w:szCs w:val="28"/>
          <w:highlight w:val="none"/>
        </w:rPr>
        <w:t xml:space="preserve">工作实施前，根据区域现场情况和历年考古成果，制定科学、详实的工作计划，明确工作任务、技术路线、人员分工和职责、文物保护措施和应急预案等。</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3.实际</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工作中确定</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单元</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，对</w:t>
      </w:r>
      <w:r>
        <w:rPr>
          <w:rFonts w:hint="eastAsia" w:ascii="仿宋" w:hAnsi="仿宋" w:eastAsia="仿宋" w:cs="仿宋"/>
          <w:color w:val="000000"/>
          <w:sz w:val="28"/>
          <w:szCs w:val="28"/>
          <w:highlight w:val="none"/>
          <w:lang w:val="en-US" w:eastAsia="zh-CN"/>
        </w:rPr>
        <w:t xml:space="preserve">评估的</w:t>
      </w:r>
      <w:r>
        <w:rPr>
          <w:rFonts w:hint="eastAsia" w:ascii="仿宋" w:hAnsi="仿宋" w:eastAsia="仿宋" w:cs="仿宋"/>
          <w:color w:val="000000"/>
          <w:sz w:val="28"/>
          <w:szCs w:val="28"/>
          <w:highlight w:val="none"/>
        </w:rPr>
        <w:t xml:space="preserve">结果测绘成图，并按照</w:t>
      </w:r>
      <w:r>
        <w:rPr>
          <w:rFonts w:hint="eastAsia" w:ascii="仿宋" w:hAnsi="仿宋" w:eastAsia="仿宋" w:cs="仿宋"/>
          <w:color w:val="000000"/>
          <w:sz w:val="28"/>
          <w:szCs w:val="28"/>
          <w:highlight w:val="none"/>
          <w:lang w:val="en-US" w:eastAsia="zh-CN"/>
        </w:rPr>
        <w:t xml:space="preserve">相关文物考古等规范要求</w:t>
      </w:r>
      <w:r>
        <w:rPr>
          <w:rFonts w:hint="eastAsia" w:ascii="仿宋" w:hAnsi="仿宋" w:eastAsia="仿宋" w:cs="仿宋"/>
          <w:color w:val="000000"/>
          <w:sz w:val="28"/>
          <w:szCs w:val="28"/>
          <w:highlight w:val="none"/>
        </w:rPr>
        <w:t xml:space="preserve">规范记录。在实际工作中将严格按照《考古勘探工作规程（试行）》的相关要求规范进行。在</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的基础之上，对于已经发现或者疑似文物埋藏区的区域进行重点勘探。</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4.本次土地文物资源区域评估工作田野勘探将采取5×5米梅花状等距的方式进行布孔勘探，对经普探发现文物遗存的区域将进行重点卡探。勘探对象为其他地形的，酌情布孔。</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结束，需按地块出具</w:t>
      </w:r>
      <w:r>
        <w:rPr>
          <w:rFonts w:hint="eastAsia" w:ascii="仿宋" w:hAnsi="仿宋" w:eastAsia="仿宋" w:cs="仿宋"/>
          <w:color w:val="000000"/>
          <w:sz w:val="28"/>
          <w:szCs w:val="28"/>
          <w:highlight w:val="none"/>
          <w:lang w:val="en-US" w:eastAsia="zh-CN"/>
        </w:rPr>
        <w:t xml:space="preserve">区域</w:t>
      </w:r>
      <w:r>
        <w:rPr>
          <w:rFonts w:hint="eastAsia" w:ascii="仿宋" w:hAnsi="仿宋" w:eastAsia="仿宋" w:cs="仿宋"/>
          <w:color w:val="000000"/>
          <w:sz w:val="28"/>
          <w:szCs w:val="28"/>
          <w:highlight w:val="none"/>
        </w:rPr>
        <w:t xml:space="preserve">评估报告（包括文字、图纸、表格、影像、遗迹地理信息、总结等合规的详细记录）。报告须符合《江苏省开发区区域评估工作方案(试行)》的通知要求，并通过文物主管部门的审核。</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6.勘探人员在不违反安全操作规范的前提下须服从并配合采购人安排，所有勘探工作应在采购人的统一指导安排下进行，如不服从或不及时投标采购人要求，造成的一切损失由</w:t>
      </w: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lang w:eastAsia="zh-CN"/>
        </w:rPr>
        <w:t xml:space="preserve">商</w:t>
      </w:r>
      <w:r>
        <w:rPr>
          <w:rFonts w:hint="eastAsia" w:ascii="仿宋" w:hAnsi="仿宋" w:eastAsia="仿宋" w:cs="仿宋"/>
          <w:color w:val="000000"/>
          <w:sz w:val="28"/>
          <w:szCs w:val="28"/>
          <w:highlight w:val="none"/>
        </w:rPr>
        <w:t xml:space="preserve">承担。</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7.本次</w:t>
      </w:r>
      <w:r>
        <w:rPr>
          <w:rFonts w:hint="eastAsia" w:ascii="仿宋" w:hAnsi="仿宋" w:eastAsia="仿宋" w:cs="仿宋"/>
          <w:color w:val="000000"/>
          <w:sz w:val="28"/>
          <w:szCs w:val="28"/>
          <w:highlight w:val="none"/>
          <w:lang w:val="en-US" w:eastAsia="zh-CN"/>
        </w:rPr>
        <w:t xml:space="preserve">江苏睢宁经济开发区文物资源区域评估项目涉及</w:t>
      </w:r>
      <w:r>
        <w:rPr>
          <w:rFonts w:hint="eastAsia" w:ascii="仿宋" w:hAnsi="仿宋" w:eastAsia="仿宋" w:cs="仿宋"/>
          <w:color w:val="000000"/>
          <w:sz w:val="28"/>
          <w:szCs w:val="28"/>
          <w:highlight w:val="none"/>
        </w:rPr>
        <w:t xml:space="preserve">共</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个地块，</w:t>
      </w:r>
      <w:r>
        <w:rPr>
          <w:rFonts w:hint="eastAsia" w:ascii="仿宋" w:hAnsi="仿宋" w:eastAsia="仿宋" w:cs="仿宋"/>
          <w:color w:val="000000"/>
          <w:sz w:val="28"/>
          <w:szCs w:val="28"/>
          <w:highlight w:val="none"/>
          <w:lang w:val="en-US" w:eastAsia="zh-CN"/>
        </w:rPr>
        <w:t xml:space="preserve">评估面积约7.26平方公里；</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en-US" w:eastAsia="zh-Hans"/>
        </w:rPr>
        <w:t xml:space="preserve">不论何时，</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lang w:val="en-US" w:eastAsia="zh-Hans"/>
        </w:rPr>
        <w:t xml:space="preserve">都应承担</w:t>
      </w:r>
      <w:r>
        <w:rPr>
          <w:rFonts w:hint="eastAsia" w:ascii="仿宋" w:hAnsi="仿宋" w:eastAsia="仿宋" w:cs="仿宋"/>
          <w:color w:val="000000"/>
          <w:sz w:val="28"/>
          <w:szCs w:val="28"/>
          <w:highlight w:val="none"/>
          <w:lang w:val="en-US" w:eastAsia="zh-CN"/>
        </w:rPr>
        <w:t xml:space="preserve">该项目考古</w:t>
      </w:r>
      <w:r>
        <w:rPr>
          <w:rFonts w:hint="eastAsia" w:ascii="仿宋" w:hAnsi="仿宋" w:eastAsia="仿宋" w:cs="仿宋"/>
          <w:color w:val="000000"/>
          <w:sz w:val="28"/>
          <w:szCs w:val="28"/>
          <w:highlight w:val="none"/>
          <w:lang w:val="en-US" w:eastAsia="zh-Hans"/>
        </w:rPr>
        <w:t xml:space="preserve">的保密责任；</w:t>
      </w:r>
      <w:r>
        <w:rPr>
          <w:rFonts w:hint="eastAsia" w:ascii="仿宋" w:hAnsi="仿宋" w:eastAsia="仿宋" w:cs="仿宋"/>
          <w:color w:val="000000"/>
          <w:sz w:val="28"/>
          <w:szCs w:val="28"/>
          <w:highlight w:val="none"/>
          <w:lang w:val="en-US" w:eastAsia="zh-CN"/>
        </w:rPr>
        <w:t xml:space="preserve">未经采购人同意，</w:t>
      </w:r>
      <w:r>
        <w:rPr>
          <w:rFonts w:hint="eastAsia" w:ascii="仿宋" w:hAnsi="仿宋" w:eastAsia="仿宋" w:cs="仿宋"/>
          <w:color w:val="000000"/>
          <w:sz w:val="28"/>
          <w:szCs w:val="28"/>
          <w:highlight w:val="none"/>
          <w:lang w:val="en-US" w:eastAsia="zh-Hans"/>
        </w:rPr>
        <w:t xml:space="preserve">均不得以任何方式和渠道向外界传递</w:t>
      </w:r>
      <w:r>
        <w:rPr>
          <w:rFonts w:hint="eastAsia" w:ascii="仿宋" w:hAnsi="仿宋" w:eastAsia="仿宋" w:cs="仿宋"/>
          <w:color w:val="000000"/>
          <w:sz w:val="28"/>
          <w:szCs w:val="28"/>
          <w:highlight w:val="none"/>
          <w:lang w:val="en-US" w:eastAsia="zh-CN"/>
        </w:rPr>
        <w:t xml:space="preserve">或泄露考古资料</w:t>
      </w:r>
      <w:r>
        <w:rPr>
          <w:rFonts w:hint="eastAsia" w:ascii="仿宋" w:hAnsi="仿宋" w:eastAsia="仿宋" w:cs="仿宋"/>
          <w:color w:val="000000"/>
          <w:sz w:val="28"/>
          <w:szCs w:val="28"/>
          <w:highlight w:val="none"/>
          <w:lang w:val="en-US" w:eastAsia="zh-Hans"/>
        </w:rPr>
        <w:t xml:space="preserve">。</w:t>
      </w:r>
      <w:r>
        <w:rPr>
          <w:rFonts w:hint="eastAsia" w:ascii="仿宋" w:hAnsi="仿宋" w:eastAsia="仿宋" w:cs="仿宋"/>
          <w:color w:val="000000"/>
          <w:sz w:val="28"/>
          <w:szCs w:val="28"/>
          <w:highlight w:val="none"/>
          <w:lang w:val="en-US" w:eastAsia="zh-CN"/>
        </w:rPr>
        <w:t xml:space="preserve">参与项目所有人员</w:t>
      </w:r>
      <w:r>
        <w:rPr>
          <w:rFonts w:hint="eastAsia" w:ascii="仿宋" w:hAnsi="仿宋" w:eastAsia="仿宋" w:cs="仿宋"/>
          <w:color w:val="000000"/>
          <w:sz w:val="28"/>
          <w:szCs w:val="28"/>
          <w:highlight w:val="none"/>
        </w:rPr>
        <w:t xml:space="preserve">不得私自保管和泄露考古资料，所有的</w:t>
      </w:r>
      <w:r>
        <w:rPr>
          <w:rFonts w:hint="eastAsia" w:ascii="仿宋" w:hAnsi="仿宋" w:eastAsia="仿宋" w:cs="仿宋"/>
          <w:color w:val="000000"/>
          <w:sz w:val="28"/>
          <w:szCs w:val="28"/>
          <w:highlight w:val="none"/>
          <w:lang w:val="en-US" w:eastAsia="zh-CN"/>
        </w:rPr>
        <w:t xml:space="preserve">考古资料、</w:t>
      </w:r>
      <w:r>
        <w:rPr>
          <w:rFonts w:hint="eastAsia" w:ascii="仿宋" w:hAnsi="仿宋" w:eastAsia="仿宋" w:cs="仿宋"/>
          <w:color w:val="000000"/>
          <w:sz w:val="28"/>
          <w:szCs w:val="28"/>
          <w:highlight w:val="none"/>
        </w:rPr>
        <w:t xml:space="preserve">工作成果及报告须严格保密。</w:t>
      </w:r>
      <w:r>
        <w:rPr>
          <w:rFonts w:hint="eastAsia" w:ascii="仿宋" w:hAnsi="仿宋" w:eastAsia="仿宋" w:cs="仿宋"/>
          <w:color w:val="000000"/>
          <w:sz w:val="28"/>
          <w:szCs w:val="28"/>
          <w:highlight w:val="none"/>
          <w:lang w:val="en-US" w:eastAsia="zh-CN"/>
        </w:rPr>
        <w:t xml:space="preserve">中标服务商参与该项目所有人员必须与中标服务商签订保密协议，采购人在后期发现未签订保密协议或者泄密等行为，有权扣除费用，一人/次壹万元。</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r>
        <w:rPr>
          <w:rFonts w:hint="eastAsia" w:ascii="仿宋" w:hAnsi="仿宋" w:eastAsia="仿宋" w:cs="仿宋"/>
          <w:color w:val="000000"/>
          <w:sz w:val="28"/>
          <w:szCs w:val="28"/>
          <w:highlight w:val="none"/>
          <w:lang w:val="en-US" w:eastAsia="zh-CN"/>
        </w:rPr>
        <w:t xml:space="preserve">参与项目所有</w:t>
      </w:r>
      <w:r>
        <w:rPr>
          <w:rFonts w:hint="eastAsia" w:ascii="仿宋" w:hAnsi="仿宋" w:eastAsia="仿宋" w:cs="仿宋"/>
          <w:color w:val="000000"/>
          <w:sz w:val="28"/>
          <w:szCs w:val="28"/>
          <w:highlight w:val="none"/>
        </w:rPr>
        <w:t xml:space="preserve">人员应熟悉《中华人民共和国文物保护法》的有关规定，不得私留截留、保管、倒卖工地上出土的古代文物和标本，一经发现，采购人有权终止合同，并依法追究当事人及连带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法律责任。</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rPr>
        <w:t xml:space="preserve">需设有固定服务电话，以便及时</w:t>
      </w:r>
      <w:r>
        <w:rPr>
          <w:rFonts w:hint="eastAsia" w:ascii="仿宋" w:hAnsi="仿宋" w:eastAsia="仿宋" w:cs="仿宋"/>
          <w:color w:val="000000"/>
          <w:sz w:val="28"/>
          <w:szCs w:val="28"/>
          <w:highlight w:val="none"/>
          <w:lang w:val="en-US" w:eastAsia="zh-CN"/>
        </w:rPr>
        <w:t xml:space="preserve">回</w:t>
      </w:r>
      <w:r>
        <w:rPr>
          <w:rFonts w:hint="eastAsia" w:ascii="仿宋" w:hAnsi="仿宋" w:eastAsia="仿宋" w:cs="仿宋"/>
          <w:color w:val="000000"/>
          <w:sz w:val="28"/>
          <w:szCs w:val="28"/>
          <w:highlight w:val="none"/>
        </w:rPr>
        <w:t xml:space="preserve">应</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在接到采购人通知起，2小时之内回复，在5个工作日内根据采购人所下达的考古任务及考古时间要求，自行组织相关人员进场。</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en-US" w:eastAsia="zh-CN"/>
        </w:rPr>
        <w:t xml:space="preserve">本次区域评估</w:t>
      </w:r>
      <w:r>
        <w:rPr>
          <w:rFonts w:hint="eastAsia" w:ascii="仿宋" w:hAnsi="仿宋" w:eastAsia="仿宋" w:cs="仿宋"/>
          <w:color w:val="000000"/>
          <w:sz w:val="28"/>
          <w:szCs w:val="28"/>
          <w:highlight w:val="none"/>
        </w:rPr>
        <w:t xml:space="preserve">工作任务由采购人统筹安排，在不违背法律法规的前提下，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须无条件服</w:t>
      </w:r>
      <w:r>
        <w:rPr>
          <w:rFonts w:hint="eastAsia" w:ascii="仿宋" w:hAnsi="仿宋" w:eastAsia="仿宋" w:cs="仿宋"/>
          <w:color w:val="000000"/>
          <w:sz w:val="28"/>
          <w:szCs w:val="28"/>
          <w:highlight w:val="none"/>
          <w:lang w:val="en-US" w:eastAsia="zh-CN"/>
        </w:rPr>
        <w:t xml:space="preserve">从</w:t>
      </w:r>
      <w:r>
        <w:rPr>
          <w:rFonts w:hint="eastAsia" w:ascii="仿宋" w:hAnsi="仿宋" w:eastAsia="仿宋" w:cs="仿宋"/>
          <w:color w:val="000000"/>
          <w:sz w:val="28"/>
          <w:szCs w:val="28"/>
          <w:highlight w:val="none"/>
        </w:rPr>
        <w:t xml:space="preserve">采购人安排。</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12.项目在120个工作日内完成；若遇不可抗拒因素 (雨雪、重要考古发现、政府有权部门的要求等)，工期顺延。考古勘探工作结束后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应当将工作报告提交给采购人，工作报告包括但不限于以下内容:项目名称、项目负责人、</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范围图、</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过程描述、地层遗迹描述、主要收获(价值初判)、遗迹定位测量图、工作过程照片、相关建议等。</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五、技术队伍要求</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1.为了满足项目的要求及强度，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需提供受过专业训练的人员，详细列出用于本项目的负责人、各层次的专业技术人员、服务人员的名单。为了方便实施本项目，</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应明确一名项目主要负责人以及 1-2 名联系人。</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2.现场环境的管理，每次考古工作当天工作结束后，现场不能留有</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人员垃圾，保证现场人走场清。</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所安排的工作人员必须经过专业培训，同时应提前告知所有现场工作人员注意事项,如由勘探人员所引起的事故,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应承担所有责任同时采购人保留追究其相关责任的权利。</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须组织及协调现场人员，维持现场秩序，保证工作有条不紊的进行，同时应对现场工作人员及其他第三方人员人身安全负责</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在项目实施过程中应做到制度上墙，人员工作时应配戴安全帽和必要的安全防护措施。每次考古项目至少设置一名安全员，挂牌上岗。如勘探人员因违规操作发生事故,或将地下管线损坏，由</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自行处理并承担由此造成的所有损失和费用。对考古工作中出现的高危项目</w:t>
      </w:r>
      <w:r>
        <w:rPr>
          <w:rFonts w:hint="eastAsia" w:ascii="仿宋" w:hAnsi="仿宋" w:eastAsia="仿宋" w:cs="仿宋"/>
          <w:color w:val="000000"/>
          <w:sz w:val="28"/>
          <w:szCs w:val="28"/>
          <w:highlight w:val="none"/>
          <w:lang w:val="en-US" w:eastAsia="zh-CN"/>
        </w:rPr>
        <w:t xml:space="preserve">及特殊情况</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应向采购人说明，并要求采取合理的保护措施，确保人员安全。在安全条件和措施不到位的情况下，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有权拒绝施工。</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对其项目的人员、物资、场地等安全负全部责任。</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须在项目实施前同采购人签订安全协议书及廉政协议书，如</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违反协议书上所述条款，采购人可依据承诺书依法追究</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责任。</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六、验收需求：</w:t>
      </w:r>
      <w:r/>
    </w:p>
    <w:p>
      <w:pPr>
        <w:ind w:left="0" w:right="0" w:firstLine="562"/>
        <w:jc w:val="left"/>
        <w:keepLines w:val="0"/>
        <w:keepNext w:val="0"/>
        <w:pageBreakBefore w:val="0"/>
        <w:spacing w:line="440" w:lineRule="exac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lang w:val="en-US" w:eastAsia="zh-CN" w:bidi="ar-SA"/>
        </w:rPr>
        <w:t xml:space="preserve"> 本项目所提供的技术咨询服务及成果应符合国家及江苏省现行相关规范要求，成果（文物资源区域评估报告）需通过省级主管部门审核，并获得批复。</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七、项目特别说明：</w:t>
      </w:r>
      <w:r/>
    </w:p>
    <w:p>
      <w:pPr>
        <w:pStyle w:val="1100"/>
        <w:ind w:left="0" w:right="0" w:firstLine="560"/>
        <w:jc w:val="left"/>
        <w:keepLines w:val="0"/>
        <w:keepNext w:val="0"/>
        <w:pageBreakBefore w:val="0"/>
        <w:spacing w:line="440" w:lineRule="exact"/>
        <w:rPr>
          <w:rFonts w:hint="eastAsia" w:ascii="仿宋" w:hAnsi="仿宋" w:eastAsia="仿宋" w:cs="仿宋"/>
          <w:color w:val="auto"/>
          <w:spacing w:val="-2"/>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auto"/>
          <w:spacing w:val="-2"/>
          <w:sz w:val="28"/>
          <w:szCs w:val="28"/>
          <w:highlight w:val="none"/>
        </w:rPr>
        <w:t xml:space="preserve">.本项目采用费用包干方式，</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auto"/>
          <w:spacing w:val="-2"/>
          <w:sz w:val="28"/>
          <w:szCs w:val="28"/>
          <w:highlight w:val="none"/>
        </w:rPr>
        <w:t xml:space="preserve">在项目实施中出现任何遗漏或事故均应自行负责，采购人不再支付任何费用。</w:t>
      </w:r>
      <w:r/>
    </w:p>
    <w:p>
      <w:pPr>
        <w:pStyle w:val="1100"/>
        <w:ind w:left="0" w:right="0" w:firstLine="552"/>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auto"/>
          <w:spacing w:val="-2"/>
          <w:sz w:val="28"/>
          <w:szCs w:val="28"/>
          <w:highlight w:val="none"/>
          <w:lang w:val="en-US" w:eastAsia="zh-CN"/>
        </w:rPr>
        <w:t xml:space="preserve">2</w:t>
      </w:r>
      <w:r>
        <w:rPr>
          <w:rFonts w:hint="eastAsia" w:ascii="仿宋" w:hAnsi="仿宋" w:eastAsia="仿宋" w:cs="仿宋"/>
          <w:color w:val="auto"/>
          <w:spacing w:val="-2"/>
          <w:sz w:val="28"/>
          <w:szCs w:val="28"/>
          <w:highlight w:val="none"/>
        </w:rPr>
        <w:t xml:space="preserve">.</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在投标前可踏勘现场，踏勘期间发生的意外自负，有关费用自理。</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自签订合同进场之日起</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0个工作日内完成所有工作。</w:t>
      </w:r>
      <w:r/>
    </w:p>
    <w:p>
      <w:pPr>
        <w:pStyle w:val="1100"/>
        <w:ind w:left="0" w:right="0" w:firstLine="560"/>
        <w:jc w:val="left"/>
        <w:keepLines w:val="0"/>
        <w:keepNext w:val="0"/>
        <w:pageBreakBefore w:val="0"/>
        <w:spacing w:line="44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4.区域评估范围以最终实际勘探范围为准。</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八、其他要求：见招标文件附件：《拟签订合同文本》。</w:t>
      </w:r>
      <w:r/>
    </w:p>
    <w:p>
      <w:pPr>
        <w:pStyle w:val="821"/>
        <w:ind w:left="0" w:firstLine="0"/>
        <w:rPr>
          <w:highlight w:val="none"/>
        </w:rPr>
      </w:pPr>
      <w:r>
        <w:rPr>
          <w:highlight w:val="none"/>
        </w:rPr>
      </w:r>
      <w:r/>
    </w:p>
    <w:p>
      <w:pPr>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0"/>
          <w:highlight w:val="none"/>
          <w:lang w:eastAsia="zh-CN"/>
        </w:rPr>
        <w:t xml:space="preserve">第七章  投标文件相关格式</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目  录</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1、投标函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2、开标一览表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3、分项价格表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4、偏离表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5、法定代表人授权书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6、中小企业声明函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 残疾人福利性单位声明函</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8. 投标人参加招标采购活动前3年内在经营活动中没有重大违法和失信记录的书面声明</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9. 具备履行合同所必需的设备和专业技术能力的书面声明</w:t>
      </w:r>
      <w:r/>
    </w:p>
    <w:p>
      <w:pPr>
        <w:ind w:firstLine="560"/>
        <w:spacing w:line="4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10.承诺书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预付款保函支付条款模板</w:t>
      </w:r>
      <w:r/>
    </w:p>
    <w:p>
      <w:pPr>
        <w:pStyle w:val="833"/>
        <w:rPr>
          <w:rFonts w:hint="default"/>
          <w:highlight w:val="none"/>
          <w:lang w:val="en-US"/>
        </w:rPr>
      </w:pPr>
      <w:r>
        <w:rPr>
          <w:rFonts w:hint="default"/>
          <w:highlight w:val="none"/>
          <w:lang w:val="en-US"/>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numPr>
          <w:ilvl w:val="0"/>
          <w:numId w:val="2"/>
        </w:numPr>
        <w:spacing w:after="0" w:line="400" w:lineRule="exact"/>
        <w:rPr>
          <w:rFonts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投标函格式</w:t>
      </w:r>
      <w:r/>
    </w:p>
    <w:p>
      <w:pPr>
        <w:pStyle w:val="809"/>
        <w:ind w:left="120"/>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致：</w:t>
      </w:r>
      <w:r>
        <w:rPr>
          <w:rFonts w:hint="eastAsia" w:ascii="仿宋" w:hAnsi="仿宋" w:eastAsia="仿宋" w:cs="仿宋"/>
          <w:color w:val="auto"/>
          <w:sz w:val="30"/>
          <w:highlight w:val="none"/>
          <w:u w:val="single"/>
          <w:lang w:eastAsia="zh-CN"/>
        </w:rPr>
        <w:t xml:space="preserve">江苏东科建设项目管理有限公司</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根据</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项目[项目编号：JSZC-320324-JSDK-G2026-0001 ]招标文件，</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(姓名)代表我方</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（投标人的名称）全权处理本次投标的有关事宜。</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据此函，投标人承诺并同意如下：</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投标人唯一投标报价见《开标一览表》。</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投标人满足《中华人民共和国政府采购法》第二十二条的规定，将按招标文件的规定履行合同责任和义务。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4. 投标有效期为开标之日后120天。</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5. 投标人同意提供按照贵方可能要求的与其投标有关的一切数据或资料，完全理解贵方不一定接受最低价的投标或收到的任何投标。</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6. 投标人同意在授予合同后，按照有关规定支付公证费(如有)。</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7. 江苏东科建设项目管理有限公司有权将我单位本项目的《开标一览表》和《分项价格表》予以公示，公示的方式由江苏东科建设项目管理有限公司确定。</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8. 招标人有权对投标人投标文件的真实性进行核实，如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9. 与本投标有关的一切正式往来信函请寄：</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地址：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电话：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传真： </w:t>
      </w:r>
      <w:r/>
    </w:p>
    <w:p>
      <w:pPr>
        <w:ind w:firstLine="2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二、开标一览表格式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7"/>
        <w:gridCol w:w="1950"/>
        <w:gridCol w:w="3439"/>
      </w:tblGrid>
      <w:tr>
        <w:trPr>
          <w:trHeight w:val="1163"/>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投标总价（小写）</w:t>
            </w:r>
            <w:r/>
          </w:p>
        </w:tc>
      </w:tr>
      <w:tr>
        <w:trPr>
          <w:trHeight w:val="1214"/>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江苏睢宁经济开发区文物资源区域评估项目</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详见招标文件</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tc>
      </w:tr>
      <w:tr>
        <w:trPr>
          <w:trHeight w:val="1452"/>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2"/>
            <w:tcMar>
              <w:left w:w="108" w:type="dxa"/>
              <w:top w:w="0" w:type="dxa"/>
              <w:right w:w="108" w:type="dxa"/>
              <w:bottom w:w="0" w:type="dxa"/>
            </w:tcMar>
            <w:tcW w:w="538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1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842"/>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42"/>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42"/>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42"/>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42"/>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42"/>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三、分项价格表格式</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JSZC-320324-JSDK-G2026-0001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p>
      <w:pPr>
        <w:ind w:firstLine="601"/>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格式自拟</w:t>
      </w:r>
      <w:r/>
    </w:p>
    <w:p>
      <w:pPr>
        <w:pStyle w:val="833"/>
        <w:rPr>
          <w:rFonts w:hint="default"/>
          <w:highlight w:val="none"/>
          <w:lang w:val="en-US" w:eastAsia="zh-CN"/>
        </w:rPr>
      </w:pPr>
      <w:r>
        <w:rPr>
          <w:rFonts w:hint="default"/>
          <w:highlight w:val="none"/>
          <w:lang w:val="en-US" w:eastAsia="zh-CN"/>
        </w:rPr>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本款说明：</w:t>
      </w:r>
      <w:r/>
    </w:p>
    <w:p>
      <w:pPr>
        <w:ind w:firstLine="600"/>
        <w:jc w:val="both"/>
        <w:spacing w:after="0" w:line="400" w:lineRule="exact"/>
        <w:rPr>
          <w:rFonts w:hint="default"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eastAsia="zh-CN"/>
        </w:rPr>
        <w:t xml:space="preserve">1. 格式自拟，</w:t>
      </w:r>
      <w:r>
        <w:rPr>
          <w:rFonts w:hint="eastAsia" w:ascii="仿宋" w:hAnsi="仿宋" w:eastAsia="仿宋" w:cs="仿宋"/>
          <w:b/>
          <w:bCs/>
          <w:color w:val="auto"/>
          <w:sz w:val="28"/>
          <w:szCs w:val="21"/>
          <w:highlight w:val="none"/>
          <w:lang w:val="en-US" w:eastAsia="zh-CN"/>
        </w:rPr>
        <w:t xml:space="preserve">分项价格表必须提供</w:t>
      </w:r>
      <w:r>
        <w:rPr>
          <w:rFonts w:hint="eastAsia" w:ascii="仿宋" w:hAnsi="仿宋" w:eastAsia="仿宋" w:cs="仿宋"/>
          <w:b/>
          <w:bCs/>
          <w:color w:val="auto"/>
          <w:sz w:val="28"/>
          <w:szCs w:val="21"/>
          <w:highlight w:val="none"/>
          <w:lang w:eastAsia="zh-CN"/>
        </w:rPr>
        <w:t xml:space="preserve">。</w:t>
      </w:r>
      <w:r>
        <w:rPr>
          <w:rFonts w:hint="eastAsia" w:ascii="仿宋" w:hAnsi="仿宋" w:eastAsia="仿宋" w:cs="仿宋"/>
          <w:b/>
          <w:bCs/>
          <w:color w:val="auto"/>
          <w:sz w:val="28"/>
          <w:szCs w:val="21"/>
          <w:highlight w:val="none"/>
          <w:lang w:val="en-US" w:eastAsia="zh-CN"/>
        </w:rPr>
        <w:t xml:space="preserve">否则作无效标处理。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2.</w:t>
      </w:r>
      <w:r>
        <w:rPr>
          <w:rFonts w:hint="eastAsia" w:ascii="仿宋" w:hAnsi="仿宋" w:eastAsia="仿宋" w:cs="仿宋"/>
          <w:color w:val="auto"/>
          <w:sz w:val="28"/>
          <w:szCs w:val="21"/>
          <w:highlight w:val="none"/>
          <w:lang w:eastAsia="zh-CN"/>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3</w:t>
      </w:r>
      <w:r>
        <w:rPr>
          <w:rFonts w:hint="eastAsia" w:ascii="仿宋" w:hAnsi="仿宋" w:eastAsia="仿宋" w:cs="仿宋"/>
          <w:color w:val="auto"/>
          <w:sz w:val="28"/>
          <w:szCs w:val="21"/>
          <w:highlight w:val="none"/>
          <w:lang w:eastAsia="zh-CN"/>
        </w:rPr>
        <w:t xml:space="preserve">.享受政府采购支持政策的残疾人福利性单位应满足的条件以《关于促进残疾人就业政府采购政策的通知》（财库〔2017〕141号）的规定为准。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注：①如果不提供详细分项报价的，将视为没有实质性响应招标文件。详细的分项价格中至少包含服务项目名称、单位、数量、单价、总价、税金等项目②投标人对以上数据的真实性负责。</w:t>
      </w:r>
      <w:r/>
    </w:p>
    <w:p>
      <w:pPr>
        <w:ind w:firstLine="600"/>
        <w:jc w:val="both"/>
        <w:spacing w:after="0" w:line="400" w:lineRule="exact"/>
        <w:rPr>
          <w:rFonts w:hint="eastAsia"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val="en-US" w:eastAsia="zh-CN"/>
        </w:rPr>
        <w:t xml:space="preserve">4.分项价格</w:t>
      </w:r>
      <w:r>
        <w:rPr>
          <w:rFonts w:hint="eastAsia" w:ascii="仿宋" w:hAnsi="仿宋" w:eastAsia="仿宋" w:cs="仿宋"/>
          <w:b/>
          <w:bCs/>
          <w:color w:val="auto"/>
          <w:sz w:val="28"/>
          <w:szCs w:val="21"/>
          <w:highlight w:val="none"/>
          <w:lang w:eastAsia="zh-CN"/>
        </w:rPr>
        <w:t xml:space="preserve">表中的合计报价应与“</w:t>
      </w:r>
      <w:r>
        <w:rPr>
          <w:rFonts w:hint="eastAsia" w:ascii="仿宋" w:hAnsi="仿宋" w:eastAsia="仿宋" w:cs="仿宋"/>
          <w:b/>
          <w:bCs/>
          <w:color w:val="auto"/>
          <w:sz w:val="28"/>
          <w:szCs w:val="21"/>
          <w:highlight w:val="none"/>
          <w:lang w:val="en-US" w:eastAsia="zh-CN"/>
        </w:rPr>
        <w:t xml:space="preserve">开标</w:t>
      </w:r>
      <w:r>
        <w:rPr>
          <w:rFonts w:hint="eastAsia" w:ascii="仿宋" w:hAnsi="仿宋" w:eastAsia="仿宋" w:cs="仿宋"/>
          <w:b/>
          <w:bCs/>
          <w:color w:val="auto"/>
          <w:sz w:val="28"/>
          <w:szCs w:val="21"/>
          <w:highlight w:val="none"/>
          <w:lang w:eastAsia="zh-CN"/>
        </w:rPr>
        <w:t xml:space="preserve">一览表”中的总价金额相一致。</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江苏东科建设项目管理有限公司有权将以上内容进行公示。</w:t>
      </w:r>
      <w:r/>
    </w:p>
    <w:p>
      <w:pPr>
        <w:ind w:firstLine="600"/>
        <w:jc w:val="both"/>
        <w:spacing w:after="0" w:line="400" w:lineRule="exact"/>
        <w:rPr>
          <w:rFonts w:hint="default"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1"/>
          <w:highlight w:val="none"/>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ind w:firstLine="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四、偏离表格式</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1、商务偏离表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2.技术偏离表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lang w:eastAsia="zh-CN"/>
        </w:rPr>
        <w:t xml:space="preserve"> </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79" w:lineRule="atLeast"/>
        <w:widowControl w:val="off"/>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0"/>
          <w:szCs w:val="30"/>
          <w:highlight w:val="none"/>
          <w:lang w:eastAsia="zh-CN"/>
        </w:rPr>
        <w:t xml:space="preserve">授权委托书及法定代表人身份证明书格式</w:t>
      </w:r>
      <w:r/>
    </w:p>
    <w:p>
      <w:pPr>
        <w:jc w:val="both"/>
        <w:spacing w:after="0" w:line="240" w:lineRule="auto"/>
        <w:widowControl w:val="off"/>
        <w:rPr>
          <w:rFonts w:hint="eastAsia" w:ascii="仿宋" w:hAnsi="仿宋" w:eastAsia="仿宋" w:cs="仿宋"/>
          <w:color w:val="auto"/>
          <w:sz w:val="30"/>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24"/>
          <w:highlight w:val="none"/>
          <w:lang w:eastAsia="zh-CN"/>
        </w:rPr>
        <w:t xml:space="preserve"> </w:t>
      </w:r>
      <w:r/>
    </w:p>
    <w:p>
      <w:pPr>
        <w:jc w:val="center"/>
        <w:spacing w:after="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（一）授权委托书</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               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  岁      民族：  族</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）全权代表我企业（公司）参与（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）的招、投标活动及签订合同。（</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）以我企业（公司）名义所为的法律行为及签署的文件，我企业（公司）均予以认可。有关法律责任均由我企业（公司）承担。（</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）无转委托权。</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委托期限自</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日起至</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日止。</w:t>
      </w:r>
      <w:r/>
    </w:p>
    <w:p>
      <w:pPr>
        <w:ind w:firstLine="63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委托人（电子签章）：</w:t>
      </w:r>
      <w:r/>
    </w:p>
    <w:p>
      <w:pPr>
        <w:ind w:firstLine="60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法定代表人（签字或盖章）： </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受托人（签字或盖章）：</w:t>
      </w:r>
      <w:r/>
    </w:p>
    <w:p>
      <w:pPr>
        <w:ind w:left="0" w:right="1440" w:firstLine="602"/>
        <w:jc w:val="both"/>
        <w:spacing w:after="12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bidi="ar-SA"/>
        </w:rPr>
        <w:t xml:space="preserve">受托人联系方式：邮箱：</w:t>
      </w:r>
      <w:r/>
    </w:p>
    <w:p>
      <w:pPr>
        <w:ind w:right="600" w:firstLine="615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 </w:t>
      </w:r>
      <w:r/>
    </w:p>
    <w:p>
      <w:pPr>
        <w:jc w:val="both"/>
        <w:spacing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30"/>
          <w:szCs w:val="30"/>
          <w:highlight w:val="none"/>
          <w:lang w:val="en-US" w:eastAsia="zh-CN" w:bidi="ar-SA"/>
        </w:rPr>
        <w:t xml:space="preserve">法定代表人身份证及</w:t>
      </w:r>
      <w:r>
        <w:rPr>
          <w:rFonts w:hint="eastAsia" w:ascii="仿宋" w:hAnsi="仿宋" w:eastAsia="仿宋" w:cs="仿宋"/>
          <w:b/>
          <w:bCs/>
          <w:color w:val="auto"/>
          <w:sz w:val="28"/>
          <w:szCs w:val="28"/>
          <w:highlight w:val="none"/>
          <w:lang w:eastAsia="zh-CN"/>
        </w:rPr>
        <w:t xml:space="preserve">受托人身份证扫描件附后)</w:t>
      </w:r>
      <w:r>
        <w:rPr>
          <w:rFonts w:hint="eastAsia" w:ascii="仿宋" w:hAnsi="仿宋" w:eastAsia="仿宋" w:cs="仿宋"/>
          <w:color w:val="auto"/>
          <w:sz w:val="24"/>
          <w:szCs w:val="24"/>
          <w:highlight w:val="none"/>
          <w:lang w:eastAsia="zh-CN"/>
        </w:rPr>
        <w:t xml:space="preserve"> </w:t>
      </w:r>
      <w:r/>
    </w:p>
    <w:p>
      <w:pPr>
        <w:ind w:firstLine="600"/>
        <w:jc w:val="center"/>
        <w:spacing w:before="100" w:after="100" w:line="47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24"/>
          <w:highlight w:val="none"/>
        </w:rPr>
      </w:r>
      <w:r/>
    </w:p>
    <w:p>
      <w:pPr>
        <w:jc w:val="center"/>
        <w:spacing w:before="100" w:after="10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（二）法定代表人身份证明书</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both"/>
        <w:spacing w:after="0" w:line="500" w:lineRule="exact"/>
        <w:widowControl w:val="off"/>
        <w:tabs>
          <w:tab w:val="left" w:pos="720" w:leader="none"/>
          <w:tab w:val="left" w:pos="90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单位名称：</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地址：</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姓名：            性别：    </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身份证号：        职务：</w:t>
      </w:r>
      <w:r/>
    </w:p>
    <w:p>
      <w:pPr>
        <w:ind w:firstLine="960"/>
        <w:jc w:val="both"/>
        <w:spacing w:after="0" w:line="360" w:lineRule="auto"/>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u w:val="single"/>
          <w:lang w:eastAsia="zh-CN"/>
        </w:rPr>
      </w:r>
      <w:r/>
    </w:p>
    <w:p>
      <w:pPr>
        <w:ind w:firstLine="600"/>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val="en-US" w:eastAsia="zh-CN" w:bidi="ar-SA"/>
        </w:rPr>
        <w:t xml:space="preserve">         </w:t>
      </w:r>
      <w:r>
        <w:rPr>
          <w:rFonts w:hint="eastAsia" w:ascii="仿宋" w:hAnsi="仿宋" w:eastAsia="仿宋" w:cs="仿宋"/>
          <w:color w:val="auto"/>
          <w:sz w:val="30"/>
          <w:szCs w:val="30"/>
          <w:highlight w:val="none"/>
          <w:lang w:val="en-US" w:eastAsia="zh-CN" w:bidi="ar-SA"/>
        </w:rPr>
        <w:t xml:space="preserve">系我企业（公司）的法定代表人。</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特此证明。</w:t>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 </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法定代表人（签字或盖章）：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 年 月 日</w:t>
      </w:r>
      <w:r/>
    </w:p>
    <w:p>
      <w:pPr>
        <w:jc w:val="right"/>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val="en-US" w:eastAsia="zh-CN" w:bidi="ar-SA"/>
        </w:rPr>
        <w:t xml:space="preserve">(法定代表人身份证原件扫描件附后）</w:t>
      </w: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六、中小企业声明函格式</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项目编号：JSZC-320324-JSDK-G2026-0001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本公司郑重声明，根据《政府采购促进中小企业发展管理办法》（财库﹝2020﹞46 号）的规定，本公司参加</w:t>
      </w:r>
      <w:r>
        <w:rPr>
          <w:rFonts w:hint="eastAsia" w:ascii="仿宋" w:hAnsi="仿宋" w:eastAsia="仿宋" w:cs="仿宋"/>
          <w:color w:val="auto"/>
          <w:sz w:val="30"/>
          <w:highlight w:val="none"/>
          <w:u w:val="single"/>
          <w:lang w:eastAsia="zh-CN"/>
        </w:rPr>
        <w:t xml:space="preserve">（单位名称）</w:t>
      </w:r>
      <w:r>
        <w:rPr>
          <w:rFonts w:hint="eastAsia" w:ascii="仿宋" w:hAnsi="仿宋" w:eastAsia="仿宋" w:cs="仿宋"/>
          <w:color w:val="auto"/>
          <w:sz w:val="30"/>
          <w:highlight w:val="none"/>
          <w:lang w:eastAsia="zh-CN"/>
        </w:rPr>
        <w:t xml:space="preserve">的</w:t>
      </w:r>
      <w:r>
        <w:rPr>
          <w:rFonts w:hint="eastAsia" w:ascii="仿宋" w:hAnsi="仿宋" w:eastAsia="仿宋" w:cs="仿宋"/>
          <w:color w:val="auto"/>
          <w:sz w:val="30"/>
          <w:highlight w:val="none"/>
          <w:u w:val="single"/>
          <w:lang w:eastAsia="zh-CN"/>
        </w:rPr>
        <w:t xml:space="preserve">（项目名称）</w:t>
      </w:r>
      <w:r>
        <w:rPr>
          <w:rFonts w:hint="eastAsia" w:ascii="仿宋" w:hAnsi="仿宋" w:eastAsia="仿宋" w:cs="仿宋"/>
          <w:color w:val="auto"/>
          <w:sz w:val="30"/>
          <w:highlight w:val="none"/>
          <w:lang w:eastAsia="zh-CN"/>
        </w:rPr>
        <w:t xml:space="preserve">采购活动，服务全部由符合政策要求的中小企业承接。相关企业的具体情况如下：</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lang w:eastAsia="zh-CN"/>
        </w:rPr>
        <w:t xml:space="preserve">（标的名称）</w:t>
      </w:r>
      <w:r>
        <w:rPr>
          <w:rFonts w:hint="eastAsia" w:ascii="仿宋" w:hAnsi="仿宋" w:eastAsia="仿宋" w:cs="仿宋"/>
          <w:color w:val="auto"/>
          <w:sz w:val="30"/>
          <w:highlight w:val="none"/>
          <w:lang w:eastAsia="zh-CN"/>
        </w:rPr>
        <w:t xml:space="preserve">，属于</w:t>
      </w:r>
      <w:r>
        <w:rPr>
          <w:rFonts w:hint="eastAsia" w:ascii="仿宋" w:hAnsi="仿宋" w:eastAsia="仿宋" w:cs="仿宋"/>
          <w:color w:val="auto"/>
          <w:sz w:val="30"/>
          <w:highlight w:val="none"/>
          <w:u w:val="single"/>
          <w:lang w:eastAsia="zh-CN"/>
        </w:rPr>
        <w:t xml:space="preserve">（采购文件中明确的所属行业）</w:t>
      </w:r>
      <w:r>
        <w:rPr>
          <w:rFonts w:hint="eastAsia" w:ascii="仿宋" w:hAnsi="仿宋" w:eastAsia="仿宋" w:cs="仿宋"/>
          <w:color w:val="auto"/>
          <w:sz w:val="30"/>
          <w:highlight w:val="none"/>
          <w:lang w:eastAsia="zh-CN"/>
        </w:rPr>
        <w:t xml:space="preserve">； 承建（承接）企业为</w:t>
      </w:r>
      <w:r>
        <w:rPr>
          <w:rFonts w:hint="eastAsia" w:ascii="仿宋" w:hAnsi="仿宋" w:eastAsia="仿宋" w:cs="仿宋"/>
          <w:color w:val="auto"/>
          <w:sz w:val="30"/>
          <w:highlight w:val="none"/>
          <w:u w:val="single"/>
          <w:lang w:eastAsia="zh-CN"/>
        </w:rPr>
        <w:t xml:space="preserve">（企业名称）</w:t>
      </w:r>
      <w:r>
        <w:rPr>
          <w:rFonts w:hint="eastAsia" w:ascii="仿宋" w:hAnsi="仿宋" w:eastAsia="仿宋" w:cs="仿宋"/>
          <w:color w:val="auto"/>
          <w:sz w:val="30"/>
          <w:highlight w:val="none"/>
          <w:lang w:eastAsia="zh-CN"/>
        </w:rPr>
        <w:t xml:space="preserve">，从业人员</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人，营业收入为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万元，资产总额为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万元，属于（中型企业、小型企业、微型企业）；</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以上企业，不属于大企业的分支机构，不存在控股股东为大企业的情形，也不存在与大企业的负责人为同一人的情形。</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本企业对上述声明内容的真实性负责。如有虚假，将依法承担相应责任。</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企业名称（盖单位电子签章）：</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日期：</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注：本项目采购的服务属于</w:t>
      </w:r>
      <w:r>
        <w:rPr>
          <w:rFonts w:hint="eastAsia" w:ascii="仿宋" w:hAnsi="仿宋" w:eastAsia="仿宋" w:cs="仿宋"/>
          <w:color w:val="auto"/>
          <w:sz w:val="30"/>
          <w:highlight w:val="none"/>
          <w:u w:val="single"/>
          <w:lang w:eastAsia="zh-CN"/>
        </w:rPr>
        <w:t xml:space="preserve">其他未列明行业</w:t>
      </w:r>
      <w:r>
        <w:rPr>
          <w:rFonts w:hint="eastAsia" w:ascii="仿宋" w:hAnsi="仿宋" w:eastAsia="仿宋" w:cs="仿宋"/>
          <w:color w:val="auto"/>
          <w:sz w:val="30"/>
          <w:highlight w:val="none"/>
          <w:lang w:eastAsia="zh-CN"/>
        </w:rPr>
        <w:t xml:space="preserve">。</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备注：</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1、从业人员、营业收入、资产总额填报上一年度数据，无上一年度数据的新成立企业可不填报。</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2、《中小企业声明函》查询渠道用微信搜索“中小企业规模类型自测小程序”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eastAsia="zh-CN"/>
        </w:rPr>
        <w:t xml:space="preserve">《中小企业声明函》查询渠道用微信搜索“中小企业规模类型自测小程序”。</w:t>
      </w:r>
      <w:r/>
    </w:p>
    <w:p>
      <w:pPr>
        <w:spacing w:line="360" w:lineRule="auto"/>
        <w:rPr>
          <w:rFonts w:ascii="仿宋" w:hAnsi="仿宋" w:eastAsia="仿宋" w:cs="仿宋"/>
          <w:color w:val="auto"/>
          <w:sz w:val="24"/>
          <w:szCs w:val="21"/>
          <w:highlight w:val="none"/>
        </w:rPr>
      </w:pPr>
      <w:r>
        <w:rPr>
          <w:rFonts w:hint="eastAsia" w:ascii="仿宋" w:hAnsi="仿宋" w:eastAsia="仿宋" w:cs="仿宋"/>
          <w:color w:val="auto"/>
          <w:highlight w:val="none"/>
          <w:lang w:eastAsia="zh-CN"/>
        </w:rPr>
        <mc:AlternateContent>
          <mc:Choice Requires="wpg">
            <w:drawing>
              <wp:inline xmlns:wp="http://schemas.openxmlformats.org/drawingml/2006/wordprocessingDrawing" distT="0" distB="0" distL="0" distR="0">
                <wp:extent cx="2258695" cy="4279900"/>
                <wp:effectExtent l="0" t="0" r="8255" b="6350"/>
                <wp:docPr id="4"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8"/>
                        <a:srcRect l="0" t="4825" r="0" b="0"/>
                        <a:stretch/>
                      </pic:blipFill>
                      <pic:spPr bwMode="auto">
                        <a:xfrm>
                          <a:off x="0" y="0"/>
                          <a:ext cx="2258695" cy="4279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8pt;height:337.0pt;mso-wrap-distance-left:0.0pt;mso-wrap-distance-top:0.0pt;mso-wrap-distance-right:0.0pt;mso-wrap-distance-bottom:0.0pt;" stroked="f">
                <v:path textboxrect="0,0,0,0"/>
                <v:imagedata r:id="rId18" o:title=""/>
              </v:shape>
            </w:pict>
          </mc:Fallback>
        </mc:AlternateContent>
      </w:r>
      <w:r/>
    </w:p>
    <w:p>
      <w:pPr>
        <w:ind w:right="480"/>
        <w:spacing w:before="100" w:beforeAutospacing="1" w:afterAutospacing="1"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821"/>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21"/>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21"/>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七、残疾人福利性单位声明函格式</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项目名称：江苏睢宁经济开发区文物资源区域评估项目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项目编号：JSZC-320324-JSDK-G2026-0001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lang w:eastAsia="zh-CN"/>
        </w:rPr>
        <w:t xml:space="preserve">〔2017〕 141</w:t>
      </w:r>
      <w:r>
        <w:rPr>
          <w:rFonts w:hint="eastAsia" w:ascii="仿宋" w:hAnsi="仿宋" w:eastAsia="仿宋" w:cs="仿宋"/>
          <w:color w:val="auto"/>
          <w:spacing w:val="6"/>
          <w:sz w:val="30"/>
          <w:highlight w:val="none"/>
          <w:lang w:eastAsia="zh-CN"/>
        </w:rPr>
        <w:t xml:space="preserve">号）的规定，本单位为符合条件的残疾人福利性单位，且本单位参加</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单位的</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本单位对上述声明的真实性负责。如有虚假，将依法承担相应责任。</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25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我单位在参加江苏睢宁经济开发区文物资源区域评估项目（项目编号：JSZC-320324-JSDK-G2026-0001 ）政府采购活动前3年内，在经营活动中没有重大违法记录。重大违法记录是指因违法经营受到刑事处罚或者责令停产停业、吊销许可证或者执照、较大数额罚款等行政处罚。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我单位对上述声明的真实性负责。如有虚假，将依法承担相应责任。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九、具备履行合同所必需的设备和专业技术能力的书面声明（附证明材料复印件）格式（投标人可自行拟定）</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投标人郑重声明：投标人具备履行合同（项目名称：</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lang w:eastAsia="zh-CN"/>
        </w:rPr>
        <w:t xml:space="preserve">，项目编号：</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所必需的设备和专业技术能力， 具体为：</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设备：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专业技术能力：</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特此声明。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投标人对上述声明的真实性负责。如有虚假，将依法承担相应责任。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8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821"/>
        <w:spacing w:line="400" w:lineRule="exact"/>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numPr>
          <w:ilvl w:val="0"/>
          <w:numId w:val="0"/>
        </w:numPr>
        <w:ind w:left="0" w:right="0"/>
        <w:jc w:val="both"/>
        <w:pageBreakBefore w:val="0"/>
        <w:spacing w:line="360" w:lineRule="auto"/>
        <w:widowControl w:val="off"/>
        <w:rPr>
          <w:rFonts w:hint="default"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十、承诺书</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项目名称：</w:t>
      </w:r>
      <w:r/>
    </w:p>
    <w:p>
      <w:pPr>
        <w:ind w:firstLine="480"/>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项目编号：</w:t>
      </w:r>
      <w:r/>
    </w:p>
    <w:p>
      <w:pPr>
        <w:ind w:left="0" w:right="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 xml:space="preserve">                   </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我单位承诺：</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、我单位非为本采购项目提供整体设计、规范编制或者项目管理、监理、检测等服务的供应商。</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、我单位符合法律、行政法规规定的其他条件。</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我单位对上述承诺负责，并依法承担相应责任。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投标人：           （</w:t>
      </w:r>
      <w:r>
        <w:rPr>
          <w:rFonts w:hint="eastAsia" w:ascii="仿宋" w:hAnsi="仿宋" w:eastAsia="仿宋" w:cs="仿宋"/>
          <w:b w:val="0"/>
          <w:bCs w:val="0"/>
          <w:color w:val="auto"/>
          <w:sz w:val="24"/>
          <w:highlight w:val="none"/>
          <w:lang w:val="en-US" w:eastAsia="zh-CN"/>
        </w:rPr>
        <w:t xml:space="preserve">电子签章</w:t>
      </w:r>
      <w:r>
        <w:rPr>
          <w:rStyle w:val="1089"/>
          <w:rFonts w:hint="eastAsia" w:ascii="仿宋" w:hAnsi="仿宋" w:eastAsia="仿宋" w:cs="仿宋"/>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日期：   年  月  日</w:t>
      </w:r>
      <w:r/>
    </w:p>
    <w:p>
      <w:pPr>
        <w:ind w:right="29"/>
        <w:jc w:val="both"/>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十</w:t>
      </w:r>
      <w:r>
        <w:rPr>
          <w:rFonts w:hint="eastAsia" w:ascii="仿宋" w:hAnsi="仿宋" w:eastAsia="仿宋" w:cs="仿宋"/>
          <w:b/>
          <w:color w:val="auto"/>
          <w:sz w:val="28"/>
          <w:highlight w:val="none"/>
          <w:lang w:val="en-US" w:eastAsia="zh-CN"/>
        </w:rPr>
        <w:t xml:space="preserve">一</w:t>
      </w:r>
      <w:r>
        <w:rPr>
          <w:rFonts w:hint="eastAsia" w:ascii="仿宋" w:hAnsi="仿宋" w:eastAsia="仿宋" w:cs="仿宋"/>
          <w:b/>
          <w:color w:val="auto"/>
          <w:sz w:val="28"/>
          <w:highlight w:val="none"/>
          <w:lang w:eastAsia="zh-CN"/>
        </w:rPr>
        <w:t xml:space="preserve">、</w:t>
      </w:r>
      <w:r>
        <w:rPr>
          <w:rFonts w:hint="eastAsia" w:ascii="仿宋" w:hAnsi="仿宋" w:eastAsia="仿宋" w:cs="仿宋"/>
          <w:color w:val="auto"/>
          <w:sz w:val="30"/>
          <w:highlight w:val="none"/>
          <w:lang w:eastAsia="zh-CN"/>
        </w:rPr>
        <w:t xml:space="preserve">预付款保函支付条款模板</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符合条件一：提交预付款保函的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（1）合同签订且乙方向甲方出具预付款保函后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        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符合条件二：不提交预付款保函的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1、付款条件一中，出具预付款保函后支付的合同款应当与保函金额一致。</w:t>
      </w:r>
      <w:r/>
    </w:p>
    <w:p>
      <w:pPr>
        <w:ind w:right="147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2、付款条件二中，预付款比例设定应符合《关于做好政府采购支持企业发展有关事项的通知》(苏财购〔2020〕52号)要求。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ambria">
    <w:panose1 w:val="02040503050406030204"/>
  </w:font>
  <w:font w:name="仿宋">
    <w:panose1 w:val="02010609060101010101"/>
  </w:font>
  <w:font w:name="等线">
    <w:panose1 w:val="02010600030101010101"/>
  </w:font>
  <w:font w:name="Courier New">
    <w:panose1 w:val="02070309020205020404"/>
  </w:font>
  <w:font w:name="Calibri Light">
    <w:panose1 w:val="020F0302020204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lear" w:pos="7143" w:leader="none"/>
        <w:tab w:val="right" w:pos="8306" w:leader="none"/>
        <w:tab w:val="clear" w:pos="14287" w:leader="none"/>
      </w:tabs>
    </w:pPr>
    <w:r/>
    <w:r/>
  </w:p>
  <w:p>
    <w:pPr>
      <w:pStyle w:val="83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3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360"/>
      <w:jc w:val="righ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89"/>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86">
    <w:name w:val="Heading 1"/>
    <w:basedOn w:val="785"/>
    <w:next w:val="785"/>
    <w:link w:val="894"/>
    <w:uiPriority w:val="99"/>
    <w:qFormat/>
    <w:pPr>
      <w:keepLines/>
      <w:keepNext/>
      <w:spacing w:before="480"/>
      <w:outlineLvl w:val="0"/>
    </w:pPr>
    <w:rPr>
      <w:rFonts w:ascii="Arial" w:hAnsi="Arial" w:eastAsia="Arial" w:cs="Arial"/>
      <w:sz w:val="40"/>
      <w:szCs w:val="40"/>
    </w:rPr>
  </w:style>
  <w:style w:type="paragraph" w:styleId="787">
    <w:name w:val="Heading 2"/>
    <w:basedOn w:val="785"/>
    <w:next w:val="797"/>
    <w:link w:val="895"/>
    <w:uiPriority w:val="99"/>
    <w:unhideWhenUsed/>
    <w:qFormat/>
    <w:pPr>
      <w:keepLines/>
      <w:keepNext/>
      <w:spacing w:before="360"/>
      <w:outlineLvl w:val="1"/>
    </w:pPr>
    <w:rPr>
      <w:rFonts w:ascii="Arial" w:hAnsi="Arial" w:eastAsia="Arial" w:cs="Arial"/>
      <w:sz w:val="34"/>
    </w:rPr>
  </w:style>
  <w:style w:type="paragraph" w:styleId="788">
    <w:name w:val="Heading 3"/>
    <w:basedOn w:val="785"/>
    <w:next w:val="785"/>
    <w:link w:val="896"/>
    <w:uiPriority w:val="99"/>
    <w:unhideWhenUsed/>
    <w:qFormat/>
    <w:pPr>
      <w:keepLines/>
      <w:keepNext/>
      <w:spacing w:before="320"/>
      <w:outlineLvl w:val="2"/>
    </w:pPr>
    <w:rPr>
      <w:rFonts w:ascii="Arial" w:hAnsi="Arial" w:eastAsia="Arial" w:cs="Arial"/>
      <w:sz w:val="30"/>
      <w:szCs w:val="30"/>
    </w:rPr>
  </w:style>
  <w:style w:type="paragraph" w:styleId="789">
    <w:name w:val="Heading 4"/>
    <w:basedOn w:val="785"/>
    <w:next w:val="785"/>
    <w:link w:val="897"/>
    <w:uiPriority w:val="99"/>
    <w:unhideWhenUsed/>
    <w:qFormat/>
    <w:pPr>
      <w:keepLines/>
      <w:keepNext/>
      <w:spacing w:before="320"/>
      <w:outlineLvl w:val="3"/>
    </w:pPr>
    <w:rPr>
      <w:rFonts w:ascii="Arial" w:hAnsi="Arial" w:eastAsia="Arial" w:cs="Arial"/>
      <w:b/>
      <w:bCs/>
      <w:sz w:val="26"/>
      <w:szCs w:val="26"/>
    </w:rPr>
  </w:style>
  <w:style w:type="paragraph" w:styleId="790">
    <w:name w:val="Heading 5"/>
    <w:basedOn w:val="785"/>
    <w:next w:val="785"/>
    <w:link w:val="898"/>
    <w:uiPriority w:val="99"/>
    <w:unhideWhenUsed/>
    <w:qFormat/>
    <w:pPr>
      <w:keepLines/>
      <w:keepNext/>
      <w:spacing w:before="320"/>
      <w:outlineLvl w:val="4"/>
    </w:pPr>
    <w:rPr>
      <w:rFonts w:ascii="Arial" w:hAnsi="Arial" w:eastAsia="Arial" w:cs="Arial"/>
      <w:b/>
      <w:bCs/>
      <w:sz w:val="24"/>
      <w:szCs w:val="24"/>
    </w:rPr>
  </w:style>
  <w:style w:type="paragraph" w:styleId="791">
    <w:name w:val="Heading 6"/>
    <w:basedOn w:val="785"/>
    <w:next w:val="785"/>
    <w:link w:val="899"/>
    <w:uiPriority w:val="9"/>
    <w:unhideWhenUsed/>
    <w:qFormat/>
    <w:pPr>
      <w:keepLines/>
      <w:keepNext/>
      <w:spacing w:before="320"/>
      <w:outlineLvl w:val="5"/>
    </w:pPr>
    <w:rPr>
      <w:rFonts w:ascii="Arial" w:hAnsi="Arial" w:eastAsia="Arial" w:cs="Arial"/>
      <w:b/>
      <w:bCs/>
    </w:rPr>
  </w:style>
  <w:style w:type="paragraph" w:styleId="792">
    <w:name w:val="Heading 7"/>
    <w:basedOn w:val="785"/>
    <w:next w:val="785"/>
    <w:link w:val="900"/>
    <w:uiPriority w:val="9"/>
    <w:unhideWhenUsed/>
    <w:qFormat/>
    <w:pPr>
      <w:keepLines/>
      <w:keepNext/>
      <w:spacing w:before="320"/>
      <w:outlineLvl w:val="6"/>
    </w:pPr>
    <w:rPr>
      <w:rFonts w:ascii="Arial" w:hAnsi="Arial" w:eastAsia="Arial" w:cs="Arial"/>
      <w:b/>
      <w:bCs/>
      <w:i/>
      <w:iCs/>
    </w:rPr>
  </w:style>
  <w:style w:type="paragraph" w:styleId="793">
    <w:name w:val="Heading 8"/>
    <w:basedOn w:val="785"/>
    <w:next w:val="785"/>
    <w:link w:val="901"/>
    <w:uiPriority w:val="9"/>
    <w:unhideWhenUsed/>
    <w:qFormat/>
    <w:pPr>
      <w:keepLines/>
      <w:keepNext/>
      <w:spacing w:before="320"/>
      <w:outlineLvl w:val="7"/>
    </w:pPr>
    <w:rPr>
      <w:rFonts w:ascii="Arial" w:hAnsi="Arial" w:eastAsia="Arial" w:cs="Arial"/>
      <w:i/>
      <w:iCs/>
    </w:rPr>
  </w:style>
  <w:style w:type="paragraph" w:styleId="794">
    <w:name w:val="Heading 9"/>
    <w:basedOn w:val="785"/>
    <w:next w:val="785"/>
    <w:link w:val="902"/>
    <w:uiPriority w:val="9"/>
    <w:unhideWhenUsed/>
    <w:qFormat/>
    <w:pPr>
      <w:keepLines/>
      <w:keepNext/>
      <w:spacing w:before="32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uiPriority w:val="99"/>
    <w:qFormat/>
    <w:pPr>
      <w:ind w:firstLine="420"/>
    </w:pPr>
  </w:style>
  <w:style w:type="paragraph" w:styleId="798">
    <w:name w:val="toc 7"/>
    <w:basedOn w:val="785"/>
    <w:next w:val="785"/>
    <w:uiPriority w:val="39"/>
    <w:unhideWhenUsed/>
    <w:qFormat/>
    <w:pPr>
      <w:ind w:left="1701"/>
      <w:spacing w:after="57"/>
    </w:pPr>
  </w:style>
  <w:style w:type="paragraph" w:styleId="799">
    <w:name w:val="Caption"/>
    <w:basedOn w:val="785"/>
    <w:next w:val="785"/>
    <w:link w:val="1053"/>
    <w:uiPriority w:val="99"/>
    <w:unhideWhenUsed/>
    <w:qFormat/>
    <w:rPr>
      <w:b/>
      <w:bCs/>
      <w:color w:val="5b9bd5" w:themeColor="accent1"/>
      <w:sz w:val="18"/>
      <w:szCs w:val="18"/>
      <w14:textFill>
        <w14:solidFill>
          <w14:schemeClr w14:val="accent1"/>
        </w14:solidFill>
      </w14:textFill>
    </w:rPr>
  </w:style>
  <w:style w:type="paragraph" w:styleId="800">
    <w:name w:val="index 5"/>
    <w:basedOn w:val="785"/>
    <w:next w:val="785"/>
    <w:uiPriority w:val="0"/>
    <w:qFormat/>
    <w:pPr>
      <w:ind w:left="798"/>
    </w:pPr>
    <w:rPr>
      <w:rFonts w:ascii="Calibri" w:hAnsi="Calibri"/>
    </w:rPr>
  </w:style>
  <w:style w:type="paragraph" w:styleId="801">
    <w:name w:val="annotation text"/>
    <w:basedOn w:val="785"/>
    <w:link w:val="1043"/>
    <w:uiPriority w:val="99"/>
    <w:unhideWhenUsed/>
    <w:qFormat/>
  </w:style>
  <w:style w:type="paragraph" w:styleId="802">
    <w:name w:val="Body Text"/>
    <w:basedOn w:val="785"/>
    <w:next w:val="803"/>
    <w:link w:val="1045"/>
    <w:uiPriority w:val="99"/>
    <w:qFormat/>
    <w:pPr>
      <w:jc w:val="both"/>
      <w:spacing w:after="0" w:line="240" w:lineRule="auto"/>
      <w:widowControl w:val="off"/>
    </w:pPr>
    <w:rPr>
      <w:rFonts w:ascii="Verdana" w:hAnsi="Verdana" w:eastAsia="宋体" w:cs="Times New Roman"/>
      <w:sz w:val="24"/>
      <w:szCs w:val="18"/>
      <w:lang w:eastAsia="zh-CN"/>
    </w:rPr>
  </w:style>
  <w:style w:type="paragraph" w:styleId="803" w:customStyle="1">
    <w:name w:val="一级条标题"/>
    <w:basedOn w:val="804"/>
    <w:next w:val="80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next w:val="78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5" w:customStyle="1">
    <w:name w:val="段"/>
    <w:basedOn w:val="806"/>
    <w:next w:val="785"/>
    <w:uiPriority w:val="99"/>
    <w:qFormat/>
    <w:pPr>
      <w:ind w:firstLine="200"/>
      <w:jc w:val="both"/>
      <w:spacing w:after="0" w:line="240" w:lineRule="auto"/>
    </w:pPr>
    <w:rPr>
      <w:rFonts w:ascii="宋体" w:hAnsi="Times New Roman" w:eastAsia="宋体" w:cs="Times New Roman"/>
      <w:sz w:val="21"/>
      <w:szCs w:val="20"/>
      <w:lang w:eastAsia="zh-CN"/>
    </w:rPr>
  </w:style>
  <w:style w:type="paragraph" w:styleId="806" w:customStyle="1">
    <w:name w:val="正文1"/>
    <w:basedOn w:val="807"/>
    <w:next w:val="816"/>
    <w:uiPriority w:val="99"/>
    <w:qFormat/>
    <w:pPr>
      <w:spacing w:after="0" w:line="240" w:lineRule="auto"/>
    </w:pPr>
    <w:rPr>
      <w:rFonts w:ascii="Times New Roman" w:hAnsi="Times New Roman" w:eastAsia="宋体" w:cs="Times New Roman"/>
      <w:color w:val="000000"/>
      <w:sz w:val="21"/>
      <w:szCs w:val="24"/>
      <w:lang w:eastAsia="zh-CN"/>
    </w:rPr>
  </w:style>
  <w:style w:type="paragraph" w:styleId="807" w:customStyle="1">
    <w:name w:val="正文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首行缩进1"/>
    <w:basedOn w:val="809"/>
    <w:next w:val="813"/>
    <w:uiPriority w:val="0"/>
    <w:qFormat/>
    <w:pPr>
      <w:ind w:firstLine="420"/>
    </w:pPr>
  </w:style>
  <w:style w:type="paragraph" w:styleId="809" w:customStyle="1">
    <w:name w:val="正文文本11"/>
    <w:basedOn w:val="810"/>
    <w:next w:val="807"/>
    <w:uiPriority w:val="0"/>
    <w:qFormat/>
    <w:pPr>
      <w:spacing w:after="120"/>
    </w:pPr>
  </w:style>
  <w:style w:type="paragraph" w:styleId="810" w:customStyle="1">
    <w:name w:val="正文12"/>
    <w:next w:val="81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1" w:customStyle="1">
    <w:name w:val="标题 21"/>
    <w:basedOn w:val="810"/>
    <w:next w:val="812"/>
    <w:uiPriority w:val="0"/>
    <w:qFormat/>
    <w:pPr>
      <w:jc w:val="left"/>
      <w:keepLines/>
      <w:keepNext/>
      <w:spacing w:before="50"/>
      <w:tabs>
        <w:tab w:val="left" w:pos="0" w:leader="none"/>
      </w:tabs>
      <w:outlineLvl w:val="1"/>
    </w:pPr>
    <w:rPr>
      <w:rFonts w:ascii="Arial" w:hAnsi="Arial" w:eastAsia="黑体"/>
      <w:sz w:val="32"/>
      <w:szCs w:val="20"/>
    </w:rPr>
  </w:style>
  <w:style w:type="paragraph" w:styleId="812" w:customStyle="1">
    <w:name w:val="正文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首行缩进 21"/>
    <w:basedOn w:val="814"/>
    <w:next w:val="807"/>
    <w:uiPriority w:val="0"/>
    <w:qFormat/>
    <w:pPr>
      <w:ind w:left="0" w:firstLine="420"/>
      <w:spacing w:after="0" w:line="360" w:lineRule="auto"/>
    </w:pPr>
    <w:rPr>
      <w:rFonts w:ascii="宋体" w:hAnsi="宋体"/>
      <w:sz w:val="20"/>
      <w:szCs w:val="20"/>
    </w:rPr>
  </w:style>
  <w:style w:type="paragraph" w:styleId="814" w:customStyle="1">
    <w:name w:val="正文文本缩进1"/>
    <w:basedOn w:val="806"/>
    <w:next w:val="815"/>
    <w:uiPriority w:val="0"/>
    <w:qFormat/>
    <w:pPr>
      <w:ind w:left="420"/>
      <w:spacing w:after="120"/>
    </w:pPr>
  </w:style>
  <w:style w:type="paragraph" w:styleId="815" w:customStyle="1">
    <w:name w:val="寄信人地址1"/>
    <w:basedOn w:val="806"/>
    <w:uiPriority w:val="0"/>
    <w:qFormat/>
    <w:pPr>
      <w:ind w:firstLine="200"/>
    </w:pPr>
    <w:rPr>
      <w:rFonts w:ascii="Arial" w:hAnsi="Arial" w:eastAsia="仿宋_GB2312"/>
    </w:rPr>
  </w:style>
  <w:style w:type="paragraph" w:styleId="816" w:customStyle="1">
    <w:name w:val="脚注文本1"/>
    <w:basedOn w:val="817"/>
    <w:next w:val="819"/>
    <w:uiPriority w:val="0"/>
    <w:qFormat/>
    <w:pPr>
      <w:jc w:val="left"/>
    </w:pPr>
    <w:rPr>
      <w:rFonts w:ascii="宋体" w:eastAsia="Times New Roman"/>
      <w:sz w:val="18"/>
      <w:szCs w:val="18"/>
    </w:rPr>
  </w:style>
  <w:style w:type="paragraph" w:styleId="817" w:customStyle="1">
    <w:name w:val="正文1111"/>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标题 211"/>
    <w:basedOn w:val="812"/>
    <w:next w:val="817"/>
    <w:uiPriority w:val="0"/>
    <w:qFormat/>
    <w:pPr>
      <w:keepLines/>
      <w:keepNext/>
      <w:spacing w:before="260" w:after="260" w:line="416" w:lineRule="auto"/>
      <w:outlineLvl w:val="1"/>
    </w:pPr>
    <w:rPr>
      <w:rFonts w:ascii="Calibri Light" w:hAnsi="Calibri Light"/>
      <w:bCs/>
      <w:sz w:val="32"/>
      <w:szCs w:val="32"/>
    </w:rPr>
  </w:style>
  <w:style w:type="paragraph" w:styleId="819" w:customStyle="1">
    <w:name w:val="索引 51"/>
    <w:basedOn w:val="806"/>
    <w:next w:val="806"/>
    <w:uiPriority w:val="0"/>
    <w:qFormat/>
    <w:pPr>
      <w:ind w:left="798"/>
      <w:jc w:val="left"/>
    </w:pPr>
    <w:rPr>
      <w:rFonts w:ascii="Calibri" w:hAnsi="Calibri"/>
    </w:rPr>
  </w:style>
  <w:style w:type="paragraph" w:styleId="820">
    <w:name w:val="Body Text Indent"/>
    <w:basedOn w:val="785"/>
    <w:link w:val="1046"/>
    <w:uiPriority w:val="99"/>
    <w:qFormat/>
    <w:pPr>
      <w:ind w:firstLine="425"/>
      <w:jc w:val="both"/>
      <w:spacing w:after="0" w:line="360" w:lineRule="auto"/>
      <w:widowControl w:val="off"/>
    </w:pPr>
    <w:rPr>
      <w:rFonts w:ascii="Times New Roman" w:hAnsi="Times New Roman" w:eastAsia="宋体" w:cs="Times New Roman"/>
      <w:sz w:val="21"/>
      <w:szCs w:val="24"/>
      <w:lang w:eastAsia="zh-CN"/>
    </w:rPr>
  </w:style>
  <w:style w:type="paragraph" w:styleId="821">
    <w:name w:val="Block Text"/>
    <w:basedOn w:val="785"/>
    <w:uiPriority w:val="99"/>
    <w:unhideWhenUsed/>
    <w:qFormat/>
    <w:pPr>
      <w:ind w:left="567" w:right="454" w:firstLine="498"/>
    </w:pPr>
    <w:rPr>
      <w:rFonts w:ascii="仿宋_GB2312" w:hAnsi="Times New Roman" w:eastAsia="仿宋_GB2312" w:cs="Times New Roman"/>
      <w:sz w:val="30"/>
      <w:szCs w:val="20"/>
    </w:rPr>
  </w:style>
  <w:style w:type="paragraph" w:styleId="822">
    <w:name w:val="toc 5"/>
    <w:basedOn w:val="785"/>
    <w:next w:val="785"/>
    <w:uiPriority w:val="39"/>
    <w:unhideWhenUsed/>
    <w:qFormat/>
    <w:pPr>
      <w:ind w:left="1134"/>
      <w:spacing w:after="57"/>
    </w:pPr>
  </w:style>
  <w:style w:type="paragraph" w:styleId="823">
    <w:name w:val="toc 3"/>
    <w:basedOn w:val="785"/>
    <w:next w:val="785"/>
    <w:uiPriority w:val="39"/>
    <w:unhideWhenUsed/>
    <w:qFormat/>
    <w:pPr>
      <w:ind w:left="567"/>
      <w:spacing w:after="57"/>
    </w:pPr>
  </w:style>
  <w:style w:type="paragraph" w:styleId="824">
    <w:name w:val="Plain Text"/>
    <w:basedOn w:val="785"/>
    <w:link w:val="1047"/>
    <w:uiPriority w:val="99"/>
    <w:qFormat/>
    <w:pPr>
      <w:jc w:val="both"/>
      <w:spacing w:after="0" w:line="240" w:lineRule="auto"/>
      <w:widowControl w:val="off"/>
    </w:pPr>
    <w:rPr>
      <w:rFonts w:ascii="宋体" w:hAnsi="Courier New" w:eastAsia="宋体" w:cs="Times New Roman"/>
      <w:sz w:val="21"/>
      <w:szCs w:val="21"/>
      <w:lang w:eastAsia="zh-CN"/>
    </w:rPr>
  </w:style>
  <w:style w:type="paragraph" w:styleId="825">
    <w:name w:val="toc 8"/>
    <w:basedOn w:val="785"/>
    <w:next w:val="785"/>
    <w:uiPriority w:val="39"/>
    <w:unhideWhenUsed/>
    <w:qFormat/>
    <w:pPr>
      <w:ind w:left="1984"/>
      <w:spacing w:after="57"/>
    </w:pPr>
  </w:style>
  <w:style w:type="paragraph" w:styleId="826">
    <w:name w:val="Date"/>
    <w:basedOn w:val="785"/>
    <w:next w:val="785"/>
    <w:link w:val="1048"/>
    <w:uiPriority w:val="99"/>
    <w:qFormat/>
    <w:pPr>
      <w:jc w:val="both"/>
      <w:spacing w:after="0" w:line="240" w:lineRule="auto"/>
      <w:widowControl w:val="off"/>
    </w:pPr>
    <w:rPr>
      <w:rFonts w:ascii="Times New Roman" w:hAnsi="Times New Roman" w:eastAsia="仿宋_GB2312" w:cs="Times New Roman"/>
      <w:sz w:val="28"/>
      <w:szCs w:val="20"/>
      <w:lang w:eastAsia="zh-CN"/>
    </w:rPr>
  </w:style>
  <w:style w:type="paragraph" w:styleId="827">
    <w:name w:val="Body Text Indent 2"/>
    <w:basedOn w:val="785"/>
    <w:link w:val="1049"/>
    <w:uiPriority w:val="99"/>
    <w:qFormat/>
    <w:pPr>
      <w:ind w:firstLine="475"/>
      <w:jc w:val="both"/>
      <w:spacing w:after="0" w:line="10" w:lineRule="atLeast"/>
      <w:widowControl w:val="off"/>
    </w:pPr>
    <w:rPr>
      <w:rFonts w:ascii="仿宋_GB2312" w:hAnsi="Times New Roman" w:eastAsia="仿宋_GB2312" w:cs="Times New Roman"/>
      <w:sz w:val="24"/>
      <w:szCs w:val="24"/>
      <w:lang w:eastAsia="zh-CN"/>
    </w:rPr>
  </w:style>
  <w:style w:type="paragraph" w:styleId="828">
    <w:name w:val="endnote text"/>
    <w:basedOn w:val="785"/>
    <w:link w:val="1038"/>
    <w:uiPriority w:val="99"/>
    <w:semiHidden/>
    <w:unhideWhenUsed/>
    <w:qFormat/>
    <w:pPr>
      <w:spacing w:after="0" w:line="240" w:lineRule="auto"/>
    </w:pPr>
    <w:rPr>
      <w:sz w:val="20"/>
    </w:rPr>
  </w:style>
  <w:style w:type="paragraph" w:styleId="829">
    <w:name w:val="Balloon Text"/>
    <w:basedOn w:val="785"/>
    <w:link w:val="1050"/>
    <w:uiPriority w:val="99"/>
    <w:qFormat/>
    <w:pPr>
      <w:jc w:val="both"/>
      <w:spacing w:after="0" w:line="240" w:lineRule="auto"/>
      <w:widowControl w:val="off"/>
    </w:pPr>
    <w:rPr>
      <w:rFonts w:ascii="Calibri" w:hAnsi="Calibri" w:eastAsia="宋体" w:cs="Times New Roman"/>
      <w:sz w:val="18"/>
      <w:szCs w:val="20"/>
      <w:lang w:eastAsia="zh-CN"/>
    </w:rPr>
  </w:style>
  <w:style w:type="paragraph" w:styleId="830">
    <w:name w:val="Footer"/>
    <w:basedOn w:val="785"/>
    <w:link w:val="911"/>
    <w:uiPriority w:val="99"/>
    <w:unhideWhenUsed/>
    <w:qFormat/>
    <w:pPr>
      <w:spacing w:after="0" w:line="240" w:lineRule="auto"/>
      <w:tabs>
        <w:tab w:val="center" w:pos="7143" w:leader="none"/>
        <w:tab w:val="right" w:pos="14287" w:leader="none"/>
      </w:tabs>
    </w:pPr>
  </w:style>
  <w:style w:type="paragraph" w:styleId="831">
    <w:name w:val="envelope return"/>
    <w:basedOn w:val="785"/>
    <w:uiPriority w:val="0"/>
    <w:qFormat/>
    <w:rPr>
      <w:rFonts w:ascii="Arial" w:hAnsi="Arial"/>
    </w:rPr>
  </w:style>
  <w:style w:type="paragraph" w:styleId="832">
    <w:name w:val="Header"/>
    <w:basedOn w:val="785"/>
    <w:link w:val="909"/>
    <w:uiPriority w:val="99"/>
    <w:unhideWhenUsed/>
    <w:qFormat/>
    <w:pPr>
      <w:spacing w:after="0" w:line="240" w:lineRule="auto"/>
      <w:tabs>
        <w:tab w:val="center" w:pos="7143" w:leader="none"/>
        <w:tab w:val="right" w:pos="14287" w:leader="none"/>
      </w:tabs>
    </w:pPr>
  </w:style>
  <w:style w:type="paragraph" w:styleId="833">
    <w:name w:val="toc 1"/>
    <w:basedOn w:val="785"/>
    <w:next w:val="785"/>
    <w:uiPriority w:val="99"/>
    <w:unhideWhenUsed/>
    <w:qFormat/>
    <w:pPr>
      <w:spacing w:after="57"/>
    </w:pPr>
  </w:style>
  <w:style w:type="paragraph" w:styleId="834">
    <w:name w:val="toc 4"/>
    <w:basedOn w:val="785"/>
    <w:next w:val="785"/>
    <w:uiPriority w:val="39"/>
    <w:unhideWhenUsed/>
    <w:qFormat/>
    <w:pPr>
      <w:ind w:left="850"/>
      <w:spacing w:after="57"/>
    </w:pPr>
  </w:style>
  <w:style w:type="paragraph" w:styleId="835">
    <w:name w:val="Subtitle"/>
    <w:basedOn w:val="785"/>
    <w:next w:val="785"/>
    <w:link w:val="904"/>
    <w:uiPriority w:val="11"/>
    <w:qFormat/>
    <w:pPr>
      <w:spacing w:before="200"/>
    </w:pPr>
    <w:rPr>
      <w:sz w:val="24"/>
      <w:szCs w:val="24"/>
    </w:rPr>
  </w:style>
  <w:style w:type="paragraph" w:styleId="836">
    <w:name w:val="footnote text"/>
    <w:basedOn w:val="785"/>
    <w:next w:val="800"/>
    <w:link w:val="1037"/>
    <w:uiPriority w:val="99"/>
    <w:semiHidden/>
    <w:unhideWhenUsed/>
    <w:qFormat/>
    <w:pPr>
      <w:spacing w:after="40" w:line="240" w:lineRule="auto"/>
    </w:pPr>
    <w:rPr>
      <w:sz w:val="18"/>
    </w:rPr>
  </w:style>
  <w:style w:type="paragraph" w:styleId="837">
    <w:name w:val="toc 6"/>
    <w:basedOn w:val="785"/>
    <w:next w:val="785"/>
    <w:uiPriority w:val="39"/>
    <w:unhideWhenUsed/>
    <w:qFormat/>
    <w:pPr>
      <w:ind w:left="1417"/>
      <w:spacing w:after="57"/>
    </w:pPr>
  </w:style>
  <w:style w:type="paragraph" w:styleId="838">
    <w:name w:val="Body Text Indent 3"/>
    <w:basedOn w:val="785"/>
    <w:link w:val="1051"/>
    <w:uiPriority w:val="99"/>
    <w:qFormat/>
    <w:pPr>
      <w:ind w:left="420"/>
      <w:jc w:val="both"/>
      <w:spacing w:after="0" w:line="240" w:lineRule="auto"/>
      <w:widowControl w:val="off"/>
    </w:pPr>
    <w:rPr>
      <w:rFonts w:ascii="Times New Roman" w:hAnsi="Times New Roman" w:eastAsia="宋体" w:cs="Times New Roman"/>
      <w:sz w:val="16"/>
      <w:szCs w:val="16"/>
      <w:lang w:eastAsia="zh-CN"/>
    </w:rPr>
  </w:style>
  <w:style w:type="paragraph" w:styleId="839">
    <w:name w:val="table of figures"/>
    <w:basedOn w:val="785"/>
    <w:next w:val="785"/>
    <w:uiPriority w:val="99"/>
    <w:unhideWhenUsed/>
    <w:qFormat/>
    <w:pPr>
      <w:spacing w:after="0"/>
    </w:pPr>
  </w:style>
  <w:style w:type="paragraph" w:styleId="840">
    <w:name w:val="toc 2"/>
    <w:basedOn w:val="785"/>
    <w:next w:val="785"/>
    <w:uiPriority w:val="39"/>
    <w:unhideWhenUsed/>
    <w:qFormat/>
    <w:pPr>
      <w:ind w:left="283"/>
      <w:spacing w:after="57"/>
    </w:pPr>
  </w:style>
  <w:style w:type="paragraph" w:styleId="841">
    <w:name w:val="toc 9"/>
    <w:basedOn w:val="785"/>
    <w:next w:val="785"/>
    <w:uiPriority w:val="39"/>
    <w:unhideWhenUsed/>
    <w:qFormat/>
    <w:pPr>
      <w:ind w:left="2268"/>
      <w:spacing w:after="57"/>
    </w:pPr>
  </w:style>
  <w:style w:type="paragraph" w:styleId="842">
    <w:name w:val="Body Text 2"/>
    <w:basedOn w:val="785"/>
    <w:uiPriority w:val="0"/>
    <w:unhideWhenUsed/>
    <w:qFormat/>
    <w:pPr>
      <w:jc w:val="both"/>
      <w:spacing w:after="120" w:line="480" w:lineRule="auto"/>
    </w:pPr>
    <w:rPr>
      <w:rFonts w:ascii="Calibri" w:hAnsi="Calibri"/>
      <w:sz w:val="21"/>
    </w:rPr>
  </w:style>
  <w:style w:type="paragraph" w:styleId="843">
    <w:name w:val="HTML Preformatted"/>
    <w:basedOn w:val="785"/>
    <w:link w:val="1052"/>
    <w:uiPriority w:val="99"/>
    <w:qFormat/>
    <w:pPr>
      <w:spacing w:after="0" w:line="24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lang w:eastAsia="zh-CN"/>
    </w:rPr>
  </w:style>
  <w:style w:type="paragraph" w:styleId="844">
    <w:name w:val="Normal (Web)"/>
    <w:basedOn w:val="785"/>
    <w:uiPriority w:val="99"/>
    <w:qFormat/>
    <w:pPr>
      <w:spacing w:beforeAutospacing="1" w:after="0" w:afterAutospacing="1" w:line="240" w:lineRule="auto"/>
    </w:pPr>
    <w:rPr>
      <w:rFonts w:ascii="宋体" w:hAnsi="宋体" w:eastAsia="宋体" w:cs="宋体"/>
      <w:sz w:val="24"/>
      <w:szCs w:val="24"/>
      <w:lang w:eastAsia="zh-CN"/>
    </w:rPr>
  </w:style>
  <w:style w:type="paragraph" w:styleId="845">
    <w:name w:val="Title"/>
    <w:basedOn w:val="785"/>
    <w:next w:val="785"/>
    <w:link w:val="903"/>
    <w:uiPriority w:val="99"/>
    <w:qFormat/>
    <w:pPr>
      <w:contextualSpacing/>
      <w:spacing w:before="300"/>
    </w:pPr>
    <w:rPr>
      <w:sz w:val="48"/>
      <w:szCs w:val="48"/>
    </w:rPr>
  </w:style>
  <w:style w:type="paragraph" w:styleId="846">
    <w:name w:val="annotation subject"/>
    <w:basedOn w:val="801"/>
    <w:next w:val="801"/>
    <w:link w:val="1044"/>
    <w:uiPriority w:val="99"/>
    <w:unhideWhenUsed/>
    <w:qFormat/>
    <w:rPr>
      <w:b/>
      <w:bCs/>
    </w:rPr>
  </w:style>
  <w:style w:type="table" w:styleId="847">
    <w:name w:val="Table Grid"/>
    <w:basedOn w:val="7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endnote reference"/>
    <w:uiPriority w:val="99"/>
    <w:semiHidden/>
    <w:unhideWhenUsed/>
    <w:qFormat/>
    <w:rPr>
      <w:vertAlign w:val="superscript"/>
    </w:rPr>
  </w:style>
  <w:style w:type="character" w:styleId="849">
    <w:name w:val="page number"/>
    <w:basedOn w:val="795"/>
    <w:uiPriority w:val="99"/>
    <w:qFormat/>
    <w:rPr>
      <w:rFonts w:ascii="Times New Roman" w:hAnsi="Times New Roman" w:eastAsia="宋体" w:cs="Times New Roman"/>
    </w:rPr>
  </w:style>
  <w:style w:type="character" w:styleId="850">
    <w:name w:val="Emphasis"/>
    <w:basedOn w:val="795"/>
    <w:uiPriority w:val="99"/>
    <w:qFormat/>
    <w:rPr>
      <w:rFonts w:ascii="Times New Roman" w:hAnsi="Times New Roman" w:eastAsia="宋体"/>
      <w:color w:val="cc0000"/>
    </w:rPr>
  </w:style>
  <w:style w:type="character" w:styleId="851">
    <w:name w:val="Hyperlink"/>
    <w:uiPriority w:val="99"/>
    <w:unhideWhenUsed/>
    <w:qFormat/>
    <w:rPr>
      <w:color w:val="0563c1" w:themeColor="hyperlink"/>
      <w:u w:val="single"/>
      <w14:textFill>
        <w14:solidFill>
          <w14:schemeClr w14:val="hlink"/>
        </w14:solidFill>
      </w14:textFill>
    </w:rPr>
  </w:style>
  <w:style w:type="character" w:styleId="852">
    <w:name w:val="annotation reference"/>
    <w:basedOn w:val="795"/>
    <w:uiPriority w:val="99"/>
    <w:unhideWhenUsed/>
    <w:qFormat/>
    <w:rPr>
      <w:sz w:val="21"/>
      <w:szCs w:val="21"/>
    </w:rPr>
  </w:style>
  <w:style w:type="character" w:styleId="853">
    <w:name w:val="footnote reference"/>
    <w:uiPriority w:val="99"/>
    <w:unhideWhenUsed/>
    <w:qFormat/>
    <w:rPr>
      <w:vertAlign w:val="superscript"/>
    </w:rPr>
  </w:style>
  <w:style w:type="paragraph" w:styleId="854" w:customStyle="1">
    <w:name w:val="文本块1"/>
    <w:basedOn w:val="810"/>
    <w:next w:val="855"/>
    <w:uiPriority w:val="0"/>
    <w:qFormat/>
    <w:pPr>
      <w:ind w:left="256" w:right="6" w:firstLine="624"/>
    </w:pPr>
    <w:rPr>
      <w:rFonts w:eastAsia="仿宋"/>
      <w:sz w:val="28"/>
      <w:szCs w:val="20"/>
    </w:rPr>
  </w:style>
  <w:style w:type="paragraph" w:styleId="855" w:customStyle="1">
    <w:name w:val="标题 41"/>
    <w:basedOn w:val="810"/>
    <w:next w:val="812"/>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856" w:customStyle="1">
    <w:name w:val="目录 11"/>
    <w:basedOn w:val="810"/>
    <w:next w:val="806"/>
    <w:uiPriority w:val="0"/>
    <w:qFormat/>
  </w:style>
  <w:style w:type="character" w:styleId="857" w:customStyle="1">
    <w:name w:val="Heading 1 Char"/>
    <w:basedOn w:val="795"/>
    <w:uiPriority w:val="9"/>
    <w:qFormat/>
    <w:rPr>
      <w:rFonts w:ascii="Arial" w:hAnsi="Arial" w:eastAsia="Arial" w:cs="Arial"/>
      <w:sz w:val="40"/>
      <w:szCs w:val="40"/>
    </w:rPr>
  </w:style>
  <w:style w:type="character" w:styleId="858" w:customStyle="1">
    <w:name w:val="Heading 2 Char"/>
    <w:basedOn w:val="795"/>
    <w:uiPriority w:val="9"/>
    <w:qFormat/>
    <w:rPr>
      <w:rFonts w:ascii="Arial" w:hAnsi="Arial" w:eastAsia="Arial" w:cs="Arial"/>
      <w:sz w:val="34"/>
    </w:rPr>
  </w:style>
  <w:style w:type="character" w:styleId="859" w:customStyle="1">
    <w:name w:val="Heading 3 Char"/>
    <w:basedOn w:val="795"/>
    <w:uiPriority w:val="9"/>
    <w:qFormat/>
    <w:rPr>
      <w:rFonts w:ascii="Arial" w:hAnsi="Arial" w:eastAsia="Arial" w:cs="Arial"/>
      <w:sz w:val="30"/>
      <w:szCs w:val="30"/>
    </w:rPr>
  </w:style>
  <w:style w:type="character" w:styleId="860" w:customStyle="1">
    <w:name w:val="Heading 4 Char"/>
    <w:basedOn w:val="795"/>
    <w:uiPriority w:val="9"/>
    <w:qFormat/>
    <w:rPr>
      <w:rFonts w:ascii="Arial" w:hAnsi="Arial" w:eastAsia="Arial" w:cs="Arial"/>
      <w:b/>
      <w:bCs/>
      <w:sz w:val="26"/>
      <w:szCs w:val="26"/>
    </w:rPr>
  </w:style>
  <w:style w:type="character" w:styleId="861" w:customStyle="1">
    <w:name w:val="Heading 5 Char"/>
    <w:basedOn w:val="795"/>
    <w:uiPriority w:val="9"/>
    <w:qFormat/>
    <w:rPr>
      <w:rFonts w:ascii="Arial" w:hAnsi="Arial" w:eastAsia="Arial" w:cs="Arial"/>
      <w:b/>
      <w:bCs/>
      <w:sz w:val="24"/>
      <w:szCs w:val="24"/>
    </w:rPr>
  </w:style>
  <w:style w:type="character" w:styleId="862" w:customStyle="1">
    <w:name w:val="Heading 6 Char"/>
    <w:basedOn w:val="795"/>
    <w:uiPriority w:val="9"/>
    <w:qFormat/>
    <w:rPr>
      <w:rFonts w:ascii="Arial" w:hAnsi="Arial" w:eastAsia="Arial" w:cs="Arial"/>
      <w:b/>
      <w:bCs/>
      <w:sz w:val="22"/>
      <w:szCs w:val="22"/>
    </w:rPr>
  </w:style>
  <w:style w:type="character" w:styleId="863" w:customStyle="1">
    <w:name w:val="Heading 7 Char"/>
    <w:basedOn w:val="795"/>
    <w:uiPriority w:val="9"/>
    <w:qFormat/>
    <w:rPr>
      <w:rFonts w:ascii="Arial" w:hAnsi="Arial" w:eastAsia="Arial" w:cs="Arial"/>
      <w:b/>
      <w:bCs/>
      <w:i/>
      <w:iCs/>
      <w:sz w:val="22"/>
      <w:szCs w:val="22"/>
    </w:rPr>
  </w:style>
  <w:style w:type="character" w:styleId="864" w:customStyle="1">
    <w:name w:val="Heading 8 Char"/>
    <w:basedOn w:val="795"/>
    <w:uiPriority w:val="9"/>
    <w:qFormat/>
    <w:rPr>
      <w:rFonts w:ascii="Arial" w:hAnsi="Arial" w:eastAsia="Arial" w:cs="Arial"/>
      <w:i/>
      <w:iCs/>
      <w:sz w:val="22"/>
      <w:szCs w:val="22"/>
    </w:rPr>
  </w:style>
  <w:style w:type="character" w:styleId="865" w:customStyle="1">
    <w:name w:val="Heading 9 Char"/>
    <w:basedOn w:val="795"/>
    <w:uiPriority w:val="9"/>
    <w:qFormat/>
    <w:rPr>
      <w:rFonts w:ascii="Arial" w:hAnsi="Arial" w:eastAsia="Arial" w:cs="Arial"/>
      <w:i/>
      <w:iCs/>
      <w:sz w:val="21"/>
      <w:szCs w:val="21"/>
    </w:rPr>
  </w:style>
  <w:style w:type="character" w:styleId="866" w:customStyle="1">
    <w:name w:val="Title Char"/>
    <w:basedOn w:val="795"/>
    <w:uiPriority w:val="10"/>
    <w:qFormat/>
    <w:rPr>
      <w:sz w:val="48"/>
      <w:szCs w:val="48"/>
    </w:rPr>
  </w:style>
  <w:style w:type="character" w:styleId="867" w:customStyle="1">
    <w:name w:val="Subtitle Char"/>
    <w:basedOn w:val="795"/>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795"/>
    <w:uiPriority w:val="99"/>
    <w:qFormat/>
  </w:style>
  <w:style w:type="character" w:styleId="871" w:customStyle="1">
    <w:name w:val="Caption Char"/>
    <w:uiPriority w:val="99"/>
    <w:qFormat/>
  </w:style>
  <w:style w:type="table" w:styleId="872"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character" w:styleId="894" w:customStyle="1">
    <w:name w:val="标题 1 字符"/>
    <w:link w:val="786"/>
    <w:uiPriority w:val="9"/>
    <w:qFormat/>
    <w:rPr>
      <w:rFonts w:ascii="Arial" w:hAnsi="Arial" w:eastAsia="Arial" w:cs="Arial"/>
      <w:sz w:val="40"/>
      <w:szCs w:val="40"/>
    </w:rPr>
  </w:style>
  <w:style w:type="character" w:styleId="895" w:customStyle="1">
    <w:name w:val="标题 2 字符"/>
    <w:link w:val="787"/>
    <w:uiPriority w:val="9"/>
    <w:qFormat/>
    <w:rPr>
      <w:rFonts w:ascii="Arial" w:hAnsi="Arial" w:eastAsia="Arial" w:cs="Arial"/>
      <w:sz w:val="34"/>
    </w:rPr>
  </w:style>
  <w:style w:type="character" w:styleId="896" w:customStyle="1">
    <w:name w:val="标题 3 字符"/>
    <w:link w:val="788"/>
    <w:uiPriority w:val="9"/>
    <w:qFormat/>
    <w:rPr>
      <w:rFonts w:ascii="Arial" w:hAnsi="Arial" w:eastAsia="Arial" w:cs="Arial"/>
      <w:sz w:val="30"/>
      <w:szCs w:val="30"/>
    </w:rPr>
  </w:style>
  <w:style w:type="character" w:styleId="897" w:customStyle="1">
    <w:name w:val="标题 4 字符"/>
    <w:link w:val="789"/>
    <w:uiPriority w:val="9"/>
    <w:qFormat/>
    <w:rPr>
      <w:rFonts w:ascii="Arial" w:hAnsi="Arial" w:eastAsia="Arial" w:cs="Arial"/>
      <w:b/>
      <w:bCs/>
      <w:sz w:val="26"/>
      <w:szCs w:val="26"/>
    </w:rPr>
  </w:style>
  <w:style w:type="character" w:styleId="898" w:customStyle="1">
    <w:name w:val="标题 5 字符"/>
    <w:link w:val="790"/>
    <w:uiPriority w:val="9"/>
    <w:qFormat/>
    <w:rPr>
      <w:rFonts w:ascii="Arial" w:hAnsi="Arial" w:eastAsia="Arial" w:cs="Arial"/>
      <w:b/>
      <w:bCs/>
      <w:sz w:val="24"/>
      <w:szCs w:val="24"/>
    </w:rPr>
  </w:style>
  <w:style w:type="character" w:styleId="899" w:customStyle="1">
    <w:name w:val="标题 6 字符"/>
    <w:link w:val="791"/>
    <w:uiPriority w:val="9"/>
    <w:qFormat/>
    <w:rPr>
      <w:rFonts w:ascii="Arial" w:hAnsi="Arial" w:eastAsia="Arial" w:cs="Arial"/>
      <w:b/>
      <w:bCs/>
      <w:sz w:val="22"/>
      <w:szCs w:val="22"/>
    </w:rPr>
  </w:style>
  <w:style w:type="character" w:styleId="900" w:customStyle="1">
    <w:name w:val="标题 7 字符"/>
    <w:link w:val="792"/>
    <w:uiPriority w:val="9"/>
    <w:qFormat/>
    <w:rPr>
      <w:rFonts w:ascii="Arial" w:hAnsi="Arial" w:eastAsia="Arial" w:cs="Arial"/>
      <w:b/>
      <w:bCs/>
      <w:i/>
      <w:iCs/>
      <w:sz w:val="22"/>
      <w:szCs w:val="22"/>
    </w:rPr>
  </w:style>
  <w:style w:type="character" w:styleId="901" w:customStyle="1">
    <w:name w:val="标题 8 字符"/>
    <w:link w:val="793"/>
    <w:uiPriority w:val="9"/>
    <w:qFormat/>
    <w:rPr>
      <w:rFonts w:ascii="Arial" w:hAnsi="Arial" w:eastAsia="Arial" w:cs="Arial"/>
      <w:i/>
      <w:iCs/>
      <w:sz w:val="22"/>
      <w:szCs w:val="22"/>
    </w:rPr>
  </w:style>
  <w:style w:type="character" w:styleId="902" w:customStyle="1">
    <w:name w:val="标题 9 字符"/>
    <w:link w:val="794"/>
    <w:uiPriority w:val="9"/>
    <w:qFormat/>
    <w:rPr>
      <w:rFonts w:ascii="Arial" w:hAnsi="Arial" w:eastAsia="Arial" w:cs="Arial"/>
      <w:i/>
      <w:iCs/>
      <w:sz w:val="21"/>
      <w:szCs w:val="21"/>
    </w:rPr>
  </w:style>
  <w:style w:type="character" w:styleId="903" w:customStyle="1">
    <w:name w:val="标题 字符"/>
    <w:link w:val="845"/>
    <w:uiPriority w:val="99"/>
    <w:qFormat/>
    <w:rPr>
      <w:sz w:val="48"/>
      <w:szCs w:val="48"/>
    </w:rPr>
  </w:style>
  <w:style w:type="character" w:styleId="904" w:customStyle="1">
    <w:name w:val="副标题 字符"/>
    <w:link w:val="835"/>
    <w:uiPriority w:val="11"/>
    <w:qFormat/>
    <w:rPr>
      <w:sz w:val="24"/>
      <w:szCs w:val="24"/>
    </w:rPr>
  </w:style>
  <w:style w:type="paragraph" w:styleId="905">
    <w:name w:val="Quote"/>
    <w:basedOn w:val="785"/>
    <w:next w:val="785"/>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785"/>
    <w:next w:val="785"/>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页眉 字符"/>
    <w:link w:val="832"/>
    <w:uiPriority w:val="99"/>
    <w:qFormat/>
  </w:style>
  <w:style w:type="character" w:styleId="910" w:customStyle="1">
    <w:name w:val="Footer Char"/>
    <w:uiPriority w:val="99"/>
    <w:qFormat/>
  </w:style>
  <w:style w:type="character" w:styleId="911" w:customStyle="1">
    <w:name w:val="页脚 字符"/>
    <w:link w:val="830"/>
    <w:uiPriority w:val="99"/>
    <w:qFormat/>
  </w:style>
  <w:style w:type="table" w:styleId="912"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7"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7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7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6"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0"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1"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2"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3"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4"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5"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7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4"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5"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6"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7"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8"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9"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7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7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2"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3"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4"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5"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6"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7" w:customStyle="1">
    <w:name w:val="脚注文本 字符"/>
    <w:link w:val="836"/>
    <w:uiPriority w:val="99"/>
    <w:qFormat/>
    <w:rPr>
      <w:sz w:val="18"/>
    </w:rPr>
  </w:style>
  <w:style w:type="character" w:styleId="1038" w:customStyle="1">
    <w:name w:val="尾注文本 字符"/>
    <w:link w:val="828"/>
    <w:uiPriority w:val="99"/>
    <w:qFormat/>
    <w:rPr>
      <w:sz w:val="20"/>
    </w:rPr>
  </w:style>
  <w:style w:type="paragraph" w:styleId="1039"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40">
    <w:name w:val="No Spacing"/>
    <w:basedOn w:val="785"/>
    <w:uiPriority w:val="1"/>
    <w:qFormat/>
    <w:pPr>
      <w:spacing w:after="0" w:line="240" w:lineRule="auto"/>
    </w:pPr>
  </w:style>
  <w:style w:type="paragraph" w:styleId="1041">
    <w:name w:val="List Paragraph"/>
    <w:basedOn w:val="785"/>
    <w:uiPriority w:val="99"/>
    <w:qFormat/>
    <w:pPr>
      <w:contextualSpacing/>
      <w:ind w:left="720"/>
    </w:pPr>
  </w:style>
  <w:style w:type="paragraph" w:styleId="1042" w:customStyle="1">
    <w:name w:val="普通(网站)1"/>
    <w:basedOn w:val="785"/>
    <w:uiPriority w:val="0"/>
    <w:qFormat/>
    <w:pPr>
      <w:spacing w:before="100" w:beforeAutospacing="1" w:after="100" w:afterAutospacing="1" w:line="240" w:lineRule="auto"/>
    </w:pPr>
    <w:rPr>
      <w:rFonts w:ascii="宋体" w:hAnsi="宋体" w:eastAsia="宋体" w:cs="Times New Roman"/>
      <w:sz w:val="24"/>
      <w:szCs w:val="24"/>
      <w:lang w:eastAsia="zh-CN"/>
    </w:rPr>
  </w:style>
  <w:style w:type="character" w:styleId="1043" w:customStyle="1">
    <w:name w:val="批注文字 字符"/>
    <w:basedOn w:val="795"/>
    <w:link w:val="801"/>
    <w:uiPriority w:val="99"/>
    <w:qFormat/>
    <w:rPr>
      <w:rFonts w:eastAsiaTheme="minorHAnsi"/>
      <w:sz w:val="22"/>
      <w:szCs w:val="22"/>
      <w:lang w:eastAsia="en-US"/>
    </w:rPr>
  </w:style>
  <w:style w:type="character" w:styleId="1044" w:customStyle="1">
    <w:name w:val="批注主题 字符"/>
    <w:basedOn w:val="1043"/>
    <w:link w:val="846"/>
    <w:uiPriority w:val="99"/>
    <w:qFormat/>
    <w:rPr>
      <w:rFonts w:eastAsiaTheme="minorHAnsi"/>
      <w:b/>
      <w:bCs/>
      <w:sz w:val="22"/>
      <w:szCs w:val="22"/>
      <w:lang w:eastAsia="en-US"/>
    </w:rPr>
  </w:style>
  <w:style w:type="character" w:styleId="1045" w:customStyle="1">
    <w:name w:val="正文文本 字符"/>
    <w:basedOn w:val="795"/>
    <w:link w:val="802"/>
    <w:uiPriority w:val="99"/>
    <w:qFormat/>
    <w:rPr>
      <w:rFonts w:ascii="Verdana" w:hAnsi="Verdana" w:eastAsia="宋体" w:cs="Times New Roman"/>
      <w:sz w:val="24"/>
      <w:szCs w:val="18"/>
    </w:rPr>
  </w:style>
  <w:style w:type="character" w:styleId="1046" w:customStyle="1">
    <w:name w:val="正文文本缩进 字符"/>
    <w:basedOn w:val="795"/>
    <w:link w:val="820"/>
    <w:uiPriority w:val="99"/>
    <w:qFormat/>
    <w:rPr>
      <w:rFonts w:ascii="Times New Roman" w:hAnsi="Times New Roman" w:eastAsia="宋体" w:cs="Times New Roman"/>
      <w:sz w:val="21"/>
      <w:szCs w:val="24"/>
    </w:rPr>
  </w:style>
  <w:style w:type="character" w:styleId="1047" w:customStyle="1">
    <w:name w:val="纯文本 字符"/>
    <w:basedOn w:val="795"/>
    <w:link w:val="824"/>
    <w:uiPriority w:val="99"/>
    <w:qFormat/>
    <w:rPr>
      <w:rFonts w:ascii="宋体" w:hAnsi="Courier New" w:eastAsia="宋体" w:cs="Times New Roman"/>
      <w:sz w:val="21"/>
      <w:szCs w:val="21"/>
    </w:rPr>
  </w:style>
  <w:style w:type="character" w:styleId="1048" w:customStyle="1">
    <w:name w:val="日期 字符"/>
    <w:basedOn w:val="795"/>
    <w:link w:val="826"/>
    <w:uiPriority w:val="99"/>
    <w:qFormat/>
    <w:rPr>
      <w:rFonts w:ascii="Times New Roman" w:hAnsi="Times New Roman" w:eastAsia="仿宋_GB2312" w:cs="Times New Roman"/>
      <w:sz w:val="28"/>
    </w:rPr>
  </w:style>
  <w:style w:type="character" w:styleId="1049" w:customStyle="1">
    <w:name w:val="正文文本缩进 2 字符"/>
    <w:basedOn w:val="795"/>
    <w:link w:val="827"/>
    <w:uiPriority w:val="99"/>
    <w:qFormat/>
    <w:rPr>
      <w:rFonts w:ascii="仿宋_GB2312" w:hAnsi="Times New Roman" w:eastAsia="仿宋_GB2312" w:cs="Times New Roman"/>
      <w:sz w:val="24"/>
      <w:szCs w:val="24"/>
    </w:rPr>
  </w:style>
  <w:style w:type="character" w:styleId="1050" w:customStyle="1">
    <w:name w:val="批注框文本 字符"/>
    <w:basedOn w:val="795"/>
    <w:link w:val="829"/>
    <w:uiPriority w:val="99"/>
    <w:qFormat/>
    <w:rPr>
      <w:rFonts w:ascii="Calibri" w:hAnsi="Calibri" w:eastAsia="宋体" w:cs="Times New Roman"/>
      <w:sz w:val="18"/>
    </w:rPr>
  </w:style>
  <w:style w:type="character" w:styleId="1051" w:customStyle="1">
    <w:name w:val="正文文本缩进 3 字符"/>
    <w:basedOn w:val="795"/>
    <w:link w:val="838"/>
    <w:uiPriority w:val="99"/>
    <w:qFormat/>
    <w:rPr>
      <w:rFonts w:ascii="Times New Roman" w:hAnsi="Times New Roman" w:eastAsia="宋体" w:cs="Times New Roman"/>
      <w:sz w:val="16"/>
      <w:szCs w:val="16"/>
    </w:rPr>
  </w:style>
  <w:style w:type="character" w:styleId="1052" w:customStyle="1">
    <w:name w:val="HTML 预设格式 字符"/>
    <w:basedOn w:val="795"/>
    <w:link w:val="843"/>
    <w:uiPriority w:val="99"/>
    <w:qFormat/>
    <w:rPr>
      <w:rFonts w:ascii="宋体" w:hAnsi="宋体" w:eastAsia="宋体" w:cs="Times New Roman"/>
      <w:sz w:val="24"/>
    </w:rPr>
  </w:style>
  <w:style w:type="character" w:styleId="1053" w:customStyle="1">
    <w:name w:val="题注 字符"/>
    <w:link w:val="799"/>
    <w:uiPriority w:val="99"/>
    <w:qFormat/>
    <w:rPr>
      <w:rFonts w:eastAsiaTheme="minorHAnsi"/>
      <w:b/>
      <w:bCs/>
      <w:color w:val="5b9bd5" w:themeColor="accent1"/>
      <w:sz w:val="18"/>
      <w:szCs w:val="18"/>
      <w:lang w:eastAsia="en-US"/>
      <w14:textFill>
        <w14:solidFill>
          <w14:schemeClr w14:val="accent1"/>
        </w14:solidFill>
      </w14:textFill>
    </w:rPr>
  </w:style>
  <w:style w:type="character" w:styleId="1054" w:customStyle="1">
    <w:name w:val="Comment Text Char"/>
    <w:basedOn w:val="795"/>
    <w:uiPriority w:val="99"/>
    <w:semiHidden/>
    <w:qFormat/>
    <w:rPr>
      <w:rFonts w:ascii="Times New Roman" w:hAnsi="Times New Roman" w:eastAsia="仿宋_GB2312"/>
      <w:sz w:val="32"/>
      <w:szCs w:val="24"/>
    </w:rPr>
  </w:style>
  <w:style w:type="character" w:styleId="1055" w:customStyle="1">
    <w:name w:val="Balloon Text Char"/>
    <w:basedOn w:val="795"/>
    <w:uiPriority w:val="99"/>
    <w:semiHidden/>
    <w:qFormat/>
    <w:rPr>
      <w:rFonts w:ascii="Times New Roman" w:hAnsi="Times New Roman" w:eastAsia="仿宋_GB2312"/>
      <w:sz w:val="0"/>
      <w:szCs w:val="0"/>
    </w:rPr>
  </w:style>
  <w:style w:type="character" w:styleId="1056" w:customStyle="1">
    <w:name w:val="页脚 Char"/>
    <w:uiPriority w:val="99"/>
    <w:qFormat/>
    <w:rPr>
      <w:rFonts w:ascii="Calibri" w:hAnsi="Calibri" w:eastAsia="宋体"/>
      <w:sz w:val="24"/>
    </w:rPr>
  </w:style>
  <w:style w:type="character" w:styleId="1057" w:customStyle="1">
    <w:name w:val="页眉 Char"/>
    <w:uiPriority w:val="99"/>
    <w:qFormat/>
    <w:rPr>
      <w:rFonts w:ascii="Calibri" w:hAnsi="Calibri" w:eastAsia="宋体"/>
      <w:sz w:val="18"/>
    </w:rPr>
  </w:style>
  <w:style w:type="character" w:styleId="1058" w:customStyle="1">
    <w:name w:val="HTML Preformatted Char"/>
    <w:basedOn w:val="795"/>
    <w:uiPriority w:val="99"/>
    <w:semiHidden/>
    <w:qFormat/>
    <w:rPr>
      <w:rFonts w:ascii="Courier New" w:hAnsi="Courier New" w:eastAsia="仿宋_GB2312" w:cs="Courier New"/>
      <w:sz w:val="20"/>
      <w:szCs w:val="20"/>
    </w:rPr>
  </w:style>
  <w:style w:type="character" w:styleId="1059" w:customStyle="1">
    <w:name w:val="Comment Subject Char"/>
    <w:basedOn w:val="1043"/>
    <w:uiPriority w:val="99"/>
    <w:semiHidden/>
    <w:qFormat/>
    <w:rPr>
      <w:rFonts w:ascii="Times New Roman" w:hAnsi="Times New Roman" w:eastAsia="仿宋_GB2312"/>
      <w:b/>
      <w:bCs/>
      <w:sz w:val="32"/>
      <w:szCs w:val="24"/>
      <w:lang w:val="en-US" w:eastAsia="zh-CN"/>
    </w:rPr>
  </w:style>
  <w:style w:type="character" w:styleId="1060" w:customStyle="1">
    <w:name w:val="font11"/>
    <w:uiPriority w:val="99"/>
    <w:qFormat/>
    <w:rPr>
      <w:rFonts w:ascii="宋体" w:hAnsi="宋体" w:eastAsia="宋体"/>
      <w:b/>
      <w:color w:val="000000"/>
      <w:sz w:val="22"/>
      <w:u w:val="none"/>
    </w:rPr>
  </w:style>
  <w:style w:type="character" w:styleId="1061" w:customStyle="1">
    <w:name w:val="font71"/>
    <w:uiPriority w:val="99"/>
    <w:qFormat/>
    <w:rPr>
      <w:rFonts w:ascii="仿宋_GB2312" w:hAnsi="Times New Roman" w:eastAsia="仿宋_GB2312"/>
      <w:color w:val="000000"/>
      <w:sz w:val="24"/>
      <w:u w:val="none"/>
    </w:rPr>
  </w:style>
  <w:style w:type="character" w:styleId="1062" w:customStyle="1">
    <w:name w:val="正文 + 宋体 Char"/>
    <w:link w:val="1063"/>
    <w:uiPriority w:val="99"/>
    <w:qFormat/>
    <w:rPr>
      <w:rFonts w:ascii="Calibri" w:hAnsi="Calibri" w:eastAsia="微软雅黑"/>
    </w:rPr>
  </w:style>
  <w:style w:type="paragraph" w:styleId="1063" w:customStyle="1">
    <w:name w:val="正文 + 宋体"/>
    <w:basedOn w:val="785"/>
    <w:next w:val="785"/>
    <w:link w:val="1062"/>
    <w:uiPriority w:val="99"/>
    <w:qFormat/>
    <w:pPr>
      <w:jc w:val="both"/>
      <w:spacing w:after="0" w:line="240" w:lineRule="auto"/>
      <w:widowControl w:val="off"/>
    </w:pPr>
    <w:rPr>
      <w:rFonts w:ascii="Calibri" w:hAnsi="Calibri" w:eastAsia="微软雅黑"/>
      <w:sz w:val="20"/>
      <w:szCs w:val="20"/>
      <w:lang w:eastAsia="zh-CN"/>
    </w:rPr>
  </w:style>
  <w:style w:type="character" w:styleId="1064" w:customStyle="1">
    <w:name w:val="font31"/>
    <w:basedOn w:val="795"/>
    <w:uiPriority w:val="99"/>
    <w:qFormat/>
    <w:rPr>
      <w:rFonts w:ascii="宋体" w:hAnsi="宋体" w:eastAsia="宋体"/>
      <w:color w:val="000000"/>
      <w:sz w:val="22"/>
      <w:u w:val="none"/>
    </w:rPr>
  </w:style>
  <w:style w:type="character" w:styleId="1065" w:customStyle="1">
    <w:name w:val="font01"/>
    <w:uiPriority w:val="99"/>
    <w:qFormat/>
    <w:rPr>
      <w:rFonts w:ascii="仿宋_GB2312" w:hAnsi="Times New Roman" w:eastAsia="仿宋_GB2312"/>
      <w:color w:val="000000"/>
      <w:sz w:val="24"/>
      <w:u w:val="none"/>
    </w:rPr>
  </w:style>
  <w:style w:type="character" w:styleId="1066" w:customStyle="1">
    <w:name w:val="fontstyle01"/>
    <w:uiPriority w:val="99"/>
    <w:qFormat/>
    <w:rPr>
      <w:rFonts w:ascii="等线" w:hAnsi="等线" w:eastAsia="等线"/>
      <w:color w:val="000000"/>
      <w:sz w:val="22"/>
    </w:rPr>
  </w:style>
  <w:style w:type="character" w:styleId="1067" w:customStyle="1">
    <w:name w:val="font51"/>
    <w:uiPriority w:val="99"/>
    <w:qFormat/>
    <w:rPr>
      <w:rFonts w:ascii="Tahoma" w:hAnsi="Tahoma" w:eastAsia="Times New Roman"/>
      <w:color w:val="000000"/>
      <w:sz w:val="22"/>
      <w:u w:val="none"/>
    </w:rPr>
  </w:style>
  <w:style w:type="character" w:styleId="1068" w:customStyle="1">
    <w:name w:val="font21"/>
    <w:uiPriority w:val="99"/>
    <w:qFormat/>
    <w:rPr>
      <w:rFonts w:ascii="仿宋_GB2312" w:hAnsi="Times New Roman" w:eastAsia="仿宋_GB2312"/>
      <w:b/>
      <w:color w:val="000000"/>
      <w:sz w:val="24"/>
      <w:u w:val="none"/>
    </w:rPr>
  </w:style>
  <w:style w:type="character" w:styleId="1069" w:customStyle="1">
    <w:name w:val="font81"/>
    <w:uiPriority w:val="99"/>
    <w:qFormat/>
    <w:rPr>
      <w:rFonts w:ascii="仿宋_GB2312" w:hAnsi="Times New Roman" w:eastAsia="仿宋_GB2312"/>
      <w:b/>
      <w:color w:val="000000"/>
      <w:sz w:val="24"/>
      <w:u w:val="none"/>
    </w:rPr>
  </w:style>
  <w:style w:type="character" w:styleId="1070" w:customStyle="1">
    <w:name w:val="font91"/>
    <w:uiPriority w:val="99"/>
    <w:qFormat/>
    <w:rPr>
      <w:rFonts w:ascii="仿宋_GB2312" w:hAnsi="Times New Roman" w:eastAsia="仿宋_GB2312"/>
      <w:color w:val="ff0000"/>
      <w:sz w:val="24"/>
      <w:u w:val="none"/>
    </w:rPr>
  </w:style>
  <w:style w:type="paragraph" w:styleId="1071" w:customStyle="1">
    <w:name w:val="+正文"/>
    <w:basedOn w:val="785"/>
    <w:uiPriority w:val="99"/>
    <w:qFormat/>
    <w:pPr>
      <w:ind w:firstLine="200"/>
      <w:jc w:val="both"/>
      <w:spacing w:after="0" w:line="360" w:lineRule="auto"/>
      <w:widowControl w:val="off"/>
    </w:pPr>
    <w:rPr>
      <w:rFonts w:ascii="Times New Roman" w:hAnsi="Times New Roman" w:eastAsia="宋体" w:cs="Times New Roman"/>
      <w:sz w:val="24"/>
      <w:szCs w:val="24"/>
      <w:lang w:eastAsia="zh-CN"/>
    </w:rPr>
  </w:style>
  <w:style w:type="paragraph" w:styleId="1072" w:customStyle="1">
    <w:name w:val="列出段落1"/>
    <w:basedOn w:val="785"/>
    <w:uiPriority w:val="99"/>
    <w:qFormat/>
    <w:pPr>
      <w:ind w:firstLine="420"/>
      <w:jc w:val="both"/>
      <w:spacing w:after="0" w:line="240" w:lineRule="auto"/>
      <w:widowControl w:val="off"/>
    </w:pPr>
    <w:rPr>
      <w:rFonts w:ascii="Times New Roman" w:hAnsi="Times New Roman" w:eastAsia="宋体" w:cs="Times New Roman"/>
      <w:sz w:val="21"/>
      <w:lang w:eastAsia="zh-CN"/>
    </w:rPr>
  </w:style>
  <w:style w:type="paragraph" w:styleId="1073" w:customStyle="1">
    <w:name w:val="正文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无间隔1"/>
    <w:uiPriority w:val="99"/>
    <w:qFormat/>
    <w:pPr>
      <w:jc w:val="both"/>
      <w:widowControl w:val="off"/>
    </w:pPr>
    <w:rPr>
      <w:rFonts w:hint="default" w:ascii="Calibri" w:hAnsi="Calibri" w:eastAsia="仿宋" w:cs="Times New Roman"/>
      <w:sz w:val="24"/>
      <w:szCs w:val="22"/>
      <w:lang w:val="en-US" w:eastAsia="zh-CN" w:bidi="ar-SA"/>
    </w:rPr>
  </w:style>
  <w:style w:type="paragraph" w:styleId="1075" w:customStyle="1">
    <w:name w:val="彩色列表 - 强调文字颜色 11"/>
    <w:basedOn w:val="785"/>
    <w:uiPriority w:val="99"/>
    <w:qFormat/>
    <w:pPr>
      <w:ind w:firstLine="420"/>
      <w:spacing w:after="0" w:line="480" w:lineRule="auto"/>
      <w:widowControl w:val="off"/>
    </w:pPr>
    <w:rPr>
      <w:rFonts w:ascii="Calibri" w:hAnsi="Calibri" w:eastAsia="宋体" w:cs="Times New Roman"/>
      <w:sz w:val="24"/>
      <w:lang w:eastAsia="zh-TW"/>
    </w:rPr>
  </w:style>
  <w:style w:type="paragraph" w:styleId="1076" w:customStyle="1">
    <w:name w:val="Table Paragraph"/>
    <w:basedOn w:val="785"/>
    <w:uiPriority w:val="99"/>
    <w:qFormat/>
    <w:pPr>
      <w:jc w:val="both"/>
      <w:spacing w:after="0" w:line="240" w:lineRule="auto"/>
      <w:widowControl w:val="off"/>
    </w:pPr>
    <w:rPr>
      <w:rFonts w:ascii="宋体" w:hAnsi="宋体" w:eastAsia="宋体" w:cs="宋体"/>
      <w:sz w:val="21"/>
      <w:szCs w:val="24"/>
      <w:lang w:val="zh-CN" w:eastAsia="zh-CN"/>
    </w:rPr>
  </w:style>
  <w:style w:type="paragraph" w:styleId="1077" w:customStyle="1">
    <w:name w:val="彩色列表 - 强调文字颜色 12"/>
    <w:basedOn w:val="785"/>
    <w:uiPriority w:val="99"/>
    <w:qFormat/>
    <w:pPr>
      <w:ind w:firstLine="420"/>
      <w:jc w:val="both"/>
      <w:spacing w:after="0" w:line="240" w:lineRule="auto"/>
      <w:widowControl w:val="off"/>
    </w:pPr>
    <w:rPr>
      <w:rFonts w:ascii="Times New Roman" w:hAnsi="Times New Roman" w:eastAsia="宋体" w:cs="Times New Roman"/>
      <w:sz w:val="21"/>
      <w:szCs w:val="24"/>
      <w:lang w:eastAsia="zh-CN"/>
    </w:rPr>
  </w:style>
  <w:style w:type="paragraph" w:styleId="1078" w:customStyle="1">
    <w:name w:val="HPC正文"/>
    <w:basedOn w:val="785"/>
    <w:uiPriority w:val="99"/>
    <w:qFormat/>
    <w:pPr>
      <w:ind w:firstLine="424"/>
      <w:jc w:val="both"/>
      <w:spacing w:after="0" w:line="360" w:lineRule="auto"/>
      <w:widowControl w:val="off"/>
    </w:pPr>
    <w:rPr>
      <w:rFonts w:ascii="Times New Roman" w:hAnsi="Times New Roman" w:eastAsia="宋体" w:cs="Times New Roman"/>
      <w:sz w:val="21"/>
      <w:szCs w:val="24"/>
      <w:lang w:eastAsia="zh-CN"/>
    </w:rPr>
  </w:style>
  <w:style w:type="paragraph" w:styleId="1079" w:customStyle="1">
    <w:name w:val="默认段落字体 Para Char Char Char Char Char Char Char"/>
    <w:basedOn w:val="785"/>
    <w:uiPriority w:val="99"/>
    <w:qFormat/>
    <w:pPr>
      <w:jc w:val="both"/>
      <w:spacing w:after="0" w:line="240" w:lineRule="auto"/>
      <w:widowControl w:val="off"/>
    </w:pPr>
    <w:rPr>
      <w:rFonts w:ascii="Tahoma" w:hAnsi="Tahoma" w:eastAsia="宋体" w:cs="Times New Roman"/>
      <w:sz w:val="24"/>
      <w:szCs w:val="20"/>
      <w:lang w:eastAsia="zh-CN"/>
    </w:rPr>
  </w:style>
  <w:style w:type="paragraph" w:styleId="1080" w:customStyle="1">
    <w:name w:val="正文缩进HS-正文1"/>
    <w:basedOn w:val="785"/>
    <w:uiPriority w:val="99"/>
    <w:qFormat/>
    <w:pPr>
      <w:ind w:firstLine="480"/>
      <w:jc w:val="both"/>
      <w:spacing w:after="0" w:line="360" w:lineRule="auto"/>
      <w:widowControl w:val="off"/>
    </w:pPr>
    <w:rPr>
      <w:rFonts w:ascii="宋体" w:hAnsi="宋体" w:eastAsia="宋体" w:cs="Times New Roman"/>
      <w:color w:val="000000"/>
      <w:sz w:val="21"/>
      <w:szCs w:val="24"/>
      <w:lang w:eastAsia="zh-CN"/>
    </w:rPr>
  </w:style>
  <w:style w:type="paragraph" w:styleId="1081" w:customStyle="1">
    <w:name w:val="缺省文本"/>
    <w:basedOn w:val="785"/>
    <w:uiPriority w:val="99"/>
    <w:qFormat/>
    <w:pPr>
      <w:spacing w:after="0" w:line="360" w:lineRule="auto"/>
      <w:widowControl w:val="off"/>
    </w:pPr>
    <w:rPr>
      <w:rFonts w:ascii="Arial" w:hAnsi="Arial" w:eastAsia="宋体" w:cs="Times New Roman"/>
      <w:sz w:val="21"/>
      <w:szCs w:val="21"/>
      <w:lang w:eastAsia="zh-CN"/>
    </w:rPr>
  </w:style>
  <w:style w:type="paragraph" w:styleId="1082" w:customStyle="1">
    <w:name w:val="正文-1"/>
    <w:basedOn w:val="785"/>
    <w:uiPriority w:val="99"/>
    <w:qFormat/>
    <w:pPr>
      <w:ind w:firstLine="200"/>
      <w:jc w:val="both"/>
      <w:spacing w:after="0" w:line="360" w:lineRule="auto"/>
      <w:widowControl w:val="off"/>
    </w:pPr>
    <w:rPr>
      <w:rFonts w:ascii="Calibri" w:hAnsi="Calibri" w:eastAsia="宋体" w:cs="Times New Roman"/>
      <w:sz w:val="24"/>
      <w:szCs w:val="24"/>
      <w:lang w:eastAsia="zh-CN"/>
    </w:rPr>
  </w:style>
  <w:style w:type="paragraph" w:styleId="1083" w:customStyle="1">
    <w:name w:val="首行缩进"/>
    <w:basedOn w:val="785"/>
    <w:uiPriority w:val="99"/>
    <w:qFormat/>
    <w:pPr>
      <w:ind w:firstLine="420"/>
      <w:jc w:val="both"/>
      <w:spacing w:after="0" w:line="360" w:lineRule="auto"/>
      <w:widowControl w:val="off"/>
    </w:pPr>
    <w:rPr>
      <w:rFonts w:ascii="Times New Roman" w:hAnsi="Times New Roman" w:eastAsia="宋体" w:cs="Times New Roman"/>
      <w:sz w:val="21"/>
      <w:szCs w:val="24"/>
      <w:lang w:eastAsia="zh-CN"/>
    </w:rPr>
  </w:style>
  <w:style w:type="paragraph" w:styleId="1084" w:customStyle="1">
    <w:name w:val="_Style 2"/>
    <w:basedOn w:val="785"/>
    <w:uiPriority w:val="99"/>
    <w:qFormat/>
    <w:pPr>
      <w:ind w:firstLine="420"/>
      <w:jc w:val="both"/>
      <w:spacing w:after="0" w:line="240" w:lineRule="auto"/>
      <w:widowControl w:val="off"/>
    </w:pPr>
    <w:rPr>
      <w:rFonts w:ascii="Calibri" w:hAnsi="Calibri" w:eastAsia="宋体" w:cs="Times New Roman"/>
      <w:sz w:val="21"/>
      <w:szCs w:val="24"/>
      <w:lang w:eastAsia="zh-CN"/>
    </w:rPr>
  </w:style>
  <w:style w:type="paragraph" w:styleId="1085" w:customStyle="1">
    <w:name w:val="DAS正文"/>
    <w:basedOn w:val="785"/>
    <w:uiPriority w:val="99"/>
    <w:qFormat/>
    <w:pPr>
      <w:ind w:right="181" w:firstLine="480"/>
      <w:jc w:val="both"/>
      <w:spacing w:after="0" w:line="360" w:lineRule="auto"/>
      <w:widowControl w:val="off"/>
    </w:pPr>
    <w:rPr>
      <w:rFonts w:ascii="Verdana" w:hAnsi="Verdana" w:eastAsia="宋体" w:cs="Times New Roman"/>
      <w:sz w:val="21"/>
      <w:szCs w:val="24"/>
      <w:lang w:eastAsia="zh-CN"/>
    </w:rPr>
  </w:style>
  <w:style w:type="paragraph" w:styleId="1086" w:customStyle="1">
    <w:name w:val="普通正文"/>
    <w:basedOn w:val="785"/>
    <w:uiPriority w:val="99"/>
    <w:qFormat/>
    <w:pPr>
      <w:ind w:firstLine="480"/>
      <w:spacing w:after="0" w:line="360" w:lineRule="auto"/>
      <w:widowControl w:val="off"/>
    </w:pPr>
    <w:rPr>
      <w:rFonts w:ascii="Arial" w:hAnsi="Arial" w:eastAsia="宋体" w:cs="Times New Roman"/>
      <w:sz w:val="24"/>
      <w:szCs w:val="24"/>
      <w:lang w:eastAsia="zh-CN"/>
    </w:rPr>
  </w:style>
  <w:style w:type="paragraph" w:styleId="1087" w:customStyle="1">
    <w:name w:val="列出段落2"/>
    <w:basedOn w:val="785"/>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088" w:customStyle="1">
    <w:name w:val="l正文"/>
    <w:basedOn w:val="785"/>
    <w:uiPriority w:val="99"/>
    <w:qFormat/>
    <w:pPr>
      <w:ind w:firstLine="480"/>
      <w:jc w:val="both"/>
      <w:spacing w:after="0" w:line="360" w:lineRule="auto"/>
      <w:widowControl w:val="off"/>
    </w:pPr>
    <w:rPr>
      <w:rFonts w:ascii="宋体" w:hAnsi="宋体" w:eastAsia="宋体" w:cs="Times New Roman"/>
      <w:sz w:val="24"/>
      <w:szCs w:val="24"/>
      <w:lang w:eastAsia="zh-CN"/>
    </w:rPr>
  </w:style>
  <w:style w:type="character" w:styleId="1089" w:customStyle="1">
    <w:name w:val="NormalCharacter"/>
    <w:link w:val="785"/>
    <w:uiPriority w:val="0"/>
    <w:semiHidden/>
    <w:qFormat/>
    <w:rPr>
      <w:rFonts w:hint="default" w:asciiTheme="minorHAnsi" w:hAnsiTheme="minorHAnsi" w:eastAsiaTheme="minorHAnsi" w:cstheme="minorBidi"/>
      <w:sz w:val="22"/>
      <w:szCs w:val="22"/>
      <w:lang w:val="en-US" w:eastAsia="en-US" w:bidi="ar-SA"/>
    </w:rPr>
  </w:style>
  <w:style w:type="paragraph" w:styleId="1090" w:customStyle="1">
    <w:name w:val="x-scope"/>
    <w:basedOn w:val="785"/>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091" w:customStyle="1">
    <w:name w:val="qowt-font16"/>
    <w:basedOn w:val="795"/>
    <w:uiPriority w:val="0"/>
    <w:qFormat/>
  </w:style>
  <w:style w:type="paragraph" w:styleId="1092" w:customStyle="1">
    <w:name w:val="目录 111"/>
    <w:basedOn w:val="807"/>
    <w:next w:val="785"/>
    <w:uiPriority w:val="0"/>
    <w:qFormat/>
    <w:pPr>
      <w:jc w:val="left"/>
      <w:spacing w:after="100" w:line="259" w:lineRule="auto"/>
      <w:widowControl/>
    </w:pPr>
    <w:rPr>
      <w:rFonts w:ascii="Calibri" w:hAnsi="Calibri"/>
      <w:sz w:val="22"/>
      <w:szCs w:val="22"/>
    </w:rPr>
  </w:style>
  <w:style w:type="paragraph" w:styleId="1093" w:customStyle="1">
    <w:name w:val="标题 411"/>
    <w:basedOn w:val="810"/>
    <w:next w:val="812"/>
    <w:uiPriority w:val="0"/>
    <w:qFormat/>
    <w:pPr>
      <w:keepLines/>
      <w:keepNext/>
      <w:spacing w:before="280" w:after="290" w:line="376" w:lineRule="auto"/>
      <w:outlineLvl w:val="3"/>
    </w:pPr>
    <w:rPr>
      <w:rFonts w:ascii="Arial" w:hAnsi="Arial" w:eastAsia="黑体"/>
      <w:b/>
      <w:bCs/>
      <w:sz w:val="28"/>
      <w:szCs w:val="28"/>
    </w:rPr>
  </w:style>
  <w:style w:type="paragraph" w:styleId="1094" w:customStyle="1">
    <w:name w:val="正文缩进11"/>
    <w:basedOn w:val="785"/>
    <w:uiPriority w:val="0"/>
    <w:qFormat/>
    <w:pPr>
      <w:ind w:firstLine="420"/>
    </w:pPr>
    <w:rPr>
      <w:rFonts w:eastAsia="楷体_GB2312"/>
      <w:sz w:val="24"/>
      <w:szCs w:val="20"/>
    </w:rPr>
  </w:style>
  <w:style w:type="paragraph" w:styleId="1095"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页脚1"/>
    <w:basedOn w:val="785"/>
    <w:uiPriority w:val="0"/>
    <w:qFormat/>
    <w:pPr>
      <w:jc w:val="left"/>
      <w:tabs>
        <w:tab w:val="center" w:pos="4153" w:leader="none"/>
        <w:tab w:val="right" w:pos="8306" w:leader="none"/>
      </w:tabs>
    </w:pPr>
    <w:rPr>
      <w:sz w:val="18"/>
      <w:szCs w:val="18"/>
    </w:rPr>
  </w:style>
  <w:style w:type="character" w:styleId="1097" w:customStyle="1">
    <w:name w:val="font61"/>
    <w:basedOn w:val="795"/>
    <w:uiPriority w:val="0"/>
    <w:qFormat/>
    <w:rPr>
      <w:rFonts w:hint="eastAsia" w:ascii="宋体" w:hAnsi="宋体" w:eastAsia="宋体" w:cs="宋体"/>
      <w:color w:val="000000"/>
      <w:sz w:val="20"/>
      <w:szCs w:val="20"/>
      <w:u w:val="none"/>
    </w:rPr>
  </w:style>
  <w:style w:type="paragraph" w:styleId="1098"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099"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100" w:customStyle="1">
    <w:name w:val="Normal_19"/>
    <w:uiPriority w:val="0"/>
    <w:qFormat/>
    <w:rPr>
      <w:rFonts w:ascii="Arial" w:hAnsi="Arial" w:eastAsia="Arial" w:cs="Arial"/>
      <w:color w:val="000000"/>
      <w:sz w:val="21"/>
      <w:szCs w:val="21"/>
      <w:lang w:val="en-US" w:eastAsia="zh-CN" w:bidi="ar-SA"/>
    </w:rPr>
  </w:style>
  <w:style w:type="paragraph" w:styleId="1101" w:customStyle="1">
    <w:name w:val="纯文本1"/>
    <w:basedOn w:val="785"/>
    <w:uiPriority w:val="0"/>
    <w:qFormat/>
    <w:rPr>
      <w:rFonts w:ascii="宋体" w:hAnsi="Courier New"/>
      <w:sz w:val="20"/>
      <w:szCs w:val="21"/>
    </w:rPr>
  </w:style>
  <w:style w:type="paragraph" w:styleId="1102" w:customStyle="1">
    <w:name w:val="Table Text"/>
    <w:basedOn w:val="785"/>
    <w:uiPriority w:val="0"/>
    <w:semiHidden/>
    <w:qFormat/>
    <w:rPr>
      <w:rFonts w:ascii="仿宋" w:hAnsi="仿宋" w:eastAsia="仿宋" w:cs="仿宋"/>
      <w:sz w:val="28"/>
      <w:szCs w:val="28"/>
      <w:lang w:val="en-US" w:eastAsia="en-US" w:bidi="ar-SA"/>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C203BF3B-E39F-4CB2-82B2-F0652CB622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小明明</dc:creator>
  <cp:lastModifiedBy>韩海霞</cp:lastModifiedBy>
  <cp:revision>20</cp:revision>
  <dcterms:created xsi:type="dcterms:W3CDTF">2024-06-11T03:02:00Z</dcterms:created>
  <dcterms:modified xsi:type="dcterms:W3CDTF">2026-03-17T06:05:00Z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9A9E59B021F041DC90FFE38F7AB9FA63_13</vt:lpwstr>
  </property>
  <property fmtid="{D5CDD505-2E9C-101B-9397-08002B2CF9AE}" pid="4" name="KSOTemplateDocerSaveRecord">
    <vt:lpwstr>eyJoZGlkIjoiMmM3NWZkZmJhYjk1MTlmMTZhMjFjYzYwYWYyNGRmMGEiLCJ1c2VySWQiOiIxMzM3MTM2MzEwIn0=</vt:lpwstr>
  </property>
</Properties>
</file>