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2"/>
        <w:rPr>
          <w:rFonts w:hint="eastAsia"/>
          <w:highlight w:val="none"/>
        </w:rPr>
      </w:pPr>
      <w:r>
        <w:rPr>
          <w:rFonts w:hint="eastAsia"/>
          <w:highlight w:val="none"/>
        </w:rPr>
      </w:r>
      <w:r/>
    </w:p>
    <w:p>
      <w:pPr>
        <w:pStyle w:val="835"/>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56"/>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官山镇乳制品项目排污管网建设项目</w:t>
      </w:r>
      <w:r/>
    </w:p>
    <w:p>
      <w:pPr>
        <w:pStyle w:val="837"/>
        <w:ind w:left="0" w:firstLine="64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JSZC-320324-JSBD-C2026-0001</w:t>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睢宁县官山镇人民政府</w:t>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三</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官山镇乳制品项目排污管网建设项目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睢宁县官山镇人民政府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官山镇乳制品项目排污管网建设项目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JSZC-320324-JSBD-C2026-0001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2026年4月9日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2026年4月9日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2026年4月9日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扫描件一份；或合法有效的经第三方机构审计的202</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年度</w:t>
      </w:r>
      <w:r>
        <w:rPr>
          <w:rFonts w:hint="eastAsia" w:ascii="宋体" w:hAnsi="宋体" w:cs="宋体"/>
          <w:color w:val="000000"/>
          <w:sz w:val="24"/>
          <w:szCs w:val="24"/>
          <w:highlight w:val="none"/>
          <w:lang w:val="en-US" w:eastAsia="zh-CN" w:bidi="ar-SA"/>
        </w:rPr>
        <w:t xml:space="preserve">或2025年度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2"/>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2"/>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2"/>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2"/>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2"/>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2"/>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2"/>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1、成交供应商在领取成交通知书前，向</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缴纳代理服务费，收取标准见附件。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睢宁县官山镇人民政府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址：江苏省徐州市睢宁县官山镇府前街东首</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许春泉</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联系方式：0516-88201011</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930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572"/>
        <w:gridCol w:w="6528"/>
      </w:tblGrid>
      <w:tr>
        <w:trPr>
          <w:jc w:val="center"/>
          <w:trHeight w:val="531"/>
        </w:trPr>
        <w:tc>
          <w:tcPr>
            <w:gridSpan w:val="2"/>
            <w:tcW w:w="2772"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528"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0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价格部分（15）</w:t>
            </w:r>
            <w:r/>
          </w:p>
        </w:tc>
        <w:tc>
          <w:tcPr>
            <w:tcW w:w="1572"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（15分）</w:t>
            </w:r>
            <w:r/>
          </w:p>
        </w:tc>
        <w:tc>
          <w:tcPr>
            <w:tcW w:w="6528" w:type="dxa"/>
            <w:vAlign w:val="center"/>
            <w:textDirection w:val="lrTb"/>
            <w:noWrap w:val="false"/>
          </w:tcPr>
          <w:p>
            <w:pPr>
              <w:pStyle w:val="875"/>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eastAsia="宋体" w:cs="宋体"/>
                <w:b/>
                <w:color w:val="000000"/>
                <w:sz w:val="24"/>
                <w:szCs w:val="24"/>
                <w:lang w:val="en-US" w:eastAsia="zh-CN"/>
              </w:rPr>
              <w:t xml:space="preserve">15</w:t>
            </w:r>
            <w:r>
              <w:rPr>
                <w:rFonts w:hint="eastAsia" w:ascii="宋体" w:hAnsi="宋体" w:eastAsia="宋体" w:cs="宋体"/>
                <w:color w:val="000000"/>
                <w:sz w:val="24"/>
                <w:szCs w:val="24"/>
              </w:rPr>
              <w:t xml:space="preserve">（得分四舍五入保留小数点后2位）</w:t>
            </w:r>
            <w:r/>
          </w:p>
        </w:tc>
      </w:tr>
      <w:tr>
        <w:trPr>
          <w:cantSplit/>
          <w:jc w:val="center"/>
          <w:trHeight w:val="1957"/>
        </w:trPr>
        <w:tc>
          <w:tcPr>
            <w:tcW w:w="1200" w:type="dxa"/>
            <w:vAlign w:val="center"/>
            <w:vMerge w:val="restart"/>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技术部分（8</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w:t>
            </w:r>
            <w:r/>
          </w:p>
        </w:tc>
        <w:tc>
          <w:tcPr>
            <w:tcW w:w="1572" w:type="dxa"/>
            <w:vAlign w:val="center"/>
            <w:textDirection w:val="lrTb"/>
            <w:noWrap w:val="false"/>
          </w:tcPr>
          <w:p>
            <w:pPr>
              <w:spacing w:line="360" w:lineRule="auto"/>
              <w:rPr>
                <w:rStyle w:val="1040"/>
                <w:rFonts w:hint="eastAsia" w:ascii="宋体" w:hAnsi="宋体" w:eastAsia="宋体" w:cs="宋体"/>
                <w:color w:val="000000"/>
                <w:sz w:val="24"/>
                <w:szCs w:val="24"/>
                <w:lang w:val="en-US" w:eastAsia="en-US"/>
              </w:rPr>
            </w:pPr>
            <w:r>
              <w:rPr>
                <w:rStyle w:val="1040"/>
                <w:rFonts w:hint="eastAsia" w:ascii="宋体" w:hAnsi="宋体" w:eastAsia="宋体" w:cs="宋体"/>
                <w:color w:val="000000"/>
                <w:sz w:val="24"/>
                <w:szCs w:val="24"/>
                <w:lang w:val="en-US" w:eastAsia="en-US"/>
              </w:rPr>
              <w:t xml:space="preserve">总体概述</w:t>
            </w:r>
            <w:r/>
          </w:p>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w:t>
            </w:r>
            <w:r>
              <w:rPr>
                <w:rStyle w:val="1040"/>
                <w:rFonts w:hint="eastAsia" w:ascii="宋体" w:hAnsi="宋体" w:eastAsia="宋体" w:cs="宋体"/>
                <w:color w:val="000000"/>
                <w:sz w:val="24"/>
                <w:szCs w:val="24"/>
                <w:lang w:val="en-US" w:eastAsia="zh-CN"/>
              </w:rPr>
              <w:t xml:space="preserve">1</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528" w:type="dxa"/>
            <w:vAlign w:val="center"/>
            <w:textDirection w:val="lrTb"/>
            <w:noWrap w:val="false"/>
          </w:tcPr>
          <w:p>
            <w:pPr>
              <w:ind w:firstLine="480"/>
              <w:spacing w:line="360" w:lineRule="auto"/>
              <w:rPr>
                <w:rFonts w:hint="eastAsia" w:ascii="宋体" w:hAnsi="宋体" w:eastAsia="宋体" w:cs="宋体"/>
                <w:color w:val="000000"/>
                <w:sz w:val="24"/>
                <w:szCs w:val="24"/>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供应商响应文件中施工组织</w:t>
            </w:r>
            <w:r>
              <w:rPr>
                <w:rStyle w:val="1040"/>
                <w:rFonts w:hint="eastAsia" w:ascii="宋体" w:hAnsi="宋体" w:eastAsia="宋体" w:cs="宋体"/>
                <w:color w:val="000000"/>
                <w:sz w:val="24"/>
                <w:szCs w:val="24"/>
                <w:lang w:val="en-US" w:eastAsia="zh-CN"/>
              </w:rPr>
              <w:t xml:space="preserve">设计</w:t>
            </w:r>
            <w:r>
              <w:rPr>
                <w:rStyle w:val="1040"/>
                <w:rFonts w:hint="eastAsia" w:ascii="宋体" w:hAnsi="宋体" w:eastAsia="宋体" w:cs="宋体"/>
                <w:color w:val="000000"/>
                <w:sz w:val="24"/>
                <w:szCs w:val="24"/>
              </w:rPr>
              <w:t xml:space="preserve">总体</w:t>
            </w:r>
            <w:r>
              <w:rPr>
                <w:rStyle w:val="1040"/>
                <w:rFonts w:hint="eastAsia" w:ascii="宋体" w:hAnsi="宋体" w:eastAsia="宋体" w:cs="宋体"/>
                <w:color w:val="000000"/>
                <w:sz w:val="24"/>
                <w:szCs w:val="24"/>
                <w:lang w:val="en-US" w:eastAsia="zh-CN"/>
              </w:rPr>
              <w:t xml:space="preserve">施工部署</w:t>
            </w:r>
            <w:r>
              <w:rPr>
                <w:rStyle w:val="1040"/>
                <w:rFonts w:hint="eastAsia" w:ascii="宋体" w:hAnsi="宋体" w:eastAsia="宋体" w:cs="宋体"/>
                <w:color w:val="000000"/>
                <w:sz w:val="24"/>
                <w:szCs w:val="24"/>
              </w:rPr>
              <w:t xml:space="preserve">、</w:t>
            </w:r>
            <w:r>
              <w:rPr>
                <w:rStyle w:val="1040"/>
                <w:rFonts w:hint="eastAsia" w:ascii="宋体" w:hAnsi="宋体" w:eastAsia="宋体" w:cs="宋体"/>
                <w:color w:val="000000"/>
                <w:sz w:val="24"/>
                <w:szCs w:val="24"/>
                <w:lang w:val="en-US" w:eastAsia="zh-CN"/>
              </w:rPr>
              <w:t xml:space="preserve">施工</w:t>
            </w:r>
            <w:r>
              <w:rPr>
                <w:rFonts w:hint="eastAsia" w:ascii="宋体" w:hAnsi="宋体" w:eastAsia="宋体" w:cs="宋体"/>
                <w:color w:val="000000"/>
                <w:sz w:val="24"/>
                <w:szCs w:val="24"/>
                <w:lang w:val="en-US" w:eastAsia="zh-CN"/>
              </w:rPr>
              <w:t xml:space="preserve">程序</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分)：全面具体详实的得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基本全面的得2分；</w:t>
            </w:r>
            <w:r>
              <w:rPr>
                <w:rFonts w:hint="eastAsia" w:ascii="宋体" w:hAnsi="宋体" w:eastAsia="宋体" w:cs="宋体"/>
                <w:color w:val="000000"/>
                <w:sz w:val="24"/>
                <w:szCs w:val="24"/>
                <w:highlight w:val="none"/>
                <w:lang w:val="en-US" w:eastAsia="zh-CN"/>
              </w:rPr>
              <w:t xml:space="preserve">不全面的得1分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可行性一般的得2分；</w:t>
            </w:r>
            <w:r>
              <w:rPr>
                <w:rFonts w:hint="eastAsia" w:ascii="宋体" w:hAnsi="宋体" w:eastAsia="宋体" w:cs="宋体"/>
                <w:color w:val="000000"/>
                <w:sz w:val="24"/>
                <w:szCs w:val="24"/>
                <w:highlight w:val="none"/>
                <w:lang w:val="en-US" w:eastAsia="zh-CN"/>
              </w:rPr>
              <w:t xml:space="preserve">可行性欠缺得1分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分，最低不得分。</w:t>
            </w:r>
            <w:r/>
          </w:p>
        </w:tc>
      </w:tr>
      <w:tr>
        <w:trPr>
          <w:cantSplit/>
          <w:jc w:val="center"/>
          <w:trHeight w:val="1957"/>
        </w:trPr>
        <w:tc>
          <w:tcPr>
            <w:tcW w:w="120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rPr>
                <w:rStyle w:val="1040"/>
                <w:rFonts w:hint="eastAsia" w:ascii="宋体" w:hAnsi="宋体" w:eastAsia="宋体" w:cs="宋体"/>
                <w:color w:val="000000"/>
                <w:sz w:val="24"/>
                <w:szCs w:val="24"/>
                <w:lang w:eastAsia="zh-CN"/>
              </w:rPr>
            </w:pPr>
            <w:r>
              <w:rPr>
                <w:rStyle w:val="1040"/>
                <w:rFonts w:hint="eastAsia" w:ascii="宋体" w:hAnsi="宋体" w:eastAsia="宋体" w:cs="宋体"/>
                <w:color w:val="000000"/>
                <w:sz w:val="24"/>
                <w:szCs w:val="24"/>
              </w:rPr>
              <w:t xml:space="preserve">人员配备</w:t>
            </w:r>
            <w:r/>
          </w:p>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10</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pStyle w:val="834"/>
              <w:ind w:firstLine="480"/>
              <w:jc w:val="left"/>
              <w:keepLines w:val="0"/>
              <w:keepNext w:val="0"/>
              <w:pageBreakBefore w:val="0"/>
              <w:spacing w:line="360"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3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10</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pStyle w:val="834"/>
              <w:ind w:firstLine="480"/>
              <w:jc w:val="left"/>
              <w:keepLines w:val="0"/>
              <w:keepNext w:val="0"/>
              <w:pageBreakBefore w:val="0"/>
              <w:spacing w:line="360" w:lineRule="auto"/>
              <w:widowControl w:val="off"/>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pStyle w:val="834"/>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957"/>
        </w:trPr>
        <w:tc>
          <w:tcPr>
            <w:tcW w:w="120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spacing w:line="360" w:lineRule="auto"/>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rPr>
              <w:t xml:space="preserve">施工进度计划和各阶段进度的保证措施</w:t>
            </w:r>
            <w:r/>
          </w:p>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10</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ind w:firstLine="480"/>
              <w:spacing w:line="360" w:lineRule="auto"/>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spacing w:line="360" w:lineRule="auto"/>
              <w:rPr>
                <w:rStyle w:val="1040"/>
                <w:rFonts w:hint="eastAsia" w:ascii="宋体" w:hAnsi="宋体" w:eastAsia="宋体" w:cs="宋体"/>
                <w:color w:val="000000"/>
                <w:sz w:val="24"/>
                <w:szCs w:val="24"/>
                <w:lang w:eastAsia="zh-CN"/>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p>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12</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ind w:firstLine="480"/>
              <w:spacing w:line="360" w:lineRule="auto"/>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分)：全面具体详实的得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基本全面的得2分；</w:t>
            </w:r>
            <w:r>
              <w:rPr>
                <w:rFonts w:hint="eastAsia" w:ascii="宋体" w:hAnsi="宋体" w:eastAsia="宋体" w:cs="宋体"/>
                <w:color w:val="000000"/>
                <w:sz w:val="24"/>
                <w:szCs w:val="24"/>
                <w:highlight w:val="none"/>
                <w:lang w:val="en-US" w:eastAsia="zh-CN"/>
              </w:rPr>
              <w:t xml:space="preserve">不全面的得1分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可行性一般的得2分；</w:t>
            </w:r>
            <w:r>
              <w:rPr>
                <w:rFonts w:hint="eastAsia" w:ascii="宋体" w:hAnsi="宋体" w:eastAsia="宋体" w:cs="宋体"/>
                <w:color w:val="000000"/>
                <w:sz w:val="24"/>
                <w:szCs w:val="24"/>
                <w:highlight w:val="none"/>
                <w:lang w:val="en-US" w:eastAsia="zh-CN"/>
              </w:rPr>
              <w:t xml:space="preserve">可行性欠缺得1分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10</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ind w:firstLine="480"/>
              <w:spacing w:line="360" w:lineRule="auto"/>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全面性(3分)：全面具体详实的得3分；较全面的得2分；不太全面的得1分。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可行性（3分)：符合实际切实可行得3分；较切实可行得2分；可行性欠缺得1分；</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未提供的不得分。最高得10分，最低不得分。</w:t>
            </w:r>
            <w:r/>
          </w:p>
        </w:tc>
      </w:tr>
      <w:tr>
        <w:trPr>
          <w:cantSplit/>
          <w:jc w:val="center"/>
          <w:trHeight w:val="1356"/>
        </w:trPr>
        <w:tc>
          <w:tcPr>
            <w:tcW w:w="120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spacing w:line="360" w:lineRule="auto"/>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rPr>
              <w:t xml:space="preserve">关键施工技术、工艺及工程项目实施的重点、难点和解决方案</w:t>
            </w:r>
            <w:r/>
          </w:p>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12</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ind w:firstLine="480"/>
              <w:keepLines w:val="0"/>
              <w:keepNext w:val="0"/>
              <w:pageBreakBefore w:val="0"/>
              <w:spacing w:line="360" w:lineRule="auto"/>
              <w:widowControl w:val="off"/>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分)：全面具体详实的得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基本全面的得2分；</w:t>
            </w:r>
            <w:r>
              <w:rPr>
                <w:rFonts w:hint="eastAsia" w:ascii="宋体" w:hAnsi="宋体" w:eastAsia="宋体" w:cs="宋体"/>
                <w:color w:val="000000"/>
                <w:sz w:val="24"/>
                <w:szCs w:val="24"/>
                <w:highlight w:val="none"/>
                <w:lang w:val="en-US" w:eastAsia="zh-CN"/>
              </w:rPr>
              <w:t xml:space="preserve">不全面的得1分。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针对性（4分)：针对性强得4分；针对性较强得3分；针对性一般的得2分；欠缺针对性的得1分。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可行性（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分)：符合实际切实可行得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分；较切实可行得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可行性一般的得2分；</w:t>
            </w:r>
            <w:r>
              <w:rPr>
                <w:rFonts w:hint="eastAsia" w:ascii="宋体" w:hAnsi="宋体" w:eastAsia="宋体" w:cs="宋体"/>
                <w:color w:val="000000"/>
                <w:sz w:val="24"/>
                <w:szCs w:val="24"/>
                <w:highlight w:val="none"/>
                <w:lang w:val="en-US" w:eastAsia="zh-CN"/>
              </w:rPr>
              <w:t xml:space="preserve">可行性欠缺得1分；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未提供的不得分。最高得1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分，最低不得分。</w:t>
            </w:r>
            <w:r/>
          </w:p>
        </w:tc>
      </w:tr>
      <w:tr>
        <w:trPr>
          <w:cantSplit/>
          <w:jc w:val="center"/>
          <w:trHeight w:val="1356"/>
        </w:trPr>
        <w:tc>
          <w:tcPr>
            <w:tcW w:w="120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572" w:type="dxa"/>
            <w:vAlign w:val="center"/>
            <w:textDirection w:val="lrTb"/>
            <w:noWrap w:val="false"/>
          </w:tcPr>
          <w:p>
            <w:pPr>
              <w:spacing w:line="360" w:lineRule="auto"/>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rPr>
              <w:t xml:space="preserve">缺陷责任期的服务方案</w:t>
            </w:r>
            <w:r/>
          </w:p>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9</w:t>
            </w:r>
            <w:r>
              <w:rPr>
                <w:rStyle w:val="1040"/>
                <w:rFonts w:hint="eastAsia" w:ascii="宋体" w:hAnsi="宋体" w:eastAsia="宋体" w:cs="宋体"/>
                <w:color w:val="000000"/>
                <w:sz w:val="24"/>
                <w:szCs w:val="24"/>
              </w:rPr>
              <w:t xml:space="preserve">分）</w:t>
            </w:r>
            <w:r/>
          </w:p>
        </w:tc>
        <w:tc>
          <w:tcPr>
            <w:shd w:val="clear" w:color="auto" w:fill="auto"/>
            <w:tcW w:w="6528" w:type="dxa"/>
            <w:vAlign w:val="center"/>
            <w:textDirection w:val="lrTb"/>
            <w:noWrap w:val="false"/>
          </w:tcPr>
          <w:p>
            <w:pPr>
              <w:ind w:firstLine="480"/>
              <w:keepLines w:val="0"/>
              <w:keepNext w:val="0"/>
              <w:pageBreakBefore w:val="0"/>
              <w:spacing w:line="360" w:lineRule="auto"/>
              <w:widowControl w:val="off"/>
              <w:rPr>
                <w:rStyle w:val="1040"/>
                <w:rFonts w:hint="eastAsia" w:ascii="宋体" w:hAnsi="宋体" w:eastAsia="宋体" w:cs="宋体"/>
                <w:color w:val="000000"/>
                <w:sz w:val="24"/>
                <w:szCs w:val="24"/>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Style w:val="1040"/>
                <w:rFonts w:hint="eastAsia" w:ascii="宋体" w:hAnsi="宋体" w:eastAsia="宋体" w:cs="宋体"/>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全面性(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分)：全面具体详实的得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分；较全面的得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分；不太全面的得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针对性（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分；针对性较强得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分；欠缺针对性的得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可行性（</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分)：符合实际切实可行得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分；较切实可行得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000000"/>
                <w:sz w:val="24"/>
                <w:szCs w:val="24"/>
                <w:lang w:val="en-US" w:eastAsia="zh-CN"/>
              </w:rPr>
              <w:t xml:space="preserve">未提供的不得分。最高得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分，最低不得分。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1416062.84</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官山镇乳制品项目排污管网建设项目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睢宁县官山镇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排污管网建设项目，</w:t>
      </w:r>
      <w:r>
        <w:rPr>
          <w:rFonts w:hint="eastAsia" w:ascii="宋体" w:hAnsi="宋体" w:eastAsia="宋体" w:cs="宋体"/>
          <w:color w:val="000000"/>
          <w:sz w:val="24"/>
          <w:highlight w:val="none"/>
        </w:rPr>
        <w:t xml:space="preserve">具体详见磋商文件工程量清单所含全部内容。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eastAsia="宋体" w:cs="宋体"/>
          <w:b/>
          <w:bCs/>
          <w:color w:val="auto"/>
          <w:sz w:val="24"/>
          <w:szCs w:val="36"/>
          <w:highlight w:val="none"/>
          <w:lang w:val="en-US" w:eastAsia="zh-CN"/>
        </w:rPr>
        <w:t xml:space="preserve">7.</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7.1成交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eastAsia="宋体" w:cs="宋体"/>
          <w:b w:val="0"/>
          <w:bCs w:val="0"/>
          <w:color w:val="000000"/>
          <w:sz w:val="24"/>
          <w:szCs w:val="24"/>
          <w:highlight w:val="none"/>
          <w:lang w:val="en-US" w:eastAsia="zh-CN" w:bidi="ar-SA"/>
        </w:rPr>
        <w:t xml:space="preserve">7.2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JSZC-320324-JSBD-C2026-0001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官山镇乳制品项目排污管网建设项目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JSZC-320324-JSBD-C2026-0001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官山镇乳制品项目排污管网建设项目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bookmarkStart w:id="25" w:name="_GoBack"/>
      <w:r/>
      <w:bookmarkEnd w:id="25"/>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8"/>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JSZC-320324-JSBD-C2026-0001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官山镇乳制品项目排污管网建设项目</w:t>
      </w:r>
      <w:r/>
    </w:p>
    <w:tbl>
      <w:tblPr>
        <w:tblStyle w:val="8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JSZC-320324-JSBD-C2026-0001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官山镇乳制品项目排污管网建设项目</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2"/>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JSZC-320324-JSBD-C2026-0001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官山镇乳制品项目排污管网建设项目</w:t>
      </w:r>
      <w:r/>
    </w:p>
    <w:p>
      <w:pPr>
        <w:pStyle w:val="844"/>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36"/>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3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6"/>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36"/>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36"/>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睢宁县官山镇人民政府</w:t>
      </w:r>
      <w:r>
        <w:rPr>
          <w:rFonts w:hint="eastAsia" w:ascii="宋体" w:hAnsi="宋体" w:eastAsia="宋体" w:cs="宋体"/>
          <w:b/>
          <w:color w:val="000000"/>
          <w:sz w:val="24"/>
          <w:highlight w:val="none"/>
          <w:u w:val="single"/>
        </w:rPr>
        <w:t xml:space="preserve"> 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官山镇乳制品项目排污管网建设项目</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官山镇乳制品项目排污管网建设项目</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睢宁县官山镇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排污管网建设项目，具体详见磋商文件工程量清单所含全部内容。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排污管网建设项目，具体详见磋商文件工程量清单所含全部内容。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60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0"/>
          <w:rFonts w:hint="eastAsia" w:ascii="宋体" w:hAnsi="宋体" w:eastAsia="宋体" w:cs="宋体"/>
          <w:color w:val="auto"/>
          <w:sz w:val="24"/>
          <w:highlight w:val="none"/>
          <w:u w:val="single"/>
        </w:rPr>
        <w:t xml:space="preserve">计划</w:t>
      </w:r>
      <w:r>
        <w:rPr>
          <w:rStyle w:val="860"/>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0"/>
          <w:rFonts w:hint="eastAsia" w:ascii="宋体" w:hAnsi="宋体" w:eastAsia="宋体" w:cs="宋体"/>
          <w:color w:val="auto"/>
          <w:sz w:val="24"/>
          <w:highlight w:val="none"/>
          <w:u w:val="single"/>
        </w:rPr>
        <w:t xml:space="preserve">财务</w:t>
      </w:r>
      <w:r>
        <w:rPr>
          <w:rStyle w:val="860"/>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0"/>
          <w:rFonts w:hint="eastAsia" w:ascii="宋体" w:hAnsi="宋体" w:eastAsia="宋体" w:cs="宋体"/>
          <w:color w:val="auto"/>
          <w:sz w:val="24"/>
          <w:highlight w:val="none"/>
          <w:u w:val="single"/>
        </w:rPr>
        <w:t xml:space="preserve">合同</w:t>
      </w:r>
      <w:r>
        <w:rPr>
          <w:rStyle w:val="860"/>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green"/>
        </w:rPr>
        <w:t xml:space="preserve">关于付款周期的约定：</w:t>
      </w:r>
      <w:r/>
    </w:p>
    <w:p>
      <w:pPr>
        <w:pStyle w:val="869"/>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0%，工程竣工结算完成后支付至双方认可的竣工结算价款的97%，剩余3%作为质量保证金，缺陷责任期满无质量和服务问题后一次性付清（无息）</w:t>
      </w:r>
      <w:r/>
    </w:p>
    <w:p>
      <w:pPr>
        <w:pStyle w:val="868"/>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8"/>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8"/>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27550107"/>
      <w:r/>
      <w:bookmarkStart w:id="4" w:name="_Toc5820"/>
      <w:r/>
      <w:bookmarkStart w:id="5" w:name="_Toc21433"/>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4885"/>
      <w:r/>
      <w:bookmarkStart w:id="8" w:name="_Toc27550108"/>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8"/>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3"/>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睢宁县官山镇人民政府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官山镇乳制品项目排污管网建设项目</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8"/>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7226"/>
      <w:r/>
      <w:bookmarkStart w:id="10" w:name="_Toc296944566"/>
      <w:r/>
      <w:bookmarkStart w:id="11" w:name="_Toc296891055"/>
      <w:r/>
      <w:bookmarkStart w:id="12" w:name="_Toc296891267"/>
      <w:r/>
      <w:bookmarkStart w:id="13" w:name="_Toc267261698"/>
      <w:r/>
      <w:bookmarkStart w:id="14" w:name="_Toc296503227"/>
      <w:r/>
      <w:bookmarkStart w:id="15" w:name="_Toc29634672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8"/>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944567"/>
      <w:r/>
      <w:bookmarkStart w:id="17" w:name="_Toc296891056"/>
      <w:r/>
      <w:bookmarkStart w:id="18" w:name="_Toc267261699"/>
      <w:r/>
      <w:bookmarkStart w:id="19" w:name="_Toc296347227"/>
      <w:r/>
      <w:bookmarkStart w:id="20" w:name="_Toc296346729"/>
      <w:r/>
      <w:bookmarkStart w:id="21" w:name="_Toc296891268"/>
      <w:r/>
      <w:bookmarkStart w:id="22" w:name="_Toc296503228"/>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5"/>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36"/>
        <w:rPr>
          <w:rFonts w:hint="eastAsia"/>
          <w:highlight w:val="none"/>
        </w:rPr>
      </w:pPr>
      <w:r>
        <w:rPr>
          <w:rFonts w:hint="eastAsia"/>
          <w:highlight w:val="none"/>
        </w:rPr>
      </w:r>
      <w:r/>
    </w:p>
    <w:p>
      <w:pPr>
        <w:pStyle w:val="836"/>
        <w:rPr>
          <w:rFonts w:hint="eastAsia"/>
          <w:highlight w:val="none"/>
        </w:rPr>
      </w:pPr>
      <w:r>
        <w:rPr>
          <w:rFonts w:hint="eastAsia"/>
          <w:highlight w:val="non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JSZC-320324-JSBD-C2026-0001</w:t>
      </w:r>
      <w:r>
        <w:rPr>
          <w:rFonts w:hint="eastAsia" w:ascii="宋体" w:hAnsi="宋体" w:eastAsia="宋体" w:cs="宋体"/>
          <w:color w:val="auto"/>
          <w:sz w:val="24"/>
          <w:szCs w:val="24"/>
          <w:highlight w:val="none"/>
        </w:rPr>
        <w:t xml:space="preserve">）要求，本供应商正式提交以下首次响应文件。</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2"/>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官山镇乳制品项目排污管网建设项目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JSZC-320324-JSBD-C2026-0001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官山镇乳制品项目排污管网建设项目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JSZC-320324-JSBD-C2026-0001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睢宁县官山镇人民政府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官山镇乳制品项目排污管网建设项目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官山镇乳制品项目排污管网建设项目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37"/>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JSZC-320324-JSBD-C2026-0001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官山镇乳制品项目排污管网建设项目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JSZC-320324-JSBD-C2026-0001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3"/>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3"/>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37"/>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37"/>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37"/>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37"/>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36"/>
        <w:ind w:firstLine="560"/>
        <w:rPr>
          <w:rFonts w:hint="eastAsia" w:ascii="仿宋" w:hAnsi="仿宋" w:eastAsia="仿宋" w:cs="仿宋"/>
          <w:highlight w:val="none"/>
        </w:rPr>
      </w:pPr>
      <w:r>
        <w:rPr>
          <w:rFonts w:hint="eastAsia" w:ascii="仿宋" w:hAnsi="仿宋" w:eastAsia="仿宋" w:cs="仿宋"/>
          <w:highlight w:val="none"/>
        </w:rPr>
      </w:r>
      <w:r/>
    </w:p>
    <w:p>
      <w:pPr>
        <w:pStyle w:val="836"/>
        <w:ind w:firstLine="560"/>
        <w:rPr>
          <w:rFonts w:hint="eastAsia" w:ascii="仿宋" w:hAnsi="仿宋" w:eastAsia="仿宋" w:cs="仿宋"/>
          <w:highlight w:val="none"/>
        </w:rPr>
      </w:pPr>
      <w:r>
        <w:rPr>
          <w:rFonts w:hint="eastAsia" w:ascii="仿宋" w:hAnsi="仿宋" w:eastAsia="仿宋" w:cs="仿宋"/>
          <w:highlight w:val="none"/>
        </w:rPr>
      </w:r>
      <w:r/>
    </w:p>
    <w:p>
      <w:pPr>
        <w:pStyle w:val="87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3"/>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321465612"/>
            <w:r/>
            <w:bookmarkStart w:id="24" w:name="_Toc29757612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8"/>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7、上表为自行约定的代理服务费标准。</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59"/>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64"/>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4"/>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86"/>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1"/>
    <w:basedOn w:val="831"/>
    <w:next w:val="833"/>
    <w:uiPriority w:val="0"/>
    <w:qFormat/>
    <w:pPr>
      <w:jc w:val="left"/>
      <w:spacing w:line="360" w:lineRule="atLeast"/>
    </w:pPr>
    <w:rPr>
      <w:rFonts w:ascii="宋体" w:hAnsiTheme="minorHAnsi" w:eastAsiaTheme="minorEastAsia" w:cstheme="minorBidi"/>
      <w:sz w:val="24"/>
      <w:szCs w:val="20"/>
    </w:rPr>
  </w:style>
  <w:style w:type="paragraph" w:styleId="833" w:customStyle="1">
    <w:name w:val="正文文本1"/>
    <w:basedOn w:val="831"/>
    <w:next w:val="829"/>
    <w:uiPriority w:val="0"/>
    <w:qFormat/>
    <w:pPr>
      <w:spacing w:after="120"/>
    </w:pPr>
  </w:style>
  <w:style w:type="paragraph" w:styleId="834" w:customStyle="1">
    <w:name w:val="段"/>
    <w:basedOn w:val="832"/>
    <w:next w:val="832"/>
    <w:uiPriority w:val="0"/>
    <w:qFormat/>
    <w:pPr>
      <w:ind w:firstLine="200"/>
      <w:widowControl/>
    </w:pPr>
    <w:rPr>
      <w:sz w:val="20"/>
    </w:rPr>
  </w:style>
  <w:style w:type="paragraph" w:styleId="835">
    <w:name w:val="Body Text Indent"/>
    <w:basedOn w:val="813"/>
    <w:next w:val="813"/>
    <w:uiPriority w:val="0"/>
    <w:qFormat/>
    <w:pPr>
      <w:ind w:left="420"/>
      <w:spacing w:after="120"/>
    </w:pPr>
    <w:rPr>
      <w:rFonts w:ascii="Calibri" w:hAnsi="Calibri"/>
    </w:rPr>
  </w:style>
  <w:style w:type="paragraph" w:styleId="836">
    <w:name w:val="Block Text"/>
    <w:basedOn w:val="813"/>
    <w:uiPriority w:val="99"/>
    <w:unhideWhenUsed/>
    <w:qFormat/>
    <w:pPr>
      <w:ind w:left="1440" w:right="1440"/>
      <w:spacing w:after="120"/>
    </w:pPr>
  </w:style>
  <w:style w:type="paragraph" w:styleId="837">
    <w:name w:val="index 4"/>
    <w:basedOn w:val="813"/>
    <w:next w:val="813"/>
    <w:uiPriority w:val="0"/>
    <w:qFormat/>
    <w:pPr>
      <w:ind w:left="600"/>
    </w:pPr>
  </w:style>
  <w:style w:type="paragraph" w:styleId="838">
    <w:name w:val="toc 5"/>
    <w:basedOn w:val="813"/>
    <w:next w:val="813"/>
    <w:uiPriority w:val="39"/>
    <w:unhideWhenUsed/>
    <w:qFormat/>
    <w:pPr>
      <w:ind w:left="1134" w:right="0" w:firstLine="0"/>
      <w:spacing w:after="57"/>
    </w:pPr>
  </w:style>
  <w:style w:type="paragraph" w:styleId="839">
    <w:name w:val="toc 3"/>
    <w:basedOn w:val="813"/>
    <w:next w:val="813"/>
    <w:uiPriority w:val="39"/>
    <w:unhideWhenUsed/>
    <w:qFormat/>
    <w:pPr>
      <w:ind w:left="567" w:right="0" w:firstLine="0"/>
      <w:spacing w:after="57"/>
    </w:pPr>
  </w:style>
  <w:style w:type="paragraph" w:styleId="840">
    <w:name w:val="toc 8"/>
    <w:basedOn w:val="813"/>
    <w:next w:val="813"/>
    <w:uiPriority w:val="39"/>
    <w:unhideWhenUsed/>
    <w:qFormat/>
    <w:pPr>
      <w:ind w:left="1984" w:right="0" w:firstLine="0"/>
      <w:spacing w:after="57"/>
    </w:pPr>
  </w:style>
  <w:style w:type="paragraph" w:styleId="841">
    <w:name w:val="endnote text"/>
    <w:basedOn w:val="813"/>
    <w:link w:val="1030"/>
    <w:uiPriority w:val="99"/>
    <w:semiHidden/>
    <w:unhideWhenUsed/>
    <w:qFormat/>
    <w:pPr>
      <w:spacing w:after="0" w:line="240" w:lineRule="auto"/>
    </w:pPr>
    <w:rPr>
      <w:sz w:val="20"/>
    </w:rPr>
  </w:style>
  <w:style w:type="paragraph" w:styleId="842">
    <w:name w:val="Footer"/>
    <w:basedOn w:val="813"/>
    <w:uiPriority w:val="0"/>
    <w:qFormat/>
    <w:pPr>
      <w:jc w:val="left"/>
      <w:tabs>
        <w:tab w:val="center" w:pos="4153" w:leader="none"/>
        <w:tab w:val="right" w:pos="8306" w:leader="none"/>
      </w:tabs>
    </w:pPr>
    <w:rPr>
      <w:sz w:val="18"/>
      <w:szCs w:val="18"/>
    </w:rPr>
  </w:style>
  <w:style w:type="paragraph" w:styleId="843">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4">
    <w:name w:val="toc 1"/>
    <w:basedOn w:val="813"/>
    <w:next w:val="813"/>
    <w:uiPriority w:val="39"/>
    <w:qFormat/>
  </w:style>
  <w:style w:type="paragraph" w:styleId="845">
    <w:name w:val="toc 4"/>
    <w:basedOn w:val="813"/>
    <w:next w:val="813"/>
    <w:uiPriority w:val="39"/>
    <w:unhideWhenUsed/>
    <w:qFormat/>
    <w:pPr>
      <w:ind w:left="850" w:right="0" w:firstLine="0"/>
      <w:spacing w:after="57"/>
    </w:pPr>
  </w:style>
  <w:style w:type="paragraph" w:styleId="846">
    <w:name w:val="Subtitle"/>
    <w:basedOn w:val="813"/>
    <w:next w:val="813"/>
    <w:link w:val="896"/>
    <w:uiPriority w:val="11"/>
    <w:qFormat/>
    <w:pPr>
      <w:spacing w:before="200" w:after="200"/>
    </w:pPr>
    <w:rPr>
      <w:sz w:val="24"/>
      <w:szCs w:val="24"/>
    </w:rPr>
  </w:style>
  <w:style w:type="paragraph" w:styleId="847">
    <w:name w:val="footnote text"/>
    <w:basedOn w:val="813"/>
    <w:next w:val="827"/>
    <w:link w:val="1029"/>
    <w:uiPriority w:val="99"/>
    <w:semiHidden/>
    <w:unhideWhenUsed/>
    <w:qFormat/>
    <w:pPr>
      <w:spacing w:after="40" w:line="240" w:lineRule="auto"/>
    </w:pPr>
    <w:rPr>
      <w:sz w:val="18"/>
    </w:rPr>
  </w:style>
  <w:style w:type="paragraph" w:styleId="848">
    <w:name w:val="toc 6"/>
    <w:basedOn w:val="813"/>
    <w:next w:val="813"/>
    <w:uiPriority w:val="39"/>
    <w:unhideWhenUsed/>
    <w:qFormat/>
    <w:pPr>
      <w:ind w:left="1417" w:right="0" w:firstLine="0"/>
      <w:spacing w:after="57"/>
    </w:pPr>
  </w:style>
  <w:style w:type="paragraph" w:styleId="849">
    <w:name w:val="table of figures"/>
    <w:basedOn w:val="813"/>
    <w:next w:val="813"/>
    <w:uiPriority w:val="99"/>
    <w:unhideWhenUsed/>
    <w:qFormat/>
    <w:pPr>
      <w:spacing w:after="0" w:afterAutospacing="0"/>
    </w:pPr>
  </w:style>
  <w:style w:type="paragraph" w:styleId="850">
    <w:name w:val="toc 2"/>
    <w:basedOn w:val="813"/>
    <w:next w:val="813"/>
    <w:uiPriority w:val="39"/>
    <w:unhideWhenUsed/>
    <w:qFormat/>
    <w:pPr>
      <w:ind w:left="283" w:right="0" w:firstLine="0"/>
      <w:spacing w:after="57"/>
    </w:pPr>
  </w:style>
  <w:style w:type="paragraph" w:styleId="851">
    <w:name w:val="toc 9"/>
    <w:basedOn w:val="813"/>
    <w:next w:val="813"/>
    <w:uiPriority w:val="39"/>
    <w:unhideWhenUsed/>
    <w:qFormat/>
    <w:pPr>
      <w:ind w:left="2268" w:right="0" w:firstLine="0"/>
      <w:spacing w:after="57"/>
    </w:pPr>
  </w:style>
  <w:style w:type="paragraph" w:styleId="852">
    <w:name w:val="Body Text 2"/>
    <w:basedOn w:val="813"/>
    <w:uiPriority w:val="0"/>
    <w:qFormat/>
    <w:pPr>
      <w:jc w:val="center"/>
      <w:widowControl/>
    </w:pPr>
    <w:rPr>
      <w:rFonts w:ascii="楷体_GB2312" w:eastAsia="楷体_GB2312"/>
      <w:sz w:val="28"/>
      <w:szCs w:val="28"/>
    </w:rPr>
  </w:style>
  <w:style w:type="paragraph" w:styleId="853">
    <w:name w:val="Normal (Web)"/>
    <w:basedOn w:val="813"/>
    <w:uiPriority w:val="99"/>
    <w:qFormat/>
    <w:pPr>
      <w:jc w:val="left"/>
      <w:spacing w:before="100" w:beforeAutospacing="1" w:after="100" w:afterAutospacing="1"/>
      <w:widowControl/>
    </w:pPr>
    <w:rPr>
      <w:rFonts w:ascii="宋体" w:hAnsi="宋体" w:cs="宋体"/>
      <w:sz w:val="24"/>
    </w:rPr>
  </w:style>
  <w:style w:type="paragraph" w:styleId="854">
    <w:name w:val="Title"/>
    <w:basedOn w:val="813"/>
    <w:next w:val="813"/>
    <w:link w:val="895"/>
    <w:uiPriority w:val="10"/>
    <w:qFormat/>
    <w:pPr>
      <w:contextualSpacing/>
      <w:spacing w:before="300" w:after="200"/>
    </w:pPr>
    <w:rPr>
      <w:sz w:val="48"/>
      <w:szCs w:val="48"/>
    </w:rPr>
  </w:style>
  <w:style w:type="paragraph" w:styleId="855">
    <w:name w:val="Body Text First Indent"/>
    <w:basedOn w:val="828"/>
    <w:next w:val="856"/>
    <w:uiPriority w:val="0"/>
    <w:qFormat/>
    <w:pPr>
      <w:ind w:firstLine="420"/>
    </w:pPr>
  </w:style>
  <w:style w:type="paragraph" w:styleId="856">
    <w:name w:val="Body Text First Indent 2"/>
    <w:basedOn w:val="835"/>
    <w:next w:val="855"/>
    <w:uiPriority w:val="0"/>
    <w:qFormat/>
    <w:pPr>
      <w:ind w:firstLine="420"/>
      <w:spacing w:line="360" w:lineRule="auto"/>
    </w:pPr>
    <w:rPr>
      <w:color w:val="000000"/>
      <w:sz w:val="20"/>
    </w:rPr>
  </w:style>
  <w:style w:type="table" w:styleId="857">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basedOn w:val="823"/>
    <w:uiPriority w:val="99"/>
    <w:semiHidden/>
    <w:unhideWhenUsed/>
    <w:qFormat/>
    <w:rPr>
      <w:vertAlign w:val="superscript"/>
    </w:rPr>
  </w:style>
  <w:style w:type="character" w:styleId="859">
    <w:name w:val="page number"/>
    <w:basedOn w:val="823"/>
    <w:uiPriority w:val="0"/>
    <w:qFormat/>
  </w:style>
  <w:style w:type="character" w:styleId="860">
    <w:name w:val="Hyperlink"/>
    <w:uiPriority w:val="99"/>
    <w:unhideWhenUsed/>
    <w:qFormat/>
    <w:rPr>
      <w:color w:val="0563c1" w:themeColor="hyperlink"/>
      <w:u w:val="single"/>
      <w14:textFill>
        <w14:solidFill>
          <w14:schemeClr w14:val="hlink"/>
        </w14:solidFill>
      </w14:textFill>
    </w:rPr>
  </w:style>
  <w:style w:type="character" w:styleId="861">
    <w:name w:val="footnote reference"/>
    <w:basedOn w:val="823"/>
    <w:uiPriority w:val="99"/>
    <w:unhideWhenUsed/>
    <w:qFormat/>
    <w:rPr>
      <w:vertAlign w:val="superscript"/>
    </w:rPr>
  </w:style>
  <w:style w:type="paragraph" w:styleId="862" w:customStyle="1">
    <w:name w:val="文本块11"/>
    <w:basedOn w:val="863"/>
    <w:uiPriority w:val="0"/>
    <w:qFormat/>
    <w:pPr>
      <w:ind w:left="256" w:right="6" w:firstLine="624"/>
    </w:pPr>
    <w:rPr>
      <w:rFonts w:ascii="Arial" w:hAnsi="Arial" w:eastAsia="仿宋"/>
      <w:sz w:val="28"/>
    </w:rPr>
  </w:style>
  <w:style w:type="paragraph" w:styleId="863" w:customStyle="1">
    <w:name w:val="正文12"/>
    <w:next w:val="864"/>
    <w:uiPriority w:val="0"/>
    <w:qFormat/>
    <w:rPr>
      <w:rFonts w:hint="default" w:ascii="Times New Roman" w:hAnsi="Times New Roman" w:eastAsia="宋体" w:cs="Times New Roman"/>
      <w:lang w:val="en-US" w:eastAsia="zh-CN" w:bidi="ar-SA"/>
    </w:rPr>
  </w:style>
  <w:style w:type="paragraph" w:styleId="864" w:customStyle="1">
    <w:name w:val="标题 21"/>
    <w:basedOn w:val="831"/>
    <w:next w:val="86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65" w:customStyle="1">
    <w:name w:val="正文文本缩进1"/>
    <w:basedOn w:val="866"/>
    <w:next w:val="867"/>
    <w:uiPriority w:val="0"/>
    <w:qFormat/>
    <w:pPr>
      <w:ind w:left="420"/>
      <w:spacing w:after="120"/>
    </w:pPr>
  </w:style>
  <w:style w:type="paragraph" w:styleId="866" w:customStyle="1">
    <w:name w:val="正文1111"/>
    <w:next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寄信人地址1"/>
    <w:basedOn w:val="863"/>
    <w:uiPriority w:val="0"/>
    <w:qFormat/>
    <w:rPr>
      <w:rFonts w:ascii="Arial" w:hAnsi="Arial" w:eastAsia="Arial"/>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文本块1"/>
    <w:basedOn w:val="831"/>
    <w:uiPriority w:val="0"/>
    <w:qFormat/>
    <w:pPr>
      <w:ind w:left="420" w:right="33"/>
      <w:jc w:val="left"/>
    </w:pPr>
    <w:rPr>
      <w:rFonts w:ascii="Times New Roman" w:hAnsi="Times New Roman" w:eastAsia="宋体"/>
      <w:sz w:val="24"/>
      <w:szCs w:val="20"/>
    </w:rPr>
  </w:style>
  <w:style w:type="paragraph" w:styleId="870" w:customStyle="1">
    <w:name w:val="标题 111"/>
    <w:basedOn w:val="868"/>
    <w:next w:val="868"/>
    <w:uiPriority w:val="0"/>
    <w:qFormat/>
    <w:pPr>
      <w:jc w:val="center"/>
      <w:keepLines/>
      <w:keepNext/>
      <w:spacing w:line="578" w:lineRule="auto"/>
      <w:outlineLvl w:val="0"/>
    </w:pPr>
    <w:rPr>
      <w:rFonts w:eastAsia="新宋体"/>
      <w:b/>
      <w:bCs/>
      <w:sz w:val="30"/>
      <w:szCs w:val="44"/>
    </w:rPr>
  </w:style>
  <w:style w:type="paragraph" w:styleId="871" w:customStyle="1">
    <w:name w:val="脚注文本1"/>
    <w:basedOn w:val="832"/>
    <w:next w:val="872"/>
    <w:uiPriority w:val="0"/>
    <w:qFormat/>
    <w:pPr>
      <w:jc w:val="left"/>
    </w:pPr>
    <w:rPr>
      <w:rFonts w:ascii="宋体" w:hAnsi="Arial" w:eastAsia="Times New Roman"/>
      <w:sz w:val="18"/>
      <w:szCs w:val="18"/>
    </w:rPr>
  </w:style>
  <w:style w:type="paragraph" w:styleId="872" w:customStyle="1">
    <w:name w:val="索引 51"/>
    <w:basedOn w:val="831"/>
    <w:next w:val="832"/>
    <w:uiPriority w:val="0"/>
    <w:qFormat/>
    <w:pPr>
      <w:ind w:left="800"/>
    </w:pPr>
    <w:rPr>
      <w:rFonts w:ascii="Calibri" w:hAnsi="Calibri"/>
      <w:sz w:val="22"/>
      <w:szCs w:val="22"/>
    </w:rPr>
  </w:style>
  <w:style w:type="paragraph" w:styleId="873" w:customStyle="1">
    <w:name w:val="目录 11"/>
    <w:basedOn w:val="863"/>
    <w:next w:val="863"/>
    <w:uiPriority w:val="0"/>
    <w:qFormat/>
    <w:pPr>
      <w:jc w:val="left"/>
      <w:spacing w:before="120" w:after="120"/>
    </w:pPr>
    <w:rPr>
      <w:rFonts w:ascii="Calibri" w:hAnsi="Calibri"/>
      <w:b/>
      <w:bCs/>
      <w:caps/>
      <w:sz w:val="20"/>
      <w:szCs w:val="20"/>
    </w:rPr>
  </w:style>
  <w:style w:type="paragraph" w:styleId="874" w:customStyle="1">
    <w:name w:val="样式 首行缩进:  2 字符"/>
    <w:basedOn w:val="813"/>
    <w:uiPriority w:val="99"/>
    <w:qFormat/>
    <w:pPr>
      <w:ind w:firstLine="560"/>
    </w:pPr>
    <w:rPr>
      <w:sz w:val="24"/>
    </w:rPr>
  </w:style>
  <w:style w:type="paragraph" w:styleId="875"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首行缩进1"/>
    <w:basedOn w:val="877"/>
    <w:next w:val="878"/>
    <w:uiPriority w:val="0"/>
    <w:qFormat/>
    <w:pPr>
      <w:ind w:firstLine="420"/>
      <w:spacing w:after="120" w:line="240" w:lineRule="auto"/>
    </w:pPr>
    <w:rPr>
      <w:rFonts w:eastAsia="宋体"/>
      <w:sz w:val="21"/>
    </w:rPr>
  </w:style>
  <w:style w:type="paragraph" w:styleId="877" w:customStyle="1">
    <w:name w:val="正文文本11"/>
    <w:basedOn w:val="863"/>
    <w:next w:val="831"/>
    <w:uiPriority w:val="0"/>
    <w:qFormat/>
    <w:rPr>
      <w:rFonts w:ascii="仿宋_GB2312" w:eastAsia="仿宋_GB2312"/>
      <w:color w:val="000000"/>
      <w:sz w:val="24"/>
      <w:u w:val="single"/>
    </w:rPr>
  </w:style>
  <w:style w:type="paragraph" w:styleId="878" w:customStyle="1">
    <w:name w:val="正文首行缩进 211"/>
    <w:basedOn w:val="879"/>
    <w:next w:val="875"/>
    <w:uiPriority w:val="0"/>
    <w:qFormat/>
    <w:pPr>
      <w:ind w:firstLine="420"/>
    </w:pPr>
    <w:rPr>
      <w:sz w:val="24"/>
    </w:rPr>
  </w:style>
  <w:style w:type="paragraph" w:styleId="879" w:customStyle="1">
    <w:name w:val="正文文本缩进11"/>
    <w:basedOn w:val="875"/>
    <w:next w:val="875"/>
    <w:uiPriority w:val="0"/>
    <w:qFormat/>
    <w:pPr>
      <w:ind w:firstLine="425"/>
      <w:spacing w:line="360" w:lineRule="auto"/>
    </w:pPr>
  </w:style>
  <w:style w:type="paragraph" w:styleId="880" w:customStyle="1">
    <w:name w:val="正文首行缩进11"/>
    <w:basedOn w:val="833"/>
    <w:next w:val="878"/>
    <w:uiPriority w:val="0"/>
    <w:qFormat/>
    <w:pPr>
      <w:ind w:firstLine="420"/>
    </w:pPr>
    <w:rPr>
      <w:rFonts w:ascii="仿宋_GB2312" w:hAnsi="Times New Roman" w:eastAsia="仿宋_GB2312"/>
      <w:sz w:val="30"/>
      <w:szCs w:val="30"/>
    </w:rPr>
  </w:style>
  <w:style w:type="paragraph" w:styleId="881" w:customStyle="1">
    <w:name w:val="正文首行缩进 22"/>
    <w:basedOn w:val="882"/>
    <w:next w:val="875"/>
    <w:uiPriority w:val="0"/>
    <w:qFormat/>
    <w:pPr>
      <w:ind w:left="0" w:firstLine="420"/>
      <w:spacing w:after="0" w:line="360" w:lineRule="auto"/>
    </w:pPr>
    <w:rPr>
      <w:rFonts w:ascii="宋体" w:hAnsi="宋体"/>
      <w:sz w:val="20"/>
      <w:szCs w:val="20"/>
    </w:rPr>
  </w:style>
  <w:style w:type="paragraph" w:styleId="882" w:customStyle="1">
    <w:name w:val="正文文本缩进2"/>
    <w:basedOn w:val="875"/>
    <w:uiPriority w:val="0"/>
    <w:qFormat/>
    <w:pPr>
      <w:ind w:left="420"/>
      <w:spacing w:after="120"/>
    </w:pPr>
  </w:style>
  <w:style w:type="paragraph" w:styleId="883" w:customStyle="1">
    <w:name w:val="标题 41"/>
    <w:basedOn w:val="832"/>
    <w:next w:val="868"/>
    <w:uiPriority w:val="9"/>
    <w:unhideWhenUsed/>
    <w:qFormat/>
    <w:pPr>
      <w:keepLines/>
      <w:keepNext/>
      <w:spacing w:before="320"/>
      <w:outlineLvl w:val="3"/>
    </w:pPr>
    <w:rPr>
      <w:rFonts w:ascii="Arial" w:hAnsi="Arial" w:eastAsia="Arial" w:cs="Arial"/>
      <w:b/>
      <w:bCs/>
      <w:sz w:val="26"/>
      <w:szCs w:val="26"/>
    </w:rPr>
  </w:style>
  <w:style w:type="character" w:styleId="884" w:customStyle="1">
    <w:name w:val="Heading 1 Char"/>
    <w:basedOn w:val="823"/>
    <w:link w:val="814"/>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link w:val="816"/>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4"/>
    <w:uiPriority w:val="10"/>
    <w:qFormat/>
    <w:rPr>
      <w:sz w:val="48"/>
      <w:szCs w:val="48"/>
    </w:rPr>
  </w:style>
  <w:style w:type="character" w:styleId="896" w:customStyle="1">
    <w:name w:val="Subtitle Char"/>
    <w:basedOn w:val="823"/>
    <w:link w:val="846"/>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47"/>
    <w:uiPriority w:val="99"/>
    <w:qFormat/>
    <w:rPr>
      <w:sz w:val="18"/>
    </w:rPr>
  </w:style>
  <w:style w:type="character" w:styleId="1030" w:customStyle="1">
    <w:name w:val="Endnote Text Char"/>
    <w:link w:val="841"/>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65"/>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8"/>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14</cp:revision>
  <dcterms:created xsi:type="dcterms:W3CDTF">2023-07-07T07:59:00Z</dcterms:created>
  <dcterms:modified xsi:type="dcterms:W3CDTF">2026-03-27T03:27:14Z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