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A41A0">
      <w:pPr>
        <w:pStyle w:val="13"/>
        <w:widowControl/>
        <w:spacing w:beforeAutospacing="1" w:afterAutospacing="1" w:line="27" w:lineRule="atLeast"/>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 xml:space="preserve">附件： </w:t>
      </w:r>
    </w:p>
    <w:p w14:paraId="2CD3DDC0">
      <w:pPr>
        <w:pStyle w:val="13"/>
        <w:widowControl/>
        <w:spacing w:beforeAutospacing="1" w:afterAutospacing="1" w:line="27" w:lineRule="atLeast"/>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如有建议或意见，请以书面形式并加盖公章、注明联系人、联系方式，于</w:t>
      </w:r>
      <w:r>
        <w:rPr>
          <w:rFonts w:hint="eastAsia" w:ascii="宋体" w:hAnsi="宋体" w:cs="宋体"/>
          <w:color w:val="000000" w:themeColor="text1"/>
          <w:sz w:val="28"/>
          <w:szCs w:val="28"/>
          <w:highlight w:val="none"/>
          <w14:textFill>
            <w14:solidFill>
              <w14:schemeClr w14:val="tx1"/>
            </w14:solidFill>
          </w14:textFill>
        </w:rPr>
        <w:t>2026年03月1</w:t>
      </w:r>
      <w:r>
        <w:rPr>
          <w:rFonts w:hint="eastAsia" w:ascii="宋体" w:hAnsi="宋体" w:cs="宋体"/>
          <w:color w:val="000000" w:themeColor="text1"/>
          <w:sz w:val="28"/>
          <w:szCs w:val="28"/>
          <w:highlight w:val="none"/>
          <w:lang w:val="en-US" w:eastAsia="zh-CN"/>
          <w14:textFill>
            <w14:solidFill>
              <w14:schemeClr w14:val="tx1"/>
            </w14:solidFill>
          </w14:textFill>
        </w:rPr>
        <w:t>7</w:t>
      </w:r>
      <w:r>
        <w:rPr>
          <w:rFonts w:hint="eastAsia" w:ascii="宋体" w:hAnsi="宋体" w:cs="宋体"/>
          <w:color w:val="000000" w:themeColor="text1"/>
          <w:sz w:val="28"/>
          <w:szCs w:val="28"/>
          <w:highlight w:val="none"/>
          <w14:textFill>
            <w14:solidFill>
              <w14:schemeClr w14:val="tx1"/>
            </w14:solidFill>
          </w14:textFill>
        </w:rPr>
        <w:t>日17:00</w:t>
      </w:r>
      <w:r>
        <w:rPr>
          <w:rFonts w:hint="eastAsia" w:ascii="宋体" w:hAnsi="宋体" w:cs="宋体"/>
          <w:color w:val="000000" w:themeColor="text1"/>
          <w:sz w:val="28"/>
          <w:szCs w:val="28"/>
          <w14:textFill>
            <w14:solidFill>
              <w14:schemeClr w14:val="tx1"/>
            </w14:solidFill>
          </w14:textFill>
        </w:rPr>
        <w:t>之前送至我单位，逾期不受理（如邮寄，</w:t>
      </w:r>
      <w:r>
        <w:rPr>
          <w:rFonts w:hint="eastAsia" w:ascii="宋体" w:hAnsi="宋体" w:cs="宋体"/>
          <w:color w:val="000000" w:themeColor="text1"/>
          <w:sz w:val="28"/>
          <w:szCs w:val="28"/>
          <w:highlight w:val="none"/>
          <w14:textFill>
            <w14:solidFill>
              <w14:schemeClr w14:val="tx1"/>
            </w14:solidFill>
          </w14:textFill>
        </w:rPr>
        <w:t>2026年03月1</w:t>
      </w:r>
      <w:r>
        <w:rPr>
          <w:rFonts w:hint="eastAsia" w:ascii="宋体" w:hAnsi="宋体" w:cs="宋体"/>
          <w:color w:val="000000" w:themeColor="text1"/>
          <w:sz w:val="28"/>
          <w:szCs w:val="28"/>
          <w:highlight w:val="none"/>
          <w:lang w:val="en-US" w:eastAsia="zh-CN"/>
          <w14:textFill>
            <w14:solidFill>
              <w14:schemeClr w14:val="tx1"/>
            </w14:solidFill>
          </w14:textFill>
        </w:rPr>
        <w:t>7</w:t>
      </w:r>
      <w:r>
        <w:rPr>
          <w:rFonts w:hint="eastAsia" w:ascii="宋体" w:hAnsi="宋体" w:cs="宋体"/>
          <w:color w:val="000000" w:themeColor="text1"/>
          <w:sz w:val="28"/>
          <w:szCs w:val="28"/>
          <w:highlight w:val="none"/>
          <w14:textFill>
            <w14:solidFill>
              <w14:schemeClr w14:val="tx1"/>
            </w14:solidFill>
          </w14:textFill>
        </w:rPr>
        <w:t>日17:00</w:t>
      </w:r>
      <w:r>
        <w:rPr>
          <w:rFonts w:hint="eastAsia" w:ascii="宋体" w:hAnsi="宋体" w:cs="宋体"/>
          <w:color w:val="000000" w:themeColor="text1"/>
          <w:sz w:val="28"/>
          <w:szCs w:val="28"/>
          <w14:textFill>
            <w14:solidFill>
              <w14:schemeClr w14:val="tx1"/>
            </w14:solidFill>
          </w14:textFill>
        </w:rPr>
        <w:t xml:space="preserve">之后到达本公司的邮件将不再受理。） </w:t>
      </w:r>
    </w:p>
    <w:p w14:paraId="52D2F2DD">
      <w:pPr>
        <w:keepNext/>
        <w:keepLines/>
        <w:spacing w:before="480" w:after="200" w:line="360" w:lineRule="auto"/>
        <w:jc w:val="center"/>
        <w:outlineLvl w:val="0"/>
        <w:rPr>
          <w:rFonts w:hint="eastAsia" w:ascii="宋体" w:hAnsi="宋体" w:cs="宋体"/>
          <w:b/>
          <w:bCs/>
          <w:sz w:val="28"/>
          <w:szCs w:val="28"/>
        </w:rPr>
      </w:pPr>
    </w:p>
    <w:p w14:paraId="02B50704">
      <w:pPr>
        <w:pStyle w:val="8"/>
      </w:pPr>
    </w:p>
    <w:p w14:paraId="4B5B050F">
      <w:pPr>
        <w:keepNext/>
        <w:keepLines/>
        <w:spacing w:before="480" w:after="200" w:line="360" w:lineRule="auto"/>
        <w:jc w:val="center"/>
        <w:outlineLvl w:val="0"/>
        <w:rPr>
          <w:rFonts w:hint="eastAsia" w:ascii="宋体" w:hAnsi="宋体" w:cs="宋体"/>
          <w:b/>
          <w:bCs/>
          <w:sz w:val="28"/>
          <w:szCs w:val="28"/>
        </w:rPr>
      </w:pPr>
    </w:p>
    <w:p w14:paraId="1827BF9D">
      <w:pPr>
        <w:pStyle w:val="8"/>
      </w:pPr>
    </w:p>
    <w:p w14:paraId="79F238AB">
      <w:pPr>
        <w:keepNext/>
        <w:keepLines/>
        <w:spacing w:before="480" w:after="200" w:line="360" w:lineRule="auto"/>
        <w:jc w:val="center"/>
        <w:outlineLvl w:val="0"/>
        <w:rPr>
          <w:rFonts w:hint="eastAsia" w:ascii="宋体" w:hAnsi="宋体" w:cs="宋体"/>
          <w:b/>
          <w:bCs/>
          <w:sz w:val="28"/>
          <w:szCs w:val="28"/>
        </w:rPr>
      </w:pPr>
    </w:p>
    <w:p w14:paraId="68192FF6">
      <w:pPr>
        <w:keepNext/>
        <w:keepLines/>
        <w:spacing w:before="480" w:after="200" w:line="360" w:lineRule="auto"/>
        <w:jc w:val="center"/>
        <w:outlineLvl w:val="0"/>
        <w:rPr>
          <w:rFonts w:hint="eastAsia" w:ascii="宋体" w:hAnsi="宋体" w:cs="宋体"/>
          <w:b/>
          <w:bCs/>
          <w:sz w:val="28"/>
          <w:szCs w:val="28"/>
        </w:rPr>
      </w:pPr>
    </w:p>
    <w:p w14:paraId="78B54055">
      <w:pPr>
        <w:keepNext/>
        <w:keepLines/>
        <w:spacing w:before="480" w:after="200" w:line="360" w:lineRule="auto"/>
        <w:jc w:val="center"/>
        <w:outlineLvl w:val="0"/>
        <w:rPr>
          <w:rFonts w:hint="eastAsia" w:ascii="宋体" w:hAnsi="宋体" w:cs="宋体"/>
          <w:b/>
          <w:bCs/>
          <w:sz w:val="28"/>
          <w:szCs w:val="28"/>
        </w:rPr>
      </w:pPr>
    </w:p>
    <w:p w14:paraId="16FAFD74">
      <w:pPr>
        <w:pStyle w:val="8"/>
        <w:rPr>
          <w:rFonts w:hint="eastAsia" w:ascii="宋体" w:hAnsi="宋体" w:eastAsia="宋体" w:cs="宋体"/>
          <w:b/>
          <w:bCs/>
          <w:sz w:val="28"/>
          <w:szCs w:val="28"/>
        </w:rPr>
      </w:pPr>
    </w:p>
    <w:p w14:paraId="70F81A13">
      <w:pPr>
        <w:pStyle w:val="8"/>
        <w:rPr>
          <w:rFonts w:hint="eastAsia" w:ascii="宋体" w:hAnsi="宋体" w:eastAsia="宋体" w:cs="宋体"/>
          <w:b/>
          <w:bCs/>
          <w:sz w:val="28"/>
          <w:szCs w:val="28"/>
        </w:rPr>
      </w:pPr>
    </w:p>
    <w:p w14:paraId="4CED0C48">
      <w:pPr>
        <w:pStyle w:val="8"/>
        <w:rPr>
          <w:rFonts w:hint="eastAsia" w:ascii="宋体" w:hAnsi="宋体" w:eastAsia="宋体" w:cs="宋体"/>
          <w:b/>
          <w:bCs/>
          <w:sz w:val="28"/>
          <w:szCs w:val="28"/>
        </w:rPr>
      </w:pPr>
    </w:p>
    <w:p w14:paraId="0307D818">
      <w:pPr>
        <w:pStyle w:val="8"/>
        <w:rPr>
          <w:rFonts w:hint="eastAsia" w:ascii="宋体" w:hAnsi="宋体" w:eastAsia="宋体" w:cs="宋体"/>
          <w:b/>
          <w:bCs/>
          <w:sz w:val="28"/>
          <w:szCs w:val="28"/>
        </w:rPr>
      </w:pPr>
    </w:p>
    <w:p w14:paraId="5F931117">
      <w:pPr>
        <w:keepNext/>
        <w:keepLines/>
        <w:spacing w:before="480" w:after="200" w:line="360" w:lineRule="auto"/>
        <w:jc w:val="center"/>
        <w:outlineLvl w:val="0"/>
        <w:rPr>
          <w:rFonts w:hint="eastAsia" w:ascii="宋体" w:hAnsi="宋体" w:cs="宋体"/>
          <w:b/>
          <w:bCs/>
          <w:sz w:val="24"/>
          <w:szCs w:val="40"/>
        </w:rPr>
      </w:pPr>
      <w:r>
        <w:rPr>
          <w:rFonts w:hint="eastAsia" w:ascii="宋体" w:hAnsi="宋体" w:cs="宋体"/>
          <w:b/>
          <w:bCs/>
          <w:sz w:val="28"/>
          <w:szCs w:val="28"/>
        </w:rPr>
        <w:t>采购需求</w:t>
      </w:r>
    </w:p>
    <w:p w14:paraId="0E5FDCC5">
      <w:pPr>
        <w:widowControl/>
        <w:spacing w:line="360" w:lineRule="auto"/>
        <w:ind w:firstLine="482"/>
        <w:jc w:val="left"/>
        <w:rPr>
          <w:rFonts w:hint="eastAsia" w:ascii="宋体" w:hAnsi="宋体" w:cs="宋体"/>
          <w:b/>
          <w:bCs/>
          <w:kern w:val="0"/>
          <w:sz w:val="24"/>
          <w:szCs w:val="20"/>
        </w:rPr>
      </w:pPr>
      <w:r>
        <w:rPr>
          <w:rFonts w:hint="eastAsia" w:ascii="宋体" w:hAnsi="宋体" w:cs="宋体"/>
          <w:b/>
          <w:bCs/>
          <w:kern w:val="0"/>
          <w:sz w:val="24"/>
          <w:szCs w:val="20"/>
        </w:rPr>
        <w:t>一、采购标的</w:t>
      </w:r>
    </w:p>
    <w:p w14:paraId="337A0E35">
      <w:pPr>
        <w:widowControl/>
        <w:spacing w:line="360" w:lineRule="auto"/>
        <w:ind w:firstLine="480"/>
        <w:jc w:val="left"/>
        <w:rPr>
          <w:rFonts w:hint="eastAsia" w:ascii="宋体" w:hAnsi="宋体" w:cs="宋体"/>
          <w:kern w:val="0"/>
          <w:sz w:val="24"/>
          <w:szCs w:val="20"/>
        </w:rPr>
      </w:pPr>
      <w:r>
        <w:rPr>
          <w:rFonts w:hint="eastAsia" w:ascii="宋体" w:hAnsi="宋体" w:cs="宋体"/>
          <w:kern w:val="0"/>
          <w:sz w:val="24"/>
          <w:szCs w:val="20"/>
        </w:rPr>
        <w:t>沛县整县制公共机构能源费用托管服务第二批试点项目</w:t>
      </w:r>
    </w:p>
    <w:p w14:paraId="00DCA44A">
      <w:pPr>
        <w:widowControl/>
        <w:spacing w:line="360" w:lineRule="auto"/>
        <w:ind w:firstLine="482"/>
        <w:jc w:val="left"/>
        <w:rPr>
          <w:rFonts w:hint="eastAsia" w:ascii="宋体" w:hAnsi="宋体" w:cs="宋体"/>
          <w:b/>
          <w:bCs/>
          <w:kern w:val="0"/>
          <w:sz w:val="24"/>
          <w:szCs w:val="20"/>
        </w:rPr>
      </w:pPr>
      <w:r>
        <w:rPr>
          <w:rFonts w:hint="eastAsia" w:ascii="宋体" w:hAnsi="宋体" w:cs="宋体"/>
          <w:b/>
          <w:bCs/>
          <w:kern w:val="0"/>
          <w:sz w:val="24"/>
          <w:szCs w:val="20"/>
        </w:rPr>
        <w:t>二、采购项目预算金额</w:t>
      </w:r>
    </w:p>
    <w:p w14:paraId="51CA5E99">
      <w:pPr>
        <w:widowControl/>
        <w:spacing w:line="440" w:lineRule="exact"/>
        <w:ind w:firstLine="482"/>
        <w:jc w:val="left"/>
        <w:rPr>
          <w:rFonts w:hint="eastAsia" w:ascii="宋体" w:hAnsi="宋体" w:cs="宋体"/>
          <w:kern w:val="0"/>
          <w:sz w:val="24"/>
          <w:szCs w:val="20"/>
        </w:rPr>
      </w:pPr>
      <w:r>
        <w:rPr>
          <w:rFonts w:hint="eastAsia" w:ascii="宋体" w:hAnsi="宋体" w:cs="宋体"/>
          <w:kern w:val="0"/>
          <w:sz w:val="24"/>
          <w:szCs w:val="20"/>
        </w:rPr>
        <w:t>本项目预算金额9819.6万元/10年（人民币），不接受超过9819.6万元（人民币）（最高限价）的报价（十年合同采购费用）。承包期：10年。</w:t>
      </w:r>
    </w:p>
    <w:p w14:paraId="43C67C4E">
      <w:pPr>
        <w:spacing w:line="312" w:lineRule="auto"/>
        <w:ind w:firstLine="480"/>
        <w:outlineLvl w:val="1"/>
        <w:rPr>
          <w:rFonts w:hint="eastAsia" w:ascii="宋体" w:hAnsi="宋体" w:cs="宋体"/>
          <w:color w:val="000000"/>
          <w:kern w:val="0"/>
          <w:sz w:val="24"/>
        </w:rPr>
      </w:pPr>
      <w:r>
        <w:rPr>
          <w:rFonts w:hint="eastAsia" w:ascii="宋体" w:hAnsi="宋体" w:cs="宋体"/>
          <w:sz w:val="24"/>
        </w:rPr>
        <w:t>报价包括本项目服务所需一切相关费用，采购人不再支付报价以外的任何费用。</w:t>
      </w:r>
    </w:p>
    <w:p w14:paraId="234D3891">
      <w:pPr>
        <w:spacing w:line="360" w:lineRule="auto"/>
        <w:rPr>
          <w:rFonts w:hint="eastAsia" w:ascii="宋体" w:hAnsi="宋体" w:cs="宋体"/>
          <w:b/>
          <w:bCs/>
          <w:sz w:val="24"/>
        </w:rPr>
      </w:pPr>
      <w:r>
        <w:rPr>
          <w:rFonts w:hint="eastAsia" w:ascii="宋体" w:hAnsi="宋体" w:cs="宋体"/>
          <w:b/>
          <w:bCs/>
          <w:sz w:val="24"/>
        </w:rPr>
        <w:t>二、项目概况</w:t>
      </w:r>
    </w:p>
    <w:p w14:paraId="647FC733">
      <w:pPr>
        <w:spacing w:line="360" w:lineRule="auto"/>
        <w:rPr>
          <w:rFonts w:hint="eastAsia" w:ascii="宋体" w:hAnsi="宋体" w:cs="宋体"/>
          <w:b/>
          <w:bCs/>
          <w:sz w:val="24"/>
        </w:rPr>
      </w:pPr>
      <w:r>
        <w:rPr>
          <w:rFonts w:hint="eastAsia" w:ascii="宋体" w:hAnsi="宋体" w:cs="宋体"/>
          <w:b/>
          <w:bCs/>
          <w:sz w:val="24"/>
        </w:rPr>
        <w:t>（一）项目内容</w:t>
      </w:r>
    </w:p>
    <w:p w14:paraId="1509D608">
      <w:pPr>
        <w:spacing w:line="360" w:lineRule="auto"/>
        <w:ind w:firstLine="480"/>
        <w:rPr>
          <w:rFonts w:hint="eastAsia" w:ascii="宋体" w:hAnsi="宋体" w:cs="宋体"/>
          <w:b/>
          <w:bCs/>
          <w:sz w:val="24"/>
        </w:rPr>
      </w:pPr>
      <w:r>
        <w:rPr>
          <w:rFonts w:hint="eastAsia" w:ascii="宋体" w:hAnsi="宋体" w:cs="宋体"/>
          <w:sz w:val="24"/>
        </w:rPr>
        <w:t>为深入贯彻落实国管局、国家发展改革委、财政部《关于鼓励和支持公共机构采用能源费用托管服务的意见》和省委办公厅、省政府办公厅《深入开展公共机构绿色低碳引领行动实施方案》及市政府要求，发挥党政机关示范引领作用。本项目拟通过实施节能技术和管理专业化节约能源一揽子解决方案，采用能源费用托管型合同能源管理方式，委托专业能源服务公司，利用国内外最新能源及信息技术发展成果，统筹推进能源系统改造，提升沛县第二批试点公共机构能源综合利用水平，实现能源利用高效化、清洁化、智能化、数字化，</w:t>
      </w:r>
      <w:r>
        <w:rPr>
          <w:rFonts w:ascii="宋体" w:hAnsi="宋体" w:cs="宋体"/>
          <w:sz w:val="24"/>
        </w:rPr>
        <w:t>科学推进第二批试点项目包含的公共机构能源系统改造，</w:t>
      </w:r>
      <w:r>
        <w:rPr>
          <w:rFonts w:hint="eastAsia" w:ascii="宋体" w:hAnsi="宋体" w:cs="宋体"/>
          <w:sz w:val="24"/>
        </w:rPr>
        <w:t>达到节能降碳的目标。采购人将按照协议约定向供应商支付能源使用费用，并由供应商负责代缴采购人能源托管期内的电费和水费。</w:t>
      </w:r>
    </w:p>
    <w:p w14:paraId="3564B6F7">
      <w:pPr>
        <w:spacing w:line="360" w:lineRule="auto"/>
        <w:rPr>
          <w:rFonts w:hint="eastAsia" w:ascii="宋体" w:hAnsi="宋体" w:cs="宋体"/>
          <w:b/>
          <w:bCs/>
          <w:sz w:val="24"/>
        </w:rPr>
      </w:pPr>
      <w:r>
        <w:rPr>
          <w:rFonts w:hint="eastAsia" w:ascii="宋体" w:hAnsi="宋体" w:cs="宋体"/>
          <w:b/>
          <w:bCs/>
          <w:sz w:val="24"/>
        </w:rPr>
        <w:t>（二）托管单位现状</w:t>
      </w:r>
    </w:p>
    <w:p w14:paraId="73CBF533">
      <w:pPr>
        <w:spacing w:line="360" w:lineRule="auto"/>
        <w:ind w:firstLine="480"/>
        <w:rPr>
          <w:rFonts w:hint="eastAsia" w:ascii="宋体" w:hAnsi="宋体" w:cs="宋体"/>
          <w:sz w:val="24"/>
        </w:rPr>
      </w:pPr>
      <w:r>
        <w:rPr>
          <w:rFonts w:hint="eastAsia" w:ascii="宋体" w:hAnsi="宋体" w:cs="宋体"/>
          <w:sz w:val="24"/>
        </w:rPr>
        <w:t>本次沛县第二批试点公共机构能源托管服务项目建设单位具体为：</w:t>
      </w:r>
    </w:p>
    <w:p w14:paraId="54CD9637">
      <w:pPr>
        <w:spacing w:after="120" w:line="360" w:lineRule="auto"/>
        <w:ind w:firstLine="480"/>
        <w:rPr>
          <w:rFonts w:hint="eastAsia" w:ascii="宋体" w:hAnsi="宋体" w:cs="宋体"/>
          <w:sz w:val="24"/>
        </w:rPr>
      </w:pPr>
      <w:r>
        <w:rPr>
          <w:rFonts w:hint="eastAsia" w:ascii="宋体" w:hAnsi="宋体" w:cs="宋体"/>
          <w:sz w:val="24"/>
        </w:rPr>
        <w:t>1、沛县文化中心位于汉邦路与韩信路交叉口，总建筑面积6.3万㎡，由三馆一院组成，其中图书馆1.1万㎡，博物馆1.2万㎡，文化馆1.2万㎡，影剧院2.8万㎡，均为地下一层、地上四层结构，用能单位6家，用能人数约2000余人。原空调形式为水冷机组+市政蒸汽+分体空调。影剧院水冷机组已暂停使用，更改为VRV+分体空调；</w:t>
      </w:r>
    </w:p>
    <w:p w14:paraId="6E0893F2">
      <w:pPr>
        <w:spacing w:after="120" w:line="360" w:lineRule="auto"/>
        <w:ind w:firstLine="480"/>
        <w:rPr>
          <w:rFonts w:hint="eastAsia" w:ascii="宋体" w:hAnsi="宋体" w:cs="宋体"/>
          <w:sz w:val="24"/>
        </w:rPr>
      </w:pPr>
      <w:r>
        <w:rPr>
          <w:rFonts w:hint="eastAsia" w:ascii="宋体" w:hAnsi="宋体" w:cs="宋体"/>
          <w:sz w:val="24"/>
        </w:rPr>
        <w:t>2、沛县政务服务中心位于江苏省徐州市沛县新城区汉邦路 5 号，总建筑面积约3.3万㎡。主楼地下1层、地上5层结构，用能单位23家，用能人数约2500人，空调形式为水冷机组+燃气锅炉+分体空调，办公楼空调形式为分体空调；</w:t>
      </w:r>
    </w:p>
    <w:p w14:paraId="2659508F">
      <w:pPr>
        <w:spacing w:after="120" w:line="360" w:lineRule="auto"/>
        <w:ind w:firstLine="480"/>
        <w:rPr>
          <w:rFonts w:hint="eastAsia" w:ascii="宋体" w:hAnsi="宋体" w:cs="宋体"/>
          <w:sz w:val="24"/>
        </w:rPr>
      </w:pPr>
      <w:r>
        <w:rPr>
          <w:rFonts w:hint="eastAsia" w:ascii="宋体" w:hAnsi="宋体" w:cs="宋体"/>
          <w:sz w:val="24"/>
        </w:rPr>
        <w:t>3、沛县公共卫生服务中心位于江苏省徐州市沛县新城区汉邦路与政通路交叉口南100米，占地面积2.47万㎡，建筑面积约2万㎡，主要办公单位有卫生健康委员会、婚姻登记所，是针对全体人群的公共卫生服务单位，主楼地下1层、地上11层结构，用能单位4家，用能人数约1000人，空调形式为水冷机组+市政蒸汽+分体空调；</w:t>
      </w:r>
    </w:p>
    <w:p w14:paraId="3CE83884">
      <w:pPr>
        <w:spacing w:after="120" w:line="360" w:lineRule="auto"/>
        <w:ind w:firstLine="480"/>
        <w:rPr>
          <w:rFonts w:hint="eastAsia" w:ascii="宋体" w:hAnsi="宋体" w:cs="宋体"/>
          <w:sz w:val="24"/>
        </w:rPr>
      </w:pPr>
      <w:r>
        <w:rPr>
          <w:rFonts w:hint="eastAsia" w:ascii="宋体" w:hAnsi="宋体" w:cs="宋体"/>
          <w:sz w:val="24"/>
        </w:rPr>
        <w:t>4、沛县金融中心位于江苏省徐州市沛县正阳路东侧、沛公路北侧，项目占地面积75亩，建筑面积约8万㎡。沛县金融中心作为沛县金融业集聚地，是银行、证券、保险、理财，财会事务所等金融业务的综合金融楼，可容纳10家金融机构入驻。每家银行及金融企业都具有营业网点、金融办公、大中小会议室、等配套功能，另有综合服务楼配备食堂、餐厅等。用能人数约3500人，空调形式为风冷冷水（热泵）机组；</w:t>
      </w:r>
    </w:p>
    <w:p w14:paraId="12B88BE1">
      <w:pPr>
        <w:spacing w:after="120" w:line="360" w:lineRule="auto"/>
        <w:ind w:firstLine="480"/>
        <w:rPr>
          <w:rFonts w:hint="eastAsia" w:ascii="宋体" w:hAnsi="宋体" w:cs="宋体"/>
          <w:b/>
          <w:bCs/>
          <w:sz w:val="24"/>
        </w:rPr>
      </w:pPr>
      <w:r>
        <w:rPr>
          <w:rFonts w:hint="eastAsia" w:ascii="宋体" w:hAnsi="宋体" w:cs="宋体"/>
          <w:sz w:val="24"/>
        </w:rPr>
        <w:t>5、沛县创新产业园位于江苏省徐州市沛县沛公路北侧、 汉邦路东侧，总建筑面积约9.46万㎡，其中A座为商务办公楼25525.43㎡，B座为档案大楼31022.30㎡，C座为信访大楼12267.64㎡。用能人数约300人，A座和C座空调形式为水冷式中央空调系统，B座为多联机空调系统。</w:t>
      </w:r>
    </w:p>
    <w:p w14:paraId="1B3E0913">
      <w:pPr>
        <w:spacing w:line="360" w:lineRule="auto"/>
        <w:rPr>
          <w:rFonts w:hint="eastAsia" w:ascii="宋体" w:hAnsi="宋体" w:cs="宋体"/>
          <w:b/>
          <w:bCs/>
          <w:sz w:val="24"/>
        </w:rPr>
      </w:pPr>
      <w:r>
        <w:rPr>
          <w:rFonts w:hint="eastAsia" w:ascii="宋体" w:hAnsi="宋体" w:cs="宋体"/>
          <w:b/>
          <w:bCs/>
          <w:sz w:val="24"/>
        </w:rPr>
        <w:t>（三</w:t>
      </w:r>
      <w:r>
        <w:rPr>
          <w:rFonts w:ascii="宋体" w:hAnsi="宋体" w:cs="宋体"/>
          <w:b/>
          <w:bCs/>
          <w:sz w:val="24"/>
        </w:rPr>
        <w:t>）</w:t>
      </w:r>
      <w:r>
        <w:rPr>
          <w:rFonts w:hint="eastAsia" w:ascii="宋体" w:hAnsi="宋体" w:cs="宋体"/>
          <w:b/>
          <w:bCs/>
          <w:sz w:val="24"/>
        </w:rPr>
        <w:t>能源</w:t>
      </w:r>
      <w:r>
        <w:rPr>
          <w:rFonts w:ascii="宋体" w:hAnsi="宋体" w:cs="宋体"/>
          <w:b/>
          <w:bCs/>
          <w:sz w:val="24"/>
        </w:rPr>
        <w:t>基准</w:t>
      </w:r>
    </w:p>
    <w:p w14:paraId="6ECD18C1">
      <w:pPr>
        <w:spacing w:line="360" w:lineRule="auto"/>
        <w:ind w:firstLine="480"/>
        <w:rPr>
          <w:rFonts w:hint="eastAsia" w:ascii="宋体" w:hAnsi="宋体" w:cs="宋体"/>
          <w:sz w:val="24"/>
        </w:rPr>
      </w:pPr>
      <w:r>
        <w:rPr>
          <w:rFonts w:hint="eastAsia" w:ascii="宋体" w:hAnsi="宋体" w:cs="宋体"/>
          <w:sz w:val="24"/>
        </w:rPr>
        <w:t>根据江苏省地方标准《公共机构能源托管规程》（DB 32/T 4446-2023）,公共机构实施能源托管前应以托管项目实施前 1 年至 3 年为基准期,开展能源审计，确定能源基准。</w:t>
      </w:r>
    </w:p>
    <w:p w14:paraId="4D3B9135">
      <w:pPr>
        <w:spacing w:line="360" w:lineRule="auto"/>
        <w:ind w:firstLine="480"/>
        <w:rPr>
          <w:rFonts w:hint="eastAsia" w:ascii="宋体" w:hAnsi="宋体" w:cs="宋体"/>
          <w:b/>
          <w:bCs/>
          <w:sz w:val="24"/>
        </w:rPr>
      </w:pPr>
      <w:r>
        <w:rPr>
          <w:rFonts w:hint="eastAsia" w:ascii="宋体" w:hAnsi="宋体" w:cs="宋体"/>
          <w:sz w:val="24"/>
        </w:rPr>
        <w:t>年度能源托管费用包括能源费用和能源系统的日常运营、维修维护管理费、消耗性材料费等。能源托管费用基数为：</w:t>
      </w:r>
      <w:r>
        <w:rPr>
          <w:rFonts w:hint="eastAsia" w:eastAsia="黑体"/>
        </w:rPr>
        <w:t>981.96</w:t>
      </w:r>
      <w:r>
        <w:rPr>
          <w:rFonts w:hint="eastAsia" w:ascii="宋体" w:hAnsi="宋体" w:cs="宋体"/>
          <w:sz w:val="24"/>
        </w:rPr>
        <w:t>万元/年 ，分项费用分别为：</w:t>
      </w:r>
    </w:p>
    <w:p w14:paraId="4F9E60B6">
      <w:pPr>
        <w:spacing w:before="156" w:beforeLines="50" w:after="156" w:afterLines="50"/>
        <w:jc w:val="center"/>
        <w:rPr>
          <w:rFonts w:hint="eastAsia" w:ascii="宋体" w:hAnsi="宋体" w:eastAsia="宋体" w:cs="宋体"/>
          <w:sz w:val="24"/>
          <w:szCs w:val="24"/>
        </w:rPr>
      </w:pPr>
      <w:r>
        <w:rPr>
          <w:rFonts w:hint="eastAsia" w:ascii="宋体" w:hAnsi="宋体" w:eastAsia="宋体" w:cs="宋体"/>
          <w:sz w:val="24"/>
          <w:szCs w:val="24"/>
        </w:rPr>
        <w:t>沛县整县制公共机构能源费用托管服务第二批试点项目建筑能耗基准核定汇总表</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8"/>
        <w:gridCol w:w="820"/>
        <w:gridCol w:w="983"/>
        <w:gridCol w:w="1002"/>
        <w:gridCol w:w="991"/>
        <w:gridCol w:w="1465"/>
      </w:tblGrid>
      <w:tr w14:paraId="6F5E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pct"/>
            <w:vAlign w:val="center"/>
          </w:tcPr>
          <w:p w14:paraId="09F10EF2">
            <w:pPr>
              <w:jc w:val="center"/>
              <w:rPr>
                <w:rFonts w:hint="eastAsia" w:ascii="宋体" w:hAnsi="宋体" w:eastAsia="宋体" w:cs="宋体"/>
                <w:sz w:val="24"/>
                <w:szCs w:val="24"/>
              </w:rPr>
            </w:pPr>
            <w:r>
              <w:rPr>
                <w:rFonts w:hint="eastAsia" w:ascii="宋体" w:hAnsi="宋体" w:eastAsia="宋体" w:cs="宋体"/>
                <w:sz w:val="24"/>
                <w:szCs w:val="24"/>
              </w:rPr>
              <w:t>能源资源种类</w:t>
            </w:r>
          </w:p>
        </w:tc>
        <w:tc>
          <w:tcPr>
            <w:tcW w:w="1058" w:type="pct"/>
            <w:gridSpan w:val="2"/>
            <w:vAlign w:val="center"/>
          </w:tcPr>
          <w:p w14:paraId="7FD711CF">
            <w:pPr>
              <w:jc w:val="center"/>
              <w:rPr>
                <w:rFonts w:hint="eastAsia" w:ascii="宋体" w:hAnsi="宋体" w:eastAsia="宋体" w:cs="宋体"/>
                <w:sz w:val="24"/>
                <w:szCs w:val="24"/>
              </w:rPr>
            </w:pPr>
            <w:r>
              <w:rPr>
                <w:rFonts w:hint="eastAsia" w:ascii="宋体" w:hAnsi="宋体" w:eastAsia="宋体" w:cs="宋体"/>
                <w:sz w:val="24"/>
                <w:szCs w:val="24"/>
              </w:rPr>
              <w:t>电</w:t>
            </w:r>
          </w:p>
          <w:p w14:paraId="78D31F5E">
            <w:pPr>
              <w:jc w:val="center"/>
              <w:rPr>
                <w:rFonts w:hint="eastAsia" w:ascii="宋体" w:hAnsi="宋体" w:eastAsia="宋体" w:cs="宋体"/>
                <w:sz w:val="24"/>
                <w:szCs w:val="24"/>
              </w:rPr>
            </w:pPr>
            <w:r>
              <w:rPr>
                <w:rFonts w:hint="eastAsia" w:ascii="宋体" w:hAnsi="宋体" w:eastAsia="宋体" w:cs="宋体"/>
                <w:sz w:val="24"/>
                <w:szCs w:val="24"/>
              </w:rPr>
              <w:t>（万kWh）</w:t>
            </w:r>
          </w:p>
        </w:tc>
        <w:tc>
          <w:tcPr>
            <w:tcW w:w="1170" w:type="pct"/>
            <w:gridSpan w:val="2"/>
            <w:vAlign w:val="center"/>
          </w:tcPr>
          <w:p w14:paraId="56674C03">
            <w:pPr>
              <w:jc w:val="center"/>
              <w:rPr>
                <w:rFonts w:hint="eastAsia" w:ascii="宋体" w:hAnsi="宋体" w:eastAsia="宋体" w:cs="宋体"/>
                <w:sz w:val="24"/>
                <w:szCs w:val="24"/>
              </w:rPr>
            </w:pPr>
            <w:r>
              <w:rPr>
                <w:rFonts w:hint="eastAsia" w:ascii="宋体" w:hAnsi="宋体" w:eastAsia="宋体" w:cs="宋体"/>
                <w:sz w:val="24"/>
                <w:szCs w:val="24"/>
              </w:rPr>
              <w:t>自来水</w:t>
            </w:r>
          </w:p>
          <w:p w14:paraId="53DBFA76">
            <w:pPr>
              <w:jc w:val="center"/>
              <w:rPr>
                <w:rFonts w:hint="eastAsia" w:ascii="宋体" w:hAnsi="宋体" w:eastAsia="宋体" w:cs="宋体"/>
                <w:sz w:val="24"/>
                <w:szCs w:val="24"/>
              </w:rPr>
            </w:pPr>
            <w:r>
              <w:rPr>
                <w:rFonts w:hint="eastAsia" w:ascii="宋体" w:hAnsi="宋体" w:eastAsia="宋体" w:cs="宋体"/>
                <w:sz w:val="24"/>
                <w:szCs w:val="24"/>
              </w:rPr>
              <w:t>（m</w:t>
            </w:r>
            <w:r>
              <w:rPr>
                <w:rFonts w:hint="eastAsia" w:ascii="宋体" w:hAnsi="宋体" w:eastAsia="宋体" w:cs="宋体"/>
                <w:sz w:val="24"/>
                <w:szCs w:val="24"/>
                <w:vertAlign w:val="superscript"/>
              </w:rPr>
              <w:t>3</w:t>
            </w:r>
            <w:r>
              <w:rPr>
                <w:rFonts w:hint="eastAsia" w:ascii="宋体" w:hAnsi="宋体" w:eastAsia="宋体" w:cs="宋体"/>
                <w:sz w:val="24"/>
                <w:szCs w:val="24"/>
              </w:rPr>
              <w:t>）</w:t>
            </w:r>
          </w:p>
        </w:tc>
        <w:tc>
          <w:tcPr>
            <w:tcW w:w="860" w:type="pct"/>
            <w:vAlign w:val="center"/>
          </w:tcPr>
          <w:p w14:paraId="392465DF">
            <w:pPr>
              <w:jc w:val="center"/>
              <w:rPr>
                <w:rFonts w:hint="eastAsia" w:ascii="宋体" w:hAnsi="宋体" w:eastAsia="宋体" w:cs="宋体"/>
                <w:sz w:val="24"/>
                <w:szCs w:val="24"/>
              </w:rPr>
            </w:pPr>
            <w:r>
              <w:rPr>
                <w:rFonts w:hint="eastAsia" w:ascii="宋体" w:hAnsi="宋体" w:eastAsia="宋体" w:cs="宋体"/>
                <w:sz w:val="24"/>
                <w:szCs w:val="24"/>
              </w:rPr>
              <w:t>天然气</w:t>
            </w:r>
          </w:p>
          <w:p w14:paraId="4464F028">
            <w:pPr>
              <w:jc w:val="center"/>
              <w:rPr>
                <w:rFonts w:hint="eastAsia" w:ascii="宋体" w:hAnsi="宋体" w:eastAsia="宋体" w:cs="宋体"/>
                <w:sz w:val="24"/>
                <w:szCs w:val="24"/>
              </w:rPr>
            </w:pPr>
            <w:r>
              <w:rPr>
                <w:rFonts w:hint="eastAsia" w:ascii="宋体" w:hAnsi="宋体" w:eastAsia="宋体" w:cs="宋体"/>
                <w:sz w:val="24"/>
                <w:szCs w:val="24"/>
              </w:rPr>
              <w:t>（m</w:t>
            </w:r>
            <w:r>
              <w:rPr>
                <w:rFonts w:hint="eastAsia" w:ascii="宋体" w:hAnsi="宋体" w:eastAsia="宋体" w:cs="宋体"/>
                <w:sz w:val="24"/>
                <w:szCs w:val="24"/>
                <w:vertAlign w:val="superscript"/>
              </w:rPr>
              <w:t>3</w:t>
            </w:r>
            <w:r>
              <w:rPr>
                <w:rFonts w:hint="eastAsia" w:ascii="宋体" w:hAnsi="宋体" w:eastAsia="宋体" w:cs="宋体"/>
                <w:sz w:val="24"/>
                <w:szCs w:val="24"/>
              </w:rPr>
              <w:t>）</w:t>
            </w:r>
          </w:p>
        </w:tc>
      </w:tr>
      <w:tr w14:paraId="4CD5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pct"/>
            <w:vAlign w:val="center"/>
          </w:tcPr>
          <w:p w14:paraId="055A175A">
            <w:pPr>
              <w:jc w:val="center"/>
              <w:rPr>
                <w:rFonts w:hint="eastAsia" w:ascii="宋体" w:hAnsi="宋体" w:eastAsia="宋体" w:cs="宋体"/>
                <w:sz w:val="24"/>
                <w:szCs w:val="24"/>
              </w:rPr>
            </w:pPr>
            <w:r>
              <w:rPr>
                <w:rFonts w:hint="eastAsia" w:ascii="宋体" w:hAnsi="宋体" w:eastAsia="宋体" w:cs="宋体"/>
                <w:sz w:val="24"/>
                <w:szCs w:val="24"/>
              </w:rPr>
              <w:t>沛县整县制公共机构能源费用托管服务第二批试点项目能源资源消耗量</w:t>
            </w:r>
          </w:p>
        </w:tc>
        <w:tc>
          <w:tcPr>
            <w:tcW w:w="1058" w:type="pct"/>
            <w:gridSpan w:val="2"/>
            <w:vAlign w:val="center"/>
          </w:tcPr>
          <w:p w14:paraId="6C3E8985">
            <w:pPr>
              <w:jc w:val="center"/>
              <w:rPr>
                <w:rFonts w:hint="eastAsia" w:ascii="宋体" w:hAnsi="宋体" w:eastAsia="宋体" w:cs="宋体"/>
                <w:sz w:val="24"/>
                <w:szCs w:val="24"/>
              </w:rPr>
            </w:pPr>
            <w:r>
              <w:rPr>
                <w:rFonts w:hint="eastAsia" w:ascii="宋体" w:hAnsi="宋体" w:eastAsia="宋体" w:cs="宋体"/>
                <w:sz w:val="24"/>
                <w:szCs w:val="24"/>
              </w:rPr>
              <w:t>1167.29</w:t>
            </w:r>
          </w:p>
        </w:tc>
        <w:tc>
          <w:tcPr>
            <w:tcW w:w="1170" w:type="pct"/>
            <w:gridSpan w:val="2"/>
            <w:vAlign w:val="center"/>
          </w:tcPr>
          <w:p w14:paraId="362EAB81">
            <w:pPr>
              <w:jc w:val="center"/>
              <w:rPr>
                <w:rFonts w:hint="eastAsia" w:ascii="宋体" w:hAnsi="宋体" w:eastAsia="宋体" w:cs="宋体"/>
                <w:sz w:val="24"/>
                <w:szCs w:val="24"/>
              </w:rPr>
            </w:pPr>
            <w:r>
              <w:rPr>
                <w:rFonts w:hint="eastAsia" w:ascii="宋体" w:hAnsi="宋体" w:eastAsia="宋体" w:cs="宋体"/>
                <w:sz w:val="24"/>
                <w:szCs w:val="24"/>
              </w:rPr>
              <w:t>95238</w:t>
            </w:r>
          </w:p>
        </w:tc>
        <w:tc>
          <w:tcPr>
            <w:tcW w:w="860" w:type="pct"/>
            <w:vAlign w:val="center"/>
          </w:tcPr>
          <w:p w14:paraId="377634D4">
            <w:pPr>
              <w:jc w:val="center"/>
              <w:rPr>
                <w:rFonts w:hint="eastAsia" w:ascii="宋体" w:hAnsi="宋体" w:eastAsia="宋体" w:cs="宋体"/>
                <w:sz w:val="24"/>
                <w:szCs w:val="24"/>
              </w:rPr>
            </w:pPr>
            <w:r>
              <w:rPr>
                <w:rFonts w:hint="eastAsia" w:ascii="宋体" w:hAnsi="宋体" w:eastAsia="宋体" w:cs="宋体"/>
                <w:sz w:val="24"/>
                <w:szCs w:val="24"/>
              </w:rPr>
              <w:t>28136</w:t>
            </w:r>
          </w:p>
        </w:tc>
      </w:tr>
      <w:tr w14:paraId="651D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pct"/>
            <w:vAlign w:val="center"/>
          </w:tcPr>
          <w:p w14:paraId="33101F81">
            <w:pPr>
              <w:jc w:val="center"/>
              <w:rPr>
                <w:rFonts w:hint="eastAsia" w:ascii="宋体" w:hAnsi="宋体" w:eastAsia="宋体" w:cs="宋体"/>
                <w:sz w:val="24"/>
                <w:szCs w:val="24"/>
              </w:rPr>
            </w:pPr>
            <w:r>
              <w:rPr>
                <w:rFonts w:hint="eastAsia" w:ascii="宋体" w:hAnsi="宋体" w:eastAsia="宋体" w:cs="宋体"/>
                <w:sz w:val="24"/>
                <w:szCs w:val="24"/>
              </w:rPr>
              <w:t>沛县整县制公共机构能源费用托管服务第二批试点项目能源资源费单价</w:t>
            </w:r>
          </w:p>
        </w:tc>
        <w:tc>
          <w:tcPr>
            <w:tcW w:w="1058" w:type="pct"/>
            <w:gridSpan w:val="2"/>
            <w:vAlign w:val="center"/>
          </w:tcPr>
          <w:p w14:paraId="0C955CCD">
            <w:pPr>
              <w:jc w:val="center"/>
              <w:rPr>
                <w:rFonts w:hint="eastAsia" w:ascii="宋体" w:hAnsi="宋体" w:eastAsia="宋体" w:cs="宋体"/>
                <w:sz w:val="24"/>
                <w:szCs w:val="24"/>
              </w:rPr>
            </w:pPr>
            <w:r>
              <w:rPr>
                <w:rFonts w:hint="eastAsia" w:ascii="宋体" w:hAnsi="宋体" w:eastAsia="宋体" w:cs="宋体"/>
                <w:sz w:val="24"/>
                <w:szCs w:val="24"/>
              </w:rPr>
              <w:t>0.72925元/kWh</w:t>
            </w:r>
          </w:p>
        </w:tc>
        <w:tc>
          <w:tcPr>
            <w:tcW w:w="1170" w:type="pct"/>
            <w:gridSpan w:val="2"/>
            <w:vAlign w:val="center"/>
          </w:tcPr>
          <w:p w14:paraId="5915DC25">
            <w:pPr>
              <w:jc w:val="center"/>
              <w:rPr>
                <w:rFonts w:hint="eastAsia" w:ascii="宋体" w:hAnsi="宋体" w:eastAsia="宋体" w:cs="宋体"/>
                <w:sz w:val="24"/>
                <w:szCs w:val="24"/>
              </w:rPr>
            </w:pPr>
            <w:r>
              <w:rPr>
                <w:rFonts w:hint="eastAsia" w:ascii="宋体" w:hAnsi="宋体" w:eastAsia="宋体" w:cs="宋体"/>
                <w:sz w:val="24"/>
                <w:szCs w:val="24"/>
              </w:rPr>
              <w:t>3.75元/t</w:t>
            </w:r>
          </w:p>
        </w:tc>
        <w:tc>
          <w:tcPr>
            <w:tcW w:w="860" w:type="pct"/>
            <w:vAlign w:val="center"/>
          </w:tcPr>
          <w:p w14:paraId="36AB4FB5">
            <w:pPr>
              <w:jc w:val="center"/>
              <w:rPr>
                <w:rFonts w:hint="eastAsia" w:ascii="宋体" w:hAnsi="宋体" w:eastAsia="宋体" w:cs="宋体"/>
                <w:sz w:val="24"/>
                <w:szCs w:val="24"/>
              </w:rPr>
            </w:pPr>
            <w:r>
              <w:rPr>
                <w:rFonts w:hint="eastAsia" w:ascii="宋体" w:hAnsi="宋体" w:eastAsia="宋体" w:cs="宋体"/>
                <w:sz w:val="24"/>
                <w:szCs w:val="24"/>
              </w:rPr>
              <w:t>/</w:t>
            </w:r>
          </w:p>
        </w:tc>
      </w:tr>
      <w:tr w14:paraId="37C9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pct"/>
            <w:vAlign w:val="center"/>
          </w:tcPr>
          <w:p w14:paraId="3E4AD6B4">
            <w:pPr>
              <w:jc w:val="center"/>
              <w:rPr>
                <w:rFonts w:hint="eastAsia" w:ascii="宋体" w:hAnsi="宋体" w:eastAsia="宋体" w:cs="宋体"/>
                <w:sz w:val="24"/>
                <w:szCs w:val="24"/>
              </w:rPr>
            </w:pPr>
            <w:r>
              <w:rPr>
                <w:rFonts w:hint="eastAsia" w:ascii="宋体" w:hAnsi="宋体" w:eastAsia="宋体" w:cs="宋体"/>
                <w:sz w:val="24"/>
                <w:szCs w:val="24"/>
              </w:rPr>
              <w:t>基准核定期各类能源资源费用</w:t>
            </w:r>
          </w:p>
          <w:p w14:paraId="581B7DBF">
            <w:pPr>
              <w:jc w:val="center"/>
              <w:rPr>
                <w:rFonts w:hint="eastAsia" w:ascii="宋体" w:hAnsi="宋体" w:eastAsia="宋体" w:cs="宋体"/>
                <w:sz w:val="24"/>
                <w:szCs w:val="24"/>
              </w:rPr>
            </w:pPr>
            <w:r>
              <w:rPr>
                <w:rFonts w:hint="eastAsia" w:ascii="宋体" w:hAnsi="宋体" w:eastAsia="宋体" w:cs="宋体"/>
                <w:sz w:val="24"/>
                <w:szCs w:val="24"/>
              </w:rPr>
              <w:t>（万元/年）</w:t>
            </w:r>
          </w:p>
        </w:tc>
        <w:tc>
          <w:tcPr>
            <w:tcW w:w="1058" w:type="pct"/>
            <w:gridSpan w:val="2"/>
            <w:vAlign w:val="center"/>
          </w:tcPr>
          <w:p w14:paraId="31B3F7BB">
            <w:pPr>
              <w:jc w:val="center"/>
              <w:rPr>
                <w:rFonts w:hint="eastAsia" w:ascii="宋体" w:hAnsi="宋体" w:eastAsia="宋体" w:cs="宋体"/>
                <w:sz w:val="24"/>
                <w:szCs w:val="24"/>
              </w:rPr>
            </w:pPr>
            <w:r>
              <w:rPr>
                <w:rFonts w:hint="eastAsia" w:ascii="宋体" w:hAnsi="宋体" w:eastAsia="宋体" w:cs="宋体"/>
                <w:sz w:val="24"/>
                <w:szCs w:val="24"/>
              </w:rPr>
              <w:t>851.24</w:t>
            </w:r>
          </w:p>
        </w:tc>
        <w:tc>
          <w:tcPr>
            <w:tcW w:w="1170" w:type="pct"/>
            <w:gridSpan w:val="2"/>
            <w:vAlign w:val="center"/>
          </w:tcPr>
          <w:p w14:paraId="603397A0">
            <w:pPr>
              <w:jc w:val="center"/>
              <w:rPr>
                <w:rFonts w:hint="eastAsia" w:ascii="宋体" w:hAnsi="宋体" w:eastAsia="宋体" w:cs="宋体"/>
                <w:sz w:val="24"/>
                <w:szCs w:val="24"/>
              </w:rPr>
            </w:pPr>
            <w:r>
              <w:rPr>
                <w:rFonts w:hint="eastAsia" w:ascii="宋体" w:hAnsi="宋体" w:eastAsia="宋体" w:cs="宋体"/>
                <w:sz w:val="24"/>
                <w:szCs w:val="24"/>
              </w:rPr>
              <w:t>35.72</w:t>
            </w:r>
          </w:p>
        </w:tc>
        <w:tc>
          <w:tcPr>
            <w:tcW w:w="860" w:type="pct"/>
            <w:vAlign w:val="center"/>
          </w:tcPr>
          <w:p w14:paraId="364CB509">
            <w:pPr>
              <w:jc w:val="center"/>
              <w:rPr>
                <w:rFonts w:hint="eastAsia" w:ascii="宋体" w:hAnsi="宋体" w:eastAsia="宋体" w:cs="宋体"/>
                <w:sz w:val="24"/>
                <w:szCs w:val="24"/>
              </w:rPr>
            </w:pPr>
            <w:r>
              <w:rPr>
                <w:rFonts w:hint="eastAsia" w:ascii="宋体" w:hAnsi="宋体" w:eastAsia="宋体" w:cs="宋体"/>
                <w:sz w:val="24"/>
                <w:szCs w:val="24"/>
              </w:rPr>
              <w:t>/</w:t>
            </w:r>
          </w:p>
        </w:tc>
      </w:tr>
      <w:tr w14:paraId="42AE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pct"/>
            <w:vAlign w:val="center"/>
          </w:tcPr>
          <w:p w14:paraId="56C6C8F3">
            <w:pPr>
              <w:jc w:val="center"/>
              <w:rPr>
                <w:rFonts w:hint="eastAsia" w:ascii="宋体" w:hAnsi="宋体" w:eastAsia="宋体" w:cs="宋体"/>
                <w:sz w:val="24"/>
                <w:szCs w:val="24"/>
              </w:rPr>
            </w:pPr>
            <w:r>
              <w:rPr>
                <w:rFonts w:hint="eastAsia" w:ascii="宋体" w:hAnsi="宋体" w:eastAsia="宋体" w:cs="宋体"/>
                <w:sz w:val="24"/>
                <w:szCs w:val="24"/>
              </w:rPr>
              <w:t>基准核定期能源资源总费用</w:t>
            </w:r>
          </w:p>
          <w:p w14:paraId="2317FEDA">
            <w:pPr>
              <w:jc w:val="center"/>
              <w:rPr>
                <w:rFonts w:hint="eastAsia" w:ascii="宋体" w:hAnsi="宋体" w:eastAsia="宋体" w:cs="宋体"/>
                <w:sz w:val="24"/>
                <w:szCs w:val="24"/>
              </w:rPr>
            </w:pPr>
            <w:r>
              <w:rPr>
                <w:rFonts w:hint="eastAsia" w:ascii="宋体" w:hAnsi="宋体" w:eastAsia="宋体" w:cs="宋体"/>
                <w:sz w:val="24"/>
                <w:szCs w:val="24"/>
              </w:rPr>
              <w:t>（万元/年）</w:t>
            </w:r>
          </w:p>
        </w:tc>
        <w:tc>
          <w:tcPr>
            <w:tcW w:w="1058" w:type="pct"/>
            <w:gridSpan w:val="2"/>
            <w:vAlign w:val="center"/>
          </w:tcPr>
          <w:p w14:paraId="6A98AC3D">
            <w:pPr>
              <w:jc w:val="center"/>
              <w:rPr>
                <w:rFonts w:hint="eastAsia" w:ascii="宋体" w:hAnsi="宋体" w:eastAsia="宋体" w:cs="宋体"/>
                <w:sz w:val="24"/>
                <w:szCs w:val="24"/>
              </w:rPr>
            </w:pPr>
          </w:p>
        </w:tc>
        <w:tc>
          <w:tcPr>
            <w:tcW w:w="1170" w:type="pct"/>
            <w:gridSpan w:val="2"/>
            <w:vAlign w:val="center"/>
          </w:tcPr>
          <w:p w14:paraId="7E147F17">
            <w:pPr>
              <w:jc w:val="center"/>
              <w:rPr>
                <w:rFonts w:hint="eastAsia" w:ascii="宋体" w:hAnsi="宋体" w:eastAsia="宋体" w:cs="宋体"/>
                <w:sz w:val="24"/>
                <w:szCs w:val="24"/>
              </w:rPr>
            </w:pPr>
            <w:r>
              <w:rPr>
                <w:rFonts w:hint="eastAsia" w:ascii="宋体" w:hAnsi="宋体" w:eastAsia="宋体" w:cs="宋体"/>
                <w:sz w:val="24"/>
                <w:szCs w:val="24"/>
              </w:rPr>
              <w:t>886.96</w:t>
            </w:r>
          </w:p>
        </w:tc>
        <w:tc>
          <w:tcPr>
            <w:tcW w:w="860" w:type="pct"/>
            <w:vAlign w:val="center"/>
          </w:tcPr>
          <w:p w14:paraId="735C9AE0">
            <w:pPr>
              <w:jc w:val="center"/>
              <w:rPr>
                <w:rFonts w:hint="eastAsia" w:ascii="宋体" w:hAnsi="宋体" w:eastAsia="宋体" w:cs="宋体"/>
                <w:sz w:val="24"/>
                <w:szCs w:val="24"/>
              </w:rPr>
            </w:pPr>
          </w:p>
        </w:tc>
      </w:tr>
      <w:tr w14:paraId="3C24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pct"/>
            <w:vAlign w:val="center"/>
          </w:tcPr>
          <w:p w14:paraId="3A2EAB35">
            <w:pPr>
              <w:jc w:val="center"/>
              <w:rPr>
                <w:rFonts w:hint="eastAsia" w:ascii="宋体" w:hAnsi="宋体" w:eastAsia="宋体" w:cs="宋体"/>
                <w:sz w:val="24"/>
                <w:szCs w:val="24"/>
              </w:rPr>
            </w:pPr>
            <w:r>
              <w:rPr>
                <w:rFonts w:hint="eastAsia" w:ascii="宋体" w:hAnsi="宋体" w:eastAsia="宋体" w:cs="宋体"/>
                <w:sz w:val="24"/>
                <w:szCs w:val="24"/>
              </w:rPr>
              <w:t>项目运维种类</w:t>
            </w:r>
          </w:p>
        </w:tc>
        <w:tc>
          <w:tcPr>
            <w:tcW w:w="481" w:type="pct"/>
            <w:vAlign w:val="center"/>
          </w:tcPr>
          <w:p w14:paraId="2B6AD171">
            <w:pPr>
              <w:jc w:val="center"/>
              <w:rPr>
                <w:rFonts w:hint="eastAsia" w:ascii="宋体" w:hAnsi="宋体" w:eastAsia="宋体" w:cs="宋体"/>
                <w:sz w:val="24"/>
                <w:szCs w:val="24"/>
              </w:rPr>
            </w:pPr>
            <w:r>
              <w:rPr>
                <w:rFonts w:hint="eastAsia" w:ascii="宋体" w:hAnsi="宋体" w:eastAsia="宋体" w:cs="宋体"/>
                <w:sz w:val="24"/>
                <w:szCs w:val="24"/>
              </w:rPr>
              <w:t>空调系统维保</w:t>
            </w:r>
          </w:p>
        </w:tc>
        <w:tc>
          <w:tcPr>
            <w:tcW w:w="577" w:type="pct"/>
            <w:vAlign w:val="center"/>
          </w:tcPr>
          <w:p w14:paraId="3BF1B6F0">
            <w:pPr>
              <w:jc w:val="center"/>
              <w:rPr>
                <w:rFonts w:hint="eastAsia" w:ascii="宋体" w:hAnsi="宋体" w:eastAsia="宋体" w:cs="宋体"/>
                <w:sz w:val="24"/>
                <w:szCs w:val="24"/>
              </w:rPr>
            </w:pPr>
            <w:r>
              <w:rPr>
                <w:rFonts w:hint="eastAsia" w:ascii="宋体" w:hAnsi="宋体" w:eastAsia="宋体" w:cs="宋体"/>
                <w:sz w:val="24"/>
                <w:szCs w:val="24"/>
              </w:rPr>
              <w:t>能源审计(节能量核定)</w:t>
            </w:r>
          </w:p>
        </w:tc>
        <w:tc>
          <w:tcPr>
            <w:tcW w:w="588" w:type="pct"/>
            <w:vAlign w:val="center"/>
          </w:tcPr>
          <w:p w14:paraId="4303FBB1">
            <w:pPr>
              <w:jc w:val="center"/>
              <w:rPr>
                <w:rFonts w:hint="eastAsia" w:ascii="宋体" w:hAnsi="宋体" w:eastAsia="宋体" w:cs="宋体"/>
                <w:sz w:val="24"/>
                <w:szCs w:val="24"/>
              </w:rPr>
            </w:pPr>
            <w:r>
              <w:rPr>
                <w:rFonts w:hint="eastAsia" w:ascii="宋体" w:hAnsi="宋体" w:eastAsia="宋体" w:cs="宋体"/>
                <w:sz w:val="24"/>
                <w:szCs w:val="24"/>
              </w:rPr>
              <w:t>能源管控系统维保</w:t>
            </w:r>
          </w:p>
        </w:tc>
        <w:tc>
          <w:tcPr>
            <w:tcW w:w="582" w:type="pct"/>
            <w:vAlign w:val="center"/>
          </w:tcPr>
          <w:p w14:paraId="0ADB7B5D">
            <w:pPr>
              <w:jc w:val="center"/>
              <w:rPr>
                <w:rFonts w:hint="eastAsia" w:ascii="宋体" w:hAnsi="宋体" w:eastAsia="宋体" w:cs="宋体"/>
                <w:sz w:val="24"/>
                <w:szCs w:val="24"/>
              </w:rPr>
            </w:pPr>
            <w:r>
              <w:rPr>
                <w:rFonts w:hint="eastAsia" w:ascii="宋体" w:hAnsi="宋体" w:eastAsia="宋体" w:cs="宋体"/>
                <w:sz w:val="24"/>
                <w:szCs w:val="24"/>
              </w:rPr>
              <w:t>其他零星维保</w:t>
            </w:r>
          </w:p>
        </w:tc>
        <w:tc>
          <w:tcPr>
            <w:tcW w:w="860" w:type="pct"/>
            <w:vAlign w:val="center"/>
          </w:tcPr>
          <w:p w14:paraId="21184BE5">
            <w:pPr>
              <w:jc w:val="center"/>
              <w:rPr>
                <w:rFonts w:hint="eastAsia" w:ascii="宋体" w:hAnsi="宋体" w:eastAsia="宋体" w:cs="宋体"/>
                <w:sz w:val="24"/>
                <w:szCs w:val="24"/>
              </w:rPr>
            </w:pPr>
            <w:r>
              <w:rPr>
                <w:rFonts w:hint="eastAsia" w:ascii="宋体" w:hAnsi="宋体" w:eastAsia="宋体" w:cs="宋体"/>
                <w:sz w:val="24"/>
                <w:szCs w:val="24"/>
              </w:rPr>
              <w:t>管理及人工成本</w:t>
            </w:r>
          </w:p>
        </w:tc>
      </w:tr>
      <w:tr w14:paraId="5178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pct"/>
            <w:vAlign w:val="center"/>
          </w:tcPr>
          <w:p w14:paraId="584471C6">
            <w:pPr>
              <w:jc w:val="center"/>
              <w:rPr>
                <w:rFonts w:hint="eastAsia" w:ascii="宋体" w:hAnsi="宋体" w:eastAsia="宋体" w:cs="宋体"/>
                <w:sz w:val="24"/>
                <w:szCs w:val="24"/>
              </w:rPr>
            </w:pPr>
            <w:r>
              <w:rPr>
                <w:rFonts w:hint="eastAsia" w:ascii="宋体" w:hAnsi="宋体" w:eastAsia="宋体" w:cs="宋体"/>
                <w:sz w:val="24"/>
                <w:szCs w:val="24"/>
              </w:rPr>
              <w:t>项目运维费用（万元/年）</w:t>
            </w:r>
          </w:p>
        </w:tc>
        <w:tc>
          <w:tcPr>
            <w:tcW w:w="481" w:type="pct"/>
            <w:vAlign w:val="center"/>
          </w:tcPr>
          <w:p w14:paraId="54CD8DAC">
            <w:pPr>
              <w:jc w:val="center"/>
              <w:rPr>
                <w:rFonts w:hint="eastAsia" w:ascii="宋体" w:hAnsi="宋体" w:eastAsia="宋体" w:cs="宋体"/>
                <w:sz w:val="24"/>
                <w:szCs w:val="24"/>
              </w:rPr>
            </w:pPr>
            <w:r>
              <w:rPr>
                <w:rFonts w:hint="eastAsia" w:ascii="宋体" w:hAnsi="宋体" w:eastAsia="宋体" w:cs="宋体"/>
                <w:sz w:val="24"/>
                <w:szCs w:val="24"/>
              </w:rPr>
              <w:t>29.00</w:t>
            </w:r>
          </w:p>
        </w:tc>
        <w:tc>
          <w:tcPr>
            <w:tcW w:w="577" w:type="pct"/>
            <w:vAlign w:val="center"/>
          </w:tcPr>
          <w:p w14:paraId="6CC0EA08">
            <w:pPr>
              <w:jc w:val="center"/>
              <w:rPr>
                <w:rFonts w:hint="eastAsia" w:ascii="宋体" w:hAnsi="宋体" w:eastAsia="宋体" w:cs="宋体"/>
                <w:sz w:val="24"/>
                <w:szCs w:val="24"/>
              </w:rPr>
            </w:pPr>
            <w:r>
              <w:rPr>
                <w:rFonts w:hint="eastAsia" w:ascii="宋体" w:hAnsi="宋体" w:eastAsia="宋体" w:cs="宋体"/>
                <w:sz w:val="24"/>
                <w:szCs w:val="24"/>
              </w:rPr>
              <w:t>14.00</w:t>
            </w:r>
          </w:p>
        </w:tc>
        <w:tc>
          <w:tcPr>
            <w:tcW w:w="588" w:type="pct"/>
            <w:vAlign w:val="center"/>
          </w:tcPr>
          <w:p w14:paraId="3FDF19FC">
            <w:pPr>
              <w:jc w:val="center"/>
              <w:rPr>
                <w:rFonts w:hint="eastAsia" w:ascii="宋体" w:hAnsi="宋体" w:eastAsia="宋体" w:cs="宋体"/>
                <w:sz w:val="24"/>
                <w:szCs w:val="24"/>
              </w:rPr>
            </w:pPr>
            <w:r>
              <w:rPr>
                <w:rFonts w:hint="eastAsia" w:ascii="宋体" w:hAnsi="宋体" w:eastAsia="宋体" w:cs="宋体"/>
                <w:sz w:val="24"/>
                <w:szCs w:val="24"/>
              </w:rPr>
              <w:t>8.00</w:t>
            </w:r>
          </w:p>
        </w:tc>
        <w:tc>
          <w:tcPr>
            <w:tcW w:w="582" w:type="pct"/>
            <w:vAlign w:val="center"/>
          </w:tcPr>
          <w:p w14:paraId="6CF4B3BB">
            <w:pPr>
              <w:jc w:val="center"/>
              <w:rPr>
                <w:rFonts w:hint="eastAsia" w:ascii="宋体" w:hAnsi="宋体" w:eastAsia="宋体" w:cs="宋体"/>
                <w:sz w:val="24"/>
                <w:szCs w:val="24"/>
              </w:rPr>
            </w:pPr>
            <w:r>
              <w:rPr>
                <w:rFonts w:hint="eastAsia" w:ascii="宋体" w:hAnsi="宋体" w:eastAsia="宋体" w:cs="宋体"/>
                <w:sz w:val="24"/>
                <w:szCs w:val="24"/>
              </w:rPr>
              <w:t>4.00</w:t>
            </w:r>
          </w:p>
        </w:tc>
        <w:tc>
          <w:tcPr>
            <w:tcW w:w="860" w:type="pct"/>
            <w:vAlign w:val="center"/>
          </w:tcPr>
          <w:p w14:paraId="02A00F50">
            <w:pPr>
              <w:jc w:val="center"/>
              <w:rPr>
                <w:rFonts w:hint="eastAsia" w:ascii="宋体" w:hAnsi="宋体" w:eastAsia="宋体" w:cs="宋体"/>
                <w:sz w:val="24"/>
                <w:szCs w:val="24"/>
              </w:rPr>
            </w:pPr>
            <w:r>
              <w:rPr>
                <w:rFonts w:hint="eastAsia" w:ascii="宋体" w:hAnsi="宋体" w:eastAsia="宋体" w:cs="宋体"/>
                <w:sz w:val="24"/>
                <w:szCs w:val="24"/>
              </w:rPr>
              <w:t>40.00</w:t>
            </w:r>
          </w:p>
        </w:tc>
      </w:tr>
      <w:tr w14:paraId="6BD2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pct"/>
            <w:vAlign w:val="center"/>
          </w:tcPr>
          <w:p w14:paraId="0948B331">
            <w:pPr>
              <w:jc w:val="center"/>
              <w:rPr>
                <w:rFonts w:hint="eastAsia" w:ascii="宋体" w:hAnsi="宋体" w:eastAsia="宋体" w:cs="宋体"/>
                <w:sz w:val="24"/>
                <w:szCs w:val="24"/>
              </w:rPr>
            </w:pPr>
            <w:r>
              <w:rPr>
                <w:rFonts w:hint="eastAsia" w:ascii="宋体" w:hAnsi="宋体" w:eastAsia="宋体" w:cs="宋体"/>
                <w:sz w:val="24"/>
                <w:szCs w:val="24"/>
              </w:rPr>
              <w:t>项目运维总费用（万元/年）</w:t>
            </w:r>
          </w:p>
        </w:tc>
        <w:tc>
          <w:tcPr>
            <w:tcW w:w="3088" w:type="pct"/>
            <w:gridSpan w:val="5"/>
            <w:vAlign w:val="center"/>
          </w:tcPr>
          <w:p w14:paraId="450F022B">
            <w:pPr>
              <w:jc w:val="center"/>
              <w:rPr>
                <w:rFonts w:hint="eastAsia" w:ascii="宋体" w:hAnsi="宋体" w:eastAsia="宋体" w:cs="宋体"/>
                <w:sz w:val="24"/>
                <w:szCs w:val="24"/>
              </w:rPr>
            </w:pPr>
            <w:r>
              <w:rPr>
                <w:rFonts w:hint="eastAsia" w:ascii="宋体" w:hAnsi="宋体" w:eastAsia="宋体" w:cs="宋体"/>
                <w:sz w:val="24"/>
                <w:szCs w:val="24"/>
              </w:rPr>
              <w:t>95.00</w:t>
            </w:r>
          </w:p>
        </w:tc>
      </w:tr>
      <w:tr w14:paraId="5FA8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pct"/>
            <w:vAlign w:val="center"/>
          </w:tcPr>
          <w:p w14:paraId="17FE6321">
            <w:pPr>
              <w:jc w:val="center"/>
              <w:rPr>
                <w:rFonts w:hint="eastAsia" w:ascii="宋体" w:hAnsi="宋体" w:eastAsia="宋体" w:cs="宋体"/>
                <w:sz w:val="24"/>
                <w:szCs w:val="24"/>
              </w:rPr>
            </w:pPr>
            <w:r>
              <w:rPr>
                <w:rFonts w:hint="eastAsia" w:ascii="宋体" w:hAnsi="宋体" w:eastAsia="宋体" w:cs="宋体"/>
                <w:sz w:val="24"/>
                <w:szCs w:val="24"/>
              </w:rPr>
              <w:t>基准核定期能源资源费用以及项目运维费用总计</w:t>
            </w:r>
          </w:p>
          <w:p w14:paraId="152DB38B">
            <w:pPr>
              <w:jc w:val="center"/>
              <w:rPr>
                <w:rFonts w:hint="eastAsia" w:ascii="宋体" w:hAnsi="宋体" w:eastAsia="宋体" w:cs="宋体"/>
                <w:sz w:val="24"/>
                <w:szCs w:val="24"/>
              </w:rPr>
            </w:pPr>
            <w:r>
              <w:rPr>
                <w:rFonts w:hint="eastAsia" w:ascii="宋体" w:hAnsi="宋体" w:eastAsia="宋体" w:cs="宋体"/>
                <w:sz w:val="24"/>
                <w:szCs w:val="24"/>
              </w:rPr>
              <w:t>（万元/年）</w:t>
            </w:r>
          </w:p>
        </w:tc>
        <w:tc>
          <w:tcPr>
            <w:tcW w:w="3088" w:type="pct"/>
            <w:gridSpan w:val="5"/>
            <w:vAlign w:val="center"/>
          </w:tcPr>
          <w:p w14:paraId="154DAB13">
            <w:pPr>
              <w:jc w:val="center"/>
              <w:rPr>
                <w:rFonts w:hint="eastAsia" w:ascii="宋体" w:hAnsi="宋体" w:eastAsia="宋体" w:cs="宋体"/>
                <w:sz w:val="24"/>
                <w:szCs w:val="24"/>
              </w:rPr>
            </w:pPr>
            <w:r>
              <w:rPr>
                <w:rFonts w:hint="eastAsia" w:ascii="宋体" w:hAnsi="宋体" w:eastAsia="宋体" w:cs="宋体"/>
                <w:sz w:val="24"/>
                <w:szCs w:val="24"/>
              </w:rPr>
              <w:t>981.96</w:t>
            </w:r>
          </w:p>
        </w:tc>
      </w:tr>
    </w:tbl>
    <w:p w14:paraId="3B5C548E">
      <w:pPr>
        <w:pStyle w:val="35"/>
      </w:pPr>
    </w:p>
    <w:p w14:paraId="6024A3C6">
      <w:pPr>
        <w:spacing w:line="360" w:lineRule="auto"/>
        <w:rPr>
          <w:rFonts w:hint="eastAsia" w:ascii="宋体" w:hAnsi="宋体" w:cs="宋体"/>
          <w:b/>
          <w:bCs/>
          <w:sz w:val="24"/>
        </w:rPr>
      </w:pPr>
      <w:r>
        <w:rPr>
          <w:rFonts w:hint="eastAsia" w:ascii="宋体" w:hAnsi="宋体" w:cs="宋体"/>
          <w:b/>
          <w:bCs/>
          <w:sz w:val="24"/>
        </w:rPr>
        <w:t>三、服务内容及要求</w:t>
      </w:r>
    </w:p>
    <w:p w14:paraId="78ABDB1D">
      <w:pPr>
        <w:spacing w:line="360" w:lineRule="auto"/>
        <w:ind w:firstLine="480"/>
        <w:rPr>
          <w:rFonts w:hint="eastAsia" w:ascii="宋体" w:hAnsi="宋体" w:cs="宋体"/>
          <w:sz w:val="24"/>
        </w:rPr>
      </w:pPr>
      <w:r>
        <w:rPr>
          <w:rFonts w:hint="eastAsia" w:ascii="宋体" w:hAnsi="宋体" w:cs="宋体"/>
          <w:sz w:val="24"/>
        </w:rPr>
        <w:t>（一）项目总体要求</w:t>
      </w:r>
    </w:p>
    <w:p w14:paraId="7401CEDC">
      <w:pPr>
        <w:spacing w:line="360" w:lineRule="auto"/>
        <w:ind w:firstLine="480"/>
        <w:rPr>
          <w:rFonts w:hint="eastAsia" w:ascii="宋体" w:hAnsi="宋体" w:cs="宋体"/>
          <w:sz w:val="24"/>
        </w:rPr>
      </w:pPr>
      <w:r>
        <w:rPr>
          <w:rFonts w:hint="eastAsia" w:ascii="宋体" w:hAnsi="宋体" w:cs="宋体"/>
          <w:sz w:val="24"/>
        </w:rPr>
        <w:t>1.改造原则：投标人根据现场调查情况，因地制宜，选择技术先进、经济合理的技术或产品，技术或产品要求技术成熟、稳定可靠，不影响原建筑结构安全；</w:t>
      </w:r>
    </w:p>
    <w:p w14:paraId="0469BA59">
      <w:pPr>
        <w:spacing w:line="360" w:lineRule="auto"/>
        <w:ind w:firstLine="480"/>
        <w:rPr>
          <w:rFonts w:hint="eastAsia" w:ascii="宋体" w:hAnsi="宋体" w:cs="宋体"/>
          <w:sz w:val="24"/>
        </w:rPr>
      </w:pPr>
      <w:r>
        <w:rPr>
          <w:rFonts w:hint="eastAsia" w:ascii="宋体" w:hAnsi="宋体" w:cs="宋体"/>
          <w:sz w:val="24"/>
        </w:rPr>
        <w:t>2.施工原则：在施工改造期间，不得影响项目实施地采购方人员正常工作，如特殊情况需要停水停电，须提前15天提出书面申请，经采购人审批同意后方可进行。</w:t>
      </w:r>
    </w:p>
    <w:p w14:paraId="671E9583">
      <w:pPr>
        <w:spacing w:line="360" w:lineRule="auto"/>
        <w:ind w:firstLine="480"/>
        <w:rPr>
          <w:rFonts w:hint="eastAsia" w:ascii="宋体" w:hAnsi="宋体" w:cs="宋体"/>
          <w:sz w:val="24"/>
        </w:rPr>
      </w:pPr>
      <w:r>
        <w:rPr>
          <w:rFonts w:hint="eastAsia" w:ascii="宋体" w:hAnsi="宋体" w:cs="宋体"/>
          <w:sz w:val="24"/>
        </w:rPr>
        <w:t>3.节能改造项目施工完成后，不得降低采购人工作环境的舒适度；</w:t>
      </w:r>
    </w:p>
    <w:p w14:paraId="1B5AB0BD">
      <w:pPr>
        <w:spacing w:line="360" w:lineRule="auto"/>
        <w:ind w:firstLine="480"/>
        <w:rPr>
          <w:rFonts w:hint="eastAsia" w:ascii="宋体" w:hAnsi="宋体" w:cs="宋体"/>
          <w:sz w:val="24"/>
        </w:rPr>
      </w:pPr>
      <w:r>
        <w:rPr>
          <w:rFonts w:hint="eastAsia" w:ascii="宋体" w:hAnsi="宋体" w:cs="宋体"/>
          <w:sz w:val="24"/>
        </w:rPr>
        <w:t>4.使用现在先进、节能的设备替换原有设备的，需要保证新投入设备符合国家相关规定保证不会降低采购人的工作舒适度；</w:t>
      </w:r>
    </w:p>
    <w:p w14:paraId="013AF697">
      <w:pPr>
        <w:spacing w:line="360" w:lineRule="auto"/>
        <w:ind w:firstLine="480"/>
        <w:rPr>
          <w:rFonts w:hint="eastAsia" w:ascii="宋体" w:hAnsi="宋体" w:cs="宋体"/>
          <w:sz w:val="24"/>
        </w:rPr>
      </w:pPr>
      <w:r>
        <w:rPr>
          <w:rFonts w:hint="eastAsia" w:ascii="宋体" w:hAnsi="宋体" w:cs="宋体"/>
          <w:sz w:val="24"/>
        </w:rPr>
        <w:t>5.项目的技术改造不能影响非改造设备的使用，并保证项目运行的安全性、可靠性。中标人应保证安全、合理施工，对于改造区内的由中标人改造的设备，改造部分由中标人全权负责，关联部分因改造造成的异常，由中标人负责解决。</w:t>
      </w:r>
    </w:p>
    <w:p w14:paraId="4E12AD9C">
      <w:pPr>
        <w:spacing w:line="360" w:lineRule="auto"/>
        <w:ind w:firstLine="480"/>
        <w:rPr>
          <w:rFonts w:hint="eastAsia" w:ascii="宋体" w:hAnsi="宋体" w:cs="宋体"/>
          <w:sz w:val="24"/>
        </w:rPr>
      </w:pPr>
      <w:r>
        <w:rPr>
          <w:rFonts w:hint="eastAsia" w:ascii="宋体" w:hAnsi="宋体" w:cs="宋体"/>
          <w:sz w:val="24"/>
        </w:rPr>
        <w:t>6.中标人必须做到服从的管理，遵守的采购人规章制度；文明施工，安全施工、施工中发生的安全责任事故由中标人负责。发生重大伤亡事故，中标人应按规定立即上报有关部门并通知采购人代表。</w:t>
      </w:r>
    </w:p>
    <w:p w14:paraId="3D9B20B3">
      <w:pPr>
        <w:spacing w:line="360" w:lineRule="auto"/>
        <w:ind w:firstLine="480"/>
        <w:rPr>
          <w:rFonts w:hint="eastAsia" w:ascii="宋体" w:hAnsi="宋体" w:cs="宋体"/>
          <w:sz w:val="24"/>
        </w:rPr>
      </w:pPr>
      <w:r>
        <w:rPr>
          <w:rFonts w:hint="eastAsia" w:ascii="宋体" w:hAnsi="宋体" w:cs="宋体"/>
          <w:sz w:val="24"/>
        </w:rPr>
        <w:t>7.中标人承担包括服务期内所有设备、辅助材料、劳务、运输、管理、指导安装、技术支持与培训、质保、售后服务与维护、保险、利润、税金、专利技术、政策性文件规定及合同包含的所有风险、责任等各项应有费用。</w:t>
      </w:r>
    </w:p>
    <w:p w14:paraId="03424EF8">
      <w:pPr>
        <w:spacing w:line="360" w:lineRule="auto"/>
        <w:ind w:firstLine="480"/>
        <w:rPr>
          <w:rFonts w:hint="eastAsia" w:ascii="宋体" w:hAnsi="宋体" w:cs="宋体"/>
          <w:sz w:val="24"/>
        </w:rPr>
      </w:pPr>
      <w:r>
        <w:rPr>
          <w:rFonts w:hint="eastAsia" w:ascii="宋体" w:hAnsi="宋体" w:cs="宋体"/>
          <w:sz w:val="24"/>
        </w:rPr>
        <w:t>（二）基本服务内容及要求</w:t>
      </w:r>
    </w:p>
    <w:p w14:paraId="21DC2EB4">
      <w:pPr>
        <w:spacing w:line="360" w:lineRule="auto"/>
        <w:ind w:firstLine="480"/>
        <w:rPr>
          <w:rFonts w:hint="eastAsia" w:ascii="宋体" w:hAnsi="宋体" w:cs="宋体"/>
          <w:sz w:val="24"/>
        </w:rPr>
      </w:pPr>
      <w:r>
        <w:rPr>
          <w:rFonts w:hint="eastAsia" w:ascii="宋体" w:hAnsi="宋体" w:cs="宋体"/>
          <w:sz w:val="24"/>
        </w:rPr>
        <w:t>基于现有硬件设施及平台控制能力条件下，提供如下基础服务内容：</w:t>
      </w:r>
    </w:p>
    <w:p w14:paraId="16F8621F">
      <w:pPr>
        <w:spacing w:line="360" w:lineRule="auto"/>
        <w:ind w:firstLine="480"/>
        <w:rPr>
          <w:rFonts w:hint="eastAsia" w:ascii="宋体" w:hAnsi="宋体" w:cs="宋体"/>
          <w:sz w:val="24"/>
        </w:rPr>
      </w:pPr>
      <w:r>
        <w:rPr>
          <w:rFonts w:hint="eastAsia" w:ascii="宋体" w:hAnsi="宋体" w:cs="宋体"/>
          <w:sz w:val="24"/>
        </w:rPr>
        <w:t>1.冷、电、自来水的供应</w:t>
      </w:r>
    </w:p>
    <w:p w14:paraId="51D9089E">
      <w:pPr>
        <w:spacing w:line="360" w:lineRule="auto"/>
        <w:ind w:firstLine="480"/>
        <w:rPr>
          <w:rFonts w:hint="eastAsia" w:ascii="宋体" w:hAnsi="宋体" w:cs="宋体"/>
          <w:sz w:val="24"/>
        </w:rPr>
      </w:pPr>
      <w:r>
        <w:rPr>
          <w:rFonts w:hint="eastAsia" w:ascii="宋体" w:hAnsi="宋体" w:cs="宋体"/>
          <w:sz w:val="24"/>
        </w:rPr>
        <w:t>保证沛县第二批试点公共机构空调制冷、电能、自来水的正常供应，及时代缴各能源费用，保障能源日常使用。</w:t>
      </w:r>
    </w:p>
    <w:p w14:paraId="0E2C6892">
      <w:pPr>
        <w:spacing w:line="360" w:lineRule="auto"/>
        <w:ind w:firstLine="480"/>
        <w:rPr>
          <w:rFonts w:hint="eastAsia" w:ascii="宋体" w:hAnsi="宋体" w:cs="宋体"/>
          <w:sz w:val="24"/>
        </w:rPr>
      </w:pPr>
      <w:r>
        <w:rPr>
          <w:rFonts w:hint="eastAsia" w:ascii="宋体" w:hAnsi="宋体" w:cs="宋体"/>
          <w:sz w:val="24"/>
        </w:rPr>
        <w:t>2.能源网软、硬件设施的安全、可靠运行技术支持</w:t>
      </w:r>
    </w:p>
    <w:p w14:paraId="58B47457">
      <w:pPr>
        <w:spacing w:line="360" w:lineRule="auto"/>
        <w:ind w:firstLine="480"/>
        <w:rPr>
          <w:rFonts w:hint="eastAsia" w:ascii="宋体" w:hAnsi="宋体" w:cs="宋体"/>
          <w:sz w:val="24"/>
        </w:rPr>
      </w:pPr>
      <w:r>
        <w:rPr>
          <w:rFonts w:hint="eastAsia" w:ascii="宋体" w:hAnsi="宋体" w:cs="宋体"/>
          <w:sz w:val="24"/>
        </w:rPr>
        <w:t>研究沛县第二批试点公共机构现有能源监控系统、能源子系统运行管理。对软、硬件安全、可靠运行、能源系统分析功能提出改进意见，包括但不限于对核心指标、能源网子系统指标以及整体运行情况分析（指标管理、能源指标分析、能源生产运行报告等），并在采购人同意后协助实施。在接到采购人关于项目运行故障的通知之后，供应商应根据相关规定和要求，及时完成相关维修或设备更换。</w:t>
      </w:r>
    </w:p>
    <w:p w14:paraId="1DE01C80">
      <w:pPr>
        <w:spacing w:line="360" w:lineRule="auto"/>
        <w:ind w:firstLine="480"/>
        <w:rPr>
          <w:rFonts w:hint="eastAsia" w:ascii="宋体" w:hAnsi="宋体" w:cs="宋体"/>
          <w:sz w:val="24"/>
        </w:rPr>
      </w:pPr>
      <w:r>
        <w:rPr>
          <w:rFonts w:hint="eastAsia" w:ascii="宋体" w:hAnsi="宋体" w:cs="宋体"/>
          <w:sz w:val="24"/>
        </w:rPr>
        <w:t>3.对能源网系统和设备进行节能改造</w:t>
      </w:r>
    </w:p>
    <w:p w14:paraId="39B22DBF">
      <w:pPr>
        <w:spacing w:line="360" w:lineRule="auto"/>
        <w:ind w:firstLine="480"/>
        <w:rPr>
          <w:rFonts w:hint="eastAsia" w:ascii="宋体" w:hAnsi="宋体" w:cs="宋体"/>
          <w:sz w:val="24"/>
        </w:rPr>
      </w:pPr>
      <w:r>
        <w:rPr>
          <w:rFonts w:hint="eastAsia" w:ascii="宋体" w:hAnsi="宋体" w:cs="宋体"/>
          <w:sz w:val="24"/>
        </w:rPr>
        <w:t>根据能源设备实际情况，寻找节能潜力，实施节能改造，降低整体能源消耗。供应商应在获得采购人的同意下，不断进行节能改造设备投入。实施节能改造需向相应的采购人或者其他第三方申请许可、同意或者批准的，由供应商组织申请，并在本合同期间保持其有效性。</w:t>
      </w:r>
    </w:p>
    <w:p w14:paraId="0391CAA9">
      <w:pPr>
        <w:spacing w:line="360" w:lineRule="auto"/>
        <w:ind w:firstLine="480"/>
        <w:rPr>
          <w:rFonts w:hint="eastAsia" w:ascii="宋体" w:hAnsi="宋体" w:cs="宋体"/>
          <w:sz w:val="24"/>
        </w:rPr>
      </w:pPr>
      <w:r>
        <w:rPr>
          <w:rFonts w:hint="eastAsia" w:ascii="宋体" w:hAnsi="宋体" w:cs="宋体"/>
          <w:sz w:val="24"/>
        </w:rPr>
        <w:t>4.统计报表</w:t>
      </w:r>
    </w:p>
    <w:p w14:paraId="0B1879CF">
      <w:pPr>
        <w:spacing w:line="360" w:lineRule="auto"/>
        <w:ind w:firstLine="480"/>
        <w:rPr>
          <w:rFonts w:hint="eastAsia" w:ascii="宋体" w:hAnsi="宋体" w:cs="宋体"/>
          <w:sz w:val="24"/>
        </w:rPr>
      </w:pPr>
      <w:r>
        <w:rPr>
          <w:rFonts w:hint="eastAsia" w:ascii="宋体" w:hAnsi="宋体" w:cs="宋体"/>
          <w:sz w:val="24"/>
        </w:rPr>
        <w:t>按季出具“能源网运行报告”，具体内容包括：当季用能情况分析、能源利用能力分析、运维情况分析等。</w:t>
      </w:r>
    </w:p>
    <w:p w14:paraId="4505A775">
      <w:pPr>
        <w:spacing w:line="360" w:lineRule="auto"/>
        <w:ind w:firstLine="480"/>
        <w:rPr>
          <w:rFonts w:hint="eastAsia" w:ascii="宋体" w:hAnsi="宋体" w:cs="宋体"/>
          <w:sz w:val="24"/>
        </w:rPr>
      </w:pPr>
      <w:r>
        <w:rPr>
          <w:rFonts w:hint="eastAsia" w:ascii="宋体" w:hAnsi="宋体" w:cs="宋体"/>
          <w:sz w:val="24"/>
        </w:rPr>
        <w:t>（三）增值服务内容及要求</w:t>
      </w:r>
    </w:p>
    <w:p w14:paraId="04F60242">
      <w:pPr>
        <w:spacing w:line="360" w:lineRule="auto"/>
        <w:ind w:firstLine="480"/>
        <w:rPr>
          <w:rFonts w:hint="eastAsia" w:ascii="宋体" w:hAnsi="宋体" w:cs="宋体"/>
          <w:sz w:val="24"/>
        </w:rPr>
      </w:pPr>
      <w:r>
        <w:rPr>
          <w:rFonts w:hint="eastAsia" w:ascii="宋体" w:hAnsi="宋体" w:cs="宋体"/>
          <w:sz w:val="24"/>
        </w:rPr>
        <w:t>1.一体化解决方案</w:t>
      </w:r>
    </w:p>
    <w:p w14:paraId="6CC14DC7">
      <w:pPr>
        <w:spacing w:line="360" w:lineRule="auto"/>
        <w:ind w:firstLine="480"/>
        <w:rPr>
          <w:rFonts w:hint="eastAsia" w:ascii="宋体" w:hAnsi="宋体" w:cs="宋体"/>
          <w:sz w:val="24"/>
        </w:rPr>
      </w:pPr>
      <w:r>
        <w:rPr>
          <w:rFonts w:hint="eastAsia" w:ascii="宋体" w:hAnsi="宋体" w:cs="宋体"/>
          <w:sz w:val="24"/>
        </w:rPr>
        <w:t>通过对沛县第二批试点公共机构能源系统的分析、改造，结合对于节能技术的深入研究，服务商提供能源系统的创新、提升等多方面的一体化解决方案。</w:t>
      </w:r>
    </w:p>
    <w:p w14:paraId="4ED1C726">
      <w:pPr>
        <w:spacing w:line="360" w:lineRule="auto"/>
        <w:ind w:firstLine="480"/>
        <w:rPr>
          <w:rFonts w:hint="eastAsia" w:ascii="宋体" w:hAnsi="宋体" w:cs="宋体"/>
          <w:sz w:val="24"/>
        </w:rPr>
      </w:pPr>
      <w:r>
        <w:rPr>
          <w:rFonts w:hint="eastAsia" w:ascii="宋体" w:hAnsi="宋体" w:cs="宋体"/>
          <w:sz w:val="24"/>
        </w:rPr>
        <w:t>通过不断引进国内外先进技术，以完善能源网应用，确保采购人能源系统在国内政府机关领先的地位。</w:t>
      </w:r>
    </w:p>
    <w:p w14:paraId="60D1E062">
      <w:pPr>
        <w:spacing w:line="360" w:lineRule="auto"/>
        <w:ind w:firstLine="480"/>
        <w:rPr>
          <w:rFonts w:hint="eastAsia" w:ascii="宋体" w:hAnsi="宋体" w:cs="宋体"/>
          <w:sz w:val="24"/>
        </w:rPr>
      </w:pPr>
      <w:r>
        <w:rPr>
          <w:rFonts w:hint="eastAsia" w:ascii="宋体" w:hAnsi="宋体" w:cs="宋体"/>
          <w:sz w:val="24"/>
        </w:rPr>
        <w:t>2.个性化服务</w:t>
      </w:r>
    </w:p>
    <w:p w14:paraId="6E99F8CC">
      <w:pPr>
        <w:spacing w:line="360" w:lineRule="auto"/>
        <w:ind w:firstLine="480"/>
        <w:rPr>
          <w:rFonts w:hint="eastAsia" w:ascii="宋体" w:hAnsi="宋体" w:cs="宋体"/>
          <w:sz w:val="24"/>
        </w:rPr>
      </w:pPr>
      <w:r>
        <w:rPr>
          <w:rFonts w:hint="eastAsia" w:ascii="宋体" w:hAnsi="宋体" w:cs="宋体"/>
          <w:sz w:val="24"/>
        </w:rPr>
        <w:t>服务商要及时了解沛县第二批试点公共机构能源系统的“个性”，开展个性化需求的收集工作，提供用能时间、温度等柔性的选择，满足采购人在冷、热、电、热水等能源使用上的个性化需求。</w:t>
      </w:r>
    </w:p>
    <w:p w14:paraId="23EAAB36">
      <w:pPr>
        <w:spacing w:line="360" w:lineRule="auto"/>
        <w:ind w:firstLine="480"/>
        <w:rPr>
          <w:rFonts w:hint="eastAsia" w:ascii="宋体" w:hAnsi="宋体" w:cs="宋体"/>
          <w:sz w:val="24"/>
        </w:rPr>
      </w:pPr>
      <w:r>
        <w:rPr>
          <w:rFonts w:hint="eastAsia" w:ascii="宋体" w:hAnsi="宋体" w:cs="宋体"/>
          <w:sz w:val="24"/>
        </w:rPr>
        <w:t>3.设备资产可靠性分析</w:t>
      </w:r>
    </w:p>
    <w:p w14:paraId="7CB70F41">
      <w:pPr>
        <w:spacing w:line="360" w:lineRule="auto"/>
        <w:ind w:firstLine="480"/>
        <w:rPr>
          <w:rFonts w:hint="eastAsia" w:ascii="宋体" w:hAnsi="宋体" w:cs="宋体"/>
          <w:sz w:val="24"/>
        </w:rPr>
      </w:pPr>
      <w:r>
        <w:rPr>
          <w:rFonts w:hint="eastAsia" w:ascii="宋体" w:hAnsi="宋体" w:cs="宋体"/>
          <w:sz w:val="24"/>
        </w:rPr>
        <w:t>随着设备维护时间的增长，设备可靠性基础数据随之增多，通过对这些基础数据进行分析，得出设备可靠性分析数据，如：设备预保养时间、设备故障预判、设备报废时间等，通过分析数据，维护队伍可提前做出人员、物资等安排，为采购人提供更优质的服务。</w:t>
      </w:r>
    </w:p>
    <w:p w14:paraId="15D12C3F">
      <w:pPr>
        <w:spacing w:line="360" w:lineRule="auto"/>
        <w:ind w:firstLine="480"/>
        <w:rPr>
          <w:rFonts w:hint="eastAsia" w:ascii="宋体" w:hAnsi="宋体" w:cs="宋体"/>
          <w:sz w:val="24"/>
        </w:rPr>
      </w:pPr>
      <w:r>
        <w:rPr>
          <w:rFonts w:hint="eastAsia" w:ascii="宋体" w:hAnsi="宋体" w:cs="宋体"/>
          <w:sz w:val="24"/>
        </w:rPr>
        <w:t>通过故障预判，提前对设备进行维修保养，提前消除设备缺陷、防范设备事故、延长设备寿命，降低设备维修保养成本。</w:t>
      </w:r>
    </w:p>
    <w:p w14:paraId="149B3BA4">
      <w:pPr>
        <w:spacing w:line="360" w:lineRule="auto"/>
        <w:ind w:firstLine="480"/>
        <w:rPr>
          <w:rFonts w:hint="eastAsia" w:ascii="宋体" w:hAnsi="宋体" w:cs="宋体"/>
          <w:sz w:val="24"/>
        </w:rPr>
      </w:pPr>
      <w:r>
        <w:rPr>
          <w:rFonts w:hint="eastAsia" w:ascii="宋体" w:hAnsi="宋体" w:cs="宋体"/>
          <w:sz w:val="24"/>
        </w:rPr>
        <w:t>4.用能咨询</w:t>
      </w:r>
    </w:p>
    <w:p w14:paraId="224BB262">
      <w:pPr>
        <w:spacing w:line="360" w:lineRule="auto"/>
        <w:ind w:firstLine="480"/>
        <w:rPr>
          <w:rFonts w:hint="eastAsia" w:ascii="宋体" w:hAnsi="宋体" w:cs="宋体"/>
          <w:sz w:val="24"/>
        </w:rPr>
      </w:pPr>
      <w:r>
        <w:rPr>
          <w:rFonts w:hint="eastAsia" w:ascii="宋体" w:hAnsi="宋体" w:cs="宋体"/>
          <w:sz w:val="24"/>
        </w:rPr>
        <w:t>对国家发布的相关政策进行分析与解读，提出合理的用能规划、管理规划、模式规划，持续提升能源系统理念、技术、管理的优越性；与此同时，侧重需求侧的用能分析，开展访谈工作，搜集相关历史用能信息，同时考虑沛县第二批试点公共机构自身条件，依托服务商不断引进的新型节能和电能替代技术，对终端的用能能效水平提出合理化指导意见。</w:t>
      </w:r>
    </w:p>
    <w:p w14:paraId="4D072F18">
      <w:pPr>
        <w:spacing w:line="360" w:lineRule="auto"/>
        <w:ind w:firstLine="480"/>
        <w:rPr>
          <w:rFonts w:hint="eastAsia" w:ascii="宋体" w:hAnsi="宋体" w:cs="宋体"/>
          <w:sz w:val="24"/>
        </w:rPr>
      </w:pPr>
      <w:r>
        <w:rPr>
          <w:rFonts w:hint="eastAsia" w:ascii="宋体" w:hAnsi="宋体" w:cs="宋体"/>
          <w:sz w:val="24"/>
        </w:rPr>
        <w:t>5.搭建交流平台</w:t>
      </w:r>
    </w:p>
    <w:p w14:paraId="27A68F3A">
      <w:pPr>
        <w:spacing w:line="360" w:lineRule="auto"/>
        <w:ind w:firstLine="480"/>
        <w:rPr>
          <w:rFonts w:hint="eastAsia" w:ascii="宋体" w:hAnsi="宋体"/>
          <w:bCs/>
          <w:sz w:val="24"/>
        </w:rPr>
      </w:pPr>
      <w:r>
        <w:rPr>
          <w:rFonts w:hint="eastAsia" w:ascii="宋体" w:hAnsi="宋体" w:cs="宋体"/>
          <w:sz w:val="24"/>
        </w:rPr>
        <w:t>引进国内外大型机关或公共建筑群先进的节能管理理念、节能经验、节能技术，不断优化提升采购人能源系统的节能效益，奠定采购人在国内政府机关绿色节能综合应用方面的领先地位。</w:t>
      </w:r>
    </w:p>
    <w:p w14:paraId="35A37A5D">
      <w:pPr>
        <w:pStyle w:val="32"/>
        <w:spacing w:before="120" w:after="120"/>
        <w:jc w:val="center"/>
        <w:rPr>
          <w:rFonts w:hint="eastAsia" w:hAnsi="宋体"/>
          <w:bCs/>
          <w:color w:val="auto"/>
        </w:rPr>
      </w:pPr>
    </w:p>
    <w:p w14:paraId="6A5A590B">
      <w:pPr>
        <w:pStyle w:val="32"/>
        <w:spacing w:before="120" w:after="120"/>
        <w:jc w:val="center"/>
        <w:rPr>
          <w:rFonts w:hint="eastAsia" w:hAnsi="宋体"/>
          <w:color w:val="auto"/>
        </w:rPr>
      </w:pPr>
      <w:r>
        <w:rPr>
          <w:rFonts w:hint="eastAsia" w:hAnsi="宋体"/>
          <w:bCs/>
          <w:color w:val="auto"/>
        </w:rPr>
        <w:t>项目服务内容明细表</w:t>
      </w:r>
    </w:p>
    <w:tbl>
      <w:tblPr>
        <w:tblStyle w:val="14"/>
        <w:tblW w:w="8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454"/>
        <w:gridCol w:w="5721"/>
      </w:tblGrid>
      <w:tr w14:paraId="6E54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14:paraId="2716F98D">
            <w:pPr>
              <w:jc w:val="center"/>
              <w:rPr>
                <w:rFonts w:hint="eastAsia" w:ascii="宋体" w:hAnsi="宋体"/>
                <w:b/>
                <w:szCs w:val="21"/>
              </w:rPr>
            </w:pPr>
            <w:r>
              <w:rPr>
                <w:rFonts w:hint="eastAsia" w:ascii="宋体" w:hAnsi="宋体"/>
                <w:b/>
                <w:szCs w:val="21"/>
              </w:rPr>
              <w:t>类别</w:t>
            </w:r>
          </w:p>
        </w:tc>
        <w:tc>
          <w:tcPr>
            <w:tcW w:w="7175" w:type="dxa"/>
            <w:gridSpan w:val="2"/>
            <w:vAlign w:val="center"/>
          </w:tcPr>
          <w:p w14:paraId="3770680C">
            <w:pPr>
              <w:jc w:val="center"/>
              <w:rPr>
                <w:rFonts w:hint="eastAsia" w:ascii="宋体" w:hAnsi="宋体"/>
                <w:b/>
                <w:szCs w:val="21"/>
              </w:rPr>
            </w:pPr>
            <w:r>
              <w:rPr>
                <w:rFonts w:hint="eastAsia" w:ascii="宋体" w:hAnsi="宋体"/>
                <w:b/>
                <w:szCs w:val="21"/>
              </w:rPr>
              <w:t>服务内容</w:t>
            </w:r>
          </w:p>
        </w:tc>
      </w:tr>
      <w:tr w14:paraId="176E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Merge w:val="restart"/>
            <w:vAlign w:val="center"/>
          </w:tcPr>
          <w:p w14:paraId="345A1723">
            <w:pPr>
              <w:jc w:val="center"/>
              <w:rPr>
                <w:rFonts w:hint="eastAsia" w:ascii="宋体" w:hAnsi="宋体"/>
                <w:szCs w:val="21"/>
              </w:rPr>
            </w:pPr>
            <w:r>
              <w:rPr>
                <w:rFonts w:hint="eastAsia" w:ascii="宋体" w:hAnsi="宋体" w:cs="宋体"/>
                <w:bCs/>
                <w:szCs w:val="21"/>
              </w:rPr>
              <w:t>沛县</w:t>
            </w:r>
            <w:r>
              <w:rPr>
                <w:rFonts w:hint="eastAsia" w:ascii="宋体" w:hAnsi="宋体" w:cs="宋体"/>
                <w:sz w:val="24"/>
              </w:rPr>
              <w:t>第二批试点公共机构</w:t>
            </w:r>
            <w:r>
              <w:rPr>
                <w:rFonts w:hint="eastAsia" w:ascii="宋体" w:hAnsi="宋体"/>
                <w:szCs w:val="21"/>
              </w:rPr>
              <w:t>能源托管</w:t>
            </w:r>
          </w:p>
        </w:tc>
        <w:tc>
          <w:tcPr>
            <w:tcW w:w="1454" w:type="dxa"/>
            <w:vMerge w:val="restart"/>
            <w:vAlign w:val="center"/>
          </w:tcPr>
          <w:p w14:paraId="7F36665D">
            <w:pPr>
              <w:jc w:val="center"/>
              <w:rPr>
                <w:rFonts w:hint="eastAsia" w:ascii="宋体" w:hAnsi="宋体"/>
                <w:szCs w:val="21"/>
              </w:rPr>
            </w:pPr>
            <w:r>
              <w:rPr>
                <w:rFonts w:hint="eastAsia" w:ascii="宋体" w:hAnsi="宋体"/>
                <w:szCs w:val="21"/>
              </w:rPr>
              <w:t>基本服务</w:t>
            </w:r>
          </w:p>
        </w:tc>
        <w:tc>
          <w:tcPr>
            <w:tcW w:w="5721" w:type="dxa"/>
            <w:vAlign w:val="center"/>
          </w:tcPr>
          <w:p w14:paraId="6501F704">
            <w:pPr>
              <w:rPr>
                <w:rFonts w:hint="eastAsia" w:ascii="宋体" w:hAnsi="宋体"/>
                <w:szCs w:val="21"/>
              </w:rPr>
            </w:pPr>
            <w:r>
              <w:rPr>
                <w:rFonts w:hint="eastAsia" w:ascii="宋体" w:hAnsi="宋体"/>
                <w:szCs w:val="21"/>
              </w:rPr>
              <w:t>冷、电、自来水的供应</w:t>
            </w:r>
          </w:p>
        </w:tc>
      </w:tr>
      <w:tr w14:paraId="75CE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Merge w:val="continue"/>
            <w:vAlign w:val="center"/>
          </w:tcPr>
          <w:p w14:paraId="7E1D096D">
            <w:pPr>
              <w:rPr>
                <w:rFonts w:hint="eastAsia" w:ascii="宋体" w:hAnsi="宋体"/>
                <w:szCs w:val="21"/>
              </w:rPr>
            </w:pPr>
          </w:p>
        </w:tc>
        <w:tc>
          <w:tcPr>
            <w:tcW w:w="1454" w:type="dxa"/>
            <w:vMerge w:val="continue"/>
            <w:vAlign w:val="center"/>
          </w:tcPr>
          <w:p w14:paraId="3AFF8A77">
            <w:pPr>
              <w:rPr>
                <w:rFonts w:hint="eastAsia" w:ascii="宋体" w:hAnsi="宋体"/>
                <w:szCs w:val="21"/>
              </w:rPr>
            </w:pPr>
          </w:p>
        </w:tc>
        <w:tc>
          <w:tcPr>
            <w:tcW w:w="5721" w:type="dxa"/>
            <w:vAlign w:val="center"/>
          </w:tcPr>
          <w:p w14:paraId="786FD869">
            <w:pPr>
              <w:rPr>
                <w:rFonts w:hint="eastAsia" w:ascii="宋体" w:hAnsi="宋体"/>
                <w:szCs w:val="21"/>
              </w:rPr>
            </w:pPr>
            <w:r>
              <w:rPr>
                <w:rFonts w:hint="eastAsia" w:ascii="宋体" w:hAnsi="宋体"/>
                <w:szCs w:val="21"/>
              </w:rPr>
              <w:t>能源网软、硬件设施的安全、可靠运行技术支持</w:t>
            </w:r>
          </w:p>
        </w:tc>
      </w:tr>
      <w:tr w14:paraId="4C11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Merge w:val="continue"/>
            <w:vAlign w:val="center"/>
          </w:tcPr>
          <w:p w14:paraId="005C874C">
            <w:pPr>
              <w:rPr>
                <w:rFonts w:hint="eastAsia" w:ascii="宋体" w:hAnsi="宋体"/>
                <w:szCs w:val="21"/>
              </w:rPr>
            </w:pPr>
          </w:p>
        </w:tc>
        <w:tc>
          <w:tcPr>
            <w:tcW w:w="1454" w:type="dxa"/>
            <w:vMerge w:val="continue"/>
            <w:vAlign w:val="center"/>
          </w:tcPr>
          <w:p w14:paraId="78BF14E5">
            <w:pPr>
              <w:rPr>
                <w:rFonts w:hint="eastAsia" w:ascii="宋体" w:hAnsi="宋体"/>
                <w:szCs w:val="21"/>
              </w:rPr>
            </w:pPr>
          </w:p>
        </w:tc>
        <w:tc>
          <w:tcPr>
            <w:tcW w:w="5721" w:type="dxa"/>
            <w:vAlign w:val="center"/>
          </w:tcPr>
          <w:p w14:paraId="55918E6D">
            <w:pPr>
              <w:rPr>
                <w:rFonts w:hint="eastAsia" w:ascii="宋体" w:hAnsi="宋体"/>
                <w:szCs w:val="21"/>
              </w:rPr>
            </w:pPr>
            <w:r>
              <w:rPr>
                <w:rFonts w:hint="eastAsia" w:ascii="宋体" w:hAnsi="宋体"/>
                <w:szCs w:val="21"/>
              </w:rPr>
              <w:t>能源网系统和设备进行换季维护保养指导</w:t>
            </w:r>
          </w:p>
        </w:tc>
      </w:tr>
      <w:tr w14:paraId="59FA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Merge w:val="continue"/>
            <w:vAlign w:val="center"/>
          </w:tcPr>
          <w:p w14:paraId="625CD983">
            <w:pPr>
              <w:rPr>
                <w:rFonts w:hint="eastAsia" w:ascii="宋体" w:hAnsi="宋体"/>
                <w:szCs w:val="21"/>
              </w:rPr>
            </w:pPr>
          </w:p>
        </w:tc>
        <w:tc>
          <w:tcPr>
            <w:tcW w:w="1454" w:type="dxa"/>
            <w:vMerge w:val="continue"/>
            <w:vAlign w:val="center"/>
          </w:tcPr>
          <w:p w14:paraId="1F1156BA">
            <w:pPr>
              <w:rPr>
                <w:rFonts w:hint="eastAsia" w:ascii="宋体" w:hAnsi="宋体"/>
                <w:szCs w:val="21"/>
              </w:rPr>
            </w:pPr>
          </w:p>
        </w:tc>
        <w:tc>
          <w:tcPr>
            <w:tcW w:w="5721" w:type="dxa"/>
            <w:vAlign w:val="center"/>
          </w:tcPr>
          <w:p w14:paraId="7738D2C4">
            <w:pPr>
              <w:rPr>
                <w:rFonts w:hint="eastAsia" w:ascii="宋体" w:hAnsi="宋体"/>
                <w:szCs w:val="21"/>
              </w:rPr>
            </w:pPr>
            <w:r>
              <w:rPr>
                <w:rFonts w:hint="eastAsia" w:ascii="宋体" w:hAnsi="宋体"/>
                <w:szCs w:val="21"/>
              </w:rPr>
              <w:t>统计报表</w:t>
            </w:r>
          </w:p>
        </w:tc>
      </w:tr>
      <w:tr w14:paraId="1D1E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Merge w:val="continue"/>
            <w:vAlign w:val="center"/>
          </w:tcPr>
          <w:p w14:paraId="000E0EDC">
            <w:pPr>
              <w:rPr>
                <w:rFonts w:hint="eastAsia" w:ascii="宋体" w:hAnsi="宋体"/>
                <w:szCs w:val="21"/>
              </w:rPr>
            </w:pPr>
          </w:p>
        </w:tc>
        <w:tc>
          <w:tcPr>
            <w:tcW w:w="1454" w:type="dxa"/>
            <w:vMerge w:val="restart"/>
            <w:vAlign w:val="center"/>
          </w:tcPr>
          <w:p w14:paraId="365CC55F">
            <w:pPr>
              <w:jc w:val="center"/>
              <w:rPr>
                <w:rFonts w:hint="eastAsia" w:ascii="宋体" w:hAnsi="宋体"/>
                <w:szCs w:val="21"/>
              </w:rPr>
            </w:pPr>
            <w:r>
              <w:rPr>
                <w:rFonts w:hint="eastAsia" w:ascii="宋体" w:hAnsi="宋体"/>
                <w:szCs w:val="21"/>
              </w:rPr>
              <w:t>增值服务</w:t>
            </w:r>
          </w:p>
        </w:tc>
        <w:tc>
          <w:tcPr>
            <w:tcW w:w="5721" w:type="dxa"/>
            <w:vAlign w:val="center"/>
          </w:tcPr>
          <w:p w14:paraId="200C90E0">
            <w:pPr>
              <w:rPr>
                <w:rFonts w:hint="eastAsia" w:ascii="宋体" w:hAnsi="宋体"/>
                <w:szCs w:val="21"/>
              </w:rPr>
            </w:pPr>
            <w:r>
              <w:rPr>
                <w:rFonts w:hint="eastAsia" w:ascii="宋体" w:hAnsi="宋体"/>
                <w:szCs w:val="21"/>
              </w:rPr>
              <w:t>一体化解决方案</w:t>
            </w:r>
          </w:p>
        </w:tc>
      </w:tr>
      <w:tr w14:paraId="4BA7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Merge w:val="continue"/>
            <w:vAlign w:val="center"/>
          </w:tcPr>
          <w:p w14:paraId="3CFE75CD">
            <w:pPr>
              <w:rPr>
                <w:rFonts w:hint="eastAsia" w:ascii="宋体" w:hAnsi="宋体"/>
                <w:szCs w:val="21"/>
              </w:rPr>
            </w:pPr>
          </w:p>
        </w:tc>
        <w:tc>
          <w:tcPr>
            <w:tcW w:w="1454" w:type="dxa"/>
            <w:vMerge w:val="continue"/>
            <w:vAlign w:val="center"/>
          </w:tcPr>
          <w:p w14:paraId="08FA1BA2">
            <w:pPr>
              <w:rPr>
                <w:rFonts w:hint="eastAsia" w:ascii="宋体" w:hAnsi="宋体"/>
                <w:szCs w:val="21"/>
              </w:rPr>
            </w:pPr>
          </w:p>
        </w:tc>
        <w:tc>
          <w:tcPr>
            <w:tcW w:w="5721" w:type="dxa"/>
            <w:vAlign w:val="center"/>
          </w:tcPr>
          <w:p w14:paraId="7E02C760">
            <w:pPr>
              <w:rPr>
                <w:rFonts w:hint="eastAsia" w:ascii="宋体" w:hAnsi="宋体"/>
                <w:szCs w:val="21"/>
              </w:rPr>
            </w:pPr>
            <w:r>
              <w:rPr>
                <w:rFonts w:hint="eastAsia" w:ascii="宋体" w:hAnsi="宋体"/>
                <w:szCs w:val="21"/>
              </w:rPr>
              <w:t>个性化服务</w:t>
            </w:r>
          </w:p>
        </w:tc>
      </w:tr>
      <w:tr w14:paraId="6284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Merge w:val="continue"/>
            <w:vAlign w:val="center"/>
          </w:tcPr>
          <w:p w14:paraId="7B2CE2AB">
            <w:pPr>
              <w:rPr>
                <w:rFonts w:hint="eastAsia" w:ascii="宋体" w:hAnsi="宋体"/>
                <w:szCs w:val="21"/>
              </w:rPr>
            </w:pPr>
          </w:p>
        </w:tc>
        <w:tc>
          <w:tcPr>
            <w:tcW w:w="1454" w:type="dxa"/>
            <w:vMerge w:val="continue"/>
            <w:vAlign w:val="center"/>
          </w:tcPr>
          <w:p w14:paraId="0400A4F9">
            <w:pPr>
              <w:rPr>
                <w:rFonts w:hint="eastAsia" w:ascii="宋体" w:hAnsi="宋体"/>
                <w:szCs w:val="21"/>
              </w:rPr>
            </w:pPr>
          </w:p>
        </w:tc>
        <w:tc>
          <w:tcPr>
            <w:tcW w:w="5721" w:type="dxa"/>
            <w:vAlign w:val="center"/>
          </w:tcPr>
          <w:p w14:paraId="27C598D5">
            <w:pPr>
              <w:rPr>
                <w:rFonts w:hint="eastAsia" w:ascii="宋体" w:hAnsi="宋体"/>
                <w:szCs w:val="21"/>
              </w:rPr>
            </w:pPr>
            <w:r>
              <w:rPr>
                <w:rFonts w:hint="eastAsia" w:ascii="宋体" w:hAnsi="宋体"/>
                <w:szCs w:val="21"/>
              </w:rPr>
              <w:t>设备资产可靠性分析</w:t>
            </w:r>
          </w:p>
        </w:tc>
      </w:tr>
      <w:tr w14:paraId="231A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Merge w:val="continue"/>
            <w:vAlign w:val="center"/>
          </w:tcPr>
          <w:p w14:paraId="22C24137">
            <w:pPr>
              <w:rPr>
                <w:rFonts w:hint="eastAsia" w:ascii="宋体" w:hAnsi="宋体"/>
                <w:szCs w:val="21"/>
              </w:rPr>
            </w:pPr>
          </w:p>
        </w:tc>
        <w:tc>
          <w:tcPr>
            <w:tcW w:w="1454" w:type="dxa"/>
            <w:vMerge w:val="continue"/>
            <w:vAlign w:val="center"/>
          </w:tcPr>
          <w:p w14:paraId="114CADB4">
            <w:pPr>
              <w:rPr>
                <w:rFonts w:hint="eastAsia" w:ascii="宋体" w:hAnsi="宋体"/>
                <w:szCs w:val="21"/>
              </w:rPr>
            </w:pPr>
          </w:p>
        </w:tc>
        <w:tc>
          <w:tcPr>
            <w:tcW w:w="5721" w:type="dxa"/>
            <w:vAlign w:val="center"/>
          </w:tcPr>
          <w:p w14:paraId="45B09A3F">
            <w:pPr>
              <w:rPr>
                <w:rFonts w:hint="eastAsia" w:ascii="宋体" w:hAnsi="宋体"/>
                <w:szCs w:val="21"/>
              </w:rPr>
            </w:pPr>
            <w:r>
              <w:rPr>
                <w:rFonts w:hint="eastAsia" w:ascii="宋体" w:hAnsi="宋体"/>
                <w:szCs w:val="21"/>
              </w:rPr>
              <w:t>用能咨询</w:t>
            </w:r>
          </w:p>
        </w:tc>
      </w:tr>
      <w:tr w14:paraId="4BA2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Merge w:val="continue"/>
            <w:vAlign w:val="center"/>
          </w:tcPr>
          <w:p w14:paraId="41B51070">
            <w:pPr>
              <w:rPr>
                <w:rFonts w:hint="eastAsia" w:ascii="宋体" w:hAnsi="宋体"/>
                <w:szCs w:val="21"/>
              </w:rPr>
            </w:pPr>
          </w:p>
        </w:tc>
        <w:tc>
          <w:tcPr>
            <w:tcW w:w="1454" w:type="dxa"/>
            <w:vMerge w:val="continue"/>
            <w:vAlign w:val="center"/>
          </w:tcPr>
          <w:p w14:paraId="5A448016">
            <w:pPr>
              <w:rPr>
                <w:rFonts w:hint="eastAsia" w:ascii="宋体" w:hAnsi="宋体"/>
                <w:szCs w:val="21"/>
              </w:rPr>
            </w:pPr>
          </w:p>
        </w:tc>
        <w:tc>
          <w:tcPr>
            <w:tcW w:w="5721" w:type="dxa"/>
            <w:vAlign w:val="center"/>
          </w:tcPr>
          <w:p w14:paraId="10F2BF4F">
            <w:pPr>
              <w:rPr>
                <w:rFonts w:hint="eastAsia" w:ascii="宋体" w:hAnsi="宋体"/>
                <w:szCs w:val="21"/>
              </w:rPr>
            </w:pPr>
            <w:r>
              <w:rPr>
                <w:rFonts w:hint="eastAsia" w:ascii="宋体" w:hAnsi="宋体"/>
                <w:szCs w:val="21"/>
              </w:rPr>
              <w:t>搭建交流平台</w:t>
            </w:r>
          </w:p>
        </w:tc>
      </w:tr>
    </w:tbl>
    <w:p w14:paraId="6DC5CBC9">
      <w:pPr>
        <w:spacing w:line="360" w:lineRule="auto"/>
        <w:ind w:firstLine="241"/>
        <w:rPr>
          <w:rFonts w:hint="eastAsia" w:ascii="宋体" w:hAnsi="宋体" w:cs="宋体"/>
          <w:b/>
          <w:bCs/>
          <w:sz w:val="24"/>
        </w:rPr>
      </w:pPr>
    </w:p>
    <w:p w14:paraId="2136A4F1">
      <w:pPr>
        <w:spacing w:line="360" w:lineRule="auto"/>
        <w:ind w:firstLine="241"/>
        <w:rPr>
          <w:rFonts w:hint="eastAsia" w:ascii="宋体" w:hAnsi="宋体" w:cs="宋体"/>
          <w:sz w:val="24"/>
        </w:rPr>
      </w:pPr>
      <w:r>
        <w:rPr>
          <w:rFonts w:hint="eastAsia" w:ascii="宋体" w:hAnsi="宋体" w:cs="宋体"/>
          <w:b/>
          <w:bCs/>
          <w:sz w:val="24"/>
        </w:rPr>
        <w:t>四、节能改造内容及技术要求</w:t>
      </w:r>
    </w:p>
    <w:p w14:paraId="7491F2E1">
      <w:pPr>
        <w:spacing w:line="360" w:lineRule="auto"/>
        <w:ind w:firstLine="480"/>
        <w:rPr>
          <w:rFonts w:hint="eastAsia" w:ascii="宋体" w:hAnsi="宋体" w:cs="宋体"/>
          <w:b/>
          <w:bCs/>
          <w:szCs w:val="21"/>
        </w:rPr>
      </w:pPr>
      <w:r>
        <w:rPr>
          <w:rFonts w:hint="eastAsia" w:ascii="宋体" w:hAnsi="宋体" w:cs="宋体"/>
          <w:sz w:val="24"/>
        </w:rPr>
        <w:t>（一）改造内容</w:t>
      </w:r>
    </w:p>
    <w:p w14:paraId="7CAB41AA">
      <w:pPr>
        <w:pStyle w:val="10"/>
      </w:pPr>
      <w:r>
        <w:rPr>
          <w:rFonts w:hint="eastAsia"/>
        </w:rPr>
        <w:t>1、文化中心</w:t>
      </w:r>
    </w:p>
    <w:p w14:paraId="2A5A7487">
      <w:pPr>
        <w:pStyle w:val="10"/>
      </w:pPr>
    </w:p>
    <w:tbl>
      <w:tblPr>
        <w:tblStyle w:val="14"/>
        <w:tblW w:w="0" w:type="auto"/>
        <w:jc w:val="center"/>
        <w:tblLayout w:type="autofit"/>
        <w:tblCellMar>
          <w:top w:w="0" w:type="dxa"/>
          <w:left w:w="108" w:type="dxa"/>
          <w:bottom w:w="0" w:type="dxa"/>
          <w:right w:w="108" w:type="dxa"/>
        </w:tblCellMar>
      </w:tblPr>
      <w:tblGrid>
        <w:gridCol w:w="698"/>
        <w:gridCol w:w="1610"/>
        <w:gridCol w:w="4975"/>
      </w:tblGrid>
      <w:tr w14:paraId="03B122EF">
        <w:tblPrEx>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3FBD352">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610" w:type="dxa"/>
            <w:tcBorders>
              <w:top w:val="single" w:color="auto" w:sz="4" w:space="0"/>
              <w:left w:val="nil"/>
              <w:bottom w:val="single" w:color="auto" w:sz="4" w:space="0"/>
              <w:right w:val="single" w:color="auto" w:sz="4" w:space="0"/>
            </w:tcBorders>
            <w:vAlign w:val="center"/>
          </w:tcPr>
          <w:p w14:paraId="2EE6B700">
            <w:pPr>
              <w:jc w:val="center"/>
              <w:rPr>
                <w:rFonts w:hint="eastAsia" w:ascii="宋体" w:hAnsi="宋体" w:eastAsia="宋体" w:cs="宋体"/>
                <w:b/>
                <w:bCs/>
                <w:sz w:val="24"/>
                <w:szCs w:val="24"/>
              </w:rPr>
            </w:pPr>
            <w:r>
              <w:rPr>
                <w:rFonts w:hint="eastAsia" w:ascii="宋体" w:hAnsi="宋体" w:eastAsia="宋体" w:cs="宋体"/>
                <w:b/>
                <w:bCs/>
                <w:sz w:val="24"/>
                <w:szCs w:val="24"/>
              </w:rPr>
              <w:t>节能技术改造</w:t>
            </w:r>
          </w:p>
        </w:tc>
        <w:tc>
          <w:tcPr>
            <w:tcW w:w="4975" w:type="dxa"/>
            <w:tcBorders>
              <w:top w:val="single" w:color="auto" w:sz="4" w:space="0"/>
              <w:left w:val="nil"/>
              <w:bottom w:val="single" w:color="auto" w:sz="4" w:space="0"/>
              <w:right w:val="single" w:color="auto" w:sz="4" w:space="0"/>
            </w:tcBorders>
            <w:vAlign w:val="center"/>
          </w:tcPr>
          <w:p w14:paraId="6407360B">
            <w:pPr>
              <w:jc w:val="center"/>
              <w:rPr>
                <w:rFonts w:hint="eastAsia" w:ascii="宋体" w:hAnsi="宋体" w:eastAsia="宋体" w:cs="宋体"/>
                <w:b/>
                <w:bCs/>
                <w:sz w:val="24"/>
                <w:szCs w:val="24"/>
              </w:rPr>
            </w:pPr>
            <w:r>
              <w:rPr>
                <w:rFonts w:hint="eastAsia" w:ascii="宋体" w:hAnsi="宋体" w:eastAsia="宋体" w:cs="宋体"/>
                <w:b/>
                <w:bCs/>
                <w:sz w:val="24"/>
                <w:szCs w:val="24"/>
              </w:rPr>
              <w:t>实施内容</w:t>
            </w:r>
          </w:p>
        </w:tc>
      </w:tr>
      <w:tr w14:paraId="5F67F980">
        <w:tblPrEx>
          <w:tblCellMar>
            <w:top w:w="0" w:type="dxa"/>
            <w:left w:w="108" w:type="dxa"/>
            <w:bottom w:w="0" w:type="dxa"/>
            <w:right w:w="108" w:type="dxa"/>
          </w:tblCellMar>
        </w:tblPrEx>
        <w:trPr>
          <w:trHeight w:val="510" w:hRule="atLeast"/>
          <w:jc w:val="center"/>
        </w:trPr>
        <w:tc>
          <w:tcPr>
            <w:tcW w:w="0" w:type="auto"/>
            <w:tcBorders>
              <w:top w:val="nil"/>
              <w:left w:val="single" w:color="auto" w:sz="4" w:space="0"/>
              <w:bottom w:val="single" w:color="auto" w:sz="4" w:space="0"/>
              <w:right w:val="single" w:color="auto" w:sz="4" w:space="0"/>
            </w:tcBorders>
            <w:vAlign w:val="center"/>
          </w:tcPr>
          <w:p w14:paraId="3D95E39F">
            <w:pPr>
              <w:jc w:val="center"/>
              <w:rPr>
                <w:rFonts w:hint="eastAsia" w:ascii="宋体" w:hAnsi="宋体" w:eastAsia="宋体" w:cs="宋体"/>
                <w:sz w:val="24"/>
                <w:szCs w:val="24"/>
              </w:rPr>
            </w:pPr>
            <w:r>
              <w:rPr>
                <w:rFonts w:hint="eastAsia" w:ascii="宋体" w:hAnsi="宋体" w:eastAsia="宋体" w:cs="宋体"/>
                <w:sz w:val="24"/>
                <w:szCs w:val="24"/>
              </w:rPr>
              <w:t>1</w:t>
            </w:r>
          </w:p>
        </w:tc>
        <w:tc>
          <w:tcPr>
            <w:tcW w:w="1610" w:type="dxa"/>
            <w:tcBorders>
              <w:top w:val="nil"/>
              <w:left w:val="nil"/>
              <w:bottom w:val="single" w:color="auto" w:sz="4" w:space="0"/>
              <w:right w:val="single" w:color="auto" w:sz="4" w:space="0"/>
            </w:tcBorders>
            <w:vAlign w:val="center"/>
          </w:tcPr>
          <w:p w14:paraId="3A4A1877">
            <w:pPr>
              <w:jc w:val="center"/>
              <w:rPr>
                <w:rFonts w:hint="eastAsia" w:ascii="宋体" w:hAnsi="宋体" w:eastAsia="宋体" w:cs="宋体"/>
                <w:sz w:val="24"/>
                <w:szCs w:val="24"/>
              </w:rPr>
            </w:pPr>
            <w:r>
              <w:rPr>
                <w:rFonts w:hint="eastAsia" w:ascii="宋体" w:hAnsi="宋体" w:eastAsia="宋体" w:cs="宋体"/>
                <w:sz w:val="24"/>
                <w:szCs w:val="24"/>
              </w:rPr>
              <w:t>智慧建筑综合能效管控平台</w:t>
            </w:r>
          </w:p>
        </w:tc>
        <w:tc>
          <w:tcPr>
            <w:tcW w:w="4975" w:type="dxa"/>
            <w:tcBorders>
              <w:top w:val="nil"/>
              <w:left w:val="nil"/>
              <w:bottom w:val="single" w:color="auto" w:sz="4" w:space="0"/>
              <w:right w:val="single" w:color="auto" w:sz="4" w:space="0"/>
            </w:tcBorders>
            <w:vAlign w:val="center"/>
          </w:tcPr>
          <w:p w14:paraId="47994E91">
            <w:pPr>
              <w:jc w:val="center"/>
              <w:rPr>
                <w:rFonts w:hint="eastAsia" w:ascii="宋体" w:hAnsi="宋体" w:eastAsia="宋体" w:cs="宋体"/>
                <w:sz w:val="24"/>
                <w:szCs w:val="24"/>
              </w:rPr>
            </w:pPr>
            <w:r>
              <w:rPr>
                <w:rFonts w:hint="eastAsia" w:ascii="宋体" w:hAnsi="宋体" w:eastAsia="宋体" w:cs="宋体"/>
                <w:sz w:val="24"/>
                <w:szCs w:val="24"/>
              </w:rPr>
              <w:t>新建物联网平台，电能计量管理系统、给水管网监测系统、中央空调群控系统、空调末端管控系统等一系列软件部署调试，增加智能通讯网关、智能远传电表、智能远传水表、智能温控器及热水时控器等硬件设备。</w:t>
            </w:r>
          </w:p>
        </w:tc>
      </w:tr>
      <w:tr w14:paraId="73AE2242">
        <w:tblPrEx>
          <w:tblCellMar>
            <w:top w:w="0" w:type="dxa"/>
            <w:left w:w="108" w:type="dxa"/>
            <w:bottom w:w="0" w:type="dxa"/>
            <w:right w:w="108" w:type="dxa"/>
          </w:tblCellMar>
        </w:tblPrEx>
        <w:trPr>
          <w:trHeight w:val="525" w:hRule="atLeast"/>
          <w:jc w:val="center"/>
        </w:trPr>
        <w:tc>
          <w:tcPr>
            <w:tcW w:w="0" w:type="auto"/>
            <w:tcBorders>
              <w:top w:val="nil"/>
              <w:left w:val="single" w:color="auto" w:sz="4" w:space="0"/>
              <w:bottom w:val="single" w:color="auto" w:sz="4" w:space="0"/>
              <w:right w:val="single" w:color="auto" w:sz="4" w:space="0"/>
            </w:tcBorders>
            <w:vAlign w:val="center"/>
          </w:tcPr>
          <w:p w14:paraId="32DB81C3">
            <w:pPr>
              <w:jc w:val="center"/>
              <w:rPr>
                <w:rFonts w:hint="eastAsia" w:ascii="宋体" w:hAnsi="宋体" w:eastAsia="宋体" w:cs="宋体"/>
                <w:sz w:val="24"/>
                <w:szCs w:val="24"/>
              </w:rPr>
            </w:pPr>
            <w:r>
              <w:rPr>
                <w:rFonts w:hint="eastAsia" w:ascii="宋体" w:hAnsi="宋体" w:eastAsia="宋体" w:cs="宋体"/>
                <w:sz w:val="24"/>
                <w:szCs w:val="24"/>
              </w:rPr>
              <w:t>2</w:t>
            </w:r>
          </w:p>
        </w:tc>
        <w:tc>
          <w:tcPr>
            <w:tcW w:w="1610" w:type="dxa"/>
            <w:tcBorders>
              <w:top w:val="nil"/>
              <w:left w:val="nil"/>
              <w:bottom w:val="single" w:color="auto" w:sz="4" w:space="0"/>
              <w:right w:val="single" w:color="auto" w:sz="4" w:space="0"/>
            </w:tcBorders>
            <w:vAlign w:val="center"/>
          </w:tcPr>
          <w:p w14:paraId="2A0DDCA6">
            <w:pPr>
              <w:jc w:val="center"/>
              <w:rPr>
                <w:rFonts w:hint="eastAsia" w:ascii="宋体" w:hAnsi="宋体" w:eastAsia="宋体" w:cs="宋体"/>
                <w:sz w:val="24"/>
                <w:szCs w:val="24"/>
              </w:rPr>
            </w:pPr>
            <w:r>
              <w:rPr>
                <w:rFonts w:hint="eastAsia" w:ascii="宋体" w:hAnsi="宋体" w:eastAsia="宋体" w:cs="宋体"/>
                <w:sz w:val="24"/>
                <w:szCs w:val="24"/>
              </w:rPr>
              <w:t>计量监测改造</w:t>
            </w:r>
          </w:p>
        </w:tc>
        <w:tc>
          <w:tcPr>
            <w:tcW w:w="4975" w:type="dxa"/>
            <w:tcBorders>
              <w:top w:val="nil"/>
              <w:left w:val="nil"/>
              <w:bottom w:val="single" w:color="auto" w:sz="4" w:space="0"/>
              <w:right w:val="single" w:color="auto" w:sz="4" w:space="0"/>
            </w:tcBorders>
          </w:tcPr>
          <w:p w14:paraId="70D698BB">
            <w:pPr>
              <w:jc w:val="center"/>
              <w:rPr>
                <w:rFonts w:hint="eastAsia" w:ascii="宋体" w:hAnsi="宋体" w:eastAsia="宋体" w:cs="宋体"/>
                <w:sz w:val="24"/>
                <w:szCs w:val="24"/>
              </w:rPr>
            </w:pPr>
            <w:r>
              <w:rPr>
                <w:rFonts w:hint="eastAsia" w:ascii="宋体" w:hAnsi="宋体" w:eastAsia="宋体" w:cs="宋体"/>
                <w:sz w:val="24"/>
                <w:szCs w:val="24"/>
              </w:rPr>
              <w:t>增加4台智能通讯网关、新增12块智能远传电表</w:t>
            </w:r>
          </w:p>
        </w:tc>
      </w:tr>
      <w:tr w14:paraId="1A51C2F9">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vAlign w:val="center"/>
          </w:tcPr>
          <w:p w14:paraId="7A654691">
            <w:pPr>
              <w:jc w:val="center"/>
              <w:rPr>
                <w:rFonts w:hint="eastAsia" w:ascii="宋体" w:hAnsi="宋体" w:eastAsia="宋体" w:cs="宋体"/>
                <w:sz w:val="24"/>
                <w:szCs w:val="24"/>
              </w:rPr>
            </w:pPr>
            <w:r>
              <w:rPr>
                <w:rFonts w:hint="eastAsia" w:ascii="宋体" w:hAnsi="宋体" w:eastAsia="宋体" w:cs="宋体"/>
                <w:sz w:val="24"/>
                <w:szCs w:val="24"/>
              </w:rPr>
              <w:t>3</w:t>
            </w:r>
          </w:p>
        </w:tc>
        <w:tc>
          <w:tcPr>
            <w:tcW w:w="1610" w:type="dxa"/>
            <w:tcBorders>
              <w:top w:val="nil"/>
              <w:left w:val="nil"/>
              <w:bottom w:val="single" w:color="auto" w:sz="4" w:space="0"/>
              <w:right w:val="single" w:color="auto" w:sz="4" w:space="0"/>
            </w:tcBorders>
            <w:vAlign w:val="center"/>
          </w:tcPr>
          <w:p w14:paraId="1A512DFA">
            <w:pPr>
              <w:jc w:val="center"/>
              <w:rPr>
                <w:rFonts w:hint="eastAsia" w:ascii="宋体" w:hAnsi="宋体" w:eastAsia="宋体" w:cs="宋体"/>
                <w:sz w:val="24"/>
                <w:szCs w:val="24"/>
              </w:rPr>
            </w:pPr>
            <w:r>
              <w:rPr>
                <w:rFonts w:hint="eastAsia" w:ascii="宋体" w:hAnsi="宋体" w:eastAsia="宋体" w:cs="宋体"/>
                <w:sz w:val="24"/>
                <w:szCs w:val="24"/>
              </w:rPr>
              <w:t>给水管网改造</w:t>
            </w:r>
          </w:p>
        </w:tc>
        <w:tc>
          <w:tcPr>
            <w:tcW w:w="4975" w:type="dxa"/>
            <w:tcBorders>
              <w:top w:val="nil"/>
              <w:left w:val="nil"/>
              <w:bottom w:val="single" w:color="auto" w:sz="4" w:space="0"/>
              <w:right w:val="single" w:color="auto" w:sz="4" w:space="0"/>
            </w:tcBorders>
          </w:tcPr>
          <w:p w14:paraId="375D88B1">
            <w:pPr>
              <w:jc w:val="center"/>
              <w:rPr>
                <w:rFonts w:hint="eastAsia" w:ascii="宋体" w:hAnsi="宋体" w:eastAsia="宋体" w:cs="宋体"/>
                <w:sz w:val="24"/>
                <w:szCs w:val="24"/>
              </w:rPr>
            </w:pPr>
            <w:r>
              <w:rPr>
                <w:rFonts w:hint="eastAsia" w:ascii="宋体" w:hAnsi="宋体" w:eastAsia="宋体" w:cs="宋体"/>
                <w:sz w:val="24"/>
                <w:szCs w:val="24"/>
              </w:rPr>
              <w:t>增加智能远传水表1台</w:t>
            </w:r>
          </w:p>
        </w:tc>
      </w:tr>
      <w:tr w14:paraId="31C523A1">
        <w:tblPrEx>
          <w:tblCellMar>
            <w:top w:w="0" w:type="dxa"/>
            <w:left w:w="108" w:type="dxa"/>
            <w:bottom w:w="0" w:type="dxa"/>
            <w:right w:w="108" w:type="dxa"/>
          </w:tblCellMar>
        </w:tblPrEx>
        <w:trPr>
          <w:trHeight w:val="540" w:hRule="atLeast"/>
          <w:jc w:val="center"/>
        </w:trPr>
        <w:tc>
          <w:tcPr>
            <w:tcW w:w="0" w:type="auto"/>
            <w:tcBorders>
              <w:top w:val="nil"/>
              <w:left w:val="single" w:color="auto" w:sz="4" w:space="0"/>
              <w:bottom w:val="single" w:color="auto" w:sz="4" w:space="0"/>
              <w:right w:val="single" w:color="auto" w:sz="4" w:space="0"/>
            </w:tcBorders>
            <w:vAlign w:val="center"/>
          </w:tcPr>
          <w:p w14:paraId="4DB187AC">
            <w:pPr>
              <w:jc w:val="center"/>
              <w:rPr>
                <w:rFonts w:hint="eastAsia" w:ascii="宋体" w:hAnsi="宋体" w:eastAsia="宋体" w:cs="宋体"/>
                <w:sz w:val="24"/>
                <w:szCs w:val="24"/>
              </w:rPr>
            </w:pPr>
            <w:r>
              <w:rPr>
                <w:rFonts w:hint="eastAsia" w:ascii="宋体" w:hAnsi="宋体" w:eastAsia="宋体" w:cs="宋体"/>
                <w:sz w:val="24"/>
                <w:szCs w:val="24"/>
              </w:rPr>
              <w:t>4</w:t>
            </w:r>
          </w:p>
        </w:tc>
        <w:tc>
          <w:tcPr>
            <w:tcW w:w="1610" w:type="dxa"/>
            <w:tcBorders>
              <w:top w:val="nil"/>
              <w:left w:val="nil"/>
              <w:bottom w:val="single" w:color="auto" w:sz="4" w:space="0"/>
              <w:right w:val="single" w:color="auto" w:sz="4" w:space="0"/>
            </w:tcBorders>
            <w:vAlign w:val="center"/>
          </w:tcPr>
          <w:p w14:paraId="2EAEBAAF">
            <w:pPr>
              <w:jc w:val="center"/>
              <w:rPr>
                <w:rFonts w:hint="eastAsia" w:ascii="宋体" w:hAnsi="宋体" w:eastAsia="宋体" w:cs="宋体"/>
                <w:sz w:val="24"/>
                <w:szCs w:val="24"/>
              </w:rPr>
            </w:pPr>
            <w:r>
              <w:rPr>
                <w:rFonts w:hint="eastAsia" w:ascii="宋体" w:hAnsi="宋体" w:eastAsia="宋体" w:cs="宋体"/>
                <w:sz w:val="24"/>
                <w:szCs w:val="24"/>
              </w:rPr>
              <w:t>冷热源机房</w:t>
            </w:r>
          </w:p>
        </w:tc>
        <w:tc>
          <w:tcPr>
            <w:tcW w:w="4975" w:type="dxa"/>
            <w:tcBorders>
              <w:top w:val="nil"/>
              <w:left w:val="nil"/>
              <w:bottom w:val="single" w:color="auto" w:sz="4" w:space="0"/>
              <w:right w:val="single" w:color="auto" w:sz="4" w:space="0"/>
            </w:tcBorders>
          </w:tcPr>
          <w:p w14:paraId="003CA651">
            <w:pPr>
              <w:jc w:val="center"/>
              <w:rPr>
                <w:rFonts w:hint="eastAsia" w:ascii="宋体" w:hAnsi="宋体" w:eastAsia="宋体" w:cs="宋体"/>
                <w:sz w:val="24"/>
                <w:szCs w:val="24"/>
              </w:rPr>
            </w:pPr>
            <w:r>
              <w:rPr>
                <w:rFonts w:hint="eastAsia" w:ascii="宋体" w:hAnsi="宋体" w:eastAsia="宋体" w:cs="宋体"/>
                <w:sz w:val="24"/>
                <w:szCs w:val="24"/>
              </w:rPr>
              <w:t>文化中心新增2台</w:t>
            </w:r>
            <w:r>
              <w:rPr>
                <w:rFonts w:hint="eastAsia" w:ascii="宋体" w:hAnsi="宋体" w:eastAsia="宋体" w:cs="宋体"/>
                <w:color w:val="000000"/>
                <w:sz w:val="24"/>
                <w:szCs w:val="24"/>
              </w:rPr>
              <w:t>制冷量不低于</w:t>
            </w:r>
            <w:r>
              <w:rPr>
                <w:rFonts w:hint="eastAsia" w:ascii="宋体" w:hAnsi="宋体" w:eastAsia="宋体" w:cs="宋体"/>
                <w:sz w:val="24"/>
                <w:szCs w:val="24"/>
              </w:rPr>
              <w:t>163.2RT（574KW）磁悬浮机组，新增4台制冷量不低于207.6RT（730KW）磁悬浮机组，替换原有的冷水机组</w:t>
            </w:r>
          </w:p>
        </w:tc>
      </w:tr>
      <w:tr w14:paraId="10A17E06">
        <w:tblPrEx>
          <w:tblCellMar>
            <w:top w:w="0" w:type="dxa"/>
            <w:left w:w="108" w:type="dxa"/>
            <w:bottom w:w="0" w:type="dxa"/>
            <w:right w:w="108" w:type="dxa"/>
          </w:tblCellMar>
        </w:tblPrEx>
        <w:trPr>
          <w:trHeight w:val="570" w:hRule="atLeast"/>
          <w:jc w:val="center"/>
        </w:trPr>
        <w:tc>
          <w:tcPr>
            <w:tcW w:w="0" w:type="auto"/>
            <w:tcBorders>
              <w:top w:val="nil"/>
              <w:left w:val="single" w:color="auto" w:sz="4" w:space="0"/>
              <w:bottom w:val="single" w:color="auto" w:sz="4" w:space="0"/>
              <w:right w:val="single" w:color="auto" w:sz="4" w:space="0"/>
            </w:tcBorders>
            <w:vAlign w:val="center"/>
          </w:tcPr>
          <w:p w14:paraId="72F4A5C9">
            <w:pPr>
              <w:jc w:val="center"/>
              <w:rPr>
                <w:rFonts w:hint="eastAsia" w:ascii="宋体" w:hAnsi="宋体" w:eastAsia="宋体" w:cs="宋体"/>
                <w:sz w:val="24"/>
                <w:szCs w:val="24"/>
              </w:rPr>
            </w:pPr>
            <w:r>
              <w:rPr>
                <w:rFonts w:hint="eastAsia" w:ascii="宋体" w:hAnsi="宋体" w:eastAsia="宋体" w:cs="宋体"/>
                <w:sz w:val="24"/>
                <w:szCs w:val="24"/>
              </w:rPr>
              <w:t>5</w:t>
            </w:r>
          </w:p>
        </w:tc>
        <w:tc>
          <w:tcPr>
            <w:tcW w:w="1610" w:type="dxa"/>
            <w:tcBorders>
              <w:top w:val="nil"/>
              <w:left w:val="nil"/>
              <w:bottom w:val="single" w:color="auto" w:sz="4" w:space="0"/>
              <w:right w:val="single" w:color="auto" w:sz="4" w:space="0"/>
            </w:tcBorders>
            <w:vAlign w:val="center"/>
          </w:tcPr>
          <w:p w14:paraId="2E89177E">
            <w:pPr>
              <w:jc w:val="center"/>
              <w:rPr>
                <w:rFonts w:hint="eastAsia" w:ascii="宋体" w:hAnsi="宋体" w:eastAsia="宋体" w:cs="宋体"/>
                <w:sz w:val="24"/>
                <w:szCs w:val="24"/>
              </w:rPr>
            </w:pPr>
            <w:r>
              <w:rPr>
                <w:rFonts w:hint="eastAsia" w:ascii="宋体" w:hAnsi="宋体" w:eastAsia="宋体" w:cs="宋体"/>
                <w:sz w:val="24"/>
                <w:szCs w:val="24"/>
              </w:rPr>
              <w:t>机房群控改造</w:t>
            </w:r>
          </w:p>
        </w:tc>
        <w:tc>
          <w:tcPr>
            <w:tcW w:w="4975" w:type="dxa"/>
            <w:tcBorders>
              <w:top w:val="nil"/>
              <w:left w:val="nil"/>
              <w:bottom w:val="single" w:color="auto" w:sz="4" w:space="0"/>
              <w:right w:val="single" w:color="auto" w:sz="4" w:space="0"/>
            </w:tcBorders>
          </w:tcPr>
          <w:p w14:paraId="5C56FFD5">
            <w:pPr>
              <w:jc w:val="center"/>
              <w:rPr>
                <w:rFonts w:hint="eastAsia" w:ascii="宋体" w:hAnsi="宋体" w:eastAsia="宋体" w:cs="宋体"/>
                <w:sz w:val="24"/>
                <w:szCs w:val="24"/>
              </w:rPr>
            </w:pPr>
            <w:r>
              <w:rPr>
                <w:rFonts w:hint="eastAsia" w:ascii="宋体" w:hAnsi="宋体" w:eastAsia="宋体" w:cs="宋体"/>
                <w:sz w:val="24"/>
                <w:szCs w:val="24"/>
              </w:rPr>
              <w:t>新增3台中央空调协调控制箱，6台主机能效控制箱，6台循环泵控制箱，3套冷却塔控制箱，6套插入式热量表</w:t>
            </w:r>
          </w:p>
        </w:tc>
      </w:tr>
      <w:tr w14:paraId="10DDBCCC">
        <w:tblPrEx>
          <w:tblCellMar>
            <w:top w:w="0" w:type="dxa"/>
            <w:left w:w="108" w:type="dxa"/>
            <w:bottom w:w="0" w:type="dxa"/>
            <w:right w:w="108" w:type="dxa"/>
          </w:tblCellMar>
        </w:tblPrEx>
        <w:trPr>
          <w:trHeight w:val="810" w:hRule="atLeast"/>
          <w:jc w:val="center"/>
        </w:trPr>
        <w:tc>
          <w:tcPr>
            <w:tcW w:w="0" w:type="auto"/>
            <w:tcBorders>
              <w:top w:val="nil"/>
              <w:left w:val="single" w:color="auto" w:sz="4" w:space="0"/>
              <w:bottom w:val="single" w:color="auto" w:sz="4" w:space="0"/>
              <w:right w:val="single" w:color="auto" w:sz="4" w:space="0"/>
            </w:tcBorders>
            <w:vAlign w:val="center"/>
          </w:tcPr>
          <w:p w14:paraId="1E6C7862">
            <w:pPr>
              <w:jc w:val="center"/>
              <w:rPr>
                <w:rFonts w:hint="eastAsia" w:ascii="宋体" w:hAnsi="宋体" w:eastAsia="宋体" w:cs="宋体"/>
                <w:sz w:val="24"/>
                <w:szCs w:val="24"/>
              </w:rPr>
            </w:pPr>
            <w:r>
              <w:rPr>
                <w:rFonts w:hint="eastAsia" w:ascii="宋体" w:hAnsi="宋体" w:eastAsia="宋体" w:cs="宋体"/>
                <w:sz w:val="24"/>
                <w:szCs w:val="24"/>
              </w:rPr>
              <w:t>6</w:t>
            </w:r>
          </w:p>
        </w:tc>
        <w:tc>
          <w:tcPr>
            <w:tcW w:w="1610" w:type="dxa"/>
            <w:tcBorders>
              <w:top w:val="nil"/>
              <w:left w:val="nil"/>
              <w:bottom w:val="single" w:color="auto" w:sz="4" w:space="0"/>
              <w:right w:val="single" w:color="auto" w:sz="4" w:space="0"/>
            </w:tcBorders>
            <w:vAlign w:val="center"/>
          </w:tcPr>
          <w:p w14:paraId="42531707">
            <w:pPr>
              <w:jc w:val="center"/>
              <w:rPr>
                <w:rFonts w:hint="eastAsia" w:ascii="宋体" w:hAnsi="宋体" w:eastAsia="宋体" w:cs="宋体"/>
                <w:sz w:val="24"/>
                <w:szCs w:val="24"/>
              </w:rPr>
            </w:pPr>
            <w:r>
              <w:rPr>
                <w:rFonts w:hint="eastAsia" w:ascii="宋体" w:hAnsi="宋体" w:eastAsia="宋体" w:cs="宋体"/>
                <w:sz w:val="24"/>
                <w:szCs w:val="24"/>
              </w:rPr>
              <w:t>空调末端改造</w:t>
            </w:r>
          </w:p>
        </w:tc>
        <w:tc>
          <w:tcPr>
            <w:tcW w:w="4975" w:type="dxa"/>
            <w:tcBorders>
              <w:top w:val="nil"/>
              <w:left w:val="nil"/>
              <w:bottom w:val="single" w:color="auto" w:sz="4" w:space="0"/>
              <w:right w:val="single" w:color="auto" w:sz="4" w:space="0"/>
            </w:tcBorders>
          </w:tcPr>
          <w:p w14:paraId="08A72FB4">
            <w:pPr>
              <w:jc w:val="center"/>
              <w:rPr>
                <w:rFonts w:hint="eastAsia" w:ascii="宋体" w:hAnsi="宋体" w:eastAsia="宋体" w:cs="宋体"/>
                <w:sz w:val="24"/>
                <w:szCs w:val="24"/>
              </w:rPr>
            </w:pPr>
            <w:r>
              <w:rPr>
                <w:rFonts w:hint="eastAsia" w:ascii="宋体" w:hAnsi="宋体" w:eastAsia="宋体" w:cs="宋体"/>
                <w:sz w:val="24"/>
                <w:szCs w:val="24"/>
              </w:rPr>
              <w:t>新增风机盘管控制器共约104台、空调风柜控制箱35台、柜式分体空调空调控制器40套，壁挂式分体空调空调控制器35套</w:t>
            </w:r>
          </w:p>
        </w:tc>
      </w:tr>
      <w:tr w14:paraId="488DC6D0">
        <w:tblPrEx>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5A09EA0">
            <w:pPr>
              <w:jc w:val="center"/>
              <w:rPr>
                <w:rFonts w:hint="eastAsia" w:ascii="宋体" w:hAnsi="宋体" w:eastAsia="宋体" w:cs="宋体"/>
                <w:sz w:val="24"/>
                <w:szCs w:val="24"/>
              </w:rPr>
            </w:pPr>
            <w:r>
              <w:rPr>
                <w:rFonts w:hint="eastAsia" w:ascii="宋体" w:hAnsi="宋体" w:eastAsia="宋体" w:cs="宋体"/>
                <w:sz w:val="24"/>
                <w:szCs w:val="24"/>
              </w:rPr>
              <w:t>7</w:t>
            </w:r>
          </w:p>
        </w:tc>
        <w:tc>
          <w:tcPr>
            <w:tcW w:w="1610" w:type="dxa"/>
            <w:tcBorders>
              <w:top w:val="single" w:color="auto" w:sz="4" w:space="0"/>
              <w:left w:val="nil"/>
              <w:bottom w:val="single" w:color="auto" w:sz="4" w:space="0"/>
              <w:right w:val="single" w:color="auto" w:sz="4" w:space="0"/>
            </w:tcBorders>
            <w:vAlign w:val="center"/>
          </w:tcPr>
          <w:p w14:paraId="1DF222AA">
            <w:pPr>
              <w:jc w:val="center"/>
              <w:rPr>
                <w:rFonts w:hint="eastAsia" w:ascii="宋体" w:hAnsi="宋体" w:eastAsia="宋体" w:cs="宋体"/>
                <w:sz w:val="24"/>
                <w:szCs w:val="24"/>
              </w:rPr>
            </w:pPr>
            <w:r>
              <w:rPr>
                <w:rFonts w:hint="eastAsia" w:ascii="宋体" w:hAnsi="宋体" w:eastAsia="宋体" w:cs="宋体"/>
                <w:sz w:val="24"/>
                <w:szCs w:val="24"/>
              </w:rPr>
              <w:t>生活热水</w:t>
            </w:r>
          </w:p>
        </w:tc>
        <w:tc>
          <w:tcPr>
            <w:tcW w:w="4975" w:type="dxa"/>
            <w:tcBorders>
              <w:top w:val="single" w:color="auto" w:sz="4" w:space="0"/>
              <w:left w:val="nil"/>
              <w:bottom w:val="single" w:color="auto" w:sz="4" w:space="0"/>
              <w:right w:val="single" w:color="auto" w:sz="4" w:space="0"/>
            </w:tcBorders>
            <w:vAlign w:val="center"/>
          </w:tcPr>
          <w:p w14:paraId="6D28929F">
            <w:pPr>
              <w:jc w:val="center"/>
              <w:rPr>
                <w:rFonts w:hint="eastAsia" w:ascii="宋体" w:hAnsi="宋体" w:eastAsia="宋体" w:cs="宋体"/>
                <w:sz w:val="24"/>
                <w:szCs w:val="24"/>
              </w:rPr>
            </w:pPr>
            <w:r>
              <w:rPr>
                <w:rFonts w:hint="eastAsia" w:ascii="宋体" w:hAnsi="宋体" w:eastAsia="宋体" w:cs="宋体"/>
                <w:sz w:val="24"/>
                <w:szCs w:val="24"/>
              </w:rPr>
              <w:t>新增5台电计量控制器</w:t>
            </w:r>
          </w:p>
        </w:tc>
      </w:tr>
      <w:tr w14:paraId="5E7D1787">
        <w:tblPrEx>
          <w:tblCellMar>
            <w:top w:w="0" w:type="dxa"/>
            <w:left w:w="108" w:type="dxa"/>
            <w:bottom w:w="0" w:type="dxa"/>
            <w:right w:w="108" w:type="dxa"/>
          </w:tblCellMar>
        </w:tblPrEx>
        <w:trPr>
          <w:trHeight w:val="28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C8D3E44">
            <w:pPr>
              <w:jc w:val="center"/>
              <w:rPr>
                <w:rFonts w:hint="eastAsia" w:ascii="宋体" w:hAnsi="宋体" w:eastAsia="宋体" w:cs="宋体"/>
                <w:sz w:val="24"/>
                <w:szCs w:val="24"/>
              </w:rPr>
            </w:pPr>
            <w:r>
              <w:rPr>
                <w:rFonts w:hint="eastAsia" w:ascii="宋体" w:hAnsi="宋体" w:eastAsia="宋体" w:cs="宋体"/>
                <w:sz w:val="24"/>
                <w:szCs w:val="24"/>
              </w:rPr>
              <w:t>8</w:t>
            </w:r>
          </w:p>
        </w:tc>
        <w:tc>
          <w:tcPr>
            <w:tcW w:w="1610" w:type="dxa"/>
            <w:tcBorders>
              <w:top w:val="single" w:color="auto" w:sz="4" w:space="0"/>
              <w:left w:val="nil"/>
              <w:bottom w:val="single" w:color="auto" w:sz="4" w:space="0"/>
              <w:right w:val="single" w:color="auto" w:sz="4" w:space="0"/>
            </w:tcBorders>
            <w:vAlign w:val="center"/>
          </w:tcPr>
          <w:p w14:paraId="619A9868">
            <w:pPr>
              <w:jc w:val="center"/>
              <w:rPr>
                <w:rFonts w:hint="eastAsia" w:ascii="宋体" w:hAnsi="宋体" w:eastAsia="宋体" w:cs="宋体"/>
                <w:sz w:val="24"/>
                <w:szCs w:val="24"/>
              </w:rPr>
            </w:pPr>
            <w:r>
              <w:rPr>
                <w:rFonts w:hint="eastAsia" w:ascii="宋体" w:hAnsi="宋体" w:eastAsia="宋体" w:cs="宋体"/>
                <w:sz w:val="24"/>
                <w:szCs w:val="24"/>
              </w:rPr>
              <w:t>照明灯具</w:t>
            </w:r>
          </w:p>
        </w:tc>
        <w:tc>
          <w:tcPr>
            <w:tcW w:w="4975" w:type="dxa"/>
            <w:tcBorders>
              <w:top w:val="single" w:color="auto" w:sz="4" w:space="0"/>
              <w:left w:val="nil"/>
              <w:bottom w:val="single" w:color="auto" w:sz="4" w:space="0"/>
              <w:right w:val="single" w:color="auto" w:sz="4" w:space="0"/>
            </w:tcBorders>
            <w:vAlign w:val="center"/>
          </w:tcPr>
          <w:p w14:paraId="02D5C898">
            <w:pPr>
              <w:jc w:val="center"/>
              <w:rPr>
                <w:rFonts w:hint="eastAsia" w:ascii="宋体" w:hAnsi="宋体" w:eastAsia="宋体" w:cs="宋体"/>
                <w:sz w:val="24"/>
                <w:szCs w:val="24"/>
              </w:rPr>
            </w:pPr>
            <w:r>
              <w:rPr>
                <w:rFonts w:hint="eastAsia" w:ascii="宋体" w:hAnsi="宋体" w:eastAsia="宋体" w:cs="宋体"/>
                <w:sz w:val="24"/>
                <w:szCs w:val="24"/>
              </w:rPr>
              <w:t>更换T5-60灯具约380盏，T5-120约2980盏</w:t>
            </w:r>
          </w:p>
        </w:tc>
      </w:tr>
    </w:tbl>
    <w:p w14:paraId="4E030CF9">
      <w:pPr>
        <w:pStyle w:val="10"/>
        <w:rPr>
          <w:rFonts w:hint="eastAsia" w:ascii="宋体" w:hAnsi="宋体" w:eastAsia="宋体" w:cs="宋体"/>
          <w:sz w:val="24"/>
          <w:szCs w:val="24"/>
        </w:rPr>
      </w:pPr>
    </w:p>
    <w:p w14:paraId="2579A88C">
      <w:pPr>
        <w:pStyle w:val="10"/>
        <w:rPr>
          <w:rFonts w:hint="eastAsia" w:ascii="宋体" w:hAnsi="宋体" w:eastAsia="宋体" w:cs="宋体"/>
          <w:sz w:val="24"/>
          <w:szCs w:val="24"/>
        </w:rPr>
      </w:pPr>
      <w:r>
        <w:rPr>
          <w:rFonts w:hint="eastAsia" w:ascii="宋体" w:hAnsi="宋体" w:eastAsia="宋体" w:cs="宋体"/>
          <w:sz w:val="24"/>
          <w:szCs w:val="24"/>
        </w:rPr>
        <w:t>2、政务中心</w:t>
      </w:r>
    </w:p>
    <w:p w14:paraId="1B58CF56">
      <w:pPr>
        <w:pStyle w:val="10"/>
        <w:rPr>
          <w:rFonts w:hint="eastAsia" w:ascii="宋体" w:hAnsi="宋体" w:eastAsia="宋体" w:cs="宋体"/>
          <w:sz w:val="24"/>
          <w:szCs w:val="24"/>
        </w:rPr>
      </w:pPr>
    </w:p>
    <w:tbl>
      <w:tblPr>
        <w:tblStyle w:val="14"/>
        <w:tblW w:w="0" w:type="auto"/>
        <w:tblInd w:w="-5" w:type="dxa"/>
        <w:tblLayout w:type="autofit"/>
        <w:tblCellMar>
          <w:top w:w="0" w:type="dxa"/>
          <w:left w:w="108" w:type="dxa"/>
          <w:bottom w:w="0" w:type="dxa"/>
          <w:right w:w="108" w:type="dxa"/>
        </w:tblCellMar>
      </w:tblPr>
      <w:tblGrid>
        <w:gridCol w:w="519"/>
        <w:gridCol w:w="1141"/>
        <w:gridCol w:w="6867"/>
      </w:tblGrid>
      <w:tr w14:paraId="657DAC43">
        <w:tblPrEx>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vAlign w:val="center"/>
          </w:tcPr>
          <w:p w14:paraId="755BCF7B">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0" w:type="auto"/>
            <w:tcBorders>
              <w:top w:val="single" w:color="auto" w:sz="4" w:space="0"/>
              <w:left w:val="nil"/>
              <w:bottom w:val="single" w:color="auto" w:sz="4" w:space="0"/>
              <w:right w:val="single" w:color="auto" w:sz="4" w:space="0"/>
            </w:tcBorders>
            <w:vAlign w:val="center"/>
          </w:tcPr>
          <w:p w14:paraId="5E339752">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节能技术改造</w:t>
            </w:r>
          </w:p>
        </w:tc>
        <w:tc>
          <w:tcPr>
            <w:tcW w:w="0" w:type="auto"/>
            <w:tcBorders>
              <w:top w:val="single" w:color="auto" w:sz="4" w:space="0"/>
              <w:left w:val="nil"/>
              <w:bottom w:val="single" w:color="auto" w:sz="4" w:space="0"/>
              <w:right w:val="single" w:color="auto" w:sz="4" w:space="0"/>
            </w:tcBorders>
            <w:vAlign w:val="center"/>
          </w:tcPr>
          <w:p w14:paraId="7C410585">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实施内容</w:t>
            </w:r>
          </w:p>
        </w:tc>
      </w:tr>
      <w:tr w14:paraId="1E4C97DB">
        <w:tblPrEx>
          <w:tblCellMar>
            <w:top w:w="0" w:type="dxa"/>
            <w:left w:w="108" w:type="dxa"/>
            <w:bottom w:w="0" w:type="dxa"/>
            <w:right w:w="108" w:type="dxa"/>
          </w:tblCellMar>
        </w:tblPrEx>
        <w:trPr>
          <w:trHeight w:val="510" w:hRule="atLeast"/>
        </w:trPr>
        <w:tc>
          <w:tcPr>
            <w:tcW w:w="0" w:type="auto"/>
            <w:tcBorders>
              <w:top w:val="nil"/>
              <w:left w:val="single" w:color="auto" w:sz="4" w:space="0"/>
              <w:bottom w:val="single" w:color="auto" w:sz="4" w:space="0"/>
              <w:right w:val="single" w:color="auto" w:sz="4" w:space="0"/>
            </w:tcBorders>
            <w:vAlign w:val="center"/>
          </w:tcPr>
          <w:p w14:paraId="21466461">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0" w:type="auto"/>
            <w:tcBorders>
              <w:top w:val="nil"/>
              <w:left w:val="nil"/>
              <w:bottom w:val="single" w:color="auto" w:sz="4" w:space="0"/>
              <w:right w:val="single" w:color="auto" w:sz="4" w:space="0"/>
            </w:tcBorders>
            <w:vAlign w:val="center"/>
          </w:tcPr>
          <w:p w14:paraId="24858F24">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智慧建筑综合能效管控平台</w:t>
            </w:r>
          </w:p>
        </w:tc>
        <w:tc>
          <w:tcPr>
            <w:tcW w:w="0" w:type="auto"/>
            <w:tcBorders>
              <w:top w:val="nil"/>
              <w:left w:val="nil"/>
              <w:bottom w:val="single" w:color="auto" w:sz="4" w:space="0"/>
              <w:right w:val="single" w:color="auto" w:sz="4" w:space="0"/>
            </w:tcBorders>
            <w:vAlign w:val="center"/>
          </w:tcPr>
          <w:p w14:paraId="32D130DF">
            <w:pPr>
              <w:jc w:val="center"/>
              <w:rPr>
                <w:rFonts w:hint="eastAsia" w:ascii="宋体" w:hAnsi="宋体" w:eastAsia="宋体" w:cs="宋体"/>
                <w:color w:val="000000"/>
                <w:sz w:val="24"/>
                <w:szCs w:val="24"/>
              </w:rPr>
            </w:pPr>
            <w:r>
              <w:rPr>
                <w:rFonts w:hint="eastAsia" w:ascii="宋体" w:hAnsi="宋体" w:eastAsia="宋体" w:cs="宋体"/>
                <w:sz w:val="24"/>
                <w:szCs w:val="24"/>
              </w:rPr>
              <w:t>新建物联网平台，电能计量管理系统、给水管网监测系统、中央空调群控系统、空调末端管控系统等一系列软件部署调试，增加智能通讯网关、智能远传电表、智能远传水表、智能温控器及热水时控器等硬件设备。</w:t>
            </w:r>
          </w:p>
        </w:tc>
      </w:tr>
      <w:tr w14:paraId="2CD7D69E">
        <w:tblPrEx>
          <w:tblCellMar>
            <w:top w:w="0" w:type="dxa"/>
            <w:left w:w="108" w:type="dxa"/>
            <w:bottom w:w="0" w:type="dxa"/>
            <w:right w:w="108" w:type="dxa"/>
          </w:tblCellMar>
        </w:tblPrEx>
        <w:trPr>
          <w:trHeight w:val="525" w:hRule="atLeast"/>
        </w:trPr>
        <w:tc>
          <w:tcPr>
            <w:tcW w:w="0" w:type="auto"/>
            <w:tcBorders>
              <w:top w:val="nil"/>
              <w:left w:val="single" w:color="auto" w:sz="4" w:space="0"/>
              <w:bottom w:val="single" w:color="auto" w:sz="4" w:space="0"/>
              <w:right w:val="single" w:color="auto" w:sz="4" w:space="0"/>
            </w:tcBorders>
            <w:vAlign w:val="center"/>
          </w:tcPr>
          <w:p w14:paraId="7B6A72EA">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0" w:type="auto"/>
            <w:tcBorders>
              <w:top w:val="nil"/>
              <w:left w:val="nil"/>
              <w:bottom w:val="single" w:color="auto" w:sz="4" w:space="0"/>
              <w:right w:val="single" w:color="auto" w:sz="4" w:space="0"/>
            </w:tcBorders>
            <w:vAlign w:val="center"/>
          </w:tcPr>
          <w:p w14:paraId="3DC76A5A">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计量监测改造</w:t>
            </w:r>
          </w:p>
        </w:tc>
        <w:tc>
          <w:tcPr>
            <w:tcW w:w="0" w:type="auto"/>
            <w:tcBorders>
              <w:top w:val="nil"/>
              <w:left w:val="nil"/>
              <w:bottom w:val="single" w:color="auto" w:sz="4" w:space="0"/>
              <w:right w:val="single" w:color="auto" w:sz="4" w:space="0"/>
            </w:tcBorders>
            <w:vAlign w:val="center"/>
          </w:tcPr>
          <w:p w14:paraId="2647D58A">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增加1台智能通讯网关、新增2块智能远传电表</w:t>
            </w:r>
          </w:p>
        </w:tc>
      </w:tr>
      <w:tr w14:paraId="37079394">
        <w:tblPrEx>
          <w:tblCellMar>
            <w:top w:w="0" w:type="dxa"/>
            <w:left w:w="108" w:type="dxa"/>
            <w:bottom w:w="0" w:type="dxa"/>
            <w:right w:w="108" w:type="dxa"/>
          </w:tblCellMar>
        </w:tblPrEx>
        <w:trPr>
          <w:trHeight w:val="570" w:hRule="atLeast"/>
        </w:trPr>
        <w:tc>
          <w:tcPr>
            <w:tcW w:w="0" w:type="auto"/>
            <w:tcBorders>
              <w:top w:val="nil"/>
              <w:left w:val="single" w:color="auto" w:sz="4" w:space="0"/>
              <w:bottom w:val="single" w:color="auto" w:sz="4" w:space="0"/>
              <w:right w:val="single" w:color="auto" w:sz="4" w:space="0"/>
            </w:tcBorders>
            <w:vAlign w:val="center"/>
          </w:tcPr>
          <w:p w14:paraId="6F5129D0">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0" w:type="auto"/>
            <w:tcBorders>
              <w:top w:val="nil"/>
              <w:left w:val="nil"/>
              <w:bottom w:val="single" w:color="auto" w:sz="4" w:space="0"/>
              <w:right w:val="single" w:color="auto" w:sz="4" w:space="0"/>
            </w:tcBorders>
            <w:vAlign w:val="center"/>
          </w:tcPr>
          <w:p w14:paraId="17BDF62B">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给水管网改造</w:t>
            </w:r>
          </w:p>
        </w:tc>
        <w:tc>
          <w:tcPr>
            <w:tcW w:w="0" w:type="auto"/>
            <w:tcBorders>
              <w:top w:val="nil"/>
              <w:left w:val="nil"/>
              <w:bottom w:val="single" w:color="auto" w:sz="4" w:space="0"/>
              <w:right w:val="single" w:color="auto" w:sz="4" w:space="0"/>
            </w:tcBorders>
            <w:vAlign w:val="center"/>
          </w:tcPr>
          <w:p w14:paraId="6D998EC8">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增加智能远传水表1台</w:t>
            </w:r>
          </w:p>
        </w:tc>
      </w:tr>
      <w:tr w14:paraId="29A814F6">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vAlign w:val="center"/>
          </w:tcPr>
          <w:p w14:paraId="38B57799">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0" w:type="auto"/>
            <w:tcBorders>
              <w:top w:val="nil"/>
              <w:left w:val="nil"/>
              <w:bottom w:val="single" w:color="auto" w:sz="4" w:space="0"/>
              <w:right w:val="single" w:color="auto" w:sz="4" w:space="0"/>
            </w:tcBorders>
            <w:vAlign w:val="center"/>
          </w:tcPr>
          <w:p w14:paraId="24B9F27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冷热源机房</w:t>
            </w:r>
          </w:p>
        </w:tc>
        <w:tc>
          <w:tcPr>
            <w:tcW w:w="0" w:type="auto"/>
            <w:tcBorders>
              <w:top w:val="nil"/>
              <w:left w:val="nil"/>
              <w:bottom w:val="single" w:color="auto" w:sz="4" w:space="0"/>
              <w:right w:val="single" w:color="auto" w:sz="4" w:space="0"/>
            </w:tcBorders>
            <w:vAlign w:val="center"/>
          </w:tcPr>
          <w:p w14:paraId="0C977675">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新增1台制冷量不低于240RT（844KW）磁悬浮机组，替换原有的冷水机组，冷塔填料更换，2套插入式热量表</w:t>
            </w:r>
          </w:p>
        </w:tc>
      </w:tr>
      <w:tr w14:paraId="4DCD23E4">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vAlign w:val="center"/>
          </w:tcPr>
          <w:p w14:paraId="3038EC86">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0" w:type="auto"/>
            <w:tcBorders>
              <w:top w:val="nil"/>
              <w:left w:val="nil"/>
              <w:bottom w:val="single" w:color="auto" w:sz="4" w:space="0"/>
              <w:right w:val="single" w:color="auto" w:sz="4" w:space="0"/>
            </w:tcBorders>
            <w:vAlign w:val="center"/>
          </w:tcPr>
          <w:p w14:paraId="12D68B4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机房群控改造</w:t>
            </w:r>
          </w:p>
        </w:tc>
        <w:tc>
          <w:tcPr>
            <w:tcW w:w="0" w:type="auto"/>
            <w:tcBorders>
              <w:top w:val="nil"/>
              <w:left w:val="nil"/>
              <w:bottom w:val="single" w:color="auto" w:sz="4" w:space="0"/>
              <w:right w:val="single" w:color="auto" w:sz="4" w:space="0"/>
            </w:tcBorders>
            <w:vAlign w:val="center"/>
          </w:tcPr>
          <w:p w14:paraId="4BA9D7EB">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新增1台中央空调协调控制箱，1台主机能效控制箱，2台循环泵控制箱，1套冷却塔控制箱</w:t>
            </w:r>
          </w:p>
        </w:tc>
      </w:tr>
      <w:tr w14:paraId="03A1BED4">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vAlign w:val="center"/>
          </w:tcPr>
          <w:p w14:paraId="51E6D3A5">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6</w:t>
            </w:r>
          </w:p>
        </w:tc>
        <w:tc>
          <w:tcPr>
            <w:tcW w:w="0" w:type="auto"/>
            <w:tcBorders>
              <w:top w:val="nil"/>
              <w:left w:val="nil"/>
              <w:bottom w:val="single" w:color="auto" w:sz="4" w:space="0"/>
              <w:right w:val="single" w:color="auto" w:sz="4" w:space="0"/>
            </w:tcBorders>
            <w:vAlign w:val="center"/>
          </w:tcPr>
          <w:p w14:paraId="1F523769">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空调末端改造</w:t>
            </w:r>
          </w:p>
        </w:tc>
        <w:tc>
          <w:tcPr>
            <w:tcW w:w="0" w:type="auto"/>
            <w:tcBorders>
              <w:top w:val="nil"/>
              <w:left w:val="nil"/>
              <w:bottom w:val="single" w:color="auto" w:sz="4" w:space="0"/>
              <w:right w:val="single" w:color="auto" w:sz="4" w:space="0"/>
            </w:tcBorders>
            <w:vAlign w:val="center"/>
          </w:tcPr>
          <w:p w14:paraId="30248226">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空调风柜控制箱5台、柜式分体空调空调控制器149套，壁挂式分体空调空调控制器165套</w:t>
            </w:r>
          </w:p>
        </w:tc>
      </w:tr>
      <w:tr w14:paraId="51E53E91">
        <w:tblPrEx>
          <w:tblCellMar>
            <w:top w:w="0" w:type="dxa"/>
            <w:left w:w="108" w:type="dxa"/>
            <w:bottom w:w="0" w:type="dxa"/>
            <w:right w:w="108" w:type="dxa"/>
          </w:tblCellMar>
        </w:tblPrEx>
        <w:trPr>
          <w:trHeight w:val="285" w:hRule="atLeast"/>
        </w:trPr>
        <w:tc>
          <w:tcPr>
            <w:tcW w:w="0" w:type="auto"/>
            <w:tcBorders>
              <w:top w:val="nil"/>
              <w:left w:val="single" w:color="auto" w:sz="4" w:space="0"/>
              <w:bottom w:val="single" w:color="auto" w:sz="4" w:space="0"/>
              <w:right w:val="single" w:color="auto" w:sz="4" w:space="0"/>
            </w:tcBorders>
            <w:vAlign w:val="center"/>
          </w:tcPr>
          <w:p w14:paraId="6F228861">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7</w:t>
            </w:r>
          </w:p>
        </w:tc>
        <w:tc>
          <w:tcPr>
            <w:tcW w:w="0" w:type="auto"/>
            <w:tcBorders>
              <w:top w:val="nil"/>
              <w:left w:val="nil"/>
              <w:bottom w:val="single" w:color="auto" w:sz="4" w:space="0"/>
              <w:right w:val="single" w:color="auto" w:sz="4" w:space="0"/>
            </w:tcBorders>
            <w:vAlign w:val="center"/>
          </w:tcPr>
          <w:p w14:paraId="1AD6E860">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生活热水</w:t>
            </w:r>
          </w:p>
        </w:tc>
        <w:tc>
          <w:tcPr>
            <w:tcW w:w="0" w:type="auto"/>
            <w:tcBorders>
              <w:top w:val="nil"/>
              <w:left w:val="nil"/>
              <w:bottom w:val="single" w:color="auto" w:sz="4" w:space="0"/>
              <w:right w:val="single" w:color="auto" w:sz="4" w:space="0"/>
            </w:tcBorders>
            <w:vAlign w:val="center"/>
          </w:tcPr>
          <w:p w14:paraId="419D7D85">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新增8台电计量控制器</w:t>
            </w:r>
          </w:p>
        </w:tc>
      </w:tr>
    </w:tbl>
    <w:p w14:paraId="31B170BB">
      <w:pPr>
        <w:pStyle w:val="10"/>
        <w:rPr>
          <w:rFonts w:hint="eastAsia" w:ascii="宋体" w:hAnsi="宋体" w:eastAsia="宋体" w:cs="宋体"/>
          <w:sz w:val="24"/>
          <w:szCs w:val="24"/>
        </w:rPr>
      </w:pPr>
    </w:p>
    <w:p w14:paraId="6D1D1700">
      <w:pPr>
        <w:pStyle w:val="10"/>
        <w:rPr>
          <w:rFonts w:hint="eastAsia" w:ascii="宋体" w:hAnsi="宋体" w:eastAsia="宋体" w:cs="宋体"/>
          <w:sz w:val="24"/>
          <w:szCs w:val="24"/>
        </w:rPr>
      </w:pPr>
    </w:p>
    <w:p w14:paraId="1D280F36">
      <w:pPr>
        <w:pStyle w:val="10"/>
        <w:rPr>
          <w:rFonts w:hint="eastAsia" w:ascii="宋体" w:hAnsi="宋体" w:eastAsia="宋体" w:cs="宋体"/>
          <w:sz w:val="24"/>
          <w:szCs w:val="24"/>
        </w:rPr>
      </w:pPr>
      <w:r>
        <w:rPr>
          <w:rFonts w:hint="eastAsia" w:ascii="宋体" w:hAnsi="宋体" w:eastAsia="宋体" w:cs="宋体"/>
          <w:sz w:val="24"/>
          <w:szCs w:val="24"/>
        </w:rPr>
        <w:t>3、公共卫生服务中心</w:t>
      </w:r>
    </w:p>
    <w:p w14:paraId="555061D9">
      <w:pPr>
        <w:pStyle w:val="10"/>
        <w:rPr>
          <w:rFonts w:hint="eastAsia" w:ascii="宋体" w:hAnsi="宋体" w:eastAsia="宋体" w:cs="宋体"/>
          <w:sz w:val="24"/>
          <w:szCs w:val="24"/>
        </w:rPr>
      </w:pPr>
    </w:p>
    <w:tbl>
      <w:tblPr>
        <w:tblStyle w:val="14"/>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1192"/>
        <w:gridCol w:w="6811"/>
      </w:tblGrid>
      <w:tr w14:paraId="2A0B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vAlign w:val="center"/>
          </w:tcPr>
          <w:p w14:paraId="65A7D159">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0" w:type="auto"/>
            <w:vAlign w:val="center"/>
          </w:tcPr>
          <w:p w14:paraId="72171F44">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节能技术改造</w:t>
            </w:r>
          </w:p>
        </w:tc>
        <w:tc>
          <w:tcPr>
            <w:tcW w:w="0" w:type="auto"/>
            <w:vAlign w:val="center"/>
          </w:tcPr>
          <w:p w14:paraId="7C176F08">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实施内容</w:t>
            </w:r>
          </w:p>
        </w:tc>
      </w:tr>
      <w:tr w14:paraId="5677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Align w:val="center"/>
          </w:tcPr>
          <w:p w14:paraId="170DB2F5">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0" w:type="auto"/>
            <w:vAlign w:val="center"/>
          </w:tcPr>
          <w:p w14:paraId="0397159C">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智慧建筑综合能效管控平台</w:t>
            </w:r>
          </w:p>
        </w:tc>
        <w:tc>
          <w:tcPr>
            <w:tcW w:w="0" w:type="auto"/>
            <w:vAlign w:val="center"/>
          </w:tcPr>
          <w:p w14:paraId="5624A26A">
            <w:pPr>
              <w:jc w:val="center"/>
              <w:rPr>
                <w:rFonts w:hint="eastAsia" w:ascii="宋体" w:hAnsi="宋体" w:eastAsia="宋体" w:cs="宋体"/>
                <w:color w:val="000000"/>
                <w:sz w:val="24"/>
                <w:szCs w:val="24"/>
              </w:rPr>
            </w:pPr>
            <w:r>
              <w:rPr>
                <w:rFonts w:hint="eastAsia" w:ascii="宋体" w:hAnsi="宋体" w:eastAsia="宋体" w:cs="宋体"/>
                <w:sz w:val="24"/>
                <w:szCs w:val="24"/>
              </w:rPr>
              <w:t>新建物联网平台，电能计量管理系统、给水管网监测系统、中央空调群控系统、空调末端管控系统等一系列软件部署调试，增加智能通讯网关、智能远传电表、智能远传水表及智能温控器等硬件设备</w:t>
            </w:r>
          </w:p>
        </w:tc>
      </w:tr>
      <w:tr w14:paraId="2456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0" w:type="auto"/>
            <w:vAlign w:val="center"/>
          </w:tcPr>
          <w:p w14:paraId="46FA6D0B">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0" w:type="auto"/>
            <w:vAlign w:val="center"/>
          </w:tcPr>
          <w:p w14:paraId="103622A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计量监测改造</w:t>
            </w:r>
          </w:p>
        </w:tc>
        <w:tc>
          <w:tcPr>
            <w:tcW w:w="0" w:type="auto"/>
          </w:tcPr>
          <w:p w14:paraId="07DC2A7A">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增加1台智能通讯网关、新增5块智能远传电表</w:t>
            </w:r>
          </w:p>
        </w:tc>
      </w:tr>
      <w:tr w14:paraId="2015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vAlign w:val="center"/>
          </w:tcPr>
          <w:p w14:paraId="1B11F258">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0" w:type="auto"/>
            <w:vAlign w:val="center"/>
          </w:tcPr>
          <w:p w14:paraId="1A8AE4C0">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给水管网改造</w:t>
            </w:r>
          </w:p>
        </w:tc>
        <w:tc>
          <w:tcPr>
            <w:tcW w:w="0" w:type="auto"/>
          </w:tcPr>
          <w:p w14:paraId="5D7657DD">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增加智能远传水表1台</w:t>
            </w:r>
          </w:p>
        </w:tc>
      </w:tr>
      <w:tr w14:paraId="24C2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0" w:type="auto"/>
            <w:vAlign w:val="center"/>
          </w:tcPr>
          <w:p w14:paraId="7A0FBDE2">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0" w:type="auto"/>
            <w:vAlign w:val="center"/>
          </w:tcPr>
          <w:p w14:paraId="48F48A8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冷热源机房</w:t>
            </w:r>
          </w:p>
        </w:tc>
        <w:tc>
          <w:tcPr>
            <w:tcW w:w="0" w:type="auto"/>
          </w:tcPr>
          <w:p w14:paraId="68732798">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新增1台制冷量不低于249.9RT（879KW）磁悬浮机组，替换原有的冷水机组，2套插入式热量表</w:t>
            </w:r>
          </w:p>
        </w:tc>
      </w:tr>
      <w:tr w14:paraId="2A72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0" w:type="auto"/>
            <w:vAlign w:val="center"/>
          </w:tcPr>
          <w:p w14:paraId="64511C9F">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0" w:type="auto"/>
            <w:vAlign w:val="center"/>
          </w:tcPr>
          <w:p w14:paraId="16C3F4A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机房群控改造</w:t>
            </w:r>
          </w:p>
        </w:tc>
        <w:tc>
          <w:tcPr>
            <w:tcW w:w="0" w:type="auto"/>
          </w:tcPr>
          <w:p w14:paraId="768D6BED">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新增1台中央空调协调控制箱，1台主机能效控制箱，2台循环泵控制箱，1套冷却塔控制箱</w:t>
            </w:r>
          </w:p>
        </w:tc>
      </w:tr>
      <w:tr w14:paraId="619E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0" w:type="auto"/>
            <w:vAlign w:val="center"/>
          </w:tcPr>
          <w:p w14:paraId="028BE4F6">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6</w:t>
            </w:r>
          </w:p>
        </w:tc>
        <w:tc>
          <w:tcPr>
            <w:tcW w:w="0" w:type="auto"/>
            <w:vAlign w:val="center"/>
          </w:tcPr>
          <w:p w14:paraId="4BDB5F5F">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空调末端改造</w:t>
            </w:r>
          </w:p>
        </w:tc>
        <w:tc>
          <w:tcPr>
            <w:tcW w:w="0" w:type="auto"/>
          </w:tcPr>
          <w:p w14:paraId="39E6AD96">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新增风机盘管控制器共约280台，柜式分体空调空调控制器24套，壁挂式分体空调空调控制器36套</w:t>
            </w:r>
          </w:p>
        </w:tc>
      </w:tr>
    </w:tbl>
    <w:p w14:paraId="72EE0666">
      <w:pPr>
        <w:pStyle w:val="10"/>
        <w:rPr>
          <w:rFonts w:hint="eastAsia" w:ascii="宋体" w:hAnsi="宋体" w:eastAsia="宋体" w:cs="宋体"/>
          <w:sz w:val="24"/>
          <w:szCs w:val="24"/>
        </w:rPr>
      </w:pPr>
    </w:p>
    <w:p w14:paraId="30FB67F8">
      <w:pPr>
        <w:pStyle w:val="10"/>
        <w:rPr>
          <w:rFonts w:hint="eastAsia" w:ascii="宋体" w:hAnsi="宋体" w:eastAsia="宋体" w:cs="宋体"/>
          <w:sz w:val="24"/>
          <w:szCs w:val="24"/>
        </w:rPr>
      </w:pPr>
      <w:r>
        <w:rPr>
          <w:rFonts w:hint="eastAsia" w:ascii="宋体" w:hAnsi="宋体" w:eastAsia="宋体" w:cs="宋体"/>
          <w:sz w:val="24"/>
          <w:szCs w:val="24"/>
        </w:rPr>
        <w:t>4、金融中心</w:t>
      </w:r>
    </w:p>
    <w:tbl>
      <w:tblPr>
        <w:tblStyle w:val="14"/>
        <w:tblW w:w="0" w:type="auto"/>
        <w:tblInd w:w="-5" w:type="dxa"/>
        <w:tblLayout w:type="autofit"/>
        <w:tblCellMar>
          <w:top w:w="0" w:type="dxa"/>
          <w:left w:w="108" w:type="dxa"/>
          <w:bottom w:w="0" w:type="dxa"/>
          <w:right w:w="108" w:type="dxa"/>
        </w:tblCellMar>
      </w:tblPr>
      <w:tblGrid>
        <w:gridCol w:w="524"/>
        <w:gridCol w:w="1195"/>
        <w:gridCol w:w="6808"/>
      </w:tblGrid>
      <w:tr w14:paraId="503EAD54">
        <w:tblPrEx>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auto" w:sz="4" w:space="0"/>
            </w:tcBorders>
            <w:vAlign w:val="center"/>
          </w:tcPr>
          <w:p w14:paraId="566C1CAB">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0" w:type="auto"/>
            <w:tcBorders>
              <w:top w:val="single" w:color="auto" w:sz="4" w:space="0"/>
              <w:left w:val="nil"/>
              <w:bottom w:val="single" w:color="auto" w:sz="4" w:space="0"/>
              <w:right w:val="single" w:color="auto" w:sz="4" w:space="0"/>
            </w:tcBorders>
            <w:vAlign w:val="center"/>
          </w:tcPr>
          <w:p w14:paraId="0C94B792">
            <w:pPr>
              <w:jc w:val="center"/>
              <w:rPr>
                <w:rFonts w:hint="eastAsia" w:ascii="宋体" w:hAnsi="宋体" w:eastAsia="宋体" w:cs="宋体"/>
                <w:b/>
                <w:bCs/>
                <w:sz w:val="24"/>
                <w:szCs w:val="24"/>
              </w:rPr>
            </w:pPr>
            <w:r>
              <w:rPr>
                <w:rFonts w:hint="eastAsia" w:ascii="宋体" w:hAnsi="宋体" w:eastAsia="宋体" w:cs="宋体"/>
                <w:b/>
                <w:bCs/>
                <w:sz w:val="24"/>
                <w:szCs w:val="24"/>
              </w:rPr>
              <w:t>节能技术改造</w:t>
            </w:r>
          </w:p>
        </w:tc>
        <w:tc>
          <w:tcPr>
            <w:tcW w:w="0" w:type="auto"/>
            <w:tcBorders>
              <w:top w:val="single" w:color="auto" w:sz="4" w:space="0"/>
              <w:left w:val="nil"/>
              <w:bottom w:val="single" w:color="auto" w:sz="4" w:space="0"/>
              <w:right w:val="single" w:color="auto" w:sz="4" w:space="0"/>
            </w:tcBorders>
            <w:vAlign w:val="center"/>
          </w:tcPr>
          <w:p w14:paraId="405321A6">
            <w:pPr>
              <w:jc w:val="center"/>
              <w:rPr>
                <w:rFonts w:hint="eastAsia" w:ascii="宋体" w:hAnsi="宋体" w:eastAsia="宋体" w:cs="宋体"/>
                <w:b/>
                <w:bCs/>
                <w:sz w:val="24"/>
                <w:szCs w:val="24"/>
              </w:rPr>
            </w:pPr>
            <w:r>
              <w:rPr>
                <w:rFonts w:hint="eastAsia" w:ascii="宋体" w:hAnsi="宋体" w:eastAsia="宋体" w:cs="宋体"/>
                <w:b/>
                <w:bCs/>
                <w:sz w:val="24"/>
                <w:szCs w:val="24"/>
              </w:rPr>
              <w:t>实施内容</w:t>
            </w:r>
          </w:p>
        </w:tc>
      </w:tr>
      <w:tr w14:paraId="6A098190">
        <w:tblPrEx>
          <w:tblCellMar>
            <w:top w:w="0" w:type="dxa"/>
            <w:left w:w="108" w:type="dxa"/>
            <w:bottom w:w="0" w:type="dxa"/>
            <w:right w:w="108" w:type="dxa"/>
          </w:tblCellMar>
        </w:tblPrEx>
        <w:trPr>
          <w:trHeight w:val="510" w:hRule="atLeast"/>
        </w:trPr>
        <w:tc>
          <w:tcPr>
            <w:tcW w:w="0" w:type="auto"/>
            <w:tcBorders>
              <w:top w:val="nil"/>
              <w:left w:val="single" w:color="auto" w:sz="4" w:space="0"/>
              <w:bottom w:val="single" w:color="auto" w:sz="4" w:space="0"/>
              <w:right w:val="single" w:color="auto" w:sz="4" w:space="0"/>
            </w:tcBorders>
            <w:vAlign w:val="center"/>
          </w:tcPr>
          <w:p w14:paraId="0F8C490F">
            <w:pPr>
              <w:jc w:val="center"/>
              <w:rPr>
                <w:rFonts w:hint="eastAsia" w:ascii="宋体" w:hAnsi="宋体" w:eastAsia="宋体" w:cs="宋体"/>
                <w:sz w:val="24"/>
                <w:szCs w:val="24"/>
              </w:rPr>
            </w:pPr>
            <w:r>
              <w:rPr>
                <w:rFonts w:hint="eastAsia" w:ascii="宋体" w:hAnsi="宋体" w:eastAsia="宋体" w:cs="宋体"/>
                <w:sz w:val="24"/>
                <w:szCs w:val="24"/>
              </w:rPr>
              <w:t>1</w:t>
            </w:r>
          </w:p>
        </w:tc>
        <w:tc>
          <w:tcPr>
            <w:tcW w:w="0" w:type="auto"/>
            <w:tcBorders>
              <w:top w:val="nil"/>
              <w:left w:val="nil"/>
              <w:bottom w:val="single" w:color="auto" w:sz="4" w:space="0"/>
              <w:right w:val="single" w:color="auto" w:sz="4" w:space="0"/>
            </w:tcBorders>
            <w:vAlign w:val="center"/>
          </w:tcPr>
          <w:p w14:paraId="13DB7A40">
            <w:pPr>
              <w:jc w:val="center"/>
              <w:rPr>
                <w:rFonts w:hint="eastAsia" w:ascii="宋体" w:hAnsi="宋体" w:eastAsia="宋体" w:cs="宋体"/>
                <w:sz w:val="24"/>
                <w:szCs w:val="24"/>
              </w:rPr>
            </w:pPr>
            <w:r>
              <w:rPr>
                <w:rFonts w:hint="eastAsia" w:ascii="宋体" w:hAnsi="宋体" w:eastAsia="宋体" w:cs="宋体"/>
                <w:sz w:val="24"/>
                <w:szCs w:val="24"/>
              </w:rPr>
              <w:t>智慧建筑综合能效管控平台</w:t>
            </w:r>
          </w:p>
        </w:tc>
        <w:tc>
          <w:tcPr>
            <w:tcW w:w="0" w:type="auto"/>
            <w:tcBorders>
              <w:top w:val="nil"/>
              <w:left w:val="nil"/>
              <w:bottom w:val="single" w:color="auto" w:sz="4" w:space="0"/>
              <w:right w:val="single" w:color="auto" w:sz="4" w:space="0"/>
            </w:tcBorders>
            <w:vAlign w:val="center"/>
          </w:tcPr>
          <w:p w14:paraId="65EDACC2">
            <w:pPr>
              <w:jc w:val="center"/>
              <w:rPr>
                <w:rFonts w:hint="eastAsia" w:ascii="宋体" w:hAnsi="宋体" w:eastAsia="宋体" w:cs="宋体"/>
                <w:sz w:val="24"/>
                <w:szCs w:val="24"/>
              </w:rPr>
            </w:pPr>
            <w:r>
              <w:rPr>
                <w:rFonts w:hint="eastAsia" w:ascii="宋体" w:hAnsi="宋体" w:eastAsia="宋体" w:cs="宋体"/>
                <w:sz w:val="24"/>
                <w:szCs w:val="24"/>
              </w:rPr>
              <w:t>新建物联网平台，电能计量管理系统、给水管网监测系统、中央空调群控系统、空调末端管控系统等一系列软件部署调试，增加智能通讯网关、智能远传电表、智能远传水表、智能温控器及热水时控器等硬件设备</w:t>
            </w:r>
          </w:p>
        </w:tc>
      </w:tr>
      <w:tr w14:paraId="7F56932D">
        <w:tblPrEx>
          <w:tblCellMar>
            <w:top w:w="0" w:type="dxa"/>
            <w:left w:w="108" w:type="dxa"/>
            <w:bottom w:w="0" w:type="dxa"/>
            <w:right w:w="108" w:type="dxa"/>
          </w:tblCellMar>
        </w:tblPrEx>
        <w:trPr>
          <w:trHeight w:val="525" w:hRule="atLeast"/>
        </w:trPr>
        <w:tc>
          <w:tcPr>
            <w:tcW w:w="0" w:type="auto"/>
            <w:tcBorders>
              <w:top w:val="nil"/>
              <w:left w:val="single" w:color="auto" w:sz="4" w:space="0"/>
              <w:bottom w:val="single" w:color="auto" w:sz="4" w:space="0"/>
              <w:right w:val="single" w:color="auto" w:sz="4" w:space="0"/>
            </w:tcBorders>
            <w:vAlign w:val="center"/>
          </w:tcPr>
          <w:p w14:paraId="09BC7185">
            <w:pPr>
              <w:jc w:val="center"/>
              <w:rPr>
                <w:rFonts w:hint="eastAsia" w:ascii="宋体" w:hAnsi="宋体" w:eastAsia="宋体" w:cs="宋体"/>
                <w:sz w:val="24"/>
                <w:szCs w:val="24"/>
              </w:rPr>
            </w:pPr>
            <w:r>
              <w:rPr>
                <w:rFonts w:hint="eastAsia" w:ascii="宋体" w:hAnsi="宋体" w:eastAsia="宋体" w:cs="宋体"/>
                <w:sz w:val="24"/>
                <w:szCs w:val="24"/>
              </w:rPr>
              <w:t>2</w:t>
            </w:r>
          </w:p>
        </w:tc>
        <w:tc>
          <w:tcPr>
            <w:tcW w:w="0" w:type="auto"/>
            <w:tcBorders>
              <w:top w:val="nil"/>
              <w:left w:val="nil"/>
              <w:bottom w:val="single" w:color="auto" w:sz="4" w:space="0"/>
              <w:right w:val="single" w:color="auto" w:sz="4" w:space="0"/>
            </w:tcBorders>
            <w:vAlign w:val="center"/>
          </w:tcPr>
          <w:p w14:paraId="1D5BA6A1">
            <w:pPr>
              <w:jc w:val="center"/>
              <w:rPr>
                <w:rFonts w:hint="eastAsia" w:ascii="宋体" w:hAnsi="宋体" w:eastAsia="宋体" w:cs="宋体"/>
                <w:sz w:val="24"/>
                <w:szCs w:val="24"/>
              </w:rPr>
            </w:pPr>
            <w:r>
              <w:rPr>
                <w:rFonts w:hint="eastAsia" w:ascii="宋体" w:hAnsi="宋体" w:eastAsia="宋体" w:cs="宋体"/>
                <w:sz w:val="24"/>
                <w:szCs w:val="24"/>
              </w:rPr>
              <w:t>计量监测改造</w:t>
            </w:r>
          </w:p>
        </w:tc>
        <w:tc>
          <w:tcPr>
            <w:tcW w:w="0" w:type="auto"/>
            <w:tcBorders>
              <w:top w:val="nil"/>
              <w:left w:val="nil"/>
              <w:bottom w:val="single" w:color="auto" w:sz="4" w:space="0"/>
              <w:right w:val="single" w:color="auto" w:sz="4" w:space="0"/>
            </w:tcBorders>
          </w:tcPr>
          <w:p w14:paraId="60142183">
            <w:pPr>
              <w:jc w:val="center"/>
              <w:rPr>
                <w:rFonts w:hint="eastAsia" w:ascii="宋体" w:hAnsi="宋体" w:eastAsia="宋体" w:cs="宋体"/>
                <w:sz w:val="24"/>
                <w:szCs w:val="24"/>
              </w:rPr>
            </w:pPr>
            <w:r>
              <w:rPr>
                <w:rFonts w:hint="eastAsia" w:ascii="宋体" w:hAnsi="宋体" w:eastAsia="宋体" w:cs="宋体"/>
                <w:sz w:val="24"/>
                <w:szCs w:val="24"/>
              </w:rPr>
              <w:t>增加1</w:t>
            </w:r>
            <w:r>
              <w:rPr>
                <w:rFonts w:hint="eastAsia" w:ascii="宋体" w:hAnsi="宋体" w:eastAsia="宋体" w:cs="宋体"/>
                <w:color w:val="000000"/>
                <w:sz w:val="24"/>
                <w:szCs w:val="24"/>
              </w:rPr>
              <w:t>台</w:t>
            </w:r>
            <w:r>
              <w:rPr>
                <w:rFonts w:hint="eastAsia" w:ascii="宋体" w:hAnsi="宋体" w:eastAsia="宋体" w:cs="宋体"/>
                <w:sz w:val="24"/>
                <w:szCs w:val="24"/>
              </w:rPr>
              <w:t>智能通讯网关、新增9块智能远传电表</w:t>
            </w:r>
          </w:p>
        </w:tc>
      </w:tr>
      <w:tr w14:paraId="21B3A347">
        <w:tblPrEx>
          <w:tblCellMar>
            <w:top w:w="0" w:type="dxa"/>
            <w:left w:w="108" w:type="dxa"/>
            <w:bottom w:w="0" w:type="dxa"/>
            <w:right w:w="108" w:type="dxa"/>
          </w:tblCellMar>
        </w:tblPrEx>
        <w:trPr>
          <w:trHeight w:val="285" w:hRule="atLeast"/>
        </w:trPr>
        <w:tc>
          <w:tcPr>
            <w:tcW w:w="0" w:type="auto"/>
            <w:tcBorders>
              <w:top w:val="nil"/>
              <w:left w:val="single" w:color="auto" w:sz="4" w:space="0"/>
              <w:bottom w:val="single" w:color="auto" w:sz="4" w:space="0"/>
              <w:right w:val="single" w:color="auto" w:sz="4" w:space="0"/>
            </w:tcBorders>
            <w:vAlign w:val="center"/>
          </w:tcPr>
          <w:p w14:paraId="37591777">
            <w:pPr>
              <w:jc w:val="center"/>
              <w:rPr>
                <w:rFonts w:hint="eastAsia" w:ascii="宋体" w:hAnsi="宋体" w:eastAsia="宋体" w:cs="宋体"/>
                <w:sz w:val="24"/>
                <w:szCs w:val="24"/>
              </w:rPr>
            </w:pPr>
            <w:r>
              <w:rPr>
                <w:rFonts w:hint="eastAsia" w:ascii="宋体" w:hAnsi="宋体" w:eastAsia="宋体" w:cs="宋体"/>
                <w:sz w:val="24"/>
                <w:szCs w:val="24"/>
              </w:rPr>
              <w:t>3</w:t>
            </w:r>
          </w:p>
        </w:tc>
        <w:tc>
          <w:tcPr>
            <w:tcW w:w="0" w:type="auto"/>
            <w:tcBorders>
              <w:top w:val="nil"/>
              <w:left w:val="nil"/>
              <w:bottom w:val="single" w:color="auto" w:sz="4" w:space="0"/>
              <w:right w:val="single" w:color="auto" w:sz="4" w:space="0"/>
            </w:tcBorders>
            <w:vAlign w:val="center"/>
          </w:tcPr>
          <w:p w14:paraId="6FE5FC48">
            <w:pPr>
              <w:jc w:val="center"/>
              <w:rPr>
                <w:rFonts w:hint="eastAsia" w:ascii="宋体" w:hAnsi="宋体" w:eastAsia="宋体" w:cs="宋体"/>
                <w:sz w:val="24"/>
                <w:szCs w:val="24"/>
              </w:rPr>
            </w:pPr>
            <w:r>
              <w:rPr>
                <w:rFonts w:hint="eastAsia" w:ascii="宋体" w:hAnsi="宋体" w:eastAsia="宋体" w:cs="宋体"/>
                <w:sz w:val="24"/>
                <w:szCs w:val="24"/>
              </w:rPr>
              <w:t>给水管网改造</w:t>
            </w:r>
          </w:p>
        </w:tc>
        <w:tc>
          <w:tcPr>
            <w:tcW w:w="0" w:type="auto"/>
            <w:tcBorders>
              <w:top w:val="nil"/>
              <w:left w:val="nil"/>
              <w:bottom w:val="single" w:color="auto" w:sz="4" w:space="0"/>
              <w:right w:val="single" w:color="auto" w:sz="4" w:space="0"/>
            </w:tcBorders>
          </w:tcPr>
          <w:p w14:paraId="650C3E01">
            <w:pPr>
              <w:jc w:val="center"/>
              <w:rPr>
                <w:rFonts w:hint="eastAsia" w:ascii="宋体" w:hAnsi="宋体" w:eastAsia="宋体" w:cs="宋体"/>
                <w:sz w:val="24"/>
                <w:szCs w:val="24"/>
              </w:rPr>
            </w:pPr>
            <w:r>
              <w:rPr>
                <w:rFonts w:hint="eastAsia" w:ascii="宋体" w:hAnsi="宋体" w:eastAsia="宋体" w:cs="宋体"/>
                <w:sz w:val="24"/>
                <w:szCs w:val="24"/>
              </w:rPr>
              <w:t>增加智能远传水表3</w:t>
            </w:r>
            <w:r>
              <w:rPr>
                <w:rFonts w:hint="eastAsia" w:ascii="宋体" w:hAnsi="宋体" w:eastAsia="宋体" w:cs="宋体"/>
                <w:color w:val="000000"/>
                <w:sz w:val="24"/>
                <w:szCs w:val="24"/>
              </w:rPr>
              <w:t>台</w:t>
            </w:r>
          </w:p>
        </w:tc>
      </w:tr>
      <w:tr w14:paraId="2B2A3653">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vAlign w:val="center"/>
          </w:tcPr>
          <w:p w14:paraId="038B9863">
            <w:pPr>
              <w:jc w:val="center"/>
              <w:rPr>
                <w:rFonts w:hint="eastAsia" w:ascii="宋体" w:hAnsi="宋体" w:eastAsia="宋体" w:cs="宋体"/>
                <w:sz w:val="24"/>
                <w:szCs w:val="24"/>
              </w:rPr>
            </w:pPr>
            <w:r>
              <w:rPr>
                <w:rFonts w:hint="eastAsia" w:ascii="宋体" w:hAnsi="宋体" w:eastAsia="宋体" w:cs="宋体"/>
                <w:sz w:val="24"/>
                <w:szCs w:val="24"/>
              </w:rPr>
              <w:t>5</w:t>
            </w:r>
          </w:p>
        </w:tc>
        <w:tc>
          <w:tcPr>
            <w:tcW w:w="0" w:type="auto"/>
            <w:tcBorders>
              <w:top w:val="nil"/>
              <w:left w:val="nil"/>
              <w:bottom w:val="single" w:color="auto" w:sz="4" w:space="0"/>
              <w:right w:val="single" w:color="auto" w:sz="4" w:space="0"/>
            </w:tcBorders>
            <w:vAlign w:val="center"/>
          </w:tcPr>
          <w:p w14:paraId="1D61CD48">
            <w:pPr>
              <w:jc w:val="center"/>
              <w:rPr>
                <w:rFonts w:hint="eastAsia" w:ascii="宋体" w:hAnsi="宋体" w:eastAsia="宋体" w:cs="宋体"/>
                <w:sz w:val="24"/>
                <w:szCs w:val="24"/>
              </w:rPr>
            </w:pPr>
            <w:r>
              <w:rPr>
                <w:rFonts w:hint="eastAsia" w:ascii="宋体" w:hAnsi="宋体" w:eastAsia="宋体" w:cs="宋体"/>
                <w:sz w:val="24"/>
                <w:szCs w:val="24"/>
              </w:rPr>
              <w:t>机房群控改造</w:t>
            </w:r>
          </w:p>
        </w:tc>
        <w:tc>
          <w:tcPr>
            <w:tcW w:w="0" w:type="auto"/>
            <w:tcBorders>
              <w:top w:val="nil"/>
              <w:left w:val="nil"/>
              <w:bottom w:val="single" w:color="auto" w:sz="4" w:space="0"/>
              <w:right w:val="single" w:color="auto" w:sz="4" w:space="0"/>
            </w:tcBorders>
          </w:tcPr>
          <w:p w14:paraId="4C0D094A">
            <w:pPr>
              <w:jc w:val="center"/>
              <w:rPr>
                <w:rFonts w:hint="eastAsia" w:ascii="宋体" w:hAnsi="宋体" w:eastAsia="宋体" w:cs="宋体"/>
                <w:sz w:val="24"/>
                <w:szCs w:val="24"/>
              </w:rPr>
            </w:pPr>
            <w:r>
              <w:rPr>
                <w:rFonts w:hint="eastAsia" w:ascii="宋体" w:hAnsi="宋体" w:eastAsia="宋体" w:cs="宋体"/>
                <w:sz w:val="24"/>
                <w:szCs w:val="24"/>
              </w:rPr>
              <w:t>新增1</w:t>
            </w:r>
            <w:r>
              <w:rPr>
                <w:rFonts w:hint="eastAsia" w:ascii="宋体" w:hAnsi="宋体" w:eastAsia="宋体" w:cs="宋体"/>
                <w:color w:val="000000"/>
                <w:sz w:val="24"/>
                <w:szCs w:val="24"/>
              </w:rPr>
              <w:t>台风冷热泵控制箱，1套插入式热量表</w:t>
            </w:r>
          </w:p>
        </w:tc>
      </w:tr>
      <w:tr w14:paraId="7A0E54AF">
        <w:tblPrEx>
          <w:tblCellMar>
            <w:top w:w="0" w:type="dxa"/>
            <w:left w:w="108" w:type="dxa"/>
            <w:bottom w:w="0" w:type="dxa"/>
            <w:right w:w="108" w:type="dxa"/>
          </w:tblCellMar>
        </w:tblPrEx>
        <w:trPr>
          <w:trHeight w:val="285" w:hRule="atLeast"/>
        </w:trPr>
        <w:tc>
          <w:tcPr>
            <w:tcW w:w="0" w:type="auto"/>
            <w:tcBorders>
              <w:top w:val="nil"/>
              <w:left w:val="single" w:color="auto" w:sz="4" w:space="0"/>
              <w:bottom w:val="single" w:color="auto" w:sz="4" w:space="0"/>
              <w:right w:val="single" w:color="auto" w:sz="4" w:space="0"/>
            </w:tcBorders>
            <w:vAlign w:val="center"/>
          </w:tcPr>
          <w:p w14:paraId="0D72CAD9">
            <w:pPr>
              <w:jc w:val="center"/>
              <w:rPr>
                <w:rFonts w:hint="eastAsia" w:ascii="宋体" w:hAnsi="宋体" w:eastAsia="宋体" w:cs="宋体"/>
                <w:sz w:val="24"/>
                <w:szCs w:val="24"/>
              </w:rPr>
            </w:pPr>
            <w:r>
              <w:rPr>
                <w:rFonts w:hint="eastAsia" w:ascii="宋体" w:hAnsi="宋体" w:eastAsia="宋体" w:cs="宋体"/>
                <w:sz w:val="24"/>
                <w:szCs w:val="24"/>
              </w:rPr>
              <w:t>6</w:t>
            </w:r>
          </w:p>
        </w:tc>
        <w:tc>
          <w:tcPr>
            <w:tcW w:w="0" w:type="auto"/>
            <w:tcBorders>
              <w:top w:val="nil"/>
              <w:left w:val="nil"/>
              <w:bottom w:val="single" w:color="auto" w:sz="4" w:space="0"/>
              <w:right w:val="single" w:color="auto" w:sz="4" w:space="0"/>
            </w:tcBorders>
            <w:vAlign w:val="center"/>
          </w:tcPr>
          <w:p w14:paraId="07DC9F42">
            <w:pPr>
              <w:jc w:val="center"/>
              <w:rPr>
                <w:rFonts w:hint="eastAsia" w:ascii="宋体" w:hAnsi="宋体" w:eastAsia="宋体" w:cs="宋体"/>
                <w:sz w:val="24"/>
                <w:szCs w:val="24"/>
              </w:rPr>
            </w:pPr>
            <w:r>
              <w:rPr>
                <w:rFonts w:hint="eastAsia" w:ascii="宋体" w:hAnsi="宋体" w:eastAsia="宋体" w:cs="宋体"/>
                <w:sz w:val="24"/>
                <w:szCs w:val="24"/>
              </w:rPr>
              <w:t>空调末端改造</w:t>
            </w:r>
          </w:p>
        </w:tc>
        <w:tc>
          <w:tcPr>
            <w:tcW w:w="0" w:type="auto"/>
            <w:tcBorders>
              <w:top w:val="nil"/>
              <w:left w:val="nil"/>
              <w:bottom w:val="single" w:color="auto" w:sz="4" w:space="0"/>
              <w:right w:val="single" w:color="auto" w:sz="4" w:space="0"/>
            </w:tcBorders>
          </w:tcPr>
          <w:p w14:paraId="35D651D6">
            <w:pPr>
              <w:jc w:val="center"/>
              <w:rPr>
                <w:rFonts w:hint="eastAsia" w:ascii="宋体" w:hAnsi="宋体" w:eastAsia="宋体" w:cs="宋体"/>
                <w:sz w:val="24"/>
                <w:szCs w:val="24"/>
              </w:rPr>
            </w:pPr>
            <w:r>
              <w:rPr>
                <w:rFonts w:hint="eastAsia" w:ascii="宋体" w:hAnsi="宋体" w:eastAsia="宋体" w:cs="宋体"/>
                <w:sz w:val="24"/>
                <w:szCs w:val="24"/>
              </w:rPr>
              <w:t>新增风机盘管控制器共约400台</w:t>
            </w:r>
          </w:p>
        </w:tc>
      </w:tr>
    </w:tbl>
    <w:p w14:paraId="08CBE3BC">
      <w:pPr>
        <w:pStyle w:val="10"/>
        <w:rPr>
          <w:rFonts w:hint="eastAsia" w:ascii="宋体" w:hAnsi="宋体" w:eastAsia="宋体" w:cs="宋体"/>
          <w:b/>
          <w:bCs/>
          <w:sz w:val="24"/>
          <w:szCs w:val="24"/>
        </w:rPr>
      </w:pPr>
    </w:p>
    <w:p w14:paraId="287854B0">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5、沛县创新产业园</w:t>
      </w:r>
    </w:p>
    <w:p w14:paraId="0D887D7D">
      <w:pPr>
        <w:spacing w:line="360" w:lineRule="auto"/>
        <w:ind w:firstLine="480"/>
        <w:rPr>
          <w:rFonts w:hint="eastAsia" w:ascii="宋体" w:hAnsi="宋体" w:eastAsia="宋体" w:cs="宋体"/>
          <w:sz w:val="24"/>
          <w:szCs w:val="24"/>
        </w:rPr>
      </w:pPr>
    </w:p>
    <w:tbl>
      <w:tblPr>
        <w:tblStyle w:val="14"/>
        <w:tblW w:w="6480" w:type="dxa"/>
        <w:jc w:val="center"/>
        <w:tblLayout w:type="autofit"/>
        <w:tblCellMar>
          <w:top w:w="0" w:type="dxa"/>
          <w:left w:w="108" w:type="dxa"/>
          <w:bottom w:w="0" w:type="dxa"/>
          <w:right w:w="108" w:type="dxa"/>
        </w:tblCellMar>
      </w:tblPr>
      <w:tblGrid>
        <w:gridCol w:w="1080"/>
        <w:gridCol w:w="1080"/>
        <w:gridCol w:w="4320"/>
      </w:tblGrid>
      <w:tr w14:paraId="7C578BD6">
        <w:tblPrEx>
          <w:tblCellMar>
            <w:top w:w="0" w:type="dxa"/>
            <w:left w:w="108" w:type="dxa"/>
            <w:bottom w:w="0" w:type="dxa"/>
            <w:right w:w="108" w:type="dxa"/>
          </w:tblCellMar>
        </w:tblPrEx>
        <w:trPr>
          <w:trHeight w:val="48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EBC15BB">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1080" w:type="dxa"/>
            <w:tcBorders>
              <w:top w:val="single" w:color="auto" w:sz="4" w:space="0"/>
              <w:left w:val="nil"/>
              <w:bottom w:val="single" w:color="auto" w:sz="4" w:space="0"/>
              <w:right w:val="single" w:color="auto" w:sz="4" w:space="0"/>
            </w:tcBorders>
            <w:vAlign w:val="center"/>
          </w:tcPr>
          <w:p w14:paraId="509A87F7">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节能技术改造</w:t>
            </w:r>
          </w:p>
        </w:tc>
        <w:tc>
          <w:tcPr>
            <w:tcW w:w="4320" w:type="dxa"/>
            <w:tcBorders>
              <w:top w:val="single" w:color="auto" w:sz="4" w:space="0"/>
              <w:left w:val="nil"/>
              <w:bottom w:val="single" w:color="auto" w:sz="4" w:space="0"/>
              <w:right w:val="single" w:color="auto" w:sz="4" w:space="0"/>
            </w:tcBorders>
            <w:vAlign w:val="center"/>
          </w:tcPr>
          <w:p w14:paraId="535EF12F">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实施内容</w:t>
            </w:r>
          </w:p>
        </w:tc>
      </w:tr>
      <w:tr w14:paraId="6A308A68">
        <w:tblPrEx>
          <w:tblCellMar>
            <w:top w:w="0" w:type="dxa"/>
            <w:left w:w="108" w:type="dxa"/>
            <w:bottom w:w="0" w:type="dxa"/>
            <w:right w:w="108" w:type="dxa"/>
          </w:tblCellMar>
        </w:tblPrEx>
        <w:trPr>
          <w:trHeight w:val="720" w:hRule="atLeast"/>
          <w:jc w:val="center"/>
        </w:trPr>
        <w:tc>
          <w:tcPr>
            <w:tcW w:w="1080" w:type="dxa"/>
            <w:tcBorders>
              <w:top w:val="nil"/>
              <w:left w:val="single" w:color="auto" w:sz="4" w:space="0"/>
              <w:bottom w:val="single" w:color="auto" w:sz="4" w:space="0"/>
              <w:right w:val="single" w:color="auto" w:sz="4" w:space="0"/>
            </w:tcBorders>
            <w:vAlign w:val="center"/>
          </w:tcPr>
          <w:p w14:paraId="459C82EF">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080" w:type="dxa"/>
            <w:tcBorders>
              <w:top w:val="nil"/>
              <w:left w:val="nil"/>
              <w:bottom w:val="single" w:color="auto" w:sz="4" w:space="0"/>
              <w:right w:val="single" w:color="auto" w:sz="4" w:space="0"/>
            </w:tcBorders>
            <w:vAlign w:val="center"/>
          </w:tcPr>
          <w:p w14:paraId="2057DDC6">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计量监测改造</w:t>
            </w:r>
          </w:p>
        </w:tc>
        <w:tc>
          <w:tcPr>
            <w:tcW w:w="4320" w:type="dxa"/>
            <w:tcBorders>
              <w:top w:val="nil"/>
              <w:left w:val="nil"/>
              <w:bottom w:val="single" w:color="auto" w:sz="4" w:space="0"/>
              <w:right w:val="single" w:color="auto" w:sz="4" w:space="0"/>
            </w:tcBorders>
            <w:vAlign w:val="center"/>
          </w:tcPr>
          <w:p w14:paraId="65E3AB53">
            <w:pPr>
              <w:rPr>
                <w:rFonts w:hint="eastAsia" w:ascii="宋体" w:hAnsi="宋体" w:eastAsia="宋体" w:cs="宋体"/>
                <w:color w:val="000000"/>
                <w:sz w:val="24"/>
                <w:szCs w:val="24"/>
              </w:rPr>
            </w:pPr>
            <w:r>
              <w:rPr>
                <w:rFonts w:hint="eastAsia" w:ascii="宋体" w:hAnsi="宋体" w:eastAsia="宋体" w:cs="宋体"/>
                <w:color w:val="000000"/>
                <w:sz w:val="24"/>
                <w:szCs w:val="24"/>
              </w:rPr>
              <w:t>增加智能通讯网关、对接现有智能远传电表137台、增加智能远传水表2台，采集水电数据后接入智慧建筑综合能效管控平台</w:t>
            </w:r>
          </w:p>
        </w:tc>
      </w:tr>
    </w:tbl>
    <w:p w14:paraId="269AF5BA">
      <w:pPr>
        <w:rPr>
          <w:rFonts w:hint="eastAsia"/>
        </w:rPr>
      </w:pPr>
    </w:p>
    <w:p w14:paraId="1E1F9641">
      <w:pPr>
        <w:spacing w:line="360" w:lineRule="auto"/>
        <w:ind w:firstLine="480"/>
        <w:rPr>
          <w:rFonts w:hint="eastAsia" w:ascii="宋体" w:hAnsi="宋体" w:cs="宋体"/>
          <w:b/>
          <w:bCs/>
          <w:sz w:val="24"/>
        </w:rPr>
      </w:pPr>
      <w:r>
        <w:rPr>
          <w:rFonts w:hint="eastAsia" w:ascii="宋体" w:hAnsi="宋体" w:cs="宋体"/>
          <w:b/>
          <w:bCs/>
          <w:sz w:val="24"/>
        </w:rPr>
        <w:t>（二）智慧建筑综合能效管控平台及相关软件技术要求</w:t>
      </w:r>
    </w:p>
    <w:p w14:paraId="3CD40079">
      <w:pPr>
        <w:spacing w:line="360" w:lineRule="auto"/>
        <w:ind w:firstLine="482"/>
        <w:rPr>
          <w:rFonts w:hint="eastAsia" w:ascii="宋体" w:hAnsi="宋体" w:cs="宋体"/>
          <w:sz w:val="24"/>
        </w:rPr>
      </w:pPr>
      <w:r>
        <w:rPr>
          <w:rFonts w:hint="eastAsia" w:ascii="宋体" w:hAnsi="宋体" w:cs="宋体"/>
          <w:b/>
          <w:bCs/>
          <w:sz w:val="24"/>
        </w:rPr>
        <w:t>1、物联网平台：</w:t>
      </w:r>
    </w:p>
    <w:p w14:paraId="2C22F906">
      <w:pPr>
        <w:spacing w:line="360" w:lineRule="auto"/>
        <w:ind w:firstLine="480"/>
        <w:rPr>
          <w:rFonts w:hint="eastAsia" w:ascii="宋体" w:hAnsi="宋体" w:cs="宋体"/>
          <w:sz w:val="24"/>
        </w:rPr>
      </w:pPr>
      <w:r>
        <w:rPr>
          <w:rFonts w:hint="eastAsia" w:ascii="宋体" w:hAnsi="宋体" w:cs="宋体"/>
          <w:sz w:val="24"/>
        </w:rPr>
        <w:t>本项目提供的平台应基于分布式云架构，并提供租户管理、项目管理、用户管理、统一登录、日志审计等基础服务，同时应提供MQTT协议的设备接入服务、提供物联配置与管理服务、提供应用场景配置与集成服务等。</w:t>
      </w:r>
    </w:p>
    <w:p w14:paraId="54B83791">
      <w:pPr>
        <w:spacing w:line="360" w:lineRule="auto"/>
        <w:ind w:firstLine="480"/>
        <w:rPr>
          <w:rFonts w:hint="eastAsia" w:ascii="宋体" w:hAnsi="宋体" w:cs="宋体"/>
          <w:sz w:val="24"/>
        </w:rPr>
      </w:pPr>
      <w:r>
        <w:rPr>
          <w:rFonts w:hint="eastAsia" w:ascii="宋体" w:hAnsi="宋体" w:cs="宋体"/>
          <w:sz w:val="24"/>
        </w:rPr>
        <w:t>基础功能应包括但不限于：基础管理中心、物联管理中心、物联网平台、应用服务中心等。</w:t>
      </w:r>
    </w:p>
    <w:p w14:paraId="3A388E18">
      <w:pPr>
        <w:spacing w:line="360" w:lineRule="auto"/>
        <w:ind w:firstLine="480"/>
        <w:rPr>
          <w:rFonts w:hint="eastAsia" w:ascii="宋体" w:hAnsi="宋体" w:cs="宋体"/>
          <w:sz w:val="24"/>
        </w:rPr>
      </w:pPr>
      <w:r>
        <w:rPr>
          <w:rFonts w:hint="eastAsia" w:ascii="宋体" w:hAnsi="宋体" w:cs="宋体"/>
          <w:sz w:val="24"/>
        </w:rPr>
        <w:t>（1）基础管理中心：提供对项目、角色等的管理功能，提供对用户注册、审核与授权的管理功能，提供对应用系统配置与授权的管理功能。</w:t>
      </w:r>
    </w:p>
    <w:p w14:paraId="26AFEF16">
      <w:pPr>
        <w:spacing w:line="360" w:lineRule="auto"/>
        <w:ind w:firstLine="480"/>
        <w:rPr>
          <w:rFonts w:hint="eastAsia" w:ascii="宋体" w:hAnsi="宋体" w:cs="宋体"/>
          <w:sz w:val="24"/>
        </w:rPr>
      </w:pPr>
      <w:r>
        <w:rPr>
          <w:rFonts w:hint="eastAsia" w:ascii="宋体" w:hAnsi="宋体" w:cs="宋体"/>
          <w:sz w:val="24"/>
        </w:rPr>
        <w:t>（2）物联管理中心：提供物联设备接入的通用配置管理功能：包括对设备测点与设备模板的管理功能、对调试场景的管理功能等。</w:t>
      </w:r>
    </w:p>
    <w:p w14:paraId="4673D397">
      <w:pPr>
        <w:spacing w:line="360" w:lineRule="auto"/>
        <w:ind w:firstLine="480"/>
        <w:rPr>
          <w:rFonts w:hint="eastAsia" w:ascii="宋体" w:hAnsi="宋体" w:cs="宋体"/>
          <w:sz w:val="24"/>
        </w:rPr>
      </w:pPr>
      <w:r>
        <w:rPr>
          <w:rFonts w:hint="eastAsia" w:ascii="宋体" w:hAnsi="宋体" w:cs="宋体"/>
          <w:sz w:val="24"/>
        </w:rPr>
        <w:t>（3）物联网平台：提供物联设备接入的项目化配置管理功能：包括空间模型配置管理功能、设备模板项目化配置功能、项目总体接入设备情况管理功能、各场景接入设备情况管理功能、设备运行监测功能、设备参数监测功能等。</w:t>
      </w:r>
    </w:p>
    <w:p w14:paraId="7ECF9973">
      <w:pPr>
        <w:spacing w:line="360" w:lineRule="auto"/>
        <w:ind w:firstLine="480"/>
        <w:rPr>
          <w:rFonts w:hint="eastAsia" w:ascii="宋体" w:hAnsi="宋体" w:cs="宋体"/>
          <w:sz w:val="24"/>
        </w:rPr>
      </w:pPr>
      <w:r>
        <w:rPr>
          <w:rFonts w:hint="eastAsia" w:ascii="宋体" w:hAnsi="宋体" w:cs="宋体"/>
          <w:sz w:val="24"/>
        </w:rPr>
        <w:t>（4）应用服务中心：提供应用基础组件管理功能：包括规则引擎管理功能、现场组态管理功能、后台任务监测功能等。</w:t>
      </w:r>
    </w:p>
    <w:p w14:paraId="7D3ECAFB">
      <w:pPr>
        <w:spacing w:line="360" w:lineRule="auto"/>
        <w:ind w:firstLine="482"/>
        <w:rPr>
          <w:rFonts w:hint="eastAsia" w:ascii="宋体" w:hAnsi="宋体" w:cs="宋体"/>
          <w:sz w:val="24"/>
        </w:rPr>
      </w:pPr>
      <w:r>
        <w:rPr>
          <w:rFonts w:hint="eastAsia" w:ascii="宋体" w:hAnsi="宋体" w:cs="宋体"/>
          <w:b/>
          <w:bCs/>
          <w:sz w:val="24"/>
        </w:rPr>
        <w:t>2、电能计量管理系统软件</w:t>
      </w:r>
    </w:p>
    <w:p w14:paraId="6CFE0946">
      <w:pPr>
        <w:spacing w:line="360" w:lineRule="auto"/>
        <w:ind w:firstLine="480"/>
        <w:rPr>
          <w:rFonts w:hint="eastAsia" w:ascii="宋体" w:hAnsi="宋体" w:cs="宋体"/>
          <w:sz w:val="24"/>
        </w:rPr>
      </w:pPr>
      <w:bookmarkStart w:id="0" w:name="_Toc119140634"/>
      <w:r>
        <w:rPr>
          <w:rFonts w:hint="eastAsia" w:ascii="宋体" w:hAnsi="宋体" w:cs="宋体"/>
          <w:sz w:val="24"/>
        </w:rPr>
        <w:t>1）节能对标功能要求</w:t>
      </w:r>
      <w:bookmarkEnd w:id="0"/>
      <w:r>
        <w:rPr>
          <w:rFonts w:hint="eastAsia" w:ascii="宋体" w:hAnsi="宋体" w:cs="宋体"/>
          <w:sz w:val="24"/>
        </w:rPr>
        <w:t>：</w:t>
      </w:r>
    </w:p>
    <w:p w14:paraId="68B6B9A3">
      <w:pPr>
        <w:spacing w:line="360" w:lineRule="auto"/>
        <w:ind w:firstLine="480"/>
        <w:rPr>
          <w:rFonts w:hint="eastAsia" w:ascii="宋体" w:hAnsi="宋体" w:cs="宋体"/>
          <w:sz w:val="24"/>
        </w:rPr>
      </w:pPr>
      <w:r>
        <w:rPr>
          <w:rFonts w:hint="eastAsia" w:ascii="宋体" w:hAnsi="宋体" w:cs="宋体"/>
          <w:bCs/>
          <w:sz w:val="24"/>
        </w:rPr>
        <w:t>①</w:t>
      </w:r>
      <w:r>
        <w:rPr>
          <w:rFonts w:hint="eastAsia" w:ascii="宋体" w:hAnsi="宋体" w:cs="宋体"/>
          <w:sz w:val="24"/>
        </w:rPr>
        <w:t>项目配置：配置托管周期、录入每个托管年用电费用指标、节能指标；根据能源资源种类建立能源账单户号。</w:t>
      </w:r>
    </w:p>
    <w:p w14:paraId="44FCA21E">
      <w:pPr>
        <w:spacing w:line="360" w:lineRule="auto"/>
        <w:ind w:firstLine="480"/>
        <w:rPr>
          <w:rFonts w:hint="eastAsia" w:ascii="宋体" w:hAnsi="宋体" w:cs="宋体"/>
          <w:sz w:val="24"/>
        </w:rPr>
      </w:pPr>
      <w:r>
        <w:rPr>
          <w:rFonts w:hint="eastAsia" w:ascii="宋体" w:hAnsi="宋体" w:cs="宋体"/>
          <w:bCs/>
          <w:sz w:val="24"/>
        </w:rPr>
        <w:t>②</w:t>
      </w:r>
      <w:r>
        <w:rPr>
          <w:rFonts w:hint="eastAsia" w:ascii="宋体" w:hAnsi="宋体" w:cs="宋体"/>
          <w:sz w:val="24"/>
        </w:rPr>
        <w:t>账单录入：根据能源资源种类，按托管周期录入逐月基准用量、费用数据；根据能源资源种类分，按托管周期录入分户号录入实际能源资源账号数据。</w:t>
      </w:r>
    </w:p>
    <w:p w14:paraId="2AE43510">
      <w:pPr>
        <w:spacing w:line="360" w:lineRule="auto"/>
        <w:ind w:firstLine="480"/>
        <w:rPr>
          <w:rFonts w:hint="eastAsia" w:ascii="宋体" w:hAnsi="宋体" w:cs="宋体"/>
          <w:sz w:val="24"/>
        </w:rPr>
      </w:pPr>
      <w:r>
        <w:rPr>
          <w:rFonts w:hint="eastAsia" w:ascii="宋体" w:hAnsi="宋体" w:cs="宋体"/>
          <w:bCs/>
          <w:sz w:val="24"/>
        </w:rPr>
        <w:t>③</w:t>
      </w:r>
      <w:r>
        <w:rPr>
          <w:rFonts w:hint="eastAsia" w:ascii="宋体" w:hAnsi="宋体" w:cs="宋体"/>
          <w:sz w:val="24"/>
        </w:rPr>
        <w:t>统计对标：根据能源资源种类，按托管周期对标指定周期逐月节能对标结果，支持实际情况、价格变化因素影响情况和用能边界变化因素影响情况区分。</w:t>
      </w:r>
    </w:p>
    <w:p w14:paraId="0FD46A53">
      <w:pPr>
        <w:spacing w:line="360" w:lineRule="auto"/>
        <w:ind w:firstLine="480"/>
        <w:rPr>
          <w:rFonts w:hint="eastAsia" w:ascii="宋体" w:hAnsi="宋体" w:cs="宋体"/>
          <w:sz w:val="24"/>
        </w:rPr>
      </w:pPr>
      <w:bookmarkStart w:id="1" w:name="_Toc119140635"/>
      <w:r>
        <w:rPr>
          <w:rFonts w:hint="eastAsia" w:ascii="宋体" w:hAnsi="宋体" w:cs="宋体"/>
          <w:sz w:val="24"/>
        </w:rPr>
        <w:t>2）增量追溯功能要求</w:t>
      </w:r>
      <w:bookmarkEnd w:id="1"/>
      <w:r>
        <w:rPr>
          <w:rFonts w:hint="eastAsia" w:ascii="宋体" w:hAnsi="宋体" w:cs="宋体"/>
          <w:sz w:val="24"/>
        </w:rPr>
        <w:t>：</w:t>
      </w:r>
    </w:p>
    <w:p w14:paraId="62FFBEE1">
      <w:pPr>
        <w:spacing w:line="360" w:lineRule="auto"/>
        <w:ind w:firstLine="480"/>
        <w:rPr>
          <w:rFonts w:hint="eastAsia" w:ascii="宋体" w:hAnsi="宋体" w:cs="宋体"/>
          <w:sz w:val="24"/>
        </w:rPr>
      </w:pPr>
      <w:r>
        <w:rPr>
          <w:rFonts w:hint="eastAsia" w:ascii="宋体" w:hAnsi="宋体" w:cs="宋体"/>
          <w:sz w:val="24"/>
        </w:rPr>
        <w:t>根据能源资源种类，按增量时间类型对单个监测点，通过时间维度的横向和纵向对比，及时发现增量变化，便于定性定量异常回路，追溯发现异常用能问题。</w:t>
      </w:r>
    </w:p>
    <w:p w14:paraId="084A9795">
      <w:pPr>
        <w:spacing w:line="360" w:lineRule="auto"/>
        <w:ind w:firstLine="480"/>
        <w:rPr>
          <w:rFonts w:hint="eastAsia" w:ascii="宋体" w:hAnsi="宋体" w:cs="宋体"/>
          <w:sz w:val="24"/>
        </w:rPr>
      </w:pPr>
      <w:r>
        <w:rPr>
          <w:rFonts w:hint="eastAsia" w:ascii="宋体" w:hAnsi="宋体" w:cs="宋体"/>
          <w:bCs/>
          <w:sz w:val="24"/>
        </w:rPr>
        <w:t>①</w:t>
      </w:r>
      <w:r>
        <w:rPr>
          <w:rFonts w:hint="eastAsia" w:ascii="宋体" w:hAnsi="宋体" w:cs="宋体"/>
          <w:sz w:val="24"/>
        </w:rPr>
        <w:t>昨日增量：监测各用电回路昨日能耗、昨日非工作时段能耗、昨日增量、昨日增量变化率；支持按日能耗、非工作时段能耗、增量、增量变化率进行排序，以便快速定位昨日能耗异常增长回路。</w:t>
      </w:r>
    </w:p>
    <w:p w14:paraId="30A5DA70">
      <w:pPr>
        <w:spacing w:line="360" w:lineRule="auto"/>
        <w:ind w:firstLine="480"/>
        <w:rPr>
          <w:rFonts w:hint="eastAsia" w:ascii="宋体" w:hAnsi="宋体" w:cs="宋体"/>
          <w:sz w:val="24"/>
        </w:rPr>
      </w:pPr>
      <w:r>
        <w:rPr>
          <w:rFonts w:hint="eastAsia" w:ascii="宋体" w:hAnsi="宋体" w:cs="宋体"/>
          <w:bCs/>
          <w:sz w:val="24"/>
        </w:rPr>
        <w:t>②</w:t>
      </w:r>
      <w:r>
        <w:rPr>
          <w:rFonts w:hint="eastAsia" w:ascii="宋体" w:hAnsi="宋体" w:cs="宋体"/>
          <w:sz w:val="24"/>
        </w:rPr>
        <w:t>七日异常：监测昨日能耗大于前7日内最大日能耗设备；支持昨日能耗、7日内最大、最小日能耗排序，以便快速定位用电回路能耗异常增长情况。</w:t>
      </w:r>
    </w:p>
    <w:p w14:paraId="65B9D413">
      <w:pPr>
        <w:spacing w:line="360" w:lineRule="auto"/>
        <w:ind w:firstLine="480"/>
        <w:rPr>
          <w:rFonts w:hint="eastAsia" w:ascii="宋体" w:hAnsi="宋体" w:cs="宋体"/>
          <w:sz w:val="24"/>
        </w:rPr>
      </w:pPr>
      <w:r>
        <w:rPr>
          <w:rFonts w:hint="eastAsia" w:ascii="宋体" w:hAnsi="宋体" w:cs="宋体"/>
          <w:bCs/>
          <w:sz w:val="24"/>
        </w:rPr>
        <w:t>③</w:t>
      </w:r>
      <w:r>
        <w:rPr>
          <w:rFonts w:hint="eastAsia" w:ascii="宋体" w:hAnsi="宋体" w:cs="宋体"/>
          <w:sz w:val="24"/>
        </w:rPr>
        <w:t>本月同比：监测各用电回路本月月度能耗、同比变化情况；支持按月度能耗、同比变化进行排序。</w:t>
      </w:r>
    </w:p>
    <w:p w14:paraId="2509D17E">
      <w:pPr>
        <w:spacing w:line="360" w:lineRule="auto"/>
        <w:ind w:firstLine="480"/>
        <w:rPr>
          <w:rFonts w:hint="eastAsia" w:ascii="宋体" w:hAnsi="宋体" w:cs="宋体"/>
          <w:sz w:val="24"/>
        </w:rPr>
      </w:pPr>
      <w:r>
        <w:rPr>
          <w:rFonts w:hint="eastAsia" w:ascii="宋体" w:hAnsi="宋体" w:cs="宋体"/>
          <w:bCs/>
          <w:sz w:val="24"/>
        </w:rPr>
        <w:t>④</w:t>
      </w:r>
      <w:r>
        <w:rPr>
          <w:rFonts w:hint="eastAsia" w:ascii="宋体" w:hAnsi="宋体" w:cs="宋体"/>
          <w:sz w:val="24"/>
        </w:rPr>
        <w:t>上月同比：监测各用电回路上月月度能耗、同比变化情况；支持按月度能耗、同比变化进行排序。</w:t>
      </w:r>
    </w:p>
    <w:p w14:paraId="04B69A88">
      <w:pPr>
        <w:spacing w:line="360" w:lineRule="auto"/>
        <w:ind w:firstLine="480"/>
        <w:rPr>
          <w:rFonts w:hint="eastAsia" w:ascii="宋体" w:hAnsi="宋体" w:cs="宋体"/>
          <w:sz w:val="24"/>
        </w:rPr>
      </w:pPr>
      <w:r>
        <w:rPr>
          <w:rFonts w:hint="eastAsia" w:ascii="宋体" w:hAnsi="宋体" w:cs="宋体"/>
          <w:bCs/>
          <w:sz w:val="24"/>
        </w:rPr>
        <w:t>⑤</w:t>
      </w:r>
      <w:r>
        <w:rPr>
          <w:rFonts w:hint="eastAsia" w:ascii="宋体" w:hAnsi="宋体" w:cs="宋体"/>
          <w:sz w:val="24"/>
        </w:rPr>
        <w:t>用电回路能耗日历：可查看用电回路任意月份逐日能耗数据。</w:t>
      </w:r>
    </w:p>
    <w:p w14:paraId="6C52F905">
      <w:pPr>
        <w:spacing w:line="360" w:lineRule="auto"/>
        <w:ind w:firstLine="480"/>
        <w:rPr>
          <w:rFonts w:hint="eastAsia" w:ascii="宋体" w:hAnsi="宋体" w:cs="宋体"/>
          <w:sz w:val="24"/>
        </w:rPr>
      </w:pPr>
      <w:r>
        <w:rPr>
          <w:rFonts w:hint="eastAsia" w:ascii="宋体" w:hAnsi="宋体" w:cs="宋体"/>
          <w:bCs/>
          <w:sz w:val="24"/>
        </w:rPr>
        <w:t>⑥</w:t>
      </w:r>
      <w:r>
        <w:rPr>
          <w:rFonts w:hint="eastAsia" w:ascii="宋体" w:hAnsi="宋体" w:cs="宋体"/>
          <w:sz w:val="24"/>
        </w:rPr>
        <w:t>用电回路72小时能耗：可查看用电回路任意日期最近72小时内逐时能耗数据。</w:t>
      </w:r>
    </w:p>
    <w:p w14:paraId="462815B3">
      <w:pPr>
        <w:spacing w:line="360" w:lineRule="auto"/>
        <w:ind w:firstLine="480"/>
        <w:rPr>
          <w:rFonts w:hint="eastAsia" w:ascii="宋体" w:hAnsi="宋体" w:cs="宋体"/>
          <w:sz w:val="24"/>
        </w:rPr>
      </w:pPr>
      <w:bookmarkStart w:id="2" w:name="_Toc119140636"/>
      <w:r>
        <w:rPr>
          <w:rFonts w:hint="eastAsia" w:ascii="宋体" w:hAnsi="宋体" w:cs="宋体"/>
          <w:sz w:val="24"/>
        </w:rPr>
        <w:t>3）增量捕捉功能要求</w:t>
      </w:r>
      <w:bookmarkEnd w:id="2"/>
      <w:r>
        <w:rPr>
          <w:rFonts w:hint="eastAsia" w:ascii="宋体" w:hAnsi="宋体" w:cs="宋体"/>
          <w:sz w:val="24"/>
        </w:rPr>
        <w:t>：</w:t>
      </w:r>
    </w:p>
    <w:p w14:paraId="0AD548A0">
      <w:pPr>
        <w:spacing w:line="360" w:lineRule="auto"/>
        <w:ind w:firstLine="480"/>
        <w:rPr>
          <w:rFonts w:hint="eastAsia" w:ascii="宋体" w:hAnsi="宋体" w:cs="宋体"/>
          <w:sz w:val="24"/>
        </w:rPr>
      </w:pPr>
      <w:r>
        <w:rPr>
          <w:rFonts w:hint="eastAsia" w:ascii="宋体" w:hAnsi="宋体" w:cs="宋体"/>
          <w:bCs/>
          <w:sz w:val="24"/>
        </w:rPr>
        <w:t>①</w:t>
      </w:r>
      <w:r>
        <w:rPr>
          <w:rFonts w:hint="eastAsia" w:ascii="宋体" w:hAnsi="宋体" w:cs="宋体"/>
          <w:sz w:val="24"/>
        </w:rPr>
        <w:t>增量规则配置：支持可视化方式配置增量规则流程，规则支持设定触发对象（单设备、模板设备、增量参数）、判断条件（且或、昨日环比、本月同比等）、执行动作（推送指定用户）。</w:t>
      </w:r>
    </w:p>
    <w:p w14:paraId="192CA1D6">
      <w:pPr>
        <w:spacing w:line="360" w:lineRule="auto"/>
        <w:ind w:firstLine="480"/>
        <w:rPr>
          <w:rFonts w:hint="eastAsia" w:ascii="宋体" w:hAnsi="宋体" w:cs="宋体"/>
          <w:sz w:val="24"/>
        </w:rPr>
      </w:pPr>
      <w:r>
        <w:rPr>
          <w:rFonts w:hint="eastAsia" w:ascii="宋体" w:hAnsi="宋体" w:cs="宋体"/>
          <w:bCs/>
          <w:sz w:val="24"/>
        </w:rPr>
        <w:t>②</w:t>
      </w:r>
      <w:r>
        <w:rPr>
          <w:rFonts w:hint="eastAsia" w:ascii="宋体" w:hAnsi="宋体" w:cs="宋体"/>
          <w:sz w:val="24"/>
        </w:rPr>
        <w:t>增量日志追溯：查询任意增量规则匹配满足的增量历史日志信息</w:t>
      </w:r>
    </w:p>
    <w:p w14:paraId="604942BE">
      <w:pPr>
        <w:spacing w:line="360" w:lineRule="auto"/>
        <w:ind w:firstLine="482"/>
        <w:rPr>
          <w:rFonts w:hint="eastAsia" w:ascii="宋体" w:hAnsi="宋体" w:cs="宋体"/>
          <w:sz w:val="24"/>
        </w:rPr>
      </w:pPr>
      <w:r>
        <w:rPr>
          <w:rFonts w:hint="eastAsia" w:ascii="宋体" w:hAnsi="宋体" w:cs="宋体"/>
          <w:b/>
          <w:bCs/>
          <w:sz w:val="24"/>
        </w:rPr>
        <w:t>3、给水管网监测系统软件</w:t>
      </w:r>
    </w:p>
    <w:p w14:paraId="75924F1B">
      <w:pPr>
        <w:spacing w:line="360" w:lineRule="auto"/>
        <w:ind w:firstLine="480"/>
        <w:rPr>
          <w:rFonts w:hint="eastAsia" w:ascii="宋体" w:hAnsi="宋体" w:cs="宋体"/>
          <w:sz w:val="24"/>
        </w:rPr>
      </w:pPr>
      <w:bookmarkStart w:id="3" w:name="_Toc119140638"/>
      <w:r>
        <w:rPr>
          <w:rFonts w:hint="eastAsia" w:ascii="宋体" w:hAnsi="宋体" w:cs="宋体"/>
          <w:sz w:val="24"/>
        </w:rPr>
        <w:t>1）节能对标功能要求</w:t>
      </w:r>
      <w:bookmarkEnd w:id="3"/>
      <w:r>
        <w:rPr>
          <w:rFonts w:hint="eastAsia" w:ascii="宋体" w:hAnsi="宋体" w:cs="宋体"/>
          <w:sz w:val="24"/>
        </w:rPr>
        <w:t>：</w:t>
      </w:r>
    </w:p>
    <w:p w14:paraId="08F1C815">
      <w:pPr>
        <w:spacing w:line="360" w:lineRule="auto"/>
        <w:ind w:firstLine="480"/>
        <w:rPr>
          <w:rFonts w:hint="eastAsia" w:ascii="宋体" w:hAnsi="宋体" w:cs="宋体"/>
          <w:sz w:val="24"/>
        </w:rPr>
      </w:pPr>
      <w:r>
        <w:rPr>
          <w:rFonts w:hint="eastAsia" w:ascii="宋体" w:hAnsi="宋体" w:cs="宋体"/>
          <w:bCs/>
          <w:sz w:val="24"/>
        </w:rPr>
        <w:t>①</w:t>
      </w:r>
      <w:r>
        <w:rPr>
          <w:rFonts w:hint="eastAsia" w:ascii="宋体" w:hAnsi="宋体" w:cs="宋体"/>
          <w:sz w:val="24"/>
        </w:rPr>
        <w:t>项目配置</w:t>
      </w:r>
    </w:p>
    <w:p w14:paraId="3E95781D">
      <w:pPr>
        <w:spacing w:line="360" w:lineRule="auto"/>
        <w:ind w:firstLine="480"/>
        <w:rPr>
          <w:rFonts w:hint="eastAsia" w:ascii="宋体" w:hAnsi="宋体" w:cs="宋体"/>
          <w:sz w:val="24"/>
        </w:rPr>
      </w:pPr>
      <w:r>
        <w:rPr>
          <w:rFonts w:hint="eastAsia" w:ascii="宋体" w:hAnsi="宋体" w:cs="宋体"/>
          <w:sz w:val="24"/>
        </w:rPr>
        <w:t>配置托管周期、录入每个托管年用水费用指标、节能指标；根据能源资源种类建立能源账单户号。</w:t>
      </w:r>
    </w:p>
    <w:p w14:paraId="072DCA01">
      <w:pPr>
        <w:spacing w:line="360" w:lineRule="auto"/>
        <w:ind w:firstLine="480"/>
        <w:rPr>
          <w:rFonts w:hint="eastAsia" w:ascii="宋体" w:hAnsi="宋体" w:cs="宋体"/>
          <w:sz w:val="24"/>
        </w:rPr>
      </w:pPr>
      <w:r>
        <w:rPr>
          <w:rFonts w:hint="eastAsia" w:ascii="宋体" w:hAnsi="宋体" w:cs="宋体"/>
          <w:bCs/>
          <w:sz w:val="24"/>
        </w:rPr>
        <w:t>②</w:t>
      </w:r>
      <w:r>
        <w:rPr>
          <w:rFonts w:hint="eastAsia" w:ascii="宋体" w:hAnsi="宋体" w:cs="宋体"/>
          <w:sz w:val="24"/>
        </w:rPr>
        <w:t>账单录入</w:t>
      </w:r>
    </w:p>
    <w:p w14:paraId="02AB3733">
      <w:pPr>
        <w:spacing w:line="360" w:lineRule="auto"/>
        <w:ind w:firstLine="480"/>
        <w:rPr>
          <w:rFonts w:hint="eastAsia" w:ascii="宋体" w:hAnsi="宋体" w:cs="宋体"/>
          <w:sz w:val="24"/>
        </w:rPr>
      </w:pPr>
      <w:r>
        <w:rPr>
          <w:rFonts w:hint="eastAsia" w:ascii="宋体" w:hAnsi="宋体" w:cs="宋体"/>
          <w:sz w:val="24"/>
        </w:rPr>
        <w:t>根据能源资源种类，按托管周期录入逐月基准用量、费用数据；根据能源资源种类分，按托管周期录入分户号录入实际能源资源账号数据。</w:t>
      </w:r>
    </w:p>
    <w:p w14:paraId="7D7140CB">
      <w:pPr>
        <w:spacing w:line="360" w:lineRule="auto"/>
        <w:ind w:firstLine="480"/>
        <w:rPr>
          <w:rFonts w:hint="eastAsia" w:ascii="宋体" w:hAnsi="宋体" w:cs="宋体"/>
          <w:sz w:val="24"/>
        </w:rPr>
      </w:pPr>
      <w:r>
        <w:rPr>
          <w:rFonts w:hint="eastAsia" w:ascii="宋体" w:hAnsi="宋体" w:cs="宋体"/>
          <w:bCs/>
          <w:sz w:val="24"/>
        </w:rPr>
        <w:t>③</w:t>
      </w:r>
      <w:r>
        <w:rPr>
          <w:rFonts w:hint="eastAsia" w:ascii="宋体" w:hAnsi="宋体" w:cs="宋体"/>
          <w:sz w:val="24"/>
        </w:rPr>
        <w:t>统计对标</w:t>
      </w:r>
    </w:p>
    <w:p w14:paraId="7CCF9E76">
      <w:pPr>
        <w:spacing w:line="360" w:lineRule="auto"/>
        <w:ind w:firstLine="480"/>
        <w:rPr>
          <w:rFonts w:hint="eastAsia" w:ascii="宋体" w:hAnsi="宋体" w:cs="宋体"/>
          <w:sz w:val="24"/>
        </w:rPr>
      </w:pPr>
      <w:r>
        <w:rPr>
          <w:rFonts w:hint="eastAsia" w:ascii="宋体" w:hAnsi="宋体" w:cs="宋体"/>
          <w:sz w:val="24"/>
        </w:rPr>
        <w:t>根据能源资源种类，按托管周期对标指定周期逐月节能对标结果，支持实际情况、价格变化因素影响情况和用能边界变化因素影响情况区分。</w:t>
      </w:r>
    </w:p>
    <w:p w14:paraId="43FF093B">
      <w:pPr>
        <w:spacing w:line="360" w:lineRule="auto"/>
        <w:ind w:firstLine="480"/>
        <w:rPr>
          <w:rFonts w:hint="eastAsia" w:ascii="宋体" w:hAnsi="宋体" w:cs="宋体"/>
          <w:sz w:val="24"/>
        </w:rPr>
      </w:pPr>
      <w:bookmarkStart w:id="4" w:name="_Toc119140639"/>
      <w:r>
        <w:rPr>
          <w:rFonts w:hint="eastAsia" w:ascii="宋体" w:hAnsi="宋体" w:cs="宋体"/>
          <w:sz w:val="24"/>
        </w:rPr>
        <w:t>2）增量追溯功能要求</w:t>
      </w:r>
      <w:bookmarkEnd w:id="4"/>
      <w:r>
        <w:rPr>
          <w:rFonts w:hint="eastAsia" w:ascii="宋体" w:hAnsi="宋体" w:cs="宋体"/>
          <w:sz w:val="24"/>
        </w:rPr>
        <w:t>：</w:t>
      </w:r>
    </w:p>
    <w:p w14:paraId="2A11F9B9">
      <w:pPr>
        <w:spacing w:line="360" w:lineRule="auto"/>
        <w:ind w:firstLine="480"/>
        <w:rPr>
          <w:rFonts w:hint="eastAsia" w:ascii="宋体" w:hAnsi="宋体" w:cs="宋体"/>
          <w:sz w:val="24"/>
        </w:rPr>
      </w:pPr>
      <w:r>
        <w:rPr>
          <w:rFonts w:hint="eastAsia" w:ascii="宋体" w:hAnsi="宋体" w:cs="宋体"/>
          <w:sz w:val="24"/>
        </w:rPr>
        <w:t>根据能源资源种类，按增量时间类型对单个监测点，通过时间维度的横向和纵向对比，及时发现增量变化，便于定性定量异常回路，追溯发现异常用能问题。</w:t>
      </w:r>
    </w:p>
    <w:p w14:paraId="0EA5E728">
      <w:pPr>
        <w:spacing w:line="360" w:lineRule="auto"/>
        <w:ind w:firstLine="480"/>
        <w:rPr>
          <w:rFonts w:hint="eastAsia" w:ascii="宋体" w:hAnsi="宋体" w:cs="宋体"/>
          <w:sz w:val="24"/>
        </w:rPr>
      </w:pPr>
      <w:r>
        <w:rPr>
          <w:rFonts w:hint="eastAsia" w:ascii="宋体" w:hAnsi="宋体" w:cs="宋体"/>
          <w:bCs/>
          <w:sz w:val="24"/>
        </w:rPr>
        <w:t>①</w:t>
      </w:r>
      <w:r>
        <w:rPr>
          <w:rFonts w:hint="eastAsia" w:ascii="宋体" w:hAnsi="宋体" w:cs="宋体"/>
          <w:sz w:val="24"/>
        </w:rPr>
        <w:t>昨日增量</w:t>
      </w:r>
    </w:p>
    <w:p w14:paraId="0DA19ECF">
      <w:pPr>
        <w:spacing w:line="360" w:lineRule="auto"/>
        <w:ind w:firstLine="480"/>
        <w:rPr>
          <w:rFonts w:hint="eastAsia" w:ascii="宋体" w:hAnsi="宋体" w:cs="宋体"/>
          <w:sz w:val="24"/>
        </w:rPr>
      </w:pPr>
      <w:r>
        <w:rPr>
          <w:rFonts w:hint="eastAsia" w:ascii="宋体" w:hAnsi="宋体" w:cs="宋体"/>
          <w:sz w:val="24"/>
        </w:rPr>
        <w:t>监测各用水计量监测点昨日能耗、昨日非工作时段能耗、昨日增量、昨日增量变化率；支持按日能耗、非工作时段能耗、增量、增量变化率进行排序，以便快速定位昨日能耗异常增长回路。</w:t>
      </w:r>
    </w:p>
    <w:p w14:paraId="0C56244C">
      <w:pPr>
        <w:spacing w:line="360" w:lineRule="auto"/>
        <w:ind w:firstLine="480"/>
        <w:rPr>
          <w:rFonts w:hint="eastAsia" w:ascii="宋体" w:hAnsi="宋体" w:cs="宋体"/>
          <w:sz w:val="24"/>
        </w:rPr>
      </w:pPr>
      <w:r>
        <w:rPr>
          <w:rFonts w:hint="eastAsia" w:ascii="宋体" w:hAnsi="宋体" w:cs="宋体"/>
          <w:bCs/>
          <w:sz w:val="24"/>
        </w:rPr>
        <w:t>②</w:t>
      </w:r>
      <w:r>
        <w:rPr>
          <w:rFonts w:hint="eastAsia" w:ascii="宋体" w:hAnsi="宋体" w:cs="宋体"/>
          <w:sz w:val="24"/>
        </w:rPr>
        <w:t>七日异常</w:t>
      </w:r>
    </w:p>
    <w:p w14:paraId="5FBB3AD2">
      <w:pPr>
        <w:spacing w:line="360" w:lineRule="auto"/>
        <w:ind w:firstLine="480"/>
        <w:rPr>
          <w:rFonts w:hint="eastAsia" w:ascii="宋体" w:hAnsi="宋体" w:cs="宋体"/>
          <w:sz w:val="24"/>
        </w:rPr>
      </w:pPr>
      <w:r>
        <w:rPr>
          <w:rFonts w:hint="eastAsia" w:ascii="宋体" w:hAnsi="宋体" w:cs="宋体"/>
          <w:sz w:val="24"/>
        </w:rPr>
        <w:t>监测昨日能耗大于前7日内最大日能耗设备；支持昨日能耗、7日内最大、最小日能耗排序，以便快速定位用水计量监测点能耗异常增长情况。</w:t>
      </w:r>
    </w:p>
    <w:p w14:paraId="2CCC6182">
      <w:pPr>
        <w:spacing w:line="360" w:lineRule="auto"/>
        <w:ind w:firstLine="480"/>
        <w:rPr>
          <w:rFonts w:hint="eastAsia" w:ascii="宋体" w:hAnsi="宋体" w:cs="宋体"/>
          <w:sz w:val="24"/>
        </w:rPr>
      </w:pPr>
      <w:r>
        <w:rPr>
          <w:rFonts w:hint="eastAsia" w:ascii="宋体" w:hAnsi="宋体" w:cs="宋体"/>
          <w:bCs/>
          <w:sz w:val="24"/>
        </w:rPr>
        <w:t>③</w:t>
      </w:r>
      <w:r>
        <w:rPr>
          <w:rFonts w:hint="eastAsia" w:ascii="宋体" w:hAnsi="宋体" w:cs="宋体"/>
          <w:sz w:val="24"/>
        </w:rPr>
        <w:t>本月同比</w:t>
      </w:r>
    </w:p>
    <w:p w14:paraId="37C57C30">
      <w:pPr>
        <w:spacing w:line="360" w:lineRule="auto"/>
        <w:ind w:firstLine="480"/>
        <w:rPr>
          <w:rFonts w:hint="eastAsia" w:ascii="宋体" w:hAnsi="宋体" w:cs="宋体"/>
          <w:sz w:val="24"/>
        </w:rPr>
      </w:pPr>
      <w:r>
        <w:rPr>
          <w:rFonts w:hint="eastAsia" w:ascii="宋体" w:hAnsi="宋体" w:cs="宋体"/>
          <w:sz w:val="24"/>
        </w:rPr>
        <w:t>监测各用水计量监测点本月月度能耗、同比变化情况；支持按月度能耗、同比变化进行排序。</w:t>
      </w:r>
    </w:p>
    <w:p w14:paraId="2E3A0D9D">
      <w:pPr>
        <w:spacing w:line="360" w:lineRule="auto"/>
        <w:ind w:firstLine="480"/>
        <w:rPr>
          <w:rFonts w:hint="eastAsia" w:ascii="宋体" w:hAnsi="宋体" w:cs="宋体"/>
          <w:sz w:val="24"/>
        </w:rPr>
      </w:pPr>
      <w:r>
        <w:rPr>
          <w:rFonts w:hint="eastAsia" w:ascii="宋体" w:hAnsi="宋体" w:cs="宋体"/>
          <w:bCs/>
          <w:sz w:val="24"/>
        </w:rPr>
        <w:t>④</w:t>
      </w:r>
      <w:r>
        <w:rPr>
          <w:rFonts w:hint="eastAsia" w:ascii="宋体" w:hAnsi="宋体" w:cs="宋体"/>
          <w:sz w:val="24"/>
        </w:rPr>
        <w:t>上月同比</w:t>
      </w:r>
    </w:p>
    <w:p w14:paraId="04290127">
      <w:pPr>
        <w:spacing w:line="360" w:lineRule="auto"/>
        <w:ind w:firstLine="480"/>
        <w:rPr>
          <w:rFonts w:hint="eastAsia" w:ascii="宋体" w:hAnsi="宋体" w:cs="宋体"/>
          <w:sz w:val="24"/>
        </w:rPr>
      </w:pPr>
      <w:r>
        <w:rPr>
          <w:rFonts w:hint="eastAsia" w:ascii="宋体" w:hAnsi="宋体" w:cs="宋体"/>
          <w:sz w:val="24"/>
        </w:rPr>
        <w:t>监测各用水计量监测点上月月度能耗、同比变化情况；支持按月度能耗、同比变化进行排序。</w:t>
      </w:r>
    </w:p>
    <w:p w14:paraId="341DE2BA">
      <w:pPr>
        <w:spacing w:line="360" w:lineRule="auto"/>
        <w:ind w:firstLine="480"/>
        <w:rPr>
          <w:rFonts w:hint="eastAsia" w:ascii="宋体" w:hAnsi="宋体" w:cs="宋体"/>
          <w:sz w:val="24"/>
        </w:rPr>
      </w:pPr>
      <w:r>
        <w:rPr>
          <w:rFonts w:hint="eastAsia" w:ascii="宋体" w:hAnsi="宋体" w:cs="宋体"/>
          <w:sz w:val="24"/>
        </w:rPr>
        <w:t>用水计量监测点能耗日历</w:t>
      </w:r>
    </w:p>
    <w:p w14:paraId="798FBDD4">
      <w:pPr>
        <w:spacing w:line="360" w:lineRule="auto"/>
        <w:ind w:firstLine="480"/>
        <w:rPr>
          <w:rFonts w:hint="eastAsia" w:ascii="宋体" w:hAnsi="宋体" w:cs="宋体"/>
          <w:sz w:val="24"/>
        </w:rPr>
      </w:pPr>
      <w:r>
        <w:rPr>
          <w:rFonts w:hint="eastAsia" w:ascii="宋体" w:hAnsi="宋体" w:cs="宋体"/>
          <w:sz w:val="24"/>
        </w:rPr>
        <w:t>可查看用水计量监测点任意月份逐日能耗数据。</w:t>
      </w:r>
    </w:p>
    <w:p w14:paraId="1A725A11">
      <w:pPr>
        <w:spacing w:line="360" w:lineRule="auto"/>
        <w:ind w:firstLine="480"/>
        <w:rPr>
          <w:rFonts w:hint="eastAsia" w:ascii="宋体" w:hAnsi="宋体" w:cs="宋体"/>
          <w:sz w:val="24"/>
        </w:rPr>
      </w:pPr>
      <w:r>
        <w:rPr>
          <w:rFonts w:hint="eastAsia" w:ascii="宋体" w:hAnsi="宋体" w:cs="宋体"/>
          <w:sz w:val="24"/>
        </w:rPr>
        <w:t>用水计量监测点72小时能耗</w:t>
      </w:r>
    </w:p>
    <w:p w14:paraId="2FF5EEF5">
      <w:pPr>
        <w:spacing w:line="360" w:lineRule="auto"/>
        <w:ind w:firstLine="480"/>
        <w:rPr>
          <w:rFonts w:hint="eastAsia" w:ascii="宋体" w:hAnsi="宋体" w:cs="宋体"/>
          <w:sz w:val="24"/>
        </w:rPr>
      </w:pPr>
      <w:r>
        <w:rPr>
          <w:rFonts w:hint="eastAsia" w:ascii="宋体" w:hAnsi="宋体" w:cs="宋体"/>
          <w:sz w:val="24"/>
        </w:rPr>
        <w:t>可查看用水计量监测点任意日期最近72小时内逐时能耗数据。</w:t>
      </w:r>
    </w:p>
    <w:p w14:paraId="08DCEA00">
      <w:pPr>
        <w:spacing w:line="360" w:lineRule="auto"/>
        <w:ind w:firstLine="480"/>
        <w:rPr>
          <w:rFonts w:hint="eastAsia" w:ascii="宋体" w:hAnsi="宋体" w:cs="宋体"/>
          <w:sz w:val="24"/>
        </w:rPr>
      </w:pPr>
      <w:bookmarkStart w:id="5" w:name="_Toc119140640"/>
      <w:r>
        <w:rPr>
          <w:rFonts w:hint="eastAsia" w:ascii="宋体" w:hAnsi="宋体" w:cs="宋体"/>
          <w:sz w:val="24"/>
        </w:rPr>
        <w:t>3）增量捕捉功能要求</w:t>
      </w:r>
      <w:bookmarkEnd w:id="5"/>
      <w:r>
        <w:rPr>
          <w:rFonts w:hint="eastAsia" w:ascii="宋体" w:hAnsi="宋体" w:cs="宋体"/>
          <w:sz w:val="24"/>
        </w:rPr>
        <w:t>：</w:t>
      </w:r>
    </w:p>
    <w:p w14:paraId="1E09AFEF">
      <w:pPr>
        <w:spacing w:line="360" w:lineRule="auto"/>
        <w:ind w:firstLine="480"/>
        <w:rPr>
          <w:rFonts w:hint="eastAsia" w:ascii="宋体" w:hAnsi="宋体" w:cs="宋体"/>
          <w:sz w:val="24"/>
        </w:rPr>
      </w:pPr>
      <w:r>
        <w:rPr>
          <w:rFonts w:hint="eastAsia" w:ascii="宋体" w:hAnsi="宋体" w:cs="宋体"/>
          <w:bCs/>
          <w:sz w:val="24"/>
        </w:rPr>
        <w:t>①</w:t>
      </w:r>
      <w:r>
        <w:rPr>
          <w:rFonts w:hint="eastAsia" w:ascii="宋体" w:hAnsi="宋体" w:cs="宋体"/>
          <w:sz w:val="24"/>
        </w:rPr>
        <w:t>增量规则配置</w:t>
      </w:r>
    </w:p>
    <w:p w14:paraId="74AF248F">
      <w:pPr>
        <w:spacing w:line="360" w:lineRule="auto"/>
        <w:ind w:firstLine="480"/>
        <w:rPr>
          <w:rFonts w:hint="eastAsia" w:ascii="宋体" w:hAnsi="宋体" w:cs="宋体"/>
          <w:sz w:val="24"/>
        </w:rPr>
      </w:pPr>
      <w:r>
        <w:rPr>
          <w:rFonts w:hint="eastAsia" w:ascii="宋体" w:hAnsi="宋体" w:cs="宋体"/>
          <w:sz w:val="24"/>
        </w:rPr>
        <w:t>支持可视化方式配置增量规则流程，规则支持设定触发对象（单设备、模板设备、增量参数）、判断条件（且或、昨日环比、本月同比等）、执行动作（推送指定用户）。</w:t>
      </w:r>
    </w:p>
    <w:p w14:paraId="7E1A7FC0">
      <w:pPr>
        <w:spacing w:line="360" w:lineRule="auto"/>
        <w:ind w:firstLine="480"/>
        <w:rPr>
          <w:rFonts w:hint="eastAsia" w:ascii="宋体" w:hAnsi="宋体" w:cs="宋体"/>
          <w:sz w:val="24"/>
        </w:rPr>
      </w:pPr>
      <w:r>
        <w:rPr>
          <w:rFonts w:hint="eastAsia" w:ascii="宋体" w:hAnsi="宋体" w:cs="宋体"/>
          <w:bCs/>
          <w:sz w:val="24"/>
        </w:rPr>
        <w:t>②</w:t>
      </w:r>
      <w:r>
        <w:rPr>
          <w:rFonts w:hint="eastAsia" w:ascii="宋体" w:hAnsi="宋体" w:cs="宋体"/>
          <w:sz w:val="24"/>
        </w:rPr>
        <w:t>增量日志追溯</w:t>
      </w:r>
    </w:p>
    <w:p w14:paraId="000A2BF2">
      <w:pPr>
        <w:spacing w:line="360" w:lineRule="auto"/>
        <w:ind w:firstLine="480"/>
        <w:rPr>
          <w:rFonts w:hint="eastAsia" w:ascii="宋体" w:hAnsi="宋体" w:cs="宋体"/>
          <w:sz w:val="24"/>
        </w:rPr>
      </w:pPr>
      <w:r>
        <w:rPr>
          <w:rFonts w:hint="eastAsia" w:ascii="宋体" w:hAnsi="宋体" w:cs="宋体"/>
          <w:sz w:val="24"/>
        </w:rPr>
        <w:t>查询任意增量规则匹配满足的增量历史日志信息。</w:t>
      </w:r>
    </w:p>
    <w:p w14:paraId="214481A3">
      <w:pPr>
        <w:spacing w:line="360" w:lineRule="auto"/>
        <w:ind w:firstLine="482"/>
        <w:rPr>
          <w:rFonts w:hint="eastAsia" w:ascii="宋体" w:hAnsi="宋体" w:cs="宋体"/>
          <w:sz w:val="24"/>
        </w:rPr>
      </w:pPr>
      <w:r>
        <w:rPr>
          <w:rFonts w:hint="eastAsia" w:ascii="宋体" w:hAnsi="宋体" w:cs="宋体"/>
          <w:b/>
          <w:bCs/>
          <w:sz w:val="24"/>
        </w:rPr>
        <w:t>4、冷热源机房安全智能监管系统软件</w:t>
      </w:r>
    </w:p>
    <w:p w14:paraId="1915EE1D">
      <w:pPr>
        <w:spacing w:line="360" w:lineRule="auto"/>
        <w:ind w:firstLine="480"/>
        <w:rPr>
          <w:rFonts w:hint="eastAsia" w:ascii="宋体" w:hAnsi="宋体" w:cs="宋体"/>
          <w:bCs/>
          <w:sz w:val="24"/>
        </w:rPr>
      </w:pPr>
      <w:r>
        <w:rPr>
          <w:rFonts w:hint="eastAsia" w:ascii="宋体" w:hAnsi="宋体" w:cs="宋体"/>
          <w:bCs/>
          <w:sz w:val="24"/>
        </w:rPr>
        <w:t>（1）中控台</w:t>
      </w:r>
    </w:p>
    <w:p w14:paraId="795C83E2">
      <w:pPr>
        <w:spacing w:line="360" w:lineRule="auto"/>
        <w:ind w:firstLine="480"/>
        <w:rPr>
          <w:rFonts w:hint="eastAsia" w:ascii="宋体" w:hAnsi="宋体" w:cs="宋体"/>
          <w:bCs/>
          <w:sz w:val="24"/>
        </w:rPr>
      </w:pPr>
      <w:r>
        <w:rPr>
          <w:rFonts w:hint="eastAsia" w:ascii="宋体" w:hAnsi="宋体" w:cs="宋体"/>
          <w:bCs/>
          <w:sz w:val="24"/>
        </w:rPr>
        <w:t>支持查看室内温度、室外环境、末端负载、主机能耗、主机负荷、供回水温差、供回水压差、输出热量等的今日、昨日24小时逐时曲线对比图。</w:t>
      </w:r>
    </w:p>
    <w:p w14:paraId="6D3C5B87">
      <w:pPr>
        <w:spacing w:line="360" w:lineRule="auto"/>
        <w:ind w:firstLine="480"/>
        <w:rPr>
          <w:rFonts w:hint="eastAsia" w:ascii="宋体" w:hAnsi="宋体" w:cs="宋体"/>
          <w:bCs/>
          <w:sz w:val="24"/>
        </w:rPr>
      </w:pPr>
      <w:r>
        <w:rPr>
          <w:rFonts w:hint="eastAsia" w:ascii="宋体" w:hAnsi="宋体" w:cs="宋体"/>
          <w:bCs/>
          <w:sz w:val="24"/>
        </w:rPr>
        <w:t>（2）实时控制</w:t>
      </w:r>
    </w:p>
    <w:p w14:paraId="3F902F92">
      <w:pPr>
        <w:spacing w:line="360" w:lineRule="auto"/>
        <w:ind w:firstLine="480"/>
        <w:rPr>
          <w:rFonts w:hint="eastAsia" w:ascii="宋体" w:hAnsi="宋体" w:cs="宋体"/>
          <w:bCs/>
          <w:sz w:val="24"/>
        </w:rPr>
      </w:pPr>
      <w:r>
        <w:rPr>
          <w:rFonts w:hint="eastAsia" w:ascii="宋体" w:hAnsi="宋体" w:cs="宋体"/>
          <w:bCs/>
          <w:sz w:val="24"/>
        </w:rPr>
        <w:t>支持组态图方式查询整个系统当前所有运行工况状态，包括主机运行参数、冷冻系统运行参数、冷却系统运行参数、冷却塔运行参数、供回管网运行参数等；</w:t>
      </w:r>
    </w:p>
    <w:p w14:paraId="197DD2AD">
      <w:pPr>
        <w:spacing w:line="360" w:lineRule="auto"/>
        <w:ind w:firstLine="480"/>
        <w:rPr>
          <w:rFonts w:hint="eastAsia" w:ascii="宋体" w:hAnsi="宋体" w:cs="宋体"/>
          <w:bCs/>
          <w:sz w:val="24"/>
        </w:rPr>
      </w:pPr>
      <w:r>
        <w:rPr>
          <w:rFonts w:hint="eastAsia" w:ascii="宋体" w:hAnsi="宋体" w:cs="宋体"/>
          <w:bCs/>
          <w:sz w:val="24"/>
        </w:rPr>
        <w:t>可以基于组态图，针对支持远程操作的单设备点位，按需进行远程控制操作。</w:t>
      </w:r>
    </w:p>
    <w:p w14:paraId="0B07FA23">
      <w:pPr>
        <w:spacing w:line="360" w:lineRule="auto"/>
        <w:ind w:firstLine="480"/>
        <w:rPr>
          <w:rFonts w:hint="eastAsia" w:ascii="宋体" w:hAnsi="宋体" w:cs="宋体"/>
          <w:bCs/>
          <w:sz w:val="24"/>
        </w:rPr>
      </w:pPr>
      <w:r>
        <w:rPr>
          <w:rFonts w:hint="eastAsia" w:ascii="宋体" w:hAnsi="宋体" w:cs="宋体"/>
          <w:bCs/>
          <w:sz w:val="24"/>
        </w:rPr>
        <w:t>（3）开关策略</w:t>
      </w:r>
    </w:p>
    <w:p w14:paraId="4C13C889">
      <w:pPr>
        <w:spacing w:line="360" w:lineRule="auto"/>
        <w:ind w:firstLine="480"/>
        <w:rPr>
          <w:rFonts w:hint="eastAsia" w:ascii="宋体" w:hAnsi="宋体" w:cs="宋体"/>
          <w:bCs/>
          <w:sz w:val="24"/>
        </w:rPr>
      </w:pPr>
      <w:r>
        <w:rPr>
          <w:rFonts w:hint="eastAsia" w:ascii="宋体" w:hAnsi="宋体" w:cs="宋体"/>
          <w:bCs/>
          <w:sz w:val="24"/>
        </w:rPr>
        <w:t>支持系统开关的组合控制方案配置，方案策略可以下发到现场组态系统，同时与组态系统对接联动，方案策略更改可以双向同步；</w:t>
      </w:r>
    </w:p>
    <w:p w14:paraId="2E0115F9">
      <w:pPr>
        <w:spacing w:line="360" w:lineRule="auto"/>
        <w:ind w:firstLine="480"/>
        <w:rPr>
          <w:rFonts w:hint="eastAsia" w:ascii="宋体" w:hAnsi="宋体" w:cs="宋体"/>
          <w:bCs/>
          <w:sz w:val="24"/>
        </w:rPr>
      </w:pPr>
      <w:r>
        <w:rPr>
          <w:rFonts w:hint="eastAsia" w:ascii="宋体" w:hAnsi="宋体" w:cs="宋体"/>
          <w:bCs/>
          <w:sz w:val="24"/>
        </w:rPr>
        <w:t>支持配置开关策略的控制计划，指定控制时间点自动完成方案的对接下发。</w:t>
      </w:r>
    </w:p>
    <w:p w14:paraId="7AB4C200">
      <w:pPr>
        <w:spacing w:line="360" w:lineRule="auto"/>
        <w:ind w:firstLine="480"/>
        <w:rPr>
          <w:rFonts w:hint="eastAsia" w:ascii="宋体" w:hAnsi="宋体" w:cs="宋体"/>
          <w:bCs/>
          <w:sz w:val="24"/>
        </w:rPr>
      </w:pPr>
      <w:r>
        <w:rPr>
          <w:rFonts w:hint="eastAsia" w:ascii="宋体" w:hAnsi="宋体" w:cs="宋体"/>
          <w:bCs/>
          <w:sz w:val="24"/>
        </w:rPr>
        <w:t>（4）强度策略</w:t>
      </w:r>
    </w:p>
    <w:p w14:paraId="03838452">
      <w:pPr>
        <w:spacing w:line="360" w:lineRule="auto"/>
        <w:ind w:firstLine="480"/>
        <w:rPr>
          <w:rFonts w:hint="eastAsia" w:ascii="宋体" w:hAnsi="宋体" w:cs="宋体"/>
          <w:bCs/>
          <w:sz w:val="24"/>
        </w:rPr>
      </w:pPr>
      <w:r>
        <w:rPr>
          <w:rFonts w:hint="eastAsia" w:ascii="宋体" w:hAnsi="宋体" w:cs="宋体"/>
          <w:bCs/>
          <w:sz w:val="24"/>
        </w:rPr>
        <w:t>支持建立系统各种泵的调频等强度策略，策略可以灵活设置周期、时间、执行动作、轮询时间、轮询次数等。策略支持指定前置条件，前置条件即系统运行参数的判断条件设置；</w:t>
      </w:r>
    </w:p>
    <w:p w14:paraId="6777FD40">
      <w:pPr>
        <w:spacing w:line="360" w:lineRule="auto"/>
        <w:ind w:firstLine="480"/>
        <w:rPr>
          <w:rFonts w:hint="eastAsia" w:ascii="宋体" w:hAnsi="宋体" w:cs="宋体"/>
          <w:bCs/>
          <w:sz w:val="24"/>
        </w:rPr>
      </w:pPr>
      <w:r>
        <w:rPr>
          <w:rFonts w:hint="eastAsia" w:ascii="宋体" w:hAnsi="宋体" w:cs="宋体"/>
          <w:bCs/>
          <w:sz w:val="24"/>
        </w:rPr>
        <w:t>策略可以关联指定设备，设备查询可以基于空间标签、管理标签、设备名称等进行筛选。</w:t>
      </w:r>
    </w:p>
    <w:p w14:paraId="013B7AB0">
      <w:pPr>
        <w:spacing w:line="360" w:lineRule="auto"/>
        <w:ind w:firstLine="480"/>
        <w:rPr>
          <w:rFonts w:hint="eastAsia" w:ascii="宋体" w:hAnsi="宋体" w:cs="宋体"/>
          <w:bCs/>
          <w:sz w:val="24"/>
        </w:rPr>
      </w:pPr>
      <w:r>
        <w:rPr>
          <w:rFonts w:hint="eastAsia" w:ascii="宋体" w:hAnsi="宋体" w:cs="宋体"/>
          <w:bCs/>
          <w:sz w:val="24"/>
        </w:rPr>
        <w:t>（5）报警管理</w:t>
      </w:r>
    </w:p>
    <w:p w14:paraId="61DE5DC5">
      <w:pPr>
        <w:spacing w:line="360" w:lineRule="auto"/>
        <w:ind w:firstLine="480"/>
        <w:rPr>
          <w:rFonts w:hint="eastAsia" w:ascii="宋体" w:hAnsi="宋体" w:cs="宋体"/>
          <w:bCs/>
          <w:sz w:val="24"/>
        </w:rPr>
      </w:pPr>
      <w:r>
        <w:rPr>
          <w:rFonts w:hint="eastAsia" w:ascii="宋体" w:hAnsi="宋体" w:cs="宋体"/>
          <w:bCs/>
          <w:sz w:val="24"/>
        </w:rPr>
        <w:t>支持可视化方式配置系统阈值预警规则，规则支持设定触发对象（单设备、模板设备、预警参数）、判断条件（且或、持续时间等）、执行动作（推送指定用户）；</w:t>
      </w:r>
    </w:p>
    <w:p w14:paraId="768C9C07">
      <w:pPr>
        <w:spacing w:line="360" w:lineRule="auto"/>
        <w:ind w:firstLine="480"/>
        <w:rPr>
          <w:rFonts w:hint="eastAsia" w:ascii="宋体" w:hAnsi="宋体" w:cs="宋体"/>
          <w:sz w:val="24"/>
        </w:rPr>
      </w:pPr>
      <w:r>
        <w:rPr>
          <w:rFonts w:hint="eastAsia" w:ascii="宋体" w:hAnsi="宋体" w:cs="宋体"/>
          <w:bCs/>
          <w:sz w:val="24"/>
        </w:rPr>
        <w:t>查询任意报警规则匹配满足的报警历史事件信息。</w:t>
      </w:r>
    </w:p>
    <w:p w14:paraId="0B4AB24E">
      <w:pPr>
        <w:spacing w:line="360" w:lineRule="auto"/>
        <w:ind w:firstLine="482"/>
        <w:rPr>
          <w:rFonts w:hint="eastAsia" w:ascii="宋体" w:hAnsi="宋体" w:cs="宋体"/>
          <w:sz w:val="24"/>
        </w:rPr>
      </w:pPr>
      <w:r>
        <w:rPr>
          <w:rFonts w:hint="eastAsia" w:ascii="宋体" w:hAnsi="宋体" w:cs="宋体"/>
          <w:b/>
          <w:bCs/>
          <w:sz w:val="24"/>
        </w:rPr>
        <w:t>5、空调节能监控管理系统软件</w:t>
      </w:r>
    </w:p>
    <w:p w14:paraId="117BA849">
      <w:pPr>
        <w:spacing w:line="360" w:lineRule="auto"/>
        <w:ind w:firstLine="480"/>
        <w:rPr>
          <w:rFonts w:hint="eastAsia" w:ascii="宋体" w:hAnsi="宋体" w:cs="宋体"/>
          <w:bCs/>
          <w:sz w:val="24"/>
        </w:rPr>
      </w:pPr>
      <w:r>
        <w:rPr>
          <w:rFonts w:hint="eastAsia" w:ascii="宋体" w:hAnsi="宋体" w:cs="宋体"/>
          <w:bCs/>
          <w:sz w:val="24"/>
        </w:rPr>
        <w:t>（1）实时控制</w:t>
      </w:r>
    </w:p>
    <w:p w14:paraId="4FF3B330">
      <w:pPr>
        <w:spacing w:line="360" w:lineRule="auto"/>
        <w:ind w:firstLine="480"/>
        <w:rPr>
          <w:rFonts w:hint="eastAsia" w:ascii="宋体" w:hAnsi="宋体" w:cs="宋体"/>
          <w:bCs/>
          <w:sz w:val="24"/>
        </w:rPr>
      </w:pPr>
      <w:r>
        <w:rPr>
          <w:rFonts w:hint="eastAsia" w:ascii="宋体" w:hAnsi="宋体" w:cs="宋体"/>
          <w:bCs/>
          <w:sz w:val="24"/>
        </w:rPr>
        <w:t>支持查看当前所有空调运行状态，包括开关、模式、设定温度、室内温度等；</w:t>
      </w:r>
    </w:p>
    <w:p w14:paraId="532E1AE4">
      <w:pPr>
        <w:spacing w:line="360" w:lineRule="auto"/>
        <w:ind w:firstLine="480"/>
        <w:rPr>
          <w:rFonts w:hint="eastAsia" w:ascii="宋体" w:hAnsi="宋体" w:cs="宋体"/>
          <w:bCs/>
          <w:sz w:val="24"/>
        </w:rPr>
      </w:pPr>
      <w:r>
        <w:rPr>
          <w:rFonts w:hint="eastAsia" w:ascii="宋体" w:hAnsi="宋体" w:cs="宋体"/>
          <w:bCs/>
          <w:sz w:val="24"/>
        </w:rPr>
        <w:t>支持筛选功能，可以基于空间和管理属性等进行筛选定位；</w:t>
      </w:r>
    </w:p>
    <w:p w14:paraId="2ACA9098">
      <w:pPr>
        <w:spacing w:line="360" w:lineRule="auto"/>
        <w:ind w:firstLine="480"/>
        <w:rPr>
          <w:rFonts w:hint="eastAsia" w:ascii="宋体" w:hAnsi="宋体" w:cs="宋体"/>
          <w:bCs/>
          <w:sz w:val="24"/>
        </w:rPr>
      </w:pPr>
      <w:r>
        <w:rPr>
          <w:rFonts w:hint="eastAsia" w:ascii="宋体" w:hAnsi="宋体" w:cs="宋体"/>
          <w:bCs/>
          <w:sz w:val="24"/>
        </w:rPr>
        <w:t>支持批量控制功能，可以勾选单个或多个空调进行开关、调温等批量控制。</w:t>
      </w:r>
    </w:p>
    <w:p w14:paraId="3819E30C">
      <w:pPr>
        <w:spacing w:line="360" w:lineRule="auto"/>
        <w:ind w:firstLine="480"/>
        <w:rPr>
          <w:rFonts w:hint="eastAsia" w:ascii="宋体" w:hAnsi="宋体" w:cs="宋体"/>
          <w:bCs/>
          <w:sz w:val="24"/>
        </w:rPr>
      </w:pPr>
      <w:r>
        <w:rPr>
          <w:rFonts w:hint="eastAsia" w:ascii="宋体" w:hAnsi="宋体" w:cs="宋体"/>
          <w:bCs/>
          <w:sz w:val="24"/>
        </w:rPr>
        <w:t>（2）策略管理</w:t>
      </w:r>
    </w:p>
    <w:p w14:paraId="5428164E">
      <w:pPr>
        <w:spacing w:line="360" w:lineRule="auto"/>
        <w:ind w:firstLine="480"/>
        <w:rPr>
          <w:rFonts w:hint="eastAsia" w:ascii="宋体" w:hAnsi="宋体" w:cs="宋体"/>
          <w:bCs/>
          <w:sz w:val="24"/>
        </w:rPr>
      </w:pPr>
      <w:r>
        <w:rPr>
          <w:rFonts w:hint="eastAsia" w:ascii="宋体" w:hAnsi="宋体" w:cs="宋体"/>
          <w:bCs/>
          <w:sz w:val="24"/>
        </w:rPr>
        <w:t>支持建立开关、调温控制策略，策略可以灵活设置周期、时间、执行动作、轮询时间、轮询次数等。策略支持指定前置条件，前置条件即空调运行参数的判断条件设置；</w:t>
      </w:r>
    </w:p>
    <w:p w14:paraId="20EC8B19">
      <w:pPr>
        <w:spacing w:line="360" w:lineRule="auto"/>
        <w:ind w:firstLine="480"/>
        <w:rPr>
          <w:rFonts w:hint="eastAsia" w:ascii="宋体" w:hAnsi="宋体" w:cs="宋体"/>
          <w:bCs/>
          <w:sz w:val="24"/>
        </w:rPr>
      </w:pPr>
      <w:r>
        <w:rPr>
          <w:rFonts w:hint="eastAsia" w:ascii="宋体" w:hAnsi="宋体" w:cs="宋体"/>
          <w:bCs/>
          <w:sz w:val="24"/>
        </w:rPr>
        <w:t>策略可以批量关联空调设备，设备查询可以基于空间标签、管理标签、设备名称等进行筛选；</w:t>
      </w:r>
    </w:p>
    <w:p w14:paraId="2DA112FA">
      <w:pPr>
        <w:spacing w:line="360" w:lineRule="auto"/>
        <w:ind w:firstLine="480"/>
        <w:rPr>
          <w:rFonts w:hint="eastAsia" w:ascii="宋体" w:hAnsi="宋体" w:cs="宋体"/>
          <w:bCs/>
          <w:sz w:val="24"/>
        </w:rPr>
      </w:pPr>
      <w:r>
        <w:rPr>
          <w:rFonts w:hint="eastAsia" w:ascii="宋体" w:hAnsi="宋体" w:cs="宋体"/>
          <w:bCs/>
          <w:sz w:val="24"/>
        </w:rPr>
        <w:t>可以对策略每次执行的日志进行查询，可以针对单个失败的设备进行重新控制操作。</w:t>
      </w:r>
    </w:p>
    <w:p w14:paraId="1761D2F2">
      <w:pPr>
        <w:spacing w:line="360" w:lineRule="auto"/>
        <w:ind w:firstLine="480"/>
        <w:rPr>
          <w:rFonts w:hint="eastAsia" w:ascii="宋体" w:hAnsi="宋体" w:cs="宋体"/>
          <w:bCs/>
          <w:sz w:val="24"/>
        </w:rPr>
      </w:pPr>
      <w:r>
        <w:rPr>
          <w:rFonts w:hint="eastAsia" w:ascii="宋体" w:hAnsi="宋体" w:cs="宋体"/>
          <w:bCs/>
          <w:sz w:val="24"/>
        </w:rPr>
        <w:t>（3）报警管理</w:t>
      </w:r>
    </w:p>
    <w:p w14:paraId="1EE64464">
      <w:pPr>
        <w:spacing w:line="360" w:lineRule="auto"/>
        <w:ind w:firstLine="480"/>
        <w:rPr>
          <w:rFonts w:hint="eastAsia" w:ascii="宋体" w:hAnsi="宋体" w:cs="宋体"/>
          <w:bCs/>
          <w:sz w:val="24"/>
        </w:rPr>
      </w:pPr>
      <w:r>
        <w:rPr>
          <w:rFonts w:hint="eastAsia" w:ascii="宋体" w:hAnsi="宋体" w:cs="宋体"/>
          <w:bCs/>
          <w:sz w:val="24"/>
        </w:rPr>
        <w:t>支持可视化方式配置空调阈值预警规则，规则支持设定触发对象（单设备、模板设备、预警参数）、判断条件（且或、持续时间等）、执行动作（推送指定用户）；</w:t>
      </w:r>
    </w:p>
    <w:p w14:paraId="3E5C93C3">
      <w:pPr>
        <w:spacing w:line="360" w:lineRule="auto"/>
        <w:ind w:firstLine="480"/>
        <w:rPr>
          <w:rFonts w:hint="eastAsia" w:ascii="宋体" w:hAnsi="宋体" w:cs="宋体"/>
          <w:sz w:val="24"/>
        </w:rPr>
      </w:pPr>
      <w:r>
        <w:rPr>
          <w:rFonts w:hint="eastAsia" w:ascii="宋体" w:hAnsi="宋体" w:cs="宋体"/>
          <w:bCs/>
          <w:sz w:val="24"/>
        </w:rPr>
        <w:t>查询任意报警规则匹配满足的报警历史事件信息。</w:t>
      </w:r>
    </w:p>
    <w:p w14:paraId="009D8512">
      <w:pPr>
        <w:spacing w:line="360" w:lineRule="auto"/>
        <w:ind w:firstLine="480"/>
        <w:rPr>
          <w:rFonts w:hint="eastAsia" w:ascii="宋体" w:hAnsi="宋体" w:cs="宋体"/>
          <w:b/>
          <w:bCs/>
          <w:sz w:val="24"/>
        </w:rPr>
      </w:pPr>
      <w:r>
        <w:rPr>
          <w:rFonts w:hint="eastAsia" w:ascii="宋体" w:hAnsi="宋体" w:cs="宋体"/>
          <w:b/>
          <w:bCs/>
          <w:sz w:val="24"/>
        </w:rPr>
        <w:t>（三）冷热源系统改造技术要求</w:t>
      </w:r>
    </w:p>
    <w:p w14:paraId="3CEF6BE0">
      <w:pPr>
        <w:spacing w:line="360" w:lineRule="auto"/>
        <w:ind w:firstLine="480"/>
        <w:rPr>
          <w:rFonts w:hint="eastAsia" w:ascii="宋体" w:hAnsi="宋体" w:cs="宋体"/>
          <w:sz w:val="24"/>
        </w:rPr>
      </w:pPr>
      <w:r>
        <w:rPr>
          <w:rFonts w:hint="eastAsia" w:ascii="宋体" w:hAnsi="宋体" w:cs="宋体"/>
          <w:sz w:val="24"/>
        </w:rPr>
        <w:t>本工程通过最佳机房冷冻水泵、冷却水泵、冷机和冷塔最佳配置，最低阻力设计，管路监控冷冻机房相关设备，根据末端需求负荷，智能控制机房设备，实现最佳启停/调节控制，使系统主机供冷与需求负荷相匹配，实现了在保证供冷的前提下，提高整体能效比，实现超高能效机房运行。</w:t>
      </w:r>
    </w:p>
    <w:p w14:paraId="480A3648">
      <w:pPr>
        <w:spacing w:line="360" w:lineRule="auto"/>
        <w:ind w:firstLine="480"/>
        <w:rPr>
          <w:rFonts w:hint="eastAsia" w:ascii="宋体" w:hAnsi="宋体" w:cs="宋体"/>
          <w:sz w:val="24"/>
        </w:rPr>
      </w:pPr>
      <w:r>
        <w:rPr>
          <w:rFonts w:hint="eastAsia" w:ascii="宋体" w:hAnsi="宋体" w:cs="宋体"/>
          <w:sz w:val="24"/>
        </w:rPr>
        <w:t>冷水机组改造技术要求有：</w:t>
      </w:r>
    </w:p>
    <w:p w14:paraId="41EB9894">
      <w:pPr>
        <w:spacing w:line="360" w:lineRule="auto"/>
        <w:ind w:firstLine="480"/>
        <w:rPr>
          <w:rFonts w:hint="eastAsia" w:ascii="宋体" w:hAnsi="宋体" w:cs="宋体"/>
          <w:sz w:val="24"/>
        </w:rPr>
      </w:pPr>
      <w:r>
        <w:rPr>
          <w:rFonts w:hint="eastAsia" w:ascii="宋体" w:hAnsi="宋体" w:cs="宋体"/>
          <w:sz w:val="24"/>
        </w:rPr>
        <w:t>冷水机组改造技术要求：</w:t>
      </w:r>
    </w:p>
    <w:p w14:paraId="06494AB3">
      <w:pPr>
        <w:spacing w:line="360" w:lineRule="auto"/>
        <w:ind w:firstLine="480"/>
        <w:rPr>
          <w:rFonts w:hint="eastAsia" w:ascii="宋体" w:hAnsi="宋体" w:cs="宋体"/>
          <w:sz w:val="24"/>
        </w:rPr>
      </w:pPr>
      <w:r>
        <w:rPr>
          <w:rFonts w:hint="eastAsia" w:ascii="宋体" w:hAnsi="宋体" w:cs="宋体"/>
          <w:sz w:val="24"/>
        </w:rPr>
        <w:t>（1）冷水机组的能效限定值及能效等级应满足《冷水机组能效限定值及能效等级》（GB19577-2024）中的相关规定，且达到1级标准。</w:t>
      </w:r>
    </w:p>
    <w:p w14:paraId="44C35BD7">
      <w:pPr>
        <w:spacing w:line="360" w:lineRule="auto"/>
        <w:ind w:firstLine="480"/>
        <w:rPr>
          <w:rFonts w:hint="eastAsia" w:ascii="宋体" w:hAnsi="宋体" w:cs="宋体"/>
          <w:sz w:val="24"/>
        </w:rPr>
      </w:pPr>
      <w:r>
        <w:rPr>
          <w:rFonts w:hint="eastAsia" w:ascii="宋体" w:hAnsi="宋体" w:cs="宋体"/>
          <w:sz w:val="24"/>
        </w:rPr>
        <w:t>冷水机组的性能系数（COP）的测试值和标注值应不低于《冷水机组能效限定值及能效等级》（GB19577-2024）中的指标规定值，且达到1级标准。</w:t>
      </w:r>
    </w:p>
    <w:p w14:paraId="15A72465">
      <w:pPr>
        <w:spacing w:line="360" w:lineRule="auto"/>
        <w:ind w:firstLine="480"/>
        <w:rPr>
          <w:rFonts w:hint="eastAsia" w:ascii="宋体" w:hAnsi="宋体" w:cs="宋体"/>
          <w:sz w:val="24"/>
        </w:rPr>
      </w:pPr>
      <w:r>
        <w:rPr>
          <w:rFonts w:hint="eastAsia" w:ascii="宋体" w:hAnsi="宋体" w:cs="宋体"/>
          <w:sz w:val="24"/>
        </w:rPr>
        <w:t>（2）机组的设计、选型分析报告以及相关的方案说明，包括但不限于以下内容：</w:t>
      </w:r>
    </w:p>
    <w:p w14:paraId="482BEFA3">
      <w:pPr>
        <w:spacing w:line="360" w:lineRule="auto"/>
        <w:ind w:firstLine="480"/>
        <w:rPr>
          <w:rFonts w:hint="eastAsia" w:ascii="宋体" w:hAnsi="宋体" w:cs="宋体"/>
          <w:sz w:val="24"/>
        </w:rPr>
      </w:pPr>
      <w:r>
        <w:rPr>
          <w:rFonts w:hint="eastAsia" w:ascii="宋体" w:hAnsi="宋体" w:cs="宋体"/>
          <w:sz w:val="24"/>
        </w:rPr>
        <w:t>① 机组选型报告。</w:t>
      </w:r>
    </w:p>
    <w:p w14:paraId="58951BDA">
      <w:pPr>
        <w:spacing w:line="360" w:lineRule="auto"/>
        <w:ind w:firstLine="480"/>
        <w:rPr>
          <w:rFonts w:hint="eastAsia" w:ascii="宋体" w:hAnsi="宋体" w:cs="宋体"/>
          <w:sz w:val="24"/>
        </w:rPr>
      </w:pPr>
      <w:r>
        <w:rPr>
          <w:rFonts w:hint="eastAsia" w:ascii="宋体" w:hAnsi="宋体" w:cs="宋体"/>
          <w:sz w:val="24"/>
        </w:rPr>
        <w:t>② 机组25％～100％（700kW以上为15％～100％）的COP变化曲线表及部分负荷性能曲线图及表列。</w:t>
      </w:r>
    </w:p>
    <w:p w14:paraId="6B5A59A7">
      <w:pPr>
        <w:spacing w:line="360" w:lineRule="auto"/>
        <w:ind w:firstLine="480"/>
        <w:rPr>
          <w:rFonts w:hint="eastAsia" w:ascii="宋体" w:hAnsi="宋体" w:cs="宋体"/>
          <w:sz w:val="24"/>
        </w:rPr>
      </w:pPr>
      <w:r>
        <w:rPr>
          <w:rFonts w:hint="eastAsia" w:ascii="宋体" w:hAnsi="宋体" w:cs="宋体"/>
          <w:sz w:val="24"/>
        </w:rPr>
        <w:t>③ 机组的能效标注值应在其额定能效取值范围内，且能效值COP不低于6.0。</w:t>
      </w:r>
    </w:p>
    <w:p w14:paraId="042E453F">
      <w:pPr>
        <w:spacing w:line="360" w:lineRule="auto"/>
        <w:ind w:firstLine="480"/>
        <w:rPr>
          <w:rFonts w:hint="eastAsia" w:ascii="宋体" w:hAnsi="宋体" w:cs="宋体"/>
          <w:sz w:val="24"/>
        </w:rPr>
      </w:pPr>
      <w:r>
        <w:rPr>
          <w:rFonts w:hint="eastAsia" w:ascii="宋体" w:hAnsi="宋体" w:cs="宋体"/>
          <w:sz w:val="24"/>
        </w:rPr>
        <w:t>④ 机组的温差核算结果。</w:t>
      </w:r>
    </w:p>
    <w:p w14:paraId="7E2332D0">
      <w:pPr>
        <w:spacing w:line="360" w:lineRule="auto"/>
        <w:ind w:firstLine="480"/>
        <w:rPr>
          <w:rFonts w:hint="eastAsia" w:ascii="宋体" w:hAnsi="宋体" w:cs="宋体"/>
          <w:sz w:val="24"/>
        </w:rPr>
      </w:pPr>
      <w:r>
        <w:rPr>
          <w:rFonts w:hint="eastAsia" w:ascii="宋体" w:hAnsi="宋体" w:cs="宋体"/>
          <w:sz w:val="24"/>
        </w:rPr>
        <w:t>（3）机组额定噪声值要求应≤85dB(A)。</w:t>
      </w:r>
    </w:p>
    <w:p w14:paraId="26A55130">
      <w:pPr>
        <w:spacing w:line="360" w:lineRule="auto"/>
        <w:ind w:firstLine="480"/>
        <w:rPr>
          <w:rFonts w:hint="eastAsia" w:ascii="宋体" w:hAnsi="宋体" w:cs="宋体"/>
          <w:sz w:val="24"/>
        </w:rPr>
      </w:pPr>
      <w:r>
        <w:rPr>
          <w:rFonts w:hint="eastAsia" w:ascii="宋体" w:hAnsi="宋体" w:cs="宋体"/>
          <w:sz w:val="24"/>
        </w:rPr>
        <w:t>（4）机组输入功率：163.2RT≤105kW,207.6RT≤125kW,240</w:t>
      </w:r>
      <w:r>
        <w:rPr>
          <w:rFonts w:ascii="宋体" w:hAnsi="宋体" w:cs="宋体"/>
          <w:sz w:val="24"/>
        </w:rPr>
        <w:t>RT</w:t>
      </w:r>
      <w:r>
        <w:rPr>
          <w:rFonts w:hint="eastAsia" w:ascii="宋体" w:hAnsi="宋体" w:cs="宋体"/>
          <w:sz w:val="24"/>
        </w:rPr>
        <w:t>≤135KW，</w:t>
      </w:r>
    </w:p>
    <w:p w14:paraId="276146DB">
      <w:pPr>
        <w:spacing w:line="360" w:lineRule="auto"/>
        <w:ind w:firstLine="480"/>
        <w:rPr>
          <w:rFonts w:hint="eastAsia" w:ascii="宋体" w:hAnsi="宋体" w:cs="宋体"/>
          <w:sz w:val="24"/>
        </w:rPr>
      </w:pPr>
      <w:r>
        <w:rPr>
          <w:rFonts w:hint="eastAsia" w:ascii="宋体" w:hAnsi="宋体" w:cs="宋体"/>
          <w:sz w:val="24"/>
        </w:rPr>
        <w:t>249.9RT≤140KW；</w:t>
      </w:r>
    </w:p>
    <w:p w14:paraId="59E80B9C">
      <w:pPr>
        <w:spacing w:line="360" w:lineRule="auto"/>
        <w:ind w:firstLine="480"/>
        <w:rPr>
          <w:rFonts w:hint="eastAsia" w:ascii="宋体" w:hAnsi="宋体" w:cs="宋体"/>
          <w:sz w:val="24"/>
        </w:rPr>
      </w:pPr>
      <w:r>
        <w:rPr>
          <w:rFonts w:hint="eastAsia" w:ascii="宋体" w:hAnsi="宋体" w:cs="宋体"/>
          <w:sz w:val="24"/>
        </w:rPr>
        <w:t>（5）机组启动方式：变频启动。</w:t>
      </w:r>
    </w:p>
    <w:p w14:paraId="36124786">
      <w:pPr>
        <w:spacing w:line="360" w:lineRule="auto"/>
        <w:ind w:firstLine="480"/>
        <w:rPr>
          <w:rFonts w:hint="eastAsia" w:ascii="宋体" w:hAnsi="宋体" w:cs="宋体"/>
          <w:sz w:val="24"/>
        </w:rPr>
      </w:pPr>
      <w:r>
        <w:rPr>
          <w:rFonts w:hint="eastAsia" w:ascii="宋体" w:hAnsi="宋体" w:cs="宋体"/>
          <w:sz w:val="24"/>
        </w:rPr>
        <w:t>（6）电机防护等级不低于IP54。</w:t>
      </w:r>
    </w:p>
    <w:p w14:paraId="764EB013">
      <w:pPr>
        <w:spacing w:line="360" w:lineRule="auto"/>
        <w:ind w:firstLine="480"/>
        <w:rPr>
          <w:rFonts w:hint="eastAsia" w:ascii="宋体" w:hAnsi="宋体" w:cs="宋体"/>
          <w:sz w:val="24"/>
        </w:rPr>
      </w:pPr>
      <w:r>
        <w:rPr>
          <w:rFonts w:hint="eastAsia" w:ascii="宋体" w:hAnsi="宋体" w:cs="宋体"/>
          <w:sz w:val="24"/>
        </w:rPr>
        <w:t>（7）每台冷水机组应配备电脑控制和相应软件，并配备大屏幕中文液晶显示屏，显示主界面、机组信息、压缩机、变频器等相关内容。包括但不限于冷水机组运行参数，冷冻水进/出水温度、冷却水进/出水温度、蒸发器/冷凝器压力、变频器运行参数、累计运行时间和故障诊断信息，每台冷水机组应能保存故障信息等。</w:t>
      </w:r>
    </w:p>
    <w:p w14:paraId="43C5C549">
      <w:pPr>
        <w:spacing w:line="360" w:lineRule="auto"/>
        <w:ind w:firstLine="480"/>
        <w:rPr>
          <w:rFonts w:hint="eastAsia" w:ascii="宋体" w:hAnsi="宋体" w:cs="宋体"/>
          <w:sz w:val="24"/>
        </w:rPr>
      </w:pPr>
      <w:r>
        <w:rPr>
          <w:rFonts w:hint="eastAsia" w:ascii="宋体" w:hAnsi="宋体" w:cs="宋体"/>
          <w:sz w:val="24"/>
        </w:rPr>
        <w:t>（8）每台冷水机组出厂前都应按照国家标准规定，进行整机性能检测，并提供检测报告。</w:t>
      </w:r>
    </w:p>
    <w:p w14:paraId="152E4914">
      <w:pPr>
        <w:spacing w:line="360" w:lineRule="auto"/>
        <w:ind w:firstLine="480"/>
        <w:rPr>
          <w:rFonts w:hint="eastAsia" w:ascii="宋体" w:hAnsi="宋体" w:cs="宋体"/>
          <w:sz w:val="24"/>
        </w:rPr>
      </w:pPr>
      <w:r>
        <w:rPr>
          <w:rFonts w:hint="eastAsia" w:ascii="宋体" w:hAnsi="宋体" w:cs="宋体"/>
          <w:sz w:val="24"/>
        </w:rPr>
        <w:t>（9）冷水机组整机使用寿命应≥20年，整机维修周期应≥30000小时；轴承及轴封的更换周期应≥75000小时，整机质保不低于5年。</w:t>
      </w:r>
    </w:p>
    <w:p w14:paraId="3CC19732">
      <w:pPr>
        <w:spacing w:line="360" w:lineRule="auto"/>
        <w:ind w:firstLine="480"/>
        <w:rPr>
          <w:rFonts w:hint="eastAsia" w:ascii="宋体" w:hAnsi="宋体" w:cs="宋体"/>
          <w:b/>
          <w:bCs/>
          <w:sz w:val="24"/>
        </w:rPr>
      </w:pPr>
      <w:r>
        <w:rPr>
          <w:rFonts w:hint="eastAsia" w:ascii="宋体" w:hAnsi="宋体" w:cs="宋体"/>
          <w:sz w:val="24"/>
        </w:rPr>
        <w:t>（10）冷水机组由平台控制、就地控制组成，就地控制具有优先权。平台管理系统通过冷水机组集控柜实现对空调系统的控制，接口位置在冷水机组的集控柜的RS-485接口处。就地控制由冷水机组自带的控制系统实现，在冷水机组控制面板进行操作，供冷水机组安装、调试、检修时在现场使用。</w:t>
      </w:r>
    </w:p>
    <w:p w14:paraId="08FEF3C6">
      <w:pPr>
        <w:spacing w:line="360" w:lineRule="auto"/>
        <w:ind w:firstLine="480"/>
        <w:rPr>
          <w:rFonts w:hint="eastAsia" w:ascii="宋体" w:hAnsi="宋体" w:cs="宋体"/>
          <w:b/>
          <w:bCs/>
          <w:sz w:val="24"/>
        </w:rPr>
      </w:pPr>
      <w:r>
        <w:rPr>
          <w:rFonts w:hint="eastAsia" w:ascii="宋体" w:hAnsi="宋体" w:cs="宋体"/>
          <w:b/>
          <w:bCs/>
          <w:sz w:val="24"/>
        </w:rPr>
        <w:t>（四）其他主要硬件设备技术参数要求</w:t>
      </w:r>
    </w:p>
    <w:p w14:paraId="16533808">
      <w:pPr>
        <w:spacing w:line="360" w:lineRule="auto"/>
        <w:ind w:firstLine="482"/>
        <w:rPr>
          <w:rFonts w:hint="eastAsia" w:ascii="宋体" w:hAnsi="宋体" w:cs="宋体"/>
          <w:b/>
          <w:bCs/>
          <w:sz w:val="24"/>
        </w:rPr>
      </w:pPr>
      <w:r>
        <w:rPr>
          <w:rFonts w:hint="eastAsia" w:ascii="宋体" w:hAnsi="宋体" w:cs="宋体"/>
          <w:b/>
          <w:bCs/>
          <w:sz w:val="24"/>
        </w:rPr>
        <w:t>1.中央空调协调控制箱</w:t>
      </w:r>
    </w:p>
    <w:tbl>
      <w:tblPr>
        <w:tblStyle w:val="14"/>
        <w:tblW w:w="9509" w:type="dxa"/>
        <w:tblInd w:w="0" w:type="dxa"/>
        <w:tblLayout w:type="autofit"/>
        <w:tblCellMar>
          <w:top w:w="0" w:type="dxa"/>
          <w:left w:w="108" w:type="dxa"/>
          <w:bottom w:w="0" w:type="dxa"/>
          <w:right w:w="108" w:type="dxa"/>
        </w:tblCellMar>
      </w:tblPr>
      <w:tblGrid>
        <w:gridCol w:w="840"/>
        <w:gridCol w:w="2717"/>
        <w:gridCol w:w="5720"/>
        <w:gridCol w:w="232"/>
      </w:tblGrid>
      <w:tr w14:paraId="11A292A5">
        <w:tblPrEx>
          <w:tblCellMar>
            <w:top w:w="0" w:type="dxa"/>
            <w:left w:w="108" w:type="dxa"/>
            <w:bottom w:w="0" w:type="dxa"/>
            <w:right w:w="108" w:type="dxa"/>
          </w:tblCellMar>
        </w:tblPrEx>
        <w:trPr>
          <w:gridAfter w:val="1"/>
          <w:wAfter w:w="232" w:type="dxa"/>
          <w:trHeight w:val="554" w:hRule="atLeast"/>
        </w:trPr>
        <w:tc>
          <w:tcPr>
            <w:tcW w:w="35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994E45">
            <w:pPr>
              <w:rPr>
                <w:rFonts w:hint="eastAsia"/>
              </w:rPr>
            </w:pPr>
            <w:r>
              <w:rPr>
                <w:rFonts w:hint="eastAsia"/>
              </w:rPr>
              <w:t>技术参数</w:t>
            </w:r>
          </w:p>
        </w:tc>
        <w:tc>
          <w:tcPr>
            <w:tcW w:w="5720" w:type="dxa"/>
            <w:tcBorders>
              <w:top w:val="single" w:color="auto" w:sz="4" w:space="0"/>
              <w:left w:val="nil"/>
              <w:bottom w:val="single" w:color="auto" w:sz="4" w:space="0"/>
              <w:right w:val="single" w:color="auto" w:sz="4" w:space="0"/>
            </w:tcBorders>
            <w:shd w:val="clear" w:color="auto" w:fill="auto"/>
            <w:vAlign w:val="center"/>
          </w:tcPr>
          <w:p w14:paraId="415C6BDB">
            <w:pPr>
              <w:rPr>
                <w:rFonts w:hint="eastAsia"/>
              </w:rPr>
            </w:pPr>
            <w:r>
              <w:rPr>
                <w:rFonts w:hint="eastAsia"/>
              </w:rPr>
              <w:t>指标</w:t>
            </w:r>
          </w:p>
        </w:tc>
      </w:tr>
      <w:tr w14:paraId="5492E08F">
        <w:tblPrEx>
          <w:tblCellMar>
            <w:top w:w="0" w:type="dxa"/>
            <w:left w:w="108" w:type="dxa"/>
            <w:bottom w:w="0" w:type="dxa"/>
            <w:right w:w="108" w:type="dxa"/>
          </w:tblCellMar>
        </w:tblPrEx>
        <w:trPr>
          <w:gridAfter w:val="1"/>
          <w:wAfter w:w="232" w:type="dxa"/>
          <w:trHeight w:val="655" w:hRule="atLeast"/>
        </w:trPr>
        <w:tc>
          <w:tcPr>
            <w:tcW w:w="840" w:type="dxa"/>
            <w:vMerge w:val="restart"/>
            <w:tcBorders>
              <w:top w:val="nil"/>
              <w:left w:val="single" w:color="auto" w:sz="4" w:space="0"/>
              <w:bottom w:val="single" w:color="auto" w:sz="4" w:space="0"/>
              <w:right w:val="single" w:color="auto" w:sz="4" w:space="0"/>
            </w:tcBorders>
            <w:shd w:val="clear" w:color="auto" w:fill="auto"/>
            <w:vAlign w:val="center"/>
          </w:tcPr>
          <w:p w14:paraId="24E06E81">
            <w:pPr>
              <w:rPr>
                <w:rFonts w:hint="eastAsia"/>
              </w:rPr>
            </w:pPr>
            <w:r>
              <w:rPr>
                <w:rFonts w:hint="eastAsia"/>
              </w:rPr>
              <w:t>接口</w:t>
            </w:r>
          </w:p>
        </w:tc>
        <w:tc>
          <w:tcPr>
            <w:tcW w:w="2717" w:type="dxa"/>
            <w:tcBorders>
              <w:top w:val="nil"/>
              <w:left w:val="nil"/>
              <w:bottom w:val="single" w:color="auto" w:sz="4" w:space="0"/>
              <w:right w:val="single" w:color="auto" w:sz="4" w:space="0"/>
            </w:tcBorders>
            <w:shd w:val="clear" w:color="auto" w:fill="auto"/>
            <w:vAlign w:val="center"/>
          </w:tcPr>
          <w:p w14:paraId="50FC04EF">
            <w:pPr>
              <w:rPr>
                <w:rFonts w:hint="eastAsia"/>
              </w:rPr>
            </w:pPr>
            <w:r>
              <w:rPr>
                <w:rFonts w:hint="eastAsia"/>
              </w:rPr>
              <w:t>网络接口</w:t>
            </w:r>
          </w:p>
        </w:tc>
        <w:tc>
          <w:tcPr>
            <w:tcW w:w="5720" w:type="dxa"/>
            <w:tcBorders>
              <w:top w:val="nil"/>
              <w:left w:val="nil"/>
              <w:bottom w:val="single" w:color="auto" w:sz="4" w:space="0"/>
              <w:right w:val="single" w:color="auto" w:sz="4" w:space="0"/>
            </w:tcBorders>
            <w:shd w:val="clear" w:color="auto" w:fill="auto"/>
            <w:vAlign w:val="center"/>
          </w:tcPr>
          <w:p w14:paraId="6F5615E5">
            <w:pPr>
              <w:rPr>
                <w:rFonts w:hint="eastAsia"/>
              </w:rPr>
            </w:pPr>
            <w:r>
              <w:rPr>
                <w:rFonts w:hint="eastAsia"/>
              </w:rPr>
              <w:t>支持ProfiNet/MODBUS-TCP</w:t>
            </w:r>
          </w:p>
        </w:tc>
      </w:tr>
      <w:tr w14:paraId="1CB6EC8A">
        <w:tblPrEx>
          <w:tblCellMar>
            <w:top w:w="0" w:type="dxa"/>
            <w:left w:w="108" w:type="dxa"/>
            <w:bottom w:w="0" w:type="dxa"/>
            <w:right w:w="108" w:type="dxa"/>
          </w:tblCellMar>
        </w:tblPrEx>
        <w:trPr>
          <w:gridAfter w:val="1"/>
          <w:wAfter w:w="232" w:type="dxa"/>
          <w:trHeight w:val="745" w:hRule="atLeast"/>
        </w:trPr>
        <w:tc>
          <w:tcPr>
            <w:tcW w:w="0" w:type="auto"/>
            <w:vMerge w:val="continue"/>
            <w:tcBorders>
              <w:top w:val="nil"/>
              <w:left w:val="single" w:color="auto" w:sz="4" w:space="0"/>
              <w:bottom w:val="single" w:color="auto" w:sz="4" w:space="0"/>
              <w:right w:val="single" w:color="auto" w:sz="4" w:space="0"/>
            </w:tcBorders>
            <w:vAlign w:val="center"/>
          </w:tcPr>
          <w:p w14:paraId="21BDBD38">
            <w:pPr>
              <w:shd w:val="clear"/>
              <w:rPr>
                <w:rFonts w:hint="eastAsia"/>
              </w:rPr>
            </w:pPr>
          </w:p>
        </w:tc>
        <w:tc>
          <w:tcPr>
            <w:tcW w:w="2717" w:type="dxa"/>
            <w:tcBorders>
              <w:top w:val="nil"/>
              <w:left w:val="nil"/>
              <w:bottom w:val="single" w:color="auto" w:sz="4" w:space="0"/>
              <w:right w:val="single" w:color="auto" w:sz="4" w:space="0"/>
            </w:tcBorders>
            <w:shd w:val="clear" w:color="auto" w:fill="auto"/>
            <w:vAlign w:val="center"/>
          </w:tcPr>
          <w:p w14:paraId="0710DD12">
            <w:pPr>
              <w:shd w:val="clear"/>
              <w:rPr>
                <w:rFonts w:hint="eastAsia"/>
              </w:rPr>
            </w:pPr>
            <w:r>
              <w:rPr>
                <w:rFonts w:hint="eastAsia"/>
              </w:rPr>
              <w:t>RS485接口</w:t>
            </w:r>
          </w:p>
        </w:tc>
        <w:tc>
          <w:tcPr>
            <w:tcW w:w="5720" w:type="dxa"/>
            <w:tcBorders>
              <w:top w:val="nil"/>
              <w:left w:val="nil"/>
              <w:bottom w:val="single" w:color="auto" w:sz="4" w:space="0"/>
              <w:right w:val="single" w:color="auto" w:sz="4" w:space="0"/>
            </w:tcBorders>
            <w:shd w:val="clear" w:color="auto" w:fill="auto"/>
            <w:vAlign w:val="center"/>
          </w:tcPr>
          <w:p w14:paraId="2CFDB935">
            <w:pPr>
              <w:shd w:val="clear"/>
              <w:rPr>
                <w:rFonts w:hint="eastAsia"/>
              </w:rPr>
            </w:pPr>
            <w:r>
              <w:rPr>
                <w:rFonts w:hint="eastAsia"/>
              </w:rPr>
              <w:t>1主1从，主站应可带32个仪表</w:t>
            </w:r>
          </w:p>
        </w:tc>
      </w:tr>
      <w:tr w14:paraId="3FC976FC">
        <w:tblPrEx>
          <w:tblCellMar>
            <w:top w:w="0" w:type="dxa"/>
            <w:left w:w="108" w:type="dxa"/>
            <w:bottom w:w="0" w:type="dxa"/>
            <w:right w:w="108" w:type="dxa"/>
          </w:tblCellMar>
        </w:tblPrEx>
        <w:trPr>
          <w:gridAfter w:val="1"/>
          <w:wAfter w:w="232" w:type="dxa"/>
          <w:trHeight w:val="897" w:hRule="atLeast"/>
        </w:trPr>
        <w:tc>
          <w:tcPr>
            <w:tcW w:w="0" w:type="auto"/>
            <w:vMerge w:val="continue"/>
            <w:tcBorders>
              <w:top w:val="nil"/>
              <w:left w:val="single" w:color="auto" w:sz="4" w:space="0"/>
              <w:bottom w:val="single" w:color="auto" w:sz="4" w:space="0"/>
              <w:right w:val="single" w:color="auto" w:sz="4" w:space="0"/>
            </w:tcBorders>
            <w:vAlign w:val="center"/>
          </w:tcPr>
          <w:p w14:paraId="309D2C25">
            <w:pPr>
              <w:shd w:val="clear"/>
              <w:rPr>
                <w:rFonts w:hint="eastAsia"/>
              </w:rPr>
            </w:pPr>
          </w:p>
        </w:tc>
        <w:tc>
          <w:tcPr>
            <w:tcW w:w="2717" w:type="dxa"/>
            <w:tcBorders>
              <w:top w:val="nil"/>
              <w:left w:val="nil"/>
              <w:bottom w:val="single" w:color="auto" w:sz="4" w:space="0"/>
              <w:right w:val="single" w:color="auto" w:sz="4" w:space="0"/>
            </w:tcBorders>
            <w:shd w:val="clear" w:color="auto" w:fill="auto"/>
            <w:vAlign w:val="center"/>
          </w:tcPr>
          <w:p w14:paraId="18B36242">
            <w:pPr>
              <w:shd w:val="clear"/>
              <w:rPr>
                <w:rFonts w:hint="eastAsia"/>
              </w:rPr>
            </w:pPr>
            <w:r>
              <w:rPr>
                <w:rFonts w:hint="eastAsia"/>
              </w:rPr>
              <w:t>传输</w:t>
            </w:r>
          </w:p>
        </w:tc>
        <w:tc>
          <w:tcPr>
            <w:tcW w:w="5720" w:type="dxa"/>
            <w:tcBorders>
              <w:top w:val="nil"/>
              <w:left w:val="nil"/>
              <w:bottom w:val="single" w:color="auto" w:sz="4" w:space="0"/>
              <w:right w:val="single" w:color="auto" w:sz="4" w:space="0"/>
            </w:tcBorders>
            <w:shd w:val="clear" w:color="auto" w:fill="auto"/>
            <w:vAlign w:val="center"/>
          </w:tcPr>
          <w:p w14:paraId="34CD3726">
            <w:pPr>
              <w:shd w:val="clear"/>
              <w:rPr>
                <w:rFonts w:hint="eastAsia"/>
              </w:rPr>
            </w:pPr>
            <w:r>
              <w:rPr>
                <w:rFonts w:hint="eastAsia"/>
              </w:rPr>
              <w:t>接收/输出的RS485信号、MODBUS-RTU标准信号，ProfiNet信号，支持4G，上传云平台</w:t>
            </w:r>
          </w:p>
        </w:tc>
      </w:tr>
      <w:tr w14:paraId="7ED7CA48">
        <w:tblPrEx>
          <w:tblCellMar>
            <w:top w:w="0" w:type="dxa"/>
            <w:left w:w="108" w:type="dxa"/>
            <w:bottom w:w="0" w:type="dxa"/>
            <w:right w:w="108" w:type="dxa"/>
          </w:tblCellMar>
        </w:tblPrEx>
        <w:trPr>
          <w:gridAfter w:val="1"/>
          <w:wAfter w:w="232" w:type="dxa"/>
          <w:trHeight w:val="463" w:hRule="atLeast"/>
        </w:trPr>
        <w:tc>
          <w:tcPr>
            <w:tcW w:w="840" w:type="dxa"/>
            <w:vMerge w:val="restart"/>
            <w:tcBorders>
              <w:top w:val="nil"/>
              <w:left w:val="single" w:color="auto" w:sz="4" w:space="0"/>
              <w:bottom w:val="single" w:color="auto" w:sz="4" w:space="0"/>
              <w:right w:val="single" w:color="auto" w:sz="4" w:space="0"/>
            </w:tcBorders>
            <w:vAlign w:val="center"/>
          </w:tcPr>
          <w:p w14:paraId="2EE674A5">
            <w:pPr>
              <w:shd w:val="clear"/>
              <w:rPr>
                <w:rFonts w:hint="eastAsia"/>
              </w:rPr>
            </w:pPr>
            <w:r>
              <w:rPr>
                <w:rFonts w:hint="eastAsia"/>
              </w:rPr>
              <w:t>电压</w:t>
            </w:r>
          </w:p>
        </w:tc>
        <w:tc>
          <w:tcPr>
            <w:tcW w:w="2717" w:type="dxa"/>
            <w:tcBorders>
              <w:top w:val="nil"/>
              <w:left w:val="nil"/>
              <w:bottom w:val="single" w:color="auto" w:sz="4" w:space="0"/>
              <w:right w:val="single" w:color="auto" w:sz="4" w:space="0"/>
            </w:tcBorders>
            <w:shd w:val="clear" w:color="auto" w:fill="auto"/>
            <w:vAlign w:val="center"/>
          </w:tcPr>
          <w:p w14:paraId="5A15A246">
            <w:pPr>
              <w:shd w:val="clear"/>
              <w:rPr>
                <w:rFonts w:hint="eastAsia"/>
              </w:rPr>
            </w:pPr>
            <w:r>
              <w:rPr>
                <w:rFonts w:hint="eastAsia"/>
              </w:rPr>
              <w:t>额定值</w:t>
            </w:r>
          </w:p>
        </w:tc>
        <w:tc>
          <w:tcPr>
            <w:tcW w:w="5720" w:type="dxa"/>
            <w:tcBorders>
              <w:top w:val="nil"/>
              <w:left w:val="nil"/>
              <w:bottom w:val="single" w:color="auto" w:sz="4" w:space="0"/>
              <w:right w:val="single" w:color="auto" w:sz="4" w:space="0"/>
            </w:tcBorders>
            <w:shd w:val="clear" w:color="auto" w:fill="auto"/>
            <w:vAlign w:val="center"/>
          </w:tcPr>
          <w:p w14:paraId="0AFF4A73">
            <w:pPr>
              <w:shd w:val="clear"/>
              <w:rPr>
                <w:rFonts w:hint="eastAsia"/>
              </w:rPr>
            </w:pPr>
            <w:r>
              <w:rPr>
                <w:rFonts w:hint="eastAsia"/>
              </w:rPr>
              <w:t>AC220V</w:t>
            </w:r>
          </w:p>
        </w:tc>
      </w:tr>
      <w:tr w14:paraId="6A2F7856">
        <w:tblPrEx>
          <w:tblCellMar>
            <w:top w:w="0" w:type="dxa"/>
            <w:left w:w="108" w:type="dxa"/>
            <w:bottom w:w="0" w:type="dxa"/>
            <w:right w:w="108" w:type="dxa"/>
          </w:tblCellMar>
        </w:tblPrEx>
        <w:trPr>
          <w:gridAfter w:val="1"/>
          <w:wAfter w:w="232" w:type="dxa"/>
          <w:trHeight w:val="534" w:hRule="atLeast"/>
        </w:trPr>
        <w:tc>
          <w:tcPr>
            <w:tcW w:w="0" w:type="auto"/>
            <w:vMerge w:val="continue"/>
            <w:tcBorders>
              <w:top w:val="nil"/>
              <w:left w:val="single" w:color="auto" w:sz="4" w:space="0"/>
              <w:bottom w:val="single" w:color="auto" w:sz="4" w:space="0"/>
              <w:right w:val="single" w:color="auto" w:sz="4" w:space="0"/>
            </w:tcBorders>
            <w:vAlign w:val="center"/>
          </w:tcPr>
          <w:p w14:paraId="37782850">
            <w:pPr>
              <w:shd w:val="clear"/>
              <w:rPr>
                <w:rFonts w:hint="eastAsia"/>
              </w:rPr>
            </w:pPr>
          </w:p>
        </w:tc>
        <w:tc>
          <w:tcPr>
            <w:tcW w:w="2717" w:type="dxa"/>
            <w:tcBorders>
              <w:top w:val="nil"/>
              <w:left w:val="nil"/>
              <w:bottom w:val="single" w:color="auto" w:sz="4" w:space="0"/>
              <w:right w:val="single" w:color="auto" w:sz="4" w:space="0"/>
            </w:tcBorders>
            <w:shd w:val="clear" w:color="auto" w:fill="auto"/>
            <w:vAlign w:val="center"/>
          </w:tcPr>
          <w:p w14:paraId="17AF5E28">
            <w:pPr>
              <w:shd w:val="clear"/>
              <w:rPr>
                <w:rFonts w:hint="eastAsia"/>
              </w:rPr>
            </w:pPr>
            <w:r>
              <w:rPr>
                <w:rFonts w:hint="eastAsia"/>
              </w:rPr>
              <w:t>功耗</w:t>
            </w:r>
          </w:p>
        </w:tc>
        <w:tc>
          <w:tcPr>
            <w:tcW w:w="5720" w:type="dxa"/>
            <w:tcBorders>
              <w:top w:val="nil"/>
              <w:left w:val="nil"/>
              <w:bottom w:val="single" w:color="auto" w:sz="4" w:space="0"/>
              <w:right w:val="single" w:color="auto" w:sz="4" w:space="0"/>
            </w:tcBorders>
            <w:shd w:val="clear" w:color="auto" w:fill="auto"/>
            <w:vAlign w:val="center"/>
          </w:tcPr>
          <w:p w14:paraId="3DBBD6E2">
            <w:pPr>
              <w:shd w:val="clear"/>
              <w:rPr>
                <w:rFonts w:hint="eastAsia"/>
              </w:rPr>
            </w:pPr>
            <w:r>
              <w:rPr>
                <w:rFonts w:hint="eastAsia"/>
              </w:rPr>
              <w:t>≤100W</w:t>
            </w:r>
          </w:p>
        </w:tc>
      </w:tr>
      <w:tr w14:paraId="0C427B43">
        <w:tblPrEx>
          <w:tblCellMar>
            <w:top w:w="0" w:type="dxa"/>
            <w:left w:w="108" w:type="dxa"/>
            <w:bottom w:w="0" w:type="dxa"/>
            <w:right w:w="108" w:type="dxa"/>
          </w:tblCellMar>
        </w:tblPrEx>
        <w:trPr>
          <w:gridAfter w:val="1"/>
          <w:wAfter w:w="232" w:type="dxa"/>
          <w:trHeight w:val="615" w:hRule="atLeast"/>
        </w:trPr>
        <w:tc>
          <w:tcPr>
            <w:tcW w:w="0" w:type="auto"/>
            <w:vMerge w:val="continue"/>
            <w:tcBorders>
              <w:top w:val="nil"/>
              <w:left w:val="single" w:color="auto" w:sz="4" w:space="0"/>
              <w:bottom w:val="single" w:color="auto" w:sz="4" w:space="0"/>
              <w:right w:val="single" w:color="auto" w:sz="4" w:space="0"/>
            </w:tcBorders>
            <w:vAlign w:val="center"/>
          </w:tcPr>
          <w:p w14:paraId="3A286C16">
            <w:pPr>
              <w:shd w:val="clear"/>
              <w:rPr>
                <w:rFonts w:hint="eastAsia"/>
              </w:rPr>
            </w:pPr>
          </w:p>
        </w:tc>
        <w:tc>
          <w:tcPr>
            <w:tcW w:w="2717" w:type="dxa"/>
            <w:tcBorders>
              <w:top w:val="nil"/>
              <w:left w:val="nil"/>
              <w:bottom w:val="single" w:color="auto" w:sz="4" w:space="0"/>
              <w:right w:val="single" w:color="auto" w:sz="4" w:space="0"/>
            </w:tcBorders>
            <w:shd w:val="clear" w:color="auto" w:fill="auto"/>
            <w:vAlign w:val="center"/>
          </w:tcPr>
          <w:p w14:paraId="3BC75099">
            <w:pPr>
              <w:shd w:val="clear"/>
              <w:rPr>
                <w:rFonts w:hint="eastAsia"/>
              </w:rPr>
            </w:pPr>
            <w:r>
              <w:rPr>
                <w:rFonts w:hint="eastAsia"/>
              </w:rPr>
              <w:t>频率</w:t>
            </w:r>
          </w:p>
        </w:tc>
        <w:tc>
          <w:tcPr>
            <w:tcW w:w="5720" w:type="dxa"/>
            <w:tcBorders>
              <w:top w:val="nil"/>
              <w:left w:val="nil"/>
              <w:bottom w:val="single" w:color="auto" w:sz="4" w:space="0"/>
              <w:right w:val="single" w:color="auto" w:sz="4" w:space="0"/>
            </w:tcBorders>
            <w:shd w:val="clear" w:color="auto" w:fill="auto"/>
            <w:vAlign w:val="center"/>
          </w:tcPr>
          <w:p w14:paraId="686BD7CB">
            <w:pPr>
              <w:shd w:val="clear"/>
              <w:rPr>
                <w:rFonts w:hint="eastAsia"/>
              </w:rPr>
            </w:pPr>
            <w:r>
              <w:rPr>
                <w:rFonts w:hint="eastAsia"/>
              </w:rPr>
              <w:t>50Hz</w:t>
            </w:r>
          </w:p>
        </w:tc>
      </w:tr>
      <w:tr w14:paraId="7CCFE263">
        <w:tblPrEx>
          <w:tblCellMar>
            <w:top w:w="0" w:type="dxa"/>
            <w:left w:w="108" w:type="dxa"/>
            <w:bottom w:w="0" w:type="dxa"/>
            <w:right w:w="108" w:type="dxa"/>
          </w:tblCellMar>
        </w:tblPrEx>
        <w:trPr>
          <w:gridAfter w:val="1"/>
          <w:wAfter w:w="232" w:type="dxa"/>
          <w:trHeight w:val="948" w:hRule="atLeast"/>
        </w:trPr>
        <w:tc>
          <w:tcPr>
            <w:tcW w:w="840" w:type="dxa"/>
            <w:vMerge w:val="restart"/>
            <w:tcBorders>
              <w:top w:val="nil"/>
              <w:left w:val="single" w:color="auto" w:sz="4" w:space="0"/>
              <w:bottom w:val="single" w:color="auto" w:sz="4" w:space="0"/>
              <w:right w:val="single" w:color="auto" w:sz="4" w:space="0"/>
            </w:tcBorders>
            <w:vAlign w:val="center"/>
          </w:tcPr>
          <w:p w14:paraId="6D7F7E1F">
            <w:pPr>
              <w:shd w:val="clear"/>
              <w:rPr>
                <w:rFonts w:hint="eastAsia"/>
              </w:rPr>
            </w:pPr>
            <w:r>
              <w:rPr>
                <w:rFonts w:hint="eastAsia"/>
              </w:rPr>
              <w:t>中央处理控制器</w:t>
            </w:r>
          </w:p>
        </w:tc>
        <w:tc>
          <w:tcPr>
            <w:tcW w:w="2717" w:type="dxa"/>
            <w:tcBorders>
              <w:top w:val="nil"/>
              <w:left w:val="nil"/>
              <w:bottom w:val="single" w:color="auto" w:sz="4" w:space="0"/>
              <w:right w:val="single" w:color="auto" w:sz="4" w:space="0"/>
            </w:tcBorders>
            <w:shd w:val="clear" w:color="auto" w:fill="auto"/>
            <w:vAlign w:val="center"/>
          </w:tcPr>
          <w:p w14:paraId="4F1661B9">
            <w:pPr>
              <w:shd w:val="clear"/>
              <w:rPr>
                <w:rFonts w:hint="eastAsia"/>
              </w:rPr>
            </w:pPr>
            <w:r>
              <w:rPr>
                <w:rFonts w:hint="eastAsia"/>
              </w:rPr>
              <w:t>工业级处理器</w:t>
            </w:r>
          </w:p>
        </w:tc>
        <w:tc>
          <w:tcPr>
            <w:tcW w:w="5720" w:type="dxa"/>
            <w:tcBorders>
              <w:top w:val="nil"/>
              <w:left w:val="nil"/>
              <w:bottom w:val="single" w:color="auto" w:sz="4" w:space="0"/>
              <w:right w:val="single" w:color="auto" w:sz="4" w:space="0"/>
            </w:tcBorders>
            <w:shd w:val="clear" w:color="auto" w:fill="auto"/>
            <w:vAlign w:val="center"/>
          </w:tcPr>
          <w:p w14:paraId="28AFD6CB">
            <w:pPr>
              <w:shd w:val="clear"/>
              <w:rPr>
                <w:rFonts w:hint="eastAsia"/>
              </w:rPr>
            </w:pPr>
            <w:r>
              <w:rPr>
                <w:rFonts w:hint="eastAsia"/>
              </w:rPr>
              <w:t>位处理速度不低于60纳秒</w:t>
            </w:r>
          </w:p>
        </w:tc>
      </w:tr>
      <w:tr w14:paraId="7B4A4F95">
        <w:tblPrEx>
          <w:tblCellMar>
            <w:top w:w="0" w:type="dxa"/>
            <w:left w:w="108" w:type="dxa"/>
            <w:bottom w:w="0" w:type="dxa"/>
            <w:right w:w="108" w:type="dxa"/>
          </w:tblCellMar>
        </w:tblPrEx>
        <w:trPr>
          <w:gridAfter w:val="1"/>
          <w:wAfter w:w="232" w:type="dxa"/>
          <w:trHeight w:val="958" w:hRule="atLeast"/>
        </w:trPr>
        <w:tc>
          <w:tcPr>
            <w:tcW w:w="0" w:type="auto"/>
            <w:vMerge w:val="continue"/>
            <w:tcBorders>
              <w:top w:val="nil"/>
              <w:left w:val="single" w:color="auto" w:sz="4" w:space="0"/>
              <w:bottom w:val="single" w:color="auto" w:sz="4" w:space="0"/>
              <w:right w:val="single" w:color="auto" w:sz="4" w:space="0"/>
            </w:tcBorders>
            <w:vAlign w:val="center"/>
          </w:tcPr>
          <w:p w14:paraId="4E2CFC74">
            <w:pPr>
              <w:shd w:val="clear"/>
              <w:rPr>
                <w:rFonts w:hint="eastAsia"/>
              </w:rPr>
            </w:pPr>
          </w:p>
        </w:tc>
        <w:tc>
          <w:tcPr>
            <w:tcW w:w="2717" w:type="dxa"/>
            <w:tcBorders>
              <w:top w:val="nil"/>
              <w:left w:val="nil"/>
              <w:bottom w:val="single" w:color="auto" w:sz="4" w:space="0"/>
              <w:right w:val="single" w:color="auto" w:sz="4" w:space="0"/>
            </w:tcBorders>
            <w:shd w:val="clear" w:color="auto" w:fill="auto"/>
            <w:vAlign w:val="center"/>
          </w:tcPr>
          <w:p w14:paraId="2EDDDE29">
            <w:pPr>
              <w:shd w:val="clear"/>
              <w:rPr>
                <w:rFonts w:hint="eastAsia"/>
              </w:rPr>
            </w:pPr>
            <w:r>
              <w:rPr>
                <w:rFonts w:hint="eastAsia"/>
              </w:rPr>
              <w:t>内存</w:t>
            </w:r>
          </w:p>
        </w:tc>
        <w:tc>
          <w:tcPr>
            <w:tcW w:w="5720" w:type="dxa"/>
            <w:tcBorders>
              <w:top w:val="nil"/>
              <w:left w:val="nil"/>
              <w:bottom w:val="single" w:color="auto" w:sz="4" w:space="0"/>
              <w:right w:val="single" w:color="auto" w:sz="4" w:space="0"/>
            </w:tcBorders>
            <w:shd w:val="clear" w:color="auto" w:fill="auto"/>
            <w:vAlign w:val="center"/>
          </w:tcPr>
          <w:p w14:paraId="10A09394">
            <w:pPr>
              <w:shd w:val="clear"/>
              <w:rPr>
                <w:rFonts w:hint="eastAsia"/>
              </w:rPr>
            </w:pPr>
            <w:r>
              <w:rPr>
                <w:rFonts w:hint="eastAsia"/>
              </w:rPr>
              <w:t>内存明确区分程序区和用户数据区，保证内存的最大使用效率及程序的可维护性；</w:t>
            </w:r>
          </w:p>
        </w:tc>
      </w:tr>
      <w:tr w14:paraId="2B5F8D59">
        <w:tblPrEx>
          <w:tblCellMar>
            <w:top w:w="0" w:type="dxa"/>
            <w:left w:w="108" w:type="dxa"/>
            <w:bottom w:w="0" w:type="dxa"/>
            <w:right w:w="108" w:type="dxa"/>
          </w:tblCellMar>
        </w:tblPrEx>
        <w:trPr>
          <w:gridAfter w:val="1"/>
          <w:wAfter w:w="232" w:type="dxa"/>
          <w:trHeight w:val="1614" w:hRule="atLeast"/>
        </w:trPr>
        <w:tc>
          <w:tcPr>
            <w:tcW w:w="0" w:type="auto"/>
            <w:vMerge w:val="continue"/>
            <w:tcBorders>
              <w:top w:val="nil"/>
              <w:left w:val="single" w:color="auto" w:sz="4" w:space="0"/>
              <w:bottom w:val="single" w:color="auto" w:sz="4" w:space="0"/>
              <w:right w:val="single" w:color="auto" w:sz="4" w:space="0"/>
            </w:tcBorders>
            <w:vAlign w:val="center"/>
          </w:tcPr>
          <w:p w14:paraId="6CDBF785">
            <w:pPr>
              <w:shd w:val="clear"/>
              <w:rPr>
                <w:rFonts w:hint="eastAsia"/>
              </w:rPr>
            </w:pPr>
          </w:p>
        </w:tc>
        <w:tc>
          <w:tcPr>
            <w:tcW w:w="2717" w:type="dxa"/>
            <w:vMerge w:val="restart"/>
            <w:tcBorders>
              <w:top w:val="nil"/>
              <w:left w:val="single" w:color="auto" w:sz="4" w:space="0"/>
              <w:bottom w:val="single" w:color="auto" w:sz="4" w:space="0"/>
              <w:right w:val="single" w:color="auto" w:sz="4" w:space="0"/>
            </w:tcBorders>
            <w:shd w:val="clear" w:color="auto" w:fill="auto"/>
            <w:vAlign w:val="center"/>
          </w:tcPr>
          <w:p w14:paraId="4DB394D7">
            <w:pPr>
              <w:shd w:val="clear"/>
              <w:rPr>
                <w:rFonts w:hint="eastAsia"/>
              </w:rPr>
            </w:pPr>
            <w:r>
              <w:rPr>
                <w:rFonts w:hint="eastAsia"/>
              </w:rPr>
              <w:t>自诊断功能</w:t>
            </w:r>
          </w:p>
        </w:tc>
        <w:tc>
          <w:tcPr>
            <w:tcW w:w="5720" w:type="dxa"/>
            <w:vMerge w:val="restart"/>
            <w:tcBorders>
              <w:top w:val="nil"/>
              <w:left w:val="single" w:color="auto" w:sz="4" w:space="0"/>
              <w:bottom w:val="single" w:color="auto" w:sz="4" w:space="0"/>
              <w:right w:val="single" w:color="auto" w:sz="4" w:space="0"/>
            </w:tcBorders>
            <w:shd w:val="clear" w:color="auto" w:fill="auto"/>
            <w:vAlign w:val="center"/>
          </w:tcPr>
          <w:p w14:paraId="7D61C8C1">
            <w:pPr>
              <w:shd w:val="clear"/>
              <w:rPr>
                <w:rFonts w:hint="eastAsia"/>
              </w:rPr>
            </w:pPr>
            <w:r>
              <w:rPr>
                <w:rFonts w:hint="eastAsia"/>
              </w:rPr>
              <w:t>可监视各模块及对应通道的实时系统诊断信息，即使处于停止状态也可进行系统诊断，系统诊断不占CPU程序资源</w:t>
            </w:r>
          </w:p>
        </w:tc>
      </w:tr>
      <w:tr w14:paraId="55ED206E">
        <w:tblPrEx>
          <w:tblCellMar>
            <w:top w:w="0" w:type="dxa"/>
            <w:left w:w="108" w:type="dxa"/>
            <w:bottom w:w="0" w:type="dxa"/>
            <w:right w:w="108" w:type="dxa"/>
          </w:tblCellMar>
        </w:tblPrEx>
        <w:trPr>
          <w:trHeight w:val="281" w:hRule="atLeast"/>
        </w:trPr>
        <w:tc>
          <w:tcPr>
            <w:tcW w:w="0" w:type="auto"/>
            <w:vMerge w:val="continue"/>
            <w:tcBorders>
              <w:top w:val="nil"/>
              <w:left w:val="single" w:color="auto" w:sz="4" w:space="0"/>
              <w:bottom w:val="single" w:color="auto" w:sz="4" w:space="0"/>
              <w:right w:val="single" w:color="auto" w:sz="4" w:space="0"/>
            </w:tcBorders>
            <w:vAlign w:val="center"/>
          </w:tcPr>
          <w:p w14:paraId="0BBE6547">
            <w:pPr>
              <w:shd w:val="clear"/>
              <w:rPr>
                <w:rFonts w:hint="eastAsia"/>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2401562">
            <w:pPr>
              <w:shd w:val="clear"/>
              <w:rPr>
                <w:rFonts w:hint="eastAsia"/>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F811A1C">
            <w:pPr>
              <w:shd w:val="clear"/>
              <w:rPr>
                <w:rFonts w:hint="eastAsia"/>
              </w:rPr>
            </w:pPr>
          </w:p>
        </w:tc>
        <w:tc>
          <w:tcPr>
            <w:tcW w:w="232" w:type="dxa"/>
            <w:tcBorders>
              <w:top w:val="nil"/>
              <w:left w:val="nil"/>
              <w:bottom w:val="nil"/>
              <w:right w:val="nil"/>
            </w:tcBorders>
            <w:noWrap/>
            <w:vAlign w:val="bottom"/>
          </w:tcPr>
          <w:p w14:paraId="66D35EEA">
            <w:pPr>
              <w:shd w:val="clear"/>
              <w:spacing w:line="360" w:lineRule="auto"/>
              <w:ind w:firstLine="482"/>
              <w:rPr>
                <w:rFonts w:hint="eastAsia" w:ascii="宋体" w:hAnsi="宋体" w:cs="宋体"/>
                <w:b/>
                <w:bCs/>
                <w:sz w:val="24"/>
              </w:rPr>
            </w:pPr>
          </w:p>
        </w:tc>
      </w:tr>
      <w:tr w14:paraId="61C84683">
        <w:tblPrEx>
          <w:tblCellMar>
            <w:top w:w="0" w:type="dxa"/>
            <w:left w:w="108" w:type="dxa"/>
            <w:bottom w:w="0" w:type="dxa"/>
            <w:right w:w="108" w:type="dxa"/>
          </w:tblCellMar>
        </w:tblPrEx>
        <w:trPr>
          <w:trHeight w:val="513" w:hRule="atLeast"/>
        </w:trPr>
        <w:tc>
          <w:tcPr>
            <w:tcW w:w="840" w:type="dxa"/>
            <w:vMerge w:val="restart"/>
            <w:tcBorders>
              <w:top w:val="nil"/>
              <w:left w:val="single" w:color="auto" w:sz="4" w:space="0"/>
              <w:bottom w:val="single" w:color="auto" w:sz="4" w:space="0"/>
              <w:right w:val="single" w:color="auto" w:sz="4" w:space="0"/>
            </w:tcBorders>
            <w:vAlign w:val="center"/>
          </w:tcPr>
          <w:p w14:paraId="05020B9C">
            <w:pPr>
              <w:shd w:val="clear"/>
              <w:rPr>
                <w:rFonts w:hint="eastAsia"/>
              </w:rPr>
            </w:pPr>
            <w:r>
              <w:rPr>
                <w:rFonts w:hint="eastAsia"/>
              </w:rPr>
              <w:t>环境</w:t>
            </w:r>
          </w:p>
        </w:tc>
        <w:tc>
          <w:tcPr>
            <w:tcW w:w="2717" w:type="dxa"/>
            <w:tcBorders>
              <w:top w:val="nil"/>
              <w:left w:val="nil"/>
              <w:bottom w:val="single" w:color="auto" w:sz="4" w:space="0"/>
              <w:right w:val="single" w:color="auto" w:sz="4" w:space="0"/>
            </w:tcBorders>
            <w:shd w:val="clear" w:color="auto" w:fill="auto"/>
            <w:vAlign w:val="center"/>
          </w:tcPr>
          <w:p w14:paraId="3A840583">
            <w:pPr>
              <w:shd w:val="clear"/>
              <w:rPr>
                <w:rFonts w:hint="eastAsia"/>
              </w:rPr>
            </w:pPr>
            <w:r>
              <w:rPr>
                <w:rFonts w:hint="eastAsia"/>
              </w:rPr>
              <w:t>温度</w:t>
            </w:r>
          </w:p>
        </w:tc>
        <w:tc>
          <w:tcPr>
            <w:tcW w:w="5720" w:type="dxa"/>
            <w:tcBorders>
              <w:top w:val="nil"/>
              <w:left w:val="nil"/>
              <w:bottom w:val="single" w:color="auto" w:sz="4" w:space="0"/>
              <w:right w:val="single" w:color="auto" w:sz="4" w:space="0"/>
            </w:tcBorders>
            <w:shd w:val="clear" w:color="auto" w:fill="auto"/>
            <w:vAlign w:val="center"/>
          </w:tcPr>
          <w:p w14:paraId="75D44203">
            <w:pPr>
              <w:shd w:val="clear"/>
              <w:rPr>
                <w:rFonts w:hint="eastAsia"/>
              </w:rPr>
            </w:pPr>
            <w:r>
              <w:rPr>
                <w:rFonts w:hint="eastAsia"/>
              </w:rPr>
              <w:t>-10℃～+40℃（极限温度：-20℃～+60℃）</w:t>
            </w:r>
          </w:p>
        </w:tc>
        <w:tc>
          <w:tcPr>
            <w:tcW w:w="232" w:type="dxa"/>
            <w:vAlign w:val="center"/>
          </w:tcPr>
          <w:p w14:paraId="6AF55B9B">
            <w:pPr>
              <w:shd w:val="clear"/>
              <w:spacing w:line="360" w:lineRule="auto"/>
              <w:ind w:firstLine="482"/>
              <w:rPr>
                <w:rFonts w:hint="eastAsia" w:ascii="宋体" w:hAnsi="宋体" w:cs="宋体"/>
                <w:b/>
                <w:bCs/>
                <w:sz w:val="24"/>
              </w:rPr>
            </w:pPr>
          </w:p>
        </w:tc>
      </w:tr>
      <w:tr w14:paraId="6A749A64">
        <w:tblPrEx>
          <w:tblCellMar>
            <w:top w:w="0" w:type="dxa"/>
            <w:left w:w="108" w:type="dxa"/>
            <w:bottom w:w="0" w:type="dxa"/>
            <w:right w:w="108" w:type="dxa"/>
          </w:tblCellMar>
        </w:tblPrEx>
        <w:trPr>
          <w:trHeight w:val="665" w:hRule="atLeast"/>
        </w:trPr>
        <w:tc>
          <w:tcPr>
            <w:tcW w:w="0" w:type="auto"/>
            <w:vMerge w:val="continue"/>
            <w:tcBorders>
              <w:top w:val="nil"/>
              <w:left w:val="single" w:color="auto" w:sz="4" w:space="0"/>
              <w:bottom w:val="single" w:color="auto" w:sz="4" w:space="0"/>
              <w:right w:val="single" w:color="auto" w:sz="4" w:space="0"/>
            </w:tcBorders>
            <w:vAlign w:val="center"/>
          </w:tcPr>
          <w:p w14:paraId="5B45FD82">
            <w:pPr>
              <w:shd w:val="clear"/>
              <w:rPr>
                <w:rFonts w:hint="eastAsia"/>
              </w:rPr>
            </w:pPr>
          </w:p>
        </w:tc>
        <w:tc>
          <w:tcPr>
            <w:tcW w:w="2717" w:type="dxa"/>
            <w:tcBorders>
              <w:top w:val="nil"/>
              <w:left w:val="nil"/>
              <w:bottom w:val="single" w:color="auto" w:sz="4" w:space="0"/>
              <w:right w:val="single" w:color="auto" w:sz="4" w:space="0"/>
            </w:tcBorders>
            <w:shd w:val="clear" w:color="auto" w:fill="auto"/>
            <w:vAlign w:val="center"/>
          </w:tcPr>
          <w:p w14:paraId="271B4FFA">
            <w:pPr>
              <w:shd w:val="clear"/>
              <w:rPr>
                <w:rFonts w:hint="eastAsia"/>
              </w:rPr>
            </w:pPr>
            <w:r>
              <w:rPr>
                <w:rFonts w:hint="eastAsia"/>
              </w:rPr>
              <w:t>湿度</w:t>
            </w:r>
          </w:p>
        </w:tc>
        <w:tc>
          <w:tcPr>
            <w:tcW w:w="5720" w:type="dxa"/>
            <w:tcBorders>
              <w:top w:val="nil"/>
              <w:left w:val="nil"/>
              <w:bottom w:val="single" w:color="auto" w:sz="4" w:space="0"/>
              <w:right w:val="single" w:color="auto" w:sz="4" w:space="0"/>
            </w:tcBorders>
            <w:shd w:val="clear" w:color="auto" w:fill="auto"/>
            <w:vAlign w:val="center"/>
          </w:tcPr>
          <w:p w14:paraId="5DD7E4F0">
            <w:pPr>
              <w:shd w:val="clear"/>
              <w:rPr>
                <w:rFonts w:hint="eastAsia"/>
              </w:rPr>
            </w:pPr>
            <w:r>
              <w:rPr>
                <w:rFonts w:hint="eastAsia"/>
              </w:rPr>
              <w:t>≤75％（极限湿度：≤85%）</w:t>
            </w:r>
          </w:p>
        </w:tc>
        <w:tc>
          <w:tcPr>
            <w:tcW w:w="232" w:type="dxa"/>
            <w:vAlign w:val="center"/>
          </w:tcPr>
          <w:p w14:paraId="3E76B117">
            <w:pPr>
              <w:shd w:val="clear"/>
              <w:spacing w:line="360" w:lineRule="auto"/>
              <w:ind w:firstLine="482"/>
              <w:rPr>
                <w:rFonts w:hint="eastAsia" w:ascii="宋体" w:hAnsi="宋体" w:cs="宋体"/>
                <w:b/>
                <w:bCs/>
                <w:sz w:val="24"/>
              </w:rPr>
            </w:pPr>
          </w:p>
        </w:tc>
      </w:tr>
      <w:tr w14:paraId="642EAECB">
        <w:tblPrEx>
          <w:tblCellMar>
            <w:top w:w="0" w:type="dxa"/>
            <w:left w:w="108" w:type="dxa"/>
            <w:bottom w:w="0" w:type="dxa"/>
            <w:right w:w="108" w:type="dxa"/>
          </w:tblCellMar>
        </w:tblPrEx>
        <w:trPr>
          <w:trHeight w:val="594" w:hRule="atLeast"/>
        </w:trPr>
        <w:tc>
          <w:tcPr>
            <w:tcW w:w="840" w:type="dxa"/>
            <w:vMerge w:val="restart"/>
            <w:tcBorders>
              <w:top w:val="nil"/>
              <w:left w:val="single" w:color="auto" w:sz="4" w:space="0"/>
              <w:bottom w:val="single" w:color="auto" w:sz="4" w:space="0"/>
              <w:right w:val="single" w:color="auto" w:sz="4" w:space="0"/>
            </w:tcBorders>
            <w:vAlign w:val="center"/>
          </w:tcPr>
          <w:p w14:paraId="1653E2C5">
            <w:pPr>
              <w:shd w:val="clear"/>
              <w:rPr>
                <w:rFonts w:hint="eastAsia"/>
              </w:rPr>
            </w:pPr>
            <w:r>
              <w:rPr>
                <w:rFonts w:hint="eastAsia"/>
              </w:rPr>
              <w:t>功能</w:t>
            </w:r>
          </w:p>
        </w:tc>
        <w:tc>
          <w:tcPr>
            <w:tcW w:w="2717" w:type="dxa"/>
            <w:tcBorders>
              <w:top w:val="nil"/>
              <w:left w:val="nil"/>
              <w:bottom w:val="single" w:color="auto" w:sz="4" w:space="0"/>
              <w:right w:val="single" w:color="auto" w:sz="4" w:space="0"/>
            </w:tcBorders>
            <w:shd w:val="clear" w:color="auto" w:fill="auto"/>
            <w:vAlign w:val="center"/>
          </w:tcPr>
          <w:p w14:paraId="2B2F5D62">
            <w:pPr>
              <w:shd w:val="clear"/>
              <w:rPr>
                <w:rFonts w:hint="eastAsia"/>
              </w:rPr>
            </w:pPr>
            <w:r>
              <w:rPr>
                <w:rFonts w:hint="eastAsia"/>
              </w:rPr>
              <w:t>能源计量分析</w:t>
            </w:r>
          </w:p>
        </w:tc>
        <w:tc>
          <w:tcPr>
            <w:tcW w:w="5720" w:type="dxa"/>
            <w:tcBorders>
              <w:top w:val="nil"/>
              <w:left w:val="nil"/>
              <w:bottom w:val="single" w:color="auto" w:sz="4" w:space="0"/>
              <w:right w:val="single" w:color="auto" w:sz="4" w:space="0"/>
            </w:tcBorders>
            <w:shd w:val="clear" w:color="auto" w:fill="auto"/>
            <w:vAlign w:val="center"/>
          </w:tcPr>
          <w:p w14:paraId="531E4CD2">
            <w:pPr>
              <w:shd w:val="clear"/>
              <w:rPr>
                <w:rFonts w:hint="eastAsia"/>
              </w:rPr>
            </w:pPr>
            <w:r>
              <w:rPr>
                <w:rFonts w:hint="eastAsia"/>
              </w:rPr>
              <w:t>对整个中央空调系统能源使用情况进行统计和分析</w:t>
            </w:r>
          </w:p>
        </w:tc>
        <w:tc>
          <w:tcPr>
            <w:tcW w:w="232" w:type="dxa"/>
            <w:vAlign w:val="center"/>
          </w:tcPr>
          <w:p w14:paraId="4C75F46C">
            <w:pPr>
              <w:shd w:val="clear"/>
              <w:spacing w:line="360" w:lineRule="auto"/>
              <w:ind w:firstLine="482"/>
              <w:rPr>
                <w:rFonts w:hint="eastAsia" w:ascii="宋体" w:hAnsi="宋体" w:cs="宋体"/>
                <w:b/>
                <w:bCs/>
                <w:sz w:val="24"/>
              </w:rPr>
            </w:pPr>
          </w:p>
        </w:tc>
      </w:tr>
      <w:tr w14:paraId="5AC62671">
        <w:tblPrEx>
          <w:tblCellMar>
            <w:top w:w="0" w:type="dxa"/>
            <w:left w:w="108" w:type="dxa"/>
            <w:bottom w:w="0" w:type="dxa"/>
            <w:right w:w="108" w:type="dxa"/>
          </w:tblCellMar>
        </w:tblPrEx>
        <w:trPr>
          <w:trHeight w:val="807" w:hRule="atLeast"/>
        </w:trPr>
        <w:tc>
          <w:tcPr>
            <w:tcW w:w="0" w:type="auto"/>
            <w:vMerge w:val="continue"/>
            <w:tcBorders>
              <w:top w:val="nil"/>
              <w:left w:val="single" w:color="auto" w:sz="4" w:space="0"/>
              <w:bottom w:val="single" w:color="auto" w:sz="4" w:space="0"/>
              <w:right w:val="single" w:color="auto" w:sz="4" w:space="0"/>
            </w:tcBorders>
            <w:vAlign w:val="center"/>
          </w:tcPr>
          <w:p w14:paraId="6DF4A099">
            <w:pPr>
              <w:shd w:val="clear"/>
              <w:rPr>
                <w:rFonts w:hint="eastAsia"/>
              </w:rPr>
            </w:pPr>
          </w:p>
        </w:tc>
        <w:tc>
          <w:tcPr>
            <w:tcW w:w="2717" w:type="dxa"/>
            <w:tcBorders>
              <w:top w:val="nil"/>
              <w:left w:val="nil"/>
              <w:bottom w:val="single" w:color="auto" w:sz="4" w:space="0"/>
              <w:right w:val="single" w:color="auto" w:sz="4" w:space="0"/>
            </w:tcBorders>
            <w:shd w:val="clear" w:color="auto" w:fill="auto"/>
            <w:vAlign w:val="center"/>
          </w:tcPr>
          <w:p w14:paraId="5CC1FB47">
            <w:pPr>
              <w:shd w:val="clear"/>
              <w:rPr>
                <w:rFonts w:hint="eastAsia"/>
              </w:rPr>
            </w:pPr>
            <w:r>
              <w:rPr>
                <w:rFonts w:hint="eastAsia"/>
              </w:rPr>
              <w:t>设备运行监控</w:t>
            </w:r>
          </w:p>
        </w:tc>
        <w:tc>
          <w:tcPr>
            <w:tcW w:w="5720" w:type="dxa"/>
            <w:tcBorders>
              <w:top w:val="nil"/>
              <w:left w:val="nil"/>
              <w:bottom w:val="single" w:color="auto" w:sz="4" w:space="0"/>
              <w:right w:val="single" w:color="auto" w:sz="4" w:space="0"/>
            </w:tcBorders>
            <w:shd w:val="clear" w:color="auto" w:fill="auto"/>
            <w:vAlign w:val="center"/>
          </w:tcPr>
          <w:p w14:paraId="18D1A9A3">
            <w:pPr>
              <w:shd w:val="clear"/>
              <w:rPr>
                <w:rFonts w:hint="eastAsia"/>
              </w:rPr>
            </w:pPr>
            <w:r>
              <w:rPr>
                <w:rFonts w:hint="eastAsia"/>
              </w:rPr>
              <w:t>对整个中央空调系统进行性能监控，同时根据各功能模块状态进行实时调整，协调各功能模块动作</w:t>
            </w:r>
          </w:p>
        </w:tc>
        <w:tc>
          <w:tcPr>
            <w:tcW w:w="232" w:type="dxa"/>
            <w:vAlign w:val="center"/>
          </w:tcPr>
          <w:p w14:paraId="3E6599B2">
            <w:pPr>
              <w:shd w:val="clear"/>
              <w:spacing w:line="360" w:lineRule="auto"/>
              <w:ind w:firstLine="482"/>
              <w:rPr>
                <w:rFonts w:hint="eastAsia" w:ascii="宋体" w:hAnsi="宋体" w:cs="宋体"/>
                <w:b/>
                <w:bCs/>
                <w:sz w:val="24"/>
              </w:rPr>
            </w:pPr>
          </w:p>
        </w:tc>
      </w:tr>
      <w:tr w14:paraId="0E3CB9D1">
        <w:tblPrEx>
          <w:tblCellMar>
            <w:top w:w="0" w:type="dxa"/>
            <w:left w:w="108" w:type="dxa"/>
            <w:bottom w:w="0" w:type="dxa"/>
            <w:right w:w="108" w:type="dxa"/>
          </w:tblCellMar>
        </w:tblPrEx>
        <w:trPr>
          <w:trHeight w:val="705" w:hRule="atLeast"/>
        </w:trPr>
        <w:tc>
          <w:tcPr>
            <w:tcW w:w="0" w:type="auto"/>
            <w:vMerge w:val="continue"/>
            <w:tcBorders>
              <w:top w:val="nil"/>
              <w:left w:val="single" w:color="auto" w:sz="4" w:space="0"/>
              <w:bottom w:val="single" w:color="auto" w:sz="4" w:space="0"/>
              <w:right w:val="single" w:color="auto" w:sz="4" w:space="0"/>
            </w:tcBorders>
            <w:vAlign w:val="center"/>
          </w:tcPr>
          <w:p w14:paraId="7EBDA2A6">
            <w:pPr>
              <w:shd w:val="clear"/>
              <w:rPr>
                <w:rFonts w:hint="eastAsia"/>
              </w:rPr>
            </w:pPr>
          </w:p>
        </w:tc>
        <w:tc>
          <w:tcPr>
            <w:tcW w:w="2717" w:type="dxa"/>
            <w:tcBorders>
              <w:top w:val="nil"/>
              <w:left w:val="nil"/>
              <w:bottom w:val="single" w:color="auto" w:sz="4" w:space="0"/>
              <w:right w:val="single" w:color="auto" w:sz="4" w:space="0"/>
            </w:tcBorders>
            <w:shd w:val="clear" w:color="auto" w:fill="auto"/>
            <w:vAlign w:val="center"/>
          </w:tcPr>
          <w:p w14:paraId="4C15C632">
            <w:pPr>
              <w:shd w:val="clear"/>
              <w:rPr>
                <w:rFonts w:hint="eastAsia"/>
              </w:rPr>
            </w:pPr>
            <w:r>
              <w:rPr>
                <w:rFonts w:hint="eastAsia"/>
              </w:rPr>
              <w:t>能源数据上报</w:t>
            </w:r>
          </w:p>
        </w:tc>
        <w:tc>
          <w:tcPr>
            <w:tcW w:w="5720" w:type="dxa"/>
            <w:tcBorders>
              <w:top w:val="nil"/>
              <w:left w:val="nil"/>
              <w:bottom w:val="single" w:color="auto" w:sz="4" w:space="0"/>
              <w:right w:val="single" w:color="auto" w:sz="4" w:space="0"/>
            </w:tcBorders>
            <w:shd w:val="clear" w:color="auto" w:fill="auto"/>
            <w:vAlign w:val="center"/>
          </w:tcPr>
          <w:p w14:paraId="7A614ACC">
            <w:pPr>
              <w:shd w:val="clear"/>
              <w:rPr>
                <w:rFonts w:hint="eastAsia"/>
              </w:rPr>
            </w:pPr>
            <w:r>
              <w:rPr>
                <w:rFonts w:hint="eastAsia"/>
              </w:rPr>
              <w:t>将所有能源能耗数据及设备运行数据实时上传节能监管平台</w:t>
            </w:r>
          </w:p>
        </w:tc>
        <w:tc>
          <w:tcPr>
            <w:tcW w:w="232" w:type="dxa"/>
            <w:vAlign w:val="center"/>
          </w:tcPr>
          <w:p w14:paraId="017F5DC3">
            <w:pPr>
              <w:shd w:val="clear"/>
              <w:spacing w:line="360" w:lineRule="auto"/>
              <w:ind w:firstLine="482"/>
              <w:rPr>
                <w:rFonts w:hint="eastAsia" w:ascii="宋体" w:hAnsi="宋体" w:cs="宋体"/>
                <w:b/>
                <w:bCs/>
                <w:sz w:val="24"/>
              </w:rPr>
            </w:pPr>
          </w:p>
        </w:tc>
      </w:tr>
    </w:tbl>
    <w:p w14:paraId="4AB12E57">
      <w:pPr>
        <w:shd w:val="clear"/>
        <w:spacing w:line="360" w:lineRule="auto"/>
        <w:ind w:firstLine="482"/>
        <w:rPr>
          <w:rFonts w:hint="eastAsia" w:ascii="宋体" w:hAnsi="宋体" w:cs="宋体"/>
          <w:b/>
          <w:bCs/>
          <w:sz w:val="24"/>
        </w:rPr>
      </w:pPr>
    </w:p>
    <w:p w14:paraId="0A4B936B">
      <w:pPr>
        <w:shd w:val="clear"/>
        <w:spacing w:line="360" w:lineRule="auto"/>
        <w:ind w:firstLine="482"/>
        <w:rPr>
          <w:rFonts w:hint="eastAsia" w:ascii="宋体" w:hAnsi="宋体" w:cs="宋体"/>
          <w:b/>
          <w:bCs/>
          <w:sz w:val="24"/>
        </w:rPr>
      </w:pPr>
      <w:r>
        <w:rPr>
          <w:rFonts w:hint="eastAsia" w:ascii="宋体" w:hAnsi="宋体" w:cs="宋体"/>
          <w:b/>
          <w:bCs/>
          <w:sz w:val="24"/>
        </w:rPr>
        <w:t>2.主机能效控制箱</w:t>
      </w:r>
    </w:p>
    <w:tbl>
      <w:tblPr>
        <w:tblStyle w:val="14"/>
        <w:tblW w:w="9108" w:type="dxa"/>
        <w:tblInd w:w="0" w:type="dxa"/>
        <w:tblLayout w:type="autofit"/>
        <w:tblCellMar>
          <w:top w:w="0" w:type="dxa"/>
          <w:left w:w="108" w:type="dxa"/>
          <w:bottom w:w="0" w:type="dxa"/>
          <w:right w:w="108" w:type="dxa"/>
        </w:tblCellMar>
      </w:tblPr>
      <w:tblGrid>
        <w:gridCol w:w="982"/>
        <w:gridCol w:w="3213"/>
        <w:gridCol w:w="4913"/>
      </w:tblGrid>
      <w:tr w14:paraId="58224773">
        <w:tblPrEx>
          <w:tblCellMar>
            <w:top w:w="0" w:type="dxa"/>
            <w:left w:w="108" w:type="dxa"/>
            <w:bottom w:w="0" w:type="dxa"/>
            <w:right w:w="108" w:type="dxa"/>
          </w:tblCellMar>
        </w:tblPrEx>
        <w:trPr>
          <w:trHeight w:val="808" w:hRule="atLeast"/>
        </w:trPr>
        <w:tc>
          <w:tcPr>
            <w:tcW w:w="41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63168A">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技术参数</w:t>
            </w:r>
          </w:p>
        </w:tc>
        <w:tc>
          <w:tcPr>
            <w:tcW w:w="4913" w:type="dxa"/>
            <w:tcBorders>
              <w:top w:val="single" w:color="auto" w:sz="4" w:space="0"/>
              <w:left w:val="nil"/>
              <w:bottom w:val="single" w:color="auto" w:sz="4" w:space="0"/>
              <w:right w:val="single" w:color="auto" w:sz="4" w:space="0"/>
            </w:tcBorders>
            <w:shd w:val="clear" w:color="auto" w:fill="auto"/>
            <w:vAlign w:val="center"/>
          </w:tcPr>
          <w:p w14:paraId="4464551E">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指标</w:t>
            </w:r>
          </w:p>
        </w:tc>
      </w:tr>
      <w:tr w14:paraId="649A7186">
        <w:tblPrEx>
          <w:tblCellMar>
            <w:top w:w="0" w:type="dxa"/>
            <w:left w:w="108" w:type="dxa"/>
            <w:bottom w:w="0" w:type="dxa"/>
            <w:right w:w="108" w:type="dxa"/>
          </w:tblCellMar>
        </w:tblPrEx>
        <w:trPr>
          <w:trHeight w:val="309" w:hRule="atLeast"/>
        </w:trPr>
        <w:tc>
          <w:tcPr>
            <w:tcW w:w="982" w:type="dxa"/>
            <w:vMerge w:val="restart"/>
            <w:tcBorders>
              <w:top w:val="nil"/>
              <w:left w:val="single" w:color="auto" w:sz="4" w:space="0"/>
              <w:bottom w:val="single" w:color="auto" w:sz="4" w:space="0"/>
              <w:right w:val="single" w:color="auto" w:sz="4" w:space="0"/>
            </w:tcBorders>
            <w:shd w:val="clear" w:color="auto" w:fill="auto"/>
            <w:vAlign w:val="center"/>
          </w:tcPr>
          <w:p w14:paraId="361BE1AB">
            <w:pPr>
              <w:shd w:val="clear"/>
              <w:spacing w:line="360" w:lineRule="auto"/>
              <w:rPr>
                <w:rFonts w:hint="eastAsia" w:ascii="宋体" w:hAnsi="宋体" w:cs="宋体"/>
                <w:b w:val="0"/>
                <w:bCs w:val="0"/>
                <w:sz w:val="24"/>
              </w:rPr>
            </w:pPr>
            <w:r>
              <w:rPr>
                <w:rFonts w:hint="eastAsia" w:ascii="宋体" w:hAnsi="宋体" w:cs="宋体"/>
                <w:b w:val="0"/>
                <w:bCs w:val="0"/>
                <w:sz w:val="24"/>
              </w:rPr>
              <w:t>接口</w:t>
            </w:r>
          </w:p>
        </w:tc>
        <w:tc>
          <w:tcPr>
            <w:tcW w:w="3212" w:type="dxa"/>
            <w:tcBorders>
              <w:top w:val="nil"/>
              <w:left w:val="nil"/>
              <w:bottom w:val="single" w:color="auto" w:sz="4" w:space="0"/>
              <w:right w:val="single" w:color="auto" w:sz="4" w:space="0"/>
            </w:tcBorders>
            <w:shd w:val="clear" w:color="auto" w:fill="auto"/>
            <w:vAlign w:val="center"/>
          </w:tcPr>
          <w:p w14:paraId="66AD1D42">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网络接口</w:t>
            </w:r>
          </w:p>
        </w:tc>
        <w:tc>
          <w:tcPr>
            <w:tcW w:w="4913" w:type="dxa"/>
            <w:tcBorders>
              <w:top w:val="nil"/>
              <w:left w:val="nil"/>
              <w:bottom w:val="single" w:color="auto" w:sz="4" w:space="0"/>
              <w:right w:val="single" w:color="auto" w:sz="4" w:space="0"/>
            </w:tcBorders>
            <w:shd w:val="clear" w:color="auto" w:fill="auto"/>
            <w:vAlign w:val="center"/>
          </w:tcPr>
          <w:p w14:paraId="1A485967">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1 x 10/100 Base-T RJ-45</w:t>
            </w:r>
          </w:p>
        </w:tc>
      </w:tr>
      <w:tr w14:paraId="1C65D14B">
        <w:tblPrEx>
          <w:tblCellMar>
            <w:top w:w="0" w:type="dxa"/>
            <w:left w:w="108" w:type="dxa"/>
            <w:bottom w:w="0" w:type="dxa"/>
            <w:right w:w="108" w:type="dxa"/>
          </w:tblCellMar>
        </w:tblPrEx>
        <w:trPr>
          <w:trHeight w:val="309"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40208DC">
            <w:pPr>
              <w:shd w:val="clear"/>
              <w:spacing w:line="360" w:lineRule="auto"/>
              <w:ind w:firstLine="482"/>
              <w:rPr>
                <w:rFonts w:hint="eastAsia" w:ascii="宋体" w:hAnsi="宋体" w:cs="宋体"/>
                <w:b w:val="0"/>
                <w:bCs w:val="0"/>
                <w:sz w:val="24"/>
              </w:rPr>
            </w:pPr>
          </w:p>
        </w:tc>
        <w:tc>
          <w:tcPr>
            <w:tcW w:w="3212" w:type="dxa"/>
            <w:tcBorders>
              <w:top w:val="nil"/>
              <w:left w:val="nil"/>
              <w:bottom w:val="single" w:color="auto" w:sz="4" w:space="0"/>
              <w:right w:val="single" w:color="auto" w:sz="4" w:space="0"/>
            </w:tcBorders>
            <w:shd w:val="clear" w:color="auto" w:fill="auto"/>
            <w:vAlign w:val="center"/>
          </w:tcPr>
          <w:p w14:paraId="2D1A97F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RS485接口</w:t>
            </w:r>
          </w:p>
        </w:tc>
        <w:tc>
          <w:tcPr>
            <w:tcW w:w="4913" w:type="dxa"/>
            <w:tcBorders>
              <w:top w:val="nil"/>
              <w:left w:val="nil"/>
              <w:bottom w:val="single" w:color="auto" w:sz="4" w:space="0"/>
              <w:right w:val="single" w:color="auto" w:sz="4" w:space="0"/>
            </w:tcBorders>
            <w:shd w:val="clear" w:color="auto" w:fill="auto"/>
            <w:vAlign w:val="center"/>
          </w:tcPr>
          <w:p w14:paraId="7044D9D6">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1 x RS485</w:t>
            </w:r>
          </w:p>
        </w:tc>
      </w:tr>
      <w:tr w14:paraId="61B6B708">
        <w:tblPrEx>
          <w:tblCellMar>
            <w:top w:w="0" w:type="dxa"/>
            <w:left w:w="108" w:type="dxa"/>
            <w:bottom w:w="0" w:type="dxa"/>
            <w:right w:w="108" w:type="dxa"/>
          </w:tblCellMar>
        </w:tblPrEx>
        <w:trPr>
          <w:trHeight w:val="309"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91AE91D">
            <w:pPr>
              <w:shd w:val="clear"/>
              <w:spacing w:line="360" w:lineRule="auto"/>
              <w:ind w:firstLine="482"/>
              <w:rPr>
                <w:rFonts w:hint="eastAsia" w:ascii="宋体" w:hAnsi="宋体" w:cs="宋体"/>
                <w:b w:val="0"/>
                <w:bCs w:val="0"/>
                <w:sz w:val="24"/>
              </w:rPr>
            </w:pPr>
          </w:p>
        </w:tc>
        <w:tc>
          <w:tcPr>
            <w:tcW w:w="3212" w:type="dxa"/>
            <w:tcBorders>
              <w:top w:val="nil"/>
              <w:left w:val="nil"/>
              <w:bottom w:val="single" w:color="auto" w:sz="4" w:space="0"/>
              <w:right w:val="single" w:color="auto" w:sz="4" w:space="0"/>
            </w:tcBorders>
            <w:shd w:val="clear" w:color="auto" w:fill="auto"/>
            <w:vAlign w:val="center"/>
          </w:tcPr>
          <w:p w14:paraId="686DC03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传输</w:t>
            </w:r>
          </w:p>
        </w:tc>
        <w:tc>
          <w:tcPr>
            <w:tcW w:w="4913" w:type="dxa"/>
            <w:tcBorders>
              <w:top w:val="nil"/>
              <w:left w:val="nil"/>
              <w:bottom w:val="single" w:color="auto" w:sz="4" w:space="0"/>
              <w:right w:val="single" w:color="auto" w:sz="4" w:space="0"/>
            </w:tcBorders>
            <w:shd w:val="clear" w:color="auto" w:fill="auto"/>
            <w:vAlign w:val="center"/>
          </w:tcPr>
          <w:p w14:paraId="55741782">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通过ProfiNet 数据传送到中央协调控制箱</w:t>
            </w:r>
          </w:p>
        </w:tc>
      </w:tr>
      <w:tr w14:paraId="725F20E4">
        <w:tblPrEx>
          <w:tblCellMar>
            <w:top w:w="0" w:type="dxa"/>
            <w:left w:w="108" w:type="dxa"/>
            <w:bottom w:w="0" w:type="dxa"/>
            <w:right w:w="108" w:type="dxa"/>
          </w:tblCellMar>
        </w:tblPrEx>
        <w:trPr>
          <w:trHeight w:val="309" w:hRule="atLeast"/>
        </w:trPr>
        <w:tc>
          <w:tcPr>
            <w:tcW w:w="982" w:type="dxa"/>
            <w:vMerge w:val="restart"/>
            <w:tcBorders>
              <w:top w:val="nil"/>
              <w:left w:val="single" w:color="auto" w:sz="4" w:space="0"/>
              <w:bottom w:val="single" w:color="auto" w:sz="4" w:space="0"/>
              <w:right w:val="single" w:color="auto" w:sz="4" w:space="0"/>
            </w:tcBorders>
            <w:vAlign w:val="center"/>
          </w:tcPr>
          <w:p w14:paraId="3998A1D2">
            <w:pPr>
              <w:shd w:val="clear"/>
              <w:spacing w:line="360" w:lineRule="auto"/>
              <w:rPr>
                <w:rFonts w:hint="eastAsia" w:ascii="宋体" w:hAnsi="宋体" w:cs="宋体"/>
                <w:b w:val="0"/>
                <w:bCs w:val="0"/>
                <w:sz w:val="24"/>
              </w:rPr>
            </w:pPr>
            <w:r>
              <w:rPr>
                <w:rFonts w:hint="eastAsia" w:ascii="宋体" w:hAnsi="宋体" w:cs="宋体"/>
                <w:b w:val="0"/>
                <w:bCs w:val="0"/>
                <w:sz w:val="24"/>
              </w:rPr>
              <w:t>电压</w:t>
            </w:r>
          </w:p>
        </w:tc>
        <w:tc>
          <w:tcPr>
            <w:tcW w:w="3212" w:type="dxa"/>
            <w:tcBorders>
              <w:top w:val="nil"/>
              <w:left w:val="nil"/>
              <w:bottom w:val="single" w:color="auto" w:sz="4" w:space="0"/>
              <w:right w:val="single" w:color="auto" w:sz="4" w:space="0"/>
            </w:tcBorders>
            <w:shd w:val="clear" w:color="auto" w:fill="auto"/>
            <w:vAlign w:val="center"/>
          </w:tcPr>
          <w:p w14:paraId="2F84CF0E">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额定值</w:t>
            </w:r>
          </w:p>
        </w:tc>
        <w:tc>
          <w:tcPr>
            <w:tcW w:w="4913" w:type="dxa"/>
            <w:tcBorders>
              <w:top w:val="nil"/>
              <w:left w:val="nil"/>
              <w:bottom w:val="single" w:color="auto" w:sz="4" w:space="0"/>
              <w:right w:val="single" w:color="auto" w:sz="4" w:space="0"/>
            </w:tcBorders>
            <w:shd w:val="clear" w:color="auto" w:fill="auto"/>
            <w:vAlign w:val="center"/>
          </w:tcPr>
          <w:p w14:paraId="150816CB">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AC220V</w:t>
            </w:r>
          </w:p>
        </w:tc>
      </w:tr>
      <w:tr w14:paraId="136CBC35">
        <w:tblPrEx>
          <w:tblCellMar>
            <w:top w:w="0" w:type="dxa"/>
            <w:left w:w="108" w:type="dxa"/>
            <w:bottom w:w="0" w:type="dxa"/>
            <w:right w:w="108" w:type="dxa"/>
          </w:tblCellMar>
        </w:tblPrEx>
        <w:trPr>
          <w:trHeight w:val="309" w:hRule="atLeast"/>
        </w:trPr>
        <w:tc>
          <w:tcPr>
            <w:tcW w:w="0" w:type="auto"/>
            <w:vMerge w:val="continue"/>
            <w:tcBorders>
              <w:top w:val="nil"/>
              <w:left w:val="single" w:color="auto" w:sz="4" w:space="0"/>
              <w:bottom w:val="single" w:color="auto" w:sz="4" w:space="0"/>
              <w:right w:val="single" w:color="auto" w:sz="4" w:space="0"/>
            </w:tcBorders>
            <w:vAlign w:val="center"/>
          </w:tcPr>
          <w:p w14:paraId="467DBF0B">
            <w:pPr>
              <w:shd w:val="clear"/>
              <w:spacing w:line="360" w:lineRule="auto"/>
              <w:ind w:firstLine="482"/>
              <w:rPr>
                <w:rFonts w:hint="eastAsia" w:ascii="宋体" w:hAnsi="宋体" w:cs="宋体"/>
                <w:b w:val="0"/>
                <w:bCs w:val="0"/>
                <w:sz w:val="24"/>
              </w:rPr>
            </w:pPr>
          </w:p>
        </w:tc>
        <w:tc>
          <w:tcPr>
            <w:tcW w:w="3212" w:type="dxa"/>
            <w:tcBorders>
              <w:top w:val="nil"/>
              <w:left w:val="nil"/>
              <w:bottom w:val="single" w:color="auto" w:sz="4" w:space="0"/>
              <w:right w:val="single" w:color="auto" w:sz="4" w:space="0"/>
            </w:tcBorders>
            <w:shd w:val="clear" w:color="auto" w:fill="auto"/>
            <w:vAlign w:val="center"/>
          </w:tcPr>
          <w:p w14:paraId="6116D85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功耗</w:t>
            </w:r>
          </w:p>
        </w:tc>
        <w:tc>
          <w:tcPr>
            <w:tcW w:w="4913" w:type="dxa"/>
            <w:tcBorders>
              <w:top w:val="nil"/>
              <w:left w:val="nil"/>
              <w:bottom w:val="single" w:color="auto" w:sz="4" w:space="0"/>
              <w:right w:val="single" w:color="auto" w:sz="4" w:space="0"/>
            </w:tcBorders>
            <w:shd w:val="clear" w:color="auto" w:fill="auto"/>
            <w:vAlign w:val="center"/>
          </w:tcPr>
          <w:p w14:paraId="44768F85">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≤100W</w:t>
            </w:r>
          </w:p>
        </w:tc>
      </w:tr>
      <w:tr w14:paraId="5131F985">
        <w:tblPrEx>
          <w:tblCellMar>
            <w:top w:w="0" w:type="dxa"/>
            <w:left w:w="108" w:type="dxa"/>
            <w:bottom w:w="0" w:type="dxa"/>
            <w:right w:w="108" w:type="dxa"/>
          </w:tblCellMar>
        </w:tblPrEx>
        <w:trPr>
          <w:trHeight w:val="309" w:hRule="atLeast"/>
        </w:trPr>
        <w:tc>
          <w:tcPr>
            <w:tcW w:w="0" w:type="auto"/>
            <w:vMerge w:val="continue"/>
            <w:tcBorders>
              <w:top w:val="nil"/>
              <w:left w:val="single" w:color="auto" w:sz="4" w:space="0"/>
              <w:bottom w:val="single" w:color="auto" w:sz="4" w:space="0"/>
              <w:right w:val="single" w:color="auto" w:sz="4" w:space="0"/>
            </w:tcBorders>
            <w:vAlign w:val="center"/>
          </w:tcPr>
          <w:p w14:paraId="4D7CFD64">
            <w:pPr>
              <w:shd w:val="clear"/>
              <w:spacing w:line="360" w:lineRule="auto"/>
              <w:ind w:firstLine="482"/>
              <w:rPr>
                <w:rFonts w:hint="eastAsia" w:ascii="宋体" w:hAnsi="宋体" w:cs="宋体"/>
                <w:b w:val="0"/>
                <w:bCs w:val="0"/>
                <w:sz w:val="24"/>
              </w:rPr>
            </w:pPr>
          </w:p>
        </w:tc>
        <w:tc>
          <w:tcPr>
            <w:tcW w:w="3212" w:type="dxa"/>
            <w:tcBorders>
              <w:top w:val="nil"/>
              <w:left w:val="nil"/>
              <w:bottom w:val="single" w:color="auto" w:sz="4" w:space="0"/>
              <w:right w:val="single" w:color="auto" w:sz="4" w:space="0"/>
            </w:tcBorders>
            <w:shd w:val="clear" w:color="auto" w:fill="auto"/>
            <w:vAlign w:val="center"/>
          </w:tcPr>
          <w:p w14:paraId="4F11D1C0">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频率</w:t>
            </w:r>
          </w:p>
        </w:tc>
        <w:tc>
          <w:tcPr>
            <w:tcW w:w="4913" w:type="dxa"/>
            <w:tcBorders>
              <w:top w:val="nil"/>
              <w:left w:val="nil"/>
              <w:bottom w:val="single" w:color="auto" w:sz="4" w:space="0"/>
              <w:right w:val="single" w:color="auto" w:sz="4" w:space="0"/>
            </w:tcBorders>
            <w:shd w:val="clear" w:color="auto" w:fill="auto"/>
            <w:vAlign w:val="center"/>
          </w:tcPr>
          <w:p w14:paraId="79A8863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50Hz</w:t>
            </w:r>
          </w:p>
        </w:tc>
      </w:tr>
      <w:tr w14:paraId="249F19F4">
        <w:tblPrEx>
          <w:tblCellMar>
            <w:top w:w="0" w:type="dxa"/>
            <w:left w:w="108" w:type="dxa"/>
            <w:bottom w:w="0" w:type="dxa"/>
            <w:right w:w="108" w:type="dxa"/>
          </w:tblCellMar>
        </w:tblPrEx>
        <w:trPr>
          <w:trHeight w:val="439" w:hRule="atLeast"/>
        </w:trPr>
        <w:tc>
          <w:tcPr>
            <w:tcW w:w="982" w:type="dxa"/>
            <w:vMerge w:val="restart"/>
            <w:tcBorders>
              <w:top w:val="nil"/>
              <w:left w:val="single" w:color="auto" w:sz="4" w:space="0"/>
              <w:bottom w:val="single" w:color="auto" w:sz="4" w:space="0"/>
              <w:right w:val="single" w:color="auto" w:sz="4" w:space="0"/>
            </w:tcBorders>
            <w:vAlign w:val="center"/>
          </w:tcPr>
          <w:p w14:paraId="053E41CE">
            <w:pPr>
              <w:shd w:val="clear"/>
              <w:spacing w:line="360" w:lineRule="auto"/>
              <w:rPr>
                <w:rFonts w:hint="eastAsia" w:ascii="宋体" w:hAnsi="宋体" w:cs="宋体"/>
                <w:b w:val="0"/>
                <w:bCs w:val="0"/>
                <w:sz w:val="24"/>
              </w:rPr>
            </w:pPr>
            <w:r>
              <w:rPr>
                <w:rFonts w:hint="eastAsia" w:ascii="宋体" w:hAnsi="宋体" w:cs="宋体"/>
                <w:b w:val="0"/>
                <w:bCs w:val="0"/>
                <w:sz w:val="24"/>
              </w:rPr>
              <w:t>环境</w:t>
            </w:r>
          </w:p>
        </w:tc>
        <w:tc>
          <w:tcPr>
            <w:tcW w:w="3212" w:type="dxa"/>
            <w:tcBorders>
              <w:top w:val="nil"/>
              <w:left w:val="nil"/>
              <w:bottom w:val="single" w:color="auto" w:sz="4" w:space="0"/>
              <w:right w:val="single" w:color="auto" w:sz="4" w:space="0"/>
            </w:tcBorders>
            <w:shd w:val="clear" w:color="auto" w:fill="auto"/>
            <w:vAlign w:val="center"/>
          </w:tcPr>
          <w:p w14:paraId="406F312F">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温度</w:t>
            </w:r>
          </w:p>
        </w:tc>
        <w:tc>
          <w:tcPr>
            <w:tcW w:w="4913" w:type="dxa"/>
            <w:tcBorders>
              <w:top w:val="nil"/>
              <w:left w:val="nil"/>
              <w:bottom w:val="single" w:color="auto" w:sz="4" w:space="0"/>
              <w:right w:val="single" w:color="auto" w:sz="4" w:space="0"/>
            </w:tcBorders>
            <w:shd w:val="clear" w:color="auto" w:fill="auto"/>
            <w:vAlign w:val="center"/>
          </w:tcPr>
          <w:p w14:paraId="04BEBE81">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-10℃～+40℃（极限温度：-20℃～+60℃）</w:t>
            </w:r>
          </w:p>
        </w:tc>
      </w:tr>
      <w:tr w14:paraId="26B66AEC">
        <w:tblPrEx>
          <w:tblCellMar>
            <w:top w:w="0" w:type="dxa"/>
            <w:left w:w="108" w:type="dxa"/>
            <w:bottom w:w="0" w:type="dxa"/>
            <w:right w:w="108" w:type="dxa"/>
          </w:tblCellMar>
        </w:tblPrEx>
        <w:trPr>
          <w:trHeight w:val="459" w:hRule="atLeast"/>
        </w:trPr>
        <w:tc>
          <w:tcPr>
            <w:tcW w:w="0" w:type="auto"/>
            <w:vMerge w:val="continue"/>
            <w:tcBorders>
              <w:top w:val="nil"/>
              <w:left w:val="single" w:color="auto" w:sz="4" w:space="0"/>
              <w:bottom w:val="single" w:color="auto" w:sz="4" w:space="0"/>
              <w:right w:val="single" w:color="auto" w:sz="4" w:space="0"/>
            </w:tcBorders>
            <w:vAlign w:val="center"/>
          </w:tcPr>
          <w:p w14:paraId="06B37D3C">
            <w:pPr>
              <w:shd w:val="clear"/>
              <w:spacing w:line="360" w:lineRule="auto"/>
              <w:ind w:firstLine="482"/>
              <w:rPr>
                <w:rFonts w:hint="eastAsia" w:ascii="宋体" w:hAnsi="宋体" w:cs="宋体"/>
                <w:b w:val="0"/>
                <w:bCs w:val="0"/>
                <w:sz w:val="24"/>
              </w:rPr>
            </w:pPr>
          </w:p>
        </w:tc>
        <w:tc>
          <w:tcPr>
            <w:tcW w:w="3212" w:type="dxa"/>
            <w:tcBorders>
              <w:top w:val="nil"/>
              <w:left w:val="nil"/>
              <w:bottom w:val="single" w:color="auto" w:sz="4" w:space="0"/>
              <w:right w:val="single" w:color="auto" w:sz="4" w:space="0"/>
            </w:tcBorders>
            <w:shd w:val="clear" w:color="auto" w:fill="auto"/>
            <w:vAlign w:val="center"/>
          </w:tcPr>
          <w:p w14:paraId="2ED8273D">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湿度</w:t>
            </w:r>
          </w:p>
        </w:tc>
        <w:tc>
          <w:tcPr>
            <w:tcW w:w="4913" w:type="dxa"/>
            <w:tcBorders>
              <w:top w:val="nil"/>
              <w:left w:val="nil"/>
              <w:bottom w:val="single" w:color="auto" w:sz="4" w:space="0"/>
              <w:right w:val="single" w:color="auto" w:sz="4" w:space="0"/>
            </w:tcBorders>
            <w:shd w:val="clear" w:color="auto" w:fill="auto"/>
            <w:vAlign w:val="center"/>
          </w:tcPr>
          <w:p w14:paraId="35660ABB">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≤75％（极限湿度：≤85%）</w:t>
            </w:r>
          </w:p>
        </w:tc>
      </w:tr>
      <w:tr w14:paraId="6FAA53CD">
        <w:tblPrEx>
          <w:tblCellMar>
            <w:top w:w="0" w:type="dxa"/>
            <w:left w:w="108" w:type="dxa"/>
            <w:bottom w:w="0" w:type="dxa"/>
            <w:right w:w="108" w:type="dxa"/>
          </w:tblCellMar>
        </w:tblPrEx>
        <w:trPr>
          <w:trHeight w:val="788" w:hRule="atLeast"/>
        </w:trPr>
        <w:tc>
          <w:tcPr>
            <w:tcW w:w="982" w:type="dxa"/>
            <w:vMerge w:val="restart"/>
            <w:tcBorders>
              <w:top w:val="nil"/>
              <w:left w:val="single" w:color="auto" w:sz="4" w:space="0"/>
              <w:bottom w:val="single" w:color="auto" w:sz="4" w:space="0"/>
              <w:right w:val="single" w:color="auto" w:sz="4" w:space="0"/>
            </w:tcBorders>
            <w:vAlign w:val="center"/>
          </w:tcPr>
          <w:p w14:paraId="3F30A20C">
            <w:pPr>
              <w:shd w:val="clear"/>
              <w:spacing w:line="360" w:lineRule="auto"/>
              <w:rPr>
                <w:rFonts w:hint="eastAsia" w:ascii="宋体" w:hAnsi="宋体" w:cs="宋体"/>
                <w:b w:val="0"/>
                <w:bCs w:val="0"/>
                <w:sz w:val="24"/>
              </w:rPr>
            </w:pPr>
            <w:r>
              <w:rPr>
                <w:rFonts w:hint="eastAsia" w:ascii="宋体" w:hAnsi="宋体" w:cs="宋体"/>
                <w:b w:val="0"/>
                <w:bCs w:val="0"/>
                <w:sz w:val="24"/>
              </w:rPr>
              <w:t>功能</w:t>
            </w:r>
          </w:p>
        </w:tc>
        <w:tc>
          <w:tcPr>
            <w:tcW w:w="3212" w:type="dxa"/>
            <w:vMerge w:val="restart"/>
            <w:tcBorders>
              <w:top w:val="nil"/>
              <w:left w:val="single" w:color="auto" w:sz="4" w:space="0"/>
              <w:bottom w:val="single" w:color="auto" w:sz="4" w:space="0"/>
              <w:right w:val="single" w:color="auto" w:sz="4" w:space="0"/>
            </w:tcBorders>
            <w:shd w:val="clear" w:color="auto" w:fill="auto"/>
            <w:vAlign w:val="center"/>
          </w:tcPr>
          <w:p w14:paraId="47C576AF">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设备运行监控</w:t>
            </w:r>
          </w:p>
        </w:tc>
        <w:tc>
          <w:tcPr>
            <w:tcW w:w="4913" w:type="dxa"/>
            <w:tcBorders>
              <w:top w:val="nil"/>
              <w:left w:val="nil"/>
              <w:bottom w:val="single" w:color="auto" w:sz="4" w:space="0"/>
              <w:right w:val="single" w:color="auto" w:sz="4" w:space="0"/>
            </w:tcBorders>
            <w:shd w:val="clear" w:color="auto" w:fill="auto"/>
            <w:vAlign w:val="center"/>
          </w:tcPr>
          <w:p w14:paraId="7D66E69F">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1、需监测中央空调机组运行参数与运行状态</w:t>
            </w:r>
          </w:p>
        </w:tc>
      </w:tr>
      <w:tr w14:paraId="4A5B93C7">
        <w:tblPrEx>
          <w:tblCellMar>
            <w:top w:w="0" w:type="dxa"/>
            <w:left w:w="108" w:type="dxa"/>
            <w:bottom w:w="0" w:type="dxa"/>
            <w:right w:w="108" w:type="dxa"/>
          </w:tblCellMar>
        </w:tblPrEx>
        <w:trPr>
          <w:trHeight w:val="529" w:hRule="atLeast"/>
        </w:trPr>
        <w:tc>
          <w:tcPr>
            <w:tcW w:w="0" w:type="auto"/>
            <w:vMerge w:val="continue"/>
            <w:tcBorders>
              <w:top w:val="nil"/>
              <w:left w:val="single" w:color="auto" w:sz="4" w:space="0"/>
              <w:bottom w:val="single" w:color="auto" w:sz="4" w:space="0"/>
              <w:right w:val="single" w:color="auto" w:sz="4" w:space="0"/>
            </w:tcBorders>
            <w:vAlign w:val="center"/>
          </w:tcPr>
          <w:p w14:paraId="745DCAFE">
            <w:pPr>
              <w:shd w:val="clear"/>
              <w:spacing w:line="360" w:lineRule="auto"/>
              <w:ind w:firstLine="482"/>
              <w:rPr>
                <w:rFonts w:hint="eastAsia" w:ascii="宋体" w:hAnsi="宋体" w:cs="宋体"/>
                <w:b w:val="0"/>
                <w:bCs w:val="0"/>
                <w:sz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D41654A">
            <w:pPr>
              <w:shd w:val="clear"/>
              <w:spacing w:line="360" w:lineRule="auto"/>
              <w:ind w:firstLine="482"/>
              <w:rPr>
                <w:rFonts w:hint="eastAsia" w:ascii="宋体" w:hAnsi="宋体" w:cs="宋体"/>
                <w:b w:val="0"/>
                <w:bCs w:val="0"/>
                <w:sz w:val="24"/>
              </w:rPr>
            </w:pPr>
          </w:p>
        </w:tc>
        <w:tc>
          <w:tcPr>
            <w:tcW w:w="4913" w:type="dxa"/>
            <w:tcBorders>
              <w:top w:val="nil"/>
              <w:left w:val="nil"/>
              <w:bottom w:val="single" w:color="auto" w:sz="4" w:space="0"/>
              <w:right w:val="single" w:color="auto" w:sz="4" w:space="0"/>
            </w:tcBorders>
            <w:shd w:val="clear" w:color="auto" w:fill="auto"/>
            <w:vAlign w:val="center"/>
          </w:tcPr>
          <w:p w14:paraId="60D79AD4">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2、需实现中央空调柔性控制，可对中央空调机组出水温度进行设定</w:t>
            </w:r>
          </w:p>
        </w:tc>
      </w:tr>
      <w:tr w14:paraId="3FBE7DF5">
        <w:tblPrEx>
          <w:tblCellMar>
            <w:top w:w="0" w:type="dxa"/>
            <w:left w:w="108" w:type="dxa"/>
            <w:bottom w:w="0" w:type="dxa"/>
            <w:right w:w="108" w:type="dxa"/>
          </w:tblCellMar>
        </w:tblPrEx>
        <w:trPr>
          <w:trHeight w:val="529" w:hRule="atLeast"/>
        </w:trPr>
        <w:tc>
          <w:tcPr>
            <w:tcW w:w="0" w:type="auto"/>
            <w:vMerge w:val="continue"/>
            <w:tcBorders>
              <w:top w:val="nil"/>
              <w:left w:val="single" w:color="auto" w:sz="4" w:space="0"/>
              <w:bottom w:val="single" w:color="auto" w:sz="4" w:space="0"/>
              <w:right w:val="single" w:color="auto" w:sz="4" w:space="0"/>
            </w:tcBorders>
            <w:vAlign w:val="center"/>
          </w:tcPr>
          <w:p w14:paraId="36410E30">
            <w:pPr>
              <w:shd w:val="clear"/>
              <w:spacing w:line="360" w:lineRule="auto"/>
              <w:ind w:firstLine="482"/>
              <w:rPr>
                <w:rFonts w:hint="eastAsia" w:ascii="宋体" w:hAnsi="宋体" w:cs="宋体"/>
                <w:b w:val="0"/>
                <w:bCs w:val="0"/>
                <w:sz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8CA198E">
            <w:pPr>
              <w:shd w:val="clear"/>
              <w:spacing w:line="360" w:lineRule="auto"/>
              <w:ind w:firstLine="482"/>
              <w:rPr>
                <w:rFonts w:hint="eastAsia" w:ascii="宋体" w:hAnsi="宋体" w:cs="宋体"/>
                <w:b w:val="0"/>
                <w:bCs w:val="0"/>
                <w:sz w:val="24"/>
              </w:rPr>
            </w:pPr>
          </w:p>
        </w:tc>
        <w:tc>
          <w:tcPr>
            <w:tcW w:w="4913" w:type="dxa"/>
            <w:tcBorders>
              <w:top w:val="nil"/>
              <w:left w:val="nil"/>
              <w:bottom w:val="single" w:color="auto" w:sz="4" w:space="0"/>
              <w:right w:val="single" w:color="auto" w:sz="4" w:space="0"/>
            </w:tcBorders>
            <w:shd w:val="clear" w:color="auto" w:fill="auto"/>
            <w:vAlign w:val="center"/>
          </w:tcPr>
          <w:p w14:paraId="7C435FC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3、需对主机进行节能控制，应可优化运行参数</w:t>
            </w:r>
          </w:p>
        </w:tc>
      </w:tr>
    </w:tbl>
    <w:p w14:paraId="09F2F50D">
      <w:pPr>
        <w:shd w:val="clear"/>
        <w:spacing w:line="360" w:lineRule="auto"/>
        <w:ind w:firstLine="482"/>
        <w:rPr>
          <w:rFonts w:hint="eastAsia" w:ascii="宋体" w:hAnsi="宋体" w:cs="宋体"/>
          <w:b/>
          <w:bCs/>
          <w:sz w:val="24"/>
        </w:rPr>
      </w:pPr>
    </w:p>
    <w:p w14:paraId="48AFAD6B">
      <w:pPr>
        <w:shd w:val="clear"/>
        <w:spacing w:line="360" w:lineRule="auto"/>
        <w:ind w:firstLine="482"/>
        <w:rPr>
          <w:rFonts w:hint="eastAsia" w:ascii="宋体" w:hAnsi="宋体" w:cs="宋体"/>
          <w:b/>
          <w:bCs/>
          <w:sz w:val="24"/>
        </w:rPr>
      </w:pPr>
      <w:r>
        <w:rPr>
          <w:rFonts w:hint="eastAsia" w:ascii="宋体" w:hAnsi="宋体" w:cs="宋体"/>
          <w:b/>
          <w:bCs/>
          <w:sz w:val="24"/>
        </w:rPr>
        <w:t>3.循环泵控制箱</w:t>
      </w:r>
    </w:p>
    <w:tbl>
      <w:tblPr>
        <w:tblStyle w:val="14"/>
        <w:tblW w:w="9133" w:type="dxa"/>
        <w:tblInd w:w="0" w:type="dxa"/>
        <w:tblLayout w:type="autofit"/>
        <w:tblCellMar>
          <w:top w:w="0" w:type="dxa"/>
          <w:left w:w="108" w:type="dxa"/>
          <w:bottom w:w="0" w:type="dxa"/>
          <w:right w:w="108" w:type="dxa"/>
        </w:tblCellMar>
      </w:tblPr>
      <w:tblGrid>
        <w:gridCol w:w="836"/>
        <w:gridCol w:w="1898"/>
        <w:gridCol w:w="6399"/>
      </w:tblGrid>
      <w:tr w14:paraId="4102586D">
        <w:tblPrEx>
          <w:tblCellMar>
            <w:top w:w="0" w:type="dxa"/>
            <w:left w:w="108" w:type="dxa"/>
            <w:bottom w:w="0" w:type="dxa"/>
            <w:right w:w="108" w:type="dxa"/>
          </w:tblCellMar>
        </w:tblPrEx>
        <w:trPr>
          <w:trHeight w:val="821" w:hRule="atLeast"/>
        </w:trPr>
        <w:tc>
          <w:tcPr>
            <w:tcW w:w="27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9CB67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技术参数</w:t>
            </w:r>
          </w:p>
        </w:tc>
        <w:tc>
          <w:tcPr>
            <w:tcW w:w="6399" w:type="dxa"/>
            <w:tcBorders>
              <w:top w:val="single" w:color="auto" w:sz="4" w:space="0"/>
              <w:left w:val="nil"/>
              <w:bottom w:val="single" w:color="auto" w:sz="4" w:space="0"/>
              <w:right w:val="single" w:color="auto" w:sz="4" w:space="0"/>
            </w:tcBorders>
            <w:shd w:val="clear" w:color="auto" w:fill="auto"/>
            <w:vAlign w:val="center"/>
          </w:tcPr>
          <w:p w14:paraId="1510CFD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指标</w:t>
            </w:r>
          </w:p>
        </w:tc>
      </w:tr>
      <w:tr w14:paraId="1F86B236">
        <w:tblPrEx>
          <w:tblCellMar>
            <w:top w:w="0" w:type="dxa"/>
            <w:left w:w="108" w:type="dxa"/>
            <w:bottom w:w="0" w:type="dxa"/>
            <w:right w:w="108" w:type="dxa"/>
          </w:tblCellMar>
        </w:tblPrEx>
        <w:trPr>
          <w:trHeight w:val="314" w:hRule="atLeast"/>
        </w:trPr>
        <w:tc>
          <w:tcPr>
            <w:tcW w:w="836" w:type="dxa"/>
            <w:vMerge w:val="restart"/>
            <w:tcBorders>
              <w:top w:val="nil"/>
              <w:left w:val="single" w:color="auto" w:sz="4" w:space="0"/>
              <w:bottom w:val="single" w:color="auto" w:sz="4" w:space="0"/>
              <w:right w:val="single" w:color="auto" w:sz="4" w:space="0"/>
            </w:tcBorders>
            <w:shd w:val="clear" w:color="auto" w:fill="auto"/>
            <w:vAlign w:val="center"/>
          </w:tcPr>
          <w:p w14:paraId="120727F7">
            <w:pPr>
              <w:shd w:val="clear"/>
              <w:spacing w:line="360" w:lineRule="auto"/>
              <w:rPr>
                <w:rFonts w:hint="eastAsia" w:ascii="宋体" w:hAnsi="宋体" w:cs="宋体"/>
                <w:b w:val="0"/>
                <w:bCs w:val="0"/>
                <w:sz w:val="24"/>
              </w:rPr>
            </w:pPr>
            <w:r>
              <w:rPr>
                <w:rFonts w:hint="eastAsia" w:ascii="宋体" w:hAnsi="宋体" w:cs="宋体"/>
                <w:b w:val="0"/>
                <w:bCs w:val="0"/>
                <w:sz w:val="24"/>
              </w:rPr>
              <w:t>接口</w:t>
            </w:r>
          </w:p>
        </w:tc>
        <w:tc>
          <w:tcPr>
            <w:tcW w:w="1897" w:type="dxa"/>
            <w:tcBorders>
              <w:top w:val="nil"/>
              <w:left w:val="nil"/>
              <w:bottom w:val="single" w:color="auto" w:sz="4" w:space="0"/>
              <w:right w:val="single" w:color="auto" w:sz="4" w:space="0"/>
            </w:tcBorders>
            <w:shd w:val="clear" w:color="auto" w:fill="auto"/>
            <w:vAlign w:val="center"/>
          </w:tcPr>
          <w:p w14:paraId="3794E474">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网络接口</w:t>
            </w:r>
          </w:p>
        </w:tc>
        <w:tc>
          <w:tcPr>
            <w:tcW w:w="6399" w:type="dxa"/>
            <w:tcBorders>
              <w:top w:val="nil"/>
              <w:left w:val="nil"/>
              <w:bottom w:val="single" w:color="auto" w:sz="4" w:space="0"/>
              <w:right w:val="single" w:color="auto" w:sz="4" w:space="0"/>
            </w:tcBorders>
            <w:shd w:val="clear" w:color="auto" w:fill="auto"/>
            <w:vAlign w:val="center"/>
          </w:tcPr>
          <w:p w14:paraId="660D190B">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2 x 10/100 Base-T RJ-45</w:t>
            </w:r>
          </w:p>
        </w:tc>
      </w:tr>
      <w:tr w14:paraId="3F1FB40E">
        <w:tblPrEx>
          <w:tblCellMar>
            <w:top w:w="0" w:type="dxa"/>
            <w:left w:w="108" w:type="dxa"/>
            <w:bottom w:w="0" w:type="dxa"/>
            <w:right w:w="108" w:type="dxa"/>
          </w:tblCellMar>
        </w:tblPrEx>
        <w:trPr>
          <w:trHeight w:val="314"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D6F74B9">
            <w:pPr>
              <w:shd w:val="clear"/>
              <w:spacing w:line="360" w:lineRule="auto"/>
              <w:ind w:firstLine="482"/>
              <w:rPr>
                <w:rFonts w:hint="eastAsia" w:ascii="宋体" w:hAnsi="宋体" w:cs="宋体"/>
                <w:b w:val="0"/>
                <w:bCs w:val="0"/>
                <w:sz w:val="24"/>
              </w:rPr>
            </w:pPr>
          </w:p>
        </w:tc>
        <w:tc>
          <w:tcPr>
            <w:tcW w:w="1897" w:type="dxa"/>
            <w:tcBorders>
              <w:top w:val="nil"/>
              <w:left w:val="nil"/>
              <w:bottom w:val="single" w:color="auto" w:sz="4" w:space="0"/>
              <w:right w:val="single" w:color="auto" w:sz="4" w:space="0"/>
            </w:tcBorders>
            <w:shd w:val="clear" w:color="auto" w:fill="auto"/>
            <w:vAlign w:val="center"/>
          </w:tcPr>
          <w:p w14:paraId="07DD8C0A">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RS485接口</w:t>
            </w:r>
          </w:p>
        </w:tc>
        <w:tc>
          <w:tcPr>
            <w:tcW w:w="6399" w:type="dxa"/>
            <w:tcBorders>
              <w:top w:val="nil"/>
              <w:left w:val="nil"/>
              <w:bottom w:val="single" w:color="auto" w:sz="4" w:space="0"/>
              <w:right w:val="single" w:color="auto" w:sz="4" w:space="0"/>
            </w:tcBorders>
            <w:shd w:val="clear" w:color="auto" w:fill="auto"/>
            <w:vAlign w:val="center"/>
          </w:tcPr>
          <w:p w14:paraId="59522343">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1 x RS485</w:t>
            </w:r>
          </w:p>
        </w:tc>
      </w:tr>
      <w:tr w14:paraId="45E8CFC2">
        <w:tblPrEx>
          <w:tblCellMar>
            <w:top w:w="0" w:type="dxa"/>
            <w:left w:w="108" w:type="dxa"/>
            <w:bottom w:w="0" w:type="dxa"/>
            <w:right w:w="108" w:type="dxa"/>
          </w:tblCellMar>
        </w:tblPrEx>
        <w:trPr>
          <w:trHeight w:val="314"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E4B5A72">
            <w:pPr>
              <w:shd w:val="clear"/>
              <w:spacing w:line="360" w:lineRule="auto"/>
              <w:ind w:firstLine="482"/>
              <w:rPr>
                <w:rFonts w:hint="eastAsia" w:ascii="宋体" w:hAnsi="宋体" w:cs="宋体"/>
                <w:b w:val="0"/>
                <w:bCs w:val="0"/>
                <w:sz w:val="24"/>
              </w:rPr>
            </w:pPr>
          </w:p>
        </w:tc>
        <w:tc>
          <w:tcPr>
            <w:tcW w:w="1897" w:type="dxa"/>
            <w:tcBorders>
              <w:top w:val="nil"/>
              <w:left w:val="nil"/>
              <w:bottom w:val="single" w:color="auto" w:sz="4" w:space="0"/>
              <w:right w:val="single" w:color="auto" w:sz="4" w:space="0"/>
            </w:tcBorders>
            <w:shd w:val="clear" w:color="auto" w:fill="auto"/>
            <w:vAlign w:val="center"/>
          </w:tcPr>
          <w:p w14:paraId="6BD9ADB0">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传输</w:t>
            </w:r>
          </w:p>
        </w:tc>
        <w:tc>
          <w:tcPr>
            <w:tcW w:w="6399" w:type="dxa"/>
            <w:tcBorders>
              <w:top w:val="nil"/>
              <w:left w:val="nil"/>
              <w:bottom w:val="single" w:color="auto" w:sz="4" w:space="0"/>
              <w:right w:val="single" w:color="auto" w:sz="4" w:space="0"/>
            </w:tcBorders>
            <w:shd w:val="clear" w:color="auto" w:fill="auto"/>
            <w:vAlign w:val="center"/>
          </w:tcPr>
          <w:p w14:paraId="18E936D2">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通过ProfiNet 数据传送到中央协调控制箱</w:t>
            </w:r>
          </w:p>
        </w:tc>
      </w:tr>
      <w:tr w14:paraId="6952313B">
        <w:tblPrEx>
          <w:tblCellMar>
            <w:top w:w="0" w:type="dxa"/>
            <w:left w:w="108" w:type="dxa"/>
            <w:bottom w:w="0" w:type="dxa"/>
            <w:right w:w="108" w:type="dxa"/>
          </w:tblCellMar>
        </w:tblPrEx>
        <w:trPr>
          <w:trHeight w:val="314" w:hRule="atLeast"/>
        </w:trPr>
        <w:tc>
          <w:tcPr>
            <w:tcW w:w="836" w:type="dxa"/>
            <w:vMerge w:val="restart"/>
            <w:tcBorders>
              <w:top w:val="nil"/>
              <w:left w:val="single" w:color="auto" w:sz="4" w:space="0"/>
              <w:bottom w:val="single" w:color="auto" w:sz="4" w:space="0"/>
              <w:right w:val="single" w:color="auto" w:sz="4" w:space="0"/>
            </w:tcBorders>
            <w:shd w:val="clear" w:color="auto" w:fill="auto"/>
            <w:vAlign w:val="center"/>
          </w:tcPr>
          <w:p w14:paraId="0F772B88">
            <w:pPr>
              <w:shd w:val="clear"/>
              <w:spacing w:line="360" w:lineRule="auto"/>
              <w:rPr>
                <w:rFonts w:hint="eastAsia" w:ascii="宋体" w:hAnsi="宋体" w:cs="宋体"/>
                <w:b w:val="0"/>
                <w:bCs w:val="0"/>
                <w:sz w:val="24"/>
              </w:rPr>
            </w:pPr>
            <w:r>
              <w:rPr>
                <w:rFonts w:hint="eastAsia" w:ascii="宋体" w:hAnsi="宋体" w:cs="宋体"/>
                <w:b w:val="0"/>
                <w:bCs w:val="0"/>
                <w:sz w:val="24"/>
              </w:rPr>
              <w:t>电压</w:t>
            </w:r>
          </w:p>
        </w:tc>
        <w:tc>
          <w:tcPr>
            <w:tcW w:w="1897" w:type="dxa"/>
            <w:tcBorders>
              <w:top w:val="nil"/>
              <w:left w:val="nil"/>
              <w:bottom w:val="single" w:color="auto" w:sz="4" w:space="0"/>
              <w:right w:val="single" w:color="auto" w:sz="4" w:space="0"/>
            </w:tcBorders>
            <w:shd w:val="clear" w:color="auto" w:fill="auto"/>
            <w:vAlign w:val="center"/>
          </w:tcPr>
          <w:p w14:paraId="69CDC304">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额定值</w:t>
            </w:r>
          </w:p>
        </w:tc>
        <w:tc>
          <w:tcPr>
            <w:tcW w:w="6399" w:type="dxa"/>
            <w:tcBorders>
              <w:top w:val="nil"/>
              <w:left w:val="nil"/>
              <w:bottom w:val="single" w:color="auto" w:sz="4" w:space="0"/>
              <w:right w:val="single" w:color="auto" w:sz="4" w:space="0"/>
            </w:tcBorders>
            <w:shd w:val="clear" w:color="auto" w:fill="auto"/>
            <w:vAlign w:val="center"/>
          </w:tcPr>
          <w:p w14:paraId="15BF5CA7">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AC220V</w:t>
            </w:r>
          </w:p>
        </w:tc>
      </w:tr>
      <w:tr w14:paraId="4DDAD884">
        <w:tblPrEx>
          <w:tblCellMar>
            <w:top w:w="0" w:type="dxa"/>
            <w:left w:w="108" w:type="dxa"/>
            <w:bottom w:w="0" w:type="dxa"/>
            <w:right w:w="108" w:type="dxa"/>
          </w:tblCellMar>
        </w:tblPrEx>
        <w:trPr>
          <w:trHeight w:val="506"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13797FA">
            <w:pPr>
              <w:shd w:val="clear"/>
              <w:spacing w:line="360" w:lineRule="auto"/>
              <w:ind w:firstLine="482"/>
              <w:rPr>
                <w:rFonts w:hint="eastAsia" w:ascii="宋体" w:hAnsi="宋体" w:cs="宋体"/>
                <w:b w:val="0"/>
                <w:bCs w:val="0"/>
                <w:sz w:val="24"/>
              </w:rPr>
            </w:pPr>
          </w:p>
        </w:tc>
        <w:tc>
          <w:tcPr>
            <w:tcW w:w="1897" w:type="dxa"/>
            <w:tcBorders>
              <w:top w:val="nil"/>
              <w:left w:val="nil"/>
              <w:bottom w:val="single" w:color="auto" w:sz="4" w:space="0"/>
              <w:right w:val="single" w:color="auto" w:sz="4" w:space="0"/>
            </w:tcBorders>
            <w:shd w:val="clear" w:color="auto" w:fill="auto"/>
            <w:vAlign w:val="center"/>
          </w:tcPr>
          <w:p w14:paraId="1CCE08BF">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功耗</w:t>
            </w:r>
          </w:p>
        </w:tc>
        <w:tc>
          <w:tcPr>
            <w:tcW w:w="6399" w:type="dxa"/>
            <w:tcBorders>
              <w:top w:val="nil"/>
              <w:left w:val="nil"/>
              <w:bottom w:val="single" w:color="auto" w:sz="4" w:space="0"/>
              <w:right w:val="single" w:color="auto" w:sz="4" w:space="0"/>
            </w:tcBorders>
            <w:shd w:val="clear" w:color="auto" w:fill="auto"/>
            <w:vAlign w:val="center"/>
          </w:tcPr>
          <w:p w14:paraId="27324056">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≤100W</w:t>
            </w:r>
          </w:p>
        </w:tc>
      </w:tr>
      <w:tr w14:paraId="4E75D3C6">
        <w:tblPrEx>
          <w:tblCellMar>
            <w:top w:w="0" w:type="dxa"/>
            <w:left w:w="108" w:type="dxa"/>
            <w:bottom w:w="0" w:type="dxa"/>
            <w:right w:w="108" w:type="dxa"/>
          </w:tblCellMar>
        </w:tblPrEx>
        <w:trPr>
          <w:trHeight w:val="546"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5FB11F69">
            <w:pPr>
              <w:shd w:val="clear"/>
              <w:spacing w:line="360" w:lineRule="auto"/>
              <w:ind w:firstLine="482"/>
              <w:rPr>
                <w:rFonts w:hint="eastAsia" w:ascii="宋体" w:hAnsi="宋体" w:cs="宋体"/>
                <w:b w:val="0"/>
                <w:bCs w:val="0"/>
                <w:sz w:val="24"/>
              </w:rPr>
            </w:pPr>
          </w:p>
        </w:tc>
        <w:tc>
          <w:tcPr>
            <w:tcW w:w="1897" w:type="dxa"/>
            <w:tcBorders>
              <w:top w:val="nil"/>
              <w:left w:val="nil"/>
              <w:bottom w:val="single" w:color="auto" w:sz="4" w:space="0"/>
              <w:right w:val="single" w:color="auto" w:sz="4" w:space="0"/>
            </w:tcBorders>
            <w:shd w:val="clear" w:color="auto" w:fill="auto"/>
            <w:vAlign w:val="center"/>
          </w:tcPr>
          <w:p w14:paraId="290EE8B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频率</w:t>
            </w:r>
          </w:p>
        </w:tc>
        <w:tc>
          <w:tcPr>
            <w:tcW w:w="6399" w:type="dxa"/>
            <w:tcBorders>
              <w:top w:val="nil"/>
              <w:left w:val="nil"/>
              <w:bottom w:val="single" w:color="auto" w:sz="4" w:space="0"/>
              <w:right w:val="single" w:color="auto" w:sz="4" w:space="0"/>
            </w:tcBorders>
            <w:shd w:val="clear" w:color="auto" w:fill="auto"/>
            <w:vAlign w:val="center"/>
          </w:tcPr>
          <w:p w14:paraId="3C02B210">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50Hz</w:t>
            </w:r>
          </w:p>
        </w:tc>
      </w:tr>
      <w:tr w14:paraId="4084994B">
        <w:tblPrEx>
          <w:tblCellMar>
            <w:top w:w="0" w:type="dxa"/>
            <w:left w:w="108" w:type="dxa"/>
            <w:bottom w:w="0" w:type="dxa"/>
            <w:right w:w="108" w:type="dxa"/>
          </w:tblCellMar>
        </w:tblPrEx>
        <w:trPr>
          <w:trHeight w:val="314" w:hRule="atLeast"/>
        </w:trPr>
        <w:tc>
          <w:tcPr>
            <w:tcW w:w="836" w:type="dxa"/>
            <w:vMerge w:val="restart"/>
            <w:tcBorders>
              <w:top w:val="nil"/>
              <w:left w:val="single" w:color="auto" w:sz="4" w:space="0"/>
              <w:bottom w:val="single" w:color="auto" w:sz="4" w:space="0"/>
              <w:right w:val="single" w:color="auto" w:sz="4" w:space="0"/>
            </w:tcBorders>
            <w:shd w:val="clear" w:color="auto" w:fill="auto"/>
            <w:vAlign w:val="center"/>
          </w:tcPr>
          <w:p w14:paraId="194A231B">
            <w:pPr>
              <w:shd w:val="clear"/>
              <w:spacing w:line="360" w:lineRule="auto"/>
              <w:rPr>
                <w:rFonts w:hint="eastAsia" w:ascii="宋体" w:hAnsi="宋体" w:cs="宋体"/>
                <w:b w:val="0"/>
                <w:bCs w:val="0"/>
                <w:sz w:val="24"/>
              </w:rPr>
            </w:pPr>
            <w:r>
              <w:rPr>
                <w:rFonts w:hint="eastAsia" w:ascii="宋体" w:hAnsi="宋体" w:cs="宋体"/>
                <w:b w:val="0"/>
                <w:bCs w:val="0"/>
                <w:sz w:val="24"/>
              </w:rPr>
              <w:t>环境</w:t>
            </w:r>
          </w:p>
        </w:tc>
        <w:tc>
          <w:tcPr>
            <w:tcW w:w="1897" w:type="dxa"/>
            <w:tcBorders>
              <w:top w:val="nil"/>
              <w:left w:val="nil"/>
              <w:bottom w:val="single" w:color="auto" w:sz="4" w:space="0"/>
              <w:right w:val="single" w:color="auto" w:sz="4" w:space="0"/>
            </w:tcBorders>
            <w:shd w:val="clear" w:color="auto" w:fill="auto"/>
            <w:vAlign w:val="center"/>
          </w:tcPr>
          <w:p w14:paraId="4C3183EC">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温度</w:t>
            </w:r>
          </w:p>
        </w:tc>
        <w:tc>
          <w:tcPr>
            <w:tcW w:w="6399" w:type="dxa"/>
            <w:tcBorders>
              <w:top w:val="nil"/>
              <w:left w:val="nil"/>
              <w:bottom w:val="single" w:color="auto" w:sz="4" w:space="0"/>
              <w:right w:val="single" w:color="auto" w:sz="4" w:space="0"/>
            </w:tcBorders>
            <w:shd w:val="clear" w:color="auto" w:fill="auto"/>
            <w:vAlign w:val="center"/>
          </w:tcPr>
          <w:p w14:paraId="229EC8A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-10℃～+40℃（极限温度：-20℃～+60℃）</w:t>
            </w:r>
          </w:p>
        </w:tc>
      </w:tr>
      <w:tr w14:paraId="6D70817C">
        <w:tblPrEx>
          <w:tblCellMar>
            <w:top w:w="0" w:type="dxa"/>
            <w:left w:w="108" w:type="dxa"/>
            <w:bottom w:w="0" w:type="dxa"/>
            <w:right w:w="108" w:type="dxa"/>
          </w:tblCellMar>
        </w:tblPrEx>
        <w:trPr>
          <w:trHeight w:val="821"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9F997EE">
            <w:pPr>
              <w:shd w:val="clear"/>
              <w:spacing w:line="360" w:lineRule="auto"/>
              <w:ind w:firstLine="482"/>
              <w:rPr>
                <w:rFonts w:hint="eastAsia" w:ascii="宋体" w:hAnsi="宋体" w:cs="宋体"/>
                <w:b w:val="0"/>
                <w:bCs w:val="0"/>
                <w:sz w:val="24"/>
              </w:rPr>
            </w:pPr>
          </w:p>
        </w:tc>
        <w:tc>
          <w:tcPr>
            <w:tcW w:w="1897" w:type="dxa"/>
            <w:tcBorders>
              <w:top w:val="nil"/>
              <w:left w:val="nil"/>
              <w:bottom w:val="single" w:color="auto" w:sz="4" w:space="0"/>
              <w:right w:val="single" w:color="auto" w:sz="4" w:space="0"/>
            </w:tcBorders>
            <w:shd w:val="clear" w:color="auto" w:fill="auto"/>
            <w:vAlign w:val="center"/>
          </w:tcPr>
          <w:p w14:paraId="37465C74">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湿度</w:t>
            </w:r>
          </w:p>
        </w:tc>
        <w:tc>
          <w:tcPr>
            <w:tcW w:w="6399" w:type="dxa"/>
            <w:tcBorders>
              <w:top w:val="nil"/>
              <w:left w:val="nil"/>
              <w:bottom w:val="single" w:color="auto" w:sz="4" w:space="0"/>
              <w:right w:val="single" w:color="auto" w:sz="4" w:space="0"/>
            </w:tcBorders>
            <w:shd w:val="clear" w:color="auto" w:fill="auto"/>
            <w:vAlign w:val="center"/>
          </w:tcPr>
          <w:p w14:paraId="2155A390">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≤75％（极限湿度：≤85%）</w:t>
            </w:r>
          </w:p>
        </w:tc>
      </w:tr>
      <w:tr w14:paraId="359A34AE">
        <w:tblPrEx>
          <w:tblCellMar>
            <w:top w:w="0" w:type="dxa"/>
            <w:left w:w="108" w:type="dxa"/>
            <w:bottom w:w="0" w:type="dxa"/>
            <w:right w:w="108" w:type="dxa"/>
          </w:tblCellMar>
        </w:tblPrEx>
        <w:trPr>
          <w:trHeight w:val="699" w:hRule="atLeast"/>
        </w:trPr>
        <w:tc>
          <w:tcPr>
            <w:tcW w:w="836" w:type="dxa"/>
            <w:vMerge w:val="restart"/>
            <w:tcBorders>
              <w:top w:val="nil"/>
              <w:left w:val="single" w:color="auto" w:sz="4" w:space="0"/>
              <w:bottom w:val="single" w:color="auto" w:sz="4" w:space="0"/>
              <w:right w:val="single" w:color="auto" w:sz="4" w:space="0"/>
            </w:tcBorders>
            <w:shd w:val="clear" w:color="auto" w:fill="auto"/>
            <w:vAlign w:val="center"/>
          </w:tcPr>
          <w:p w14:paraId="10245867">
            <w:pPr>
              <w:shd w:val="clear"/>
              <w:spacing w:line="360" w:lineRule="auto"/>
              <w:rPr>
                <w:rFonts w:hint="eastAsia" w:ascii="宋体" w:hAnsi="宋体" w:cs="宋体"/>
                <w:b w:val="0"/>
                <w:bCs w:val="0"/>
                <w:sz w:val="24"/>
              </w:rPr>
            </w:pPr>
            <w:r>
              <w:rPr>
                <w:rFonts w:hint="eastAsia" w:ascii="宋体" w:hAnsi="宋体" w:cs="宋体"/>
                <w:b w:val="0"/>
                <w:bCs w:val="0"/>
                <w:sz w:val="24"/>
              </w:rPr>
              <w:t>功能</w:t>
            </w:r>
          </w:p>
        </w:tc>
        <w:tc>
          <w:tcPr>
            <w:tcW w:w="1897" w:type="dxa"/>
            <w:vMerge w:val="restart"/>
            <w:tcBorders>
              <w:top w:val="nil"/>
              <w:left w:val="single" w:color="auto" w:sz="4" w:space="0"/>
              <w:bottom w:val="single" w:color="auto" w:sz="4" w:space="0"/>
              <w:right w:val="single" w:color="auto" w:sz="4" w:space="0"/>
            </w:tcBorders>
            <w:shd w:val="clear" w:color="auto" w:fill="auto"/>
            <w:vAlign w:val="center"/>
          </w:tcPr>
          <w:p w14:paraId="5D601FB0">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设备运行监控</w:t>
            </w:r>
          </w:p>
        </w:tc>
        <w:tc>
          <w:tcPr>
            <w:tcW w:w="6399" w:type="dxa"/>
            <w:tcBorders>
              <w:top w:val="nil"/>
              <w:left w:val="nil"/>
              <w:bottom w:val="single" w:color="auto" w:sz="4" w:space="0"/>
              <w:right w:val="single" w:color="auto" w:sz="4" w:space="0"/>
            </w:tcBorders>
            <w:shd w:val="clear" w:color="auto" w:fill="auto"/>
            <w:vAlign w:val="center"/>
          </w:tcPr>
          <w:p w14:paraId="4BAC8C96">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1、对循环泵运行状态、故障报警等重要参数进行监视</w:t>
            </w:r>
          </w:p>
        </w:tc>
      </w:tr>
      <w:tr w14:paraId="1A3BA271">
        <w:tblPrEx>
          <w:tblCellMar>
            <w:top w:w="0" w:type="dxa"/>
            <w:left w:w="108" w:type="dxa"/>
            <w:bottom w:w="0" w:type="dxa"/>
            <w:right w:w="108" w:type="dxa"/>
          </w:tblCellMar>
        </w:tblPrEx>
        <w:trPr>
          <w:trHeight w:val="536"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7E3B70C">
            <w:pPr>
              <w:shd w:val="clear"/>
              <w:spacing w:line="360" w:lineRule="auto"/>
              <w:ind w:firstLine="482"/>
              <w:rPr>
                <w:rFonts w:hint="eastAsia" w:ascii="宋体" w:hAnsi="宋体" w:cs="宋体"/>
                <w:b w:val="0"/>
                <w:bCs w:val="0"/>
                <w:sz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5F23E45">
            <w:pPr>
              <w:shd w:val="clear"/>
              <w:spacing w:line="360" w:lineRule="auto"/>
              <w:ind w:firstLine="482"/>
              <w:rPr>
                <w:rFonts w:hint="eastAsia" w:ascii="宋体" w:hAnsi="宋体" w:cs="宋体"/>
                <w:b w:val="0"/>
                <w:bCs w:val="0"/>
                <w:sz w:val="24"/>
              </w:rPr>
            </w:pPr>
          </w:p>
        </w:tc>
        <w:tc>
          <w:tcPr>
            <w:tcW w:w="6399" w:type="dxa"/>
            <w:tcBorders>
              <w:top w:val="nil"/>
              <w:left w:val="nil"/>
              <w:bottom w:val="single" w:color="auto" w:sz="4" w:space="0"/>
              <w:right w:val="single" w:color="auto" w:sz="4" w:space="0"/>
            </w:tcBorders>
            <w:shd w:val="clear" w:color="auto" w:fill="auto"/>
            <w:vAlign w:val="center"/>
          </w:tcPr>
          <w:p w14:paraId="694BC118">
            <w:pPr>
              <w:shd w:val="clear"/>
              <w:spacing w:line="360" w:lineRule="auto"/>
              <w:ind w:firstLine="482"/>
              <w:rPr>
                <w:rFonts w:hint="eastAsia" w:ascii="宋体" w:hAnsi="宋体" w:cs="宋体"/>
                <w:b w:val="0"/>
                <w:bCs w:val="0"/>
                <w:sz w:val="24"/>
              </w:rPr>
            </w:pPr>
            <w:r>
              <w:rPr>
                <w:rFonts w:hint="eastAsia" w:ascii="宋体" w:hAnsi="宋体" w:cs="宋体"/>
                <w:b w:val="0"/>
                <w:bCs w:val="0"/>
                <w:sz w:val="24"/>
              </w:rPr>
              <w:t>2、通过控制策略控制循环泵的启停</w:t>
            </w:r>
          </w:p>
        </w:tc>
      </w:tr>
    </w:tbl>
    <w:p w14:paraId="7CD39207">
      <w:pPr>
        <w:spacing w:line="360" w:lineRule="auto"/>
        <w:ind w:firstLine="482"/>
        <w:rPr>
          <w:rFonts w:hint="eastAsia" w:ascii="宋体" w:hAnsi="宋体" w:cs="宋体"/>
          <w:b/>
          <w:bCs/>
          <w:sz w:val="24"/>
        </w:rPr>
      </w:pPr>
    </w:p>
    <w:p w14:paraId="5B961399">
      <w:pPr>
        <w:spacing w:line="360" w:lineRule="auto"/>
        <w:ind w:firstLine="482"/>
        <w:rPr>
          <w:rFonts w:hint="eastAsia" w:ascii="宋体" w:hAnsi="宋体" w:cs="宋体"/>
          <w:b/>
          <w:bCs/>
          <w:sz w:val="24"/>
        </w:rPr>
      </w:pPr>
      <w:r>
        <w:rPr>
          <w:rFonts w:hint="eastAsia" w:ascii="宋体" w:hAnsi="宋体" w:cs="宋体"/>
          <w:b/>
          <w:bCs/>
          <w:sz w:val="24"/>
        </w:rPr>
        <w:t>4.循环泵调节箱</w:t>
      </w:r>
    </w:p>
    <w:tbl>
      <w:tblPr>
        <w:tblStyle w:val="14"/>
        <w:tblW w:w="9181" w:type="dxa"/>
        <w:tblInd w:w="0" w:type="dxa"/>
        <w:tblLayout w:type="autofit"/>
        <w:tblCellMar>
          <w:top w:w="0" w:type="dxa"/>
          <w:left w:w="108" w:type="dxa"/>
          <w:bottom w:w="0" w:type="dxa"/>
          <w:right w:w="108" w:type="dxa"/>
        </w:tblCellMar>
      </w:tblPr>
      <w:tblGrid>
        <w:gridCol w:w="2558"/>
        <w:gridCol w:w="1475"/>
        <w:gridCol w:w="5148"/>
      </w:tblGrid>
      <w:tr w14:paraId="790F26B4">
        <w:tblPrEx>
          <w:tblCellMar>
            <w:top w:w="0" w:type="dxa"/>
            <w:left w:w="108" w:type="dxa"/>
            <w:bottom w:w="0" w:type="dxa"/>
            <w:right w:w="108" w:type="dxa"/>
          </w:tblCellMar>
        </w:tblPrEx>
        <w:trPr>
          <w:trHeight w:val="802" w:hRule="atLeast"/>
        </w:trPr>
        <w:tc>
          <w:tcPr>
            <w:tcW w:w="40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7AB491">
            <w:pPr>
              <w:spacing w:line="360" w:lineRule="auto"/>
              <w:ind w:firstLine="482"/>
              <w:rPr>
                <w:rFonts w:hint="eastAsia" w:ascii="宋体" w:hAnsi="宋体" w:cs="宋体"/>
                <w:b w:val="0"/>
                <w:bCs w:val="0"/>
                <w:sz w:val="24"/>
              </w:rPr>
            </w:pPr>
            <w:r>
              <w:rPr>
                <w:rFonts w:hint="eastAsia" w:ascii="宋体" w:hAnsi="宋体" w:cs="宋体"/>
                <w:b w:val="0"/>
                <w:bCs w:val="0"/>
                <w:sz w:val="24"/>
              </w:rPr>
              <w:t>技术参数</w:t>
            </w:r>
          </w:p>
        </w:tc>
        <w:tc>
          <w:tcPr>
            <w:tcW w:w="5148" w:type="dxa"/>
            <w:tcBorders>
              <w:top w:val="single" w:color="auto" w:sz="4" w:space="0"/>
              <w:left w:val="nil"/>
              <w:bottom w:val="single" w:color="auto" w:sz="4" w:space="0"/>
              <w:right w:val="single" w:color="auto" w:sz="4" w:space="0"/>
            </w:tcBorders>
            <w:shd w:val="clear" w:color="auto" w:fill="auto"/>
            <w:vAlign w:val="center"/>
          </w:tcPr>
          <w:p w14:paraId="296DEC4E">
            <w:pPr>
              <w:spacing w:line="360" w:lineRule="auto"/>
              <w:ind w:firstLine="482"/>
              <w:rPr>
                <w:rFonts w:hint="eastAsia" w:ascii="宋体" w:hAnsi="宋体" w:cs="宋体"/>
                <w:b w:val="0"/>
                <w:bCs w:val="0"/>
                <w:sz w:val="24"/>
              </w:rPr>
            </w:pPr>
            <w:r>
              <w:rPr>
                <w:rFonts w:hint="eastAsia" w:ascii="宋体" w:hAnsi="宋体" w:cs="宋体"/>
                <w:b w:val="0"/>
                <w:bCs w:val="0"/>
                <w:sz w:val="24"/>
              </w:rPr>
              <w:t>指标</w:t>
            </w:r>
          </w:p>
        </w:tc>
      </w:tr>
      <w:tr w14:paraId="2BD43164">
        <w:tblPrEx>
          <w:tblCellMar>
            <w:top w:w="0" w:type="dxa"/>
            <w:left w:w="108" w:type="dxa"/>
            <w:bottom w:w="0" w:type="dxa"/>
            <w:right w:w="108" w:type="dxa"/>
          </w:tblCellMar>
        </w:tblPrEx>
        <w:trPr>
          <w:trHeight w:val="307" w:hRule="atLeast"/>
        </w:trPr>
        <w:tc>
          <w:tcPr>
            <w:tcW w:w="2558" w:type="dxa"/>
            <w:vMerge w:val="restart"/>
            <w:tcBorders>
              <w:top w:val="nil"/>
              <w:left w:val="single" w:color="auto" w:sz="4" w:space="0"/>
              <w:bottom w:val="single" w:color="auto" w:sz="4" w:space="0"/>
              <w:right w:val="single" w:color="auto" w:sz="4" w:space="0"/>
            </w:tcBorders>
            <w:shd w:val="clear" w:color="auto" w:fill="auto"/>
            <w:vAlign w:val="center"/>
          </w:tcPr>
          <w:p w14:paraId="554CB456">
            <w:pPr>
              <w:spacing w:line="360" w:lineRule="auto"/>
              <w:ind w:firstLine="482"/>
              <w:rPr>
                <w:rFonts w:hint="eastAsia" w:ascii="宋体" w:hAnsi="宋体" w:cs="宋体"/>
                <w:b w:val="0"/>
                <w:bCs w:val="0"/>
                <w:sz w:val="24"/>
              </w:rPr>
            </w:pPr>
            <w:r>
              <w:rPr>
                <w:rFonts w:hint="eastAsia" w:ascii="宋体" w:hAnsi="宋体" w:cs="宋体"/>
                <w:b w:val="0"/>
                <w:bCs w:val="0"/>
                <w:sz w:val="24"/>
              </w:rPr>
              <w:t>接口</w:t>
            </w:r>
          </w:p>
        </w:tc>
        <w:tc>
          <w:tcPr>
            <w:tcW w:w="1475" w:type="dxa"/>
            <w:tcBorders>
              <w:top w:val="nil"/>
              <w:left w:val="nil"/>
              <w:bottom w:val="single" w:color="auto" w:sz="4" w:space="0"/>
              <w:right w:val="single" w:color="auto" w:sz="4" w:space="0"/>
            </w:tcBorders>
            <w:shd w:val="clear" w:color="auto" w:fill="auto"/>
            <w:vAlign w:val="center"/>
          </w:tcPr>
          <w:p w14:paraId="7AAF2546">
            <w:pPr>
              <w:spacing w:line="360" w:lineRule="auto"/>
              <w:rPr>
                <w:rFonts w:hint="eastAsia" w:ascii="宋体" w:hAnsi="宋体" w:cs="宋体"/>
                <w:b w:val="0"/>
                <w:bCs w:val="0"/>
                <w:sz w:val="24"/>
              </w:rPr>
            </w:pPr>
            <w:r>
              <w:rPr>
                <w:rFonts w:hint="eastAsia" w:ascii="宋体" w:hAnsi="宋体" w:cs="宋体"/>
                <w:b w:val="0"/>
                <w:bCs w:val="0"/>
                <w:sz w:val="24"/>
              </w:rPr>
              <w:t>网络接口</w:t>
            </w:r>
          </w:p>
        </w:tc>
        <w:tc>
          <w:tcPr>
            <w:tcW w:w="5148" w:type="dxa"/>
            <w:tcBorders>
              <w:top w:val="nil"/>
              <w:left w:val="nil"/>
              <w:bottom w:val="single" w:color="auto" w:sz="4" w:space="0"/>
              <w:right w:val="single" w:color="auto" w:sz="4" w:space="0"/>
            </w:tcBorders>
            <w:shd w:val="clear" w:color="auto" w:fill="auto"/>
            <w:vAlign w:val="center"/>
          </w:tcPr>
          <w:p w14:paraId="2C35ED0F">
            <w:pPr>
              <w:spacing w:line="360" w:lineRule="auto"/>
              <w:ind w:firstLine="482"/>
              <w:rPr>
                <w:rFonts w:hint="eastAsia" w:ascii="宋体" w:hAnsi="宋体" w:cs="宋体"/>
                <w:b w:val="0"/>
                <w:bCs w:val="0"/>
                <w:sz w:val="24"/>
              </w:rPr>
            </w:pPr>
            <w:r>
              <w:rPr>
                <w:rFonts w:hint="eastAsia" w:ascii="宋体" w:hAnsi="宋体" w:cs="宋体"/>
                <w:b w:val="0"/>
                <w:bCs w:val="0"/>
                <w:sz w:val="24"/>
              </w:rPr>
              <w:t>2 x 10/100 Base-T RJ-45</w:t>
            </w:r>
          </w:p>
        </w:tc>
      </w:tr>
      <w:tr w14:paraId="57830AAF">
        <w:tblPrEx>
          <w:tblCellMar>
            <w:top w:w="0" w:type="dxa"/>
            <w:left w:w="108" w:type="dxa"/>
            <w:bottom w:w="0" w:type="dxa"/>
            <w:right w:w="108" w:type="dxa"/>
          </w:tblCellMar>
        </w:tblPrEx>
        <w:trPr>
          <w:trHeight w:val="307"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677941C">
            <w:pPr>
              <w:spacing w:line="360" w:lineRule="auto"/>
              <w:ind w:firstLine="482"/>
              <w:rPr>
                <w:rFonts w:hint="eastAsia" w:ascii="宋体" w:hAnsi="宋体" w:cs="宋体"/>
                <w:b w:val="0"/>
                <w:bCs w:val="0"/>
                <w:sz w:val="24"/>
              </w:rPr>
            </w:pPr>
          </w:p>
        </w:tc>
        <w:tc>
          <w:tcPr>
            <w:tcW w:w="1475" w:type="dxa"/>
            <w:tcBorders>
              <w:top w:val="nil"/>
              <w:left w:val="nil"/>
              <w:bottom w:val="single" w:color="auto" w:sz="4" w:space="0"/>
              <w:right w:val="single" w:color="auto" w:sz="4" w:space="0"/>
            </w:tcBorders>
            <w:shd w:val="clear" w:color="auto" w:fill="auto"/>
            <w:vAlign w:val="center"/>
          </w:tcPr>
          <w:p w14:paraId="3479B44A">
            <w:pPr>
              <w:spacing w:line="360" w:lineRule="auto"/>
              <w:rPr>
                <w:rFonts w:hint="eastAsia" w:ascii="宋体" w:hAnsi="宋体" w:cs="宋体"/>
                <w:b w:val="0"/>
                <w:bCs w:val="0"/>
                <w:sz w:val="24"/>
              </w:rPr>
            </w:pPr>
            <w:r>
              <w:rPr>
                <w:rFonts w:hint="eastAsia" w:ascii="宋体" w:hAnsi="宋体" w:cs="宋体"/>
                <w:b w:val="0"/>
                <w:bCs w:val="0"/>
                <w:sz w:val="24"/>
              </w:rPr>
              <w:t>RS485接口</w:t>
            </w:r>
          </w:p>
        </w:tc>
        <w:tc>
          <w:tcPr>
            <w:tcW w:w="5148" w:type="dxa"/>
            <w:tcBorders>
              <w:top w:val="nil"/>
              <w:left w:val="nil"/>
              <w:bottom w:val="single" w:color="auto" w:sz="4" w:space="0"/>
              <w:right w:val="single" w:color="auto" w:sz="4" w:space="0"/>
            </w:tcBorders>
            <w:shd w:val="clear" w:color="auto" w:fill="auto"/>
            <w:vAlign w:val="center"/>
          </w:tcPr>
          <w:p w14:paraId="3C06449D">
            <w:pPr>
              <w:spacing w:line="360" w:lineRule="auto"/>
              <w:ind w:firstLine="482"/>
              <w:rPr>
                <w:rFonts w:hint="eastAsia" w:ascii="宋体" w:hAnsi="宋体" w:cs="宋体"/>
                <w:b w:val="0"/>
                <w:bCs w:val="0"/>
                <w:sz w:val="24"/>
              </w:rPr>
            </w:pPr>
            <w:r>
              <w:rPr>
                <w:rFonts w:hint="eastAsia" w:ascii="宋体" w:hAnsi="宋体" w:cs="宋体"/>
                <w:b w:val="0"/>
                <w:bCs w:val="0"/>
                <w:sz w:val="24"/>
              </w:rPr>
              <w:t>1 x RS485</w:t>
            </w:r>
          </w:p>
        </w:tc>
      </w:tr>
      <w:tr w14:paraId="564C0F63">
        <w:tblPrEx>
          <w:tblCellMar>
            <w:top w:w="0" w:type="dxa"/>
            <w:left w:w="108" w:type="dxa"/>
            <w:bottom w:w="0" w:type="dxa"/>
            <w:right w:w="108" w:type="dxa"/>
          </w:tblCellMar>
        </w:tblPrEx>
        <w:trPr>
          <w:trHeight w:val="307"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593DB8A2">
            <w:pPr>
              <w:spacing w:line="360" w:lineRule="auto"/>
              <w:ind w:firstLine="482"/>
              <w:rPr>
                <w:rFonts w:hint="eastAsia" w:ascii="宋体" w:hAnsi="宋体" w:cs="宋体"/>
                <w:b w:val="0"/>
                <w:bCs w:val="0"/>
                <w:sz w:val="24"/>
              </w:rPr>
            </w:pPr>
          </w:p>
        </w:tc>
        <w:tc>
          <w:tcPr>
            <w:tcW w:w="1475" w:type="dxa"/>
            <w:tcBorders>
              <w:top w:val="nil"/>
              <w:left w:val="nil"/>
              <w:bottom w:val="single" w:color="auto" w:sz="4" w:space="0"/>
              <w:right w:val="single" w:color="auto" w:sz="4" w:space="0"/>
            </w:tcBorders>
            <w:shd w:val="clear" w:color="auto" w:fill="auto"/>
            <w:vAlign w:val="center"/>
          </w:tcPr>
          <w:p w14:paraId="2FE10F9F">
            <w:pPr>
              <w:spacing w:line="360" w:lineRule="auto"/>
              <w:rPr>
                <w:rFonts w:hint="eastAsia" w:ascii="宋体" w:hAnsi="宋体" w:cs="宋体"/>
                <w:b w:val="0"/>
                <w:bCs w:val="0"/>
                <w:sz w:val="24"/>
              </w:rPr>
            </w:pPr>
            <w:r>
              <w:rPr>
                <w:rFonts w:hint="eastAsia" w:ascii="宋体" w:hAnsi="宋体" w:cs="宋体"/>
                <w:b w:val="0"/>
                <w:bCs w:val="0"/>
                <w:sz w:val="24"/>
              </w:rPr>
              <w:t>传输</w:t>
            </w:r>
          </w:p>
        </w:tc>
        <w:tc>
          <w:tcPr>
            <w:tcW w:w="5148" w:type="dxa"/>
            <w:tcBorders>
              <w:top w:val="nil"/>
              <w:left w:val="nil"/>
              <w:bottom w:val="single" w:color="auto" w:sz="4" w:space="0"/>
              <w:right w:val="single" w:color="auto" w:sz="4" w:space="0"/>
            </w:tcBorders>
            <w:shd w:val="clear" w:color="auto" w:fill="auto"/>
            <w:vAlign w:val="center"/>
          </w:tcPr>
          <w:p w14:paraId="68210866">
            <w:pPr>
              <w:spacing w:line="360" w:lineRule="auto"/>
              <w:rPr>
                <w:rFonts w:hint="eastAsia" w:ascii="宋体" w:hAnsi="宋体" w:cs="宋体"/>
                <w:b w:val="0"/>
                <w:bCs w:val="0"/>
                <w:sz w:val="24"/>
              </w:rPr>
            </w:pPr>
            <w:r>
              <w:rPr>
                <w:rFonts w:hint="eastAsia" w:ascii="宋体" w:hAnsi="宋体" w:cs="宋体"/>
                <w:b w:val="0"/>
                <w:bCs w:val="0"/>
                <w:sz w:val="24"/>
              </w:rPr>
              <w:t>通过ProfiNet 数据传送到中央协调控制箱</w:t>
            </w:r>
          </w:p>
        </w:tc>
      </w:tr>
      <w:tr w14:paraId="019DD0CC">
        <w:tblPrEx>
          <w:tblCellMar>
            <w:top w:w="0" w:type="dxa"/>
            <w:left w:w="108" w:type="dxa"/>
            <w:bottom w:w="0" w:type="dxa"/>
            <w:right w:w="108" w:type="dxa"/>
          </w:tblCellMar>
        </w:tblPrEx>
        <w:trPr>
          <w:trHeight w:val="307" w:hRule="atLeast"/>
        </w:trPr>
        <w:tc>
          <w:tcPr>
            <w:tcW w:w="2558" w:type="dxa"/>
            <w:vMerge w:val="restart"/>
            <w:tcBorders>
              <w:top w:val="nil"/>
              <w:left w:val="single" w:color="auto" w:sz="4" w:space="0"/>
              <w:bottom w:val="single" w:color="auto" w:sz="4" w:space="0"/>
              <w:right w:val="single" w:color="auto" w:sz="4" w:space="0"/>
            </w:tcBorders>
            <w:shd w:val="clear" w:color="auto" w:fill="auto"/>
            <w:vAlign w:val="center"/>
          </w:tcPr>
          <w:p w14:paraId="3EF73D1B">
            <w:pPr>
              <w:spacing w:line="360" w:lineRule="auto"/>
              <w:ind w:firstLine="482"/>
              <w:rPr>
                <w:rFonts w:hint="eastAsia" w:ascii="宋体" w:hAnsi="宋体" w:cs="宋体"/>
                <w:b w:val="0"/>
                <w:bCs w:val="0"/>
                <w:sz w:val="24"/>
              </w:rPr>
            </w:pPr>
            <w:r>
              <w:rPr>
                <w:rFonts w:hint="eastAsia" w:ascii="宋体" w:hAnsi="宋体" w:cs="宋体"/>
                <w:b w:val="0"/>
                <w:bCs w:val="0"/>
                <w:sz w:val="24"/>
              </w:rPr>
              <w:t>电压</w:t>
            </w:r>
          </w:p>
        </w:tc>
        <w:tc>
          <w:tcPr>
            <w:tcW w:w="1475" w:type="dxa"/>
            <w:tcBorders>
              <w:top w:val="nil"/>
              <w:left w:val="nil"/>
              <w:bottom w:val="single" w:color="auto" w:sz="4" w:space="0"/>
              <w:right w:val="single" w:color="auto" w:sz="4" w:space="0"/>
            </w:tcBorders>
            <w:shd w:val="clear" w:color="auto" w:fill="auto"/>
            <w:vAlign w:val="center"/>
          </w:tcPr>
          <w:p w14:paraId="2DEFFD1E">
            <w:pPr>
              <w:spacing w:line="360" w:lineRule="auto"/>
              <w:rPr>
                <w:rFonts w:hint="eastAsia" w:ascii="宋体" w:hAnsi="宋体" w:cs="宋体"/>
                <w:b w:val="0"/>
                <w:bCs w:val="0"/>
                <w:sz w:val="24"/>
              </w:rPr>
            </w:pPr>
            <w:r>
              <w:rPr>
                <w:rFonts w:hint="eastAsia" w:ascii="宋体" w:hAnsi="宋体" w:cs="宋体"/>
                <w:b w:val="0"/>
                <w:bCs w:val="0"/>
                <w:sz w:val="24"/>
              </w:rPr>
              <w:t>额定值</w:t>
            </w:r>
          </w:p>
        </w:tc>
        <w:tc>
          <w:tcPr>
            <w:tcW w:w="5148" w:type="dxa"/>
            <w:tcBorders>
              <w:top w:val="nil"/>
              <w:left w:val="nil"/>
              <w:bottom w:val="single" w:color="auto" w:sz="4" w:space="0"/>
              <w:right w:val="single" w:color="auto" w:sz="4" w:space="0"/>
            </w:tcBorders>
            <w:shd w:val="clear" w:color="auto" w:fill="auto"/>
            <w:vAlign w:val="center"/>
          </w:tcPr>
          <w:p w14:paraId="6ACE263D">
            <w:pPr>
              <w:spacing w:line="360" w:lineRule="auto"/>
              <w:ind w:firstLine="482"/>
              <w:rPr>
                <w:rFonts w:hint="eastAsia" w:ascii="宋体" w:hAnsi="宋体" w:cs="宋体"/>
                <w:b w:val="0"/>
                <w:bCs w:val="0"/>
                <w:sz w:val="24"/>
              </w:rPr>
            </w:pPr>
            <w:r>
              <w:rPr>
                <w:rFonts w:hint="eastAsia" w:ascii="宋体" w:hAnsi="宋体" w:cs="宋体"/>
                <w:b w:val="0"/>
                <w:bCs w:val="0"/>
                <w:sz w:val="24"/>
              </w:rPr>
              <w:t>AC220V</w:t>
            </w:r>
          </w:p>
        </w:tc>
      </w:tr>
      <w:tr w14:paraId="1C773EB4">
        <w:tblPrEx>
          <w:tblCellMar>
            <w:top w:w="0" w:type="dxa"/>
            <w:left w:w="108" w:type="dxa"/>
            <w:bottom w:w="0" w:type="dxa"/>
            <w:right w:w="108" w:type="dxa"/>
          </w:tblCellMar>
        </w:tblPrEx>
        <w:trPr>
          <w:trHeight w:val="307"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1E5FE579">
            <w:pPr>
              <w:spacing w:line="360" w:lineRule="auto"/>
              <w:ind w:firstLine="482"/>
              <w:rPr>
                <w:rFonts w:hint="eastAsia" w:ascii="宋体" w:hAnsi="宋体" w:cs="宋体"/>
                <w:b w:val="0"/>
                <w:bCs w:val="0"/>
                <w:sz w:val="24"/>
              </w:rPr>
            </w:pPr>
          </w:p>
        </w:tc>
        <w:tc>
          <w:tcPr>
            <w:tcW w:w="1475" w:type="dxa"/>
            <w:tcBorders>
              <w:top w:val="nil"/>
              <w:left w:val="nil"/>
              <w:bottom w:val="single" w:color="auto" w:sz="4" w:space="0"/>
              <w:right w:val="single" w:color="auto" w:sz="4" w:space="0"/>
            </w:tcBorders>
            <w:shd w:val="clear" w:color="auto" w:fill="auto"/>
            <w:vAlign w:val="center"/>
          </w:tcPr>
          <w:p w14:paraId="5FF311BF">
            <w:pPr>
              <w:spacing w:line="360" w:lineRule="auto"/>
              <w:rPr>
                <w:rFonts w:hint="eastAsia" w:ascii="宋体" w:hAnsi="宋体" w:cs="宋体"/>
                <w:b w:val="0"/>
                <w:bCs w:val="0"/>
                <w:sz w:val="24"/>
              </w:rPr>
            </w:pPr>
            <w:r>
              <w:rPr>
                <w:rFonts w:hint="eastAsia" w:ascii="宋体" w:hAnsi="宋体" w:cs="宋体"/>
                <w:b w:val="0"/>
                <w:bCs w:val="0"/>
                <w:sz w:val="24"/>
              </w:rPr>
              <w:t>功耗</w:t>
            </w:r>
          </w:p>
        </w:tc>
        <w:tc>
          <w:tcPr>
            <w:tcW w:w="5148" w:type="dxa"/>
            <w:tcBorders>
              <w:top w:val="nil"/>
              <w:left w:val="nil"/>
              <w:bottom w:val="single" w:color="auto" w:sz="4" w:space="0"/>
              <w:right w:val="single" w:color="auto" w:sz="4" w:space="0"/>
            </w:tcBorders>
            <w:shd w:val="clear" w:color="auto" w:fill="auto"/>
            <w:vAlign w:val="center"/>
          </w:tcPr>
          <w:p w14:paraId="0AFCB9F9">
            <w:pPr>
              <w:spacing w:line="360" w:lineRule="auto"/>
              <w:ind w:firstLine="482"/>
              <w:rPr>
                <w:rFonts w:hint="eastAsia" w:ascii="宋体" w:hAnsi="宋体" w:cs="宋体"/>
                <w:b w:val="0"/>
                <w:bCs w:val="0"/>
                <w:sz w:val="24"/>
              </w:rPr>
            </w:pPr>
            <w:r>
              <w:rPr>
                <w:rFonts w:hint="eastAsia" w:ascii="宋体" w:hAnsi="宋体" w:cs="宋体"/>
                <w:b w:val="0"/>
                <w:bCs w:val="0"/>
                <w:sz w:val="24"/>
              </w:rPr>
              <w:t>≤100W</w:t>
            </w:r>
          </w:p>
        </w:tc>
      </w:tr>
      <w:tr w14:paraId="5152BA3B">
        <w:tblPrEx>
          <w:tblCellMar>
            <w:top w:w="0" w:type="dxa"/>
            <w:left w:w="108" w:type="dxa"/>
            <w:bottom w:w="0" w:type="dxa"/>
            <w:right w:w="108" w:type="dxa"/>
          </w:tblCellMar>
        </w:tblPrEx>
        <w:trPr>
          <w:trHeight w:val="307"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5AD508A">
            <w:pPr>
              <w:spacing w:line="360" w:lineRule="auto"/>
              <w:ind w:firstLine="482"/>
              <w:rPr>
                <w:rFonts w:hint="eastAsia" w:ascii="宋体" w:hAnsi="宋体" w:cs="宋体"/>
                <w:b w:val="0"/>
                <w:bCs w:val="0"/>
                <w:sz w:val="24"/>
              </w:rPr>
            </w:pPr>
          </w:p>
        </w:tc>
        <w:tc>
          <w:tcPr>
            <w:tcW w:w="1475" w:type="dxa"/>
            <w:tcBorders>
              <w:top w:val="nil"/>
              <w:left w:val="nil"/>
              <w:bottom w:val="single" w:color="auto" w:sz="4" w:space="0"/>
              <w:right w:val="single" w:color="auto" w:sz="4" w:space="0"/>
            </w:tcBorders>
            <w:shd w:val="clear" w:color="auto" w:fill="auto"/>
            <w:vAlign w:val="center"/>
          </w:tcPr>
          <w:p w14:paraId="04F78D1C">
            <w:pPr>
              <w:spacing w:line="360" w:lineRule="auto"/>
              <w:rPr>
                <w:rFonts w:hint="eastAsia" w:ascii="宋体" w:hAnsi="宋体" w:cs="宋体"/>
                <w:b w:val="0"/>
                <w:bCs w:val="0"/>
                <w:sz w:val="24"/>
              </w:rPr>
            </w:pPr>
            <w:r>
              <w:rPr>
                <w:rFonts w:hint="eastAsia" w:ascii="宋体" w:hAnsi="宋体" w:cs="宋体"/>
                <w:b w:val="0"/>
                <w:bCs w:val="0"/>
                <w:sz w:val="24"/>
              </w:rPr>
              <w:t>频率</w:t>
            </w:r>
          </w:p>
        </w:tc>
        <w:tc>
          <w:tcPr>
            <w:tcW w:w="5148" w:type="dxa"/>
            <w:tcBorders>
              <w:top w:val="nil"/>
              <w:left w:val="nil"/>
              <w:bottom w:val="single" w:color="auto" w:sz="4" w:space="0"/>
              <w:right w:val="single" w:color="auto" w:sz="4" w:space="0"/>
            </w:tcBorders>
            <w:shd w:val="clear" w:color="auto" w:fill="auto"/>
            <w:vAlign w:val="center"/>
          </w:tcPr>
          <w:p w14:paraId="27ED2FE2">
            <w:pPr>
              <w:spacing w:line="360" w:lineRule="auto"/>
              <w:ind w:firstLine="482"/>
              <w:rPr>
                <w:rFonts w:hint="eastAsia" w:ascii="宋体" w:hAnsi="宋体" w:cs="宋体"/>
                <w:b w:val="0"/>
                <w:bCs w:val="0"/>
                <w:sz w:val="24"/>
              </w:rPr>
            </w:pPr>
            <w:r>
              <w:rPr>
                <w:rFonts w:hint="eastAsia" w:ascii="宋体" w:hAnsi="宋体" w:cs="宋体"/>
                <w:b w:val="0"/>
                <w:bCs w:val="0"/>
                <w:sz w:val="24"/>
              </w:rPr>
              <w:t>50Hz</w:t>
            </w:r>
          </w:p>
        </w:tc>
      </w:tr>
      <w:tr w14:paraId="7D1D18E7">
        <w:tblPrEx>
          <w:tblCellMar>
            <w:top w:w="0" w:type="dxa"/>
            <w:left w:w="108" w:type="dxa"/>
            <w:bottom w:w="0" w:type="dxa"/>
            <w:right w:w="108" w:type="dxa"/>
          </w:tblCellMar>
        </w:tblPrEx>
        <w:trPr>
          <w:trHeight w:val="307" w:hRule="atLeast"/>
        </w:trPr>
        <w:tc>
          <w:tcPr>
            <w:tcW w:w="2558" w:type="dxa"/>
            <w:vMerge w:val="restart"/>
            <w:tcBorders>
              <w:top w:val="nil"/>
              <w:left w:val="single" w:color="auto" w:sz="4" w:space="0"/>
              <w:bottom w:val="single" w:color="auto" w:sz="4" w:space="0"/>
              <w:right w:val="single" w:color="auto" w:sz="4" w:space="0"/>
            </w:tcBorders>
            <w:shd w:val="clear" w:color="auto" w:fill="auto"/>
            <w:vAlign w:val="center"/>
          </w:tcPr>
          <w:p w14:paraId="6DBF4E0F">
            <w:pPr>
              <w:spacing w:line="360" w:lineRule="auto"/>
              <w:ind w:firstLine="482"/>
              <w:rPr>
                <w:rFonts w:hint="eastAsia" w:ascii="宋体" w:hAnsi="宋体" w:cs="宋体"/>
                <w:b w:val="0"/>
                <w:bCs w:val="0"/>
                <w:sz w:val="24"/>
              </w:rPr>
            </w:pPr>
            <w:r>
              <w:rPr>
                <w:rFonts w:hint="eastAsia" w:ascii="宋体" w:hAnsi="宋体" w:cs="宋体"/>
                <w:b w:val="0"/>
                <w:bCs w:val="0"/>
                <w:sz w:val="24"/>
              </w:rPr>
              <w:t>环境</w:t>
            </w:r>
          </w:p>
        </w:tc>
        <w:tc>
          <w:tcPr>
            <w:tcW w:w="1475" w:type="dxa"/>
            <w:tcBorders>
              <w:top w:val="nil"/>
              <w:left w:val="nil"/>
              <w:bottom w:val="single" w:color="auto" w:sz="4" w:space="0"/>
              <w:right w:val="single" w:color="auto" w:sz="4" w:space="0"/>
            </w:tcBorders>
            <w:shd w:val="clear" w:color="auto" w:fill="auto"/>
            <w:vAlign w:val="center"/>
          </w:tcPr>
          <w:p w14:paraId="5F22937A">
            <w:pPr>
              <w:spacing w:line="360" w:lineRule="auto"/>
              <w:rPr>
                <w:rFonts w:hint="eastAsia" w:ascii="宋体" w:hAnsi="宋体" w:cs="宋体"/>
                <w:b w:val="0"/>
                <w:bCs w:val="0"/>
                <w:sz w:val="24"/>
              </w:rPr>
            </w:pPr>
            <w:r>
              <w:rPr>
                <w:rFonts w:hint="eastAsia" w:ascii="宋体" w:hAnsi="宋体" w:cs="宋体"/>
                <w:b w:val="0"/>
                <w:bCs w:val="0"/>
                <w:sz w:val="24"/>
              </w:rPr>
              <w:t>温度</w:t>
            </w:r>
          </w:p>
        </w:tc>
        <w:tc>
          <w:tcPr>
            <w:tcW w:w="5148" w:type="dxa"/>
            <w:tcBorders>
              <w:top w:val="nil"/>
              <w:left w:val="nil"/>
              <w:bottom w:val="single" w:color="auto" w:sz="4" w:space="0"/>
              <w:right w:val="single" w:color="auto" w:sz="4" w:space="0"/>
            </w:tcBorders>
            <w:shd w:val="clear" w:color="auto" w:fill="auto"/>
            <w:vAlign w:val="center"/>
          </w:tcPr>
          <w:p w14:paraId="4C809D3D">
            <w:pPr>
              <w:spacing w:line="360" w:lineRule="auto"/>
              <w:rPr>
                <w:rFonts w:hint="eastAsia" w:ascii="宋体" w:hAnsi="宋体" w:cs="宋体"/>
                <w:b w:val="0"/>
                <w:bCs w:val="0"/>
                <w:sz w:val="24"/>
              </w:rPr>
            </w:pPr>
            <w:r>
              <w:rPr>
                <w:rFonts w:hint="eastAsia" w:ascii="宋体" w:hAnsi="宋体" w:cs="宋体"/>
                <w:b w:val="0"/>
                <w:bCs w:val="0"/>
                <w:sz w:val="24"/>
              </w:rPr>
              <w:t>-10℃～+40℃（极限温度：-20℃～+60℃）</w:t>
            </w:r>
          </w:p>
        </w:tc>
      </w:tr>
      <w:tr w14:paraId="714780C7">
        <w:tblPrEx>
          <w:tblCellMar>
            <w:top w:w="0" w:type="dxa"/>
            <w:left w:w="108" w:type="dxa"/>
            <w:bottom w:w="0" w:type="dxa"/>
            <w:right w:w="108" w:type="dxa"/>
          </w:tblCellMar>
        </w:tblPrEx>
        <w:trPr>
          <w:trHeight w:val="802"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60515DC3">
            <w:pPr>
              <w:spacing w:line="360" w:lineRule="auto"/>
              <w:ind w:firstLine="482"/>
              <w:rPr>
                <w:rFonts w:hint="eastAsia" w:ascii="宋体" w:hAnsi="宋体" w:cs="宋体"/>
                <w:b w:val="0"/>
                <w:bCs w:val="0"/>
                <w:sz w:val="24"/>
              </w:rPr>
            </w:pPr>
          </w:p>
        </w:tc>
        <w:tc>
          <w:tcPr>
            <w:tcW w:w="1475" w:type="dxa"/>
            <w:tcBorders>
              <w:top w:val="nil"/>
              <w:left w:val="nil"/>
              <w:bottom w:val="single" w:color="auto" w:sz="4" w:space="0"/>
              <w:right w:val="single" w:color="auto" w:sz="4" w:space="0"/>
            </w:tcBorders>
            <w:shd w:val="clear" w:color="auto" w:fill="auto"/>
            <w:vAlign w:val="center"/>
          </w:tcPr>
          <w:p w14:paraId="2C86E7D2">
            <w:pPr>
              <w:spacing w:line="360" w:lineRule="auto"/>
              <w:rPr>
                <w:rFonts w:hint="eastAsia" w:ascii="宋体" w:hAnsi="宋体" w:cs="宋体"/>
                <w:b w:val="0"/>
                <w:bCs w:val="0"/>
                <w:sz w:val="24"/>
              </w:rPr>
            </w:pPr>
            <w:r>
              <w:rPr>
                <w:rFonts w:hint="eastAsia" w:ascii="宋体" w:hAnsi="宋体" w:cs="宋体"/>
                <w:b w:val="0"/>
                <w:bCs w:val="0"/>
                <w:sz w:val="24"/>
              </w:rPr>
              <w:t>湿度</w:t>
            </w:r>
          </w:p>
        </w:tc>
        <w:tc>
          <w:tcPr>
            <w:tcW w:w="5148" w:type="dxa"/>
            <w:tcBorders>
              <w:top w:val="nil"/>
              <w:left w:val="nil"/>
              <w:bottom w:val="single" w:color="auto" w:sz="4" w:space="0"/>
              <w:right w:val="single" w:color="auto" w:sz="4" w:space="0"/>
            </w:tcBorders>
            <w:shd w:val="clear" w:color="auto" w:fill="auto"/>
            <w:vAlign w:val="center"/>
          </w:tcPr>
          <w:p w14:paraId="4E781EEE">
            <w:pPr>
              <w:spacing w:line="360" w:lineRule="auto"/>
              <w:ind w:firstLine="482"/>
              <w:rPr>
                <w:rFonts w:hint="eastAsia" w:ascii="宋体" w:hAnsi="宋体" w:cs="宋体"/>
                <w:b w:val="0"/>
                <w:bCs w:val="0"/>
                <w:sz w:val="24"/>
              </w:rPr>
            </w:pPr>
            <w:r>
              <w:rPr>
                <w:rFonts w:hint="eastAsia" w:ascii="宋体" w:hAnsi="宋体" w:cs="宋体"/>
                <w:b w:val="0"/>
                <w:bCs w:val="0"/>
                <w:sz w:val="24"/>
              </w:rPr>
              <w:t>≤75％（极限湿度：≤85%）</w:t>
            </w:r>
          </w:p>
        </w:tc>
      </w:tr>
      <w:tr w14:paraId="2090490B">
        <w:tblPrEx>
          <w:tblCellMar>
            <w:top w:w="0" w:type="dxa"/>
            <w:left w:w="108" w:type="dxa"/>
            <w:bottom w:w="0" w:type="dxa"/>
            <w:right w:w="108" w:type="dxa"/>
          </w:tblCellMar>
        </w:tblPrEx>
        <w:trPr>
          <w:trHeight w:val="307" w:hRule="atLeast"/>
        </w:trPr>
        <w:tc>
          <w:tcPr>
            <w:tcW w:w="2558" w:type="dxa"/>
            <w:vMerge w:val="restart"/>
            <w:tcBorders>
              <w:top w:val="nil"/>
              <w:left w:val="single" w:color="auto" w:sz="4" w:space="0"/>
              <w:bottom w:val="single" w:color="auto" w:sz="4" w:space="0"/>
              <w:right w:val="single" w:color="auto" w:sz="4" w:space="0"/>
            </w:tcBorders>
            <w:shd w:val="clear" w:color="auto" w:fill="auto"/>
            <w:vAlign w:val="center"/>
          </w:tcPr>
          <w:p w14:paraId="5F2436D8">
            <w:pPr>
              <w:spacing w:line="360" w:lineRule="auto"/>
              <w:ind w:firstLine="482"/>
              <w:rPr>
                <w:rFonts w:hint="eastAsia" w:ascii="宋体" w:hAnsi="宋体" w:cs="宋体"/>
                <w:b w:val="0"/>
                <w:bCs w:val="0"/>
                <w:sz w:val="24"/>
              </w:rPr>
            </w:pPr>
            <w:r>
              <w:rPr>
                <w:rFonts w:hint="eastAsia" w:ascii="宋体" w:hAnsi="宋体" w:cs="宋体"/>
                <w:b w:val="0"/>
                <w:bCs w:val="0"/>
                <w:sz w:val="24"/>
              </w:rPr>
              <w:t>功能</w:t>
            </w:r>
          </w:p>
        </w:tc>
        <w:tc>
          <w:tcPr>
            <w:tcW w:w="1475" w:type="dxa"/>
            <w:vMerge w:val="restart"/>
            <w:tcBorders>
              <w:top w:val="nil"/>
              <w:left w:val="single" w:color="auto" w:sz="4" w:space="0"/>
              <w:bottom w:val="single" w:color="auto" w:sz="4" w:space="0"/>
              <w:right w:val="single" w:color="auto" w:sz="4" w:space="0"/>
            </w:tcBorders>
            <w:shd w:val="clear" w:color="auto" w:fill="auto"/>
            <w:vAlign w:val="center"/>
          </w:tcPr>
          <w:p w14:paraId="0B58F3AF">
            <w:pPr>
              <w:spacing w:line="360" w:lineRule="auto"/>
              <w:rPr>
                <w:rFonts w:hint="eastAsia" w:ascii="宋体" w:hAnsi="宋体" w:cs="宋体"/>
                <w:b w:val="0"/>
                <w:bCs w:val="0"/>
                <w:sz w:val="24"/>
              </w:rPr>
            </w:pPr>
            <w:r>
              <w:rPr>
                <w:rFonts w:hint="eastAsia" w:ascii="宋体" w:hAnsi="宋体" w:cs="宋体"/>
                <w:b w:val="0"/>
                <w:bCs w:val="0"/>
                <w:sz w:val="24"/>
              </w:rPr>
              <w:t>设备运行监控</w:t>
            </w:r>
          </w:p>
        </w:tc>
        <w:tc>
          <w:tcPr>
            <w:tcW w:w="5148" w:type="dxa"/>
            <w:tcBorders>
              <w:top w:val="nil"/>
              <w:left w:val="nil"/>
              <w:bottom w:val="single" w:color="auto" w:sz="4" w:space="0"/>
              <w:right w:val="single" w:color="auto" w:sz="4" w:space="0"/>
            </w:tcBorders>
            <w:shd w:val="clear" w:color="auto" w:fill="auto"/>
            <w:vAlign w:val="center"/>
          </w:tcPr>
          <w:p w14:paraId="6E8933AC">
            <w:pPr>
              <w:spacing w:line="360" w:lineRule="auto"/>
              <w:ind w:firstLine="482"/>
              <w:rPr>
                <w:rFonts w:hint="eastAsia" w:ascii="宋体" w:hAnsi="宋体" w:cs="宋体"/>
                <w:b w:val="0"/>
                <w:bCs w:val="0"/>
                <w:sz w:val="24"/>
              </w:rPr>
            </w:pPr>
            <w:r>
              <w:rPr>
                <w:rFonts w:hint="eastAsia" w:ascii="宋体" w:hAnsi="宋体" w:cs="宋体"/>
                <w:b w:val="0"/>
                <w:bCs w:val="0"/>
                <w:sz w:val="24"/>
              </w:rPr>
              <w:t>1、 对循环泵运行状态、故障报警、频率等重要参数进行监视</w:t>
            </w:r>
          </w:p>
        </w:tc>
      </w:tr>
      <w:tr w14:paraId="3BBDB2B6">
        <w:tblPrEx>
          <w:tblCellMar>
            <w:top w:w="0" w:type="dxa"/>
            <w:left w:w="108" w:type="dxa"/>
            <w:bottom w:w="0" w:type="dxa"/>
            <w:right w:w="108" w:type="dxa"/>
          </w:tblCellMar>
        </w:tblPrEx>
        <w:trPr>
          <w:trHeight w:val="525"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5A4EF2B4">
            <w:pPr>
              <w:spacing w:line="360" w:lineRule="auto"/>
              <w:ind w:firstLine="482"/>
              <w:rPr>
                <w:rFonts w:hint="eastAsia" w:ascii="宋体" w:hAnsi="宋体" w:cs="宋体"/>
                <w:b w:val="0"/>
                <w:bCs w:val="0"/>
                <w:sz w:val="24"/>
              </w:rPr>
            </w:pP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1C1B6B7">
            <w:pPr>
              <w:spacing w:line="360" w:lineRule="auto"/>
              <w:ind w:firstLine="482"/>
              <w:rPr>
                <w:rFonts w:hint="eastAsia" w:ascii="宋体" w:hAnsi="宋体" w:cs="宋体"/>
                <w:b w:val="0"/>
                <w:bCs w:val="0"/>
                <w:sz w:val="24"/>
              </w:rPr>
            </w:pPr>
          </w:p>
        </w:tc>
        <w:tc>
          <w:tcPr>
            <w:tcW w:w="5148" w:type="dxa"/>
            <w:tcBorders>
              <w:top w:val="nil"/>
              <w:left w:val="nil"/>
              <w:bottom w:val="single" w:color="auto" w:sz="4" w:space="0"/>
              <w:right w:val="single" w:color="auto" w:sz="4" w:space="0"/>
            </w:tcBorders>
            <w:shd w:val="clear" w:color="auto" w:fill="auto"/>
            <w:vAlign w:val="center"/>
          </w:tcPr>
          <w:p w14:paraId="1F8B3D5C">
            <w:pPr>
              <w:spacing w:line="360" w:lineRule="auto"/>
              <w:ind w:firstLine="482"/>
              <w:rPr>
                <w:rFonts w:hint="eastAsia" w:ascii="宋体" w:hAnsi="宋体" w:cs="宋体"/>
                <w:b w:val="0"/>
                <w:bCs w:val="0"/>
                <w:sz w:val="24"/>
              </w:rPr>
            </w:pPr>
            <w:r>
              <w:rPr>
                <w:rFonts w:hint="eastAsia" w:ascii="宋体" w:hAnsi="宋体" w:cs="宋体"/>
                <w:b w:val="0"/>
                <w:bCs w:val="0"/>
                <w:sz w:val="24"/>
              </w:rPr>
              <w:t>2、通过控制策略控制循环泵的启停以及实时调整运行频率</w:t>
            </w:r>
          </w:p>
        </w:tc>
      </w:tr>
    </w:tbl>
    <w:p w14:paraId="777DC41C">
      <w:pPr>
        <w:spacing w:line="360" w:lineRule="auto"/>
        <w:ind w:firstLine="482"/>
        <w:rPr>
          <w:rFonts w:hint="eastAsia" w:ascii="宋体" w:hAnsi="宋体" w:cs="宋体"/>
          <w:b/>
          <w:bCs/>
          <w:sz w:val="24"/>
        </w:rPr>
      </w:pPr>
    </w:p>
    <w:p w14:paraId="2ED957C4">
      <w:pPr>
        <w:spacing w:line="360" w:lineRule="auto"/>
        <w:ind w:firstLine="482"/>
        <w:rPr>
          <w:rFonts w:hint="eastAsia" w:ascii="宋体" w:hAnsi="宋体" w:cs="宋体"/>
          <w:b/>
          <w:bCs/>
          <w:sz w:val="24"/>
        </w:rPr>
      </w:pPr>
      <w:r>
        <w:rPr>
          <w:rFonts w:hint="eastAsia" w:ascii="宋体" w:hAnsi="宋体" w:cs="宋体"/>
          <w:b/>
          <w:bCs/>
          <w:sz w:val="24"/>
        </w:rPr>
        <w:t>5.智能数据网关</w:t>
      </w:r>
    </w:p>
    <w:p w14:paraId="55103194">
      <w:pPr>
        <w:spacing w:line="360" w:lineRule="auto"/>
        <w:ind w:firstLine="482"/>
        <w:rPr>
          <w:rFonts w:hint="eastAsia" w:ascii="宋体" w:hAnsi="宋体" w:cs="宋体"/>
          <w:b/>
          <w:bCs/>
          <w:sz w:val="24"/>
        </w:rPr>
      </w:pPr>
      <w:r>
        <w:rPr>
          <w:rFonts w:hint="eastAsia" w:ascii="宋体" w:hAnsi="宋体" w:cs="宋体"/>
          <w:b/>
          <w:bCs/>
          <w:sz w:val="24"/>
        </w:rPr>
        <w:t>（1）功能要求</w:t>
      </w:r>
    </w:p>
    <w:p w14:paraId="694ACDEF">
      <w:pPr>
        <w:spacing w:line="360" w:lineRule="auto"/>
        <w:ind w:firstLine="482"/>
        <w:rPr>
          <w:rFonts w:hint="eastAsia" w:ascii="宋体" w:hAnsi="宋体" w:cs="宋体"/>
          <w:b/>
          <w:bCs/>
          <w:sz w:val="24"/>
        </w:rPr>
      </w:pPr>
      <w:r>
        <w:rPr>
          <w:rFonts w:hint="eastAsia" w:ascii="宋体" w:hAnsi="宋体" w:cs="宋体"/>
          <w:b/>
          <w:bCs/>
          <w:sz w:val="24"/>
        </w:rPr>
        <w:t>支持DL/T 645-1997、DL/T 645-2007、CJ/T 188-2004、ModbusRTU、ModbusTCP等多种标准通信协议；支持边缘采集、实时更新；支持包括周期上报、变化上报等多种形式的数据上报、命令下发；支持Web配置、远程运维；支持脚本开发；运行稳定，支持365天不间断工作。</w:t>
      </w:r>
    </w:p>
    <w:p w14:paraId="75CB3B7D">
      <w:pPr>
        <w:spacing w:line="360" w:lineRule="auto"/>
        <w:ind w:firstLine="482"/>
        <w:rPr>
          <w:rFonts w:hint="eastAsia" w:ascii="宋体" w:hAnsi="宋体" w:cs="宋体"/>
          <w:b/>
          <w:bCs/>
          <w:sz w:val="24"/>
        </w:rPr>
      </w:pPr>
      <w:r>
        <w:rPr>
          <w:rFonts w:hint="eastAsia" w:ascii="宋体" w:hAnsi="宋体" w:cs="宋体"/>
          <w:b/>
          <w:bCs/>
          <w:sz w:val="24"/>
        </w:rPr>
        <w:t>（2）性能指标</w:t>
      </w:r>
    </w:p>
    <w:p w14:paraId="10B6194F">
      <w:pPr>
        <w:spacing w:line="360" w:lineRule="auto"/>
        <w:ind w:firstLine="482"/>
        <w:rPr>
          <w:rFonts w:hint="eastAsia" w:ascii="宋体" w:hAnsi="宋体" w:cs="宋体"/>
          <w:b/>
          <w:bCs/>
          <w:sz w:val="24"/>
        </w:rPr>
      </w:pPr>
      <w:r>
        <w:rPr>
          <w:rFonts w:hint="eastAsia" w:ascii="宋体" w:hAnsi="宋体" w:cs="宋体"/>
          <w:b/>
          <w:bCs/>
          <w:sz w:val="24"/>
        </w:rPr>
        <w:t>电源输入：AC220V</w:t>
      </w:r>
    </w:p>
    <w:p w14:paraId="34F59895">
      <w:pPr>
        <w:spacing w:line="360" w:lineRule="auto"/>
        <w:ind w:firstLine="482"/>
        <w:rPr>
          <w:rFonts w:hint="eastAsia" w:ascii="宋体" w:hAnsi="宋体" w:cs="宋体"/>
          <w:b/>
          <w:bCs/>
          <w:sz w:val="24"/>
        </w:rPr>
      </w:pPr>
      <w:r>
        <w:rPr>
          <w:rFonts w:hint="eastAsia" w:ascii="宋体" w:hAnsi="宋体" w:cs="宋体"/>
          <w:b/>
          <w:bCs/>
          <w:sz w:val="24"/>
        </w:rPr>
        <w:t>待机功耗：&lt;2W</w:t>
      </w:r>
    </w:p>
    <w:p w14:paraId="4CEB5E66">
      <w:pPr>
        <w:spacing w:line="360" w:lineRule="auto"/>
        <w:ind w:firstLine="482"/>
        <w:rPr>
          <w:rFonts w:hint="eastAsia" w:ascii="宋体" w:hAnsi="宋体" w:cs="宋体"/>
          <w:b/>
          <w:bCs/>
          <w:sz w:val="24"/>
        </w:rPr>
      </w:pPr>
      <w:r>
        <w:rPr>
          <w:rFonts w:hint="eastAsia" w:ascii="宋体" w:hAnsi="宋体" w:cs="宋体"/>
          <w:b/>
          <w:bCs/>
          <w:sz w:val="24"/>
        </w:rPr>
        <w:t>以太网接口：2路10/100M自适应</w:t>
      </w:r>
    </w:p>
    <w:p w14:paraId="7C9159D3">
      <w:pPr>
        <w:spacing w:line="360" w:lineRule="auto"/>
        <w:ind w:firstLine="482"/>
        <w:rPr>
          <w:rFonts w:hint="eastAsia" w:ascii="宋体" w:hAnsi="宋体" w:cs="宋体"/>
          <w:b/>
          <w:bCs/>
          <w:sz w:val="24"/>
        </w:rPr>
      </w:pPr>
      <w:r>
        <w:rPr>
          <w:rFonts w:hint="eastAsia" w:ascii="宋体" w:hAnsi="宋体" w:cs="宋体"/>
          <w:b/>
          <w:bCs/>
          <w:sz w:val="24"/>
        </w:rPr>
        <w:t>4G接口：4G CAT1 全网通模块</w:t>
      </w:r>
    </w:p>
    <w:p w14:paraId="6F2FEDA2">
      <w:pPr>
        <w:spacing w:line="360" w:lineRule="auto"/>
        <w:ind w:firstLine="482"/>
        <w:rPr>
          <w:rFonts w:hint="eastAsia" w:ascii="宋体" w:hAnsi="宋体" w:cs="宋体"/>
          <w:b/>
          <w:bCs/>
          <w:sz w:val="24"/>
        </w:rPr>
      </w:pPr>
      <w:r>
        <w:rPr>
          <w:rFonts w:hint="eastAsia" w:ascii="宋体" w:hAnsi="宋体" w:cs="宋体"/>
          <w:b/>
          <w:bCs/>
          <w:sz w:val="24"/>
        </w:rPr>
        <w:t>RS485接口：6路</w:t>
      </w:r>
    </w:p>
    <w:p w14:paraId="1CBC54F8">
      <w:pPr>
        <w:spacing w:line="360" w:lineRule="auto"/>
        <w:ind w:firstLine="482"/>
        <w:rPr>
          <w:rFonts w:hint="eastAsia" w:ascii="宋体" w:hAnsi="宋体" w:cs="宋体"/>
          <w:b/>
          <w:bCs/>
          <w:sz w:val="24"/>
        </w:rPr>
      </w:pPr>
      <w:r>
        <w:rPr>
          <w:rFonts w:hint="eastAsia" w:ascii="宋体" w:hAnsi="宋体" w:cs="宋体"/>
          <w:b/>
          <w:bCs/>
          <w:sz w:val="24"/>
        </w:rPr>
        <w:t>工作温度：-10~60°C</w:t>
      </w:r>
    </w:p>
    <w:p w14:paraId="00145DFA">
      <w:pPr>
        <w:spacing w:line="360" w:lineRule="auto"/>
        <w:ind w:firstLine="482"/>
        <w:rPr>
          <w:rFonts w:hint="eastAsia" w:ascii="宋体" w:hAnsi="宋体" w:cs="宋体"/>
          <w:b/>
          <w:bCs/>
          <w:sz w:val="24"/>
        </w:rPr>
      </w:pPr>
      <w:r>
        <w:rPr>
          <w:rFonts w:hint="eastAsia" w:ascii="宋体" w:hAnsi="宋体" w:cs="宋体"/>
          <w:b/>
          <w:bCs/>
          <w:sz w:val="24"/>
        </w:rPr>
        <w:t>（3）电磁兼容（EMC）要求</w:t>
      </w:r>
    </w:p>
    <w:p w14:paraId="2865F5EC">
      <w:pPr>
        <w:spacing w:line="360" w:lineRule="auto"/>
        <w:ind w:firstLine="482"/>
        <w:rPr>
          <w:rFonts w:hint="eastAsia" w:ascii="宋体" w:hAnsi="宋体" w:cs="宋体"/>
          <w:b/>
          <w:bCs/>
          <w:sz w:val="24"/>
        </w:rPr>
      </w:pPr>
      <w:r>
        <w:rPr>
          <w:rFonts w:hint="eastAsia" w:ascii="宋体" w:hAnsi="宋体" w:cs="宋体"/>
          <w:b/>
          <w:bCs/>
          <w:sz w:val="24"/>
        </w:rPr>
        <w:t>符合GB/T17626.2-2018 电兼容试验和测量技术静电放电抗扰度要求</w:t>
      </w:r>
    </w:p>
    <w:p w14:paraId="6A9817C1">
      <w:pPr>
        <w:spacing w:line="360" w:lineRule="auto"/>
        <w:ind w:firstLine="482"/>
        <w:rPr>
          <w:rFonts w:hint="eastAsia" w:ascii="宋体" w:hAnsi="宋体" w:cs="宋体"/>
          <w:b/>
          <w:bCs/>
          <w:sz w:val="24"/>
        </w:rPr>
      </w:pPr>
      <w:r>
        <w:rPr>
          <w:rFonts w:hint="eastAsia" w:ascii="宋体" w:hAnsi="宋体" w:cs="宋体"/>
          <w:b/>
          <w:bCs/>
          <w:sz w:val="24"/>
        </w:rPr>
        <w:t>符合GB/T17626.3-2023 电兼容试验和测量技术射频电磁场辐射抗扰度要求</w:t>
      </w:r>
    </w:p>
    <w:p w14:paraId="67D4375B">
      <w:pPr>
        <w:spacing w:line="360" w:lineRule="auto"/>
        <w:ind w:firstLine="482"/>
        <w:rPr>
          <w:rFonts w:hint="eastAsia" w:ascii="宋体" w:hAnsi="宋体" w:cs="宋体"/>
          <w:b/>
          <w:bCs/>
          <w:sz w:val="24"/>
        </w:rPr>
      </w:pPr>
      <w:r>
        <w:rPr>
          <w:rFonts w:hint="eastAsia" w:ascii="宋体" w:hAnsi="宋体" w:cs="宋体"/>
          <w:b/>
          <w:bCs/>
          <w:sz w:val="24"/>
        </w:rPr>
        <w:t>符合GB/T17626.4-2018 电兼容试验和测量技术电快速瞬变脉冲群抗扰度要求</w:t>
      </w:r>
    </w:p>
    <w:p w14:paraId="535C7BA5">
      <w:pPr>
        <w:spacing w:line="360" w:lineRule="auto"/>
        <w:ind w:firstLine="482"/>
        <w:rPr>
          <w:rFonts w:hint="eastAsia" w:ascii="宋体" w:hAnsi="宋体" w:cs="宋体"/>
          <w:b/>
          <w:bCs/>
          <w:sz w:val="24"/>
        </w:rPr>
      </w:pPr>
      <w:r>
        <w:rPr>
          <w:rFonts w:hint="eastAsia" w:ascii="宋体" w:hAnsi="宋体" w:cs="宋体"/>
          <w:b/>
          <w:bCs/>
          <w:sz w:val="24"/>
        </w:rPr>
        <w:t>符合GB/T17626.5-2019 电兼容试验和测量技术浪涌(冲击)抗扰度要求</w:t>
      </w:r>
    </w:p>
    <w:p w14:paraId="1E003DC3">
      <w:pPr>
        <w:spacing w:line="360" w:lineRule="auto"/>
        <w:ind w:firstLine="482"/>
        <w:rPr>
          <w:rFonts w:hint="eastAsia" w:ascii="宋体" w:hAnsi="宋体" w:cs="宋体"/>
          <w:b/>
          <w:bCs/>
          <w:sz w:val="24"/>
        </w:rPr>
      </w:pPr>
      <w:r>
        <w:rPr>
          <w:rFonts w:hint="eastAsia" w:ascii="宋体" w:hAnsi="宋体" w:cs="宋体"/>
          <w:b/>
          <w:bCs/>
          <w:sz w:val="24"/>
        </w:rPr>
        <w:t>符合GB/T17626.6-2017 电磁兼容试验和测量技术射频场感应的传导骚扰抗扰度要求</w:t>
      </w:r>
    </w:p>
    <w:p w14:paraId="1C6945FF">
      <w:pPr>
        <w:spacing w:line="360" w:lineRule="auto"/>
        <w:ind w:firstLine="482"/>
        <w:rPr>
          <w:rFonts w:hint="eastAsia" w:ascii="宋体" w:hAnsi="宋体" w:cs="宋体"/>
          <w:b/>
          <w:bCs/>
          <w:sz w:val="24"/>
        </w:rPr>
      </w:pPr>
      <w:r>
        <w:rPr>
          <w:rFonts w:hint="eastAsia" w:ascii="宋体" w:hAnsi="宋体" w:cs="宋体"/>
          <w:b/>
          <w:bCs/>
          <w:sz w:val="24"/>
        </w:rPr>
        <w:t>符合GB/T17626.11-2023 电磁兼容 试验和测量技术 电压暂降、短时中断和电压变化的抗扰度要求</w:t>
      </w:r>
    </w:p>
    <w:p w14:paraId="0DAF1963">
      <w:pPr>
        <w:spacing w:line="360" w:lineRule="auto"/>
        <w:ind w:firstLine="482"/>
        <w:rPr>
          <w:rFonts w:hint="eastAsia" w:ascii="宋体" w:hAnsi="宋体" w:cs="宋体"/>
          <w:b/>
          <w:bCs/>
          <w:sz w:val="24"/>
        </w:rPr>
      </w:pPr>
      <w:r>
        <w:rPr>
          <w:rFonts w:hint="eastAsia" w:ascii="宋体" w:hAnsi="宋体" w:cs="宋体"/>
          <w:b/>
          <w:bCs/>
          <w:sz w:val="24"/>
        </w:rPr>
        <w:t>6.风机盘管温控器</w:t>
      </w:r>
    </w:p>
    <w:p w14:paraId="116DA4F6">
      <w:pPr>
        <w:spacing w:line="360" w:lineRule="auto"/>
        <w:ind w:firstLine="482"/>
        <w:rPr>
          <w:rFonts w:hint="eastAsia" w:ascii="宋体" w:hAnsi="宋体" w:cs="宋体"/>
          <w:b/>
          <w:bCs/>
          <w:sz w:val="24"/>
        </w:rPr>
      </w:pPr>
      <w:r>
        <w:rPr>
          <w:rFonts w:hint="eastAsia" w:ascii="宋体" w:hAnsi="宋体" w:cs="宋体"/>
          <w:b/>
          <w:bCs/>
          <w:sz w:val="24"/>
        </w:rPr>
        <w:t>（1）支持实时监测室内温度及运行状态、集中化批量管控、定制策略管理、运行统计和智能锁定等功能。</w:t>
      </w:r>
    </w:p>
    <w:p w14:paraId="365E3B79">
      <w:pPr>
        <w:spacing w:line="360" w:lineRule="auto"/>
        <w:ind w:firstLine="482"/>
        <w:rPr>
          <w:rFonts w:hint="eastAsia" w:ascii="宋体" w:hAnsi="宋体" w:cs="宋体"/>
          <w:b/>
          <w:bCs/>
          <w:sz w:val="24"/>
        </w:rPr>
      </w:pPr>
      <w:r>
        <w:rPr>
          <w:rFonts w:hint="eastAsia" w:ascii="宋体" w:hAnsi="宋体" w:cs="宋体"/>
          <w:b/>
          <w:bCs/>
          <w:sz w:val="24"/>
        </w:rPr>
        <w:t>（2）性能指标：</w:t>
      </w:r>
    </w:p>
    <w:p w14:paraId="581C5D15">
      <w:pPr>
        <w:spacing w:line="360" w:lineRule="auto"/>
        <w:ind w:firstLine="482"/>
        <w:rPr>
          <w:rFonts w:hint="eastAsia" w:ascii="宋体" w:hAnsi="宋体" w:cs="宋体"/>
          <w:b/>
          <w:bCs/>
          <w:sz w:val="24"/>
        </w:rPr>
      </w:pPr>
      <w:r>
        <w:rPr>
          <w:rFonts w:hint="eastAsia" w:ascii="宋体" w:hAnsi="宋体" w:cs="宋体"/>
          <w:b/>
          <w:bCs/>
          <w:sz w:val="24"/>
        </w:rPr>
        <w:t>① 电源输入：AC220V，50Hz</w:t>
      </w:r>
    </w:p>
    <w:p w14:paraId="532BDD72">
      <w:pPr>
        <w:spacing w:line="360" w:lineRule="auto"/>
        <w:ind w:firstLine="482"/>
        <w:rPr>
          <w:rFonts w:hint="eastAsia" w:ascii="宋体" w:hAnsi="宋体" w:cs="宋体"/>
          <w:b/>
          <w:bCs/>
          <w:sz w:val="24"/>
        </w:rPr>
      </w:pPr>
      <w:r>
        <w:rPr>
          <w:rFonts w:hint="eastAsia" w:ascii="宋体" w:hAnsi="宋体" w:cs="宋体"/>
          <w:b/>
          <w:bCs/>
          <w:sz w:val="24"/>
        </w:rPr>
        <w:t>② 待机功耗：≤2W</w:t>
      </w:r>
    </w:p>
    <w:p w14:paraId="54DB510E">
      <w:pPr>
        <w:spacing w:line="360" w:lineRule="auto"/>
        <w:ind w:firstLine="482"/>
        <w:rPr>
          <w:rFonts w:hint="eastAsia" w:ascii="宋体" w:hAnsi="宋体" w:cs="宋体"/>
          <w:b/>
          <w:bCs/>
          <w:sz w:val="24"/>
        </w:rPr>
      </w:pPr>
      <w:r>
        <w:rPr>
          <w:rFonts w:hint="eastAsia" w:ascii="宋体" w:hAnsi="宋体" w:cs="宋体"/>
          <w:b/>
          <w:bCs/>
          <w:sz w:val="24"/>
        </w:rPr>
        <w:t>③ 通信接口：内置4G CAT.1模块；</w:t>
      </w:r>
    </w:p>
    <w:p w14:paraId="7CC15C7A">
      <w:pPr>
        <w:spacing w:line="360" w:lineRule="auto"/>
        <w:ind w:firstLine="482"/>
        <w:rPr>
          <w:rFonts w:hint="eastAsia" w:ascii="宋体" w:hAnsi="宋体" w:cs="宋体"/>
          <w:b/>
          <w:bCs/>
          <w:sz w:val="24"/>
        </w:rPr>
      </w:pPr>
      <w:r>
        <w:rPr>
          <w:rFonts w:hint="eastAsia" w:ascii="宋体" w:hAnsi="宋体" w:cs="宋体"/>
          <w:b/>
          <w:bCs/>
          <w:sz w:val="24"/>
        </w:rPr>
        <w:t>④ 工作温度：-10~60°C</w:t>
      </w:r>
    </w:p>
    <w:p w14:paraId="21059EB8">
      <w:pPr>
        <w:spacing w:line="360" w:lineRule="auto"/>
        <w:ind w:firstLine="482"/>
        <w:rPr>
          <w:rFonts w:hint="eastAsia" w:ascii="宋体" w:hAnsi="宋体" w:cs="宋体"/>
          <w:b/>
          <w:bCs/>
          <w:sz w:val="24"/>
        </w:rPr>
      </w:pPr>
      <w:r>
        <w:rPr>
          <w:rFonts w:hint="eastAsia" w:ascii="宋体" w:hAnsi="宋体" w:cs="宋体"/>
          <w:b/>
          <w:bCs/>
          <w:sz w:val="24"/>
        </w:rPr>
        <w:t>⑤ 负载电流：≤2A(阻性负载) 或≤1A(感性负载)</w:t>
      </w:r>
    </w:p>
    <w:p w14:paraId="6FA6CFFC">
      <w:pPr>
        <w:spacing w:line="360" w:lineRule="auto"/>
        <w:ind w:firstLine="482"/>
        <w:rPr>
          <w:rFonts w:hint="eastAsia" w:ascii="宋体" w:hAnsi="宋体" w:cs="宋体"/>
          <w:b/>
          <w:bCs/>
          <w:sz w:val="24"/>
        </w:rPr>
      </w:pPr>
      <w:r>
        <w:rPr>
          <w:rFonts w:hint="eastAsia" w:ascii="宋体" w:hAnsi="宋体" w:cs="宋体"/>
          <w:b/>
          <w:bCs/>
          <w:sz w:val="24"/>
        </w:rPr>
        <w:t>⑥ 温度传感器：数字型传感器</w:t>
      </w:r>
    </w:p>
    <w:p w14:paraId="6D85D9E6">
      <w:pPr>
        <w:spacing w:line="360" w:lineRule="auto"/>
        <w:ind w:firstLine="482"/>
        <w:rPr>
          <w:rFonts w:hint="eastAsia" w:ascii="宋体" w:hAnsi="宋体" w:cs="宋体"/>
          <w:b/>
          <w:bCs/>
          <w:sz w:val="24"/>
        </w:rPr>
      </w:pPr>
      <w:r>
        <w:rPr>
          <w:rFonts w:hint="eastAsia" w:ascii="宋体" w:hAnsi="宋体" w:cs="宋体"/>
          <w:b/>
          <w:bCs/>
          <w:sz w:val="24"/>
        </w:rPr>
        <w:t>7.网络多功能电力仪表</w:t>
      </w:r>
    </w:p>
    <w:p w14:paraId="4305475D">
      <w:pPr>
        <w:spacing w:line="360" w:lineRule="auto"/>
        <w:ind w:firstLine="482"/>
        <w:rPr>
          <w:rFonts w:hint="eastAsia" w:ascii="宋体" w:hAnsi="宋体" w:cs="宋体"/>
          <w:b/>
          <w:bCs/>
          <w:sz w:val="24"/>
        </w:rPr>
      </w:pPr>
      <w:r>
        <w:rPr>
          <w:rFonts w:hint="eastAsia" w:ascii="宋体" w:hAnsi="宋体" w:cs="宋体"/>
          <w:b/>
          <w:bCs/>
          <w:sz w:val="24"/>
        </w:rPr>
        <w:t>（1）性能指标：</w:t>
      </w:r>
    </w:p>
    <w:p w14:paraId="3C8F8989">
      <w:pPr>
        <w:spacing w:line="360" w:lineRule="auto"/>
        <w:ind w:firstLine="482"/>
        <w:rPr>
          <w:rFonts w:hint="eastAsia" w:ascii="宋体" w:hAnsi="宋体" w:cs="宋体"/>
          <w:b/>
          <w:bCs/>
          <w:sz w:val="24"/>
        </w:rPr>
      </w:pPr>
      <w:r>
        <w:rPr>
          <w:rFonts w:hint="eastAsia" w:ascii="宋体" w:hAnsi="宋体" w:cs="宋体"/>
          <w:b/>
          <w:bCs/>
          <w:sz w:val="24"/>
        </w:rPr>
        <w:t>① 接线：三相四线</w:t>
      </w:r>
    </w:p>
    <w:p w14:paraId="699C22EF">
      <w:pPr>
        <w:spacing w:line="360" w:lineRule="auto"/>
        <w:ind w:firstLine="482"/>
        <w:rPr>
          <w:rFonts w:hint="eastAsia" w:ascii="宋体" w:hAnsi="宋体" w:cs="宋体"/>
          <w:b/>
          <w:bCs/>
          <w:sz w:val="24"/>
        </w:rPr>
      </w:pPr>
      <w:r>
        <w:rPr>
          <w:rFonts w:hint="eastAsia" w:ascii="宋体" w:hAnsi="宋体" w:cs="宋体"/>
          <w:b/>
          <w:bCs/>
          <w:sz w:val="24"/>
        </w:rPr>
        <w:t>② 频率：45- 65Hz</w:t>
      </w:r>
    </w:p>
    <w:p w14:paraId="25F526AF">
      <w:pPr>
        <w:spacing w:line="360" w:lineRule="auto"/>
        <w:ind w:firstLine="482"/>
        <w:rPr>
          <w:rFonts w:hint="eastAsia" w:ascii="宋体" w:hAnsi="宋体" w:cs="宋体"/>
          <w:b/>
          <w:bCs/>
          <w:sz w:val="24"/>
        </w:rPr>
      </w:pPr>
      <w:r>
        <w:rPr>
          <w:rFonts w:hint="eastAsia" w:ascii="宋体" w:hAnsi="宋体" w:cs="宋体"/>
          <w:b/>
          <w:bCs/>
          <w:sz w:val="24"/>
        </w:rPr>
        <w:t>③ 电压额定值：AC100V.400V</w:t>
      </w:r>
    </w:p>
    <w:p w14:paraId="48D9C4B7">
      <w:pPr>
        <w:spacing w:line="360" w:lineRule="auto"/>
        <w:ind w:firstLine="482"/>
        <w:rPr>
          <w:rFonts w:hint="eastAsia" w:ascii="宋体" w:hAnsi="宋体" w:cs="宋体"/>
          <w:b/>
          <w:bCs/>
          <w:sz w:val="24"/>
        </w:rPr>
      </w:pPr>
      <w:r>
        <w:rPr>
          <w:rFonts w:hint="eastAsia" w:ascii="宋体" w:hAnsi="宋体" w:cs="宋体"/>
          <w:b/>
          <w:bCs/>
          <w:sz w:val="24"/>
        </w:rPr>
        <w:t>④ 电流额定值： AC 1A.5A</w:t>
      </w:r>
    </w:p>
    <w:p w14:paraId="655C82B6">
      <w:pPr>
        <w:spacing w:line="360" w:lineRule="auto"/>
        <w:ind w:firstLine="482"/>
        <w:rPr>
          <w:rFonts w:hint="eastAsia" w:ascii="宋体" w:hAnsi="宋体" w:cs="宋体"/>
          <w:b/>
          <w:bCs/>
          <w:sz w:val="24"/>
        </w:rPr>
      </w:pPr>
      <w:r>
        <w:rPr>
          <w:rFonts w:hint="eastAsia" w:ascii="宋体" w:hAnsi="宋体" w:cs="宋体"/>
          <w:b/>
          <w:bCs/>
          <w:sz w:val="24"/>
        </w:rPr>
        <w:t>⑤ 通讯：RS485接口、Modbus- RTU协议</w:t>
      </w:r>
    </w:p>
    <w:p w14:paraId="290F5EFA">
      <w:pPr>
        <w:spacing w:line="360" w:lineRule="auto"/>
        <w:ind w:firstLine="482"/>
        <w:rPr>
          <w:rFonts w:hint="eastAsia" w:ascii="宋体" w:hAnsi="宋体" w:cs="宋体"/>
          <w:b/>
          <w:bCs/>
          <w:sz w:val="24"/>
        </w:rPr>
      </w:pPr>
      <w:r>
        <w:rPr>
          <w:rFonts w:hint="eastAsia" w:ascii="宋体" w:hAnsi="宋体" w:cs="宋体"/>
          <w:b/>
          <w:bCs/>
          <w:sz w:val="24"/>
        </w:rPr>
        <w:t>⑥ 显示：LED、LCD</w:t>
      </w:r>
    </w:p>
    <w:p w14:paraId="4DBB7503">
      <w:pPr>
        <w:spacing w:line="360" w:lineRule="auto"/>
        <w:ind w:firstLine="482"/>
        <w:rPr>
          <w:rFonts w:hint="eastAsia" w:ascii="宋体" w:hAnsi="宋体" w:cs="宋体"/>
          <w:b/>
          <w:bCs/>
          <w:sz w:val="24"/>
        </w:rPr>
      </w:pPr>
      <w:r>
        <w:rPr>
          <w:rFonts w:hint="eastAsia" w:ascii="宋体" w:hAnsi="宋体" w:cs="宋体"/>
          <w:b/>
          <w:bCs/>
          <w:sz w:val="24"/>
        </w:rPr>
        <w:t>⑦ 开关量输入：2路或4路无源干接点输入方式</w:t>
      </w:r>
    </w:p>
    <w:p w14:paraId="2B84C5EA">
      <w:pPr>
        <w:spacing w:line="360" w:lineRule="auto"/>
        <w:ind w:firstLine="482"/>
        <w:rPr>
          <w:rFonts w:hint="eastAsia" w:ascii="宋体" w:hAnsi="宋体" w:cs="宋体"/>
          <w:b/>
          <w:bCs/>
          <w:sz w:val="24"/>
        </w:rPr>
      </w:pPr>
      <w:r>
        <w:rPr>
          <w:rFonts w:hint="eastAsia" w:ascii="宋体" w:hAnsi="宋体" w:cs="宋体"/>
          <w:b/>
          <w:bCs/>
          <w:sz w:val="24"/>
        </w:rPr>
        <w:t>⑧ 开关量输出：2路继电器常开触点输出</w:t>
      </w:r>
    </w:p>
    <w:p w14:paraId="1FA962F9">
      <w:pPr>
        <w:spacing w:line="360" w:lineRule="auto"/>
        <w:ind w:firstLine="482"/>
        <w:rPr>
          <w:rFonts w:hint="eastAsia" w:ascii="宋体" w:hAnsi="宋体" w:cs="宋体"/>
          <w:b/>
          <w:bCs/>
          <w:sz w:val="24"/>
        </w:rPr>
      </w:pPr>
      <w:r>
        <w:rPr>
          <w:rFonts w:hint="eastAsia" w:ascii="宋体" w:hAnsi="宋体" w:cs="宋体"/>
          <w:b/>
          <w:bCs/>
          <w:sz w:val="24"/>
        </w:rPr>
        <w:t>⑨ 精度等级：频率0.05Hz、无功电能1级、其他0.5级</w:t>
      </w:r>
    </w:p>
    <w:p w14:paraId="4046B071">
      <w:pPr>
        <w:spacing w:line="360" w:lineRule="auto"/>
        <w:ind w:firstLine="482"/>
        <w:rPr>
          <w:rFonts w:hint="eastAsia" w:ascii="宋体" w:hAnsi="宋体" w:cs="宋体"/>
          <w:b/>
          <w:bCs/>
          <w:sz w:val="24"/>
        </w:rPr>
      </w:pPr>
      <w:r>
        <w:rPr>
          <w:rFonts w:hint="eastAsia" w:ascii="宋体" w:hAnsi="宋体" w:cs="宋体"/>
          <w:b/>
          <w:bCs/>
          <w:sz w:val="24"/>
        </w:rPr>
        <w:t>⑩ 安装方式：面板式嵌入式。</w:t>
      </w:r>
    </w:p>
    <w:p w14:paraId="72EBAB8D">
      <w:pPr>
        <w:spacing w:line="360" w:lineRule="auto"/>
        <w:ind w:firstLine="482"/>
        <w:rPr>
          <w:rFonts w:hint="eastAsia" w:ascii="宋体" w:hAnsi="宋体" w:cs="宋体"/>
          <w:b/>
          <w:bCs/>
          <w:sz w:val="24"/>
        </w:rPr>
      </w:pPr>
      <w:r>
        <w:rPr>
          <w:rFonts w:hint="eastAsia" w:ascii="宋体" w:hAnsi="宋体" w:cs="宋体"/>
          <w:b/>
          <w:bCs/>
          <w:sz w:val="24"/>
        </w:rPr>
        <w:t>8.三相四线电子式电能表</w:t>
      </w:r>
    </w:p>
    <w:p w14:paraId="56212B85">
      <w:pPr>
        <w:spacing w:line="360" w:lineRule="auto"/>
        <w:ind w:firstLine="482"/>
        <w:rPr>
          <w:rFonts w:hint="eastAsia" w:ascii="宋体" w:hAnsi="宋体" w:cs="宋体"/>
          <w:b/>
          <w:bCs/>
          <w:sz w:val="24"/>
        </w:rPr>
      </w:pPr>
      <w:r>
        <w:rPr>
          <w:rFonts w:hint="eastAsia" w:ascii="宋体" w:hAnsi="宋体" w:cs="宋体"/>
          <w:b/>
          <w:bCs/>
          <w:sz w:val="24"/>
        </w:rPr>
        <w:t>（1）性能指标：</w:t>
      </w:r>
    </w:p>
    <w:p w14:paraId="518F6B5A">
      <w:pPr>
        <w:spacing w:line="360" w:lineRule="auto"/>
        <w:ind w:firstLine="482"/>
        <w:rPr>
          <w:rFonts w:hint="eastAsia" w:ascii="宋体" w:hAnsi="宋体" w:cs="宋体"/>
          <w:b/>
          <w:bCs/>
          <w:sz w:val="24"/>
        </w:rPr>
      </w:pPr>
      <w:r>
        <w:rPr>
          <w:rFonts w:hint="eastAsia" w:ascii="宋体" w:hAnsi="宋体" w:cs="宋体"/>
          <w:b/>
          <w:bCs/>
          <w:sz w:val="24"/>
        </w:rPr>
        <w:t>① 准精度等级：有功0.5级，无功2.0级</w:t>
      </w:r>
    </w:p>
    <w:p w14:paraId="061633F7">
      <w:pPr>
        <w:spacing w:line="360" w:lineRule="auto"/>
        <w:ind w:firstLine="482"/>
        <w:rPr>
          <w:rFonts w:hint="eastAsia" w:ascii="宋体" w:hAnsi="宋体" w:cs="宋体"/>
          <w:b/>
          <w:bCs/>
          <w:sz w:val="24"/>
        </w:rPr>
      </w:pPr>
      <w:r>
        <w:rPr>
          <w:rFonts w:hint="eastAsia" w:ascii="宋体" w:hAnsi="宋体" w:cs="宋体"/>
          <w:b/>
          <w:bCs/>
          <w:sz w:val="24"/>
        </w:rPr>
        <w:t>② 功    耗：≤1W,10VA</w:t>
      </w:r>
    </w:p>
    <w:p w14:paraId="1CD43D29">
      <w:pPr>
        <w:spacing w:line="360" w:lineRule="auto"/>
        <w:ind w:firstLine="482"/>
        <w:rPr>
          <w:rFonts w:hint="eastAsia" w:ascii="宋体" w:hAnsi="宋体" w:cs="宋体"/>
          <w:b/>
          <w:bCs/>
          <w:sz w:val="24"/>
        </w:rPr>
      </w:pPr>
      <w:r>
        <w:rPr>
          <w:rFonts w:hint="eastAsia" w:ascii="宋体" w:hAnsi="宋体" w:cs="宋体"/>
          <w:b/>
          <w:bCs/>
          <w:sz w:val="24"/>
        </w:rPr>
        <w:t>③ 额定电压：3×380/220V</w:t>
      </w:r>
    </w:p>
    <w:p w14:paraId="153B0ABD">
      <w:pPr>
        <w:spacing w:line="360" w:lineRule="auto"/>
        <w:ind w:firstLine="482"/>
        <w:rPr>
          <w:rFonts w:hint="eastAsia" w:ascii="宋体" w:hAnsi="宋体" w:cs="宋体"/>
          <w:b/>
          <w:bCs/>
          <w:sz w:val="24"/>
        </w:rPr>
      </w:pPr>
      <w:r>
        <w:rPr>
          <w:rFonts w:hint="eastAsia" w:ascii="宋体" w:hAnsi="宋体" w:cs="宋体"/>
          <w:b/>
          <w:bCs/>
          <w:sz w:val="24"/>
        </w:rPr>
        <w:t>④ 额定电流：1.5(6)</w:t>
      </w:r>
    </w:p>
    <w:p w14:paraId="5E057B5A">
      <w:pPr>
        <w:spacing w:line="360" w:lineRule="auto"/>
        <w:ind w:firstLine="482"/>
        <w:rPr>
          <w:rFonts w:hint="eastAsia" w:ascii="宋体" w:hAnsi="宋体" w:cs="宋体"/>
          <w:b/>
          <w:bCs/>
          <w:sz w:val="24"/>
        </w:rPr>
      </w:pPr>
      <w:r>
        <w:rPr>
          <w:rFonts w:hint="eastAsia" w:ascii="宋体" w:hAnsi="宋体" w:cs="宋体"/>
          <w:b/>
          <w:bCs/>
          <w:sz w:val="24"/>
        </w:rPr>
        <w:t>⑤ 安装方式：导轨式。</w:t>
      </w:r>
    </w:p>
    <w:p w14:paraId="6759129D"/>
    <w:p w14:paraId="27CB428E">
      <w:pPr>
        <w:spacing w:line="360" w:lineRule="auto"/>
        <w:ind w:firstLine="482"/>
        <w:rPr>
          <w:rFonts w:hint="eastAsia" w:ascii="宋体" w:hAnsi="宋体" w:cs="宋体"/>
          <w:b/>
          <w:bCs/>
          <w:sz w:val="24"/>
        </w:rPr>
      </w:pPr>
      <w:r>
        <w:rPr>
          <w:rFonts w:hint="eastAsia" w:ascii="宋体" w:hAnsi="宋体" w:cs="宋体"/>
          <w:b/>
          <w:bCs/>
          <w:sz w:val="24"/>
        </w:rPr>
        <w:t>9.壁挂式分体空调控制器</w:t>
      </w:r>
    </w:p>
    <w:p w14:paraId="3BC519A1">
      <w:pPr>
        <w:spacing w:line="360" w:lineRule="auto"/>
        <w:ind w:firstLine="482"/>
        <w:rPr>
          <w:rFonts w:hint="eastAsia" w:ascii="宋体" w:hAnsi="宋体" w:cs="宋体"/>
          <w:b/>
          <w:bCs/>
          <w:sz w:val="24"/>
        </w:rPr>
      </w:pPr>
      <w:r>
        <w:rPr>
          <w:rFonts w:hint="eastAsia" w:ascii="宋体" w:hAnsi="宋体" w:cs="宋体"/>
          <w:b/>
          <w:bCs/>
          <w:sz w:val="24"/>
        </w:rPr>
        <w:t>额定电压：220VAC</w:t>
      </w:r>
    </w:p>
    <w:p w14:paraId="1374F960">
      <w:pPr>
        <w:spacing w:line="360" w:lineRule="auto"/>
        <w:ind w:firstLine="482"/>
        <w:rPr>
          <w:rFonts w:hint="eastAsia" w:ascii="宋体" w:hAnsi="宋体" w:cs="宋体"/>
          <w:b/>
          <w:bCs/>
          <w:sz w:val="24"/>
        </w:rPr>
      </w:pPr>
      <w:r>
        <w:rPr>
          <w:rFonts w:hint="eastAsia" w:ascii="宋体" w:hAnsi="宋体" w:cs="宋体"/>
          <w:b/>
          <w:bCs/>
          <w:sz w:val="24"/>
        </w:rPr>
        <w:t>额定电流：5(16)A</w:t>
      </w:r>
    </w:p>
    <w:p w14:paraId="098FA115">
      <w:pPr>
        <w:spacing w:line="360" w:lineRule="auto"/>
        <w:ind w:firstLine="482"/>
        <w:rPr>
          <w:rFonts w:hint="eastAsia" w:ascii="宋体" w:hAnsi="宋体" w:cs="宋体"/>
          <w:b/>
          <w:bCs/>
          <w:sz w:val="24"/>
        </w:rPr>
      </w:pPr>
      <w:r>
        <w:rPr>
          <w:rFonts w:hint="eastAsia" w:ascii="宋体" w:hAnsi="宋体" w:cs="宋体"/>
          <w:b/>
          <w:bCs/>
          <w:sz w:val="24"/>
        </w:rPr>
        <w:t>上行通信：4G(CAT1)</w:t>
      </w:r>
    </w:p>
    <w:p w14:paraId="662367DC">
      <w:pPr>
        <w:spacing w:line="360" w:lineRule="auto"/>
        <w:ind w:firstLine="482"/>
        <w:rPr>
          <w:rFonts w:hint="eastAsia" w:ascii="宋体" w:hAnsi="宋体" w:cs="宋体"/>
          <w:b/>
          <w:bCs/>
          <w:sz w:val="24"/>
        </w:rPr>
      </w:pPr>
      <w:r>
        <w:rPr>
          <w:rFonts w:hint="eastAsia" w:ascii="宋体" w:hAnsi="宋体" w:cs="宋体"/>
          <w:b/>
          <w:bCs/>
          <w:sz w:val="24"/>
        </w:rPr>
        <w:t>计量精度：2级</w:t>
      </w:r>
    </w:p>
    <w:p w14:paraId="77545CD4">
      <w:pPr>
        <w:spacing w:line="360" w:lineRule="auto"/>
        <w:ind w:firstLine="482"/>
        <w:rPr>
          <w:rFonts w:hint="eastAsia" w:ascii="宋体" w:hAnsi="宋体" w:cs="宋体"/>
          <w:b/>
          <w:bCs/>
          <w:sz w:val="24"/>
        </w:rPr>
      </w:pPr>
      <w:r>
        <w:rPr>
          <w:rFonts w:hint="eastAsia" w:ascii="宋体" w:hAnsi="宋体" w:cs="宋体"/>
          <w:b/>
          <w:bCs/>
          <w:sz w:val="24"/>
        </w:rPr>
        <w:t>工作温度：-10~60°C</w:t>
      </w:r>
    </w:p>
    <w:p w14:paraId="7A7A1F28">
      <w:pPr>
        <w:spacing w:line="360" w:lineRule="auto"/>
        <w:ind w:firstLine="482"/>
        <w:rPr>
          <w:rFonts w:hint="eastAsia" w:ascii="宋体" w:hAnsi="宋体" w:cs="宋体"/>
          <w:b/>
          <w:bCs/>
          <w:sz w:val="24"/>
        </w:rPr>
      </w:pPr>
      <w:r>
        <w:rPr>
          <w:rFonts w:hint="eastAsia" w:ascii="宋体" w:hAnsi="宋体" w:cs="宋体"/>
          <w:b/>
          <w:bCs/>
          <w:sz w:val="24"/>
        </w:rPr>
        <w:t>主要功能：负荷监测、集中管控</w:t>
      </w:r>
    </w:p>
    <w:p w14:paraId="3A0A4255">
      <w:pPr>
        <w:spacing w:line="360" w:lineRule="auto"/>
        <w:ind w:firstLine="482"/>
        <w:rPr>
          <w:rFonts w:hint="eastAsia" w:ascii="宋体" w:hAnsi="宋体" w:cs="宋体"/>
          <w:b/>
          <w:bCs/>
          <w:sz w:val="24"/>
        </w:rPr>
      </w:pPr>
      <w:r>
        <w:rPr>
          <w:rFonts w:hint="eastAsia" w:ascii="宋体" w:hAnsi="宋体" w:cs="宋体"/>
          <w:b/>
          <w:bCs/>
          <w:sz w:val="24"/>
        </w:rPr>
        <w:t>10.柜式分体空调控制器</w:t>
      </w:r>
    </w:p>
    <w:p w14:paraId="369F9A03">
      <w:pPr>
        <w:spacing w:line="360" w:lineRule="auto"/>
        <w:ind w:firstLine="482"/>
        <w:rPr>
          <w:rFonts w:hint="eastAsia" w:ascii="宋体" w:hAnsi="宋体" w:cs="宋体"/>
          <w:b/>
          <w:bCs/>
          <w:sz w:val="24"/>
        </w:rPr>
      </w:pPr>
      <w:r>
        <w:rPr>
          <w:rFonts w:hint="eastAsia" w:ascii="宋体" w:hAnsi="宋体" w:cs="宋体"/>
          <w:b/>
          <w:bCs/>
          <w:sz w:val="24"/>
        </w:rPr>
        <w:t>额定电压：220VAC(380VAC)</w:t>
      </w:r>
    </w:p>
    <w:p w14:paraId="23E4247B">
      <w:pPr>
        <w:spacing w:line="360" w:lineRule="auto"/>
        <w:ind w:firstLine="482"/>
        <w:rPr>
          <w:rFonts w:hint="eastAsia" w:ascii="宋体" w:hAnsi="宋体" w:cs="宋体"/>
          <w:b/>
          <w:bCs/>
          <w:sz w:val="24"/>
        </w:rPr>
      </w:pPr>
      <w:r>
        <w:rPr>
          <w:rFonts w:hint="eastAsia" w:ascii="宋体" w:hAnsi="宋体" w:cs="宋体"/>
          <w:b/>
          <w:bCs/>
          <w:sz w:val="24"/>
        </w:rPr>
        <w:t>额定电流：5(60)A</w:t>
      </w:r>
    </w:p>
    <w:p w14:paraId="02584FCA">
      <w:pPr>
        <w:spacing w:line="360" w:lineRule="auto"/>
        <w:ind w:firstLine="482"/>
        <w:rPr>
          <w:rFonts w:hint="eastAsia" w:ascii="宋体" w:hAnsi="宋体" w:cs="宋体"/>
          <w:b/>
          <w:bCs/>
          <w:sz w:val="24"/>
        </w:rPr>
      </w:pPr>
      <w:r>
        <w:rPr>
          <w:rFonts w:hint="eastAsia" w:ascii="宋体" w:hAnsi="宋体" w:cs="宋体"/>
          <w:b/>
          <w:bCs/>
          <w:sz w:val="24"/>
        </w:rPr>
        <w:t>上行通信：4G(CAT1)</w:t>
      </w:r>
    </w:p>
    <w:p w14:paraId="10F9A857">
      <w:pPr>
        <w:spacing w:line="360" w:lineRule="auto"/>
        <w:ind w:firstLine="482"/>
        <w:rPr>
          <w:rFonts w:hint="eastAsia" w:ascii="宋体" w:hAnsi="宋体" w:cs="宋体"/>
          <w:b/>
          <w:bCs/>
          <w:sz w:val="24"/>
        </w:rPr>
      </w:pPr>
      <w:r>
        <w:rPr>
          <w:rFonts w:hint="eastAsia" w:ascii="宋体" w:hAnsi="宋体" w:cs="宋体"/>
          <w:b/>
          <w:bCs/>
          <w:sz w:val="24"/>
        </w:rPr>
        <w:t>计量精度：2级</w:t>
      </w:r>
    </w:p>
    <w:p w14:paraId="54BBCEAC">
      <w:pPr>
        <w:spacing w:line="360" w:lineRule="auto"/>
        <w:ind w:firstLine="482"/>
        <w:rPr>
          <w:rFonts w:hint="eastAsia" w:ascii="宋体" w:hAnsi="宋体" w:cs="宋体"/>
          <w:b/>
          <w:bCs/>
          <w:sz w:val="24"/>
        </w:rPr>
      </w:pPr>
      <w:r>
        <w:rPr>
          <w:rFonts w:hint="eastAsia" w:ascii="宋体" w:hAnsi="宋体" w:cs="宋体"/>
          <w:b/>
          <w:bCs/>
          <w:sz w:val="24"/>
        </w:rPr>
        <w:t>工作温度：-10~60°C</w:t>
      </w:r>
    </w:p>
    <w:p w14:paraId="4C58C4FC">
      <w:pPr>
        <w:spacing w:line="360" w:lineRule="auto"/>
        <w:ind w:firstLine="482"/>
        <w:rPr>
          <w:rFonts w:hint="eastAsia" w:ascii="宋体" w:hAnsi="宋体" w:cs="宋体"/>
          <w:b/>
          <w:bCs/>
          <w:sz w:val="24"/>
        </w:rPr>
      </w:pPr>
      <w:r>
        <w:rPr>
          <w:rFonts w:hint="eastAsia" w:ascii="宋体" w:hAnsi="宋体" w:cs="宋体"/>
          <w:b/>
          <w:bCs/>
          <w:sz w:val="24"/>
        </w:rPr>
        <w:t>主要功能：负荷监测、集中管控</w:t>
      </w:r>
    </w:p>
    <w:p w14:paraId="489BA8B2">
      <w:pPr>
        <w:rPr>
          <w:rFonts w:hint="eastAsia"/>
        </w:rPr>
      </w:pPr>
    </w:p>
    <w:p w14:paraId="56609A18">
      <w:pPr>
        <w:spacing w:line="360" w:lineRule="auto"/>
        <w:ind w:firstLine="482"/>
        <w:rPr>
          <w:rFonts w:hint="eastAsia" w:ascii="宋体" w:hAnsi="宋体" w:cs="宋体"/>
          <w:b/>
          <w:bCs/>
          <w:sz w:val="24"/>
        </w:rPr>
      </w:pPr>
      <w:r>
        <w:rPr>
          <w:rFonts w:hint="eastAsia" w:ascii="宋体" w:hAnsi="宋体" w:cs="宋体"/>
          <w:b/>
          <w:bCs/>
          <w:sz w:val="24"/>
        </w:rPr>
        <w:t>11. 风冷热泵控制箱</w:t>
      </w:r>
    </w:p>
    <w:tbl>
      <w:tblPr>
        <w:tblStyle w:val="14"/>
        <w:tblW w:w="9137" w:type="dxa"/>
        <w:jc w:val="center"/>
        <w:shd w:val="clear" w:color="auto" w:fill="auto"/>
        <w:tblLayout w:type="autofit"/>
        <w:tblCellMar>
          <w:top w:w="0" w:type="dxa"/>
          <w:left w:w="108" w:type="dxa"/>
          <w:bottom w:w="0" w:type="dxa"/>
          <w:right w:w="108" w:type="dxa"/>
        </w:tblCellMar>
      </w:tblPr>
      <w:tblGrid>
        <w:gridCol w:w="1168"/>
        <w:gridCol w:w="2051"/>
        <w:gridCol w:w="5918"/>
      </w:tblGrid>
      <w:tr w14:paraId="736B6AE2">
        <w:tblPrEx>
          <w:shd w:val="clear" w:color="auto" w:fill="auto"/>
          <w:tblCellMar>
            <w:top w:w="0" w:type="dxa"/>
            <w:left w:w="108" w:type="dxa"/>
            <w:bottom w:w="0" w:type="dxa"/>
            <w:right w:w="108" w:type="dxa"/>
          </w:tblCellMar>
        </w:tblPrEx>
        <w:trPr>
          <w:trHeight w:val="397" w:hRule="atLeast"/>
          <w:jc w:val="center"/>
        </w:trPr>
        <w:tc>
          <w:tcPr>
            <w:tcW w:w="32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74CC5">
            <w:pPr>
              <w:pStyle w:val="3"/>
              <w:rPr>
                <w:b/>
                <w:bCs/>
              </w:rPr>
            </w:pPr>
            <w:r>
              <w:rPr>
                <w:rFonts w:hint="eastAsia"/>
                <w:b/>
                <w:bCs/>
              </w:rPr>
              <w:t>技术参数</w:t>
            </w:r>
          </w:p>
        </w:tc>
        <w:tc>
          <w:tcPr>
            <w:tcW w:w="5918" w:type="dxa"/>
            <w:tcBorders>
              <w:top w:val="single" w:color="000000" w:sz="4" w:space="0"/>
              <w:left w:val="nil"/>
              <w:bottom w:val="single" w:color="000000" w:sz="4" w:space="0"/>
              <w:right w:val="single" w:color="000000" w:sz="4" w:space="0"/>
            </w:tcBorders>
            <w:shd w:val="clear" w:color="auto" w:fill="auto"/>
            <w:vAlign w:val="center"/>
          </w:tcPr>
          <w:p w14:paraId="4ED8EF91">
            <w:pPr>
              <w:pStyle w:val="3"/>
              <w:rPr>
                <w:b/>
                <w:bCs/>
              </w:rPr>
            </w:pPr>
            <w:r>
              <w:rPr>
                <w:rFonts w:hint="eastAsia"/>
                <w:b/>
                <w:bCs/>
              </w:rPr>
              <w:t>指标</w:t>
            </w:r>
          </w:p>
        </w:tc>
      </w:tr>
      <w:tr w14:paraId="3CB912E8">
        <w:tblPrEx>
          <w:shd w:val="clear" w:color="auto" w:fill="auto"/>
          <w:tblCellMar>
            <w:top w:w="0" w:type="dxa"/>
            <w:left w:w="108" w:type="dxa"/>
            <w:bottom w:w="0" w:type="dxa"/>
            <w:right w:w="108" w:type="dxa"/>
          </w:tblCellMar>
        </w:tblPrEx>
        <w:trPr>
          <w:trHeight w:val="397" w:hRule="atLeast"/>
          <w:jc w:val="center"/>
        </w:trPr>
        <w:tc>
          <w:tcPr>
            <w:tcW w:w="1168" w:type="dxa"/>
            <w:vMerge w:val="restart"/>
            <w:tcBorders>
              <w:top w:val="nil"/>
              <w:left w:val="single" w:color="000000" w:sz="4" w:space="0"/>
              <w:bottom w:val="single" w:color="000000" w:sz="4" w:space="0"/>
              <w:right w:val="single" w:color="000000" w:sz="4" w:space="0"/>
            </w:tcBorders>
            <w:shd w:val="clear" w:color="auto" w:fill="auto"/>
            <w:vAlign w:val="center"/>
          </w:tcPr>
          <w:p w14:paraId="7AF05ECD">
            <w:pPr>
              <w:pStyle w:val="3"/>
            </w:pPr>
            <w:r>
              <w:rPr>
                <w:rFonts w:hint="eastAsia"/>
              </w:rPr>
              <w:t>接口</w:t>
            </w:r>
          </w:p>
        </w:tc>
        <w:tc>
          <w:tcPr>
            <w:tcW w:w="2051" w:type="dxa"/>
            <w:tcBorders>
              <w:top w:val="nil"/>
              <w:left w:val="nil"/>
              <w:bottom w:val="single" w:color="000000" w:sz="4" w:space="0"/>
              <w:right w:val="single" w:color="000000" w:sz="4" w:space="0"/>
            </w:tcBorders>
            <w:shd w:val="clear" w:color="auto" w:fill="auto"/>
            <w:vAlign w:val="center"/>
          </w:tcPr>
          <w:p w14:paraId="7271E4AB">
            <w:pPr>
              <w:pStyle w:val="3"/>
            </w:pPr>
            <w:r>
              <w:rPr>
                <w:rFonts w:hint="eastAsia"/>
              </w:rPr>
              <w:t>网络接口</w:t>
            </w:r>
          </w:p>
        </w:tc>
        <w:tc>
          <w:tcPr>
            <w:tcW w:w="5918" w:type="dxa"/>
            <w:tcBorders>
              <w:top w:val="nil"/>
              <w:left w:val="nil"/>
              <w:bottom w:val="single" w:color="000000" w:sz="4" w:space="0"/>
              <w:right w:val="single" w:color="000000" w:sz="4" w:space="0"/>
            </w:tcBorders>
            <w:shd w:val="clear" w:color="auto" w:fill="auto"/>
            <w:vAlign w:val="center"/>
          </w:tcPr>
          <w:p w14:paraId="165E5A40">
            <w:pPr>
              <w:pStyle w:val="3"/>
            </w:pPr>
            <w:r>
              <w:rPr>
                <w:rFonts w:hint="eastAsia"/>
              </w:rPr>
              <w:t>支持ProfiNet/MODBUS-TCP</w:t>
            </w:r>
          </w:p>
        </w:tc>
      </w:tr>
      <w:tr w14:paraId="2F427DC6">
        <w:tblPrEx>
          <w:shd w:val="clear" w:color="auto" w:fill="auto"/>
          <w:tblCellMar>
            <w:top w:w="0" w:type="dxa"/>
            <w:left w:w="108" w:type="dxa"/>
            <w:bottom w:w="0" w:type="dxa"/>
            <w:right w:w="108" w:type="dxa"/>
          </w:tblCellMar>
        </w:tblPrEx>
        <w:trPr>
          <w:trHeight w:val="397"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231716F7">
            <w:pPr>
              <w:pStyle w:val="3"/>
            </w:pPr>
          </w:p>
        </w:tc>
        <w:tc>
          <w:tcPr>
            <w:tcW w:w="2051" w:type="dxa"/>
            <w:tcBorders>
              <w:top w:val="nil"/>
              <w:left w:val="nil"/>
              <w:bottom w:val="single" w:color="000000" w:sz="4" w:space="0"/>
              <w:right w:val="single" w:color="000000" w:sz="4" w:space="0"/>
            </w:tcBorders>
            <w:shd w:val="clear" w:color="auto" w:fill="auto"/>
            <w:vAlign w:val="center"/>
          </w:tcPr>
          <w:p w14:paraId="47D8BC8D">
            <w:pPr>
              <w:pStyle w:val="3"/>
            </w:pPr>
            <w:r>
              <w:rPr>
                <w:rFonts w:hint="eastAsia"/>
              </w:rPr>
              <w:t>RS485接口</w:t>
            </w:r>
          </w:p>
        </w:tc>
        <w:tc>
          <w:tcPr>
            <w:tcW w:w="5918" w:type="dxa"/>
            <w:tcBorders>
              <w:top w:val="nil"/>
              <w:left w:val="nil"/>
              <w:bottom w:val="single" w:color="000000" w:sz="4" w:space="0"/>
              <w:right w:val="single" w:color="000000" w:sz="4" w:space="0"/>
            </w:tcBorders>
            <w:shd w:val="clear" w:color="auto" w:fill="auto"/>
            <w:vAlign w:val="center"/>
          </w:tcPr>
          <w:p w14:paraId="60C63740">
            <w:pPr>
              <w:pStyle w:val="3"/>
            </w:pPr>
            <w:r>
              <w:rPr>
                <w:rFonts w:hint="eastAsia"/>
              </w:rPr>
              <w:t>1主1从，主站最多可带32个仪表</w:t>
            </w:r>
          </w:p>
        </w:tc>
      </w:tr>
      <w:tr w14:paraId="41B2598F">
        <w:tblPrEx>
          <w:shd w:val="clear" w:color="auto" w:fill="auto"/>
          <w:tblCellMar>
            <w:top w:w="0" w:type="dxa"/>
            <w:left w:w="108" w:type="dxa"/>
            <w:bottom w:w="0" w:type="dxa"/>
            <w:right w:w="108" w:type="dxa"/>
          </w:tblCellMar>
        </w:tblPrEx>
        <w:trPr>
          <w:trHeight w:val="397"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24DFE182">
            <w:pPr>
              <w:pStyle w:val="3"/>
            </w:pPr>
          </w:p>
        </w:tc>
        <w:tc>
          <w:tcPr>
            <w:tcW w:w="2051" w:type="dxa"/>
            <w:tcBorders>
              <w:top w:val="nil"/>
              <w:left w:val="nil"/>
              <w:bottom w:val="single" w:color="000000" w:sz="4" w:space="0"/>
              <w:right w:val="single" w:color="000000" w:sz="4" w:space="0"/>
            </w:tcBorders>
            <w:shd w:val="clear" w:color="auto" w:fill="auto"/>
            <w:vAlign w:val="center"/>
          </w:tcPr>
          <w:p w14:paraId="3BDB0421">
            <w:pPr>
              <w:pStyle w:val="3"/>
            </w:pPr>
            <w:r>
              <w:rPr>
                <w:rFonts w:hint="eastAsia"/>
              </w:rPr>
              <w:t>传输</w:t>
            </w:r>
          </w:p>
        </w:tc>
        <w:tc>
          <w:tcPr>
            <w:tcW w:w="5918" w:type="dxa"/>
            <w:tcBorders>
              <w:top w:val="nil"/>
              <w:left w:val="nil"/>
              <w:bottom w:val="single" w:color="000000" w:sz="4" w:space="0"/>
              <w:right w:val="single" w:color="000000" w:sz="4" w:space="0"/>
            </w:tcBorders>
            <w:shd w:val="clear" w:color="auto" w:fill="auto"/>
            <w:vAlign w:val="center"/>
          </w:tcPr>
          <w:p w14:paraId="5C3A3FE7">
            <w:pPr>
              <w:pStyle w:val="3"/>
            </w:pPr>
            <w:r>
              <w:rPr>
                <w:rFonts w:hint="eastAsia"/>
              </w:rPr>
              <w:t>接收/输出的RS485信号、MODBUS-RTU标准信号，ProfiNet信号，支持4G，上传云平台</w:t>
            </w:r>
          </w:p>
        </w:tc>
      </w:tr>
      <w:tr w14:paraId="04A9DF0D">
        <w:tblPrEx>
          <w:shd w:val="clear" w:color="auto" w:fill="auto"/>
          <w:tblCellMar>
            <w:top w:w="0" w:type="dxa"/>
            <w:left w:w="108" w:type="dxa"/>
            <w:bottom w:w="0" w:type="dxa"/>
            <w:right w:w="108" w:type="dxa"/>
          </w:tblCellMar>
        </w:tblPrEx>
        <w:trPr>
          <w:trHeight w:val="397" w:hRule="atLeast"/>
          <w:jc w:val="center"/>
        </w:trPr>
        <w:tc>
          <w:tcPr>
            <w:tcW w:w="1168" w:type="dxa"/>
            <w:vMerge w:val="restart"/>
            <w:tcBorders>
              <w:top w:val="nil"/>
              <w:left w:val="single" w:color="000000" w:sz="4" w:space="0"/>
              <w:bottom w:val="single" w:color="000000" w:sz="4" w:space="0"/>
              <w:right w:val="single" w:color="000000" w:sz="4" w:space="0"/>
            </w:tcBorders>
            <w:shd w:val="clear" w:color="auto" w:fill="auto"/>
            <w:vAlign w:val="center"/>
          </w:tcPr>
          <w:p w14:paraId="72229837">
            <w:pPr>
              <w:pStyle w:val="3"/>
            </w:pPr>
            <w:r>
              <w:rPr>
                <w:rFonts w:hint="eastAsia"/>
              </w:rPr>
              <w:t>电压</w:t>
            </w:r>
          </w:p>
        </w:tc>
        <w:tc>
          <w:tcPr>
            <w:tcW w:w="2051" w:type="dxa"/>
            <w:tcBorders>
              <w:top w:val="nil"/>
              <w:left w:val="nil"/>
              <w:bottom w:val="single" w:color="000000" w:sz="4" w:space="0"/>
              <w:right w:val="single" w:color="000000" w:sz="4" w:space="0"/>
            </w:tcBorders>
            <w:shd w:val="clear" w:color="auto" w:fill="auto"/>
            <w:vAlign w:val="center"/>
          </w:tcPr>
          <w:p w14:paraId="34366AF2">
            <w:pPr>
              <w:pStyle w:val="3"/>
            </w:pPr>
            <w:r>
              <w:rPr>
                <w:rFonts w:hint="eastAsia"/>
              </w:rPr>
              <w:t>额定值</w:t>
            </w:r>
          </w:p>
        </w:tc>
        <w:tc>
          <w:tcPr>
            <w:tcW w:w="5918" w:type="dxa"/>
            <w:tcBorders>
              <w:top w:val="nil"/>
              <w:left w:val="nil"/>
              <w:bottom w:val="single" w:color="000000" w:sz="4" w:space="0"/>
              <w:right w:val="single" w:color="000000" w:sz="4" w:space="0"/>
            </w:tcBorders>
            <w:shd w:val="clear" w:color="auto" w:fill="auto"/>
            <w:vAlign w:val="center"/>
          </w:tcPr>
          <w:p w14:paraId="26B18E39">
            <w:pPr>
              <w:pStyle w:val="3"/>
            </w:pPr>
            <w:r>
              <w:rPr>
                <w:rFonts w:hint="eastAsia"/>
              </w:rPr>
              <w:t>AC  220V</w:t>
            </w:r>
          </w:p>
        </w:tc>
      </w:tr>
      <w:tr w14:paraId="09D36E94">
        <w:tblPrEx>
          <w:shd w:val="clear" w:color="auto" w:fill="auto"/>
          <w:tblCellMar>
            <w:top w:w="0" w:type="dxa"/>
            <w:left w:w="108" w:type="dxa"/>
            <w:bottom w:w="0" w:type="dxa"/>
            <w:right w:w="108" w:type="dxa"/>
          </w:tblCellMar>
        </w:tblPrEx>
        <w:trPr>
          <w:trHeight w:val="397"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03DEADFF">
            <w:pPr>
              <w:pStyle w:val="3"/>
            </w:pPr>
          </w:p>
        </w:tc>
        <w:tc>
          <w:tcPr>
            <w:tcW w:w="2051" w:type="dxa"/>
            <w:tcBorders>
              <w:top w:val="nil"/>
              <w:left w:val="nil"/>
              <w:bottom w:val="single" w:color="000000" w:sz="4" w:space="0"/>
              <w:right w:val="single" w:color="000000" w:sz="4" w:space="0"/>
            </w:tcBorders>
            <w:shd w:val="clear" w:color="auto" w:fill="auto"/>
            <w:vAlign w:val="center"/>
          </w:tcPr>
          <w:p w14:paraId="10C5D2ED">
            <w:pPr>
              <w:pStyle w:val="3"/>
            </w:pPr>
            <w:r>
              <w:rPr>
                <w:rFonts w:hint="eastAsia"/>
              </w:rPr>
              <w:t>功耗</w:t>
            </w:r>
          </w:p>
        </w:tc>
        <w:tc>
          <w:tcPr>
            <w:tcW w:w="5918" w:type="dxa"/>
            <w:tcBorders>
              <w:top w:val="nil"/>
              <w:left w:val="nil"/>
              <w:bottom w:val="single" w:color="000000" w:sz="4" w:space="0"/>
              <w:right w:val="single" w:color="000000" w:sz="4" w:space="0"/>
            </w:tcBorders>
            <w:shd w:val="clear" w:color="auto" w:fill="auto"/>
            <w:vAlign w:val="center"/>
          </w:tcPr>
          <w:p w14:paraId="103985EC">
            <w:pPr>
              <w:pStyle w:val="3"/>
            </w:pPr>
            <w:r>
              <w:rPr>
                <w:rFonts w:hint="eastAsia"/>
              </w:rPr>
              <w:t>﹤1000W</w:t>
            </w:r>
          </w:p>
        </w:tc>
      </w:tr>
      <w:tr w14:paraId="69D606AA">
        <w:tblPrEx>
          <w:shd w:val="clear" w:color="auto" w:fill="auto"/>
          <w:tblCellMar>
            <w:top w:w="0" w:type="dxa"/>
            <w:left w:w="108" w:type="dxa"/>
            <w:bottom w:w="0" w:type="dxa"/>
            <w:right w:w="108" w:type="dxa"/>
          </w:tblCellMar>
        </w:tblPrEx>
        <w:trPr>
          <w:trHeight w:val="397"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0F45CDF4">
            <w:pPr>
              <w:pStyle w:val="3"/>
            </w:pPr>
          </w:p>
        </w:tc>
        <w:tc>
          <w:tcPr>
            <w:tcW w:w="2051" w:type="dxa"/>
            <w:tcBorders>
              <w:top w:val="nil"/>
              <w:left w:val="nil"/>
              <w:bottom w:val="single" w:color="000000" w:sz="4" w:space="0"/>
              <w:right w:val="single" w:color="000000" w:sz="4" w:space="0"/>
            </w:tcBorders>
            <w:shd w:val="clear" w:color="auto" w:fill="auto"/>
            <w:vAlign w:val="center"/>
          </w:tcPr>
          <w:p w14:paraId="03FAC73C">
            <w:pPr>
              <w:pStyle w:val="3"/>
            </w:pPr>
            <w:r>
              <w:rPr>
                <w:rFonts w:hint="eastAsia"/>
              </w:rPr>
              <w:t>频率</w:t>
            </w:r>
          </w:p>
        </w:tc>
        <w:tc>
          <w:tcPr>
            <w:tcW w:w="5918" w:type="dxa"/>
            <w:tcBorders>
              <w:top w:val="nil"/>
              <w:left w:val="nil"/>
              <w:bottom w:val="single" w:color="000000" w:sz="4" w:space="0"/>
              <w:right w:val="single" w:color="000000" w:sz="4" w:space="0"/>
            </w:tcBorders>
            <w:shd w:val="clear" w:color="auto" w:fill="auto"/>
            <w:vAlign w:val="center"/>
          </w:tcPr>
          <w:p w14:paraId="46BA081C">
            <w:pPr>
              <w:pStyle w:val="3"/>
            </w:pPr>
            <w:r>
              <w:rPr>
                <w:rFonts w:hint="eastAsia"/>
              </w:rPr>
              <w:t>50Hz</w:t>
            </w:r>
          </w:p>
        </w:tc>
      </w:tr>
      <w:tr w14:paraId="597F3507">
        <w:tblPrEx>
          <w:shd w:val="clear" w:color="auto" w:fill="auto"/>
          <w:tblCellMar>
            <w:top w:w="0" w:type="dxa"/>
            <w:left w:w="108" w:type="dxa"/>
            <w:bottom w:w="0" w:type="dxa"/>
            <w:right w:w="108" w:type="dxa"/>
          </w:tblCellMar>
        </w:tblPrEx>
        <w:trPr>
          <w:trHeight w:val="397" w:hRule="atLeast"/>
          <w:jc w:val="center"/>
        </w:trPr>
        <w:tc>
          <w:tcPr>
            <w:tcW w:w="1168" w:type="dxa"/>
            <w:vMerge w:val="restart"/>
            <w:tcBorders>
              <w:top w:val="nil"/>
              <w:left w:val="single" w:color="000000" w:sz="4" w:space="0"/>
              <w:bottom w:val="single" w:color="000000" w:sz="4" w:space="0"/>
              <w:right w:val="single" w:color="000000" w:sz="4" w:space="0"/>
            </w:tcBorders>
            <w:shd w:val="clear" w:color="auto" w:fill="auto"/>
            <w:vAlign w:val="center"/>
          </w:tcPr>
          <w:p w14:paraId="52CAA88F">
            <w:pPr>
              <w:pStyle w:val="3"/>
            </w:pPr>
            <w:r>
              <w:rPr>
                <w:rFonts w:hint="eastAsia"/>
              </w:rPr>
              <w:t>中央处理控制器</w:t>
            </w:r>
          </w:p>
        </w:tc>
        <w:tc>
          <w:tcPr>
            <w:tcW w:w="2051" w:type="dxa"/>
            <w:tcBorders>
              <w:top w:val="nil"/>
              <w:left w:val="nil"/>
              <w:bottom w:val="single" w:color="000000" w:sz="4" w:space="0"/>
              <w:right w:val="single" w:color="000000" w:sz="4" w:space="0"/>
            </w:tcBorders>
            <w:shd w:val="clear" w:color="auto" w:fill="auto"/>
            <w:vAlign w:val="center"/>
          </w:tcPr>
          <w:p w14:paraId="43B15901">
            <w:pPr>
              <w:pStyle w:val="3"/>
            </w:pPr>
            <w:r>
              <w:rPr>
                <w:rFonts w:hint="eastAsia"/>
              </w:rPr>
              <w:t>工业级处理器</w:t>
            </w:r>
          </w:p>
        </w:tc>
        <w:tc>
          <w:tcPr>
            <w:tcW w:w="5918" w:type="dxa"/>
            <w:tcBorders>
              <w:top w:val="nil"/>
              <w:left w:val="nil"/>
              <w:bottom w:val="single" w:color="000000" w:sz="4" w:space="0"/>
              <w:right w:val="single" w:color="000000" w:sz="4" w:space="0"/>
            </w:tcBorders>
            <w:shd w:val="clear" w:color="auto" w:fill="auto"/>
            <w:vAlign w:val="center"/>
          </w:tcPr>
          <w:p w14:paraId="05B05A27">
            <w:pPr>
              <w:pStyle w:val="3"/>
            </w:pPr>
            <w:r>
              <w:rPr>
                <w:rFonts w:hint="eastAsia"/>
              </w:rPr>
              <w:t>位处理速度不低于60纳秒</w:t>
            </w:r>
          </w:p>
        </w:tc>
      </w:tr>
      <w:tr w14:paraId="67E2545B">
        <w:tblPrEx>
          <w:shd w:val="clear" w:color="auto" w:fill="auto"/>
          <w:tblCellMar>
            <w:top w:w="0" w:type="dxa"/>
            <w:left w:w="108" w:type="dxa"/>
            <w:bottom w:w="0" w:type="dxa"/>
            <w:right w:w="108" w:type="dxa"/>
          </w:tblCellMar>
        </w:tblPrEx>
        <w:trPr>
          <w:trHeight w:val="397"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0022237D">
            <w:pPr>
              <w:pStyle w:val="3"/>
            </w:pPr>
          </w:p>
        </w:tc>
        <w:tc>
          <w:tcPr>
            <w:tcW w:w="2051" w:type="dxa"/>
            <w:tcBorders>
              <w:top w:val="nil"/>
              <w:left w:val="nil"/>
              <w:bottom w:val="single" w:color="000000" w:sz="4" w:space="0"/>
              <w:right w:val="single" w:color="000000" w:sz="4" w:space="0"/>
            </w:tcBorders>
            <w:shd w:val="clear" w:color="auto" w:fill="auto"/>
            <w:vAlign w:val="center"/>
          </w:tcPr>
          <w:p w14:paraId="38B83300">
            <w:pPr>
              <w:pStyle w:val="3"/>
            </w:pPr>
            <w:r>
              <w:rPr>
                <w:rFonts w:hint="eastAsia"/>
              </w:rPr>
              <w:t>内存</w:t>
            </w:r>
          </w:p>
        </w:tc>
        <w:tc>
          <w:tcPr>
            <w:tcW w:w="5918" w:type="dxa"/>
            <w:tcBorders>
              <w:top w:val="nil"/>
              <w:left w:val="nil"/>
              <w:bottom w:val="single" w:color="000000" w:sz="4" w:space="0"/>
              <w:right w:val="single" w:color="000000" w:sz="4" w:space="0"/>
            </w:tcBorders>
            <w:shd w:val="clear" w:color="auto" w:fill="auto"/>
            <w:vAlign w:val="center"/>
          </w:tcPr>
          <w:p w14:paraId="0D895082">
            <w:pPr>
              <w:pStyle w:val="3"/>
            </w:pPr>
            <w:r>
              <w:rPr>
                <w:rFonts w:hint="eastAsia"/>
              </w:rPr>
              <w:t>内存明确区分程序区和用户数据区，保证内存的最大使用效率及程序的可维护性；</w:t>
            </w:r>
          </w:p>
        </w:tc>
      </w:tr>
      <w:tr w14:paraId="035CCD09">
        <w:tblPrEx>
          <w:tblCellMar>
            <w:top w:w="0" w:type="dxa"/>
            <w:left w:w="108" w:type="dxa"/>
            <w:bottom w:w="0" w:type="dxa"/>
            <w:right w:w="108" w:type="dxa"/>
          </w:tblCellMar>
        </w:tblPrEx>
        <w:trPr>
          <w:trHeight w:val="600"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70CB0BAF">
            <w:pPr>
              <w:pStyle w:val="3"/>
            </w:pPr>
          </w:p>
        </w:tc>
        <w:tc>
          <w:tcPr>
            <w:tcW w:w="2051" w:type="dxa"/>
            <w:tcBorders>
              <w:top w:val="nil"/>
              <w:left w:val="single" w:color="000000" w:sz="4" w:space="0"/>
              <w:bottom w:val="nil"/>
              <w:right w:val="single" w:color="000000" w:sz="4" w:space="0"/>
            </w:tcBorders>
            <w:shd w:val="clear" w:color="auto" w:fill="auto"/>
            <w:vAlign w:val="center"/>
          </w:tcPr>
          <w:p w14:paraId="388C369B">
            <w:pPr>
              <w:pStyle w:val="3"/>
            </w:pPr>
            <w:r>
              <w:rPr>
                <w:rFonts w:hint="eastAsia"/>
              </w:rPr>
              <w:t>自诊断功能</w:t>
            </w:r>
          </w:p>
        </w:tc>
        <w:tc>
          <w:tcPr>
            <w:tcW w:w="5918" w:type="dxa"/>
            <w:tcBorders>
              <w:top w:val="nil"/>
              <w:left w:val="single" w:color="000000" w:sz="4" w:space="0"/>
              <w:bottom w:val="nil"/>
              <w:right w:val="single" w:color="000000" w:sz="4" w:space="0"/>
            </w:tcBorders>
            <w:shd w:val="clear" w:color="auto" w:fill="auto"/>
            <w:vAlign w:val="center"/>
          </w:tcPr>
          <w:p w14:paraId="76179FDD">
            <w:pPr>
              <w:pStyle w:val="3"/>
            </w:pPr>
            <w:r>
              <w:rPr>
                <w:rFonts w:hint="eastAsia"/>
              </w:rPr>
              <w:t>可监视各模块及对应通道的实时系统诊断信息，即使处于停止状态也可进行系统诊断，系统诊断不占CPU程序资源</w:t>
            </w:r>
          </w:p>
        </w:tc>
      </w:tr>
      <w:tr w14:paraId="5914A56B">
        <w:tblPrEx>
          <w:tblCellMar>
            <w:top w:w="0" w:type="dxa"/>
            <w:left w:w="108" w:type="dxa"/>
            <w:bottom w:w="0" w:type="dxa"/>
            <w:right w:w="108" w:type="dxa"/>
          </w:tblCellMar>
        </w:tblPrEx>
        <w:trPr>
          <w:trHeight w:val="397" w:hRule="atLeast"/>
          <w:jc w:val="center"/>
        </w:trPr>
        <w:tc>
          <w:tcPr>
            <w:tcW w:w="1168" w:type="dxa"/>
            <w:vMerge w:val="restart"/>
            <w:tcBorders>
              <w:top w:val="nil"/>
              <w:left w:val="single" w:color="000000" w:sz="4" w:space="0"/>
              <w:bottom w:val="single" w:color="000000" w:sz="4" w:space="0"/>
              <w:right w:val="single" w:color="000000" w:sz="4" w:space="0"/>
            </w:tcBorders>
            <w:shd w:val="clear" w:color="auto" w:fill="auto"/>
            <w:vAlign w:val="center"/>
          </w:tcPr>
          <w:p w14:paraId="1A328D8A">
            <w:pPr>
              <w:pStyle w:val="3"/>
            </w:pPr>
            <w:r>
              <w:rPr>
                <w:rFonts w:hint="eastAsia"/>
              </w:rPr>
              <w:t>环境</w:t>
            </w:r>
          </w:p>
        </w:tc>
        <w:tc>
          <w:tcPr>
            <w:tcW w:w="2051" w:type="dxa"/>
            <w:tcBorders>
              <w:top w:val="nil"/>
              <w:left w:val="nil"/>
              <w:bottom w:val="single" w:color="000000" w:sz="4" w:space="0"/>
              <w:right w:val="single" w:color="000000" w:sz="4" w:space="0"/>
            </w:tcBorders>
            <w:shd w:val="clear" w:color="auto" w:fill="auto"/>
            <w:vAlign w:val="center"/>
          </w:tcPr>
          <w:p w14:paraId="206CB49C">
            <w:pPr>
              <w:pStyle w:val="3"/>
            </w:pPr>
            <w:r>
              <w:rPr>
                <w:rFonts w:hint="eastAsia"/>
              </w:rPr>
              <w:t>温度</w:t>
            </w:r>
          </w:p>
        </w:tc>
        <w:tc>
          <w:tcPr>
            <w:tcW w:w="5918" w:type="dxa"/>
            <w:tcBorders>
              <w:top w:val="nil"/>
              <w:left w:val="nil"/>
              <w:bottom w:val="single" w:color="000000" w:sz="4" w:space="0"/>
              <w:right w:val="single" w:color="000000" w:sz="4" w:space="0"/>
            </w:tcBorders>
            <w:shd w:val="clear" w:color="auto" w:fill="auto"/>
            <w:vAlign w:val="center"/>
          </w:tcPr>
          <w:p w14:paraId="05599779">
            <w:pPr>
              <w:pStyle w:val="3"/>
            </w:pPr>
            <w:r>
              <w:rPr>
                <w:rFonts w:hint="eastAsia"/>
              </w:rPr>
              <w:t>-10℃～+40℃（极限温度：-20℃～+60℃）</w:t>
            </w:r>
          </w:p>
        </w:tc>
      </w:tr>
      <w:tr w14:paraId="0C395714">
        <w:tblPrEx>
          <w:shd w:val="clear" w:color="auto" w:fill="auto"/>
          <w:tblCellMar>
            <w:top w:w="0" w:type="dxa"/>
            <w:left w:w="108" w:type="dxa"/>
            <w:bottom w:w="0" w:type="dxa"/>
            <w:right w:w="108" w:type="dxa"/>
          </w:tblCellMar>
        </w:tblPrEx>
        <w:trPr>
          <w:trHeight w:val="397"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081AD703">
            <w:pPr>
              <w:pStyle w:val="3"/>
            </w:pPr>
          </w:p>
        </w:tc>
        <w:tc>
          <w:tcPr>
            <w:tcW w:w="2051" w:type="dxa"/>
            <w:tcBorders>
              <w:top w:val="nil"/>
              <w:left w:val="nil"/>
              <w:bottom w:val="single" w:color="000000" w:sz="4" w:space="0"/>
              <w:right w:val="single" w:color="000000" w:sz="4" w:space="0"/>
            </w:tcBorders>
            <w:shd w:val="clear" w:color="auto" w:fill="auto"/>
            <w:vAlign w:val="center"/>
          </w:tcPr>
          <w:p w14:paraId="08B7391A">
            <w:pPr>
              <w:pStyle w:val="3"/>
            </w:pPr>
            <w:r>
              <w:rPr>
                <w:rFonts w:hint="eastAsia"/>
              </w:rPr>
              <w:t>湿度</w:t>
            </w:r>
          </w:p>
        </w:tc>
        <w:tc>
          <w:tcPr>
            <w:tcW w:w="5918" w:type="dxa"/>
            <w:tcBorders>
              <w:top w:val="nil"/>
              <w:left w:val="nil"/>
              <w:bottom w:val="single" w:color="000000" w:sz="4" w:space="0"/>
              <w:right w:val="single" w:color="000000" w:sz="4" w:space="0"/>
            </w:tcBorders>
            <w:shd w:val="clear" w:color="auto" w:fill="auto"/>
            <w:vAlign w:val="center"/>
          </w:tcPr>
          <w:p w14:paraId="781657F5">
            <w:pPr>
              <w:pStyle w:val="3"/>
            </w:pPr>
            <w:r>
              <w:rPr>
                <w:rFonts w:hint="eastAsia"/>
              </w:rPr>
              <w:t>≤75％（极限湿度：≤85%）</w:t>
            </w:r>
          </w:p>
        </w:tc>
      </w:tr>
      <w:tr w14:paraId="332A6DF4">
        <w:tblPrEx>
          <w:shd w:val="clear" w:color="auto" w:fill="auto"/>
          <w:tblCellMar>
            <w:top w:w="0" w:type="dxa"/>
            <w:left w:w="108" w:type="dxa"/>
            <w:bottom w:w="0" w:type="dxa"/>
            <w:right w:w="108" w:type="dxa"/>
          </w:tblCellMar>
        </w:tblPrEx>
        <w:trPr>
          <w:trHeight w:val="397" w:hRule="atLeast"/>
          <w:jc w:val="center"/>
        </w:trPr>
        <w:tc>
          <w:tcPr>
            <w:tcW w:w="1168" w:type="dxa"/>
            <w:vMerge w:val="restart"/>
            <w:tcBorders>
              <w:top w:val="nil"/>
              <w:left w:val="single" w:color="000000" w:sz="4" w:space="0"/>
              <w:bottom w:val="single" w:color="000000" w:sz="4" w:space="0"/>
              <w:right w:val="single" w:color="000000" w:sz="4" w:space="0"/>
            </w:tcBorders>
            <w:shd w:val="clear" w:color="auto" w:fill="auto"/>
            <w:vAlign w:val="center"/>
          </w:tcPr>
          <w:p w14:paraId="0ECE6486">
            <w:pPr>
              <w:pStyle w:val="3"/>
            </w:pPr>
            <w:r>
              <w:rPr>
                <w:rFonts w:hint="eastAsia"/>
              </w:rPr>
              <w:t>功能</w:t>
            </w:r>
          </w:p>
        </w:tc>
        <w:tc>
          <w:tcPr>
            <w:tcW w:w="2051" w:type="dxa"/>
            <w:vMerge w:val="restart"/>
            <w:tcBorders>
              <w:top w:val="nil"/>
              <w:left w:val="single" w:color="000000" w:sz="4" w:space="0"/>
              <w:bottom w:val="single" w:color="000000" w:sz="4" w:space="0"/>
              <w:right w:val="single" w:color="000000" w:sz="4" w:space="0"/>
            </w:tcBorders>
            <w:shd w:val="clear" w:color="auto" w:fill="auto"/>
            <w:vAlign w:val="center"/>
          </w:tcPr>
          <w:p w14:paraId="1EF31C62">
            <w:pPr>
              <w:pStyle w:val="3"/>
            </w:pPr>
            <w:r>
              <w:rPr>
                <w:rFonts w:hint="eastAsia"/>
              </w:rPr>
              <w:t>设备运行监控</w:t>
            </w:r>
          </w:p>
        </w:tc>
        <w:tc>
          <w:tcPr>
            <w:tcW w:w="5918" w:type="dxa"/>
            <w:tcBorders>
              <w:top w:val="nil"/>
              <w:left w:val="nil"/>
              <w:bottom w:val="single" w:color="000000" w:sz="4" w:space="0"/>
              <w:right w:val="single" w:color="000000" w:sz="4" w:space="0"/>
            </w:tcBorders>
            <w:shd w:val="clear" w:color="auto" w:fill="auto"/>
            <w:vAlign w:val="center"/>
          </w:tcPr>
          <w:p w14:paraId="6F949BD0">
            <w:pPr>
              <w:pStyle w:val="3"/>
            </w:pPr>
            <w:r>
              <w:rPr>
                <w:rFonts w:hint="eastAsia"/>
              </w:rPr>
              <w:t>1、 对风冷热泵主机运行状态、工作性能、故障报警、进出水温度等重要参数进行监视</w:t>
            </w:r>
          </w:p>
        </w:tc>
      </w:tr>
      <w:tr w14:paraId="2A7D485C">
        <w:tblPrEx>
          <w:shd w:val="clear" w:color="auto" w:fill="auto"/>
          <w:tblCellMar>
            <w:top w:w="0" w:type="dxa"/>
            <w:left w:w="108" w:type="dxa"/>
            <w:bottom w:w="0" w:type="dxa"/>
            <w:right w:w="108" w:type="dxa"/>
          </w:tblCellMar>
        </w:tblPrEx>
        <w:trPr>
          <w:trHeight w:val="397"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7DC8F8FC">
            <w:pPr>
              <w:pStyle w:val="3"/>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2204E977">
            <w:pPr>
              <w:pStyle w:val="3"/>
            </w:pPr>
          </w:p>
        </w:tc>
        <w:tc>
          <w:tcPr>
            <w:tcW w:w="5918" w:type="dxa"/>
            <w:tcBorders>
              <w:top w:val="nil"/>
              <w:left w:val="nil"/>
              <w:bottom w:val="single" w:color="000000" w:sz="4" w:space="0"/>
              <w:right w:val="single" w:color="000000" w:sz="4" w:space="0"/>
            </w:tcBorders>
            <w:shd w:val="clear" w:color="auto" w:fill="auto"/>
            <w:vAlign w:val="center"/>
          </w:tcPr>
          <w:p w14:paraId="317D2EE8">
            <w:pPr>
              <w:pStyle w:val="3"/>
            </w:pPr>
            <w:r>
              <w:rPr>
                <w:rFonts w:hint="eastAsia"/>
              </w:rPr>
              <w:t>2、通过控制策略控制风冷热泵主机的启停以及循环泵的开启</w:t>
            </w:r>
          </w:p>
        </w:tc>
      </w:tr>
      <w:tr w14:paraId="283A6027">
        <w:tblPrEx>
          <w:tblCellMar>
            <w:top w:w="0" w:type="dxa"/>
            <w:left w:w="108" w:type="dxa"/>
            <w:bottom w:w="0" w:type="dxa"/>
            <w:right w:w="108" w:type="dxa"/>
          </w:tblCellMar>
        </w:tblPrEx>
        <w:trPr>
          <w:trHeight w:val="397"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234DAF3D">
            <w:pPr>
              <w:pStyle w:val="3"/>
            </w:pPr>
          </w:p>
        </w:tc>
        <w:tc>
          <w:tcPr>
            <w:tcW w:w="2051" w:type="dxa"/>
            <w:tcBorders>
              <w:top w:val="nil"/>
              <w:left w:val="nil"/>
              <w:bottom w:val="single" w:color="000000" w:sz="4" w:space="0"/>
              <w:right w:val="single" w:color="000000" w:sz="4" w:space="0"/>
            </w:tcBorders>
            <w:shd w:val="clear" w:color="auto" w:fill="auto"/>
            <w:vAlign w:val="center"/>
          </w:tcPr>
          <w:p w14:paraId="76488B60">
            <w:pPr>
              <w:pStyle w:val="3"/>
            </w:pPr>
            <w:r>
              <w:rPr>
                <w:rFonts w:hint="eastAsia"/>
              </w:rPr>
              <w:t>风冷热泵能源数据上报</w:t>
            </w:r>
          </w:p>
        </w:tc>
        <w:tc>
          <w:tcPr>
            <w:tcW w:w="5918" w:type="dxa"/>
            <w:tcBorders>
              <w:top w:val="nil"/>
              <w:left w:val="nil"/>
              <w:bottom w:val="single" w:color="000000" w:sz="4" w:space="0"/>
              <w:right w:val="single" w:color="000000" w:sz="4" w:space="0"/>
            </w:tcBorders>
            <w:shd w:val="clear" w:color="auto" w:fill="auto"/>
            <w:vAlign w:val="center"/>
          </w:tcPr>
          <w:p w14:paraId="5817E85F">
            <w:pPr>
              <w:pStyle w:val="3"/>
            </w:pPr>
            <w:r>
              <w:rPr>
                <w:rFonts w:hint="eastAsia"/>
              </w:rPr>
              <w:t>将所有能源能耗数据及设备运行数据实时上传节能监管平台</w:t>
            </w:r>
          </w:p>
        </w:tc>
      </w:tr>
    </w:tbl>
    <w:p w14:paraId="29491CF1"/>
    <w:p w14:paraId="17CC896A">
      <w:pPr>
        <w:spacing w:line="360" w:lineRule="auto"/>
        <w:ind w:firstLine="482"/>
        <w:rPr>
          <w:rFonts w:hint="eastAsia" w:ascii="宋体" w:hAnsi="宋体" w:cs="宋体"/>
          <w:b/>
          <w:bCs/>
          <w:sz w:val="24"/>
        </w:rPr>
      </w:pPr>
      <w:r>
        <w:rPr>
          <w:rFonts w:hint="eastAsia" w:ascii="宋体" w:hAnsi="宋体" w:cs="宋体"/>
          <w:b/>
          <w:bCs/>
          <w:sz w:val="24"/>
        </w:rPr>
        <w:t>12.电计量控制器</w:t>
      </w:r>
    </w:p>
    <w:p w14:paraId="27681C23">
      <w:pPr>
        <w:spacing w:line="360" w:lineRule="auto"/>
        <w:ind w:firstLine="482"/>
        <w:rPr>
          <w:rFonts w:hint="eastAsia" w:ascii="宋体" w:hAnsi="宋体" w:cs="宋体"/>
          <w:b/>
          <w:bCs/>
          <w:sz w:val="24"/>
        </w:rPr>
      </w:pPr>
      <w:r>
        <w:rPr>
          <w:rFonts w:hint="eastAsia" w:ascii="宋体" w:hAnsi="宋体" w:cs="宋体"/>
          <w:b/>
          <w:bCs/>
          <w:sz w:val="24"/>
        </w:rPr>
        <w:t>①插座型</w:t>
      </w:r>
    </w:p>
    <w:p w14:paraId="600C1FD6">
      <w:pPr>
        <w:spacing w:line="360" w:lineRule="auto"/>
        <w:ind w:firstLine="482"/>
        <w:rPr>
          <w:rFonts w:hint="eastAsia" w:ascii="宋体" w:hAnsi="宋体" w:cs="宋体"/>
          <w:b/>
          <w:bCs/>
          <w:sz w:val="24"/>
        </w:rPr>
      </w:pPr>
      <w:r>
        <w:rPr>
          <w:rFonts w:hint="eastAsia" w:ascii="宋体" w:hAnsi="宋体" w:cs="宋体"/>
          <w:b/>
          <w:bCs/>
          <w:sz w:val="24"/>
        </w:rPr>
        <w:t>额定电压：220VAC</w:t>
      </w:r>
    </w:p>
    <w:p w14:paraId="4C2E4CA1">
      <w:pPr>
        <w:spacing w:line="360" w:lineRule="auto"/>
        <w:ind w:firstLine="482"/>
        <w:rPr>
          <w:rFonts w:hint="eastAsia" w:ascii="宋体" w:hAnsi="宋体" w:cs="宋体"/>
          <w:b/>
          <w:bCs/>
          <w:sz w:val="24"/>
        </w:rPr>
      </w:pPr>
      <w:r>
        <w:rPr>
          <w:rFonts w:hint="eastAsia" w:ascii="宋体" w:hAnsi="宋体" w:cs="宋体"/>
          <w:b/>
          <w:bCs/>
          <w:sz w:val="24"/>
        </w:rPr>
        <w:t>额定电流：5(16)A</w:t>
      </w:r>
    </w:p>
    <w:p w14:paraId="273E87F1">
      <w:pPr>
        <w:spacing w:line="360" w:lineRule="auto"/>
        <w:ind w:firstLine="482"/>
        <w:rPr>
          <w:rFonts w:hint="eastAsia" w:ascii="宋体" w:hAnsi="宋体" w:cs="宋体"/>
          <w:b/>
          <w:bCs/>
          <w:sz w:val="24"/>
        </w:rPr>
      </w:pPr>
      <w:r>
        <w:rPr>
          <w:rFonts w:hint="eastAsia" w:ascii="宋体" w:hAnsi="宋体" w:cs="宋体"/>
          <w:b/>
          <w:bCs/>
          <w:sz w:val="24"/>
        </w:rPr>
        <w:t>上行通信：4G(CAT1)</w:t>
      </w:r>
    </w:p>
    <w:p w14:paraId="24F1FF05">
      <w:pPr>
        <w:spacing w:line="360" w:lineRule="auto"/>
        <w:ind w:firstLine="482"/>
        <w:rPr>
          <w:rFonts w:hint="eastAsia" w:ascii="宋体" w:hAnsi="宋体" w:cs="宋体"/>
          <w:b/>
          <w:bCs/>
          <w:sz w:val="24"/>
        </w:rPr>
      </w:pPr>
      <w:r>
        <w:rPr>
          <w:rFonts w:hint="eastAsia" w:ascii="宋体" w:hAnsi="宋体" w:cs="宋体"/>
          <w:b/>
          <w:bCs/>
          <w:sz w:val="24"/>
        </w:rPr>
        <w:t>计量精度：1级</w:t>
      </w:r>
    </w:p>
    <w:p w14:paraId="72D12DD1">
      <w:pPr>
        <w:spacing w:line="360" w:lineRule="auto"/>
        <w:ind w:firstLine="482"/>
        <w:rPr>
          <w:rFonts w:hint="eastAsia" w:ascii="宋体" w:hAnsi="宋体" w:cs="宋体"/>
          <w:b/>
          <w:bCs/>
          <w:sz w:val="24"/>
        </w:rPr>
      </w:pPr>
      <w:r>
        <w:rPr>
          <w:rFonts w:hint="eastAsia" w:ascii="宋体" w:hAnsi="宋体" w:cs="宋体"/>
          <w:b/>
          <w:bCs/>
          <w:sz w:val="24"/>
        </w:rPr>
        <w:t>工作温度：-10~60°C</w:t>
      </w:r>
    </w:p>
    <w:p w14:paraId="5DD7A44F">
      <w:pPr>
        <w:spacing w:line="360" w:lineRule="auto"/>
        <w:ind w:firstLine="482"/>
        <w:rPr>
          <w:rFonts w:hint="eastAsia" w:ascii="宋体" w:hAnsi="宋体" w:cs="宋体"/>
          <w:b/>
          <w:bCs/>
          <w:sz w:val="24"/>
        </w:rPr>
      </w:pPr>
      <w:r>
        <w:rPr>
          <w:rFonts w:hint="eastAsia" w:ascii="宋体" w:hAnsi="宋体" w:cs="宋体"/>
          <w:b/>
          <w:bCs/>
          <w:sz w:val="24"/>
        </w:rPr>
        <w:t>主要功能：电能监测，集中管控，数据上报</w:t>
      </w:r>
    </w:p>
    <w:p w14:paraId="34C74E6E">
      <w:pPr>
        <w:spacing w:line="360" w:lineRule="auto"/>
        <w:ind w:firstLine="482"/>
        <w:rPr>
          <w:rFonts w:hint="eastAsia" w:ascii="宋体" w:hAnsi="宋体" w:cs="宋体"/>
          <w:b/>
          <w:bCs/>
          <w:sz w:val="24"/>
        </w:rPr>
      </w:pPr>
      <w:r>
        <w:rPr>
          <w:rFonts w:hint="eastAsia" w:ascii="宋体" w:hAnsi="宋体" w:cs="宋体"/>
          <w:b/>
          <w:bCs/>
          <w:sz w:val="24"/>
        </w:rPr>
        <w:t>②大功率型</w:t>
      </w:r>
    </w:p>
    <w:p w14:paraId="5D18A2BB">
      <w:pPr>
        <w:spacing w:line="360" w:lineRule="auto"/>
        <w:ind w:firstLine="482"/>
        <w:rPr>
          <w:rFonts w:hint="eastAsia" w:ascii="宋体" w:hAnsi="宋体" w:cs="宋体"/>
          <w:b/>
          <w:bCs/>
          <w:sz w:val="24"/>
        </w:rPr>
      </w:pPr>
      <w:r>
        <w:rPr>
          <w:rFonts w:hint="eastAsia" w:ascii="宋体" w:hAnsi="宋体" w:cs="宋体"/>
          <w:b/>
          <w:bCs/>
          <w:sz w:val="24"/>
        </w:rPr>
        <w:t>额定电压：220VAC(380VAC)</w:t>
      </w:r>
    </w:p>
    <w:p w14:paraId="1527D8CC">
      <w:pPr>
        <w:spacing w:line="360" w:lineRule="auto"/>
        <w:ind w:firstLine="482"/>
        <w:rPr>
          <w:rFonts w:hint="eastAsia" w:ascii="宋体" w:hAnsi="宋体" w:cs="宋体"/>
          <w:b/>
          <w:bCs/>
          <w:sz w:val="24"/>
        </w:rPr>
      </w:pPr>
      <w:r>
        <w:rPr>
          <w:rFonts w:hint="eastAsia" w:ascii="宋体" w:hAnsi="宋体" w:cs="宋体"/>
          <w:b/>
          <w:bCs/>
          <w:sz w:val="24"/>
        </w:rPr>
        <w:t>额定电流：3*5(60)A</w:t>
      </w:r>
    </w:p>
    <w:p w14:paraId="34B4BD10">
      <w:pPr>
        <w:spacing w:line="360" w:lineRule="auto"/>
        <w:ind w:firstLine="482"/>
        <w:rPr>
          <w:rFonts w:hint="eastAsia" w:ascii="宋体" w:hAnsi="宋体" w:cs="宋体"/>
          <w:b/>
          <w:bCs/>
          <w:sz w:val="24"/>
        </w:rPr>
      </w:pPr>
      <w:r>
        <w:rPr>
          <w:rFonts w:hint="eastAsia" w:ascii="宋体" w:hAnsi="宋体" w:cs="宋体"/>
          <w:b/>
          <w:bCs/>
          <w:sz w:val="24"/>
        </w:rPr>
        <w:t>上行通信：4G(CAT1)、1路RS485</w:t>
      </w:r>
    </w:p>
    <w:p w14:paraId="14C5D613">
      <w:pPr>
        <w:spacing w:line="360" w:lineRule="auto"/>
        <w:ind w:firstLine="482"/>
        <w:rPr>
          <w:rFonts w:hint="eastAsia" w:ascii="宋体" w:hAnsi="宋体" w:cs="宋体"/>
          <w:b/>
          <w:bCs/>
          <w:sz w:val="24"/>
        </w:rPr>
      </w:pPr>
      <w:r>
        <w:rPr>
          <w:rFonts w:hint="eastAsia" w:ascii="宋体" w:hAnsi="宋体" w:cs="宋体"/>
          <w:b/>
          <w:bCs/>
          <w:sz w:val="24"/>
        </w:rPr>
        <w:t>计量精度：1级</w:t>
      </w:r>
    </w:p>
    <w:p w14:paraId="04B2406B">
      <w:pPr>
        <w:spacing w:line="360" w:lineRule="auto"/>
        <w:ind w:firstLine="482"/>
        <w:rPr>
          <w:rFonts w:hint="eastAsia" w:ascii="宋体" w:hAnsi="宋体" w:cs="宋体"/>
          <w:b/>
          <w:bCs/>
          <w:sz w:val="24"/>
        </w:rPr>
      </w:pPr>
      <w:r>
        <w:rPr>
          <w:rFonts w:hint="eastAsia" w:ascii="宋体" w:hAnsi="宋体" w:cs="宋体"/>
          <w:b/>
          <w:bCs/>
          <w:sz w:val="24"/>
        </w:rPr>
        <w:t>工作温度：-10~60°C</w:t>
      </w:r>
    </w:p>
    <w:p w14:paraId="50C44333">
      <w:pPr>
        <w:spacing w:line="360" w:lineRule="auto"/>
        <w:ind w:firstLine="482"/>
        <w:rPr>
          <w:rFonts w:hint="eastAsia" w:ascii="宋体" w:hAnsi="宋体" w:cs="宋体"/>
          <w:b/>
          <w:bCs/>
          <w:sz w:val="24"/>
        </w:rPr>
      </w:pPr>
      <w:r>
        <w:rPr>
          <w:rFonts w:hint="eastAsia" w:ascii="宋体" w:hAnsi="宋体" w:cs="宋体"/>
          <w:b/>
          <w:bCs/>
          <w:sz w:val="24"/>
        </w:rPr>
        <w:t>主要功能：电能监测，集中管控，数据上报</w:t>
      </w:r>
    </w:p>
    <w:p w14:paraId="6EF6816D">
      <w:pPr>
        <w:spacing w:line="360" w:lineRule="auto"/>
        <w:ind w:firstLine="482"/>
        <w:rPr>
          <w:rFonts w:hint="eastAsia" w:ascii="宋体" w:hAnsi="宋体" w:cs="宋体"/>
          <w:b/>
          <w:bCs/>
          <w:sz w:val="24"/>
        </w:rPr>
      </w:pPr>
      <w:r>
        <w:rPr>
          <w:rFonts w:hint="eastAsia" w:ascii="宋体" w:hAnsi="宋体" w:cs="宋体"/>
          <w:b/>
          <w:bCs/>
          <w:sz w:val="24"/>
        </w:rPr>
        <w:t>13.智能远传水表</w:t>
      </w:r>
    </w:p>
    <w:p w14:paraId="073D4012">
      <w:pPr>
        <w:spacing w:line="360" w:lineRule="auto"/>
        <w:ind w:firstLine="482"/>
        <w:rPr>
          <w:rFonts w:hint="eastAsia" w:ascii="宋体" w:hAnsi="宋体" w:cs="宋体"/>
          <w:b/>
          <w:bCs/>
          <w:sz w:val="24"/>
        </w:rPr>
      </w:pPr>
      <w:r>
        <w:rPr>
          <w:rFonts w:hint="eastAsia" w:ascii="宋体" w:hAnsi="宋体" w:cs="宋体"/>
          <w:b/>
          <w:bCs/>
          <w:sz w:val="24"/>
        </w:rPr>
        <w:t>准确度等级</w:t>
      </w:r>
      <w:r>
        <w:rPr>
          <w:rFonts w:hint="eastAsia" w:ascii="宋体" w:hAnsi="宋体" w:cs="宋体"/>
          <w:b/>
          <w:bCs/>
          <w:sz w:val="24"/>
        </w:rPr>
        <w:tab/>
      </w:r>
      <w:r>
        <w:rPr>
          <w:rFonts w:hint="eastAsia" w:ascii="宋体" w:hAnsi="宋体" w:cs="宋体"/>
          <w:b/>
          <w:bCs/>
          <w:sz w:val="24"/>
        </w:rPr>
        <w:t>2级</w:t>
      </w:r>
    </w:p>
    <w:p w14:paraId="53CF9B86">
      <w:pPr>
        <w:spacing w:line="360" w:lineRule="auto"/>
        <w:ind w:firstLine="482"/>
        <w:rPr>
          <w:rFonts w:hint="eastAsia" w:ascii="宋体" w:hAnsi="宋体" w:cs="宋体"/>
          <w:b/>
          <w:bCs/>
          <w:sz w:val="24"/>
        </w:rPr>
      </w:pPr>
      <w:r>
        <w:rPr>
          <w:rFonts w:hint="eastAsia" w:ascii="宋体" w:hAnsi="宋体" w:cs="宋体"/>
          <w:b/>
          <w:bCs/>
          <w:sz w:val="24"/>
        </w:rPr>
        <w:t>防护等级</w:t>
      </w:r>
      <w:r>
        <w:rPr>
          <w:rFonts w:hint="eastAsia" w:ascii="宋体" w:hAnsi="宋体" w:cs="宋体"/>
          <w:b/>
          <w:bCs/>
          <w:sz w:val="24"/>
        </w:rPr>
        <w:tab/>
      </w:r>
      <w:r>
        <w:rPr>
          <w:rFonts w:hint="eastAsia" w:ascii="宋体" w:hAnsi="宋体" w:cs="宋体"/>
          <w:b/>
          <w:bCs/>
          <w:sz w:val="24"/>
        </w:rPr>
        <w:t>IP68（外供电IP65）</w:t>
      </w:r>
    </w:p>
    <w:p w14:paraId="5E8E4B3B">
      <w:pPr>
        <w:spacing w:line="360" w:lineRule="auto"/>
        <w:ind w:firstLine="482"/>
        <w:rPr>
          <w:rFonts w:hint="eastAsia" w:ascii="宋体" w:hAnsi="宋体" w:cs="宋体"/>
          <w:b/>
          <w:bCs/>
          <w:sz w:val="24"/>
        </w:rPr>
      </w:pPr>
      <w:r>
        <w:rPr>
          <w:rFonts w:hint="eastAsia" w:ascii="宋体" w:hAnsi="宋体" w:cs="宋体"/>
          <w:b/>
          <w:bCs/>
          <w:sz w:val="24"/>
        </w:rPr>
        <w:t>供电电源</w:t>
      </w:r>
      <w:r>
        <w:rPr>
          <w:rFonts w:hint="eastAsia" w:ascii="宋体" w:hAnsi="宋体" w:cs="宋体"/>
          <w:b/>
          <w:bCs/>
          <w:sz w:val="24"/>
        </w:rPr>
        <w:tab/>
      </w:r>
      <w:r>
        <w:rPr>
          <w:rFonts w:hint="eastAsia" w:ascii="宋体" w:hAnsi="宋体" w:cs="宋体"/>
          <w:b/>
          <w:bCs/>
          <w:sz w:val="24"/>
        </w:rPr>
        <w:t>3.6V锂电池</w:t>
      </w:r>
    </w:p>
    <w:p w14:paraId="13E8F153">
      <w:pPr>
        <w:spacing w:line="360" w:lineRule="auto"/>
        <w:ind w:firstLine="482"/>
        <w:rPr>
          <w:rFonts w:hint="eastAsia" w:ascii="宋体" w:hAnsi="宋体" w:cs="宋体"/>
          <w:b/>
          <w:bCs/>
          <w:sz w:val="24"/>
        </w:rPr>
      </w:pPr>
      <w:r>
        <w:rPr>
          <w:rFonts w:hint="eastAsia" w:ascii="宋体" w:hAnsi="宋体" w:cs="宋体"/>
          <w:b/>
          <w:bCs/>
          <w:sz w:val="24"/>
        </w:rPr>
        <w:t>电池寿命</w:t>
      </w:r>
      <w:r>
        <w:rPr>
          <w:rFonts w:hint="eastAsia" w:ascii="宋体" w:hAnsi="宋体" w:cs="宋体"/>
          <w:b/>
          <w:bCs/>
          <w:sz w:val="24"/>
        </w:rPr>
        <w:tab/>
      </w:r>
      <w:r>
        <w:rPr>
          <w:rFonts w:hint="eastAsia" w:ascii="宋体" w:hAnsi="宋体" w:cs="宋体"/>
          <w:b/>
          <w:bCs/>
          <w:sz w:val="24"/>
        </w:rPr>
        <w:t>6年</w:t>
      </w:r>
    </w:p>
    <w:p w14:paraId="624F66CF">
      <w:pPr>
        <w:spacing w:line="360" w:lineRule="auto"/>
        <w:ind w:firstLine="482"/>
        <w:rPr>
          <w:rFonts w:hint="eastAsia" w:ascii="宋体" w:hAnsi="宋体" w:cs="宋体"/>
          <w:b/>
          <w:bCs/>
          <w:sz w:val="24"/>
        </w:rPr>
      </w:pPr>
      <w:r>
        <w:rPr>
          <w:rFonts w:hint="eastAsia" w:ascii="宋体" w:hAnsi="宋体" w:cs="宋体"/>
          <w:b/>
          <w:bCs/>
          <w:sz w:val="24"/>
        </w:rPr>
        <w:t>数据通讯</w:t>
      </w:r>
      <w:r>
        <w:rPr>
          <w:rFonts w:hint="eastAsia" w:ascii="宋体" w:hAnsi="宋体" w:cs="宋体"/>
          <w:b/>
          <w:bCs/>
          <w:sz w:val="24"/>
        </w:rPr>
        <w:tab/>
      </w:r>
      <w:r>
        <w:rPr>
          <w:rFonts w:hint="eastAsia" w:ascii="宋体" w:hAnsi="宋体" w:cs="宋体"/>
          <w:b/>
          <w:bCs/>
          <w:sz w:val="24"/>
        </w:rPr>
        <w:t>支持移动、联通、电信各种NB-IoT网络及云平台</w:t>
      </w:r>
    </w:p>
    <w:p w14:paraId="2A0760AB">
      <w:pPr>
        <w:spacing w:line="360" w:lineRule="auto"/>
        <w:ind w:firstLine="482"/>
        <w:rPr>
          <w:rFonts w:hint="eastAsia" w:ascii="宋体" w:hAnsi="宋体" w:cs="宋体"/>
          <w:b/>
          <w:bCs/>
          <w:sz w:val="24"/>
        </w:rPr>
      </w:pPr>
      <w:r>
        <w:rPr>
          <w:rFonts w:hint="eastAsia" w:ascii="宋体" w:hAnsi="宋体" w:cs="宋体"/>
          <w:b/>
          <w:bCs/>
          <w:sz w:val="24"/>
        </w:rPr>
        <w:t>14.LED灯管</w:t>
      </w:r>
    </w:p>
    <w:p w14:paraId="6831D12E">
      <w:pPr>
        <w:spacing w:line="360" w:lineRule="auto"/>
        <w:ind w:firstLine="482"/>
        <w:rPr>
          <w:rFonts w:hint="eastAsia" w:ascii="宋体" w:hAnsi="宋体" w:cs="宋体"/>
          <w:b/>
          <w:bCs/>
          <w:sz w:val="24"/>
        </w:rPr>
      </w:pPr>
      <w:r>
        <w:rPr>
          <w:rFonts w:hint="eastAsia" w:ascii="宋体" w:hAnsi="宋体" w:cs="宋体"/>
          <w:b/>
          <w:bCs/>
          <w:sz w:val="24"/>
        </w:rPr>
        <w:t>型号一：</w:t>
      </w:r>
    </w:p>
    <w:p w14:paraId="208E998B">
      <w:pPr>
        <w:spacing w:line="360" w:lineRule="auto"/>
        <w:ind w:firstLine="482"/>
        <w:rPr>
          <w:rFonts w:hint="eastAsia" w:ascii="宋体" w:hAnsi="宋体" w:cs="宋体"/>
          <w:b/>
          <w:bCs/>
          <w:sz w:val="24"/>
        </w:rPr>
      </w:pPr>
      <w:r>
        <w:rPr>
          <w:rFonts w:hint="eastAsia" w:ascii="宋体" w:hAnsi="宋体" w:cs="宋体"/>
          <w:b/>
          <w:bCs/>
          <w:sz w:val="24"/>
        </w:rPr>
        <w:t>尺寸：1200mm</w:t>
      </w:r>
    </w:p>
    <w:p w14:paraId="4ABAFBEC">
      <w:pPr>
        <w:spacing w:line="360" w:lineRule="auto"/>
        <w:ind w:left="479" w:leftChars="228" w:firstLine="67" w:firstLineChars="28"/>
        <w:rPr>
          <w:rFonts w:hint="eastAsia" w:ascii="宋体" w:hAnsi="宋体" w:cs="宋体"/>
          <w:b/>
          <w:bCs/>
          <w:sz w:val="24"/>
        </w:rPr>
      </w:pPr>
      <w:r>
        <w:rPr>
          <w:rFonts w:hint="eastAsia" w:ascii="宋体" w:hAnsi="宋体" w:cs="宋体"/>
          <w:b/>
          <w:bCs/>
          <w:sz w:val="24"/>
        </w:rPr>
        <w:t>色温：4000-6000K</w:t>
      </w:r>
      <w:r>
        <w:rPr>
          <w:rFonts w:hint="eastAsia" w:ascii="宋体" w:hAnsi="宋体" w:cs="宋体"/>
          <w:b/>
          <w:bCs/>
          <w:sz w:val="24"/>
        </w:rPr>
        <w:cr/>
      </w:r>
      <w:r>
        <w:rPr>
          <w:rFonts w:hint="eastAsia" w:ascii="宋体" w:hAnsi="宋体" w:cs="宋体"/>
          <w:b/>
          <w:bCs/>
          <w:sz w:val="24"/>
        </w:rPr>
        <w:t>功率：≤10W</w:t>
      </w:r>
      <w:r>
        <w:rPr>
          <w:rFonts w:hint="eastAsia" w:ascii="宋体" w:hAnsi="宋体" w:cs="宋体"/>
          <w:b/>
          <w:bCs/>
          <w:sz w:val="24"/>
        </w:rPr>
        <w:cr/>
      </w:r>
      <w:r>
        <w:rPr>
          <w:rFonts w:hint="eastAsia" w:ascii="宋体" w:hAnsi="宋体" w:cs="宋体"/>
          <w:b/>
          <w:bCs/>
          <w:sz w:val="24"/>
        </w:rPr>
        <w:t>光通量：1800LM±10%</w:t>
      </w:r>
      <w:r>
        <w:rPr>
          <w:rFonts w:hint="eastAsia" w:ascii="宋体" w:hAnsi="宋体" w:cs="宋体"/>
          <w:b/>
          <w:bCs/>
          <w:sz w:val="24"/>
        </w:rPr>
        <w:cr/>
      </w:r>
      <w:r>
        <w:rPr>
          <w:rFonts w:hint="eastAsia" w:ascii="宋体" w:hAnsi="宋体" w:cs="宋体"/>
          <w:b/>
          <w:bCs/>
          <w:sz w:val="24"/>
        </w:rPr>
        <w:t>光效：180LM/W±5%</w:t>
      </w:r>
      <w:r>
        <w:rPr>
          <w:rFonts w:hint="eastAsia" w:ascii="宋体" w:hAnsi="宋体" w:cs="宋体"/>
          <w:b/>
          <w:bCs/>
          <w:sz w:val="24"/>
        </w:rPr>
        <w:cr/>
      </w:r>
      <w:r>
        <w:rPr>
          <w:rFonts w:hint="eastAsia" w:ascii="宋体" w:hAnsi="宋体" w:cs="宋体"/>
          <w:b/>
          <w:bCs/>
          <w:sz w:val="24"/>
        </w:rPr>
        <w:t>显色指数：≥80</w:t>
      </w:r>
    </w:p>
    <w:p w14:paraId="10D0DF2F">
      <w:pPr>
        <w:spacing w:line="360" w:lineRule="auto"/>
        <w:ind w:firstLine="482"/>
        <w:rPr>
          <w:rFonts w:hint="eastAsia" w:ascii="宋体" w:hAnsi="宋体" w:cs="宋体"/>
          <w:b/>
          <w:bCs/>
          <w:sz w:val="24"/>
        </w:rPr>
      </w:pPr>
      <w:r>
        <w:rPr>
          <w:rFonts w:hint="eastAsia" w:ascii="宋体" w:hAnsi="宋体" w:cs="宋体"/>
          <w:b/>
          <w:bCs/>
          <w:sz w:val="24"/>
        </w:rPr>
        <w:t>型号二：</w:t>
      </w:r>
    </w:p>
    <w:p w14:paraId="508E226A">
      <w:pPr>
        <w:spacing w:line="360" w:lineRule="auto"/>
        <w:ind w:firstLine="482"/>
        <w:rPr>
          <w:rFonts w:hint="eastAsia" w:ascii="宋体" w:hAnsi="宋体" w:cs="宋体"/>
          <w:b/>
          <w:bCs/>
          <w:sz w:val="24"/>
        </w:rPr>
      </w:pPr>
      <w:r>
        <w:rPr>
          <w:rFonts w:hint="eastAsia" w:ascii="宋体" w:hAnsi="宋体" w:cs="宋体"/>
          <w:b/>
          <w:bCs/>
          <w:sz w:val="24"/>
        </w:rPr>
        <w:t>尺寸：600mm</w:t>
      </w:r>
    </w:p>
    <w:p w14:paraId="6CA6DAE0">
      <w:pPr>
        <w:spacing w:line="360" w:lineRule="auto"/>
        <w:ind w:left="479" w:leftChars="228" w:firstLine="67" w:firstLineChars="28"/>
        <w:rPr>
          <w:bCs/>
        </w:rPr>
      </w:pPr>
      <w:r>
        <w:rPr>
          <w:rFonts w:hint="eastAsia" w:ascii="宋体" w:hAnsi="宋体" w:cs="宋体"/>
          <w:b/>
          <w:bCs/>
          <w:sz w:val="24"/>
        </w:rPr>
        <w:t>色温：4000-6000K</w:t>
      </w:r>
      <w:r>
        <w:rPr>
          <w:rFonts w:hint="eastAsia" w:ascii="宋体" w:hAnsi="宋体" w:cs="宋体"/>
          <w:b/>
          <w:bCs/>
          <w:sz w:val="24"/>
        </w:rPr>
        <w:cr/>
      </w:r>
      <w:r>
        <w:rPr>
          <w:rFonts w:hint="eastAsia" w:ascii="宋体" w:hAnsi="宋体" w:cs="宋体"/>
          <w:b/>
          <w:bCs/>
          <w:sz w:val="24"/>
        </w:rPr>
        <w:t>功率：6W±5%</w:t>
      </w:r>
      <w:r>
        <w:rPr>
          <w:rFonts w:hint="eastAsia" w:ascii="宋体" w:hAnsi="宋体" w:cs="宋体"/>
          <w:b/>
          <w:bCs/>
          <w:sz w:val="24"/>
        </w:rPr>
        <w:cr/>
      </w:r>
      <w:r>
        <w:rPr>
          <w:rFonts w:hint="eastAsia" w:ascii="宋体" w:hAnsi="宋体" w:cs="宋体"/>
          <w:b/>
          <w:bCs/>
          <w:sz w:val="24"/>
        </w:rPr>
        <w:t>光通量：1080LM±10%</w:t>
      </w:r>
      <w:r>
        <w:rPr>
          <w:rFonts w:hint="eastAsia" w:ascii="宋体" w:hAnsi="宋体" w:cs="宋体"/>
          <w:b/>
          <w:bCs/>
          <w:sz w:val="24"/>
        </w:rPr>
        <w:cr/>
      </w:r>
      <w:r>
        <w:rPr>
          <w:rFonts w:hint="eastAsia" w:ascii="宋体" w:hAnsi="宋体" w:cs="宋体"/>
          <w:b/>
          <w:bCs/>
          <w:sz w:val="24"/>
        </w:rPr>
        <w:t>光效：180LM/W±5%</w:t>
      </w:r>
      <w:r>
        <w:rPr>
          <w:rFonts w:hint="eastAsia" w:ascii="宋体" w:hAnsi="宋体" w:cs="宋体"/>
          <w:b/>
          <w:bCs/>
          <w:sz w:val="24"/>
        </w:rPr>
        <w:cr/>
      </w:r>
      <w:r>
        <w:rPr>
          <w:rFonts w:hint="eastAsia" w:ascii="宋体" w:hAnsi="宋体" w:cs="宋体"/>
          <w:b/>
          <w:bCs/>
          <w:sz w:val="24"/>
        </w:rPr>
        <w:t>显色指数：≥80</w:t>
      </w:r>
    </w:p>
    <w:p w14:paraId="135A0769">
      <w:pPr>
        <w:spacing w:line="360" w:lineRule="auto"/>
        <w:ind w:firstLine="482"/>
        <w:rPr>
          <w:rFonts w:hint="eastAsia" w:ascii="宋体" w:hAnsi="宋体" w:cs="宋体"/>
          <w:b/>
          <w:bCs/>
          <w:sz w:val="24"/>
        </w:rPr>
      </w:pPr>
      <w:r>
        <w:rPr>
          <w:rFonts w:hint="eastAsia" w:ascii="宋体" w:hAnsi="宋体" w:cs="宋体"/>
          <w:b/>
          <w:bCs/>
          <w:sz w:val="24"/>
        </w:rPr>
        <w:t>（五）相关说明</w:t>
      </w:r>
    </w:p>
    <w:p w14:paraId="7FDB0734">
      <w:pPr>
        <w:spacing w:line="360" w:lineRule="auto"/>
        <w:ind w:firstLine="480"/>
        <w:rPr>
          <w:rFonts w:hint="eastAsia" w:ascii="宋体" w:hAnsi="宋体" w:cs="宋体"/>
          <w:sz w:val="24"/>
        </w:rPr>
      </w:pPr>
      <w:r>
        <w:rPr>
          <w:rFonts w:hint="eastAsia" w:ascii="宋体" w:hAnsi="宋体" w:cs="宋体"/>
          <w:sz w:val="24"/>
        </w:rPr>
        <w:t>1.供应商在合同期限内仅拥有供应商所投资的所有设备的产权，原采购人能源设备所有权均归采购人所有。</w:t>
      </w:r>
    </w:p>
    <w:p w14:paraId="59A1347E">
      <w:pPr>
        <w:spacing w:line="360" w:lineRule="auto"/>
        <w:ind w:firstLine="480"/>
        <w:rPr>
          <w:rFonts w:hint="eastAsia" w:ascii="宋体" w:hAnsi="宋体" w:cs="宋体"/>
          <w:sz w:val="24"/>
        </w:rPr>
      </w:pPr>
      <w:r>
        <w:rPr>
          <w:rFonts w:hint="eastAsia" w:ascii="宋体" w:hAnsi="宋体" w:cs="宋体"/>
          <w:sz w:val="24"/>
        </w:rPr>
        <w:t>2.在合同期限内，采购人、供应商所有能源系统设备其日常运营管理、维护保养及产生的费用是由采购人投资的均由采购人承担；供应商投资改造的磁悬浮机组、空调机房控制系统设备、空调末端控制设备、照明灯具、水电计量监测设备及智慧建筑综合能效管控平台等的日常操作、维护、保养工作由供应商负责；供应商投资改造的其他设备的日常操作、维护、保养工作仍由采购人原能源管理团队负责，但因维护保养及故障维修所产生的费用由供应商承担。</w:t>
      </w:r>
    </w:p>
    <w:p w14:paraId="1867BA84">
      <w:pPr>
        <w:spacing w:line="360" w:lineRule="auto"/>
        <w:ind w:firstLine="480"/>
        <w:rPr>
          <w:rFonts w:hint="eastAsia" w:ascii="宋体" w:hAnsi="宋体" w:cs="宋体"/>
          <w:sz w:val="24"/>
        </w:rPr>
      </w:pPr>
      <w:r>
        <w:rPr>
          <w:rFonts w:hint="eastAsia" w:ascii="宋体" w:hAnsi="宋体" w:cs="宋体"/>
          <w:sz w:val="24"/>
        </w:rPr>
        <w:t>3.合同期满后，供应商所投项目财产的所有权将无偿移交给采购人，供应商应保证项目财产正常运行。项目财产的所有权移交时，应同时移交本项目继续运行所必需的资料。如该项目财产的继续使用需要供应商的相关技术和／或相关知识产权的授权，供应商应当无偿向采购人提供仅适用于本项目的该等授权。如该项目财产的继续使用涉及第三方的服务，该服务的费用由采购人承担。</w:t>
      </w:r>
    </w:p>
    <w:p w14:paraId="5E6B0D47">
      <w:pPr>
        <w:spacing w:line="360" w:lineRule="auto"/>
        <w:ind w:firstLine="482"/>
        <w:rPr>
          <w:rFonts w:hint="eastAsia" w:ascii="宋体" w:hAnsi="宋体" w:cs="宋体"/>
          <w:b/>
          <w:bCs/>
          <w:sz w:val="24"/>
        </w:rPr>
      </w:pPr>
      <w:r>
        <w:rPr>
          <w:rFonts w:hint="eastAsia" w:ascii="宋体" w:hAnsi="宋体" w:cs="宋体"/>
          <w:b/>
          <w:bCs/>
          <w:sz w:val="24"/>
        </w:rPr>
        <w:t>五、管理要求</w:t>
      </w:r>
    </w:p>
    <w:p w14:paraId="4BE946E4">
      <w:pPr>
        <w:spacing w:line="360" w:lineRule="auto"/>
        <w:ind w:firstLine="482"/>
        <w:rPr>
          <w:rFonts w:hint="eastAsia" w:ascii="宋体" w:hAnsi="宋体" w:cs="宋体"/>
          <w:sz w:val="24"/>
        </w:rPr>
      </w:pPr>
      <w:r>
        <w:rPr>
          <w:rFonts w:hint="eastAsia" w:ascii="宋体" w:hAnsi="宋体" w:cs="宋体"/>
          <w:b/>
          <w:bCs/>
          <w:sz w:val="24"/>
        </w:rPr>
        <w:t>（一）人员组织</w:t>
      </w:r>
    </w:p>
    <w:p w14:paraId="4F517A76">
      <w:pPr>
        <w:spacing w:line="360" w:lineRule="auto"/>
        <w:ind w:firstLine="480"/>
        <w:rPr>
          <w:rFonts w:hint="eastAsia" w:ascii="宋体" w:hAnsi="宋体" w:cs="宋体"/>
          <w:sz w:val="24"/>
        </w:rPr>
      </w:pPr>
      <w:r>
        <w:rPr>
          <w:rFonts w:hint="eastAsia" w:ascii="宋体" w:hAnsi="宋体" w:cs="宋体"/>
          <w:sz w:val="24"/>
        </w:rPr>
        <w:t>供应商应为本项目配备经验丰富的项目团队,团队骨干成员应有能源系统管理、公共建筑节能改造、空调系统运维等相关经验。供应商应保证项目团队的主要人员的稳定性，在未经过采购人同意的情况下，供应商不得随意更换人员。采购人或供应商认为需要更换项目经理或项目团队成员时，均应提早两周向对方申明原因，供应商应同时提出新的符合合同要求的项目经理或项目团队成员人选，经采购人同意并办理交接手续后方可更换。</w:t>
      </w:r>
    </w:p>
    <w:p w14:paraId="03D3CE59">
      <w:pPr>
        <w:spacing w:line="360" w:lineRule="auto"/>
        <w:ind w:firstLine="480"/>
        <w:rPr>
          <w:rFonts w:hint="eastAsia" w:ascii="宋体" w:hAnsi="宋体" w:cs="宋体"/>
          <w:sz w:val="24"/>
        </w:rPr>
      </w:pPr>
      <w:r>
        <w:rPr>
          <w:rFonts w:hint="eastAsia" w:ascii="宋体" w:hAnsi="宋体" w:cs="宋体"/>
          <w:sz w:val="24"/>
        </w:rPr>
        <w:t>供应商应配备专业技术团队为本项目提供专业技术支持服务，专业技术人员应来自不同的专业领域，如网络专家、暖通设备专家、电力系统专家以及其它专业业务专家等。同时专家团队应对采购人指派的操作人员进行适当的培训，以使其能承担相应的操作和设施维护要求。</w:t>
      </w:r>
    </w:p>
    <w:p w14:paraId="6F9FD8C3">
      <w:pPr>
        <w:spacing w:line="360" w:lineRule="auto"/>
        <w:ind w:firstLine="480"/>
        <w:rPr>
          <w:rFonts w:hint="eastAsia" w:ascii="宋体" w:hAnsi="宋体" w:cs="宋体"/>
          <w:sz w:val="24"/>
        </w:rPr>
      </w:pPr>
      <w:r>
        <w:rPr>
          <w:rFonts w:hint="eastAsia" w:ascii="宋体" w:hAnsi="宋体" w:cs="宋体"/>
          <w:sz w:val="24"/>
        </w:rPr>
        <w:t>供应商应当确保其工作人员在项目实施、运行的整个过程中遵守采购人的相关规章制度。</w:t>
      </w:r>
    </w:p>
    <w:p w14:paraId="624BA607">
      <w:pPr>
        <w:spacing w:line="360" w:lineRule="auto"/>
        <w:ind w:firstLine="482"/>
        <w:rPr>
          <w:rFonts w:hint="eastAsia" w:ascii="宋体" w:hAnsi="宋体" w:cs="宋体"/>
          <w:b/>
          <w:bCs/>
          <w:sz w:val="24"/>
        </w:rPr>
      </w:pPr>
      <w:r>
        <w:rPr>
          <w:rFonts w:hint="eastAsia" w:ascii="宋体" w:hAnsi="宋体" w:cs="宋体"/>
          <w:b/>
          <w:bCs/>
          <w:sz w:val="24"/>
        </w:rPr>
        <w:t>（二）进度管理</w:t>
      </w:r>
    </w:p>
    <w:p w14:paraId="0B2D37AF">
      <w:pPr>
        <w:spacing w:line="360" w:lineRule="auto"/>
        <w:ind w:firstLine="480"/>
        <w:rPr>
          <w:rFonts w:hint="eastAsia" w:ascii="宋体" w:hAnsi="宋体" w:cs="宋体"/>
          <w:sz w:val="24"/>
        </w:rPr>
      </w:pPr>
      <w:r>
        <w:rPr>
          <w:rFonts w:hint="eastAsia" w:ascii="宋体" w:hAnsi="宋体" w:cs="宋体"/>
          <w:sz w:val="24"/>
        </w:rPr>
        <w:t>供应商应有详细计划，明确每个阶段的阶段目标、阶段交付物的成果、验收依据、双方的责任和义务等。节能改造实施方案经采购人同意，供应商应按项目方案文件规定的技术标准和要求以及本合同的规定，按时完成本项目的方案设计、建设。</w:t>
      </w:r>
    </w:p>
    <w:p w14:paraId="60BDDF95">
      <w:pPr>
        <w:spacing w:line="360" w:lineRule="auto"/>
        <w:ind w:firstLine="482"/>
        <w:rPr>
          <w:rFonts w:hint="eastAsia" w:ascii="宋体" w:hAnsi="宋体" w:cs="宋体"/>
          <w:b/>
          <w:bCs/>
          <w:sz w:val="24"/>
        </w:rPr>
      </w:pPr>
      <w:r>
        <w:rPr>
          <w:rFonts w:hint="eastAsia" w:ascii="宋体" w:hAnsi="宋体" w:cs="宋体"/>
          <w:b/>
          <w:bCs/>
          <w:sz w:val="24"/>
        </w:rPr>
        <w:t>（三）风险管理</w:t>
      </w:r>
    </w:p>
    <w:p w14:paraId="6F373B01">
      <w:pPr>
        <w:spacing w:line="360" w:lineRule="auto"/>
        <w:ind w:firstLine="480"/>
        <w:rPr>
          <w:rFonts w:hint="eastAsia" w:ascii="宋体" w:hAnsi="宋体" w:cs="宋体"/>
          <w:sz w:val="24"/>
        </w:rPr>
      </w:pPr>
      <w:r>
        <w:rPr>
          <w:rFonts w:hint="eastAsia" w:ascii="宋体" w:hAnsi="宋体" w:cs="宋体"/>
          <w:sz w:val="24"/>
        </w:rPr>
        <w:t>实际运行过程中，风险随时可能出现，供应商应根据项目实际情况加强风险管理，做好风险的识别，风险的量化分析，制定风险的应对预案,对供应商工作人员出现的安全问题由供应商负责。供应商应当确保其工作人员严格遵守采购人有关施工场地安全和卫生等方面的规定，并听从采购人合理的现场指挥。</w:t>
      </w:r>
    </w:p>
    <w:p w14:paraId="34DF9A70">
      <w:pPr>
        <w:spacing w:line="360" w:lineRule="auto"/>
        <w:ind w:firstLine="482"/>
        <w:rPr>
          <w:rFonts w:hint="eastAsia" w:ascii="宋体" w:hAnsi="宋体" w:cs="宋体"/>
          <w:sz w:val="24"/>
        </w:rPr>
      </w:pPr>
      <w:r>
        <w:rPr>
          <w:rFonts w:hint="eastAsia" w:ascii="宋体" w:hAnsi="宋体" w:cs="宋体"/>
          <w:b/>
          <w:bCs/>
          <w:sz w:val="24"/>
        </w:rPr>
        <w:t>（四）服务质量</w:t>
      </w:r>
    </w:p>
    <w:p w14:paraId="013484F2">
      <w:pPr>
        <w:spacing w:line="360" w:lineRule="auto"/>
        <w:ind w:firstLine="480"/>
        <w:rPr>
          <w:rFonts w:hint="eastAsia" w:ascii="宋体" w:hAnsi="宋体" w:cs="宋体"/>
          <w:sz w:val="24"/>
        </w:rPr>
      </w:pPr>
      <w:r>
        <w:rPr>
          <w:rFonts w:hint="eastAsia" w:ascii="宋体" w:hAnsi="宋体" w:cs="宋体"/>
          <w:sz w:val="24"/>
        </w:rPr>
        <w:t>供应商应建立严格的质量保证体系，制定项目服务质量控制方案和实施措施，并督促落实各环节质量控制内容和目标，确保安装和调试相关设备、设施应符合国家、行业有关施工管理法律法规和与项目相对应的技术标准规范要求，以及采购方合理的特有的施工、管理、质量要求。满足采购人对质量的要求。供应商应根据整个项目周期的工作计划，对阶段性工作成果进行审查和测试，并提交阶段性工作成果。通过保证各阶段性成果的质量，最终保证整个项目的质量。供应商应针对项目制定详细的质量管理方案。</w:t>
      </w:r>
    </w:p>
    <w:p w14:paraId="56DCEB9D">
      <w:pPr>
        <w:spacing w:line="360" w:lineRule="auto"/>
        <w:ind w:firstLine="482"/>
        <w:rPr>
          <w:rFonts w:hint="eastAsia" w:ascii="宋体" w:hAnsi="宋体" w:cs="宋体"/>
          <w:sz w:val="24"/>
        </w:rPr>
      </w:pPr>
      <w:r>
        <w:rPr>
          <w:rFonts w:hint="eastAsia" w:ascii="宋体" w:hAnsi="宋体" w:cs="宋体"/>
          <w:b/>
          <w:bCs/>
          <w:sz w:val="24"/>
        </w:rPr>
        <w:t>（五）文档要求</w:t>
      </w:r>
    </w:p>
    <w:p w14:paraId="7447CC9C">
      <w:pPr>
        <w:spacing w:line="360" w:lineRule="auto"/>
        <w:ind w:firstLine="480"/>
        <w:rPr>
          <w:rFonts w:hint="eastAsia" w:ascii="宋体" w:hAnsi="宋体" w:cs="宋体"/>
          <w:sz w:val="24"/>
        </w:rPr>
      </w:pPr>
      <w:r>
        <w:rPr>
          <w:rFonts w:hint="eastAsia" w:ascii="宋体" w:hAnsi="宋体" w:cs="宋体"/>
          <w:sz w:val="24"/>
        </w:rPr>
        <w:t>供应商应依照要求提供服务周期内的各类文档，除特别要求的文档，可采用电子文档的形式；供应商应按照采购人规定的文档格式、文档要求、提交周期准时的相关文档；供应商应提供所有的文档，主要包括：各项问题分析报告、典型经验总结、系统数据报告、系统数据分析报告、系统的优化建议方案等；除了常规报告类的文档，供应商需按照服务要求提供相关技术方案等临时性文档，还应配合采购人进行相关项目验收的资料准备、各项规章制度的编制、完善等文档类工作。</w:t>
      </w:r>
    </w:p>
    <w:p w14:paraId="01817B88">
      <w:pPr>
        <w:spacing w:line="360" w:lineRule="auto"/>
        <w:ind w:firstLine="482"/>
        <w:rPr>
          <w:rFonts w:hint="eastAsia" w:ascii="宋体" w:hAnsi="宋体" w:cs="宋体"/>
          <w:b/>
          <w:bCs/>
          <w:sz w:val="24"/>
        </w:rPr>
      </w:pPr>
      <w:r>
        <w:rPr>
          <w:rFonts w:hint="eastAsia" w:ascii="宋体" w:hAnsi="宋体" w:cs="宋体"/>
          <w:b/>
          <w:bCs/>
          <w:sz w:val="24"/>
        </w:rPr>
        <w:t>（六）知识产权</w:t>
      </w:r>
    </w:p>
    <w:p w14:paraId="5F6CB173">
      <w:pPr>
        <w:spacing w:line="360" w:lineRule="auto"/>
        <w:ind w:firstLine="480"/>
        <w:rPr>
          <w:rFonts w:hint="eastAsia" w:ascii="宋体" w:hAnsi="宋体" w:cs="宋体"/>
          <w:sz w:val="24"/>
        </w:rPr>
      </w:pPr>
      <w:r>
        <w:rPr>
          <w:rFonts w:hint="eastAsia" w:ascii="宋体" w:hAnsi="宋体" w:cs="宋体"/>
          <w:sz w:val="24"/>
        </w:rPr>
        <w:t>对于结合采购人专门服务需求开发的部分，采购人享有知识产权。供应商在项目服务过程中涉及第三方产品，若出现技术、经济或法律上的纠纷，应由供应商全面承担解决，确保不影响工作的正常开展。</w:t>
      </w:r>
    </w:p>
    <w:p w14:paraId="67E06696">
      <w:pPr>
        <w:spacing w:line="360" w:lineRule="auto"/>
        <w:ind w:firstLine="482"/>
        <w:rPr>
          <w:rFonts w:hint="eastAsia" w:ascii="宋体" w:hAnsi="宋体" w:cs="宋体"/>
          <w:b/>
          <w:bCs/>
          <w:sz w:val="24"/>
        </w:rPr>
      </w:pPr>
      <w:r>
        <w:rPr>
          <w:rFonts w:hint="eastAsia" w:ascii="宋体" w:hAnsi="宋体" w:cs="宋体"/>
          <w:b/>
          <w:bCs/>
          <w:sz w:val="24"/>
        </w:rPr>
        <w:t>（七）合同变更要求</w:t>
      </w:r>
    </w:p>
    <w:p w14:paraId="26CC7DAF">
      <w:pPr>
        <w:spacing w:line="360" w:lineRule="auto"/>
        <w:ind w:firstLine="480"/>
        <w:rPr>
          <w:rFonts w:hint="eastAsia" w:ascii="宋体" w:hAnsi="宋体" w:cs="宋体"/>
          <w:sz w:val="24"/>
        </w:rPr>
      </w:pPr>
      <w:r>
        <w:rPr>
          <w:rFonts w:hint="eastAsia" w:ascii="宋体" w:hAnsi="宋体" w:cs="宋体"/>
          <w:sz w:val="24"/>
        </w:rPr>
        <w:t>如在项目服务过程中需要调整合同中规定的工作内容，需经供应商与采购人共同同意，按合同变更程序办理。</w:t>
      </w:r>
    </w:p>
    <w:p w14:paraId="0DFE595A">
      <w:pPr>
        <w:spacing w:line="360" w:lineRule="auto"/>
        <w:ind w:firstLine="482"/>
        <w:rPr>
          <w:rFonts w:hint="eastAsia" w:ascii="宋体" w:hAnsi="宋体" w:cs="宋体"/>
          <w:b/>
          <w:bCs/>
          <w:sz w:val="24"/>
        </w:rPr>
      </w:pPr>
      <w:r>
        <w:rPr>
          <w:rFonts w:hint="eastAsia" w:ascii="宋体" w:hAnsi="宋体" w:cs="宋体"/>
          <w:b/>
          <w:bCs/>
          <w:sz w:val="24"/>
        </w:rPr>
        <w:t>（八）保密要求</w:t>
      </w:r>
    </w:p>
    <w:p w14:paraId="71B67CB4">
      <w:pPr>
        <w:spacing w:line="360" w:lineRule="auto"/>
        <w:ind w:firstLine="480"/>
        <w:rPr>
          <w:rFonts w:hint="eastAsia" w:ascii="宋体" w:hAnsi="宋体" w:cs="宋体"/>
          <w:sz w:val="24"/>
        </w:rPr>
      </w:pPr>
      <w:r>
        <w:rPr>
          <w:rFonts w:hint="eastAsia" w:ascii="宋体" w:hAnsi="宋体" w:cs="宋体"/>
          <w:sz w:val="24"/>
        </w:rPr>
        <w:t>1.供应商必须严格遵守采购人信息安全方面的要求。对于参与项目的人员均需要签订统一的信息保密协议。</w:t>
      </w:r>
    </w:p>
    <w:p w14:paraId="00DAE946">
      <w:pPr>
        <w:spacing w:line="360" w:lineRule="auto"/>
        <w:ind w:firstLine="480"/>
        <w:rPr>
          <w:rFonts w:hint="eastAsia" w:ascii="宋体" w:hAnsi="宋体" w:cs="宋体"/>
          <w:sz w:val="24"/>
        </w:rPr>
      </w:pPr>
      <w:r>
        <w:rPr>
          <w:rFonts w:hint="eastAsia" w:ascii="宋体" w:hAnsi="宋体" w:cs="宋体"/>
          <w:sz w:val="24"/>
        </w:rPr>
        <w:t>2.供应商应对以下信息进行保密，具体包括：</w:t>
      </w:r>
    </w:p>
    <w:p w14:paraId="6933DAD9">
      <w:pPr>
        <w:spacing w:line="360" w:lineRule="auto"/>
        <w:ind w:firstLine="480"/>
        <w:rPr>
          <w:rFonts w:hint="eastAsia" w:ascii="宋体" w:hAnsi="宋体" w:cs="宋体"/>
          <w:sz w:val="24"/>
        </w:rPr>
      </w:pPr>
      <w:r>
        <w:rPr>
          <w:rFonts w:hint="eastAsia" w:ascii="宋体" w:hAnsi="宋体" w:cs="宋体"/>
          <w:sz w:val="24"/>
        </w:rPr>
        <w:t>项目信息：如业务流程、技术方案、业务数据（静态数据、动态数据、历史数据）、报表指标、技术指标、计算机软件、数据库、操作手册、技术资料等。</w:t>
      </w:r>
    </w:p>
    <w:p w14:paraId="055FAE6C">
      <w:pPr>
        <w:spacing w:line="360" w:lineRule="auto"/>
        <w:ind w:firstLine="480"/>
        <w:rPr>
          <w:rFonts w:hint="eastAsia" w:ascii="宋体" w:hAnsi="宋体" w:cs="宋体"/>
          <w:sz w:val="24"/>
        </w:rPr>
      </w:pPr>
      <w:r>
        <w:rPr>
          <w:rFonts w:hint="eastAsia" w:ascii="宋体" w:hAnsi="宋体" w:cs="宋体"/>
          <w:sz w:val="24"/>
        </w:rPr>
        <w:t>保密信息既包括书面认定为保密或专有的，又包括口头给予，随即被书面确认为保密或专有的信息。保密信息存储介质包括但不限于纸质文档、电子文档、光盘、U盘、服务器等文档。</w:t>
      </w:r>
    </w:p>
    <w:p w14:paraId="42B32047">
      <w:pPr>
        <w:spacing w:line="360" w:lineRule="auto"/>
        <w:ind w:firstLine="480"/>
        <w:rPr>
          <w:rFonts w:hint="eastAsia" w:ascii="宋体" w:hAnsi="宋体" w:cs="宋体"/>
          <w:sz w:val="24"/>
        </w:rPr>
      </w:pPr>
      <w:r>
        <w:rPr>
          <w:rFonts w:hint="eastAsia" w:ascii="宋体" w:hAnsi="宋体" w:cs="宋体"/>
          <w:sz w:val="24"/>
        </w:rPr>
        <w:t>3.供应商组建的项目成员在项目单位履行职责期间，必须遵守采购人规定的任何成文或不成文的保密规章、制度，履行与其工作岗位相应的保密职责。不向不承担相应保密义务的任何第三人披露采购人的商业秘密。</w:t>
      </w:r>
    </w:p>
    <w:p w14:paraId="6CEA22BA">
      <w:pPr>
        <w:spacing w:line="360" w:lineRule="auto"/>
        <w:ind w:firstLine="482"/>
        <w:rPr>
          <w:rFonts w:hint="eastAsia" w:ascii="宋体" w:hAnsi="宋体" w:cs="宋体"/>
          <w:b/>
          <w:bCs/>
          <w:sz w:val="24"/>
        </w:rPr>
      </w:pPr>
      <w:r>
        <w:rPr>
          <w:rFonts w:hint="eastAsia" w:ascii="宋体" w:hAnsi="宋体" w:cs="宋体"/>
          <w:b/>
          <w:bCs/>
          <w:sz w:val="24"/>
        </w:rPr>
        <w:t>六、相关要求</w:t>
      </w:r>
    </w:p>
    <w:p w14:paraId="6D4318BA">
      <w:pPr>
        <w:spacing w:line="360" w:lineRule="auto"/>
        <w:ind w:firstLine="480"/>
        <w:rPr>
          <w:rFonts w:hint="eastAsia" w:ascii="宋体" w:hAnsi="宋体" w:cs="宋体"/>
          <w:sz w:val="24"/>
        </w:rPr>
      </w:pPr>
      <w:r>
        <w:rPr>
          <w:rFonts w:hint="eastAsia" w:ascii="宋体" w:hAnsi="宋体" w:cs="宋体"/>
          <w:sz w:val="24"/>
        </w:rPr>
        <w:t>1.采购人根据项目整体节能降耗比例及核心数据达标情况，对供应商进行奖惩。具体奖惩办法由双方另行协商确定。</w:t>
      </w:r>
    </w:p>
    <w:p w14:paraId="42188BC9">
      <w:pPr>
        <w:spacing w:line="360" w:lineRule="auto"/>
        <w:ind w:firstLine="480"/>
        <w:rPr>
          <w:rFonts w:hint="eastAsia" w:ascii="宋体" w:hAnsi="宋体" w:cs="宋体"/>
          <w:sz w:val="24"/>
        </w:rPr>
      </w:pPr>
      <w:r>
        <w:rPr>
          <w:rFonts w:hint="eastAsia" w:ascii="宋体" w:hAnsi="宋体" w:cs="宋体"/>
          <w:sz w:val="24"/>
        </w:rPr>
        <w:t>2.该项目论证、评审、验收、招投标等产生的费用由供应商支付。</w:t>
      </w:r>
    </w:p>
    <w:p w14:paraId="42B76D5E">
      <w:pPr>
        <w:spacing w:line="360" w:lineRule="auto"/>
        <w:ind w:firstLine="480"/>
        <w:rPr>
          <w:rFonts w:hint="eastAsia" w:ascii="宋体" w:hAnsi="宋体" w:cs="宋体"/>
          <w:sz w:val="24"/>
        </w:rPr>
      </w:pPr>
      <w:r>
        <w:rPr>
          <w:rFonts w:hint="eastAsia" w:ascii="宋体" w:hAnsi="宋体" w:cs="宋体"/>
          <w:sz w:val="24"/>
        </w:rPr>
        <w:t>3.如单位年度内发生用能设备增、减（20kW及以上），极端天气及设备损坏、遭外力破坏、办公人员增减（50人及以上）、能源资源价格调整等原因导致的能源消耗发生重大变化，双方可协商能源费用调整方式，具体方式以书面补充协议形式确定。</w:t>
      </w:r>
    </w:p>
    <w:p w14:paraId="11EB96B4">
      <w:pPr>
        <w:spacing w:line="360" w:lineRule="auto"/>
        <w:ind w:firstLine="480"/>
        <w:rPr>
          <w:rFonts w:eastAsia="仿宋"/>
        </w:rPr>
      </w:pPr>
      <w:r>
        <w:rPr>
          <w:rFonts w:hint="eastAsia" w:ascii="宋体" w:hAnsi="宋体" w:cs="宋体"/>
          <w:sz w:val="24"/>
        </w:rPr>
        <w:t>4.能源审计是采购人能源系统能源消耗状况的依据，能源审计费用由中标供应商承担，且在托管期内中标供应商须每年委托第三方能源审计机构进行节能量核定，该核定作为当年度节能目标考核依据，节能量核定费用由中标供应商承担。</w:t>
      </w:r>
    </w:p>
    <w:p w14:paraId="16012BEB">
      <w:pPr>
        <w:spacing w:line="360" w:lineRule="auto"/>
        <w:ind w:firstLine="482"/>
        <w:rPr>
          <w:rFonts w:hint="eastAsia" w:ascii="宋体" w:hAnsi="宋体" w:cs="宋体"/>
          <w:sz w:val="24"/>
        </w:rPr>
      </w:pPr>
      <w:r>
        <w:rPr>
          <w:rFonts w:hint="eastAsia" w:ascii="宋体" w:hAnsi="宋体" w:cs="宋体"/>
          <w:b/>
          <w:bCs/>
          <w:sz w:val="24"/>
        </w:rPr>
        <w:t>七、服务要求</w:t>
      </w:r>
    </w:p>
    <w:p w14:paraId="45FE9682">
      <w:pPr>
        <w:spacing w:line="360" w:lineRule="auto"/>
        <w:ind w:firstLine="480"/>
        <w:rPr>
          <w:rFonts w:hint="eastAsia" w:ascii="宋体" w:hAnsi="宋体" w:cs="宋体"/>
          <w:sz w:val="24"/>
        </w:rPr>
      </w:pPr>
      <w:r>
        <w:rPr>
          <w:rFonts w:hint="eastAsia" w:ascii="宋体" w:hAnsi="宋体" w:cs="宋体"/>
          <w:sz w:val="24"/>
        </w:rPr>
        <w:t>供冷质量：供冷季保证每天室内温度标准≥26℃且≤28℃。</w:t>
      </w:r>
    </w:p>
    <w:p w14:paraId="52E0E5A6">
      <w:pPr>
        <w:spacing w:line="360" w:lineRule="auto"/>
        <w:ind w:firstLine="480"/>
        <w:rPr>
          <w:rFonts w:hint="eastAsia" w:ascii="宋体" w:hAnsi="宋体" w:cs="宋体"/>
          <w:sz w:val="24"/>
        </w:rPr>
      </w:pPr>
      <w:r>
        <w:rPr>
          <w:rFonts w:hint="eastAsia" w:ascii="宋体" w:hAnsi="宋体" w:cs="宋体"/>
          <w:sz w:val="24"/>
        </w:rPr>
        <w:t>服务指标：项目服务满意率95%以上；能源消耗量、能源费用、峰谷电比等核心数据维持较好应用水平，并呈现持续改进态势。</w:t>
      </w:r>
    </w:p>
    <w:p w14:paraId="18D6E4C7">
      <w:pPr>
        <w:spacing w:line="360" w:lineRule="auto"/>
        <w:ind w:firstLine="480"/>
        <w:rPr>
          <w:rFonts w:hint="eastAsia" w:ascii="宋体" w:hAnsi="宋体" w:cs="宋体"/>
          <w:sz w:val="24"/>
        </w:rPr>
      </w:pPr>
      <w:r>
        <w:rPr>
          <w:rFonts w:hint="eastAsia" w:ascii="宋体" w:hAnsi="宋体" w:cs="宋体"/>
          <w:sz w:val="24"/>
        </w:rPr>
        <w:t>服务时间：提供365天*24小时的不间断运维服务指导，为用户提供最灵活的用能体验。</w:t>
      </w:r>
    </w:p>
    <w:p w14:paraId="0713671C">
      <w:pPr>
        <w:spacing w:line="360" w:lineRule="auto"/>
        <w:ind w:firstLine="480"/>
        <w:rPr>
          <w:rFonts w:hint="eastAsia" w:ascii="宋体" w:hAnsi="宋体" w:cs="宋体"/>
          <w:sz w:val="24"/>
        </w:rPr>
      </w:pPr>
      <w:r>
        <w:rPr>
          <w:rFonts w:hint="eastAsia" w:ascii="宋体" w:hAnsi="宋体" w:cs="宋体"/>
          <w:sz w:val="24"/>
        </w:rPr>
        <w:t>故障响应时间：设备发生故障应在2小时内予以响应，8小时内修复，因特殊零配件原因48小时内修复，并持续协助故障的最终解答或解决。</w:t>
      </w:r>
    </w:p>
    <w:p w14:paraId="0E675539">
      <w:pPr>
        <w:spacing w:line="360" w:lineRule="auto"/>
        <w:ind w:firstLine="480"/>
        <w:rPr>
          <w:rFonts w:hint="eastAsia" w:ascii="宋体" w:hAnsi="宋体" w:cs="宋体"/>
          <w:sz w:val="24"/>
        </w:rPr>
      </w:pPr>
      <w:r>
        <w:rPr>
          <w:rFonts w:hint="eastAsia" w:ascii="宋体" w:hAnsi="宋体" w:cs="宋体"/>
          <w:sz w:val="24"/>
        </w:rPr>
        <w:t>项目保障：建立健全项目相关组织构架、设备、系统、记录、创新、奖惩等各环节、多维度的规章制度，并执行到位。</w:t>
      </w:r>
    </w:p>
    <w:p w14:paraId="2D3D1A17">
      <w:pPr>
        <w:spacing w:line="360" w:lineRule="auto"/>
        <w:ind w:firstLine="480"/>
        <w:rPr>
          <w:rFonts w:hint="eastAsia" w:ascii="宋体" w:hAnsi="宋体" w:cs="宋体"/>
          <w:sz w:val="24"/>
        </w:rPr>
      </w:pPr>
      <w:r>
        <w:rPr>
          <w:rFonts w:hint="eastAsia" w:ascii="宋体" w:hAnsi="宋体" w:cs="宋体"/>
          <w:sz w:val="24"/>
        </w:rPr>
        <w:t>供冷周期：供冷周期一般为当年的5月20日至9月30日。如采购人提出个性化需求，则以采购人需求为准。</w:t>
      </w:r>
    </w:p>
    <w:p w14:paraId="1C1EA88B">
      <w:pPr>
        <w:spacing w:line="360" w:lineRule="auto"/>
        <w:ind w:firstLine="482"/>
        <w:rPr>
          <w:rFonts w:hint="eastAsia" w:ascii="宋体" w:hAnsi="宋体" w:cs="宋体"/>
          <w:b/>
          <w:bCs/>
          <w:sz w:val="24"/>
        </w:rPr>
      </w:pPr>
      <w:r>
        <w:rPr>
          <w:rFonts w:hint="eastAsia" w:ascii="宋体" w:hAnsi="宋体" w:cs="宋体"/>
          <w:b/>
          <w:bCs/>
          <w:sz w:val="24"/>
        </w:rPr>
        <w:t>八、质量要求：</w:t>
      </w:r>
      <w:r>
        <w:rPr>
          <w:rFonts w:hint="eastAsia" w:ascii="宋体" w:hAnsi="宋体" w:cs="宋体"/>
          <w:sz w:val="24"/>
        </w:rPr>
        <w:t>符合国家相关技术规范和要求</w:t>
      </w:r>
    </w:p>
    <w:p w14:paraId="5F349B36">
      <w:pPr>
        <w:spacing w:line="360" w:lineRule="auto"/>
        <w:ind w:firstLine="482"/>
        <w:rPr>
          <w:rFonts w:hint="eastAsia" w:ascii="宋体" w:hAnsi="宋体" w:cs="宋体"/>
          <w:b/>
          <w:bCs/>
          <w:sz w:val="24"/>
        </w:rPr>
      </w:pPr>
      <w:r>
        <w:rPr>
          <w:rFonts w:hint="eastAsia" w:ascii="宋体" w:hAnsi="宋体" w:cs="宋体"/>
          <w:b/>
          <w:bCs/>
          <w:sz w:val="24"/>
        </w:rPr>
        <w:t>九、服务期限：</w:t>
      </w:r>
      <w:r>
        <w:rPr>
          <w:rFonts w:hint="eastAsia" w:ascii="宋体" w:hAnsi="宋体" w:cs="宋体"/>
          <w:sz w:val="24"/>
        </w:rPr>
        <w:t>10年，自项目改造完成投入使用之日起至托管期限届满。</w:t>
      </w:r>
    </w:p>
    <w:p w14:paraId="003341BC">
      <w:pPr>
        <w:spacing w:line="360" w:lineRule="auto"/>
        <w:ind w:firstLine="482"/>
        <w:rPr>
          <w:rFonts w:hint="eastAsia" w:ascii="宋体" w:hAnsi="宋体" w:cs="宋体"/>
          <w:b/>
          <w:bCs/>
          <w:sz w:val="24"/>
        </w:rPr>
      </w:pPr>
      <w:r>
        <w:rPr>
          <w:rFonts w:hint="eastAsia" w:ascii="宋体" w:hAnsi="宋体" w:cs="宋体"/>
          <w:b/>
          <w:bCs/>
          <w:sz w:val="24"/>
        </w:rPr>
        <w:t>十、改造期限：</w:t>
      </w:r>
      <w:r>
        <w:rPr>
          <w:rFonts w:hint="eastAsia" w:ascii="宋体" w:hAnsi="宋体" w:cs="宋体"/>
          <w:sz w:val="24"/>
        </w:rPr>
        <w:t>自合同签订之日120天内改造完工并验收合格投入使用。</w:t>
      </w:r>
    </w:p>
    <w:p w14:paraId="496D77FA">
      <w:pPr>
        <w:spacing w:line="360" w:lineRule="auto"/>
        <w:ind w:firstLine="482"/>
        <w:rPr>
          <w:rFonts w:hint="eastAsia" w:asciiTheme="minorEastAsia" w:hAnsiTheme="minorEastAsia" w:cstheme="minorEastAsia"/>
          <w:szCs w:val="21"/>
        </w:rPr>
      </w:pPr>
      <w:r>
        <w:rPr>
          <w:rFonts w:hint="eastAsia" w:ascii="宋体" w:hAnsi="宋体" w:cs="宋体"/>
          <w:b/>
          <w:bCs/>
          <w:sz w:val="24"/>
        </w:rPr>
        <w:t>十一、节能率要求：</w:t>
      </w:r>
      <w:r>
        <w:rPr>
          <w:rFonts w:hint="eastAsia" w:ascii="宋体" w:hAnsi="宋体" w:cs="宋体"/>
          <w:sz w:val="24"/>
        </w:rPr>
        <w:t>整体项目实施改造后年综合节能率不低于10%。投标人在投标方案中明确体现节约能源理论值测算过程。</w:t>
      </w:r>
    </w:p>
    <w:p w14:paraId="7678829D">
      <w:pPr>
        <w:widowControl/>
        <w:spacing w:line="520" w:lineRule="exact"/>
        <w:ind w:firstLine="482" w:firstLineChars="200"/>
        <w:jc w:val="left"/>
        <w:rPr>
          <w:kern w:val="0"/>
          <w:sz w:val="28"/>
          <w:szCs w:val="28"/>
        </w:rPr>
      </w:pPr>
      <w:r>
        <w:rPr>
          <w:rFonts w:hint="eastAsia" w:ascii="宋体" w:hAnsi="宋体" w:cs="宋体"/>
          <w:b/>
          <w:bCs/>
          <w:sz w:val="24"/>
        </w:rPr>
        <w:t>十二、其他要求：见招标文件《拟签订的合同文本》。</w:t>
      </w:r>
    </w:p>
    <w:p w14:paraId="3854BD70">
      <w:pPr>
        <w:spacing w:line="360" w:lineRule="auto"/>
        <w:rPr>
          <w:sz w:val="20"/>
          <w:szCs w:val="20"/>
        </w:rPr>
      </w:pPr>
    </w:p>
    <w:p w14:paraId="24116ADC">
      <w:pPr>
        <w:pStyle w:val="8"/>
        <w:ind w:left="0" w:firstLine="0"/>
        <w:rPr>
          <w:rFonts w:ascii="Times New Roman" w:eastAsia="宋体"/>
          <w:sz w:val="20"/>
        </w:rPr>
      </w:pPr>
    </w:p>
    <w:p w14:paraId="12F967E9">
      <w:pPr>
        <w:pStyle w:val="8"/>
        <w:rPr>
          <w:rFonts w:ascii="Times New Roman" w:eastAsia="宋体"/>
          <w:sz w:val="20"/>
        </w:rPr>
      </w:pPr>
    </w:p>
    <w:p w14:paraId="27FF9149">
      <w:pPr>
        <w:pStyle w:val="8"/>
        <w:rPr>
          <w:rFonts w:ascii="Times New Roman" w:eastAsia="宋体"/>
          <w:sz w:val="20"/>
        </w:rPr>
      </w:pPr>
    </w:p>
    <w:p w14:paraId="7B36C3A0">
      <w:pPr>
        <w:spacing w:before="212" w:after="120" w:line="360" w:lineRule="auto"/>
        <w:ind w:right="43"/>
        <w:rPr>
          <w:rFonts w:hint="eastAsia" w:ascii="宋体" w:hAnsi="宋体" w:cs="宋体"/>
          <w:b/>
          <w:bCs/>
          <w:spacing w:val="3"/>
          <w:sz w:val="24"/>
        </w:rPr>
      </w:pPr>
      <w:r>
        <w:rPr>
          <w:rFonts w:hint="eastAsia" w:ascii="宋体" w:hAnsi="宋体" w:cs="宋体"/>
          <w:b/>
          <w:bCs/>
          <w:spacing w:val="3"/>
          <w:sz w:val="24"/>
        </w:rPr>
        <w:t>本项目申请人的资格要求：</w:t>
      </w:r>
    </w:p>
    <w:p w14:paraId="266EDEBF">
      <w:pPr>
        <w:numPr>
          <w:ilvl w:val="0"/>
          <w:numId w:val="2"/>
        </w:numPr>
        <w:spacing w:before="212" w:after="120" w:line="360" w:lineRule="auto"/>
        <w:ind w:right="43"/>
        <w:rPr>
          <w:rFonts w:hint="eastAsia" w:ascii="宋体" w:hAnsi="宋体" w:cs="宋体"/>
          <w:spacing w:val="3"/>
          <w:sz w:val="24"/>
        </w:rPr>
      </w:pPr>
      <w:r>
        <w:rPr>
          <w:rFonts w:hint="eastAsia" w:ascii="宋体" w:hAnsi="宋体" w:cs="宋体"/>
          <w:spacing w:val="3"/>
          <w:sz w:val="24"/>
        </w:rPr>
        <w:t>满足《中华人民共和国政府采购法》第二十二条规定；</w:t>
      </w:r>
    </w:p>
    <w:p w14:paraId="43C8F32A">
      <w:pPr>
        <w:pStyle w:val="18"/>
        <w:ind w:firstLine="480" w:firstLineChars="200"/>
        <w:rPr>
          <w:rFonts w:hint="eastAsia" w:ascii="宋体" w:hAnsi="宋体" w:cs="宋体"/>
          <w:sz w:val="24"/>
        </w:rPr>
      </w:pPr>
      <w:r>
        <w:rPr>
          <w:rFonts w:hint="eastAsia" w:ascii="宋体" w:hAnsi="宋体" w:cs="宋体"/>
          <w:sz w:val="24"/>
        </w:rPr>
        <w:t>（1）投标人合法有效的法人或者其他组织的营业执照等证明文件，自然人的身份证明，以上证明文件提供原件的扫描件，加盖电子签章，上传至电子标书；</w:t>
      </w:r>
    </w:p>
    <w:p w14:paraId="1E63BE36">
      <w:pPr>
        <w:pStyle w:val="18"/>
        <w:ind w:firstLine="480" w:firstLineChars="200"/>
        <w:rPr>
          <w:rFonts w:hint="eastAsia" w:ascii="宋体" w:hAnsi="宋体" w:cs="宋体"/>
          <w:sz w:val="24"/>
        </w:rPr>
      </w:pPr>
      <w:r>
        <w:rPr>
          <w:rFonts w:hint="eastAsia" w:ascii="宋体" w:hAnsi="宋体" w:cs="宋体"/>
          <w:sz w:val="24"/>
        </w:rPr>
        <w:t>（2）财务状况报告，至少提供：（（1）供应商的“首次响应文件提交的截止时间”前6个月内任何1月（不含“首次响应文件提交的截止时间”当月）的资产负债表的扫描件1份；（2）供应商的“首次响应文件提交的截止时间”前6个月内任何1月（不含“首次响应文件提交的截止时间”当月）的利润表月报表的扫描件1份。或合法有效的经第三方机构审计的年度财务审计报告（复印件）（2024年度，应包括审计报告正文、资产负债表、现金流量表、利润表）。</w:t>
      </w:r>
    </w:p>
    <w:p w14:paraId="3F08C391">
      <w:pPr>
        <w:pStyle w:val="18"/>
        <w:ind w:firstLine="480" w:firstLineChars="200"/>
        <w:rPr>
          <w:rFonts w:hint="eastAsia" w:ascii="宋体" w:hAnsi="宋体" w:cs="宋体"/>
          <w:spacing w:val="3"/>
          <w:sz w:val="24"/>
        </w:rPr>
      </w:pPr>
      <w:r>
        <w:rPr>
          <w:rFonts w:hint="eastAsia" w:ascii="宋体" w:hAnsi="宋体" w:cs="宋体"/>
          <w:sz w:val="24"/>
        </w:rPr>
        <w:t>（3）供应商的提交首次投标文件时间前6个月内任何一个月的依法缴纳税收和社会保障资金的相关材料电子扫描件，依法免税或不需要缴纳社会保障资金的投标人应提供相应其依法免税或不需要缴纳社会保障资金的证明文件。</w:t>
      </w:r>
    </w:p>
    <w:p w14:paraId="4293B641">
      <w:pPr>
        <w:spacing w:before="212" w:after="120" w:line="360" w:lineRule="auto"/>
        <w:ind w:right="43"/>
        <w:rPr>
          <w:rFonts w:hint="eastAsia" w:ascii="宋体" w:hAnsi="宋体" w:cs="宋体"/>
          <w:sz w:val="24"/>
          <w:szCs w:val="24"/>
        </w:rPr>
      </w:pPr>
      <w:r>
        <w:rPr>
          <w:rFonts w:hint="eastAsia" w:ascii="宋体" w:hAnsi="宋体" w:cs="宋体"/>
          <w:spacing w:val="3"/>
          <w:sz w:val="24"/>
          <w:szCs w:val="24"/>
        </w:rPr>
        <w:t>2.落实政府采购政策需满足的资格要求:</w:t>
      </w:r>
      <w:r>
        <w:rPr>
          <w:rFonts w:hint="eastAsia" w:ascii="宋体" w:hAnsi="宋体" w:cs="宋体"/>
          <w:sz w:val="24"/>
          <w:szCs w:val="24"/>
        </w:rPr>
        <w:t>此项目不属于专门面向中小微企业采购的项目。</w:t>
      </w:r>
    </w:p>
    <w:p w14:paraId="185648BD">
      <w:pPr>
        <w:pStyle w:val="23"/>
        <w:rPr>
          <w:rFonts w:hint="eastAsia" w:cs="宋体"/>
          <w:bCs/>
          <w:sz w:val="24"/>
          <w:szCs w:val="24"/>
        </w:rPr>
      </w:pPr>
      <w:r>
        <w:rPr>
          <w:rFonts w:hint="eastAsia" w:cs="宋体"/>
          <w:bCs/>
          <w:sz w:val="24"/>
          <w:szCs w:val="24"/>
        </w:rPr>
        <w:t>本项目的特定资格要求：</w:t>
      </w:r>
    </w:p>
    <w:p w14:paraId="13B0E0D8">
      <w:pPr>
        <w:pStyle w:val="8"/>
        <w:rPr>
          <w:rFonts w:hint="eastAsia" w:ascii="宋体" w:hAnsi="宋体" w:eastAsia="宋体" w:cs="宋体"/>
          <w:b/>
          <w:sz w:val="24"/>
          <w:szCs w:val="24"/>
        </w:rPr>
      </w:pPr>
      <w:r>
        <w:rPr>
          <w:rFonts w:hint="eastAsia" w:ascii="宋体" w:hAnsi="宋体" w:eastAsia="宋体" w:cs="宋体"/>
          <w:b/>
          <w:sz w:val="24"/>
          <w:szCs w:val="24"/>
        </w:rPr>
        <w:t>（1）供应商资质类别和等级：</w:t>
      </w:r>
      <w:bookmarkStart w:id="6" w:name="_GoBack"/>
      <w:bookmarkEnd w:id="6"/>
      <w:r>
        <w:rPr>
          <w:rFonts w:hint="eastAsia" w:ascii="宋体" w:hAnsi="宋体" w:eastAsia="宋体" w:cs="宋体"/>
          <w:b/>
          <w:sz w:val="24"/>
          <w:szCs w:val="24"/>
        </w:rPr>
        <w:t>具有机电工程施工总承包叁级及以上资质或建筑机电安装工程专业承包贰级及以上资质，并具备合格有效的安全生产许可证；</w:t>
      </w:r>
    </w:p>
    <w:p w14:paraId="5D998557">
      <w:pPr>
        <w:pStyle w:val="8"/>
        <w:rPr>
          <w:rFonts w:hint="eastAsia" w:ascii="宋体" w:hAnsi="宋体" w:eastAsia="宋体" w:cs="宋体"/>
          <w:b/>
          <w:sz w:val="24"/>
          <w:szCs w:val="24"/>
        </w:rPr>
      </w:pPr>
      <w:r>
        <w:rPr>
          <w:rFonts w:hint="eastAsia" w:ascii="宋体" w:hAnsi="宋体" w:eastAsia="宋体" w:cs="宋体"/>
          <w:b/>
          <w:sz w:val="24"/>
          <w:szCs w:val="24"/>
        </w:rPr>
        <w:t>（2）拟选派项目负责人应为本单位注册的机电工程专业二级（及以上）建造师及安全生产考核合格证书（B证）；</w:t>
      </w:r>
    </w:p>
    <w:p w14:paraId="6E4DE9AA">
      <w:pPr>
        <w:pStyle w:val="8"/>
        <w:rPr>
          <w:rFonts w:hint="eastAsia" w:ascii="宋体" w:hAnsi="宋体" w:eastAsia="宋体" w:cs="宋体"/>
          <w:b/>
          <w:sz w:val="24"/>
          <w:szCs w:val="24"/>
        </w:rPr>
      </w:pPr>
      <w:r>
        <w:rPr>
          <w:rFonts w:hint="eastAsia" w:ascii="宋体" w:hAnsi="宋体" w:eastAsia="宋体" w:cs="宋体"/>
          <w:b/>
          <w:sz w:val="24"/>
          <w:szCs w:val="24"/>
        </w:rPr>
        <w:t>（3）必须设置独立的专职安全员，专职安全员具备有效的《建筑施工企业专职安全生产管理人员安全生产知识考核合格证书》（C类证）</w:t>
      </w:r>
    </w:p>
    <w:p w14:paraId="40D25741">
      <w:pPr>
        <w:pStyle w:val="8"/>
        <w:rPr>
          <w:rFonts w:hint="eastAsia" w:ascii="宋体" w:hAnsi="宋体" w:eastAsia="宋体" w:cs="宋体"/>
          <w:sz w:val="21"/>
          <w:szCs w:val="21"/>
        </w:rPr>
      </w:pPr>
      <w:r>
        <w:rPr>
          <w:rFonts w:hint="eastAsia" w:ascii="宋体" w:hAnsi="宋体" w:eastAsia="宋体" w:cs="宋体"/>
          <w:b/>
          <w:sz w:val="24"/>
          <w:szCs w:val="24"/>
        </w:rPr>
        <w:t>以联合体形式参加投标的，联合体应当满足采购项目的全部要求，并在联合协议中载明联合体各方承担的工作和义务。联合体中有同类资质的供应商按照联合体分工承担相同工作的，应当按照资质等级较低的供应商确定联合体资质等级，联合体最多由三家单位组成。</w:t>
      </w:r>
    </w:p>
    <w:p w14:paraId="627AD4C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705106-0E2A-4E03-978C-3FBAF0EB07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F78A2554-BE1B-4376-AC1B-FF2A6E00402F}"/>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9"/>
      <w:numFmt w:val="chineseCounting"/>
      <w:pStyle w:val="34"/>
      <w:suff w:val="nothing"/>
      <w:lvlText w:val="%1、"/>
      <w:lvlJc w:val="left"/>
      <w:rPr>
        <w:rFonts w:hint="eastAsia"/>
        <w:b/>
        <w:bCs/>
        <w:sz w:val="22"/>
        <w:szCs w:val="22"/>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28B208F0"/>
    <w:multiLevelType w:val="singleLevel"/>
    <w:tmpl w:val="28B208F0"/>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125B42"/>
    <w:rsid w:val="002E495D"/>
    <w:rsid w:val="004215FD"/>
    <w:rsid w:val="004F6DF0"/>
    <w:rsid w:val="0050554E"/>
    <w:rsid w:val="00750E1F"/>
    <w:rsid w:val="008328F9"/>
    <w:rsid w:val="00892A75"/>
    <w:rsid w:val="00F55B37"/>
    <w:rsid w:val="02E565E2"/>
    <w:rsid w:val="0458580D"/>
    <w:rsid w:val="059074BC"/>
    <w:rsid w:val="064053F4"/>
    <w:rsid w:val="0A2D6C03"/>
    <w:rsid w:val="0BC11EE9"/>
    <w:rsid w:val="0D7576C9"/>
    <w:rsid w:val="0FCE5C34"/>
    <w:rsid w:val="10343BF8"/>
    <w:rsid w:val="126122B6"/>
    <w:rsid w:val="1B836D49"/>
    <w:rsid w:val="1F125B42"/>
    <w:rsid w:val="21751354"/>
    <w:rsid w:val="254F7DD5"/>
    <w:rsid w:val="2BE04587"/>
    <w:rsid w:val="35220C7A"/>
    <w:rsid w:val="43FD36FF"/>
    <w:rsid w:val="48D9025E"/>
    <w:rsid w:val="4CF915B1"/>
    <w:rsid w:val="55AD36F7"/>
    <w:rsid w:val="566F245E"/>
    <w:rsid w:val="581E731D"/>
    <w:rsid w:val="5DB12691"/>
    <w:rsid w:val="5ECA0DB0"/>
    <w:rsid w:val="648D7563"/>
    <w:rsid w:val="6C0E7363"/>
    <w:rsid w:val="7BC57CBC"/>
    <w:rsid w:val="7FB16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信息标题1"/>
    <w:basedOn w:val="1"/>
    <w:next w:val="3"/>
    <w:qFormat/>
    <w:uiPriority w:val="99"/>
    <w:pPr>
      <w:pBdr>
        <w:top w:val="none" w:color="000000" w:sz="0" w:space="1"/>
        <w:left w:val="none" w:color="000000" w:sz="0" w:space="1"/>
        <w:bottom w:val="none" w:color="000000" w:sz="0" w:space="1"/>
        <w:right w:val="none" w:color="000000" w:sz="0" w:space="1"/>
      </w:pBdr>
      <w:shd w:val="pct20" w:color="auto" w:fill="auto"/>
    </w:pPr>
    <w:rPr>
      <w:rFonts w:ascii="Arial" w:hAnsi="Arial"/>
      <w:color w:val="000000"/>
      <w:szCs w:val="22"/>
    </w:rPr>
  </w:style>
  <w:style w:type="paragraph" w:customStyle="1" w:styleId="3">
    <w:name w:val="正文文本12"/>
    <w:basedOn w:val="1"/>
    <w:next w:val="1"/>
    <w:qFormat/>
    <w:uiPriority w:val="99"/>
    <w:pPr>
      <w:spacing w:after="120"/>
    </w:pPr>
  </w:style>
  <w:style w:type="paragraph" w:styleId="4">
    <w:name w:val="Body Text"/>
    <w:basedOn w:val="1"/>
    <w:next w:val="5"/>
    <w:qFormat/>
    <w:uiPriority w:val="0"/>
    <w:rPr>
      <w:rFonts w:ascii="Verdana" w:hAnsi="Verdana"/>
      <w:sz w:val="24"/>
      <w:szCs w:val="18"/>
    </w:rPr>
  </w:style>
  <w:style w:type="paragraph" w:styleId="5">
    <w:name w:val="Body Text First Indent"/>
    <w:basedOn w:val="4"/>
    <w:next w:val="6"/>
    <w:qFormat/>
    <w:uiPriority w:val="0"/>
    <w:pPr>
      <w:spacing w:after="120"/>
      <w:ind w:firstLine="420" w:firstLineChars="100"/>
    </w:pPr>
    <w:rPr>
      <w:rFonts w:ascii="Times New Roman" w:hAnsi="Times New Roman"/>
      <w:sz w:val="21"/>
      <w:szCs w:val="24"/>
    </w:rPr>
  </w:style>
  <w:style w:type="paragraph" w:styleId="6">
    <w:name w:val="Body Text First Indent 2"/>
    <w:basedOn w:val="7"/>
    <w:next w:val="1"/>
    <w:qFormat/>
    <w:uiPriority w:val="99"/>
    <w:pPr>
      <w:ind w:firstLine="420"/>
    </w:pPr>
  </w:style>
  <w:style w:type="paragraph" w:styleId="7">
    <w:name w:val="Body Text Indent"/>
    <w:basedOn w:val="1"/>
    <w:next w:val="1"/>
    <w:qFormat/>
    <w:uiPriority w:val="99"/>
    <w:pPr>
      <w:ind w:firstLine="480" w:firstLineChars="200"/>
    </w:pPr>
    <w:rPr>
      <w:rFonts w:ascii="仿宋_GB2312" w:eastAsia="仿宋_GB2312"/>
      <w:sz w:val="24"/>
    </w:rPr>
  </w:style>
  <w:style w:type="paragraph" w:styleId="8">
    <w:name w:val="Block Text"/>
    <w:basedOn w:val="1"/>
    <w:unhideWhenUsed/>
    <w:qFormat/>
    <w:uiPriority w:val="0"/>
    <w:pPr>
      <w:widowControl/>
      <w:ind w:left="567" w:right="454" w:firstLine="498"/>
      <w:jc w:val="left"/>
    </w:pPr>
    <w:rPr>
      <w:rFonts w:ascii="仿宋_GB2312" w:eastAsia="仿宋_GB2312"/>
      <w:kern w:val="0"/>
      <w:sz w:val="30"/>
      <w:szCs w:val="20"/>
    </w:rPr>
  </w:style>
  <w:style w:type="paragraph" w:styleId="9">
    <w:name w:val="Plain Text"/>
    <w:basedOn w:val="1"/>
    <w:qFormat/>
    <w:uiPriority w:val="0"/>
    <w:rPr>
      <w:rFonts w:ascii="宋体" w:hAnsi="Courier New"/>
    </w:rPr>
  </w:style>
  <w:style w:type="paragraph" w:styleId="10">
    <w:name w:val="endnote text"/>
    <w:basedOn w:val="1"/>
    <w:semiHidden/>
    <w:unhideWhenUsed/>
    <w:qFormat/>
    <w:uiPriority w:val="99"/>
  </w:style>
  <w:style w:type="paragraph" w:styleId="11">
    <w:name w:val="footer"/>
    <w:basedOn w:val="1"/>
    <w:link w:val="38"/>
    <w:qFormat/>
    <w:uiPriority w:val="0"/>
    <w:pPr>
      <w:tabs>
        <w:tab w:val="center" w:pos="4153"/>
        <w:tab w:val="right" w:pos="8306"/>
      </w:tabs>
      <w:snapToGrid w:val="0"/>
      <w:jc w:val="left"/>
    </w:pPr>
    <w:rPr>
      <w:sz w:val="18"/>
      <w:szCs w:val="18"/>
    </w:rPr>
  </w:style>
  <w:style w:type="paragraph" w:styleId="12">
    <w:name w:val="header"/>
    <w:basedOn w:val="1"/>
    <w:link w:val="37"/>
    <w:qFormat/>
    <w:uiPriority w:val="0"/>
    <w:pPr>
      <w:tabs>
        <w:tab w:val="center" w:pos="4153"/>
        <w:tab w:val="right" w:pos="8306"/>
      </w:tabs>
      <w:snapToGrid w:val="0"/>
      <w:jc w:val="center"/>
    </w:pPr>
    <w:rPr>
      <w:sz w:val="18"/>
      <w:szCs w:val="18"/>
    </w:rPr>
  </w:style>
  <w:style w:type="paragraph" w:styleId="13">
    <w:name w:val="Normal (Web)"/>
    <w:qFormat/>
    <w:uiPriority w:val="0"/>
    <w:pPr>
      <w:widowControl w:val="0"/>
      <w:jc w:val="both"/>
    </w:pPr>
    <w:rPr>
      <w:rFonts w:ascii="Calibri" w:hAnsi="Calibri" w:eastAsia="宋体" w:cs="Times New Roman"/>
      <w:sz w:val="24"/>
      <w:szCs w:val="24"/>
      <w:lang w:val="en-US" w:eastAsia="zh-CN" w:bidi="ar-SA"/>
    </w:rPr>
  </w:style>
  <w:style w:type="table" w:styleId="15">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7">
    <w:name w:val="正文首行缩进 211"/>
    <w:next w:val="18"/>
    <w:autoRedefine/>
    <w:qFormat/>
    <w:uiPriority w:val="0"/>
    <w:pPr>
      <w:widowControl w:val="0"/>
      <w:ind w:firstLine="420"/>
      <w:jc w:val="both"/>
    </w:pPr>
    <w:rPr>
      <w:rFonts w:ascii="Times New Roman" w:hAnsi="Times New Roman" w:eastAsia="宋体" w:cs="Times New Roman"/>
      <w:sz w:val="24"/>
      <w:szCs w:val="24"/>
      <w:lang w:val="en-US" w:eastAsia="zh-CN" w:bidi="ar-SA"/>
    </w:rPr>
  </w:style>
  <w:style w:type="paragraph" w:customStyle="1" w:styleId="18">
    <w:name w:val="正文112"/>
    <w:next w:val="19"/>
    <w:autoRedefine/>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9">
    <w:name w:val="正文首行缩进1"/>
    <w:next w:val="17"/>
    <w:autoRedefine/>
    <w:qFormat/>
    <w:uiPriority w:val="0"/>
    <w:pPr>
      <w:widowControl w:val="0"/>
      <w:spacing w:after="120"/>
      <w:ind w:firstLine="420"/>
      <w:jc w:val="both"/>
    </w:pPr>
    <w:rPr>
      <w:rFonts w:ascii="Times New Roman" w:hAnsi="Times New Roman" w:eastAsia="宋体" w:cs="Times New Roman"/>
      <w:sz w:val="21"/>
      <w:szCs w:val="24"/>
      <w:lang w:val="en-US" w:eastAsia="zh-CN" w:bidi="ar-SA"/>
    </w:rPr>
  </w:style>
  <w:style w:type="paragraph" w:customStyle="1" w:styleId="20">
    <w:name w:val="首行缩进"/>
    <w:basedOn w:val="1"/>
    <w:qFormat/>
    <w:uiPriority w:val="0"/>
    <w:pPr>
      <w:spacing w:line="360" w:lineRule="auto"/>
      <w:ind w:firstLine="480"/>
    </w:pPr>
    <w:rPr>
      <w:rFonts w:ascii="宋体" w:hAnsi="宋体" w:cs="宋体"/>
      <w:kern w:val="0"/>
      <w:sz w:val="24"/>
    </w:rPr>
  </w:style>
  <w:style w:type="paragraph" w:customStyle="1" w:styleId="21">
    <w:name w:val="表格文字"/>
    <w:basedOn w:val="1"/>
    <w:next w:val="4"/>
    <w:qFormat/>
    <w:uiPriority w:val="0"/>
    <w:pPr>
      <w:jc w:val="left"/>
    </w:pPr>
    <w:rPr>
      <w:bCs/>
      <w:spacing w:val="10"/>
      <w:kern w:val="0"/>
      <w:szCs w:val="20"/>
    </w:rPr>
  </w:style>
  <w:style w:type="paragraph" w:customStyle="1" w:styleId="22">
    <w:name w:val="列出段落2"/>
    <w:basedOn w:val="1"/>
    <w:qFormat/>
    <w:uiPriority w:val="0"/>
    <w:pPr>
      <w:ind w:firstLine="420" w:firstLineChars="200"/>
    </w:pPr>
    <w:rPr>
      <w:rFonts w:ascii="Calibri" w:hAnsi="Calibri"/>
      <w:szCs w:val="22"/>
    </w:rPr>
  </w:style>
  <w:style w:type="paragraph" w:customStyle="1" w:styleId="23">
    <w:name w:val="正文1"/>
    <w:basedOn w:val="24"/>
    <w:next w:val="25"/>
    <w:qFormat/>
    <w:uiPriority w:val="0"/>
    <w:pPr>
      <w:spacing w:line="360" w:lineRule="auto"/>
      <w:ind w:firstLine="361"/>
    </w:pPr>
    <w:rPr>
      <w:rFonts w:ascii="宋体" w:hAnsi="宋体"/>
    </w:rPr>
  </w:style>
  <w:style w:type="paragraph" w:customStyle="1" w:styleId="24">
    <w:name w:val="正文111"/>
    <w:next w:val="25"/>
    <w:autoRedefine/>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5">
    <w:name w:val="正文文本1"/>
    <w:basedOn w:val="26"/>
    <w:next w:val="24"/>
    <w:autoRedefine/>
    <w:qFormat/>
    <w:uiPriority w:val="0"/>
    <w:pPr>
      <w:spacing w:after="120"/>
    </w:pPr>
    <w:rPr>
      <w:rFonts w:ascii="Calibri" w:eastAsia="宋体"/>
      <w:sz w:val="21"/>
    </w:rPr>
  </w:style>
  <w:style w:type="paragraph" w:customStyle="1" w:styleId="26">
    <w:name w:val="正文11"/>
    <w:next w:val="27"/>
    <w:qFormat/>
    <w:uiPriority w:val="0"/>
    <w:pPr>
      <w:widowControl w:val="0"/>
      <w:spacing w:line="274" w:lineRule="auto"/>
      <w:ind w:firstLine="200"/>
      <w:jc w:val="both"/>
    </w:pPr>
    <w:rPr>
      <w:rFonts w:ascii="仿宋_GB2312" w:hAnsi="Calibri" w:eastAsia="仿宋_GB2312" w:cs="Times New Roman"/>
      <w:sz w:val="24"/>
      <w:szCs w:val="24"/>
      <w:lang w:val="en-US" w:eastAsia="zh-CN" w:bidi="ar-SA"/>
    </w:rPr>
  </w:style>
  <w:style w:type="paragraph" w:customStyle="1" w:styleId="27">
    <w:name w:val="正文文本 21"/>
    <w:basedOn w:val="24"/>
    <w:qFormat/>
    <w:uiPriority w:val="0"/>
    <w:pPr>
      <w:widowControl/>
      <w:jc w:val="center"/>
    </w:pPr>
    <w:rPr>
      <w:rFonts w:ascii="楷体_GB2312" w:eastAsia="楷体_GB2312"/>
      <w:sz w:val="28"/>
      <w:szCs w:val="28"/>
    </w:rPr>
  </w:style>
  <w:style w:type="paragraph" w:customStyle="1" w:styleId="28">
    <w:name w:val="一级条标题"/>
    <w:next w:val="29"/>
    <w:autoRedefine/>
    <w:qFormat/>
    <w:uiPriority w:val="0"/>
    <w:pPr>
      <w:spacing w:before="158" w:after="153" w:line="1292" w:lineRule="atLeast"/>
      <w:jc w:val="both"/>
      <w:outlineLvl w:val="2"/>
    </w:pPr>
    <w:rPr>
      <w:rFonts w:ascii="Arial" w:hAnsi="Calibri" w:eastAsia="黑体" w:cs="Times New Roman"/>
      <w:sz w:val="21"/>
      <w:szCs w:val="22"/>
      <w:lang w:val="en-US" w:eastAsia="zh-CN" w:bidi="ar-SA"/>
    </w:rPr>
  </w:style>
  <w:style w:type="paragraph" w:customStyle="1" w:styleId="29">
    <w:name w:val="段"/>
    <w:next w:val="23"/>
    <w:autoRedefine/>
    <w:qFormat/>
    <w:uiPriority w:val="0"/>
    <w:pPr>
      <w:ind w:firstLine="200"/>
      <w:jc w:val="both"/>
    </w:pPr>
    <w:rPr>
      <w:rFonts w:ascii="宋体" w:hAnsi="Times New Roman" w:eastAsia="宋体" w:cs="Times New Roman"/>
      <w:lang w:val="en-US" w:eastAsia="zh-CN" w:bidi="ar-SA"/>
    </w:rPr>
  </w:style>
  <w:style w:type="paragraph" w:styleId="30">
    <w:name w:val="List Paragraph"/>
    <w:basedOn w:val="1"/>
    <w:next w:val="10"/>
    <w:qFormat/>
    <w:uiPriority w:val="0"/>
    <w:pPr>
      <w:ind w:firstLine="420" w:firstLineChars="200"/>
    </w:pPr>
    <w:rPr>
      <w:rFonts w:ascii="Calibri" w:hAnsi="Calibri"/>
      <w:szCs w:val="20"/>
    </w:rPr>
  </w:style>
  <w:style w:type="paragraph" w:customStyle="1" w:styleId="31">
    <w:name w:val="正文文本缩进11"/>
    <w:next w:val="18"/>
    <w:autoRedefine/>
    <w:qFormat/>
    <w:uiPriority w:val="0"/>
    <w:pPr>
      <w:widowControl w:val="0"/>
      <w:ind w:firstLine="538"/>
      <w:jc w:val="both"/>
    </w:pPr>
    <w:rPr>
      <w:rFonts w:ascii="Times New Roman" w:hAnsi="Times New Roman" w:eastAsia="宋体" w:cs="Times New Roman"/>
      <w:sz w:val="28"/>
      <w:szCs w:val="24"/>
      <w:lang w:val="en-US" w:eastAsia="zh-CN" w:bidi="ar-SA"/>
    </w:rPr>
  </w:style>
  <w:style w:type="paragraph" w:customStyle="1" w:styleId="32">
    <w:name w:val="Default"/>
    <w:next w:val="1"/>
    <w:qFormat/>
    <w:uiPriority w:val="0"/>
    <w:pPr>
      <w:widowControl w:val="0"/>
    </w:pPr>
    <w:rPr>
      <w:rFonts w:ascii="宋体" w:hAnsi="Times New Roman" w:eastAsia="宋体" w:cs="Times New Roman"/>
      <w:color w:val="000000"/>
      <w:sz w:val="24"/>
      <w:szCs w:val="24"/>
      <w:lang w:val="en-US" w:eastAsia="zh-CN" w:bidi="ar-SA"/>
    </w:rPr>
  </w:style>
  <w:style w:type="paragraph" w:customStyle="1" w:styleId="33">
    <w:name w:val="图片居中"/>
    <w:basedOn w:val="9"/>
    <w:qFormat/>
    <w:uiPriority w:val="0"/>
    <w:pPr>
      <w:spacing w:after="50"/>
      <w:jc w:val="center"/>
    </w:pPr>
    <w:rPr>
      <w:rFonts w:cs="Courier New"/>
      <w:sz w:val="24"/>
      <w:szCs w:val="21"/>
    </w:rPr>
  </w:style>
  <w:style w:type="paragraph" w:customStyle="1" w:styleId="34">
    <w:name w:val="正文表标题"/>
    <w:next w:val="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35">
    <w:name w:val="文本块11"/>
    <w:basedOn w:val="36"/>
    <w:qFormat/>
    <w:uiPriority w:val="0"/>
    <w:pPr>
      <w:ind w:left="256" w:right="6" w:firstLine="624"/>
    </w:pPr>
    <w:rPr>
      <w:rFonts w:ascii="Arial" w:hAnsi="Arial" w:eastAsia="仿宋"/>
      <w:sz w:val="28"/>
    </w:rPr>
  </w:style>
  <w:style w:type="paragraph" w:customStyle="1" w:styleId="36">
    <w:name w:val="正文12"/>
    <w:next w:val="25"/>
    <w:qFormat/>
    <w:uiPriority w:val="0"/>
    <w:rPr>
      <w:rFonts w:ascii="Times New Roman" w:hAnsi="Times New Roman" w:eastAsia="宋体" w:cs="Times New Roman"/>
      <w:lang w:val="en-US" w:eastAsia="zh-CN" w:bidi="ar-SA"/>
    </w:rPr>
  </w:style>
  <w:style w:type="character" w:customStyle="1" w:styleId="37">
    <w:name w:val="页眉 字符"/>
    <w:basedOn w:val="16"/>
    <w:link w:val="12"/>
    <w:qFormat/>
    <w:uiPriority w:val="0"/>
    <w:rPr>
      <w:kern w:val="2"/>
      <w:sz w:val="18"/>
      <w:szCs w:val="18"/>
    </w:rPr>
  </w:style>
  <w:style w:type="character" w:customStyle="1" w:styleId="38">
    <w:name w:val="页脚 字符"/>
    <w:basedOn w:val="16"/>
    <w:link w:val="11"/>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4323</Words>
  <Characters>4574</Characters>
  <Lines>115</Lines>
  <Paragraphs>32</Paragraphs>
  <TotalTime>26</TotalTime>
  <ScaleCrop>false</ScaleCrop>
  <LinksUpToDate>false</LinksUpToDate>
  <CharactersWithSpaces>4586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2026-03-10T02:47:00Z</dcterms:created>
  <dc:creator>莫失莫忘</dc:creator>
  <cp:lastModifiedBy>Administrator</cp:lastModifiedBy>
  <dcterms:modified xsi:type="dcterms:W3CDTF">2026-03-10T07:15:05Z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09AE18388B7246818DFBAD63950897CC_13</vt:lpwstr>
  </property>
  <property fmtid="{D5CDD505-2E9C-101B-9397-08002B2CF9AE}" pid="4" name="KSOTemplateDocerSaveRecord">
    <vt:lpwstr>eyJoZGlkIjoiOGI4NTAxMTU3Mjk1Nzg5Y2ViYmQxODQ0NWMyZWJjMjciLCJ1c2VySWQiOiIxMzg0NTY4NjY4In0=</vt:lpwstr>
  </property>
</Properties>
</file>