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47"/>
        <w:ind w:firstLine="0"/>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47"/>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156"/>
          <w:highlight w:val="none"/>
        </w:rPr>
      </w:pPr>
      <w:r>
        <w:rPr>
          <w:rFonts w:hint="eastAsia" w:ascii="仿宋" w:hAnsi="仿宋" w:eastAsia="仿宋" w:cs="仿宋"/>
          <w:b/>
          <w:spacing w:val="76"/>
          <w:sz w:val="156"/>
          <w:highlight w:val="none"/>
        </w:rPr>
        <w:t xml:space="preserve">招标文件</w:t>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1494790</wp:posOffset>
                </wp:positionH>
                <wp:positionV relativeFrom="paragraph">
                  <wp:posOffset>119380</wp:posOffset>
                </wp:positionV>
                <wp:extent cx="2586355" cy="247459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rcRect l="0" t="0" r="108" b="4430"/>
                        <a:stretch/>
                      </pic:blipFill>
                      <pic:spPr bwMode="auto">
                        <a:xfrm>
                          <a:off x="0" y="0"/>
                          <a:ext cx="2586355" cy="247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7.7pt;mso-position-horizontal:absolute;mso-position-vertical-relative:text;margin-top:9.4pt;mso-position-vertical:absolute;width:203.6pt;height:194.8pt;mso-wrap-distance-left:0.0pt;mso-wrap-distance-top:0.0pt;mso-wrap-distance-right:0.0pt;mso-wrap-distance-bottom:0.0pt;" stroked="f">
                <v:path textboxrect="0,0,0,0"/>
                <v:imagedata r:id="rId14" o:title=""/>
              </v:shape>
            </w:pict>
          </mc:Fallback>
        </mc:AlternateContent>
      </w:r>
      <w:r/>
    </w:p>
    <w:p>
      <w:pPr>
        <w:rPr>
          <w:rFonts w:hint="eastAsia" w:ascii="仿宋" w:hAnsi="仿宋" w:eastAsia="仿宋" w:cs="仿宋"/>
          <w:sz w:val="32"/>
          <w:highlight w:val="none"/>
        </w:rPr>
      </w:pPr>
      <w:r>
        <w:rPr>
          <w:rFonts w:hint="eastAsia" w:ascii="仿宋" w:hAnsi="仿宋" w:eastAsia="仿宋" w:cs="仿宋"/>
          <w:sz w:val="32"/>
          <w:highlight w:val="none"/>
        </w:rPr>
      </w:r>
      <w:r/>
    </w:p>
    <w:p>
      <w:pPr>
        <w:pStyle w:val="947"/>
        <w:rPr>
          <w:rFonts w:hint="eastAsia" w:ascii="仿宋" w:hAnsi="仿宋" w:eastAsia="仿宋" w:cs="仿宋"/>
          <w:sz w:val="32"/>
          <w:highlight w:val="none"/>
        </w:rPr>
      </w:pPr>
      <w:r>
        <w:rPr>
          <w:rFonts w:hint="eastAsia" w:ascii="仿宋" w:hAnsi="仿宋" w:eastAsia="仿宋" w:cs="仿宋"/>
          <w:sz w:val="32"/>
          <w:highlight w:val="none"/>
        </w:rPr>
      </w:r>
      <w:r/>
    </w:p>
    <w:p>
      <w:pPr>
        <w:pStyle w:val="947"/>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pStyle w:val="947"/>
        <w:ind w:firstLine="960"/>
        <w:rPr>
          <w:rFonts w:hint="eastAsia" w:eastAsia="仿宋"/>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JSZC-320303-XZWZ-G2026-0001</w:t>
      </w:r>
      <w:r/>
    </w:p>
    <w:p>
      <w:pPr>
        <w:ind w:left="2558" w:hanging="1600"/>
        <w:spacing w:line="600" w:lineRule="exact"/>
        <w:rPr>
          <w:rFonts w:hint="eastAsia" w:eastAsia="仿宋"/>
          <w:highlight w:val="none"/>
          <w:lang w:eastAsia="zh-CN"/>
        </w:rPr>
      </w:pPr>
      <w:r>
        <w:rPr>
          <w:rFonts w:hint="eastAsia" w:ascii="仿宋" w:hAnsi="仿宋" w:eastAsia="仿宋" w:cs="仿宋"/>
          <w:sz w:val="32"/>
          <w:highlight w:val="none"/>
        </w:rPr>
        <w:t xml:space="preserve">项目名称：</w:t>
      </w:r>
      <w:r>
        <w:rPr>
          <w:rFonts w:hint="eastAsia" w:ascii="仿宋" w:hAnsi="仿宋" w:eastAsia="仿宋" w:cs="仿宋"/>
          <w:sz w:val="32"/>
          <w:highlight w:val="none"/>
          <w:lang w:eastAsia="zh-CN"/>
        </w:rPr>
        <w:t xml:space="preserve">新能源环卫特种作业车辆采购项目-新能源压缩式垃圾车</w:t>
      </w:r>
      <w:r/>
    </w:p>
    <w:p>
      <w:pPr>
        <w:ind w:left="2558" w:hanging="160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 购 人：</w:t>
      </w:r>
      <w:r>
        <w:rPr>
          <w:rFonts w:hint="eastAsia" w:ascii="仿宋" w:hAnsi="仿宋" w:eastAsia="仿宋" w:cs="仿宋"/>
          <w:sz w:val="32"/>
          <w:highlight w:val="none"/>
          <w:lang w:eastAsia="zh-CN"/>
        </w:rPr>
        <w:t xml:space="preserve">徐州市云龙区城市管理局</w:t>
      </w:r>
      <w:r/>
    </w:p>
    <w:p>
      <w:pPr>
        <w:ind w:firstLine="96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采购代理机构：</w:t>
      </w:r>
      <w:r>
        <w:rPr>
          <w:rFonts w:hint="eastAsia" w:ascii="仿宋" w:hAnsi="仿宋" w:eastAsia="仿宋" w:cs="仿宋"/>
          <w:sz w:val="32"/>
          <w:highlight w:val="none"/>
          <w:lang w:eastAsia="zh-CN"/>
        </w:rPr>
        <w:t xml:space="preserve">徐州维正工程咨询有限公司</w:t>
      </w:r>
      <w:r/>
    </w:p>
    <w:p>
      <w:pPr>
        <w:jc w:val="center"/>
        <w:spacing w:line="36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jc w:val="center"/>
        <w:spacing w:line="360" w:lineRule="auto"/>
        <w:rPr>
          <w:rFonts w:hint="eastAsia" w:ascii="仿宋" w:hAnsi="仿宋" w:eastAsia="仿宋" w:cs="仿宋"/>
          <w:sz w:val="32"/>
          <w:szCs w:val="32"/>
          <w:highlight w:val="none"/>
        </w:rPr>
      </w:pPr>
      <w:r>
        <w:rPr>
          <w:rFonts w:hint="eastAsia" w:ascii="仿宋" w:hAnsi="仿宋" w:eastAsia="仿宋" w:cs="仿宋"/>
          <w:bCs/>
          <w:sz w:val="30"/>
          <w:highlight w:val="none"/>
        </w:rPr>
        <w:t xml:space="preserve">二〇二</w:t>
      </w:r>
      <w:r>
        <w:rPr>
          <w:rFonts w:hint="eastAsia" w:ascii="仿宋" w:hAnsi="仿宋" w:eastAsia="仿宋" w:cs="仿宋"/>
          <w:bCs/>
          <w:sz w:val="30"/>
          <w:highlight w:val="none"/>
          <w:lang w:val="en-US" w:eastAsia="zh-CN"/>
        </w:rPr>
        <w:t xml:space="preserve">六</w:t>
      </w:r>
      <w:r>
        <w:rPr>
          <w:rFonts w:hint="eastAsia" w:ascii="仿宋" w:hAnsi="仿宋" w:eastAsia="仿宋" w:cs="仿宋"/>
          <w:bCs/>
          <w:sz w:val="30"/>
          <w:highlight w:val="none"/>
        </w:rPr>
        <w:t xml:space="preserve">年</w:t>
      </w:r>
      <w:r>
        <w:rPr>
          <w:rFonts w:hint="eastAsia" w:ascii="仿宋" w:hAnsi="仿宋" w:eastAsia="仿宋" w:cs="仿宋"/>
          <w:bCs/>
          <w:sz w:val="30"/>
          <w:highlight w:val="none"/>
          <w:lang w:val="en-US" w:eastAsia="zh-CN"/>
        </w:rPr>
        <w:t xml:space="preserve">二</w:t>
      </w:r>
      <w:r>
        <w:rPr>
          <w:rFonts w:hint="eastAsia" w:ascii="仿宋" w:hAnsi="仿宋" w:eastAsia="仿宋" w:cs="仿宋"/>
          <w:bCs/>
          <w:sz w:val="30"/>
          <w:highlight w:val="none"/>
        </w:rPr>
        <w:t xml:space="preserve">月</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sz w:val="44"/>
          <w:highlight w:val="none"/>
        </w:rPr>
      </w:r>
      <w:r/>
    </w:p>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目 录</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948"/>
          <w:rFonts w:hint="eastAsia" w:ascii="仿宋" w:hAnsi="仿宋" w:eastAsia="仿宋" w:cs="仿宋"/>
          <w:color w:val="000000"/>
          <w:sz w:val="30"/>
          <w:highlight w:val="none"/>
          <w:u w:val="none"/>
        </w:rPr>
        <w:t xml:space="preserve">第一章  投标邀请</w:t>
      </w:r>
      <w:r>
        <w:rPr>
          <w:rStyle w:val="94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948"/>
          <w:rFonts w:hint="eastAsia" w:ascii="仿宋" w:hAnsi="仿宋" w:eastAsia="仿宋" w:cs="仿宋"/>
          <w:color w:val="000000"/>
          <w:sz w:val="30"/>
          <w:highlight w:val="none"/>
          <w:u w:val="none"/>
        </w:rPr>
        <w:t xml:space="preserve">第二章  投标人须知</w:t>
      </w:r>
      <w:r>
        <w:rPr>
          <w:rStyle w:val="94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948"/>
          <w:rFonts w:hint="eastAsia" w:ascii="仿宋" w:hAnsi="仿宋" w:eastAsia="仿宋" w:cs="仿宋"/>
          <w:color w:val="000000"/>
          <w:sz w:val="30"/>
          <w:highlight w:val="none"/>
          <w:u w:val="none"/>
        </w:rPr>
        <w:t xml:space="preserve">第三章  投标资料表</w:t>
      </w:r>
      <w:r>
        <w:rPr>
          <w:rStyle w:val="94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948"/>
          <w:rFonts w:hint="eastAsia" w:ascii="仿宋" w:hAnsi="仿宋" w:eastAsia="仿宋" w:cs="仿宋"/>
          <w:color w:val="000000"/>
          <w:sz w:val="30"/>
          <w:highlight w:val="none"/>
          <w:u w:val="none"/>
        </w:rPr>
        <w:t xml:space="preserve">第四章  评标标准</w:t>
      </w:r>
      <w:r>
        <w:rPr>
          <w:rStyle w:val="94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948"/>
          <w:rFonts w:hint="eastAsia" w:ascii="仿宋" w:hAnsi="仿宋" w:eastAsia="仿宋" w:cs="仿宋"/>
          <w:color w:val="000000"/>
          <w:sz w:val="30"/>
          <w:highlight w:val="none"/>
          <w:u w:val="none"/>
        </w:rPr>
        <w:t xml:space="preserve">第五章  拟签订的合同文本</w:t>
      </w:r>
      <w:r>
        <w:rPr>
          <w:rStyle w:val="94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948"/>
          <w:rFonts w:hint="eastAsia" w:ascii="仿宋" w:hAnsi="仿宋" w:eastAsia="仿宋" w:cs="仿宋"/>
          <w:color w:val="000000"/>
          <w:sz w:val="30"/>
          <w:highlight w:val="none"/>
          <w:u w:val="none"/>
        </w:rPr>
        <w:t xml:space="preserve">第六章  采购需求</w:t>
      </w:r>
      <w:r>
        <w:rPr>
          <w:rStyle w:val="94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948"/>
          <w:rFonts w:hint="eastAsia" w:ascii="仿宋" w:hAnsi="仿宋" w:eastAsia="仿宋" w:cs="仿宋"/>
          <w:color w:val="000000"/>
          <w:sz w:val="30"/>
          <w:highlight w:val="none"/>
          <w:u w:val="none"/>
        </w:rPr>
        <w:t xml:space="preserve">第七章  投标文件相关格式</w:t>
      </w:r>
      <w:r>
        <w:rPr>
          <w:rStyle w:val="948"/>
          <w:rFonts w:hint="eastAsia" w:ascii="仿宋" w:hAnsi="仿宋" w:eastAsia="仿宋" w:cs="仿宋"/>
          <w:color w:val="000000"/>
          <w:sz w:val="30"/>
          <w:highlight w:val="none"/>
          <w:u w:val="none"/>
        </w:rPr>
        <w:fldChar w:fldCharType="end"/>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44"/>
          <w:highlight w:val="none"/>
        </w:rPr>
      </w:r>
      <w:r/>
    </w:p>
    <w:p>
      <w:pPr>
        <w:jc w:val="center"/>
        <w:spacing w:line="519" w:lineRule="atLeast"/>
        <w:rPr>
          <w:rFonts w:hint="eastAsia" w:ascii="仿宋" w:hAnsi="仿宋" w:eastAsia="仿宋" w:cs="仿宋"/>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highlight w:val="none"/>
          <w:lang w:eastAsia="zh-CN"/>
        </w:rPr>
        <w:t xml:space="preserve">徐州市云龙区城市管理局</w:t>
      </w:r>
      <w:r/>
    </w:p>
    <w:p>
      <w:pPr>
        <w:jc w:val="center"/>
        <w:spacing w:line="519" w:lineRule="atLeast"/>
        <w:rPr>
          <w:rFonts w:hint="eastAsia" w:ascii="仿宋" w:hAnsi="仿宋" w:eastAsia="仿宋" w:cs="仿宋"/>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0"/>
          <w:highlight w:val="none"/>
        </w:rPr>
        <w:t xml:space="preserve">《</w:t>
      </w:r>
      <w:r>
        <w:rPr>
          <w:rFonts w:hint="eastAsia" w:ascii="仿宋" w:hAnsi="仿宋" w:eastAsia="仿宋" w:cs="仿宋"/>
          <w:b/>
          <w:sz w:val="40"/>
          <w:szCs w:val="40"/>
          <w:highlight w:val="none"/>
          <w:lang w:eastAsia="zh-CN"/>
        </w:rPr>
        <w:t xml:space="preserve">新能源环卫特种作业车辆采购项目-新能源压缩式垃圾车</w:t>
      </w:r>
      <w:r>
        <w:rPr>
          <w:rFonts w:hint="eastAsia" w:ascii="仿宋" w:hAnsi="仿宋" w:eastAsia="仿宋" w:cs="仿宋"/>
          <w:b/>
          <w:sz w:val="40"/>
          <w:szCs w:val="40"/>
          <w:highlight w:val="none"/>
        </w:rPr>
        <w:t xml:space="preserve">》</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招标文件</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遵照政府采购法律法规、制度规定和采购人的采购需求、</w:t>
      </w:r>
      <w:r>
        <w:rPr>
          <w:rFonts w:hint="eastAsia" w:ascii="仿宋" w:hAnsi="仿宋" w:eastAsia="仿宋" w:cs="仿宋"/>
          <w:color w:val="000000"/>
          <w:sz w:val="30"/>
          <w:highlight w:val="none"/>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u w:val="single"/>
          <w:lang w:eastAsia="zh-CN"/>
        </w:rPr>
        <w:t xml:space="preserve">徐州维正工程咨询有限公司</w:t>
      </w:r>
      <w:r>
        <w:rPr>
          <w:rFonts w:hint="eastAsia" w:ascii="仿宋" w:hAnsi="仿宋" w:eastAsia="仿宋" w:cs="仿宋"/>
          <w:color w:val="000000"/>
          <w:sz w:val="30"/>
          <w:highlight w:val="none"/>
        </w:rPr>
        <w:t xml:space="preserve">对</w:t>
      </w:r>
      <w:r>
        <w:rPr>
          <w:rFonts w:hint="eastAsia" w:ascii="仿宋" w:hAnsi="仿宋" w:eastAsia="仿宋" w:cs="仿宋"/>
          <w:color w:val="000000"/>
          <w:sz w:val="30"/>
          <w:highlight w:val="none"/>
          <w:u w:val="single"/>
          <w:lang w:eastAsia="zh-CN"/>
        </w:rPr>
        <w:t xml:space="preserve">新能源环卫特种作业车辆采购项目-新能源压缩式垃圾车</w:t>
      </w:r>
      <w:r>
        <w:rPr>
          <w:rFonts w:hint="eastAsia" w:ascii="仿宋" w:hAnsi="仿宋" w:eastAsia="仿宋" w:cs="仿宋"/>
          <w:color w:val="000000"/>
          <w:sz w:val="30"/>
          <w:highlight w:val="none"/>
        </w:rPr>
        <w:t xml:space="preserve">进行公开招标采购，现邀请符合相关条件的供应商投标。</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一、项目名称和项目编号</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w:t>
      </w:r>
      <w:r>
        <w:rPr>
          <w:rFonts w:hint="eastAsia" w:ascii="仿宋" w:hAnsi="仿宋" w:eastAsia="仿宋" w:cs="仿宋"/>
          <w:color w:val="000000"/>
          <w:sz w:val="30"/>
          <w:highlight w:val="none"/>
          <w:lang w:eastAsia="zh-CN"/>
        </w:rPr>
        <w:t xml:space="preserve">新能源环卫特种作业车辆采购项目-新能源压缩式垃圾车</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(二)项目编号：</w:t>
      </w:r>
      <w:r>
        <w:rPr>
          <w:rFonts w:hint="eastAsia" w:ascii="仿宋" w:hAnsi="仿宋" w:eastAsia="仿宋" w:cs="仿宋"/>
          <w:color w:val="000000"/>
          <w:sz w:val="30"/>
          <w:highlight w:val="none"/>
          <w:lang w:eastAsia="zh-CN"/>
        </w:rPr>
        <w:t xml:space="preserve">JSZC-320303-XZWZ-G2026-0001</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二、对投标人的资格要求</w:t>
      </w:r>
      <w:r/>
    </w:p>
    <w:p>
      <w:pPr>
        <w:ind w:firstLine="301"/>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详见本项目公开招标公告。</w:t>
      </w:r>
      <w:r/>
    </w:p>
    <w:p>
      <w:pPr>
        <w:ind w:firstLine="301"/>
        <w:spacing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三、获取招标文件</w:t>
      </w:r>
      <w:r/>
    </w:p>
    <w:p>
      <w:pPr>
        <w:ind w:firstLine="301"/>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1．时间（时间期限）、地点、方式：招标文件提供期限：自招标公告发布之日起5个工作日。</w:t>
      </w:r>
      <w:r>
        <w:rPr>
          <w:rFonts w:hint="eastAsia" w:ascii="仿宋" w:hAnsi="仿宋" w:eastAsia="仿宋" w:cs="仿宋"/>
          <w:color w:val="000000"/>
          <w:sz w:val="30"/>
          <w:highlight w:val="none"/>
        </w:rPr>
        <w:t xml:space="preserve">在“苏采云”系统自行下载。</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特别说明：“招标文件提供期限”</w:t>
      </w:r>
      <w:r>
        <w:rPr>
          <w:rFonts w:hint="eastAsia" w:ascii="仿宋" w:hAnsi="仿宋" w:eastAsia="仿宋" w:cs="仿宋"/>
          <w:sz w:val="30"/>
          <w:highlight w:val="none"/>
        </w:rPr>
        <w:t xml:space="preserve">届满</w:t>
      </w:r>
      <w:r>
        <w:rPr>
          <w:rFonts w:hint="eastAsia" w:ascii="仿宋" w:hAnsi="仿宋" w:eastAsia="仿宋" w:cs="仿宋"/>
          <w:color w:val="000000"/>
          <w:sz w:val="30"/>
          <w:highlight w:val="none"/>
        </w:rPr>
        <w:t xml:space="preserve">后仍可以下载招标文件，</w:t>
      </w:r>
      <w:r>
        <w:rPr>
          <w:rFonts w:hint="eastAsia" w:ascii="仿宋" w:hAnsi="仿宋" w:eastAsia="仿宋" w:cs="仿宋"/>
          <w:sz w:val="30"/>
          <w:highlight w:val="none"/>
        </w:rPr>
        <w:t xml:space="preserve">“招标文件提供期限”后下载的招标文件，视为非有效方式且不做为投标人权益受到损害的证明材料和依据。</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2.招标文件售价：免费。</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四、投标有关信息</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（一）投标截止时间：</w:t>
      </w:r>
      <w:r>
        <w:rPr>
          <w:rFonts w:hint="eastAsia" w:ascii="仿宋" w:hAnsi="仿宋" w:eastAsia="仿宋" w:cs="仿宋"/>
          <w:b/>
          <w:bCs/>
          <w:color w:val="ff0000"/>
          <w:sz w:val="30"/>
          <w:highlight w:val="none"/>
          <w:lang w:val="en-US" w:eastAsia="zh-CN"/>
        </w:rPr>
        <w:t xml:space="preserve">2026年3月 11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（二）开标时间：</w:t>
      </w:r>
      <w:r>
        <w:rPr>
          <w:rFonts w:hint="eastAsia" w:ascii="仿宋" w:hAnsi="仿宋" w:eastAsia="仿宋" w:cs="仿宋"/>
          <w:b/>
          <w:bCs/>
          <w:color w:val="ff0000"/>
          <w:sz w:val="30"/>
          <w:highlight w:val="none"/>
          <w:lang w:val="en-US" w:eastAsia="zh-CN"/>
        </w:rPr>
        <w:t xml:space="preserve">2026年3月 11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五、采购人</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徐州市云龙区城市管理局</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徐州市云龙区淮海文博园18号楼三楼</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（三）联系方式：13813455530</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（四）采购项目联系人：苏锦龙</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六、采购代理机构</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徐州维正工程咨询有限公司</w:t>
      </w:r>
      <w:r/>
    </w:p>
    <w:p>
      <w:pPr>
        <w:ind w:firstLine="300"/>
        <w:spacing w:line="519" w:lineRule="atLeast"/>
        <w:rPr>
          <w:rFonts w:hint="eastAsia" w:ascii="仿宋" w:hAnsi="仿宋" w:eastAsia="仿宋" w:cs="仿宋"/>
          <w:color w:val="000000"/>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徐州市云龙区汉风街道秦郡路中铁原香漫谷2号商业楼217-6-39室</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w:t>
      </w:r>
      <w:r>
        <w:rPr>
          <w:rFonts w:hint="eastAsia" w:ascii="仿宋" w:hAnsi="仿宋" w:eastAsia="仿宋" w:cs="仿宋"/>
          <w:color w:val="000000"/>
          <w:sz w:val="30"/>
          <w:highlight w:val="none"/>
          <w:lang w:eastAsia="zh-CN"/>
        </w:rPr>
        <w:t xml:space="preserve">0516-83796662</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w:t>
      </w:r>
      <w:r>
        <w:rPr>
          <w:rFonts w:hint="eastAsia" w:ascii="仿宋" w:hAnsi="仿宋" w:eastAsia="仿宋" w:cs="仿宋"/>
          <w:color w:val="000000"/>
          <w:sz w:val="30"/>
          <w:highlight w:val="none"/>
          <w:lang w:eastAsia="zh-CN"/>
        </w:rPr>
        <w:t xml:space="preserve">柴莉</w:t>
      </w:r>
      <w:r/>
    </w:p>
    <w:p>
      <w:pPr>
        <w:ind w:firstLine="12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720"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仿宋" w:hAnsi="仿宋" w:eastAsia="仿宋" w:cs="仿宋"/>
          <w:b/>
          <w:sz w:val="30"/>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rPr>
        <w:t xml:space="preserve">第二章 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一、总则</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（一）采购人。采购人即指依法进行政府采购的国家机关、事业单位和团体组织。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（六）投标人的资格条件：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投标人是指响应招标、参加投标竞争的法人、其他组织或者自然人。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2.投标人授权代表系指法定代表人或受法人委托的受托人。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（八）招标文件应包括以下内容：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第一章，投标邀请；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第二章，投标人须知；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第三章，投标资料表；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第四章，评标标准；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第五章，拟签订的合同文本；</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第六章，采购需求；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第七章，投标文件相关格式。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（九）招标文件澄清或者修改：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2.现场考察以本文件第三章《投标资料表》中的要求为准。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3.开标前答疑会以本文件第三章《投标资料表》中的要求为准。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三、投标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（十二）投标文件的构成：</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1.投标文件的构成以本文件第三章《投标资料表》中的要求为准。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（十三）投标函和价格表、商务条件、交货和提供服务的时间：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2.商务条件以本文件第三章《投标资料表》中的要求为准。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3.交货和提供服务的时间，以本文件第三章《投标资料表》中所提要求为准。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（十四）投标报价要求：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1.投标人应按照招标文件的要求报出分项价格和总价。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2.投标人应按照招标文件的要求进行报价，如投标人作出偏离，应在《偏离表》中列出。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3.采购人不支付报价以外的任何费用。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（十五）投标货币。以本文件第三章《投标资料表》中所提要求为准。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（十六）投标有效期：</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（十七）投标文件的编制要求和签署要求：</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（十八）投标文件的盖章要求</w:t>
      </w:r>
      <w:r/>
    </w:p>
    <w:p>
      <w:pPr>
        <w:ind w:firstLine="600"/>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1.投标文件的盖章要求以招标文件第三章《投标资料表》中的要求为准。</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（二十二）本项目不允许分包。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（二十四）有下列情形之一的，其投标无效。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5.不同投标人的投标文件相互混装；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7.电子投标文件未按规定期限投标的；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8.电子投标文件未按招标文件要求签章的；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9.投标人未在规定时间内解密电子投标文件的；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11.纸质投标文件未按招标文件要求签署、盖章的；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12.不具备招标文件中规定的资格要求的；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13.报价超过招标文件中规定的预算金额或者最高限价的；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14.投标文件含有采购人不能接受的附加条件的；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15.法律、法规和招标文件规定的其他无效情形。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（二十五）开标：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2.投标人不足3家的，不得开标。</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3.开标过程由采购代理机构负责记录。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5.投标人未参加开标的，视同认可开标结果。</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1.评标工作由采购代理机构负责组织，并履行下列职责：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（2）宣布评标纪律；</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（3）公布投标人名单，告知评审专家应当回避的情形；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（4）组织评标委员会推选评标组长（采购人代表不得担任组长）；</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（5）在评标期间采取必要的通讯管理措施，保证评标活动不受外界干扰；</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（6）根据评标委员会的要求介绍政府采购相关政策法规、招标文件；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（8）核对评标结果，对有《</w:t>
      </w:r>
      <w:r>
        <w:rPr>
          <w:rFonts w:hint="eastAsia"/>
          <w:highlight w:val="none"/>
        </w:rPr>
        <w:fldChar w:fldCharType="begin"/>
      </w:r>
      <w:r>
        <w:rPr>
          <w:highlight w:val="none"/>
        </w:rPr>
        <w:instrText xml:space="preserve"> HYPERLINK "http://www.caigou2003.com/" \o "http://www.caigou2003.com/" </w:instrText>
      </w:r>
      <w:r>
        <w:rPr>
          <w:rFonts w:hint="eastAsia"/>
          <w:highlight w:val="none"/>
        </w:rPr>
        <w:fldChar w:fldCharType="separate"/>
      </w:r>
      <w:r>
        <w:rPr>
          <w:rStyle w:val="948"/>
          <w:rFonts w:hint="eastAsia" w:ascii="仿宋" w:hAnsi="仿宋" w:eastAsia="仿宋" w:cs="仿宋"/>
          <w:color w:val="000000"/>
          <w:sz w:val="30"/>
          <w:highlight w:val="none"/>
          <w:u w:val="none"/>
        </w:rPr>
        <w:t xml:space="preserve">政府采购</w:t>
      </w:r>
      <w:r>
        <w:rPr>
          <w:rStyle w:val="94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（10）处理与评标有关的其他事项。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2.评标委员会负责具体评标事务，并独立履行下列职责：</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（1）审查、评价投标文件是否符合招标文件的商务、技术等实质性要求；</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（2）要求投标人对投标文件有关事项作出澄清或者说明；</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（3）对投标文件进行比较和评价；</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（4）确定中标候选人名单，以及根据采购人委托直接确定中标人；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（5）向采购人、采购代理机构或有关部门报告评标中发现的违法行为。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（二十七）评标方法分为最低评标价法和综合评分法。</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（二十八）评标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1.评标工作程序：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（1）投标文件初审。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①资格性审查。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②符合性审查。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（2）澄清有关问题。</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（3）比较与评价。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（4）推荐中标候选供应商名单。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（5）编写评审报告（评标报告）。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3.采用</w:t>
      </w:r>
      <w:r>
        <w:rPr>
          <w:rFonts w:hint="eastAsia"/>
          <w:highlight w:val="none"/>
        </w:rPr>
        <w:fldChar w:fldCharType="begin"/>
      </w:r>
      <w:r>
        <w:rPr>
          <w:highlight w:val="none"/>
        </w:rPr>
        <w:instrText xml:space="preserve"> HYPERLINK "http://lilun.caigou2003.com/recijiedu/2365668.html" \o "http://lilun.caigou2003.com/recijiedu/2365668.html" </w:instrText>
      </w:r>
      <w:r>
        <w:rPr>
          <w:rFonts w:hint="eastAsia"/>
          <w:highlight w:val="none"/>
        </w:rPr>
        <w:fldChar w:fldCharType="separate"/>
      </w:r>
      <w:r>
        <w:rPr>
          <w:rStyle w:val="948"/>
          <w:rFonts w:hint="eastAsia" w:ascii="仿宋" w:hAnsi="仿宋" w:eastAsia="仿宋" w:cs="仿宋"/>
          <w:color w:val="000000"/>
          <w:sz w:val="30"/>
          <w:highlight w:val="none"/>
          <w:u w:val="none"/>
        </w:rPr>
        <w:t xml:space="preserve">最低评标价法</w:t>
      </w:r>
      <w:r>
        <w:rPr>
          <w:rStyle w:val="94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948"/>
          <w:rFonts w:hint="eastAsia" w:ascii="仿宋" w:hAnsi="仿宋" w:eastAsia="仿宋" w:cs="仿宋"/>
          <w:color w:val="000000"/>
          <w:sz w:val="30"/>
          <w:highlight w:val="none"/>
          <w:u w:val="none"/>
        </w:rPr>
        <w:t xml:space="preserve">综合评分法</w:t>
      </w:r>
      <w:r>
        <w:rPr>
          <w:rStyle w:val="94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（二十九）投标文件报价出现前后不一致的，按照下列规定修正：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2.大写金额和小写金额不一致的，以大写金额为准；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4.总价金额与按单价合计金额不一致的，以单价金额计算结果为准。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（三十二）废标条款：</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出现下列情形之一的，应予废标。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1.符合专业条件的供应商或者对招标文件作实质响应的供应商不足三家的；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2.出现影响采购公正的违法、违规行为的；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3.投标人的报价均超过了采购预算，采购人不能支付的；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4.因重大变故，采购任务取消的。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六、定标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（三十三）采购代理机构应当在评标结束后2个工作日内将评标报告送采购人。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七、政府采购合同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（三十六）签订政府采购合同（合同签订方式）：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采购人不得向中标人提出任何不合理的要求作为签订合同的条件。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（三十八）履约保证金：详见《第三章 投标资料表》。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（三十九）腐败和欺诈行为：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（1）腐败和欺诈行为的含义：</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八、询问和质疑</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（四十）询问和质疑</w:t>
      </w:r>
      <w:r/>
    </w:p>
    <w:p>
      <w:pPr>
        <w:ind w:firstLine="600"/>
        <w:spacing w:line="51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九、电子招标投标交易平台</w:t>
      </w:r>
      <w:r/>
    </w:p>
    <w:p>
      <w:pPr>
        <w:ind w:firstLine="600"/>
        <w:jc w:val="left"/>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highlight w:val="none"/>
        </w:rPr>
        <w:br w:type="page" w:clear="all"/>
      </w:r>
      <w:r>
        <w:rPr>
          <w:rFonts w:hint="eastAsia" w:ascii="仿宋" w:hAnsi="仿宋" w:eastAsia="仿宋" w:cs="仿宋"/>
          <w:b/>
          <w:sz w:val="30"/>
          <w:highlight w:val="none"/>
        </w:rPr>
        <w:t xml:space="preserve">第三章 投标资料表</w:t>
      </w:r>
      <w:r/>
    </w:p>
    <w:p>
      <w:pPr>
        <w:ind w:firstLine="60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5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徐州市云龙区城市管理局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徐州维正工程咨询有限公司</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投标人的资格条件：</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一、符合《中华人民共和国政府采购法》第二十二条的规定；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w:t>
            </w:r>
            <w:bookmarkStart w:id="0" w:name="OLE_LINK17"/>
            <w:r>
              <w:rPr>
                <w:rFonts w:hint="eastAsia" w:ascii="仿宋" w:hAnsi="仿宋" w:eastAsia="仿宋" w:cs="仿宋"/>
                <w:color w:val="000000"/>
                <w:sz w:val="28"/>
                <w:szCs w:val="28"/>
                <w:highlight w:val="none"/>
                <w:lang w:eastAsia="zh-CN"/>
              </w:rPr>
              <w:t xml:space="preserve">本项目不属于专门面向中小微企业采购的项目</w:t>
            </w:r>
            <w:bookmarkEnd w:id="0"/>
            <w:r>
              <w:rPr>
                <w:rFonts w:hint="eastAsia" w:ascii="仿宋" w:hAnsi="仿宋" w:eastAsia="仿宋" w:cs="仿宋"/>
                <w:color w:val="000000"/>
                <w:sz w:val="28"/>
                <w:szCs w:val="28"/>
                <w:highlight w:val="none"/>
                <w:lang w:eastAsia="zh-CN"/>
              </w:rPr>
              <w:t xml:space="preserve">；</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同时明确相关事项如下：</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1、本项目</w:t>
            </w:r>
            <w:r>
              <w:rPr>
                <w:rFonts w:hint="eastAsia" w:ascii="仿宋" w:hAnsi="仿宋" w:eastAsia="仿宋" w:cs="仿宋"/>
                <w:b/>
                <w:bCs/>
                <w:color w:val="000000"/>
                <w:sz w:val="28"/>
                <w:szCs w:val="28"/>
                <w:highlight w:val="none"/>
              </w:rPr>
              <w:t xml:space="preserve">不接受</w:t>
            </w:r>
            <w:r>
              <w:rPr>
                <w:rFonts w:hint="eastAsia" w:ascii="仿宋" w:hAnsi="仿宋" w:eastAsia="仿宋" w:cs="仿宋"/>
                <w:color w:val="000000"/>
                <w:sz w:val="28"/>
                <w:szCs w:val="28"/>
                <w:highlight w:val="none"/>
              </w:rPr>
              <w:t xml:space="preserve">联合体参与采购活动。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2、单位负责人为同一人或者存在直接控股、管理关系的不同供应商，不得参加同一合同项下的政府采购活动。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3、为本采购项目提供整体设计、规范编制或者项目管理、监理、检测等服务的供应商，不得再参加本采购项目的采购活动。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三、查询及使用供应商信用记录：</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(一)由采购人查询信用信息。</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(二)查询渠道包括：</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1、“信用中国”网（www.creditchina.gov.cn）；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2、中国政府采购网（www.ccgp.gov.cn）；</w:t>
            </w:r>
            <w:r/>
          </w:p>
          <w:p>
            <w:pPr>
              <w:ind w:firstLine="280"/>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3、“信用江苏”网（http://credit.jiangsu.gov.cn/）；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4、“信用中国(江苏徐州)”网（http://www.xuzhoucredit.gov.cn）；</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(三)截止时点（查询环节）：开标后资格审查结束前。</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(四)信用信息查询记录和证据留存的具体方式：网页截屏打印，与其他采购文件一并保存。</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(五)信用信息的使用规则：</w:t>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(十二)1</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线上投标文件编制要求：</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请按照以下要求（包括但不限于以下要求）制作：</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一、基本目录</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1、《开标一览表》（加盖电子签章，政府采购客户端工具输入报价自动生成）。</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2</w:t>
            </w:r>
            <w:r>
              <w:rPr>
                <w:rFonts w:hint="eastAsia" w:ascii="仿宋" w:hAnsi="仿宋" w:eastAsia="仿宋" w:cs="仿宋"/>
                <w:b/>
                <w:color w:val="000000"/>
                <w:sz w:val="28"/>
                <w:szCs w:val="28"/>
                <w:highlight w:val="none"/>
              </w:rPr>
              <w:t xml:space="preserve">.所投产品的环境标志产品认证证书原件的扫描件（如有）。</w:t>
            </w:r>
            <w:r/>
          </w:p>
          <w:p>
            <w:pP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注</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（2）环境标志产品认证证书是否符合要求，采购人评标时查询中国政府采购网（www.ccgp.gov.cn）相关内容后确定。</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3</w:t>
            </w:r>
            <w:r>
              <w:rPr>
                <w:rFonts w:hint="eastAsia" w:ascii="仿宋" w:hAnsi="仿宋" w:eastAsia="仿宋" w:cs="仿宋"/>
                <w:b/>
                <w:color w:val="000000"/>
                <w:sz w:val="28"/>
                <w:szCs w:val="28"/>
                <w:highlight w:val="none"/>
              </w:rPr>
              <w:t xml:space="preserve">.所投产品的节能产品认证证书原件的扫描件（如有）。</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（2）节能产品认证证书是否符合要求，采购人评标时查询中国政府采购网（www.ccgp.gov.cn）相关内容后确定。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二、资格条件（必须提供，否则投标将被拒绝）</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(一)投标人合法有效的营业执照扫描件，或事业单位法人证书扫描件，或民办非企业单位登记证书扫描件。</w:t>
            </w:r>
            <w:r/>
          </w:p>
          <w:p>
            <w:pPr>
              <w:ind w:right="28"/>
              <w:rPr>
                <w:rFonts w:hint="eastAsia" w:ascii="仿宋" w:hAnsi="仿宋" w:eastAsia="仿宋" w:cs="仿宋"/>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(二)财务状况报告（即提供投标人的本项目开标时间前6个月内任何时间的</w:t>
            </w:r>
            <w:r>
              <w:rPr>
                <w:rFonts w:hint="eastAsia" w:ascii="仿宋" w:hAnsi="仿宋" w:eastAsia="仿宋" w:cs="仿宋"/>
                <w:bCs/>
                <w:color w:val="000000"/>
                <w:sz w:val="28"/>
                <w:szCs w:val="28"/>
                <w:highlight w:val="none"/>
              </w:rPr>
              <w:t xml:space="preserve">资产负债表、利润表扫描件各一份；</w:t>
            </w:r>
            <w:r>
              <w:rPr>
                <w:rFonts w:hint="eastAsia" w:ascii="仿宋" w:hAnsi="仿宋" w:eastAsia="仿宋" w:cs="仿宋"/>
                <w:color w:val="000000"/>
                <w:sz w:val="28"/>
                <w:szCs w:val="28"/>
                <w:highlight w:val="none"/>
              </w:rPr>
              <w:t xml:space="preserve">或合法有效的经第三方机构审计的2024年度财务审计报告扫描件一份；或投标人的本项目开标时间前6个月内银行出具的</w:t>
            </w:r>
            <w:r>
              <w:rPr>
                <w:rFonts w:hint="eastAsia" w:ascii="仿宋" w:hAnsi="仿宋" w:eastAsia="仿宋" w:cs="仿宋"/>
                <w:bCs/>
                <w:color w:val="000000"/>
                <w:sz w:val="28"/>
                <w:szCs w:val="28"/>
                <w:highlight w:val="none"/>
              </w:rPr>
              <w:t xml:space="preserve">资信证明扫描件一份）；</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highlight w:val="none"/>
              </w:rPr>
              <w:t xml:space="preserve">(三)投标人的本项目开标时间前6个月内任何1个月的依法缴纳税收扫描件和社会保障资金扫描件的相关材料（依法免税</w:t>
            </w:r>
            <w:r>
              <w:rPr>
                <w:rFonts w:hint="eastAsia" w:ascii="仿宋" w:hAnsi="仿宋" w:eastAsia="仿宋" w:cs="仿宋"/>
                <w:color w:val="000000"/>
                <w:sz w:val="28"/>
                <w:szCs w:val="28"/>
                <w:highlight w:val="none"/>
              </w:rPr>
              <w:t xml:space="preserve">或不需要缴纳社会保障资金的供应商,提供相应文件扫描件证明其依法免税或不需要缴纳社会保障资金)；</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(四)具备履行合同所必需的设备和专业技术能力的证明材料。格式见招标文件第七章《投标文件相关格式》）。</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(五)投标人参加政府采购活动前3年内在经营活动中没有重大违法记录的书面声明，加盖</w:t>
            </w:r>
            <w:r>
              <w:rPr>
                <w:rFonts w:hint="eastAsia" w:ascii="仿宋" w:hAnsi="仿宋" w:eastAsia="仿宋" w:cs="仿宋"/>
                <w:bCs/>
                <w:color w:val="000000"/>
                <w:sz w:val="28"/>
                <w:szCs w:val="28"/>
                <w:highlight w:val="none"/>
              </w:rPr>
              <w:t xml:space="preserve">电子签章，</w:t>
            </w:r>
            <w:r>
              <w:rPr>
                <w:rFonts w:hint="eastAsia" w:ascii="仿宋" w:hAnsi="仿宋" w:eastAsia="仿宋" w:cs="仿宋"/>
                <w:color w:val="000000"/>
                <w:sz w:val="28"/>
                <w:szCs w:val="28"/>
                <w:highlight w:val="none"/>
              </w:rPr>
              <w:t xml:space="preserve">格式见本文件第七章《投标文件相关格式》。</w:t>
            </w:r>
            <w:r/>
          </w:p>
          <w:p>
            <w:pPr>
              <w:pStyle w:val="94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（六）投标人关于单位负责人为同一人或者存在直接控股、管理关系的不同供应商，不得参加同一合同项下的政府采购活动的承诺。（加盖电子签章，格式见招标文件第七章《投标文件相关格式》）。</w:t>
            </w:r>
            <w:r/>
          </w:p>
          <w:p>
            <w:pPr>
              <w:pStyle w:val="94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（七）投标人不是为本采购项目提供整体设计、规范编制或者项目管理、监理、检测等服务的供应商的书面声明。（加盖电子签章，格式见招标文件第七章《投标文件相关格式》）。</w:t>
            </w:r>
            <w:r/>
          </w:p>
          <w:p>
            <w:pPr>
              <w:pStyle w:val="94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三、符合条件（必须提供，否则投标无效）</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(一)报价</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1、《开标一览表》。要求加盖电子签章，格式见本文件第七章《投标文件相关格式》。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（二）商务资信</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2、《授权委托书》。要求加盖电子签章，格式见本文件第七章《投标文件相关格式》（必须提供，否则在符合性审查时按照投标无效处理）。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（三）技术响应</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1、《偏离表》（加盖电子签章，格式见招标文件第七章《投标文件相关格式》。）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四、综合评审评分项</w:t>
            </w:r>
            <w:r/>
          </w:p>
          <w:p>
            <w:pPr>
              <w:rPr>
                <w:rFonts w:hint="eastAsia" w:ascii="仿宋" w:hAnsi="仿宋" w:eastAsia="仿宋" w:cs="仿宋"/>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要求详见招标文件第六章《采购需求》和招标文件第四章《评标标准》）；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五、价格折扣文件格式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企业报价折扣证明：</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《中小企业声明函》查询渠道参考工业和信息化部发布的中小企业规模自测小程序。中小企业规模自测小程序详见《中小企业声明函》。</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备注：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监狱企业和残疾人福利性单位等同于小微企业。</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投标人为监狱企业的，提供省级以上监狱管理局、戒毒管理局（含新疆生产建设兵团）出具的属于监狱企业的证明文件原件的扫描件。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具体以《财政部 司法部关于政府采购支持监狱企业发展有关问题的通知》（财库〔2014〕68号）的规定为准。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投标人为享受政府采购支持政策的残疾人福利性单位的，提供《残疾人福利性单位声明函》（加盖电子签章，格式见招标文件第七章《投标文件相关格式》）。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享受政府采购支持政策的残疾人福利性单位应当同时满足以下条件：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①安置的残疾人占本单位在职职工人数的比例不低于25%（含25%），并且安置的残疾人人数不少于10人（含10人）；</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②依法与安置的每位残疾人签订了一年以上（含一年）的劳动合同或服务协议；</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③为安置的每位残疾人按月足额缴纳了基本养老保险、基本医疗保险、失业保险、工伤保险和生育保险等社会保险费；</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具体以《三部门联合发布关于促进残疾人就业政府采购政策的通知》（财库〔2017〕141号）规定为准。</w:t>
            </w:r>
            <w:r/>
          </w:p>
          <w:p>
            <w:pPr>
              <w:pStyle w:val="77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2、本国产品报价折扣证明：提供的货物由符合政策要求的本国企业制造，提供《关于符合本国产品标准的声明函》（填写完整，加盖电子签章，格式见招标文件第七章《投标文件相关格式》。</w:t>
            </w:r>
            <w:r>
              <w:rPr>
                <w:rFonts w:hint="eastAsia" w:ascii="仿宋" w:hAnsi="仿宋" w:eastAsia="仿宋" w:cs="仿宋"/>
                <w:b w:val="0"/>
                <w:bCs w:val="0"/>
                <w:color w:val="000000"/>
                <w:sz w:val="28"/>
                <w:szCs w:val="28"/>
                <w:highlight w:val="none"/>
                <w:lang w:val="en-US" w:eastAsia="zh-CN"/>
              </w:rPr>
              <w:t xml:space="preserve">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pStyle w:val="77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具体以《国务院办公厅关于在政府采购中实施本国产品标准及相关政策的通知》（国办发〔2025〕34号）规定为准。</w:t>
            </w:r>
            <w:r/>
          </w:p>
          <w:p>
            <w:pPr>
              <w:pStyle w:val="77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备注：</w:t>
            </w:r>
            <w:r/>
          </w:p>
          <w:p>
            <w:pPr>
              <w:pStyle w:val="77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①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2"/>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说明：本项目不接受进口产品投标。</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lang w:val="en-US" w:eastAsia="en-US" w:bidi="ar-SA"/>
              </w:rPr>
              <w:t xml:space="preserve">、其他部分</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en-US" w:bidi="ar-SA"/>
              </w:rPr>
              <w:t xml:space="preserve">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1、投标人应对以上文件的合法性、真实性负责。</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80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交货和提供服务的时间：见本文件第五章《拟签订的合同文本》及或本文件第六章《采购需求》。</w:t>
            </w:r>
            <w:r/>
          </w:p>
        </w:tc>
      </w:tr>
      <w:tr>
        <w:trPr>
          <w:jc w:val="center"/>
          <w:trHeight w:val="157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(十四)3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本项目采购预算总金额 </w:t>
            </w:r>
            <w:r>
              <w:rPr>
                <w:rFonts w:hint="eastAsia" w:ascii="仿宋" w:hAnsi="仿宋" w:eastAsia="仿宋" w:cs="仿宋"/>
                <w:b/>
                <w:bCs/>
                <w:sz w:val="28"/>
                <w:szCs w:val="28"/>
                <w:highlight w:val="none"/>
                <w:lang w:val="en-US" w:eastAsia="zh-CN"/>
              </w:rPr>
              <w:t xml:space="preserve">400</w:t>
            </w:r>
            <w:r>
              <w:rPr>
                <w:rFonts w:hint="eastAsia" w:ascii="仿宋" w:hAnsi="仿宋" w:eastAsia="仿宋" w:cs="仿宋"/>
                <w:b/>
                <w:bCs/>
                <w:sz w:val="28"/>
                <w:szCs w:val="28"/>
                <w:highlight w:val="none"/>
              </w:rPr>
              <w:t xml:space="preserve">万元，本项目不接受超过最高限价的投标报价。</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报价包括产品价、税金、运费、安装调试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车辆上牌服务费、保险费、购置税费、充电桩安装费，</w:t>
            </w:r>
            <w:r>
              <w:rPr>
                <w:rFonts w:hint="eastAsia" w:ascii="仿宋" w:hAnsi="仿宋" w:eastAsia="仿宋" w:cs="仿宋"/>
                <w:color w:val="000000"/>
                <w:sz w:val="28"/>
                <w:szCs w:val="28"/>
                <w:highlight w:val="none"/>
              </w:rPr>
              <w:t xml:space="preserve">采购人不再支付报价以外的任何费用</w:t>
            </w:r>
            <w:r>
              <w:rPr>
                <w:rFonts w:hint="eastAsia" w:ascii="仿宋" w:hAnsi="仿宋" w:eastAsia="仿宋" w:cs="仿宋"/>
                <w:color w:val="000000"/>
                <w:sz w:val="28"/>
                <w:szCs w:val="28"/>
                <w:highlight w:val="none"/>
                <w:lang w:eastAsia="zh-CN"/>
              </w:rPr>
              <w:t xml:space="preserve">。</w:t>
            </w:r>
            <w:r/>
          </w:p>
        </w:tc>
      </w:tr>
      <w:tr>
        <w:trPr>
          <w:jc w:val="center"/>
          <w:trHeight w:val="48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463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投标人须用政府采购客户端工具导入“苏采云”系统下载的采购文件（后缀）、供应商操作手册及政府采购客户端工具可通过“苏采云”系统（网址：</w:t>
            </w:r>
            <w:r>
              <w:rPr>
                <w:rFonts w:hint="eastAsia"/>
                <w:highlight w:val="none"/>
              </w:rPr>
              <w:fldChar w:fldCharType="begin"/>
            </w:r>
            <w:r>
              <w:rPr>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highlight w:val="none"/>
              </w:rPr>
              <w:fldChar w:fldCharType="separate"/>
            </w:r>
            <w:r>
              <w:rPr>
                <w:rStyle w:val="948"/>
                <w:rFonts w:hint="eastAsia" w:ascii="仿宋" w:hAnsi="仿宋" w:eastAsia="仿宋" w:cs="仿宋"/>
                <w:color w:val="000000"/>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48"/>
                <w:rFonts w:hint="eastAsia" w:ascii="仿宋" w:hAnsi="仿宋" w:eastAsia="仿宋" w:cs="仿宋"/>
                <w:color w:val="000000"/>
                <w:sz w:val="28"/>
                <w:szCs w:val="28"/>
                <w:highlight w:val="none"/>
                <w:u w:val="none"/>
              </w:rPr>
              <w:fldChar w:fldCharType="end"/>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特别说明：政府采购客户端工具需要导出加密的投标文件（后缀名为</w:t>
            </w:r>
            <w:r>
              <w:rPr>
                <w:rFonts w:hint="eastAsia" w:ascii="仿宋" w:hAnsi="仿宋" w:eastAsia="仿宋" w:cs="仿宋"/>
                <w:b/>
                <w:bCs/>
                <w:color w:val="000000"/>
                <w:sz w:val="28"/>
                <w:szCs w:val="28"/>
                <w:highlight w:val="none"/>
              </w:rPr>
              <w:t xml:space="preserve">zip</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投标文件不得超过150M！</w:t>
            </w:r>
            <w:r>
              <w:rPr>
                <w:rFonts w:hint="eastAsia" w:ascii="仿宋" w:hAnsi="仿宋" w:eastAsia="仿宋" w:cs="仿宋"/>
                <w:color w:val="000000"/>
                <w:sz w:val="28"/>
                <w:szCs w:val="28"/>
                <w:highlight w:val="none"/>
              </w:rPr>
              <w:t xml:space="preserve">名为</w:t>
            </w:r>
            <w:r>
              <w:rPr>
                <w:rFonts w:hint="eastAsia" w:ascii="仿宋" w:hAnsi="仿宋" w:eastAsia="仿宋" w:cs="仿宋"/>
                <w:b/>
                <w:bCs/>
                <w:color w:val="000000"/>
                <w:sz w:val="28"/>
                <w:szCs w:val="28"/>
                <w:highlight w:val="none"/>
              </w:rPr>
              <w:t xml:space="preserve">“.kedt”</w:t>
            </w:r>
            <w:r>
              <w:rPr>
                <w:rFonts w:hint="eastAsia" w:ascii="仿宋" w:hAnsi="仿宋" w:eastAsia="仿宋" w:cs="仿宋"/>
                <w:color w:val="000000"/>
                <w:sz w:val="28"/>
                <w:szCs w:val="28"/>
                <w:highlight w:val="none"/>
              </w:rPr>
              <w:t xml:space="preserve">）后，离线编制投标文件。采购文件（后缀名为</w:t>
            </w:r>
            <w:r>
              <w:rPr>
                <w:rFonts w:hint="eastAsia" w:ascii="仿宋" w:hAnsi="仿宋" w:eastAsia="仿宋" w:cs="仿宋"/>
                <w:b/>
                <w:bCs/>
                <w:color w:val="000000"/>
                <w:sz w:val="28"/>
                <w:szCs w:val="28"/>
                <w:highlight w:val="none"/>
              </w:rPr>
              <w:t xml:space="preserve">“.kedt”）。</w:t>
            </w:r>
            <w:r/>
          </w:p>
        </w:tc>
      </w:tr>
      <w:tr>
        <w:trPr>
          <w:jc w:val="center"/>
          <w:trHeight w:val="54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(十八)1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投标文件的提交与接收： </w:t>
            </w:r>
            <w:r/>
          </w:p>
          <w:p>
            <w:pPr>
              <w:ind w:left="560" w:hanging="56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1、投标文件提交与接收时间：</w:t>
            </w:r>
            <w:r>
              <w:rPr>
                <w:rFonts w:hint="eastAsia" w:ascii="仿宋" w:hAnsi="仿宋" w:eastAsia="仿宋" w:cs="仿宋"/>
                <w:b/>
                <w:bCs/>
                <w:color w:val="ff0000"/>
                <w:sz w:val="30"/>
                <w:highlight w:val="none"/>
                <w:lang w:val="en-US" w:eastAsia="zh-CN"/>
              </w:rPr>
              <w:t xml:space="preserve">2026年3月 11 日</w:t>
            </w:r>
            <w:r>
              <w:rPr>
                <w:rFonts w:hint="eastAsia" w:ascii="仿宋" w:hAnsi="仿宋" w:eastAsia="仿宋" w:cs="仿宋"/>
                <w:b/>
                <w:bCs/>
                <w:color w:val="000000"/>
                <w:sz w:val="28"/>
                <w:szCs w:val="28"/>
                <w:highlight w:val="none"/>
              </w:rPr>
              <w:t xml:space="preserve">09：30前</w:t>
            </w:r>
            <w:r>
              <w:rPr>
                <w:rFonts w:hint="eastAsia" w:ascii="仿宋" w:hAnsi="仿宋" w:eastAsia="仿宋" w:cs="仿宋"/>
                <w:b/>
                <w:bCs/>
                <w:sz w:val="28"/>
                <w:szCs w:val="28"/>
                <w:highlight w:val="none"/>
              </w:rPr>
              <w:t xml:space="preserve">。</w:t>
            </w:r>
            <w:r/>
          </w:p>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2、投标文件提交与接收地点：</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电子投标文件应由其法定代表人或法定代表人授权代表在规定的网上投标时间内，</w:t>
            </w:r>
            <w:r>
              <w:rPr>
                <w:rFonts w:hint="eastAsia" w:ascii="仿宋" w:hAnsi="仿宋" w:eastAsia="仿宋" w:cs="仿宋"/>
                <w:b/>
                <w:sz w:val="28"/>
                <w:szCs w:val="28"/>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开标</w:t>
            </w:r>
            <w:r/>
          </w:p>
        </w:tc>
      </w:tr>
      <w:tr>
        <w:trPr>
          <w:jc w:val="center"/>
          <w:trHeight w:val="25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开标时间及地点：</w:t>
            </w:r>
            <w:r>
              <w:rPr>
                <w:highlight w:val="none"/>
              </w:rPr>
              <w:tab/>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1、开标时间：</w:t>
            </w:r>
            <w:r>
              <w:rPr>
                <w:rFonts w:hint="eastAsia" w:ascii="仿宋" w:hAnsi="仿宋" w:eastAsia="仿宋" w:cs="仿宋"/>
                <w:b/>
                <w:bCs/>
                <w:color w:val="ff0000"/>
                <w:sz w:val="30"/>
                <w:highlight w:val="none"/>
                <w:lang w:val="en-US" w:eastAsia="zh-CN"/>
              </w:rPr>
              <w:t xml:space="preserve">2026年3月 11 日</w:t>
            </w:r>
            <w:r>
              <w:rPr>
                <w:rFonts w:hint="eastAsia" w:ascii="仿宋" w:hAnsi="仿宋" w:eastAsia="仿宋" w:cs="仿宋"/>
                <w:b/>
                <w:color w:val="000000"/>
                <w:sz w:val="28"/>
                <w:szCs w:val="28"/>
                <w:highlight w:val="none"/>
              </w:rPr>
              <w:t xml:space="preserve">09：30</w:t>
            </w:r>
            <w:r>
              <w:rPr>
                <w:rFonts w:hint="eastAsia" w:ascii="仿宋" w:hAnsi="仿宋" w:eastAsia="仿宋" w:cs="仿宋"/>
                <w:b/>
                <w:sz w:val="28"/>
                <w:szCs w:val="28"/>
                <w:highlight w:val="none"/>
              </w:rPr>
              <w:t xml:space="preserve">（标准时间）</w:t>
            </w:r>
            <w:r/>
          </w:p>
          <w:p>
            <w:pPr>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2、开标地点：</w:t>
            </w:r>
            <w:r/>
          </w:p>
          <w:p>
            <w:pPr>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7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采用综合评分法。</w:t>
            </w:r>
            <w:r/>
          </w:p>
        </w:tc>
      </w:tr>
      <w:tr>
        <w:trPr>
          <w:jc w:val="center"/>
          <w:trHeight w:val="30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(二十八)1</w:t>
            </w:r>
            <w:r/>
          </w:p>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一、推荐中标候选供应商名单。中标候选供应商数量应当根据采购需要确定，但必须按顺序排列中标候选供应商。</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二十九</w:t>
            </w:r>
            <w:r>
              <w:rPr>
                <w:rFonts w:hint="eastAsia" w:ascii="仿宋" w:hAnsi="仿宋" w:eastAsia="仿宋" w:cs="仿宋"/>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履约保证金：</w:t>
            </w:r>
            <w:r>
              <w:rPr>
                <w:rFonts w:hint="eastAsia" w:ascii="仿宋" w:hAnsi="仿宋" w:eastAsia="仿宋" w:cs="仿宋"/>
                <w:b/>
                <w:bCs/>
                <w:color w:val="000000"/>
                <w:sz w:val="28"/>
                <w:szCs w:val="28"/>
                <w:highlight w:val="none"/>
                <w:lang w:val="en-US" w:eastAsia="zh-CN"/>
              </w:rPr>
              <w:t xml:space="preserve">详见合同</w:t>
            </w:r>
            <w:r>
              <w:rPr>
                <w:rFonts w:hint="eastAsia" w:ascii="仿宋" w:hAnsi="仿宋" w:eastAsia="仿宋" w:cs="仿宋"/>
                <w:sz w:val="28"/>
                <w:szCs w:val="28"/>
                <w:highlight w:val="none"/>
              </w:rPr>
              <w:t xml:space="preserve">。</w:t>
            </w:r>
            <w:r/>
          </w:p>
        </w:tc>
      </w:tr>
      <w:tr>
        <w:trPr>
          <w:jc w:val="center"/>
          <w:trHeight w:val="10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质疑接收人：</w:t>
            </w:r>
            <w:r>
              <w:rPr>
                <w:rFonts w:hint="eastAsia" w:ascii="仿宋" w:hAnsi="仿宋" w:eastAsia="仿宋" w:cs="仿宋"/>
                <w:sz w:val="28"/>
                <w:szCs w:val="28"/>
                <w:highlight w:val="none"/>
                <w:lang w:eastAsia="zh-CN"/>
              </w:rPr>
              <w:t xml:space="preserve">柴莉</w:t>
            </w:r>
            <w:r>
              <w:rPr>
                <w:rFonts w:hint="eastAsia" w:ascii="仿宋" w:hAnsi="仿宋" w:eastAsia="仿宋" w:cs="仿宋"/>
                <w:sz w:val="28"/>
                <w:szCs w:val="28"/>
                <w:highlight w:val="none"/>
              </w:rPr>
              <w:t xml:space="preserve">      联系电话：</w:t>
            </w:r>
            <w:r>
              <w:rPr>
                <w:rFonts w:hint="eastAsia" w:ascii="仿宋" w:hAnsi="仿宋" w:eastAsia="仿宋" w:cs="仿宋"/>
                <w:sz w:val="28"/>
                <w:szCs w:val="28"/>
                <w:highlight w:val="none"/>
                <w:lang w:eastAsia="zh-CN"/>
              </w:rPr>
              <w:t xml:space="preserve">0516-83796662</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徐州市云龙区汉风街道秦郡路中铁原香漫谷2号商业楼217-6-39室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Align w:val="top"/>
            <w:vMerge w:val="continue"/>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4、实施政府采购异常低价审查的有关要求：</w:t>
            </w:r>
            <w:r/>
          </w:p>
          <w:p>
            <w:pPr>
              <w:pStyle w:val="766"/>
              <w:ind w:left="0" w:righ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评审过程中出现下列情形之一的，评审委员会应当启动异常低价投标审查程序：</w:t>
            </w:r>
            <w:r/>
          </w:p>
          <w:p>
            <w:pPr>
              <w:pStyle w:val="76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6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6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3.投标（响应）报价低于采购项目最高限价45%的，即投标（响应）报价&lt;采购项目最高限价×45%；</w:t>
            </w:r>
            <w:r/>
          </w:p>
          <w:p>
            <w:pPr>
              <w:pStyle w:val="76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4.评审委员会认定供应商报价过低，有可能影响产品质量或者不能诚信履约的其他情形。</w:t>
            </w:r>
            <w:r/>
          </w:p>
          <w:p>
            <w:pPr>
              <w:pStyle w:val="766"/>
              <w:ind w:left="0" w:right="0" w:firstLine="480"/>
              <w:jc w:val="both"/>
              <w:keepLines w:val="0"/>
              <w:keepNext w:val="0"/>
              <w:spacing w:before="0" w:beforeAutospacing="0" w:after="0" w:afterAutospacing="0" w:line="240" w:lineRule="auto"/>
              <w:widowControl w:val="off"/>
              <w:rPr>
                <w:rFonts w:hint="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启动异常低价投标审查后，评审委员会应当要求相关供应商在评审现场合理的时间内通过“苏采云</w:t>
            </w:r>
            <w:r>
              <w:rPr>
                <w:rFonts w:hint="eastAsia" w:ascii="仿宋" w:hAnsi="仿宋" w:eastAsia="仿宋" w:cs="仿宋"/>
                <w:b/>
                <w:bCs/>
                <w:color w:val="000000"/>
                <w:sz w:val="24"/>
                <w:szCs w:val="24"/>
                <w:highlight w:val="none"/>
                <w:lang w:val="en-US" w:eastAsia="zh-CN" w:bidi="ar-SA"/>
              </w:rPr>
              <w:t xml:space="preserve">”系统（使用“CA数字证书”,加盖电子签章）提供项目具体成本测算等与报价合理性相关的书面说明及必要的相关证明材料，包括但不限于原材料成本、人工成本、制造费用等，对响应价格作出解释，由评审委员会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评审委员会应当将其作为无效响应处理。审查相关情况应当在评审报告中进行记录。</w:t>
            </w:r>
            <w:r/>
          </w:p>
        </w:tc>
      </w:tr>
    </w:tbl>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本章附件：</w:t>
      </w:r>
      <w:r>
        <w:rPr>
          <w:rFonts w:hint="eastAsia" w:ascii="仿宋" w:hAnsi="仿宋" w:eastAsia="仿宋" w:cs="仿宋"/>
          <w:b/>
          <w:sz w:val="30"/>
          <w:highlight w:val="none"/>
        </w:rPr>
        <w:t xml:space="preserve">招标代理服务收费标准</w:t>
      </w:r>
      <w:r/>
    </w:p>
    <w:p>
      <w:pPr>
        <w:ind w:firstLine="630"/>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徐州市政府采购代理服务费行业指导价格</w:t>
      </w:r>
      <w:r/>
    </w:p>
    <w:tbl>
      <w:tblPr>
        <w:tblStyle w:val="747"/>
        <w:tblW w:w="7296"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W w:w="4746" w:type="dxa"/>
            <w:vAlign w:val="center"/>
            <w:textDirection w:val="lrTb"/>
            <w:noWrap w:val="false"/>
          </w:tcPr>
          <w:p>
            <w:pPr>
              <w:ind w:firstLine="630"/>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最低收费金额(每个委托项目)</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0万以下</w:t>
            </w:r>
            <w:r>
              <w:rPr>
                <w:rFonts w:hint="eastAsia" w:ascii="仿宋" w:hAnsi="仿宋" w:eastAsia="仿宋" w:cs="仿宋"/>
                <w:color w:val="000000"/>
                <w:sz w:val="24"/>
                <w:highlight w:val="none"/>
              </w:rPr>
              <w:t xml:space="preserve">（含50万元）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50-4</w:t>
            </w:r>
            <w:r>
              <w:rPr>
                <w:rFonts w:hint="eastAsia" w:ascii="仿宋" w:hAnsi="仿宋" w:eastAsia="仿宋" w:cs="仿宋"/>
                <w:color w:val="000000"/>
                <w:sz w:val="24"/>
                <w:highlight w:val="none"/>
                <w:lang w:eastAsia="en-US"/>
              </w:rPr>
              <w:t xml:space="preserve">00万</w:t>
            </w:r>
            <w:r>
              <w:rPr>
                <w:rFonts w:hint="eastAsia" w:ascii="仿宋" w:hAnsi="仿宋" w:eastAsia="仿宋" w:cs="仿宋"/>
                <w:color w:val="000000"/>
                <w:sz w:val="24"/>
                <w:highlight w:val="none"/>
              </w:rPr>
              <w:t xml:space="preserve">（含400万元）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1000万</w:t>
            </w:r>
            <w:r>
              <w:rPr>
                <w:rFonts w:hint="eastAsia" w:ascii="仿宋" w:hAnsi="仿宋" w:eastAsia="仿宋" w:cs="仿宋"/>
                <w:color w:val="000000"/>
                <w:sz w:val="24"/>
                <w:highlight w:val="none"/>
              </w:rPr>
              <w:t xml:space="preserve">（含1000万元）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l000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5000万</w:t>
            </w:r>
            <w:r>
              <w:rPr>
                <w:rFonts w:hint="eastAsia" w:ascii="仿宋" w:hAnsi="仿宋" w:eastAsia="仿宋" w:cs="仿宋"/>
                <w:color w:val="000000"/>
                <w:sz w:val="24"/>
                <w:highlight w:val="none"/>
              </w:rPr>
              <w:t xml:space="preserve">（含5000万元）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w:t>
            </w: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l亿</w:t>
            </w:r>
            <w:r>
              <w:rPr>
                <w:rFonts w:hint="eastAsia" w:ascii="仿宋" w:hAnsi="仿宋" w:eastAsia="仿宋" w:cs="仿宋"/>
                <w:color w:val="000000"/>
                <w:sz w:val="24"/>
                <w:highlight w:val="none"/>
              </w:rPr>
              <w:t xml:space="preserve">（含1亿元）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1亿</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eastAsia="en-US"/>
              </w:rPr>
              <w:t xml:space="preserve">亿</w:t>
            </w:r>
            <w:r>
              <w:rPr>
                <w:rFonts w:hint="eastAsia" w:ascii="仿宋" w:hAnsi="仿宋" w:eastAsia="仿宋" w:cs="仿宋"/>
                <w:color w:val="000000"/>
                <w:sz w:val="24"/>
                <w:highlight w:val="none"/>
              </w:rPr>
              <w:t xml:space="preserve">（含10亿元）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10-5</w:t>
            </w:r>
            <w:r>
              <w:rPr>
                <w:rFonts w:hint="eastAsia" w:ascii="仿宋" w:hAnsi="仿宋" w:eastAsia="仿宋" w:cs="仿宋"/>
                <w:color w:val="000000"/>
                <w:sz w:val="24"/>
                <w:highlight w:val="none"/>
                <w:lang w:eastAsia="en-US"/>
              </w:rPr>
              <w:t xml:space="preserve">0亿</w:t>
            </w:r>
            <w:r>
              <w:rPr>
                <w:rFonts w:hint="eastAsia" w:ascii="仿宋" w:hAnsi="仿宋" w:eastAsia="仿宋" w:cs="仿宋"/>
                <w:color w:val="000000"/>
                <w:sz w:val="24"/>
                <w:highlight w:val="none"/>
              </w:rPr>
              <w:t xml:space="preserve">（含50亿元）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50亿以上</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bl>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说明:</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1.按上表计算的收费为代理服务全过程的收费金额。各社会代理机构不再收取采购文件制作售卖费用。</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2.代理服务费按差额定率累进法计算。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3.代理服务费基准金额(按差额定率累进法计算的)=中标金额(按差额定率累进法计算的)*费率(%)</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4.代理服务费应收取金额=代理服务费基准金额(按差额定率累进法计算的)的合计数。</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5.定点类等无金额或事先不能计算出价格总额的项目，按中标(成交)金额 100万元计算。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6.有分包(分标段)的按一个项目计算。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7.以上价格为协会指导价，双方可根据项目难易程度和优质优价原则协商确定。</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8.代理服务费用缴纳账户信息：</w:t>
      </w:r>
      <w:r/>
    </w:p>
    <w:p>
      <w:pPr>
        <w:ind w:firstLine="630"/>
        <w:spacing w:before="220" w:after="200" w:line="276" w:lineRule="auto"/>
        <w:widowControl/>
        <w:rPr>
          <w:rFonts w:hint="eastAsia" w:ascii="仿宋" w:hAnsi="仿宋" w:eastAsia="仿宋" w:cs="仿宋"/>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账户名称：</w:t>
      </w:r>
      <w:r>
        <w:rPr>
          <w:rFonts w:hint="eastAsia" w:ascii="仿宋" w:hAnsi="仿宋" w:eastAsia="仿宋" w:cs="仿宋"/>
          <w:color w:val="000000"/>
          <w:sz w:val="24"/>
          <w:highlight w:val="none"/>
          <w:lang w:eastAsia="zh-CN"/>
        </w:rPr>
        <w:t xml:space="preserve">徐州维正工程咨询有限公司</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开户银行：徐州农村商业银行御景湾支行 </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账号：3203020341010000010793</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第四章 评标标准 </w:t>
      </w:r>
      <w:r/>
    </w:p>
    <w:tbl>
      <w:tblPr>
        <w:tblStyle w:val="747"/>
        <w:tblW w:w="10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8913"/>
      </w:tblGrid>
      <w:tr>
        <w:trPr>
          <w:jc w:val="center"/>
          <w:trHeight w:val="454"/>
        </w:trPr>
        <w:tc>
          <w:tcPr>
            <w:tcW w:w="1577"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评分内容</w:t>
            </w:r>
            <w:r/>
          </w:p>
        </w:tc>
        <w:tc>
          <w:tcPr>
            <w:tcW w:w="8913"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评分标准</w:t>
            </w:r>
            <w:r/>
          </w:p>
        </w:tc>
      </w:tr>
      <w:tr>
        <w:trPr>
          <w:jc w:val="center"/>
          <w:trHeight w:val="962"/>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投标报价（30分）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各投标人价格得分=最低报价（投标人的最低评审价格）÷各投标人评审价格×30</w:t>
            </w:r>
            <w:r/>
          </w:p>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注：得分四舍五入保留小数点后 2 位。</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货物全部由符合政策要求的小微企业、监狱企业、享受政府采购支持政策的残疾人福利性单位提供的（以投标人提供的《中小企业声明函》、监狱企业证明文件和《残疾人福利性单位声明函》等相关材料为准），给予10%的价格扣除，用扣除后的价格参加评审。该投标人的评审价格=《开标一览表》中的“总价”*（100%-10%）。</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tc>
      </w:tr>
      <w:tr>
        <w:trPr>
          <w:jc w:val="center"/>
          <w:trHeight w:val="488"/>
        </w:trPr>
        <w:tc>
          <w:tcPr>
            <w:tcW w:w="1577" w:type="dxa"/>
            <w:vAlign w:val="center"/>
            <w:textDirection w:val="lrTb"/>
            <w:noWrap w:val="false"/>
          </w:tcPr>
          <w:p>
            <w:pPr>
              <w:jc w:val="both"/>
              <w:spacing w:after="0"/>
              <w:rPr>
                <w:rFonts w:hint="eastAsia" w:ascii="Times New Roman" w:hAnsi="Times New Roman" w:eastAsia="仿宋_GB2312" w:cs="Arial"/>
                <w:sz w:val="28"/>
                <w:szCs w:val="20"/>
                <w:lang w:val="en-US" w:eastAsia="zh-CN" w:bidi="ar-SA"/>
              </w:rPr>
            </w:pPr>
            <w:r>
              <w:rPr>
                <w:rFonts w:hint="eastAsia" w:ascii="Times New Roman" w:hAnsi="Times New Roman" w:eastAsia="仿宋_GB2312" w:cs="Arial"/>
                <w:sz w:val="28"/>
                <w:szCs w:val="20"/>
                <w:lang w:val="en-US" w:eastAsia="zh-CN" w:bidi="ar-SA"/>
              </w:rPr>
              <w:t xml:space="preserve">企业综合实力</w:t>
            </w:r>
            <w:r/>
          </w:p>
          <w:p>
            <w:pPr>
              <w:jc w:val="both"/>
              <w:spacing w:after="0"/>
              <w:rPr>
                <w:rFonts w:hint="eastAsia" w:ascii="Times New Roman" w:hAnsi="Times New Roman" w:eastAsia="仿宋_GB2312" w:cs="Arial"/>
                <w:sz w:val="28"/>
                <w:szCs w:val="20"/>
                <w:lang w:val="en-US" w:eastAsia="zh-CN" w:bidi="ar-SA"/>
              </w:rPr>
            </w:pPr>
            <w:r>
              <w:rPr>
                <w:rFonts w:hint="eastAsia" w:ascii="Times New Roman" w:hAnsi="Times New Roman" w:eastAsia="仿宋_GB2312" w:cs="Arial"/>
                <w:sz w:val="28"/>
                <w:szCs w:val="20"/>
                <w:lang w:val="en-US" w:eastAsia="zh-CN" w:bidi="ar-SA"/>
              </w:rPr>
              <w:t xml:space="preserve">（</w:t>
            </w:r>
            <w:r>
              <w:rPr>
                <w:rFonts w:hint="eastAsia" w:eastAsia="仿宋_GB2312" w:cs="Arial"/>
                <w:sz w:val="28"/>
                <w:szCs w:val="20"/>
                <w:lang w:val="en-US" w:eastAsia="zh-CN" w:bidi="ar-SA"/>
              </w:rPr>
              <w:t xml:space="preserve">4</w:t>
            </w:r>
            <w:r>
              <w:rPr>
                <w:rFonts w:hint="eastAsia" w:ascii="Times New Roman" w:hAnsi="Times New Roman" w:eastAsia="仿宋_GB2312" w:cs="Arial"/>
                <w:sz w:val="28"/>
                <w:szCs w:val="20"/>
                <w:lang w:val="en-US" w:eastAsia="zh-CN" w:bidi="ar-SA"/>
              </w:rPr>
              <w:t xml:space="preserve">分）</w:t>
            </w:r>
            <w:r/>
          </w:p>
        </w:tc>
        <w:tc>
          <w:tcPr>
            <w:tcW w:w="8913" w:type="dxa"/>
            <w:vAlign w:val="center"/>
            <w:textDirection w:val="lrTb"/>
            <w:noWrap w:val="false"/>
          </w:tcPr>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1.投标人或核心产品制造商具有质量管理体系认证证书的，得1分，没有不得分；注：证书须提供清晰可辨的彩色扫描件，（在有效期内，具备CNAS标识且认证依据需包含GB/T19001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2.投标人或核心产品制造商具有环境管理体系认证证书的，得1分，没有不得分；注：证书须提供清晰可辨的彩色扫描件，（在有效期内，具备CNAS标识且认证依据需包含GB/T24001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3.投标人或核心产品制造商具有职业健康安全管理体系认证证书的，得1分，没有不得分；注：证书须提供清晰可辨的彩色扫描件，（在有效期内，具备CNAS标识且认证依据需包含GB/T45001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4.投标人或核心产品制造商具有知识产权合规管理体系认证证书的，得1分，没有不得分；（在有效期内，具备CNAS标识,以中国认证认可监督平台查询结果为准，网址：http://cx.cnca.cn/，投标文件中附查询结果网页截图，否则不予认定。）</w:t>
            </w:r>
            <w:r/>
          </w:p>
        </w:tc>
      </w:tr>
      <w:tr>
        <w:trPr>
          <w:jc w:val="center"/>
          <w:trHeight w:val="1498"/>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业绩（4分）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提供投标人或投标产品制造商自2023年1月1日以来与本项目类似业绩，每提供一份得2分，本项最多得4分。</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注：提供合同扫描件加盖电子签章，未提供不得分。</w:t>
            </w:r>
            <w:r/>
          </w:p>
        </w:tc>
      </w:tr>
      <w:tr>
        <w:trPr>
          <w:jc w:val="center"/>
          <w:trHeight w:val="90"/>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技术参数（</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依据投标文件中偏离表、技术规格说明对招标文件采购需求</w:t>
            </w:r>
            <w:r>
              <w:rPr>
                <w:rFonts w:hint="eastAsia" w:ascii="仿宋" w:hAnsi="仿宋" w:eastAsia="仿宋" w:cs="仿宋"/>
                <w:sz w:val="28"/>
                <w:szCs w:val="28"/>
                <w:highlight w:val="none"/>
                <w:lang w:val="en-US" w:eastAsia="zh-CN"/>
              </w:rPr>
              <w:t xml:space="preserve">中的</w:t>
            </w:r>
            <w:r>
              <w:rPr>
                <w:rFonts w:hint="eastAsia" w:ascii="仿宋" w:hAnsi="仿宋" w:eastAsia="仿宋" w:cs="仿宋"/>
                <w:sz w:val="28"/>
                <w:szCs w:val="28"/>
                <w:highlight w:val="none"/>
              </w:rPr>
              <w:t xml:space="preserve">“技术</w:t>
            </w:r>
            <w:r>
              <w:rPr>
                <w:rFonts w:hint="eastAsia" w:ascii="仿宋" w:hAnsi="仿宋" w:eastAsia="仿宋" w:cs="仿宋"/>
                <w:sz w:val="28"/>
                <w:szCs w:val="28"/>
                <w:highlight w:val="none"/>
                <w:lang w:val="en-US" w:eastAsia="zh-CN"/>
              </w:rPr>
              <w:t xml:space="preserve">要求</w:t>
            </w:r>
            <w:r>
              <w:rPr>
                <w:rFonts w:hint="eastAsia" w:ascii="仿宋" w:hAnsi="仿宋" w:eastAsia="仿宋" w:cs="仿宋"/>
                <w:sz w:val="28"/>
                <w:szCs w:val="28"/>
                <w:highlight w:val="none"/>
              </w:rPr>
              <w:t xml:space="preserve">”满足程度进行评价。</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满足招标文件要求的得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0分，次重要响应指标不满足或负偏离每项扣</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一般</w:t>
            </w:r>
            <w:r>
              <w:rPr>
                <w:rFonts w:hint="eastAsia" w:ascii="仿宋" w:hAnsi="仿宋" w:eastAsia="仿宋" w:cs="仿宋"/>
                <w:sz w:val="28"/>
                <w:szCs w:val="28"/>
                <w:highlight w:val="none"/>
              </w:rPr>
              <w:t xml:space="preserve">响应指标如有不满足或负偏离，每一项扣</w:t>
            </w:r>
            <w:r>
              <w:rPr>
                <w:rFonts w:hint="eastAsia" w:ascii="仿宋" w:hAnsi="仿宋" w:eastAsia="仿宋" w:cs="仿宋"/>
                <w:sz w:val="28"/>
                <w:szCs w:val="28"/>
                <w:highlight w:val="none"/>
                <w:lang w:val="en-US" w:eastAsia="zh-CN"/>
              </w:rPr>
              <w:t xml:space="preserve">1.5</w:t>
            </w:r>
            <w:r>
              <w:rPr>
                <w:rFonts w:hint="eastAsia" w:ascii="仿宋" w:hAnsi="仿宋" w:eastAsia="仿宋" w:cs="仿宋"/>
                <w:sz w:val="28"/>
                <w:szCs w:val="28"/>
                <w:highlight w:val="none"/>
              </w:rPr>
              <w:t xml:space="preserve">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451"/>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产品配置</w:t>
            </w:r>
            <w:r/>
          </w:p>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和技术方 案(</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w:t>
            </w:r>
            <w:r/>
          </w:p>
        </w:tc>
        <w:tc>
          <w:tcPr>
            <w:tcW w:w="8913" w:type="dxa"/>
            <w:vAlign w:val="center"/>
            <w:textDirection w:val="lrTb"/>
            <w:noWrap w:val="false"/>
          </w:tcPr>
          <w:p>
            <w:pPr>
              <w:jc w:val="both"/>
              <w:spacing w:after="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对投标人提供的</w:t>
            </w:r>
            <w:r>
              <w:rPr>
                <w:rFonts w:hint="eastAsia" w:ascii="仿宋" w:hAnsi="仿宋" w:eastAsia="仿宋" w:cs="仿宋"/>
                <w:sz w:val="28"/>
                <w:szCs w:val="28"/>
                <w:highlight w:val="none"/>
              </w:rPr>
              <w:t xml:space="preserve">产品配置和技术方案</w:t>
            </w:r>
            <w:r>
              <w:rPr>
                <w:rFonts w:hint="eastAsia" w:ascii="仿宋" w:hAnsi="仿宋" w:eastAsia="仿宋" w:cs="仿宋"/>
                <w:b w:val="0"/>
                <w:bCs w:val="0"/>
                <w:sz w:val="28"/>
                <w:szCs w:val="28"/>
                <w:highlight w:val="none"/>
              </w:rPr>
              <w:t xml:space="preserve">进行评价</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对内容的全面性、可行性、针对性进行打分。</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全面性（5分）：全面具体详实、明确合理得5分；较全面合理得3分；基本具备的得1分；</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可行性（3分）：切实可行得3分；较切实可行得2分；可行性欠缺得1分；</w:t>
            </w:r>
            <w:bookmarkStart w:id="3" w:name="_GoBack"/>
            <w:r/>
            <w:bookmarkEnd w:id="3"/>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针对性（2分）：针对性强得2分；针对性较强得1分；针对性差得0分；</w:t>
            </w:r>
            <w:r/>
          </w:p>
          <w:p>
            <w:pPr>
              <w:jc w:val="both"/>
              <w:spacing w:after="0"/>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618"/>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项目实施方案</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根据投标人提供的项目实施方案包括但不限于实施过程中的生产进度计划、供货方案、应急保障方案、以及运输方案等进行评价：</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全面性（5分）：全面具体详实、明确合理得5分；较全面合理得3分；基本具备的得1分；</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可行性（3分）：切实可行得3分；较切实可行得2分；可行性欠缺得1分；</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针对性（2分）：针对性强得2分；针对性较强得1分；针对性差得0分；</w:t>
            </w:r>
            <w:r/>
          </w:p>
          <w:p>
            <w:pPr>
              <w:jc w:val="left"/>
              <w:spacing w:after="0"/>
              <w:rPr>
                <w:rFonts w:eastAsia="仿宋"/>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69"/>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质量保障措施（10分）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根据投标人提供的质量保证措施包含但不限于生产过程的控制、质量的检测、质量保障制度等相关内容进行评价：</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全面性（5分）：全面具体详实、明确合理得5分；较全面合理得3分；基本具备的得1分；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可行性（3分）：切实可行得3分；较切实可行得2分；可行性欠缺得1分；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针对性（2分）：针对性强得2分；针对性较强得1分；针对性差得0分；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91"/>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售后服务方案</w:t>
            </w:r>
            <w:r/>
          </w:p>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供应商提供完整的售后服务方案，包括但不限于服务承诺及条款、服务响应方案、备件（易耗品）供应方案、服务人员配备、应急措施、质保期内和质保期外服务措施、人员培训方案等进行综合评价：  </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全面性（5分）：全面具体详实、明确合理得5分；较全面合理得3分；基本具备的得1分；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可行性（3分）：切实可行得3分；较切实可行得2分；可行性欠缺得1分；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针对性（2分）：针对性强得2分；针对性较强得1分；针对性差得0分；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468"/>
        </w:trPr>
        <w:tc>
          <w:tcPr>
            <w:tcW w:w="1577" w:type="dxa"/>
            <w:vAlign w:val="center"/>
            <w:textDirection w:val="lrTb"/>
            <w:noWrap w:val="false"/>
          </w:tcPr>
          <w:p>
            <w:pPr>
              <w:pStyle w:val="783"/>
              <w:pageBreakBefore w:val="0"/>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 xml:space="preserve">质保期（2分）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综合评比各投标人的免费质保期内及质保期外的质保承诺：</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1、整车质保3年、三电系统质保8年的得2分；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2、整车质保2年、三电系统质保5年的得1分；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注：投标人提供整车质保、三电系统质保的承诺书为准，承诺书格式自拟。</w:t>
            </w:r>
            <w:r/>
          </w:p>
        </w:tc>
      </w:tr>
    </w:tbl>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本章说明：本项目采用综合评分法。</w:t>
      </w:r>
      <w:r/>
    </w:p>
    <w:p>
      <w:pPr>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782"/>
        <w:rPr>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highlight w:val="none"/>
        </w:rPr>
      </w:r>
      <w:r/>
    </w:p>
    <w:p>
      <w:pPr>
        <w:pStyle w:val="945"/>
        <w:ind w:firstLine="2409"/>
        <w:spacing w:before="0" w:beforeAutospacing="0" w:after="0" w:afterAutospacing="0" w:line="360" w:lineRule="auto"/>
        <w:rPr>
          <w:rFonts w:hint="eastAsia"/>
          <w:b/>
          <w:bCs/>
          <w:sz w:val="44"/>
          <w:szCs w:val="44"/>
          <w:highlight w:val="none"/>
          <w:u w:val="single"/>
        </w:rPr>
      </w:pPr>
      <w:r>
        <w:rPr>
          <w:rFonts w:hint="eastAsia" w:ascii="仿宋" w:hAnsi="仿宋" w:eastAsia="仿宋" w:cs="仿宋"/>
          <w:b/>
          <w:bCs/>
          <w:sz w:val="30"/>
          <w:szCs w:val="30"/>
          <w:highlight w:val="none"/>
        </w:rPr>
        <w:t xml:space="preserve">第五章 拟签订的合同文本</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同</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ind w:firstLine="4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项目编号：</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项目名称：</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甲方（采购单位）：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cs="Times New Roman"/>
          <w:color w:val="000000"/>
          <w:sz w:val="28"/>
          <w:szCs w:val="28"/>
          <w:highlight w:val="none"/>
          <w:u w:val="single"/>
          <w:lang w:val="en-US" w:eastAsia="zh-CN"/>
        </w:rPr>
        <w:t xml:space="preserve">徐州市云龙区城市管理局</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乙方（中标单位）：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highlight w:val="none"/>
        </w:rPr>
      </w:pPr>
      <w:r>
        <w:rPr>
          <w:rFonts w:hint="eastAsia" w:ascii="宋体" w:hAnsi="宋体" w:cs="宋体"/>
          <w:sz w:val="24"/>
          <w:highlight w:val="none"/>
        </w:rPr>
      </w:r>
      <w:r/>
    </w:p>
    <w:p>
      <w:pPr>
        <w:ind w:firstLine="420"/>
        <w:jc w:val="center"/>
        <w:spacing w:line="520" w:lineRule="exact"/>
        <w:rPr>
          <w:rFonts w:hint="eastAsia" w:ascii="宋体" w:hAnsi="宋体" w:cs="宋体"/>
          <w:sz w:val="30"/>
          <w:szCs w:val="30"/>
          <w:highlight w:val="none"/>
        </w:rPr>
      </w:pPr>
      <w:r>
        <w:rPr>
          <w:rFonts w:hint="eastAsia" w:ascii="宋体" w:hAnsi="宋体" w:cs="宋体"/>
          <w:highlight w:val="none"/>
        </w:rPr>
        <w:br w:type="page" w:clear="all"/>
      </w:r>
      <w:r>
        <w:rPr>
          <w:rFonts w:hint="eastAsia" w:ascii="宋体" w:hAnsi="宋体" w:cs="宋体"/>
          <w:sz w:val="30"/>
          <w:szCs w:val="30"/>
          <w:highlight w:val="none"/>
        </w:rPr>
        <w:t xml:space="preserve">合同通用条款</w:t>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目录</w:t>
      </w:r>
      <w:r/>
    </w:p>
    <w:p>
      <w:pPr>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第一条    定义</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第二条    合同范围</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第三条    价格</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第四条    支付</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第五条    交货</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第六条    包装和标记</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第七条    技术资料</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第八条    安装</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第九条    验收</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第十条    售后服务和技术培训</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第十一条  索赔</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第十二条  不可抗力</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第十三条  合同的终止</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第十四条  争议的解决</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第十五条  适用法律</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第十六条  权利保证</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第十七条  保密</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第十八条  合同生效及其他</w:t>
      </w:r>
      <w:r/>
    </w:p>
    <w:p>
      <w:pP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highlight w:val="none"/>
        </w:rPr>
        <w:br w:type="page" w:clear="all"/>
      </w: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1.1“买方”见《合同专用条款》。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1.2“卖方”见《合同专用条款》。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1.6“技术培训”是指在合同标的的安装、试运行、验收、操作、维修以及其他方面卖方给予买方的培训。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5.3在《合同专用条款》规定的期限内，卖方应将合同号、合同标的的名称、数量、金额、包装件数以及交货的时间以书面方式通知买方。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5.4卖方应按下列规定交付合同标的：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5.4.1卖方负责将合同标的送至《合同专用条款》规定的交货地点。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5.4.2买方出具的收据日期是合同标的的实际交货日期。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9.3买方派出1-3名技术人员参加项目实施，卖方应积极配合甲方派出的1-3名技术人员监督管理。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按质量低劣的程度、买方受损害的程度及损失的数额对合同标的进行降价。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赔偿由卖方违约引起的其他损失。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13.3如果买方认定卖方在投标或执行合同中有腐败或欺诈行为,买方有权在任何时候发出书面通知终止合同。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13.4在买方全部或部分终止合同的情况下，卖方应按《合同专用条款》的规定对买方给予补偿。</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17.2上述秘密，卖方只能用于本合同，而且只能由卖方相应的人员使用；没有必要接触的卖方人员，不得接触。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17.3卖方应当采取适当有效的方式保护所获取的上述秘密。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“买方”为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“卖方”为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ascii="宋体" w:hAnsi="宋体" w:eastAsia="宋体" w:cs="宋体"/>
          <w:color w:val="000000" w:themeColor="text1"/>
          <w:sz w:val="24"/>
          <w:szCs w:val="21"/>
          <w:u w:val="single"/>
          <w14:textFill>
            <w14:solidFill>
              <w14:schemeClr w14:val="tx1"/>
            </w14:solidFill>
          </w14:textFill>
        </w:rPr>
        <w:t xml:space="preserve">买方指定地点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1"/>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卖方出具的全额正式发票；</w:t>
      </w:r>
      <w:r/>
    </w:p>
    <w:p>
      <w:pPr>
        <w:ind w:left="0" w:right="0" w:firstLine="560"/>
        <w:jc w:val="both"/>
        <w:spacing w:before="0" w:after="0" w:line="36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w:t>
      </w:r>
      <w:r>
        <w:rPr>
          <w:rFonts w:ascii="宋体" w:hAnsi="宋体" w:eastAsia="宋体" w:cs="宋体"/>
          <w:color w:val="000000" w:themeColor="text1"/>
          <w:sz w:val="24"/>
          <w:szCs w:val="21"/>
          <w:highlight w:val="none"/>
          <w14:textFill>
            <w14:solidFill>
              <w14:schemeClr w14:val="tx1"/>
            </w14:solidFill>
          </w14:textFill>
        </w:rPr>
        <w:t xml:space="preserve">下第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百分之三十(30%)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人民币元整，在双方签订合同后15个工作日内，由买方办理政府采购资金结算手续支付给乙方。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百分之七十(70%)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right="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4.2上述费用买方支付至卖方指定账户内。除卖方另行指定外，该指定账户信息为</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5.1卖方应于合同签订之日起 </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日内将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所有采购</w:t>
      </w:r>
      <w:r>
        <w:rPr>
          <w:rFonts w:ascii="宋体" w:hAnsi="宋体" w:eastAsia="宋体" w:cs="宋体"/>
          <w:color w:val="000000" w:themeColor="text1"/>
          <w:sz w:val="24"/>
          <w:szCs w:val="21"/>
          <w:highlight w:val="none"/>
          <w14:textFill>
            <w14:solidFill>
              <w14:schemeClr w14:val="tx1"/>
            </w14:solidFill>
          </w14:textFill>
        </w:rPr>
        <w:t xml:space="preserve">货物无损交付</w:t>
      </w:r>
      <w:r>
        <w:rPr>
          <w:rFonts w:ascii="宋体" w:hAnsi="宋体" w:eastAsia="宋体" w:cs="宋体"/>
          <w:b w:val="0"/>
          <w:bCs w:val="0"/>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5.2 交货地点为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买方指定地点</w:t>
      </w:r>
      <w:r>
        <w:rPr>
          <w:rFonts w:ascii="宋体" w:hAnsi="宋体" w:eastAsia="宋体" w:cs="宋体"/>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5.3卖方应在不迟于每批合同标的备妥待运前</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日通知买方。</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5.5如果卖方未能按照合同规定的交货期限交货，卖方应按每天迟交合同标的金额的百分之</w:t>
      </w:r>
      <w:r>
        <w:rPr>
          <w:rFonts w:ascii="宋体" w:hAnsi="宋体" w:eastAsia="宋体" w:cs="宋体"/>
          <w:color w:val="000000" w:themeColor="text1"/>
          <w:sz w:val="24"/>
          <w:szCs w:val="21"/>
          <w:highlight w:val="none"/>
          <w:u w:val="single"/>
          <w14:textFill>
            <w14:solidFill>
              <w14:schemeClr w14:val="tx1"/>
            </w14:solidFill>
          </w14:textFill>
        </w:rPr>
        <w:t xml:space="preserve">一</w:t>
      </w:r>
      <w:r>
        <w:rPr>
          <w:rFonts w:ascii="宋体" w:hAnsi="宋体" w:eastAsia="宋体" w:cs="宋体"/>
          <w:color w:val="000000" w:themeColor="text1"/>
          <w:sz w:val="24"/>
          <w:szCs w:val="21"/>
          <w:highlight w:val="none"/>
          <w14:textFill>
            <w14:solidFill>
              <w14:schemeClr w14:val="tx1"/>
            </w14:solidFill>
          </w14:textFill>
        </w:rPr>
        <w:t xml:space="preserve">(</w:t>
      </w:r>
      <w:r>
        <w:rPr>
          <w:rFonts w:ascii="宋体" w:hAnsi="宋体" w:eastAsia="宋体" w:cs="宋体"/>
          <w:color w:val="000000" w:themeColor="text1"/>
          <w:sz w:val="24"/>
          <w:szCs w:val="21"/>
          <w:highlight w:val="none"/>
          <w:u w:val="single"/>
          <w14:textFill>
            <w14:solidFill>
              <w14:schemeClr w14:val="tx1"/>
            </w14:solidFill>
          </w14:textFill>
        </w:rPr>
        <w:t xml:space="preserve">1</w:t>
      </w:r>
      <w:r>
        <w:rPr>
          <w:rFonts w:ascii="宋体" w:hAnsi="宋体" w:eastAsia="宋体" w:cs="宋体"/>
          <w:color w:val="000000" w:themeColor="text1"/>
          <w:sz w:val="24"/>
          <w:szCs w:val="21"/>
          <w:highlight w:val="none"/>
          <w14:textFill>
            <w14:solidFill>
              <w14:schemeClr w14:val="tx1"/>
            </w14:solidFill>
          </w14:textFill>
        </w:rPr>
        <w:t xml:space="preserve">%)的比率支付违约金。违约金的总金额不超过合同总价的百分之</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w:t>
      </w:r>
      <w:r>
        <w:rPr>
          <w:rFonts w:ascii="宋体" w:hAnsi="宋体" w:eastAsia="宋体" w:cs="宋体"/>
          <w:color w:val="000000" w:themeColor="text1"/>
          <w:sz w:val="24"/>
          <w:szCs w:val="21"/>
          <w:highlight w:val="none"/>
          <w:u w:val="single"/>
          <w14:textFill>
            <w14:solidFill>
              <w14:schemeClr w14:val="tx1"/>
            </w14:solidFill>
          </w14:textFill>
        </w:rPr>
        <w:t xml:space="preserve">10</w:t>
      </w:r>
      <w:r>
        <w:rPr>
          <w:rFonts w:ascii="宋体" w:hAnsi="宋体" w:eastAsia="宋体" w:cs="宋体"/>
          <w:color w:val="000000" w:themeColor="text1"/>
          <w:sz w:val="24"/>
          <w:szCs w:val="21"/>
          <w:highlight w:val="none"/>
          <w14:textFill>
            <w14:solidFill>
              <w14:schemeClr w14:val="tx1"/>
            </w14:solidFill>
          </w14:textFill>
        </w:rPr>
        <w:t xml:space="preserve">%)，违约金的支付不能免除卖方继续交付相关合同标的的义务。</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如果卖方在合同规定的交货期限后</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第六条 </w:t>
      </w:r>
      <w:r>
        <w:rPr>
          <w:rFonts w:ascii="宋体" w:hAnsi="宋体" w:eastAsia="宋体" w:cs="宋体"/>
          <w:color w:val="000000" w:themeColor="text1"/>
          <w:sz w:val="24"/>
          <w:szCs w:val="21"/>
          <w:highlight w:val="none"/>
          <w14:textFill>
            <w14:solidFill>
              <w14:schemeClr w14:val="tx1"/>
            </w14:solidFill>
          </w14:textFill>
        </w:rPr>
        <w:t xml:space="preserve">包装与标记</w:t>
      </w:r>
      <w:r/>
    </w:p>
    <w:p>
      <w:pPr>
        <w:ind w:left="0" w:right="0" w:firstLine="560"/>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highlight w:val="none"/>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第七条 技术资料</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7.1 技术资料随合同标的同时交付给买方。未提交技术资料的，视为卖方未完全履行合同。</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第八条 安装</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8.1</w:t>
      </w:r>
      <w:r>
        <w:rPr>
          <w:rFonts w:ascii="宋体" w:hAnsi="宋体" w:eastAsia="宋体" w:cs="宋体"/>
          <w:b w:val="0"/>
          <w:bCs w:val="0"/>
          <w:color w:val="000000" w:themeColor="text1"/>
          <w:sz w:val="24"/>
          <w:szCs w:val="21"/>
          <w:highlight w:val="none"/>
          <w14:textFill>
            <w14:solidFill>
              <w14:schemeClr w14:val="tx1"/>
            </w14:solidFill>
          </w14:textFill>
        </w:rPr>
        <w:t xml:space="preserve">卖方应于合同生效日后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b w:val="0"/>
          <w:bCs w:val="0"/>
          <w:color w:val="000000" w:themeColor="text1"/>
          <w:sz w:val="24"/>
          <w:szCs w:val="21"/>
          <w:highlight w:val="none"/>
          <w14:textFill>
            <w14:solidFill>
              <w14:schemeClr w14:val="tx1"/>
            </w14:solidFill>
          </w14:textFill>
        </w:rPr>
        <w:t xml:space="preserve">日内将合同标的</w:t>
      </w:r>
      <w:r>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t xml:space="preserve">物资</w:t>
      </w:r>
      <w:r>
        <w:rPr>
          <w:rFonts w:ascii="宋体" w:hAnsi="宋体" w:eastAsia="宋体" w:cs="宋体"/>
          <w:b w:val="0"/>
          <w:bCs w:val="0"/>
          <w:color w:val="000000" w:themeColor="text1"/>
          <w:sz w:val="24"/>
          <w:szCs w:val="21"/>
          <w:highlight w:val="none"/>
          <w14:textFill>
            <w14:solidFill>
              <w14:schemeClr w14:val="tx1"/>
            </w14:solidFill>
          </w14:textFill>
        </w:rPr>
        <w:t xml:space="preserve">全部交付完毕。</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本采购合同采购方式为卖方包工形式，质量需与样品一致，所有工作</w:t>
      </w:r>
      <w:r>
        <w:rPr>
          <w:rFonts w:ascii="宋体" w:hAnsi="宋体" w:eastAsia="宋体" w:cs="宋体"/>
          <w:color w:val="000000" w:themeColor="text1"/>
          <w:sz w:val="24"/>
          <w:szCs w:val="21"/>
          <w14:textFill>
            <w14:solidFill>
              <w14:schemeClr w14:val="tx1"/>
            </w14:solidFill>
          </w14:textFill>
        </w:rPr>
        <w:t xml:space="preserve">均应由卖方亲自完成，不得转让履行主体。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9.1合同标的的试运行、验收应在卖方的协助下进行。合同标的全部交付并安装完毕后，卖方可向买方书面提出试运行、验收要求，买方在接到书面要求后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11.1买方有权选择本条款规定的任意或全部救济方式。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13.1如果卖方有下述违约行为，买方可以全部或部分地终止合同：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日内仍未能交付合同标的和/或技术资料；或者卖方未能履行合同项下任何其它义务，并且在收到买方违约通知后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ascii="宋体" w:hAnsi="宋体" w:eastAsia="宋体" w:cs="宋体"/>
          <w:color w:val="000000" w:themeColor="text1"/>
          <w:sz w:val="24"/>
          <w:szCs w:val="21"/>
          <w:u w:val="single"/>
          <w14:textFill>
            <w14:solidFill>
              <w14:schemeClr w14:val="tx1"/>
            </w14:solidFill>
          </w14:textFill>
        </w:rPr>
        <w:t xml:space="preserve">买方所在地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18.10按照《财政部关于做好政府采购信息公开工作的通知》（财库〔2015〕135号），买方依据《保守国家秘密法》等法律制度规定确定本合同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部分涉及国家秘密，该涉及国家秘密部分不公告；买方依据《反不正当竞争法》等法律制度的规定与卖方约定本合同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(要求见招标文件第七章《投标文件相关格式》中《开标一览表》和《分项价格表》；合同见卖方投标文件。)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（买方名称）（以下简称“买方”）已接受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（卖方名称）（以下简称“卖方”）对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）的投标。买方和卖方共同达成如下协议。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份，具有同等法律效力，买方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份，卖方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买方和卖方由其正式授权代表于上述所写日期和地点签订本合同。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银行帐号：</w:t>
      </w:r>
      <w:r/>
    </w:p>
    <w:p>
      <w:pPr>
        <w:pStyle w:val="965"/>
        <w:jc w:val="both"/>
        <w:rPr>
          <w:rFonts w:hint="eastAsia" w:ascii="宋体" w:hAnsi="宋体" w:eastAsia="宋体" w:cs="宋体"/>
          <w:color w:val="000000" w:themeColor="text1"/>
          <w:sz w:val="28"/>
          <w:szCs w:val="40"/>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8"/>
          <w:szCs w:val="40"/>
          <w14:textFill>
            <w14:solidFill>
              <w14:schemeClr w14:val="tx1"/>
            </w14:solidFill>
          </w14:textFill>
        </w:rPr>
      </w:r>
      <w:r/>
    </w:p>
    <w:p>
      <w:pPr>
        <w:pStyle w:val="942"/>
        <w:rPr>
          <w:rFonts w:hint="eastAsia" w:ascii="宋体" w:hAnsi="宋体" w:cs="宋体"/>
          <w:sz w:val="30"/>
          <w:szCs w:val="30"/>
          <w:highlight w:val="none"/>
        </w:rPr>
      </w:pPr>
      <w:r>
        <w:rPr>
          <w:rFonts w:hint="eastAsia" w:ascii="宋体" w:hAnsi="宋体" w:cs="宋体"/>
          <w:sz w:val="30"/>
          <w:szCs w:val="30"/>
          <w:highlight w:val="none"/>
        </w:rPr>
      </w:r>
      <w:r/>
    </w:p>
    <w:p>
      <w:pPr>
        <w:numPr>
          <w:ilvl w:val="0"/>
          <w:numId w:val="1"/>
        </w:numPr>
        <w:jc w:val="center"/>
        <w:spacing w:line="288" w:lineRule="auto"/>
        <w:rPr>
          <w:rFonts w:ascii="仿宋_GB2312" w:hAnsi="宋体" w:eastAsia="仿宋_GB2312"/>
          <w:b/>
          <w:sz w:val="32"/>
          <w:szCs w:val="32"/>
          <w:highlight w:val="none"/>
        </w:rPr>
      </w:pPr>
      <w:r>
        <w:rPr>
          <w:rFonts w:hint="eastAsia" w:ascii="仿宋_GB2312" w:hAnsi="宋体" w:eastAsia="仿宋_GB2312"/>
          <w:b/>
          <w:sz w:val="32"/>
          <w:szCs w:val="32"/>
          <w:highlight w:val="none"/>
        </w:rPr>
        <w:t xml:space="preserve"> 采购需求</w:t>
      </w:r>
      <w:bookmarkStart w:id="1" w:name="_Toc324452802"/>
      <w:r/>
      <w:bookmarkEnd w:id="1"/>
      <w:r/>
      <w:bookmarkStart w:id="2" w:name="_Toc322457054"/>
      <w:r/>
      <w:bookmarkEnd w:id="2"/>
      <w:r/>
      <w:r/>
    </w:p>
    <w:p>
      <w:pPr>
        <w:jc w:val="center"/>
        <w:spacing w:line="23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一、项目概况</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1、项目名称：</w:t>
      </w:r>
      <w:r>
        <w:rPr>
          <w:rFonts w:hint="eastAsia" w:cs="宋体"/>
          <w:sz w:val="24"/>
          <w:szCs w:val="21"/>
          <w:highlight w:val="none"/>
          <w:lang w:val="en-US" w:eastAsia="zh-CN"/>
        </w:rPr>
        <w:t xml:space="preserve">新能源环卫特种作业车辆采购项目-新能源压缩式垃圾车</w:t>
      </w:r>
      <w:r/>
    </w:p>
    <w:p>
      <w:pPr>
        <w:spacing w:line="560" w:lineRule="exact"/>
        <w:rPr>
          <w:rFonts w:hint="eastAsia" w:ascii="Times New Roman" w:hAnsi="Times New Roman" w:eastAsia="宋体" w:cs="宋体"/>
          <w:b/>
          <w:bCs/>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lang w:val="en-US" w:eastAsia="zh-CN"/>
        </w:rPr>
        <w:t xml:space="preserve">2、</w:t>
      </w:r>
      <w:r>
        <w:rPr>
          <w:rFonts w:hint="eastAsia" w:ascii="Times New Roman" w:hAnsi="Times New Roman" w:eastAsia="宋体" w:cs="宋体"/>
          <w:b/>
          <w:bCs/>
          <w:sz w:val="24"/>
          <w:szCs w:val="21"/>
          <w:highlight w:val="none"/>
          <w:lang w:val="en-US" w:eastAsia="zh-CN"/>
        </w:rPr>
        <w:t xml:space="preserve">本项目采购预算总金额 </w:t>
      </w:r>
      <w:r>
        <w:rPr>
          <w:rFonts w:hint="eastAsia" w:cs="宋体"/>
          <w:b/>
          <w:bCs/>
          <w:sz w:val="24"/>
          <w:szCs w:val="21"/>
          <w:highlight w:val="none"/>
          <w:lang w:val="en-US" w:eastAsia="zh-CN"/>
        </w:rPr>
        <w:t xml:space="preserve">400 </w:t>
      </w:r>
      <w:r>
        <w:rPr>
          <w:rFonts w:hint="eastAsia" w:ascii="Times New Roman" w:hAnsi="Times New Roman" w:eastAsia="宋体" w:cs="宋体"/>
          <w:b/>
          <w:bCs/>
          <w:sz w:val="24"/>
          <w:szCs w:val="21"/>
          <w:highlight w:val="none"/>
          <w:lang w:val="en-US" w:eastAsia="zh-CN"/>
        </w:rPr>
        <w:t xml:space="preserve">万元，本项目不接受超过最高限价的投标报价。报价包括产品价、税金、运费、安装调试、车辆上牌服务费、保险费、购置税费、充电桩安装费，采购人不再支付报价以外的任何费用。</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3、合同履行的期限：合同签订之日起30日内交货并调试完毕。</w:t>
      </w:r>
      <w:r/>
    </w:p>
    <w:p>
      <w:pPr>
        <w:spacing w:line="560" w:lineRule="exact"/>
        <w:rPr>
          <w:rFonts w:hint="eastAsia" w:ascii="Times New Roman" w:hAnsi="Times New Roman" w:eastAsia="宋体" w:cs="宋体"/>
          <w:b w:val="0"/>
          <w:bCs w:val="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val="0"/>
          <w:sz w:val="24"/>
          <w:szCs w:val="21"/>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二、质保期</w:t>
      </w:r>
      <w:r/>
    </w:p>
    <w:p>
      <w:pPr>
        <w:ind w:firstLine="241"/>
        <w:spacing w:line="560" w:lineRule="exact"/>
        <w:rPr>
          <w:rFonts w:hint="eastAsia" w:ascii="宋体" w:hAnsi="宋体" w:eastAsia="宋体" w:cs="宋体"/>
          <w:b w:val="0"/>
          <w:bCs/>
          <w:color w:val="000000"/>
          <w:sz w:val="24"/>
          <w:szCs w:val="24"/>
          <w:highlight w:val="none"/>
        </w:rPr>
        <w:outlineLvl w:val="0"/>
      </w:pPr>
      <w:r>
        <w:rPr>
          <w:rFonts w:hint="eastAsia" w:cs="宋体"/>
          <w:b/>
          <w:bCs/>
          <w:sz w:val="24"/>
          <w:szCs w:val="21"/>
          <w:highlight w:val="none"/>
          <w:lang w:val="en-US" w:eastAsia="zh-CN"/>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三、采购清单</w:t>
      </w:r>
      <w:r/>
    </w:p>
    <w:tbl>
      <w:tblPr>
        <w:tblStyle w:val="747"/>
        <w:tblW w:w="8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655"/>
        <w:gridCol w:w="1127"/>
        <w:gridCol w:w="1513"/>
        <w:gridCol w:w="2280"/>
      </w:tblGrid>
      <w:tr>
        <w:trPr>
          <w:jc w:val="center"/>
          <w:trHeight w:val="970"/>
        </w:trPr>
        <w:tc>
          <w:tcPr>
            <w:shd w:val="clear" w:color="auto" w:fill="auto"/>
            <w:tcW w:w="972" w:type="dxa"/>
            <w:vAlign w:val="center"/>
            <w:textDirection w:val="lrTb"/>
            <w:noWrap w:val="false"/>
          </w:tcPr>
          <w:p>
            <w:pPr>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W w:w="2655" w:type="dxa"/>
            <w:vAlign w:val="center"/>
            <w:textDirection w:val="lrTb"/>
            <w:noWrap w:val="false"/>
          </w:tcPr>
          <w:p>
            <w:pPr>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W w:w="1127" w:type="dxa"/>
            <w:vAlign w:val="center"/>
            <w:textDirection w:val="lrTb"/>
            <w:noWrap w:val="false"/>
          </w:tcPr>
          <w:p>
            <w:pPr>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shd w:val="clear" w:color="auto" w:fill="auto"/>
            <w:tcW w:w="1513" w:type="dxa"/>
            <w:vAlign w:val="center"/>
            <w:textDirection w:val="lrTb"/>
            <w:noWrap w:val="false"/>
          </w:tcPr>
          <w:p>
            <w:pPr>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W w:w="2280" w:type="dxa"/>
            <w:vAlign w:val="center"/>
            <w:textDirection w:val="lrTb"/>
            <w:noWrap w:val="false"/>
          </w:tcPr>
          <w:p>
            <w:pPr>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技术参数要求</w:t>
            </w:r>
            <w:r/>
          </w:p>
        </w:tc>
      </w:tr>
      <w:tr>
        <w:trPr>
          <w:jc w:val="center"/>
          <w:trHeight w:val="707"/>
        </w:trPr>
        <w:tc>
          <w:tcPr>
            <w:shd w:val="clear" w:color="auto" w:fill="auto"/>
            <w:tcW w:w="972"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shd w:val="clear" w:color="auto" w:fill="auto"/>
            <w:tcW w:w="2655"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4.5方新能源压缩式垃圾车</w:t>
            </w:r>
            <w:r/>
          </w:p>
        </w:tc>
        <w:tc>
          <w:tcPr>
            <w:shd w:val="clear" w:color="auto" w:fill="auto"/>
            <w:tcW w:w="1127"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台</w:t>
            </w:r>
            <w:r/>
          </w:p>
        </w:tc>
        <w:tc>
          <w:tcPr>
            <w:shd w:val="clear" w:color="auto" w:fill="auto"/>
            <w:tcW w:w="1513"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2</w:t>
            </w:r>
            <w:r/>
          </w:p>
        </w:tc>
        <w:tc>
          <w:tcPr>
            <w:shd w:val="clear" w:color="auto" w:fill="auto"/>
            <w:tcW w:w="2280" w:type="dxa"/>
            <w:vAlign w:val="center"/>
            <w:vMerge w:val="restart"/>
            <w:textDirection w:val="lrTb"/>
            <w:noWrap w:val="false"/>
          </w:tcPr>
          <w:p>
            <w:pPr>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详见采购需求：技术参数</w:t>
            </w:r>
            <w:r>
              <w:rPr>
                <w:rFonts w:hint="eastAsia" w:ascii="宋体" w:hAnsi="宋体" w:eastAsia="宋体" w:cs="宋体"/>
                <w:b w:val="0"/>
                <w:bCs w:val="0"/>
                <w:sz w:val="24"/>
                <w:szCs w:val="24"/>
                <w:lang w:val="en-US" w:eastAsia="zh-CN"/>
              </w:rPr>
              <w:t xml:space="preserve">及性能配置</w:t>
            </w:r>
            <w:r>
              <w:rPr>
                <w:rFonts w:hint="eastAsia" w:ascii="宋体" w:hAnsi="宋体" w:eastAsia="宋体" w:cs="宋体"/>
                <w:b w:val="0"/>
                <w:bCs w:val="0"/>
                <w:sz w:val="24"/>
                <w:szCs w:val="24"/>
              </w:rPr>
              <w:t xml:space="preserve">要求</w:t>
            </w:r>
            <w:r/>
          </w:p>
        </w:tc>
      </w:tr>
      <w:tr>
        <w:trPr>
          <w:jc w:val="center"/>
          <w:trHeight w:val="600"/>
        </w:trPr>
        <w:tc>
          <w:tcPr>
            <w:shd w:val="clear" w:color="auto" w:fill="auto"/>
            <w:tcW w:w="972"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p>
        </w:tc>
        <w:tc>
          <w:tcPr>
            <w:shd w:val="clear" w:color="auto" w:fill="auto"/>
            <w:tcW w:w="2655"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7方新能源压缩式垃圾车</w:t>
            </w:r>
            <w:r/>
          </w:p>
        </w:tc>
        <w:tc>
          <w:tcPr>
            <w:shd w:val="clear" w:color="auto" w:fill="auto"/>
            <w:tcW w:w="1127"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台</w:t>
            </w:r>
            <w:r/>
          </w:p>
        </w:tc>
        <w:tc>
          <w:tcPr>
            <w:shd w:val="clear" w:color="auto" w:fill="auto"/>
            <w:tcW w:w="1513"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2</w:t>
            </w:r>
            <w:r/>
          </w:p>
        </w:tc>
        <w:tc>
          <w:tcPr>
            <w:shd w:val="clear" w:color="auto" w:fill="auto"/>
            <w:tcW w:w="2280" w:type="dxa"/>
            <w:vAlign w:val="center"/>
            <w:vMerge w:val="continue"/>
            <w:textDirection w:val="lrTb"/>
            <w:noWrap w:val="false"/>
          </w:tcPr>
          <w:p>
            <w:pPr>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jc w:val="center"/>
          <w:trHeight w:val="594"/>
        </w:trPr>
        <w:tc>
          <w:tcPr>
            <w:shd w:val="clear" w:color="auto" w:fill="auto"/>
            <w:tcW w:w="972"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p>
        </w:tc>
        <w:tc>
          <w:tcPr>
            <w:shd w:val="clear" w:color="auto" w:fill="auto"/>
            <w:tcW w:w="2655"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10方新能源压缩式垃圾车</w:t>
            </w:r>
            <w:r/>
          </w:p>
        </w:tc>
        <w:tc>
          <w:tcPr>
            <w:shd w:val="clear" w:color="auto" w:fill="auto"/>
            <w:tcW w:w="1127"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台</w:t>
            </w:r>
            <w:r/>
          </w:p>
        </w:tc>
        <w:tc>
          <w:tcPr>
            <w:shd w:val="clear" w:color="auto" w:fill="auto"/>
            <w:tcW w:w="1513"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2</w:t>
            </w:r>
            <w:r/>
          </w:p>
        </w:tc>
        <w:tc>
          <w:tcPr>
            <w:shd w:val="clear" w:color="auto" w:fill="auto"/>
            <w:tcW w:w="2280" w:type="dxa"/>
            <w:vAlign w:val="center"/>
            <w:vMerge w:val="continue"/>
            <w:textDirection w:val="lrTb"/>
            <w:noWrap w:val="false"/>
          </w:tcPr>
          <w:p>
            <w:pPr>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r>
        <w:trPr>
          <w:jc w:val="center"/>
          <w:trHeight w:val="566"/>
        </w:trPr>
        <w:tc>
          <w:tcPr>
            <w:shd w:val="clear" w:color="auto" w:fill="auto"/>
            <w:tcW w:w="972"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w:t>
            </w:r>
            <w:r/>
          </w:p>
        </w:tc>
        <w:tc>
          <w:tcPr>
            <w:shd w:val="clear" w:color="auto" w:fill="auto"/>
            <w:tcW w:w="2655"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充电桩</w:t>
            </w:r>
            <w:r/>
          </w:p>
        </w:tc>
        <w:tc>
          <w:tcPr>
            <w:shd w:val="clear" w:color="auto" w:fill="auto"/>
            <w:tcW w:w="1127"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台</w:t>
            </w:r>
            <w:r/>
          </w:p>
        </w:tc>
        <w:tc>
          <w:tcPr>
            <w:shd w:val="clear" w:color="auto" w:fill="auto"/>
            <w:tcW w:w="1513" w:type="dxa"/>
            <w:vAlign w:val="center"/>
            <w:textDirection w:val="lrTb"/>
            <w:noWrap w:val="false"/>
          </w:tcPr>
          <w:p>
            <w:pPr>
              <w:jc w:val="center"/>
              <w:pageBreakBefore w:val="0"/>
              <w:spacing w:line="44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4</w:t>
            </w:r>
            <w:r/>
          </w:p>
        </w:tc>
        <w:tc>
          <w:tcPr>
            <w:shd w:val="clear" w:color="auto" w:fill="auto"/>
            <w:tcW w:w="2280" w:type="dxa"/>
            <w:vAlign w:val="center"/>
            <w:vMerge w:val="continue"/>
            <w:textDirection w:val="lrTb"/>
            <w:noWrap w:val="false"/>
          </w:tcPr>
          <w:p>
            <w:pPr>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r>
    </w:tbl>
    <w:p>
      <w:pPr>
        <w:pStyle w:val="748"/>
        <w:ind w:left="0" w:firstLine="0"/>
        <w:rPr>
          <w:rFonts w:hint="eastAsia"/>
          <w:lang w:val="en-US"/>
        </w:rPr>
      </w:pPr>
      <w:r>
        <w:rPr>
          <w:rFonts w:hint="eastAsia"/>
          <w:lang w:val="en-US"/>
        </w:rPr>
      </w:r>
      <w:r/>
    </w:p>
    <w:p>
      <w:pPr>
        <w:numPr>
          <w:ilvl w:val="0"/>
          <w:numId w:val="2"/>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技术参数及要求</w:t>
      </w:r>
      <w:r/>
    </w:p>
    <w:p>
      <w:pPr>
        <w:pStyle w:val="737"/>
        <w:ind w:firstLine="2249"/>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4.5方新能源压缩式垃圾车</w:t>
      </w:r>
      <w:r/>
    </w:p>
    <w:tbl>
      <w:tblPr>
        <w:tblStyle w:val="747"/>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3710"/>
        <w:gridCol w:w="2890"/>
      </w:tblGrid>
      <w:tr>
        <w:trPr>
          <w:cantSplit/>
          <w:jc w:val="center"/>
          <w:trHeight w:val="606"/>
        </w:trPr>
        <w:tc>
          <w:tcPr>
            <w:gridSpan w:val="2"/>
            <w:tcBorders>
              <w:top w:val="single" w:color="000000" w:sz="4" w:space="0"/>
              <w:left w:val="single" w:color="000000" w:sz="4" w:space="0"/>
              <w:bottom w:val="single" w:color="000000" w:sz="4" w:space="0"/>
              <w:right w:val="single" w:color="000000" w:sz="4" w:space="0"/>
            </w:tcBorders>
            <w:tcW w:w="5690" w:type="dxa"/>
            <w:vAlign w:val="center"/>
            <w:textDirection w:val="lrTb"/>
            <w:noWrap w:val="false"/>
          </w:tcPr>
          <w:p>
            <w:pPr>
              <w:pStyle w:val="737"/>
              <w:ind w:firstLine="168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项目</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数据</w:t>
            </w:r>
            <w:r/>
          </w:p>
        </w:tc>
      </w:tr>
      <w:tr>
        <w:trPr>
          <w:cantSplit/>
          <w:jc w:val="center"/>
          <w:trHeight w:val="801"/>
        </w:trPr>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Style w:val="737"/>
              <w:ind w:left="0" w:firstLine="24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尺寸参数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外形尺寸（长×宽×高）mm</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≤6000×2100×2100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轴距（mm）</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≥2850</w:t>
            </w:r>
            <w:r/>
          </w:p>
        </w:tc>
      </w:tr>
      <w:tr>
        <w:trPr>
          <w:cantSplit/>
          <w:jc w:val="center"/>
          <w:trHeight w:val="696"/>
        </w:trPr>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Style w:val="737"/>
              <w:ind w:left="0" w:firstLine="24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质量参数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整备质量（kg）</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≥3800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▲额定载质量（kg）</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≥540</w:t>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最大总质量（kg）</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≤4500</w:t>
            </w:r>
            <w:r/>
          </w:p>
        </w:tc>
      </w:tr>
      <w:tr>
        <w:trPr>
          <w:cantSplit/>
          <w:jc w:val="center"/>
          <w:trHeight w:val="20"/>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pStyle w:val="737"/>
              <w:ind w:left="0" w:firstLine="24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性能参数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箱体容积（m³）</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装填器容积（m³）</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≥0.8</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接近角/离去角（°）</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≥18/11</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前悬/后悬（mm）</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≤1200/1830</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压缩循环时间（s）</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w:t>
            </w:r>
            <w:r/>
          </w:p>
        </w:tc>
      </w:tr>
      <w:tr>
        <w:trPr>
          <w:cantSplit/>
          <w:jc w:val="center"/>
          <w:trHeight w:val="20"/>
        </w:trPr>
        <w:tc>
          <w:tcPr>
            <w:tcBorders>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卸料循环时间（s）</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w:t>
            </w:r>
            <w:r/>
          </w:p>
        </w:tc>
      </w:tr>
      <w:tr>
        <w:trPr>
          <w:cantSplit/>
          <w:jc w:val="center"/>
          <w:trHeight w:val="498"/>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电池</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▲电量（KWh）</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≥50</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电池防护等级</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IP68及以上</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动力电池种类</w:t>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磷酸铁锂电池</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续航里程（km）</w:t>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≥300(等速40km/h）</w:t>
            </w:r>
            <w:r/>
          </w:p>
        </w:tc>
      </w:tr>
    </w:tbl>
    <w:p>
      <w:pPr>
        <w:pStyle w:val="737"/>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pStyle w:val="737"/>
        <w:ind w:firstLine="2249"/>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pStyle w:val="737"/>
        <w:ind w:firstLine="2249"/>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7方新能源压缩式垃圾车</w:t>
      </w:r>
      <w:r/>
    </w:p>
    <w:tbl>
      <w:tblPr>
        <w:tblStyle w:val="747"/>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3710"/>
        <w:gridCol w:w="2890"/>
      </w:tblGrid>
      <w:tr>
        <w:trPr>
          <w:cantSplit/>
          <w:jc w:val="center"/>
          <w:trHeight w:val="20"/>
        </w:trPr>
        <w:tc>
          <w:tcPr>
            <w:gridSpan w:val="2"/>
            <w:tcBorders>
              <w:top w:val="single" w:color="000000" w:sz="4" w:space="0"/>
              <w:left w:val="single" w:color="000000" w:sz="4" w:space="0"/>
              <w:bottom w:val="single" w:color="000000" w:sz="4" w:space="0"/>
              <w:right w:val="single" w:color="000000" w:sz="4" w:space="0"/>
            </w:tcBorders>
            <w:tcW w:w="56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项目</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数据</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尺寸参数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外形尺寸（长×宽×高）mm</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≥6800×2200×2520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轴距（mm）</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≥3360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质量参数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整备质量（kg）</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≥6800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额定载质量（kg）</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≥4900</w:t>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最大总质量（kg）</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≥12495</w:t>
            </w:r>
            <w:r/>
          </w:p>
        </w:tc>
      </w:tr>
      <w:tr>
        <w:trPr>
          <w:cantSplit/>
          <w:jc w:val="center"/>
          <w:trHeight w:val="20"/>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性能参数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箱体容积（m³）</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装填器容积（m³）</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接近角/离去角（°）</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≥18/13</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前悬/后悬（mm）</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≤1180/2120</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压缩循环时间（s）</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w:t>
            </w:r>
            <w:r/>
          </w:p>
        </w:tc>
      </w:tr>
      <w:tr>
        <w:trPr>
          <w:cantSplit/>
          <w:jc w:val="center"/>
          <w:trHeight w:val="20"/>
        </w:trPr>
        <w:tc>
          <w:tcPr>
            <w:tcBorders>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卸料循环时间（s）</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w:t>
            </w:r>
            <w:r/>
          </w:p>
        </w:tc>
      </w:tr>
      <w:tr>
        <w:trPr>
          <w:cantSplit/>
          <w:jc w:val="center"/>
          <w:trHeight w:val="498"/>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电池</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▲电量（KWh）</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≥164</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电池防护等级</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IP68及以上</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动力电池种类</w:t>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磷酸铁锂电池</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续航里程（km）</w:t>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≥400(等速40km/h）</w:t>
            </w:r>
            <w:r/>
          </w:p>
        </w:tc>
      </w:tr>
    </w:tbl>
    <w:p>
      <w:pPr>
        <w:pStyle w:val="737"/>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br w:type="page" w:clear="all"/>
      </w:r>
      <w:r/>
    </w:p>
    <w:p>
      <w:pPr>
        <w:pStyle w:val="737"/>
        <w:ind w:firstLine="1968"/>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10方新能源压缩式垃圾车</w:t>
      </w:r>
      <w:r/>
    </w:p>
    <w:tbl>
      <w:tblPr>
        <w:tblStyle w:val="747"/>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3710"/>
        <w:gridCol w:w="2890"/>
      </w:tblGrid>
      <w:tr>
        <w:trPr>
          <w:cantSplit/>
          <w:jc w:val="center"/>
          <w:trHeight w:val="20"/>
        </w:trPr>
        <w:tc>
          <w:tcPr>
            <w:gridSpan w:val="2"/>
            <w:tcBorders>
              <w:top w:val="single" w:color="000000" w:sz="4" w:space="0"/>
              <w:left w:val="single" w:color="000000" w:sz="4" w:space="0"/>
              <w:bottom w:val="single" w:color="000000" w:sz="4" w:space="0"/>
              <w:right w:val="single" w:color="000000" w:sz="4" w:space="0"/>
            </w:tcBorders>
            <w:tcW w:w="56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项目</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数据</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尺寸参数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外形尺寸（长×宽×高）mm</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≥8300×2350×2520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轴距（mm）</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≥4500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质量参数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整备质量（kg）</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≥8800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▲额定载质量（kg）</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≥3500</w:t>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★最大总质量（kg）</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≥12495</w:t>
            </w:r>
            <w:r/>
          </w:p>
        </w:tc>
      </w:tr>
      <w:tr>
        <w:trPr>
          <w:cantSplit/>
          <w:jc w:val="center"/>
          <w:trHeight w:val="20"/>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性能参数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箱体容积（m³）</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装填器容积（m³）</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接近角/离去角（°）</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≥16/10</w:t>
            </w:r>
            <w:r/>
          </w:p>
        </w:tc>
      </w:tr>
      <w:tr>
        <w:trPr>
          <w:cantSplit/>
          <w:jc w:val="center"/>
          <w:trHeight w:val="205"/>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前悬/后悬（mm）</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≤1300/2700</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压缩循环时间（s）</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w:t>
            </w:r>
            <w:r/>
          </w:p>
        </w:tc>
      </w:tr>
      <w:tr>
        <w:trPr>
          <w:cantSplit/>
          <w:jc w:val="center"/>
          <w:trHeight w:val="20"/>
        </w:trPr>
        <w:tc>
          <w:tcPr>
            <w:tcBorders>
              <w:left w:val="single" w:color="000000" w:sz="4" w:space="0"/>
              <w:bottom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卸料循环时间（s）</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w:t>
            </w:r>
            <w:r/>
          </w:p>
        </w:tc>
      </w:tr>
      <w:tr>
        <w:trPr>
          <w:cantSplit/>
          <w:jc w:val="center"/>
          <w:trHeight w:val="498"/>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电池</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▲电量（KWh）</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≥192</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电池防护等级</w:t>
            </w:r>
            <w:r/>
          </w:p>
        </w:tc>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IP68及以上</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动力电池种类</w:t>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磷酸铁锂电池</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pStyle w:val="737"/>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续航里程（km）</w:t>
            </w:r>
            <w:r/>
          </w:p>
        </w:tc>
        <w:tc>
          <w:tcPr>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737"/>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≥400(等速40km/h）</w:t>
            </w:r>
            <w:r/>
          </w:p>
        </w:tc>
      </w:tr>
    </w:tbl>
    <w:p>
      <w:pPr>
        <w:pStyle w:val="748"/>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pStyle w:val="737"/>
        <w:numPr>
          <w:ilvl w:val="0"/>
          <w:numId w:val="2"/>
        </w:numPr>
        <w:ind w:left="0" w:firstLine="0"/>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性能配置要求</w:t>
      </w:r>
      <w:r/>
    </w:p>
    <w:p>
      <w:pPr>
        <w:pStyle w:val="738"/>
        <w:numPr>
          <w:ilvl w:val="0"/>
          <w:numId w:val="3"/>
        </w:numPr>
        <w:ind w:firstLine="480"/>
        <w:pageBreakBefore w:val="0"/>
        <w:spacing w:after="156"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箱体总成;</w:t>
      </w:r>
      <w:r>
        <w:rPr>
          <w:rFonts w:hint="eastAsia" w:ascii="宋体" w:hAnsi="宋体" w:eastAsia="宋体" w:cs="宋体"/>
          <w:b w:val="0"/>
          <w:bCs w:val="0"/>
          <w:sz w:val="24"/>
          <w:szCs w:val="24"/>
        </w:rPr>
        <w:t xml:space="preserve">主体结构件</w:t>
      </w:r>
      <w:r>
        <w:rPr>
          <w:rFonts w:hint="eastAsia" w:ascii="宋体" w:hAnsi="宋体" w:eastAsia="宋体" w:cs="宋体"/>
          <w:b w:val="0"/>
          <w:bCs w:val="0"/>
          <w:sz w:val="24"/>
          <w:szCs w:val="24"/>
          <w:lang w:val="en-US" w:eastAsia="zh-CN"/>
        </w:rPr>
        <w:t xml:space="preserve">需</w:t>
      </w:r>
      <w:r>
        <w:rPr>
          <w:rFonts w:hint="eastAsia" w:ascii="宋体" w:hAnsi="宋体" w:eastAsia="宋体" w:cs="宋体"/>
          <w:b w:val="0"/>
          <w:bCs w:val="0"/>
          <w:sz w:val="24"/>
          <w:szCs w:val="24"/>
        </w:rPr>
        <w:t xml:space="preserve">采用高强度结构钢；卷圆箱体，整体结构一体成型，四角圆弧形过渡，保证箱体结构可靠、不变形</w:t>
      </w:r>
      <w:r>
        <w:rPr>
          <w:rFonts w:hint="eastAsia" w:ascii="宋体" w:hAnsi="宋体" w:eastAsia="宋体" w:cs="宋体"/>
          <w:b w:val="0"/>
          <w:bCs w:val="0"/>
          <w:sz w:val="24"/>
          <w:szCs w:val="24"/>
          <w:lang w:eastAsia="zh-CN"/>
        </w:rPr>
        <w:t xml:space="preserve">；</w:t>
      </w:r>
      <w:r/>
    </w:p>
    <w:p>
      <w:pPr>
        <w:numPr>
          <w:ilvl w:val="0"/>
          <w:numId w:val="3"/>
        </w:numPr>
        <w:ind w:left="0"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填机构：采购后挂桶（240L）装填方式，滑板导向需采用尼龙滑块结构，保证使用寿命长，刮料轻松自如；大角度滑动刮板式压缩机构，保证压缩效率更高；需设置垃圾防逆流装置，需采用遮挡板阻隔，确保料斗内有充分空间，实现高效作业；卸料时，装填器提升后，刮板需可进行二次清料，保证卸料时无残留垃圾；</w:t>
      </w:r>
      <w:r/>
    </w:p>
    <w:p>
      <w:pPr>
        <w:numPr>
          <w:ilvl w:val="0"/>
          <w:numId w:val="3"/>
        </w:numPr>
        <w:ind w:left="0"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推板总成：推板滑轨结构需为两侧对称槽型轨道，与置于箱体底板上的轨道相比，具有轨道刚性大、稳定性好、底板无变形等优势，保证推板运动平稳，垃圾卸料干净，工作可靠；</w:t>
      </w:r>
      <w:r/>
    </w:p>
    <w:p>
      <w:pPr>
        <w:numPr>
          <w:ilvl w:val="0"/>
          <w:numId w:val="3"/>
        </w:numPr>
        <w:ind w:left="0"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气系统：车尾装料操作需采用线控方式，按钮开关保证频繁装料操作的舒适性；自动、手动动作自由切换，灵活应对各种工况；驾驶室需采用CAN通讯按键板，界面简洁、标志形象，动作、状态指示信息丰富，同时有状态警示、错误操作提示，减少不规范操作，降低操作难度；驾驶室需配置无线操作手柄，可远程控制卸料、装填等基本操作；</w:t>
      </w:r>
      <w:r/>
    </w:p>
    <w:p>
      <w:pPr>
        <w:numPr>
          <w:ilvl w:val="0"/>
          <w:numId w:val="3"/>
        </w:numPr>
        <w:ind w:left="0"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向压缩技术：需采用优化的液压系统和先进的压装结构设计（如滑板油缸与滑板运动轨道处于同一平面，保证压缩力为油缸作用力，而不是油缸作用力的分力），使得压装作业压缩力大，压缩比大，推板模拟垃圾填塞方向（曲面）设计，保证不同成分垃圾被压力均匀地压缩并填满整个箱体而无死角和空隙存在或阻塞现象发生，提高垃圾净装载量；</w:t>
      </w:r>
      <w:r/>
    </w:p>
    <w:p>
      <w:pPr>
        <w:numPr>
          <w:ilvl w:val="0"/>
          <w:numId w:val="3"/>
        </w:numPr>
        <w:ind w:left="0" w:firstLine="480"/>
        <w:pageBreakBefore w:val="0"/>
        <w:spacing w:line="360" w:lineRule="auto"/>
        <w:widowControl w:val="off"/>
        <w:rPr>
          <w:rFonts w:hint="eastAsia"/>
          <w:lang w:val="en-US" w:eastAsia="zh-CN"/>
        </w:rPr>
      </w:pPr>
      <w:r>
        <w:rPr>
          <w:rFonts w:hint="eastAsia" w:ascii="宋体" w:hAnsi="宋体" w:eastAsia="宋体" w:cs="宋体"/>
          <w:sz w:val="24"/>
          <w:szCs w:val="24"/>
          <w:lang w:val="en-US" w:eastAsia="zh-CN"/>
        </w:rPr>
        <w:t xml:space="preserve">密封性：填装器与垃圾箱结合面处需采用双层橡胶密封，同时在密封处需设置有污水导流装置，保证污水在收集和运输过程中不会出现滴漏和喷射现象；独立锁紧机构，锁紧钩正反丝可调，确保填装器与垃圾箱的结合面良好密封性能，避免运输时的造成二次污染。</w:t>
      </w:r>
      <w:r/>
    </w:p>
    <w:p>
      <w:pPr>
        <w:pStyle w:val="737"/>
        <w:numPr>
          <w:ilvl w:val="0"/>
          <w:numId w:val="2"/>
        </w:numPr>
        <w:ind w:left="0" w:right="0" w:firstLine="0"/>
        <w:spacing w:before="0" w:after="0"/>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充电桩要求</w:t>
      </w:r>
      <w:r/>
    </w:p>
    <w:tbl>
      <w:tblPr>
        <w:tblStyle w:val="747"/>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3710"/>
        <w:gridCol w:w="3553"/>
      </w:tblGrid>
      <w:tr>
        <w:trPr>
          <w:cantSplit/>
          <w:jc w:val="center"/>
          <w:trHeight w:val="20"/>
        </w:trPr>
        <w:tc>
          <w:tcPr>
            <w:gridSpan w:val="2"/>
            <w:tcBorders>
              <w:top w:val="single" w:color="000000" w:sz="4" w:space="0"/>
              <w:left w:val="single" w:color="000000" w:sz="4" w:space="0"/>
              <w:bottom w:val="single" w:color="000000" w:sz="4" w:space="0"/>
              <w:right w:val="single" w:color="000000" w:sz="4" w:space="0"/>
            </w:tcBorders>
            <w:tcW w:w="5690" w:type="dxa"/>
            <w:vAlign w:val="center"/>
            <w:textDirection w:val="lrTb"/>
            <w:noWrap w:val="false"/>
          </w:tcPr>
          <w:p>
            <w:pPr>
              <w:jc w:val="center"/>
              <w:keepLines w:val="0"/>
              <w:keepNext w:val="0"/>
              <w:pageBreakBefore w:val="0"/>
              <w:spacing w:line="360" w:lineRule="auto"/>
              <w:rPr>
                <w:rStyle w:val="966"/>
                <w:rFonts w:hint="eastAsia" w:ascii="宋体" w:hAnsi="宋体" w:eastAsia="宋体" w:cs="宋体"/>
                <w:b/>
                <w:bCs/>
                <w:sz w:val="21"/>
                <w:szCs w:val="21"/>
              </w:rPr>
            </w:pPr>
            <w:r>
              <w:rPr>
                <w:rStyle w:val="966"/>
                <w:rFonts w:hint="eastAsia" w:ascii="宋体" w:hAnsi="宋体" w:eastAsia="宋体" w:cs="宋体"/>
                <w:b/>
                <w:bCs/>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pageBreakBefore w:val="0"/>
              <w:spacing w:line="360" w:lineRule="auto"/>
              <w:rPr>
                <w:rStyle w:val="966"/>
                <w:rFonts w:hint="eastAsia" w:ascii="宋体" w:hAnsi="宋体" w:eastAsia="宋体" w:cs="宋体"/>
                <w:b/>
                <w:bCs/>
                <w:sz w:val="21"/>
                <w:szCs w:val="21"/>
              </w:rPr>
            </w:pPr>
            <w:r>
              <w:rPr>
                <w:rStyle w:val="966"/>
                <w:rFonts w:hint="eastAsia" w:ascii="宋体" w:hAnsi="宋体" w:eastAsia="宋体" w:cs="宋体"/>
                <w:b/>
                <w:bCs/>
                <w:sz w:val="21"/>
                <w:szCs w:val="21"/>
              </w:rPr>
              <w:t xml:space="preserve">数据</w:t>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360" w:lineRule="auto"/>
              <w:widowControl/>
              <w:rPr>
                <w:rStyle w:val="966"/>
                <w:rFonts w:hint="default" w:ascii="宋体" w:hAnsi="宋体" w:eastAsia="宋体" w:cs="宋体"/>
                <w:b w:val="0"/>
                <w:bCs w:val="0"/>
                <w:sz w:val="21"/>
                <w:szCs w:val="21"/>
                <w:lang w:val="en-US" w:eastAsia="zh-CN"/>
              </w:rPr>
            </w:pPr>
            <w:r>
              <w:rPr>
                <w:rStyle w:val="966"/>
                <w:rFonts w:hint="eastAsia" w:ascii="宋体" w:hAnsi="宋体" w:eastAsia="宋体" w:cs="宋体"/>
                <w:b w:val="0"/>
                <w:bCs w:val="0"/>
                <w:sz w:val="21"/>
                <w:szCs w:val="21"/>
                <w:lang w:val="en-US" w:eastAsia="zh-CN"/>
              </w:rPr>
              <w:t xml:space="preserve">尺寸参数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keepLines w:val="0"/>
              <w:keepNext w:val="0"/>
              <w:pageBreakBefore w:val="0"/>
              <w:spacing w:line="360" w:lineRule="auto"/>
              <w:rPr>
                <w:rStyle w:val="966"/>
                <w:rFonts w:hint="default" w:ascii="宋体" w:hAnsi="宋体" w:eastAsia="宋体" w:cs="宋体"/>
                <w:b w:val="0"/>
                <w:bCs w:val="0"/>
                <w:sz w:val="21"/>
                <w:szCs w:val="21"/>
                <w:lang w:val="en-US" w:eastAsia="zh-CN"/>
              </w:rPr>
            </w:pPr>
            <w:r>
              <w:rPr>
                <w:rStyle w:val="966"/>
                <w:rFonts w:hint="eastAsia" w:ascii="宋体" w:hAnsi="宋体" w:eastAsia="宋体" w:cs="宋体"/>
                <w:b w:val="0"/>
                <w:bCs w:val="0"/>
                <w:sz w:val="21"/>
                <w:szCs w:val="21"/>
                <w:lang w:val="en-US" w:eastAsia="zh-CN"/>
              </w:rPr>
              <w:t xml:space="preserve">主机尺寸（mm）</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pageBreakBefore w:val="0"/>
              <w:spacing w:line="360" w:lineRule="auto"/>
              <w:rPr>
                <w:rStyle w:val="966"/>
                <w:rFonts w:hint="default" w:ascii="宋体" w:hAnsi="宋体" w:cs="宋体" w:eastAsiaTheme="minorEastAsia"/>
                <w:b w:val="0"/>
                <w:bCs w:val="0"/>
                <w:sz w:val="21"/>
                <w:szCs w:val="21"/>
                <w:lang w:val="en-US" w:eastAsia="zh-CN"/>
              </w:rPr>
            </w:pPr>
            <w:r>
              <w:rPr>
                <w:rStyle w:val="966"/>
                <w:rFonts w:hint="eastAsia" w:ascii="宋体" w:hAnsi="宋体" w:eastAsia="宋体" w:cs="宋体"/>
                <w:b w:val="0"/>
                <w:bCs w:val="0"/>
                <w:sz w:val="21"/>
                <w:szCs w:val="21"/>
                <w:lang w:val="en-US" w:eastAsia="zh-CN"/>
              </w:rPr>
              <w:t xml:space="preserve">≥850（宽）</w:t>
            </w:r>
            <w:r>
              <w:rPr>
                <w:rFonts w:ascii="Times New Roman" w:hAnsi="Times New Roman"/>
              </w:rPr>
              <w:t xml:space="preserve">×</w:t>
            </w:r>
            <w:r>
              <w:rPr>
                <w:rFonts w:hint="eastAsia" w:ascii="Times New Roman" w:hAnsi="Times New Roman"/>
                <w:lang w:val="en-US" w:eastAsia="zh-CN"/>
              </w:rPr>
              <w:t xml:space="preserve">650（深）</w:t>
            </w:r>
            <w:r>
              <w:rPr>
                <w:rFonts w:ascii="Times New Roman" w:hAnsi="Times New Roman"/>
              </w:rPr>
              <w:t xml:space="preserve">×</w:t>
            </w:r>
            <w:r>
              <w:rPr>
                <w:rFonts w:hint="eastAsia" w:ascii="Times New Roman" w:hAnsi="Times New Roman"/>
                <w:lang w:val="en-US" w:eastAsia="zh-CN"/>
              </w:rPr>
              <w:t xml:space="preserve">1750（高）</w:t>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pageBreakBefore w:val="0"/>
              <w:spacing w:line="360" w:lineRule="auto"/>
              <w:widowControl/>
              <w:rPr>
                <w:rStyle w:val="966"/>
                <w:rFonts w:hint="default" w:ascii="宋体" w:hAnsi="宋体" w:eastAsia="宋体" w:cs="宋体"/>
                <w:b w:val="0"/>
                <w:bCs w:val="0"/>
                <w:sz w:val="21"/>
                <w:szCs w:val="21"/>
                <w:lang w:val="en-US" w:eastAsia="zh-CN"/>
              </w:rPr>
            </w:pPr>
            <w:r>
              <w:rPr>
                <w:rStyle w:val="966"/>
                <w:rFonts w:hint="eastAsia" w:ascii="宋体" w:hAnsi="宋体" w:eastAsia="宋体" w:cs="宋体"/>
                <w:b w:val="0"/>
                <w:bCs w:val="0"/>
                <w:sz w:val="21"/>
                <w:szCs w:val="21"/>
                <w:lang w:val="en-US" w:eastAsia="zh-CN"/>
              </w:rPr>
              <w:t xml:space="preserve">质量参数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keepLines w:val="0"/>
              <w:keepNext w:val="0"/>
              <w:pageBreakBefore w:val="0"/>
              <w:spacing w:line="360" w:lineRule="auto"/>
              <w:rPr>
                <w:rStyle w:val="966"/>
                <w:rFonts w:hint="eastAsia" w:ascii="宋体" w:hAnsi="宋体" w:eastAsia="宋体" w:cs="宋体"/>
                <w:b w:val="0"/>
                <w:bCs w:val="0"/>
                <w:sz w:val="21"/>
                <w:szCs w:val="21"/>
              </w:rPr>
            </w:pPr>
            <w:r>
              <w:rPr>
                <w:rStyle w:val="966"/>
                <w:rFonts w:hint="eastAsia" w:ascii="宋体" w:hAnsi="宋体" w:eastAsia="宋体" w:cs="宋体"/>
                <w:b w:val="0"/>
                <w:bCs w:val="0"/>
                <w:sz w:val="21"/>
                <w:szCs w:val="21"/>
                <w:lang w:val="en-US" w:eastAsia="zh-CN"/>
              </w:rPr>
              <w:t xml:space="preserve">含模块主机重量</w:t>
            </w:r>
            <w:r>
              <w:rPr>
                <w:rStyle w:val="966"/>
                <w:rFonts w:hint="eastAsia" w:ascii="宋体" w:hAnsi="宋体" w:cs="宋体"/>
                <w:b w:val="0"/>
                <w:bCs w:val="0"/>
                <w:sz w:val="21"/>
                <w:szCs w:val="21"/>
                <w:lang w:eastAsia="zh-CN"/>
              </w:rPr>
              <w:t xml:space="preserve">（</w:t>
            </w:r>
            <w:r>
              <w:rPr>
                <w:rStyle w:val="966"/>
                <w:rFonts w:hint="eastAsia" w:ascii="宋体" w:hAnsi="宋体" w:cs="宋体"/>
                <w:b w:val="0"/>
                <w:bCs w:val="0"/>
                <w:sz w:val="21"/>
                <w:szCs w:val="21"/>
                <w:lang w:val="en-US" w:eastAsia="zh-CN"/>
              </w:rPr>
              <w:t xml:space="preserve">kg</w:t>
            </w:r>
            <w:r>
              <w:rPr>
                <w:rStyle w:val="966"/>
                <w:rFonts w:hint="eastAsia" w:ascii="宋体" w:hAnsi="宋体" w:cs="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pageBreakBefore w:val="0"/>
              <w:spacing w:line="360" w:lineRule="auto"/>
              <w:rPr>
                <w:rStyle w:val="966"/>
                <w:rFonts w:hint="default" w:ascii="宋体" w:hAnsi="宋体" w:eastAsia="宋体" w:cs="宋体"/>
                <w:b w:val="0"/>
                <w:bCs w:val="0"/>
                <w:sz w:val="21"/>
                <w:szCs w:val="21"/>
                <w:lang w:val="en-US" w:eastAsia="zh-CN"/>
              </w:rPr>
            </w:pPr>
            <w:r>
              <w:rPr>
                <w:rStyle w:val="966"/>
                <w:rFonts w:hint="eastAsia" w:ascii="宋体" w:hAnsi="宋体" w:eastAsia="宋体" w:cs="宋体"/>
                <w:b w:val="0"/>
                <w:bCs w:val="0"/>
                <w:sz w:val="21"/>
                <w:szCs w:val="21"/>
                <w:lang w:val="en-US" w:eastAsia="zh-CN"/>
              </w:rPr>
              <w:t xml:space="preserve">≤400</w:t>
            </w:r>
            <w:r/>
          </w:p>
        </w:tc>
      </w:tr>
      <w:tr>
        <w:trPr>
          <w:cantSplit/>
          <w:jc w:val="center"/>
          <w:trHeight w:val="20"/>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keepLines w:val="0"/>
              <w:keepNext w:val="0"/>
              <w:pageBreakBefore w:val="0"/>
              <w:spacing w:line="360" w:lineRule="auto"/>
              <w:rPr>
                <w:rStyle w:val="966"/>
                <w:rFonts w:hint="eastAsia" w:ascii="宋体" w:hAnsi="宋体" w:eastAsia="宋体" w:cs="宋体"/>
                <w:b w:val="0"/>
                <w:bCs w:val="0"/>
                <w:sz w:val="21"/>
                <w:szCs w:val="21"/>
              </w:rPr>
            </w:pPr>
            <w:r>
              <w:rPr>
                <w:rStyle w:val="966"/>
                <w:rFonts w:hint="eastAsia" w:ascii="宋体" w:hAnsi="宋体" w:eastAsia="宋体" w:cs="宋体"/>
                <w:b w:val="0"/>
                <w:bCs w:val="0"/>
                <w:sz w:val="21"/>
                <w:szCs w:val="21"/>
              </w:rPr>
              <w:t xml:space="preserve">性能参数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keepLines w:val="0"/>
              <w:keepNext w:val="0"/>
              <w:pageBreakBefore w:val="0"/>
              <w:spacing w:line="360" w:lineRule="auto"/>
              <w:rPr>
                <w:rStyle w:val="966"/>
                <w:rFonts w:hint="eastAsia" w:ascii="宋体" w:hAnsi="宋体" w:eastAsia="宋体" w:cs="宋体"/>
                <w:b w:val="0"/>
                <w:bCs w:val="0"/>
                <w:sz w:val="21"/>
                <w:szCs w:val="21"/>
                <w:lang w:eastAsia="zh-CN"/>
              </w:rPr>
            </w:pPr>
            <w:r>
              <w:rPr>
                <w:rFonts w:hint="eastAsia" w:ascii="宋体" w:hAnsi="宋体" w:eastAsia="宋体" w:cs="宋体"/>
                <w:b w:val="0"/>
                <w:bCs w:val="0"/>
                <w:sz w:val="24"/>
                <w:szCs w:val="24"/>
                <w:highlight w:val="none"/>
                <w:lang w:val="en-US" w:eastAsia="zh-CN"/>
              </w:rPr>
              <w:t xml:space="preserve">★</w:t>
            </w:r>
            <w:r>
              <w:rPr>
                <w:rFonts w:hint="eastAsia" w:ascii="Times New Roman" w:hAnsi="Times New Roman"/>
                <w:szCs w:val="21"/>
                <w:lang w:val="en-US" w:eastAsia="zh-CN"/>
              </w:rPr>
              <w:t xml:space="preserve">额定功率（kw）</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pageBreakBefore w:val="0"/>
              <w:spacing w:line="360" w:lineRule="auto"/>
              <w:rPr>
                <w:rStyle w:val="966"/>
                <w:rFonts w:hint="eastAsia" w:ascii="宋体" w:hAnsi="宋体" w:eastAsia="宋体" w:cs="宋体"/>
                <w:b w:val="0"/>
                <w:bCs w:val="0"/>
                <w:sz w:val="21"/>
                <w:szCs w:val="21"/>
                <w:lang w:val="en-US" w:eastAsia="zh-CN"/>
              </w:rPr>
            </w:pPr>
            <w:r>
              <w:rPr>
                <w:rFonts w:hint="eastAsia" w:ascii="Times New Roman" w:hAnsi="Times New Roman"/>
                <w:szCs w:val="21"/>
                <w:lang w:val="en-US" w:eastAsia="zh-CN"/>
              </w:rPr>
              <w:t xml:space="preserve">≥240</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jc w:val="left"/>
              <w:keepLines w:val="0"/>
              <w:keepNext w:val="0"/>
              <w:pageBreakBefore w:val="0"/>
              <w:spacing w:line="360" w:lineRule="auto"/>
              <w:widowControl/>
              <w:rPr>
                <w:rStyle w:val="966"/>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keepLines w:val="0"/>
              <w:keepNext w:val="0"/>
              <w:pageBreakBefore w:val="0"/>
              <w:spacing w:line="360" w:lineRule="auto"/>
              <w:rPr>
                <w:rStyle w:val="966"/>
                <w:rFonts w:hint="eastAsia" w:ascii="宋体" w:hAnsi="宋体" w:eastAsia="宋体" w:cs="宋体"/>
                <w:b w:val="0"/>
                <w:bCs w:val="0"/>
                <w:sz w:val="21"/>
                <w:szCs w:val="21"/>
                <w:lang w:eastAsia="zh-CN"/>
              </w:rPr>
            </w:pPr>
            <w:r>
              <w:rPr>
                <w:rFonts w:hint="eastAsia" w:ascii="Times New Roman" w:hAnsi="Times New Roman"/>
                <w:szCs w:val="21"/>
                <w:lang w:val="en-US" w:eastAsia="zh-CN"/>
              </w:rPr>
              <w:t xml:space="preserve">充电枪</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pageBreakBefore w:val="0"/>
              <w:spacing w:line="360" w:lineRule="auto"/>
              <w:rPr>
                <w:rStyle w:val="966"/>
                <w:rFonts w:hint="default" w:ascii="宋体" w:hAnsi="宋体" w:eastAsia="宋体" w:cs="宋体"/>
                <w:b w:val="0"/>
                <w:bCs w:val="0"/>
                <w:sz w:val="21"/>
                <w:szCs w:val="21"/>
                <w:lang w:val="en-US" w:eastAsia="zh-CN"/>
              </w:rPr>
            </w:pPr>
            <w:r>
              <w:rPr>
                <w:rFonts w:hint="eastAsia" w:ascii="Times New Roman" w:hAnsi="Times New Roman"/>
                <w:szCs w:val="21"/>
                <w:lang w:val="en-US" w:eastAsia="zh-CN"/>
              </w:rPr>
              <w:t xml:space="preserve">2条，不少于5米充电线</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jc w:val="left"/>
              <w:keepLines w:val="0"/>
              <w:keepNext w:val="0"/>
              <w:pageBreakBefore w:val="0"/>
              <w:spacing w:line="360" w:lineRule="auto"/>
              <w:widowControl/>
              <w:rPr>
                <w:rStyle w:val="966"/>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keepLines w:val="0"/>
              <w:keepNext w:val="0"/>
              <w:pageBreakBefore w:val="0"/>
              <w:spacing w:line="360" w:lineRule="auto"/>
              <w:rPr>
                <w:rStyle w:val="966"/>
                <w:rFonts w:hint="eastAsia" w:ascii="宋体" w:hAnsi="宋体" w:eastAsia="宋体" w:cs="宋体"/>
                <w:b w:val="0"/>
                <w:bCs w:val="0"/>
                <w:sz w:val="21"/>
                <w:szCs w:val="21"/>
                <w:lang w:val="en-US" w:eastAsia="zh-CN"/>
              </w:rPr>
            </w:pPr>
            <w:r>
              <w:rPr>
                <w:rFonts w:hint="eastAsia" w:ascii="Times New Roman" w:hAnsi="Times New Roman"/>
                <w:szCs w:val="21"/>
                <w:lang w:val="en-US" w:eastAsia="zh-CN"/>
              </w:rPr>
              <w:t xml:space="preserve">输出最大电流（A）</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pageBreakBefore w:val="0"/>
              <w:spacing w:line="360" w:lineRule="auto"/>
              <w:rPr>
                <w:rStyle w:val="966"/>
                <w:rFonts w:hint="eastAsia" w:ascii="宋体" w:hAnsi="宋体" w:eastAsia="宋体" w:cs="宋体"/>
                <w:b w:val="0"/>
                <w:bCs w:val="0"/>
                <w:sz w:val="21"/>
                <w:szCs w:val="21"/>
              </w:rPr>
            </w:pPr>
            <w:r>
              <w:rPr>
                <w:rFonts w:hint="eastAsia" w:ascii="Times New Roman" w:hAnsi="Times New Roman"/>
                <w:szCs w:val="21"/>
                <w:lang w:val="en-US" w:eastAsia="zh-CN"/>
              </w:rPr>
              <w:t xml:space="preserve">≥800</w:t>
            </w:r>
            <w:r/>
          </w:p>
        </w:tc>
      </w:tr>
      <w:tr>
        <w:trPr>
          <w:cantSplit/>
          <w:jc w:val="center"/>
          <w:trHeight w:val="498"/>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keepLines w:val="0"/>
              <w:keepNext w:val="0"/>
              <w:pageBreakBefore w:val="0"/>
              <w:spacing w:line="360" w:lineRule="auto"/>
              <w:rPr>
                <w:rStyle w:val="966"/>
                <w:rFonts w:hint="default" w:ascii="宋体" w:hAnsi="宋体" w:eastAsia="宋体" w:cs="宋体"/>
                <w:b w:val="0"/>
                <w:bCs w:val="0"/>
                <w:sz w:val="21"/>
                <w:szCs w:val="21"/>
                <w:lang w:val="en-US" w:eastAsia="zh-CN"/>
              </w:rPr>
            </w:pPr>
            <w:r>
              <w:rPr>
                <w:rStyle w:val="966"/>
                <w:rFonts w:hint="eastAsia" w:ascii="宋体" w:hAnsi="宋体" w:eastAsia="宋体" w:cs="宋体"/>
                <w:b w:val="0"/>
                <w:bCs w:val="0"/>
                <w:sz w:val="21"/>
                <w:szCs w:val="21"/>
                <w:lang w:val="en-US" w:eastAsia="zh-CN"/>
              </w:rPr>
              <w:t xml:space="preserve">安装及启动</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keepLines w:val="0"/>
              <w:keepNext w:val="0"/>
              <w:pageBreakBefore w:val="0"/>
              <w:spacing w:line="360" w:lineRule="auto"/>
              <w:rPr>
                <w:rStyle w:val="966"/>
                <w:rFonts w:hint="default" w:ascii="宋体" w:hAnsi="宋体" w:eastAsia="宋体" w:cs="宋体"/>
                <w:b w:val="0"/>
                <w:bCs w:val="0"/>
                <w:sz w:val="21"/>
                <w:szCs w:val="21"/>
                <w:lang w:val="en-US" w:eastAsia="zh-CN"/>
              </w:rPr>
            </w:pPr>
            <w:r>
              <w:rPr>
                <w:rStyle w:val="966"/>
                <w:rFonts w:hint="eastAsia" w:ascii="宋体" w:hAnsi="宋体" w:eastAsia="宋体" w:cs="宋体"/>
                <w:b w:val="0"/>
                <w:bCs w:val="0"/>
                <w:sz w:val="21"/>
                <w:szCs w:val="21"/>
                <w:lang w:val="en-US" w:eastAsia="zh-CN"/>
              </w:rPr>
              <w:t xml:space="preserve">安装方式</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pageBreakBefore w:val="0"/>
              <w:spacing w:line="360" w:lineRule="auto"/>
              <w:rPr>
                <w:rStyle w:val="966"/>
                <w:rFonts w:hint="default" w:ascii="宋体" w:hAnsi="宋体" w:eastAsia="宋体" w:cs="宋体"/>
                <w:b w:val="0"/>
                <w:bCs w:val="0"/>
                <w:sz w:val="21"/>
                <w:szCs w:val="21"/>
                <w:lang w:val="en-US" w:eastAsia="zh-CN"/>
              </w:rPr>
            </w:pPr>
            <w:r>
              <w:rPr>
                <w:rStyle w:val="966"/>
                <w:rFonts w:hint="eastAsia" w:ascii="宋体" w:hAnsi="宋体" w:eastAsia="宋体" w:cs="宋体"/>
                <w:b w:val="0"/>
                <w:bCs w:val="0"/>
                <w:sz w:val="21"/>
                <w:szCs w:val="21"/>
                <w:lang w:val="en-US" w:eastAsia="zh-CN"/>
              </w:rPr>
              <w:t xml:space="preserve">落地式，需按照地点要求铺设电缆、布局充电桩，保证上述采购车辆用电</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jc w:val="center"/>
              <w:keepLines w:val="0"/>
              <w:keepNext w:val="0"/>
              <w:pageBreakBefore w:val="0"/>
              <w:spacing w:line="360" w:lineRule="auto"/>
              <w:rPr>
                <w:rStyle w:val="966"/>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keepLines w:val="0"/>
              <w:keepNext w:val="0"/>
              <w:pageBreakBefore w:val="0"/>
              <w:spacing w:line="360" w:lineRule="auto"/>
              <w:rPr>
                <w:rStyle w:val="966"/>
                <w:rFonts w:hint="default" w:ascii="宋体" w:hAnsi="宋体" w:cs="宋体"/>
                <w:b w:val="0"/>
                <w:bCs w:val="0"/>
                <w:sz w:val="21"/>
                <w:szCs w:val="21"/>
                <w:lang w:val="en-US" w:eastAsia="zh-CN"/>
              </w:rPr>
            </w:pPr>
            <w:r>
              <w:rPr>
                <w:rStyle w:val="966"/>
                <w:rFonts w:hint="eastAsia" w:ascii="宋体" w:hAnsi="宋体" w:cs="宋体"/>
                <w:b w:val="0"/>
                <w:bCs w:val="0"/>
                <w:sz w:val="21"/>
                <w:szCs w:val="21"/>
                <w:lang w:val="en-US" w:eastAsia="zh-CN"/>
              </w:rPr>
              <w:t xml:space="preserve">启动方式</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pageBreakBefore w:val="0"/>
              <w:spacing w:line="360" w:lineRule="auto"/>
              <w:rPr>
                <w:rStyle w:val="966"/>
                <w:rFonts w:hint="default" w:ascii="宋体" w:hAnsi="宋体" w:cs="宋体" w:eastAsiaTheme="minorEastAsia"/>
                <w:b w:val="0"/>
                <w:bCs w:val="0"/>
                <w:sz w:val="21"/>
                <w:szCs w:val="21"/>
                <w:lang w:val="en-US" w:eastAsia="zh-CN"/>
              </w:rPr>
            </w:pPr>
            <w:r>
              <w:rPr>
                <w:rStyle w:val="966"/>
                <w:rFonts w:hint="eastAsia" w:ascii="宋体" w:hAnsi="宋体" w:cs="宋体"/>
                <w:b w:val="0"/>
                <w:bCs w:val="0"/>
                <w:sz w:val="21"/>
                <w:szCs w:val="21"/>
                <w:lang w:val="en-US" w:eastAsia="zh-CN"/>
              </w:rPr>
              <w:t xml:space="preserve">密码、扫码</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jc w:val="center"/>
              <w:keepLines w:val="0"/>
              <w:keepNext w:val="0"/>
              <w:pageBreakBefore w:val="0"/>
              <w:spacing w:line="360" w:lineRule="auto"/>
              <w:rPr>
                <w:rStyle w:val="966"/>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keepLines w:val="0"/>
              <w:keepNext w:val="0"/>
              <w:pageBreakBefore w:val="0"/>
              <w:spacing w:line="360" w:lineRule="auto"/>
              <w:rPr>
                <w:rFonts w:hint="default" w:ascii="Times New Roman" w:hAnsi="Times New Roman" w:eastAsiaTheme="minorEastAsia" w:cstheme="minorBidi"/>
                <w:sz w:val="21"/>
                <w:szCs w:val="21"/>
                <w:lang w:val="en-US" w:eastAsia="zh-CN" w:bidi="ar-SA"/>
              </w:rPr>
            </w:pPr>
            <w:r>
              <w:rPr>
                <w:rFonts w:hint="eastAsia" w:ascii="Times New Roman" w:hAnsi="Times New Roman" w:cstheme="minorBidi"/>
                <w:sz w:val="21"/>
                <w:szCs w:val="21"/>
                <w:lang w:val="en-US" w:eastAsia="zh-CN" w:bidi="ar-SA"/>
              </w:rPr>
              <w:t xml:space="preserve">防护等级</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pageBreakBefore w:val="0"/>
              <w:spacing w:line="360" w:lineRule="auto"/>
              <w:rPr>
                <w:rFonts w:hint="default" w:ascii="Times New Roman" w:hAnsi="Times New Roman" w:eastAsiaTheme="minorEastAsia" w:cstheme="minorBidi"/>
                <w:sz w:val="21"/>
                <w:szCs w:val="21"/>
                <w:lang w:val="en-US" w:eastAsia="zh-CN" w:bidi="ar-SA"/>
              </w:rPr>
            </w:pPr>
            <w:r>
              <w:rPr>
                <w:rFonts w:hint="eastAsia" w:ascii="Times New Roman" w:hAnsi="Times New Roman" w:cstheme="minorBidi"/>
                <w:sz w:val="21"/>
                <w:szCs w:val="21"/>
                <w:lang w:val="en-US" w:eastAsia="zh-CN" w:bidi="ar-SA"/>
              </w:rPr>
              <w:t xml:space="preserve">IP54及以上</w:t>
            </w:r>
            <w:r/>
          </w:p>
        </w:tc>
      </w:tr>
    </w:tbl>
    <w:p>
      <w:pPr>
        <w:pStyle w:val="748"/>
        <w:numPr>
          <w:ilvl w:val="0"/>
          <w:numId w:val="0"/>
        </w:numPr>
        <w:ind w:right="6"/>
        <w:rPr>
          <w:rFonts w:hint="eastAsia"/>
          <w:lang w:val="en-US" w:eastAsia="zh-CN"/>
        </w:rPr>
      </w:pPr>
      <w:r>
        <w:rPr>
          <w:rFonts w:hint="eastAsia"/>
          <w:lang w:val="en-US" w:eastAsia="zh-CN"/>
        </w:rPr>
      </w:r>
      <w:r/>
    </w:p>
    <w:p>
      <w:pPr>
        <w:numPr>
          <w:ilvl w:val="0"/>
          <w:numId w:val="0"/>
        </w:num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七</w:t>
      </w:r>
      <w:r>
        <w:rPr>
          <w:rFonts w:hint="eastAsia" w:ascii="仿宋" w:hAnsi="仿宋" w:eastAsia="仿宋" w:cs="仿宋"/>
          <w:b/>
          <w:bCs/>
          <w:sz w:val="28"/>
          <w:szCs w:val="28"/>
          <w:highlight w:val="none"/>
          <w:lang w:val="en-US"/>
        </w:rPr>
        <w:t xml:space="preserve">、项目</w:t>
      </w:r>
      <w:r>
        <w:rPr>
          <w:rFonts w:hint="eastAsia" w:ascii="仿宋" w:hAnsi="仿宋" w:eastAsia="仿宋" w:cs="仿宋"/>
          <w:b/>
          <w:bCs/>
          <w:sz w:val="28"/>
          <w:szCs w:val="28"/>
          <w:highlight w:val="none"/>
        </w:rPr>
        <w:t xml:space="preserve">实施要求</w:t>
      </w:r>
      <w:r/>
    </w:p>
    <w:p>
      <w:pPr>
        <w:numPr>
          <w:ilvl w:val="0"/>
          <w:numId w:val="0"/>
        </w:numPr>
        <w:jc w:val="both"/>
        <w:keepLines w:val="0"/>
        <w:keepNext w:val="0"/>
        <w:pageBreakBefore w:val="0"/>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Fonts w:hint="eastAsia" w:ascii="仿宋" w:hAnsi="仿宋" w:eastAsia="仿宋" w:cs="仿宋"/>
          <w:color w:val="000000"/>
          <w:sz w:val="28"/>
          <w:szCs w:val="28"/>
          <w:highlight w:val="none"/>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、投标人安装调试时采取必要的安全措施，如有意外或事故发生，由中标人（合同卖方）负全部责任。</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八、</w:t>
      </w:r>
      <w:r>
        <w:rPr>
          <w:rFonts w:hint="eastAsia" w:ascii="仿宋" w:hAnsi="仿宋" w:eastAsia="仿宋" w:cs="仿宋"/>
          <w:b/>
          <w:sz w:val="28"/>
          <w:szCs w:val="28"/>
          <w:highlight w:val="none"/>
        </w:rPr>
        <w:t xml:space="preserve">验收标准</w:t>
      </w:r>
      <w:r/>
    </w:p>
    <w:p>
      <w:pPr>
        <w:ind w:right="-1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1、验收依据：相关国家标准、行业标准。</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2、验收的时间、方式、程序要求：见招标文件第五章《拟签订的合同文本》第九条。</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rPr>
        <w:t xml:space="preserve">3</w:t>
      </w:r>
      <w:r>
        <w:rPr>
          <w:rFonts w:hint="eastAsia" w:ascii="宋体" w:hAnsi="宋体" w:eastAsia="宋体" w:cs="宋体"/>
          <w:bCs/>
          <w:color w:val="000000"/>
          <w:sz w:val="24"/>
          <w:szCs w:val="24"/>
          <w:highlight w:val="none"/>
        </w:rPr>
        <w:t xml:space="preserve">、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项目验收标准：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九</w:t>
      </w:r>
      <w:r>
        <w:rPr>
          <w:rFonts w:hint="eastAsia" w:ascii="仿宋" w:hAnsi="仿宋" w:eastAsia="仿宋" w:cs="仿宋"/>
          <w:b/>
          <w:color w:val="000000"/>
          <w:sz w:val="28"/>
          <w:szCs w:val="28"/>
          <w:highlight w:val="none"/>
        </w:rPr>
        <w:t xml:space="preserve">、售后服务要求</w:t>
      </w:r>
      <w:r/>
    </w:p>
    <w:p>
      <w:pPr>
        <w:spacing w:line="560" w:lineRule="exact"/>
        <w:rPr>
          <w:rFonts w:hint="eastAsia" w:ascii="宋体" w:hAnsi="宋体" w:eastAsia="宋体" w:cs="宋体"/>
          <w:b w:val="0"/>
          <w:bCs/>
          <w:color w:val="000000"/>
          <w:sz w:val="24"/>
          <w:szCs w:val="24"/>
          <w:highlight w:val="none"/>
        </w:rPr>
        <w:outlineLvl w:val="0"/>
      </w:pPr>
      <w:r>
        <w:rPr>
          <w:rFonts w:hint="eastAsia" w:ascii="宋体" w:hAnsi="宋体" w:eastAsia="宋体" w:cs="宋体"/>
          <w:b/>
          <w:bCs w:val="0"/>
          <w:color w:val="000000"/>
          <w:sz w:val="24"/>
          <w:szCs w:val="24"/>
          <w:highlight w:val="none"/>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2、在质保期内，对采购人所提出的维修要求做出实质性响应，并提供应急策略；严格按照招标文件要求及时供货，并向采购人提供及时的完善的售前、售中、售后服务。</w:t>
      </w:r>
      <w:r/>
    </w:p>
    <w:p>
      <w:pPr>
        <w:spacing w:line="360" w:lineRule="auto"/>
        <w:rPr>
          <w:rFonts w:hint="eastAsia" w:ascii="Times New Roman" w:hAnsi="Times New Roman" w:eastAsia="仿宋" w:cs="Times New Roman"/>
          <w:sz w:val="28"/>
          <w:szCs w:val="21"/>
          <w:highlight w:val="none"/>
          <w:lang w:val="en-US" w:eastAsia="zh-CN"/>
        </w:rPr>
      </w:pPr>
      <w:r>
        <w:rPr>
          <w:rFonts w:hint="eastAsia" w:ascii="仿宋" w:hAnsi="仿宋" w:eastAsia="仿宋" w:cs="仿宋"/>
          <w:b/>
          <w:sz w:val="28"/>
          <w:szCs w:val="28"/>
          <w:highlight w:val="none"/>
          <w:lang w:val="en-US" w:eastAsia="zh-CN"/>
        </w:rPr>
        <w:t xml:space="preserve">十</w:t>
      </w:r>
      <w:r>
        <w:rPr>
          <w:rFonts w:hint="eastAsia" w:ascii="仿宋" w:hAnsi="仿宋" w:eastAsia="仿宋" w:cs="仿宋"/>
          <w:b/>
          <w:sz w:val="28"/>
          <w:szCs w:val="28"/>
          <w:highlight w:val="none"/>
        </w:rPr>
        <w:t xml:space="preserve">、其他要求：见招标文件第五章《拟签订的合同文本》</w:t>
      </w:r>
      <w:r>
        <w:rPr>
          <w:rFonts w:hint="eastAsia" w:ascii="仿宋" w:hAnsi="仿宋" w:eastAsia="仿宋" w:cs="仿宋"/>
          <w:b/>
          <w:sz w:val="28"/>
          <w:szCs w:val="28"/>
          <w:highlight w:val="none"/>
          <w:lang w:eastAsia="zh-CN"/>
        </w:rPr>
        <w:t xml:space="preserve">。</w:t>
      </w:r>
      <w:r/>
    </w:p>
    <w:p>
      <w:pPr>
        <w:jc w:val="center"/>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br w:type="page" w:clear="all"/>
      </w:r>
      <w:r>
        <w:rPr>
          <w:rFonts w:hint="eastAsia" w:ascii="仿宋" w:hAnsi="仿宋" w:eastAsia="仿宋" w:cs="仿宋"/>
          <w:b/>
          <w:sz w:val="30"/>
          <w:highlight w:val="none"/>
        </w:rPr>
        <w:t xml:space="preserve">第七章 投标文件相关格式</w:t>
      </w:r>
      <w:r/>
    </w:p>
    <w:p>
      <w:pPr>
        <w:ind w:firstLine="640"/>
        <w:jc w:val="center"/>
        <w:spacing w:line="239" w:lineRule="atLeast"/>
        <w:rPr>
          <w:rFonts w:hint="eastAsia" w:ascii="仿宋" w:hAnsi="仿宋" w:eastAsia="仿宋" w:cs="仿宋"/>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highlight w:val="none"/>
        </w:rPr>
      </w:r>
      <w:r/>
    </w:p>
    <w:p>
      <w:pPr>
        <w:ind w:firstLine="640"/>
        <w:jc w:val="center"/>
        <w:spacing w:line="360" w:lineRule="auto"/>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一、投标函格式</w:t>
      </w:r>
      <w:r/>
    </w:p>
    <w:p>
      <w:pPr>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致：</w:t>
      </w:r>
      <w:r>
        <w:rPr>
          <w:rFonts w:hint="eastAsia" w:ascii="仿宋" w:hAnsi="仿宋" w:eastAsia="仿宋" w:cs="仿宋"/>
          <w:sz w:val="30"/>
          <w:highlight w:val="none"/>
          <w:u w:val="single"/>
        </w:rPr>
        <w:t xml:space="preserve"> </w:t>
      </w:r>
      <w:r>
        <w:rPr>
          <w:rFonts w:hint="eastAsia" w:ascii="仿宋" w:hAnsi="仿宋" w:eastAsia="仿宋" w:cs="仿宋"/>
          <w:sz w:val="30"/>
          <w:highlight w:val="none"/>
          <w:u w:val="single"/>
          <w:lang w:eastAsia="zh-CN"/>
        </w:rPr>
        <w:t xml:space="preserve">徐州市云龙区城市管理局</w:t>
      </w:r>
      <w:r>
        <w:rPr>
          <w:rFonts w:hint="eastAsia" w:ascii="仿宋" w:hAnsi="仿宋" w:eastAsia="仿宋" w:cs="仿宋"/>
          <w:sz w:val="30"/>
          <w:highlight w:val="none"/>
          <w:u w:val="single"/>
        </w:rPr>
        <w:t xml:space="preserve">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根据</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项目[项目编号：</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]招标文件，</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(姓名)代表我方</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（投标人的名称）全权处理本次投标的有关事宜。</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据此函，投标人承诺并同意如下：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 投标人唯一投标报价见《开标一览表》。</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 投标人将按招标文件的规定履行合同责任和义务。</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 投标有效期为开标之日后90天。</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 投标人在投标初始有效期内撤回投标，其投标保证金将不退还。</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 投标人同意在授予合同后，按照有关规定支付公证费(如有)。</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 采购人或采购代理机构有权将我单位本项目的《开标一览表》和《分项价格表》予以公示，公示的方式由</w:t>
      </w:r>
      <w:r>
        <w:rPr>
          <w:rFonts w:hint="eastAsia" w:ascii="仿宋" w:hAnsi="仿宋" w:eastAsia="仿宋" w:cs="仿宋"/>
          <w:sz w:val="30"/>
          <w:highlight w:val="none"/>
          <w:lang w:eastAsia="zh-CN"/>
        </w:rPr>
        <w:t xml:space="preserve">徐州维正工程咨询有限公司</w:t>
      </w:r>
      <w:r>
        <w:rPr>
          <w:rFonts w:hint="eastAsia" w:ascii="仿宋" w:hAnsi="仿宋" w:eastAsia="仿宋" w:cs="仿宋"/>
          <w:sz w:val="30"/>
          <w:highlight w:val="none"/>
        </w:rPr>
        <w:t xml:space="preserve">确定。</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 与本投标有关的一切正式往来信函请寄：</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电话：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传真： </w:t>
      </w:r>
      <w:r/>
    </w:p>
    <w:p>
      <w:pPr>
        <w:ind w:firstLine="2700"/>
        <w:spacing w:line="23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27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4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二、开标一览表格式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JSZC-320303-XZWZ-G2026-0001</w:t>
      </w:r>
      <w:r/>
    </w:p>
    <w:p>
      <w:pPr>
        <w:spacing w:line="51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新能源环卫特种作业车辆采购项目-新能源压缩式垃圾车</w:t>
      </w:r>
      <w:r/>
    </w:p>
    <w:p>
      <w:pPr>
        <w:jc w:val="righ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货币单位：人民币元</w:t>
      </w:r>
      <w:r/>
    </w:p>
    <w:tbl>
      <w:tblPr>
        <w:tblStyle w:val="946"/>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2028"/>
        <w:gridCol w:w="2719"/>
      </w:tblGrid>
      <w:tr>
        <w:trPr>
          <w:trHeight w:val="1163"/>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项目名称</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项目内容</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总价（小写）</w:t>
            </w:r>
            <w:r/>
          </w:p>
        </w:tc>
      </w:tr>
      <w:tr>
        <w:trPr>
          <w:trHeight w:val="1226"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新能源环卫特种作业车辆采购项目-新能源压缩式垃圾车</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详见投标文件</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r>
        <w:trPr>
          <w:trHeight w:val="850"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总价（大写）：</w:t>
            </w:r>
            <w:r/>
          </w:p>
        </w:tc>
        <w:tc>
          <w:tcPr>
            <w:gridSpan w:val="2"/>
            <w:tcMar>
              <w:left w:w="108" w:type="dxa"/>
              <w:top w:w="0" w:type="dxa"/>
              <w:right w:w="108" w:type="dxa"/>
              <w:bottom w:w="0" w:type="dxa"/>
            </w:tcMar>
            <w:tcW w:w="474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76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三、分项价格表格式</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JSZC-320303-XZWZ-G2026-0001</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新能源环卫特种作业车辆采购项目-新能源压缩式垃圾车</w:t>
      </w:r>
      <w: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货币单位：人民币元</w:t>
      </w:r>
      <w:r/>
    </w:p>
    <w:p>
      <w:pPr>
        <w:ind w:firstLine="3120"/>
        <w:rPr>
          <w:rFonts w:hint="eastAsia" w:ascii="宋体" w:hAnsi="宋体" w:cs="宋体"/>
          <w:sz w:val="24"/>
          <w:highlight w:val="none"/>
        </w:rPr>
      </w:pPr>
      <w:r>
        <w:rPr>
          <w:rFonts w:hint="eastAsia" w:ascii="宋体" w:hAnsi="宋体" w:cs="宋体"/>
          <w:sz w:val="24"/>
          <w:highlight w:val="none"/>
        </w:rPr>
      </w:r>
      <w:r/>
    </w:p>
    <w:tbl>
      <w:tblPr>
        <w:tblStyle w:val="74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产品制造企业的划分（大型、中型、小型、微型、监狱企业、</w:t>
            </w:r>
            <w:r>
              <w:rPr>
                <w:rFonts w:hint="eastAsia" w:ascii="仿宋" w:hAnsi="仿宋" w:eastAsia="仿宋" w:cs="宋体"/>
                <w:sz w:val="24"/>
                <w:highlight w:val="none"/>
              </w:rPr>
              <w:t xml:space="preserve">享受政府采购支持政策的残疾人福利性单位</w:t>
            </w:r>
            <w:r>
              <w:rPr>
                <w:rFonts w:hint="eastAsia" w:ascii="仿宋" w:hAnsi="仿宋" w:eastAsia="仿宋"/>
                <w:sz w:val="24"/>
                <w:highlight w:val="none"/>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单价</w:t>
            </w:r>
            <w:r/>
          </w:p>
        </w:tc>
        <w:tc>
          <w:tcPr>
            <w:shd w:val="clear" w:color="auto" w:fill="c0c0c0"/>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b/>
                <w:bCs/>
                <w:sz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bl>
    <w:p>
      <w:pPr>
        <w:rPr>
          <w:rFonts w:hint="eastAsia" w:ascii="仿宋" w:hAnsi="仿宋" w:eastAsia="仿宋"/>
          <w:sz w:val="28"/>
          <w:szCs w:val="28"/>
          <w:highlight w:val="none"/>
        </w:rPr>
      </w:pPr>
      <w:r>
        <w:rPr>
          <w:rFonts w:hint="eastAsia" w:ascii="仿宋" w:hAnsi="仿宋" w:eastAsia="仿宋"/>
          <w:sz w:val="28"/>
          <w:szCs w:val="28"/>
          <w:highlight w:val="none"/>
        </w:rPr>
      </w:r>
      <w:r/>
    </w:p>
    <w:p>
      <w:pPr>
        <w:ind w:firstLine="3640"/>
        <w:spacing w:line="30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投标人：（电子签章）</w:t>
      </w:r>
      <w:r/>
    </w:p>
    <w:p>
      <w:pPr>
        <w:ind w:firstLine="3640"/>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日期：   年  月  日</w:t>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t xml:space="preserve">说明：</w:t>
      </w:r>
      <w:r/>
    </w:p>
    <w:p>
      <w:pPr>
        <w:ind w:firstLine="420"/>
        <w:widowControl/>
        <w:rPr>
          <w:rFonts w:hint="eastAsia" w:ascii="仿宋" w:hAnsi="仿宋" w:eastAsia="仿宋"/>
          <w:sz w:val="28"/>
          <w:szCs w:val="28"/>
          <w:highlight w:val="none"/>
        </w:rPr>
      </w:pPr>
      <w:r>
        <w:rPr>
          <w:rFonts w:hint="eastAsia" w:ascii="仿宋" w:hAnsi="仿宋" w:eastAsia="仿宋"/>
          <w:b/>
          <w:bCs/>
          <w:sz w:val="28"/>
          <w:szCs w:val="28"/>
          <w:highlight w:val="none"/>
        </w:rPr>
        <w:t xml:space="preserve">1、本表中“产品制造企业的划分”以《政府采购促进中小企业发展管理办法》（财库[2020]046号）</w:t>
      </w:r>
      <w:r>
        <w:rPr>
          <w:rFonts w:hint="eastAsia" w:ascii="仿宋" w:hAnsi="仿宋" w:eastAsia="仿宋"/>
          <w:sz w:val="28"/>
          <w:szCs w:val="28"/>
          <w:highlight w:val="none"/>
        </w:rPr>
        <w:t xml:space="preserve">和《工业和信息化部、国家统计局、国家发展和改革委员会、财政部关于印发中小企业划型标准规定的通知》（工信部联企业[2011]300号）的规定为准。</w:t>
      </w:r>
      <w:r/>
    </w:p>
    <w:p>
      <w:pPr>
        <w:ind w:firstLine="42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hint="eastAsia" w:ascii="仿宋" w:hAnsi="仿宋" w:eastAsia="仿宋" w:cs="宋体"/>
          <w:sz w:val="28"/>
          <w:szCs w:val="28"/>
          <w:highlight w:val="none"/>
        </w:rPr>
      </w:pPr>
      <w:r>
        <w:rPr>
          <w:rFonts w:hint="eastAsia" w:ascii="仿宋" w:hAnsi="仿宋" w:eastAsia="仿宋"/>
          <w:sz w:val="28"/>
          <w:szCs w:val="28"/>
          <w:highlight w:val="none"/>
        </w:rPr>
        <w:tab/>
      </w:r>
      <w:r>
        <w:rPr>
          <w:rFonts w:hint="eastAsia" w:ascii="仿宋" w:hAnsi="仿宋" w:eastAsia="仿宋"/>
          <w:sz w:val="28"/>
          <w:szCs w:val="28"/>
          <w:highlight w:val="none"/>
        </w:rPr>
        <w:t xml:space="preserve">3、享受政府采购支持政策的残疾人福利性单位的条件以《三部门联合发布关于促进残疾人就业政府采购政策的通知》（财库〔2017〕141号）规定为准。</w:t>
      </w:r>
      <w:r/>
    </w:p>
    <w:p>
      <w:pPr>
        <w:ind w:firstLine="560"/>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widowControl/>
        <w:rPr>
          <w:rFonts w:hint="eastAsia" w:ascii="仿宋" w:hAnsi="仿宋" w:eastAsia="仿宋"/>
          <w:sz w:val="28"/>
          <w:szCs w:val="28"/>
          <w:highlight w:val="none"/>
        </w:rPr>
      </w:pPr>
      <w:r>
        <w:rPr>
          <w:rFonts w:hint="eastAsia" w:ascii="仿宋" w:hAnsi="仿宋" w:eastAsia="仿宋" w:cs="宋体"/>
          <w:sz w:val="28"/>
          <w:szCs w:val="28"/>
          <w:highlight w:val="none"/>
        </w:rPr>
        <w:t xml:space="preserve">注：</w:t>
      </w:r>
      <w:r>
        <w:rPr>
          <w:rFonts w:hint="eastAsia" w:ascii="仿宋" w:hAnsi="仿宋" w:eastAsia="仿宋"/>
          <w:sz w:val="28"/>
          <w:szCs w:val="28"/>
          <w:highlight w:val="none"/>
        </w:rPr>
        <w:t xml:space="preserve">1、如果不提供详细分项报价将视为没有实质性响应招标文件。</w:t>
      </w:r>
      <w:r/>
    </w:p>
    <w:p>
      <w:pPr>
        <w:ind w:firstLine="56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2、投标人对以上数据的真实性负责。</w:t>
      </w:r>
      <w:r/>
    </w:p>
    <w:p>
      <w:pPr>
        <w:ind w:firstLine="562"/>
        <w:widowControl/>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采购人或采购代理机构有权将以上内容进行公示。</w:t>
      </w:r>
      <w:r/>
    </w:p>
    <w:p>
      <w:pPr>
        <w:ind w:firstLine="560"/>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br w:type="page" w:clear="all"/>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四、偏离表格式</w:t>
      </w:r>
      <w:r/>
    </w:p>
    <w:p>
      <w:pPr>
        <w:ind w:firstLine="600"/>
        <w:spacing w:line="479" w:lineRule="atLeast"/>
        <w:rPr>
          <w:rFonts w:hint="eastAsia" w:ascii="仿宋" w:hAnsi="仿宋" w:eastAsia="仿宋" w:cs="仿宋"/>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JSZC-320303-XZWZ-G2026-0001</w:t>
      </w:r>
      <w:r/>
    </w:p>
    <w:p>
      <w:pPr>
        <w:spacing w:line="47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新能源环卫特种作业车辆采购项目-新能源压缩式垃圾车</w:t>
      </w:r>
      <w:r/>
    </w:p>
    <w:tbl>
      <w:tblPr>
        <w:tblStyle w:val="950"/>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注</w:t>
      </w:r>
      <w:r>
        <w:rPr>
          <w:rFonts w:hint="eastAsia" w:ascii="仿宋" w:hAnsi="仿宋" w:eastAsia="仿宋" w:cs="仿宋"/>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71"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五、授权委托书格式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               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统一社会信用代码：</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受托人：        性别：男（女）</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年龄：  岁      民族：  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身份证号：</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兹委托（  ）全权代表我企业（公司）参与（</w:t>
      </w:r>
      <w:r>
        <w:rPr>
          <w:rFonts w:hint="eastAsia" w:ascii="仿宋" w:hAnsi="仿宋" w:eastAsia="仿宋" w:cs="仿宋"/>
          <w:sz w:val="30"/>
          <w:highlight w:val="none"/>
          <w:u w:val="single"/>
          <w:lang w:eastAsia="zh-CN"/>
        </w:rPr>
        <w:t xml:space="preserve">新能源环卫特种作业车辆采购项目-新能源压缩式垃圾车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JSZC-320303-XZWZ-G2026-0001</w:t>
      </w:r>
      <w:r>
        <w:rPr>
          <w:rFonts w:hint="eastAsia" w:ascii="仿宋" w:hAnsi="仿宋" w:eastAsia="仿宋" w:cs="仿宋"/>
          <w:sz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特此授权委托。</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委托人（电子签章）：</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b w:val="0"/>
          <w:bCs w:val="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t xml:space="preserve">受托人（签字或盖章）：</w:t>
      </w:r>
      <w:r/>
    </w:p>
    <w:p>
      <w:pPr>
        <w:ind w:firstLine="600"/>
        <w:spacing w:line="479" w:lineRule="atLeast"/>
        <w:rPr>
          <w:rFonts w:hint="eastAsia" w:ascii="仿宋" w:hAnsi="仿宋" w:eastAsia="仿宋" w:cs="仿宋"/>
          <w:b w:val="0"/>
          <w:bCs w:val="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r>
      <w:r/>
    </w:p>
    <w:p>
      <w:pPr>
        <w:pStyle w:val="784"/>
        <w:ind w:left="0" w:firstLine="602"/>
        <w:rPr>
          <w:rFonts w:eastAsia="仿宋"/>
          <w:b w:val="0"/>
          <w:bCs w:val="0"/>
          <w:highlight w:val="none"/>
        </w:rPr>
      </w:pPr>
      <w:r>
        <w:rPr>
          <w:rFonts w:hint="eastAsia" w:ascii="仿宋" w:hAnsi="仿宋" w:eastAsia="仿宋" w:cs="仿宋"/>
          <w:b w:val="0"/>
          <w:bCs w:val="0"/>
          <w:sz w:val="30"/>
          <w:highlight w:val="none"/>
        </w:rPr>
        <w:t xml:space="preserve">受托人联系方式：</w:t>
      </w:r>
      <w:r>
        <w:rPr>
          <w:rFonts w:hint="eastAsia" w:ascii="仿宋" w:hAnsi="仿宋" w:eastAsia="仿宋" w:cs="仿宋"/>
          <w:b w:val="0"/>
          <w:bCs w:val="0"/>
          <w:sz w:val="30"/>
          <w:highlight w:val="none"/>
          <w:lang w:val="en-US" w:eastAsia="zh-CN"/>
        </w:rPr>
        <w:t xml:space="preserve">             </w:t>
      </w:r>
      <w:r>
        <w:rPr>
          <w:rFonts w:hint="eastAsia" w:ascii="仿宋" w:hAnsi="仿宋" w:eastAsia="仿宋" w:cs="仿宋"/>
          <w:b w:val="0"/>
          <w:bCs w:val="0"/>
          <w:sz w:val="30"/>
          <w:highlight w:val="none"/>
        </w:rPr>
        <w:t xml:space="preserve">邮箱：</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法定代表人（负责人）（签字或盖章）： </w:t>
      </w:r>
      <w:r/>
    </w:p>
    <w:p>
      <w:pPr>
        <w:ind w:right="600" w:firstLine="6150"/>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  月</w:t>
      </w:r>
      <w:r>
        <w:rPr>
          <w:rFonts w:hint="eastAsia" w:ascii="仿宋" w:hAnsi="仿宋" w:eastAsia="仿宋" w:cs="仿宋"/>
          <w:sz w:val="30"/>
          <w:highlight w:val="none"/>
          <w:lang w:val="en-US" w:eastAsia="zh-CN"/>
        </w:rPr>
        <w:t xml:space="preserve"> </w:t>
      </w:r>
      <w:r>
        <w:rPr>
          <w:rFonts w:hint="eastAsia" w:ascii="仿宋" w:hAnsi="仿宋" w:eastAsia="仿宋" w:cs="仿宋"/>
          <w:sz w:val="30"/>
          <w:highlight w:val="none"/>
        </w:rPr>
        <w:t xml:space="preserve"> 日</w:t>
      </w:r>
      <w:r>
        <w:rPr>
          <w:rFonts w:hint="eastAsia" w:ascii="仿宋" w:hAnsi="仿宋" w:eastAsia="仿宋" w:cs="仿宋"/>
          <w:b/>
          <w:bCs/>
          <w:sz w:val="30"/>
          <w:highlight w:val="none"/>
        </w:rPr>
        <w:t xml:space="preserve">(受托人身份证扫描件附后)</w:t>
      </w:r>
      <w:r/>
    </w:p>
    <w:p>
      <w:pPr>
        <w:ind w:left="880"/>
        <w:spacing w:line="480" w:lineRule="exact"/>
        <w:rPr>
          <w:rFonts w:hint="eastAsia" w:ascii="宋体" w:hAnsi="宋体" w:cs="宋体"/>
          <w:b/>
          <w:bCs/>
          <w:sz w:val="36"/>
          <w:szCs w:val="36"/>
          <w:highlight w:val="none"/>
          <w:lang w:bidi="zh-CN"/>
        </w:rPr>
      </w:pPr>
      <w:r>
        <w:rPr>
          <w:rFonts w:hint="eastAsia" w:ascii="宋体" w:hAnsi="宋体" w:cs="宋体"/>
          <w:b/>
          <w:bCs/>
          <w:sz w:val="36"/>
          <w:szCs w:val="36"/>
          <w:highlight w:val="none"/>
          <w:lang w:bidi="zh-CN"/>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六、具备履行合同所必需的设备和专业技术能力的</w:t>
      </w:r>
      <w:r/>
    </w:p>
    <w:p>
      <w:pPr>
        <w:jc w:val="center"/>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书面声明</w:t>
      </w:r>
      <w:r/>
    </w:p>
    <w:p>
      <w:pPr>
        <w:ind w:firstLine="600"/>
        <w:spacing w:line="47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新能源环卫特种作业车辆采购项目-新能源压缩式垃圾车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JSZC-320303-XZWZ-G2026-0001</w:t>
      </w:r>
      <w:r>
        <w:rPr>
          <w:rFonts w:hint="eastAsia" w:ascii="仿宋" w:hAnsi="仿宋" w:eastAsia="仿宋" w:cs="仿宋"/>
          <w:sz w:val="30"/>
          <w:highlight w:val="none"/>
        </w:rPr>
        <w:t xml:space="preserve"> </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投标人郑重声明：投标人具备履行合同（项目名称：</w:t>
      </w:r>
      <w:r>
        <w:rPr>
          <w:rFonts w:hint="eastAsia" w:ascii="仿宋" w:hAnsi="仿宋" w:eastAsia="仿宋" w:cs="仿宋"/>
          <w:sz w:val="30"/>
          <w:highlight w:val="none"/>
          <w:lang w:eastAsia="zh-CN"/>
        </w:rPr>
        <w:t xml:space="preserve">新能源环卫特种作业车辆采购项目-新能源压缩式垃圾车</w:t>
      </w:r>
      <w:r>
        <w:rPr>
          <w:rFonts w:hint="eastAsia" w:ascii="仿宋" w:hAnsi="仿宋" w:eastAsia="仿宋"/>
          <w:sz w:val="30"/>
          <w:szCs w:val="30"/>
        </w:rPr>
        <w:t xml:space="preserve">，项目编号：</w:t>
      </w:r>
      <w:r>
        <w:rPr>
          <w:rFonts w:hint="eastAsia" w:ascii="仿宋" w:hAnsi="仿宋" w:eastAsia="仿宋" w:cs="仿宋"/>
          <w:sz w:val="30"/>
          <w:highlight w:val="none"/>
          <w:lang w:eastAsia="zh-CN"/>
        </w:rPr>
        <w:t xml:space="preserve">JSZC-320303-XZWZ-G2026-0001</w:t>
      </w:r>
      <w:r>
        <w:rPr>
          <w:rFonts w:hint="eastAsia" w:ascii="仿宋" w:hAnsi="仿宋" w:eastAsia="仿宋"/>
          <w:sz w:val="30"/>
          <w:szCs w:val="30"/>
        </w:rPr>
        <w:t xml:space="preserve">）所必需的设备和专业技术能力，具体为：</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设备：</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专业技术能力：</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jc w:val="right"/>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p>
    <w:p>
      <w:pPr>
        <w:ind w:firstLine="2700"/>
        <w:spacing w:line="480" w:lineRule="exact"/>
        <w:rPr>
          <w:rFonts w:ascii="仿宋" w:hAnsi="仿宋" w:eastAsia="仿宋"/>
          <w:sz w:val="28"/>
          <w:szCs w:val="28"/>
        </w:rPr>
      </w:pPr>
      <w:r>
        <w:rPr>
          <w:rFonts w:hint="eastAsia" w:ascii="仿宋" w:hAnsi="仿宋" w:eastAsia="仿宋"/>
          <w:sz w:val="30"/>
          <w:szCs w:val="30"/>
        </w:rPr>
        <w:t xml:space="preserve">日期：   年  月  日</w:t>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七、投标人相关承诺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新能源环卫特种作业车辆采购项目-新能源压缩式垃圾车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JSZC-320303-XZWZ-G2026-0001</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我单位对上述承诺负责，并依法承担相应责任。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pStyle w:val="788"/>
        <w:rPr>
          <w:sz w:val="24"/>
          <w:highlight w:val="none"/>
        </w:rPr>
      </w:pPr>
      <w:r>
        <w:rPr>
          <w:sz w:val="24"/>
          <w:highlight w:val="none"/>
        </w:rPr>
      </w:r>
      <w:r/>
    </w:p>
    <w:p>
      <w:pPr>
        <w:pStyle w:val="788"/>
        <w:rPr>
          <w:sz w:val="24"/>
          <w:highlight w:val="none"/>
        </w:rPr>
      </w:pPr>
      <w:r>
        <w:rPr>
          <w:sz w:val="24"/>
          <w:highlight w:val="none"/>
        </w:rPr>
      </w:r>
      <w:r/>
    </w:p>
    <w:p>
      <w:pPr>
        <w:pStyle w:val="788"/>
        <w:rPr>
          <w:sz w:val="24"/>
          <w:highlight w:val="none"/>
        </w:rPr>
      </w:pPr>
      <w:r>
        <w:rPr>
          <w:sz w:val="24"/>
          <w:highlight w:val="none"/>
        </w:rPr>
      </w:r>
      <w:r/>
    </w:p>
    <w:p>
      <w:pPr>
        <w:pStyle w:val="788"/>
        <w:rPr>
          <w:sz w:val="24"/>
          <w:highlight w:val="none"/>
        </w:rPr>
      </w:pPr>
      <w:r>
        <w:rPr>
          <w:sz w:val="24"/>
          <w:highlight w:val="none"/>
        </w:rPr>
      </w:r>
      <w:r/>
    </w:p>
    <w:p>
      <w:pPr>
        <w:pStyle w:val="788"/>
        <w:rPr>
          <w:sz w:val="24"/>
          <w:highlight w:val="none"/>
        </w:rPr>
      </w:pPr>
      <w:r>
        <w:rPr>
          <w:sz w:val="24"/>
          <w:highlight w:val="none"/>
        </w:rPr>
      </w:r>
      <w:r/>
    </w:p>
    <w:p>
      <w:pPr>
        <w:pStyle w:val="788"/>
        <w:rPr>
          <w:sz w:val="24"/>
          <w:highlight w:val="none"/>
        </w:rPr>
      </w:pPr>
      <w:r>
        <w:rPr>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rPr>
          <w:rFonts w:hint="eastAsia" w:ascii="仿宋" w:hAnsi="仿宋" w:eastAsia="仿宋" w:cs="仿宋"/>
          <w:sz w:val="30"/>
          <w:highlight w:val="none"/>
        </w:rPr>
      </w:pPr>
      <w:r>
        <w:rPr>
          <w:rFonts w:hint="eastAsia" w:ascii="仿宋" w:hAnsi="仿宋" w:eastAsia="仿宋" w:cs="仿宋"/>
          <w:sz w:val="30"/>
          <w:highlight w:val="none"/>
        </w:rPr>
      </w:r>
      <w:r/>
    </w:p>
    <w:p>
      <w:pPr>
        <w:ind w:firstLine="600"/>
        <w:rPr>
          <w:rFonts w:hint="eastAsia" w:ascii="仿宋" w:hAnsi="仿宋" w:eastAsia="仿宋" w:cs="仿宋"/>
          <w:sz w:val="30"/>
          <w:highlight w:val="none"/>
        </w:rPr>
      </w:pPr>
      <w:r>
        <w:rPr>
          <w:rFonts w:hint="eastAsia" w:ascii="仿宋" w:hAnsi="仿宋" w:eastAsia="仿宋" w:cs="仿宋"/>
          <w:sz w:val="30"/>
          <w:highlight w:val="none"/>
        </w:rPr>
        <w:t xml:space="preserve">日期：   年  月  日</w:t>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八、投标人书面声明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新能源环卫特种作业车辆采购项目-新能源压缩式垃圾车</w:t>
      </w:r>
      <w:r>
        <w:rPr>
          <w:rFonts w:hint="eastAsia" w:ascii="仿宋" w:hAnsi="仿宋" w:eastAsia="仿宋" w:cs="仿宋"/>
          <w:sz w:val="30"/>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JSZC-320303-XZWZ-G2026-0001</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我单位不是为本采购项目提供整体设计、规范编制或者项目管理、监理、检测等服务的供应商。</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562"/>
        <w:jc w:val="center"/>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before="100" w:after="100"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、中小企业声明函格式</w:t>
      </w:r>
      <w:r/>
    </w:p>
    <w:p>
      <w:pPr>
        <w:ind w:firstLine="560"/>
        <w:spacing w:before="100" w:after="100" w:line="45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JSZC-320303-XZWZ-G2026-0001</w:t>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新能源环卫特种作业车辆采购项目-新能源压缩式垃圾车</w:t>
      </w:r>
      <w:r/>
    </w:p>
    <w:p>
      <w:pPr>
        <w:ind w:firstLine="482"/>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本公司郑重声明，根据《政府采购促进中小企业发展管理办法》（财库[2020]46号）的规定，本公司参加（</w:t>
      </w:r>
      <w:r>
        <w:rPr>
          <w:rFonts w:hint="eastAsia" w:ascii="仿宋" w:hAnsi="仿宋" w:eastAsia="仿宋" w:cs="宋体"/>
          <w:sz w:val="28"/>
          <w:szCs w:val="28"/>
          <w:highlight w:val="none"/>
          <w:u w:val="single"/>
          <w:lang w:eastAsia="zh-CN"/>
        </w:rPr>
        <w:t xml:space="preserve">徐州市云龙区城市管理局</w:t>
      </w:r>
      <w:r>
        <w:rPr>
          <w:rFonts w:hint="eastAsia" w:ascii="仿宋" w:hAnsi="仿宋" w:eastAsia="仿宋" w:cs="宋体"/>
          <w:sz w:val="28"/>
          <w:szCs w:val="28"/>
          <w:highlight w:val="none"/>
        </w:rPr>
        <w:t xml:space="preserve">）的（</w:t>
      </w:r>
      <w:r>
        <w:rPr>
          <w:rFonts w:hint="eastAsia" w:ascii="仿宋" w:hAnsi="仿宋" w:eastAsia="仿宋" w:cs="宋体"/>
          <w:sz w:val="28"/>
          <w:szCs w:val="28"/>
          <w:highlight w:val="none"/>
          <w:u w:val="single"/>
          <w:lang w:eastAsia="zh-CN"/>
        </w:rPr>
        <w:t xml:space="preserve">新能源环卫特种作业车辆采购项目-新能源压缩式垃圾车</w:t>
      </w:r>
      <w:r>
        <w:rPr>
          <w:rFonts w:hint="eastAsia" w:ascii="仿宋" w:hAnsi="仿宋" w:eastAsia="仿宋" w:cs="宋体"/>
          <w:sz w:val="28"/>
          <w:szCs w:val="28"/>
          <w:highlight w:val="none"/>
        </w:rPr>
        <w:t xml:space="preserve">）采购活动，提供的货物全部由符合政策要求的中小企业制造。相关企业的具体情况如下：</w:t>
      </w:r>
      <w:r/>
    </w:p>
    <w:p>
      <w:pPr>
        <w:pStyle w:val="95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 标的名称 ），属于（</w:t>
      </w:r>
      <w:r>
        <w:rPr>
          <w:rFonts w:hint="eastAsia" w:ascii="仿宋" w:hAnsi="仿宋" w:eastAsia="仿宋" w:cs="宋体"/>
          <w:sz w:val="28"/>
          <w:szCs w:val="28"/>
          <w:highlight w:val="none"/>
          <w:u w:val="none"/>
          <w:lang w:val="en-US" w:eastAsia="zh-CN"/>
        </w:rPr>
        <w:t xml:space="preserve">工业</w:t>
      </w:r>
      <w:r>
        <w:rPr>
          <w:rFonts w:hint="eastAsia" w:ascii="仿宋" w:hAnsi="仿宋" w:eastAsia="仿宋" w:cs="宋体"/>
          <w:sz w:val="28"/>
          <w:szCs w:val="28"/>
          <w:highlight w:val="none"/>
        </w:rPr>
        <w:t xml:space="preserve">）行业；制造商为（    ）（企业名称），从业人员（   ）人，营业收入为（万元），资产总额为（万元），属于（中型企业、小型企业、微型企业，</w:t>
      </w:r>
      <w:r>
        <w:rPr>
          <w:rFonts w:hint="eastAsia" w:ascii="仿宋" w:hAnsi="仿宋" w:eastAsia="仿宋" w:cs="宋体"/>
          <w:color w:val="ff0000"/>
          <w:sz w:val="28"/>
          <w:szCs w:val="28"/>
          <w:highlight w:val="none"/>
        </w:rPr>
        <w:t xml:space="preserve">请勾选！</w:t>
      </w:r>
      <w:r>
        <w:rPr>
          <w:rFonts w:hint="eastAsia" w:ascii="仿宋" w:hAnsi="仿宋" w:eastAsia="仿宋" w:cs="宋体"/>
          <w:sz w:val="28"/>
          <w:szCs w:val="28"/>
          <w:highlight w:val="none"/>
        </w:rPr>
        <w:t xml:space="preserve">）；</w:t>
      </w:r>
      <w:r/>
    </w:p>
    <w:p>
      <w:pPr>
        <w:pStyle w:val="95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w:t>
      </w:r>
      <w:r/>
    </w:p>
    <w:p>
      <w:pPr>
        <w:pStyle w:val="95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以上企业，不属于大企业的分支机构，不存在控股股东为大企业的情形，也不存在与大企业的负责人为同一人的情形。</w:t>
      </w:r>
      <w:r/>
    </w:p>
    <w:p>
      <w:pPr>
        <w:ind w:firstLine="420"/>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本企业对上述声明内容的真实性负责。如有虚假，将依法承担相应责任。</w:t>
      </w:r>
      <w:r/>
    </w:p>
    <w:p>
      <w:pPr>
        <w:pStyle w:val="956"/>
        <w:ind w:left="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 （电子签章）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pStyle w:val="956"/>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56"/>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5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5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5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3、中标、成交供应商为小型、微型企业的，采购人或者其委托的采购代理机构有权随中标、成交结果同时公告其《中小企业声明函》，接受社会监督。</w:t>
      </w:r>
      <w:r/>
    </w:p>
    <w:p>
      <w:pPr>
        <w:pStyle w:val="95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5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5、供应商提供的《中小企业声明函》与事实不符的，依照《政府采购法》第七十七条第一款的规定追究法律责任。</w:t>
      </w:r>
      <w:r/>
    </w:p>
    <w:p>
      <w:pPr>
        <w:pStyle w:val="956"/>
        <w:ind w:left="0"/>
        <w:spacing w:after="0"/>
        <w:rPr>
          <w:rFonts w:hint="eastAsia" w:ascii="仿宋" w:hAnsi="仿宋" w:eastAsia="仿宋" w:cs="仿宋"/>
          <w:b/>
          <w:bCs/>
          <w:sz w:val="28"/>
          <w:szCs w:val="28"/>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“中小企业声明函”查询渠道用微信搜索“中小企业规模类型自测小程序”。</w:t>
      </w:r>
      <w:r/>
    </w:p>
    <w:p>
      <w:pPr>
        <w:jc w:val="lef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259965" cy="465391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9pt;height:366.4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十、残疾人福利性单位声明函格式</w:t>
      </w:r>
      <w:r/>
    </w:p>
    <w:p>
      <w:pPr>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（如投标人不属于残疾人福利性单位不需要提供此声明函）</w:t>
      </w:r>
      <w:r/>
    </w:p>
    <w:p>
      <w:pPr>
        <w:ind w:firstLine="624"/>
        <w:spacing w:line="479" w:lineRule="atLeast"/>
        <w:rPr>
          <w:rFonts w:hint="eastAsia" w:ascii="仿宋" w:hAnsi="仿宋" w:eastAsia="仿宋" w:cs="仿宋"/>
          <w:spacing w:val="6"/>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r>
      <w:r/>
    </w:p>
    <w:p>
      <w:pPr>
        <w:spacing w:line="360" w:lineRule="auto"/>
        <w:rPr>
          <w:rFonts w:hint="eastAsia" w:ascii="仿宋" w:hAnsi="仿宋" w:eastAsia="仿宋" w:cs="仿宋"/>
          <w:spacing w:val="6"/>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项目编号：</w:t>
      </w:r>
      <w:r>
        <w:rPr>
          <w:rFonts w:hint="eastAsia" w:ascii="仿宋" w:hAnsi="仿宋" w:eastAsia="仿宋" w:cs="仿宋"/>
          <w:spacing w:val="6"/>
          <w:sz w:val="30"/>
          <w:highlight w:val="none"/>
          <w:lang w:eastAsia="zh-CN"/>
        </w:rPr>
        <w:t xml:space="preserve">JSZC-320303-XZWZ-G2026-0001</w:t>
      </w:r>
      <w:r/>
    </w:p>
    <w:p>
      <w:pPr>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项目名称：</w:t>
      </w:r>
      <w:r>
        <w:rPr>
          <w:rFonts w:hint="eastAsia" w:ascii="仿宋" w:hAnsi="仿宋" w:eastAsia="仿宋" w:cs="仿宋"/>
          <w:spacing w:val="6"/>
          <w:sz w:val="30"/>
          <w:highlight w:val="none"/>
          <w:lang w:eastAsia="zh-CN"/>
        </w:rPr>
        <w:t xml:space="preserve">新能源环卫特种作业车辆采购项目-新能源压缩式垃圾车</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sz w:val="30"/>
          <w:highlight w:val="none"/>
        </w:rPr>
        <w:t xml:space="preserve">〔2017〕 141</w:t>
      </w:r>
      <w:r>
        <w:rPr>
          <w:rFonts w:hint="eastAsia" w:ascii="仿宋" w:hAnsi="仿宋" w:eastAsia="仿宋" w:cs="仿宋"/>
          <w:spacing w:val="6"/>
          <w:sz w:val="30"/>
          <w:highlight w:val="none"/>
        </w:rPr>
        <w:t xml:space="preserve">号）的规定，本单位为符合条件的残疾人福利性单位，且本单位参加</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单位的</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本单位对上述声明的真实性负责。如有虚假，将依法承担相应责任。</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25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4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45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pStyle w:val="737"/>
        <w:rPr>
          <w:rFonts w:hint="eastAsia" w:ascii="仿宋" w:hAnsi="仿宋" w:eastAsia="仿宋" w:cs="仿宋"/>
          <w:sz w:val="30"/>
          <w:highlight w:val="none"/>
        </w:rPr>
      </w:pPr>
      <w:r>
        <w:rPr>
          <w:rFonts w:hint="eastAsia" w:ascii="仿宋" w:hAnsi="仿宋" w:eastAsia="仿宋" w:cs="仿宋"/>
          <w:sz w:val="30"/>
          <w:highlight w:val="none"/>
        </w:rPr>
      </w:r>
      <w:r/>
    </w:p>
    <w:p>
      <w:pPr>
        <w:pStyle w:val="748"/>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sz w:val="30"/>
          <w:highlight w:val="none"/>
        </w:rPr>
      </w:pPr>
      <w:r>
        <w:rPr>
          <w:rFonts w:hint="eastAsia" w:ascii="仿宋" w:hAnsi="仿宋" w:eastAsia="仿宋" w:cs="仿宋"/>
          <w:sz w:val="30"/>
          <w:highlight w:val="none"/>
        </w:rPr>
      </w:r>
      <w:r/>
    </w:p>
    <w:p>
      <w:pPr>
        <w:jc w:val="center"/>
        <w:spacing w:line="360" w:lineRule="auto"/>
        <w:rPr>
          <w:rFonts w:hint="eastAsia" w:ascii="仿宋" w:hAnsi="仿宋" w:eastAsia="仿宋" w:cs="仿宋"/>
          <w:sz w:val="30"/>
          <w:highlight w:val="none"/>
          <w:lang w:val="en-US" w:eastAsia="zh-CN"/>
        </w:rPr>
        <w:outlineLvl w:val="1"/>
      </w:pPr>
      <w:r>
        <w:rPr>
          <w:rFonts w:hint="eastAsia" w:ascii="仿宋" w:hAnsi="仿宋" w:eastAsia="仿宋" w:cs="仿宋"/>
          <w:sz w:val="30"/>
          <w:highlight w:val="none"/>
          <w:lang w:val="en-US" w:eastAsia="zh-CN"/>
        </w:rPr>
      </w:r>
      <w:r/>
    </w:p>
    <w:p>
      <w:pPr>
        <w:jc w:val="center"/>
        <w:spacing w:line="360" w:lineRule="auto"/>
        <w:rPr>
          <w:rFonts w:hint="eastAsia" w:ascii="宋体" w:hAnsi="宋体" w:eastAsia="宋体" w:cs="宋体"/>
          <w:b/>
          <w:bCs/>
          <w:color w:val="000000"/>
          <w:sz w:val="28"/>
          <w:szCs w:val="28"/>
          <w:highlight w:val="none"/>
        </w:rPr>
        <w:outlineLvl w:val="1"/>
      </w:pPr>
      <w:r>
        <w:rPr>
          <w:rFonts w:hint="eastAsia" w:ascii="仿宋" w:hAnsi="仿宋" w:eastAsia="仿宋" w:cs="仿宋"/>
          <w:b/>
          <w:bCs/>
          <w:sz w:val="30"/>
          <w:highlight w:val="none"/>
          <w:lang w:val="en-US" w:eastAsia="zh-CN"/>
        </w:rPr>
        <w:t xml:space="preserve">十一、</w:t>
      </w:r>
      <w:r>
        <w:rPr>
          <w:rFonts w:hint="eastAsia" w:ascii="宋体" w:hAnsi="宋体" w:eastAsia="宋体" w:cs="宋体"/>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jc w:val="center"/>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cs="宋体"/>
          <w:color w:val="383838"/>
          <w:sz w:val="24"/>
          <w:szCs w:val="24"/>
          <w:lang w:val="en-US" w:eastAsia="zh-CN" w:bidi="ar-SA"/>
        </w:rPr>
        <w:t xml:space="preserve">        </w:t>
      </w:r>
      <w:r>
        <w:rPr>
          <w:rFonts w:hint="eastAsia" w:ascii="宋体" w:hAnsi="宋体" w:eastAsia="宋体" w:cs="宋体"/>
          <w:color w:val="383838"/>
          <w:sz w:val="24"/>
          <w:szCs w:val="24"/>
          <w:lang w:val="en-US" w:eastAsia="zh-CN" w:bidi="ar-SA"/>
        </w:rPr>
        <w:t xml:space="preserve">公司（单位）名称（盖章）：　        </w:t>
      </w:r>
      <w:r/>
    </w:p>
    <w:p>
      <w:pPr>
        <w:jc w:val="center"/>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pStyle w:val="766"/>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9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9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pStyle w:val="945"/>
        <w:ind w:left="0" w:firstLine="480"/>
        <w:jc w:val="both"/>
        <w:keepLines w:val="0"/>
        <w:keepNext w:val="0"/>
        <w:spacing w:before="0" w:beforeAutospacing="0" w:after="0" w:afterAutospacing="0" w:line="360" w:lineRule="auto"/>
        <w:widowControl w:val="off"/>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二</w:t>
      </w:r>
      <w:r>
        <w:rPr>
          <w:rFonts w:hint="eastAsia" w:ascii="仿宋" w:hAnsi="仿宋" w:eastAsia="仿宋" w:cs="仿宋"/>
          <w:b/>
          <w:bCs/>
          <w:sz w:val="32"/>
          <w:szCs w:val="32"/>
          <w:highlight w:val="none"/>
        </w:rPr>
        <w:t xml:space="preserve">、投标人参加政府采购活动前3年内在经营活动中没有重大违法记录的书面声明格式</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我单位在参加</w:t>
      </w:r>
      <w:r>
        <w:rPr>
          <w:rFonts w:hint="eastAsia" w:ascii="仿宋" w:hAnsi="仿宋" w:eastAsia="仿宋" w:cs="仿宋"/>
          <w:sz w:val="30"/>
          <w:highlight w:val="none"/>
          <w:u w:val="single"/>
          <w:lang w:eastAsia="zh-CN"/>
        </w:rPr>
        <w:t xml:space="preserve">新能源环卫特种作业车辆采购项目-新能源压缩式垃圾车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JSZC-320303-XZWZ-G2026-0001</w:t>
      </w:r>
      <w:r>
        <w:rPr>
          <w:rFonts w:hint="eastAsia" w:ascii="仿宋" w:hAnsi="仿宋" w:eastAsia="仿宋" w:cs="仿宋"/>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8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7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ind w:firstLine="600"/>
        <w:jc w:val="cente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30"/>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三</w:t>
      </w:r>
      <w:r>
        <w:rPr>
          <w:rFonts w:hint="eastAsia" w:ascii="仿宋" w:hAnsi="仿宋" w:eastAsia="仿宋" w:cs="仿宋"/>
          <w:b/>
          <w:bCs/>
          <w:sz w:val="32"/>
          <w:szCs w:val="32"/>
          <w:highlight w:val="none"/>
        </w:rPr>
        <w:t xml:space="preserve">、预付款保函支付条款模板</w:t>
      </w:r>
      <w:r/>
    </w:p>
    <w:p>
      <w:pPr>
        <w:ind w:firstLine="605"/>
        <w:spacing w:line="47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符合条件一：提交预付款保函的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（1）合同签订且乙方向甲方出具预付款保函后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        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符合条件二：不提交预付款保函的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left="140"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1、付款条件一中，出具预付款保函后支付的合同款应当与保函金额一致。</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新宋体">
    <w:panose1 w:val="02010609030101010101"/>
  </w:font>
  <w:font w:name="Calibri Light">
    <w:panose1 w:val="020F0302020204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4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4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43"/>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43"/>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48"/>
    <w:next w:val="748"/>
    <w:link w:val="791"/>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92"/>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93"/>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94"/>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95"/>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96"/>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98"/>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99"/>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Block Text"/>
    <w:basedOn w:val="736"/>
    <w:next w:val="736"/>
    <w:uiPriority w:val="0"/>
    <w:qFormat/>
    <w:pPr>
      <w:ind w:left="256" w:right="6" w:firstLine="624"/>
    </w:pPr>
    <w:rPr>
      <w:rFonts w:eastAsia="仿宋_GB2312"/>
      <w:sz w:val="28"/>
      <w:szCs w:val="20"/>
    </w:rPr>
  </w:style>
  <w:style w:type="paragraph" w:styleId="749">
    <w:name w:val="toc 7"/>
    <w:basedOn w:val="736"/>
    <w:next w:val="736"/>
    <w:uiPriority w:val="39"/>
    <w:unhideWhenUsed/>
    <w:qFormat/>
    <w:pPr>
      <w:ind w:left="1701" w:right="0" w:firstLine="0"/>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Body Text"/>
    <w:basedOn w:val="736"/>
    <w:uiPriority w:val="0"/>
    <w:semiHidden/>
    <w:qFormat/>
    <w:rPr>
      <w:rFonts w:ascii="宋体" w:hAnsi="宋体" w:eastAsia="宋体" w:cs="宋体"/>
      <w:sz w:val="24"/>
      <w:szCs w:val="24"/>
      <w:lang w:val="en-US" w:eastAsia="en-US" w:bidi="ar-SA"/>
    </w:rPr>
  </w:style>
  <w:style w:type="paragraph" w:styleId="752">
    <w:name w:val="toc 5"/>
    <w:basedOn w:val="736"/>
    <w:next w:val="736"/>
    <w:uiPriority w:val="39"/>
    <w:unhideWhenUsed/>
    <w:qFormat/>
    <w:pPr>
      <w:ind w:left="1134" w:right="0" w:firstLine="0"/>
      <w:spacing w:after="57"/>
    </w:pPr>
  </w:style>
  <w:style w:type="paragraph" w:styleId="753">
    <w:name w:val="toc 3"/>
    <w:basedOn w:val="736"/>
    <w:next w:val="736"/>
    <w:uiPriority w:val="39"/>
    <w:unhideWhenUsed/>
    <w:qFormat/>
    <w:pPr>
      <w:ind w:left="567" w:right="0" w:firstLine="0"/>
      <w:spacing w:after="57"/>
    </w:pPr>
  </w:style>
  <w:style w:type="paragraph" w:styleId="754">
    <w:name w:val="toc 8"/>
    <w:basedOn w:val="736"/>
    <w:next w:val="736"/>
    <w:uiPriority w:val="39"/>
    <w:unhideWhenUsed/>
    <w:qFormat/>
    <w:pPr>
      <w:ind w:left="1984" w:right="0" w:firstLine="0"/>
      <w:spacing w:after="57"/>
    </w:pPr>
  </w:style>
  <w:style w:type="paragraph" w:styleId="755">
    <w:name w:val="endnote text"/>
    <w:basedOn w:val="736"/>
    <w:link w:val="937"/>
    <w:uiPriority w:val="99"/>
    <w:semiHidden/>
    <w:unhideWhenUsed/>
    <w:qFormat/>
    <w:pPr>
      <w:spacing w:after="0" w:line="240" w:lineRule="auto"/>
    </w:pPr>
    <w:rPr>
      <w:sz w:val="20"/>
    </w:rPr>
  </w:style>
  <w:style w:type="paragraph" w:styleId="756">
    <w:name w:val="Footer"/>
    <w:basedOn w:val="736"/>
    <w:link w:val="810"/>
    <w:uiPriority w:val="99"/>
    <w:unhideWhenUsed/>
    <w:qFormat/>
    <w:pPr>
      <w:spacing w:after="0" w:line="240" w:lineRule="auto"/>
      <w:tabs>
        <w:tab w:val="center" w:pos="7143" w:leader="none"/>
        <w:tab w:val="right" w:pos="14287" w:leader="none"/>
      </w:tabs>
    </w:pPr>
  </w:style>
  <w:style w:type="paragraph" w:styleId="757">
    <w:name w:val="Header"/>
    <w:basedOn w:val="736"/>
    <w:link w:val="808"/>
    <w:uiPriority w:val="99"/>
    <w:unhideWhenUsed/>
    <w:qFormat/>
    <w:pPr>
      <w:spacing w:after="0" w:line="240" w:lineRule="auto"/>
      <w:tabs>
        <w:tab w:val="center" w:pos="7143" w:leader="none"/>
        <w:tab w:val="right" w:pos="14287" w:leader="none"/>
      </w:tabs>
    </w:pPr>
  </w:style>
  <w:style w:type="paragraph" w:styleId="758">
    <w:name w:val="toc 1"/>
    <w:basedOn w:val="736"/>
    <w:next w:val="736"/>
    <w:uiPriority w:val="39"/>
    <w:unhideWhenUsed/>
    <w:qFormat/>
    <w:pPr>
      <w:ind w:left="0" w:right="0" w:firstLine="0"/>
      <w:spacing w:after="57"/>
    </w:pPr>
  </w:style>
  <w:style w:type="paragraph" w:styleId="759">
    <w:name w:val="toc 4"/>
    <w:basedOn w:val="736"/>
    <w:next w:val="736"/>
    <w:uiPriority w:val="39"/>
    <w:unhideWhenUsed/>
    <w:qFormat/>
    <w:pPr>
      <w:ind w:left="850" w:right="0" w:firstLine="0"/>
      <w:spacing w:after="57"/>
    </w:pPr>
  </w:style>
  <w:style w:type="paragraph" w:styleId="760">
    <w:name w:val="Subtitle"/>
    <w:basedOn w:val="736"/>
    <w:next w:val="736"/>
    <w:link w:val="803"/>
    <w:uiPriority w:val="11"/>
    <w:qFormat/>
    <w:pPr>
      <w:spacing w:before="200" w:after="200"/>
    </w:pPr>
    <w:rPr>
      <w:sz w:val="24"/>
      <w:szCs w:val="24"/>
    </w:rPr>
  </w:style>
  <w:style w:type="paragraph" w:styleId="761">
    <w:name w:val="footnote text"/>
    <w:basedOn w:val="736"/>
    <w:link w:val="936"/>
    <w:uiPriority w:val="99"/>
    <w:semiHidden/>
    <w:unhideWhenUsed/>
    <w:qFormat/>
    <w:pPr>
      <w:spacing w:after="40" w:line="240" w:lineRule="auto"/>
    </w:pPr>
    <w:rPr>
      <w:sz w:val="18"/>
    </w:rPr>
  </w:style>
  <w:style w:type="paragraph" w:styleId="762">
    <w:name w:val="toc 6"/>
    <w:basedOn w:val="736"/>
    <w:next w:val="736"/>
    <w:uiPriority w:val="39"/>
    <w:unhideWhenUsed/>
    <w:qFormat/>
    <w:pPr>
      <w:ind w:left="1417" w:right="0" w:firstLine="0"/>
      <w:spacing w:after="57"/>
    </w:pPr>
  </w:style>
  <w:style w:type="paragraph" w:styleId="763">
    <w:name w:val="table of figures"/>
    <w:basedOn w:val="736"/>
    <w:next w:val="736"/>
    <w:uiPriority w:val="99"/>
    <w:unhideWhenUsed/>
    <w:qFormat/>
    <w:pPr>
      <w:spacing w:after="0" w:afterAutospacing="0"/>
    </w:pPr>
  </w:style>
  <w:style w:type="paragraph" w:styleId="764">
    <w:name w:val="toc 2"/>
    <w:basedOn w:val="736"/>
    <w:next w:val="736"/>
    <w:uiPriority w:val="39"/>
    <w:unhideWhenUsed/>
    <w:qFormat/>
    <w:pPr>
      <w:ind w:left="283" w:right="0" w:firstLine="0"/>
      <w:spacing w:after="57"/>
    </w:pPr>
  </w:style>
  <w:style w:type="paragraph" w:styleId="765">
    <w:name w:val="toc 9"/>
    <w:basedOn w:val="736"/>
    <w:next w:val="736"/>
    <w:uiPriority w:val="39"/>
    <w:unhideWhenUsed/>
    <w:qFormat/>
    <w:pPr>
      <w:ind w:left="2268" w:right="0" w:firstLine="0"/>
      <w:spacing w:after="57"/>
    </w:pPr>
  </w:style>
  <w:style w:type="paragraph" w:styleId="766">
    <w:name w:val="Normal (Web)"/>
    <w:basedOn w:val="736"/>
    <w:uiPriority w:val="0"/>
    <w:qFormat/>
    <w:pPr>
      <w:ind w:left="0" w:right="0"/>
      <w:jc w:val="left"/>
      <w:spacing w:before="0" w:beforeAutospacing="1" w:after="0" w:afterAutospacing="1"/>
    </w:pPr>
    <w:rPr>
      <w:sz w:val="24"/>
      <w:lang w:val="en-US" w:eastAsia="zh-CN" w:bidi="ar"/>
    </w:rPr>
  </w:style>
  <w:style w:type="paragraph" w:styleId="767">
    <w:name w:val="Title"/>
    <w:basedOn w:val="736"/>
    <w:next w:val="736"/>
    <w:link w:val="802"/>
    <w:uiPriority w:val="10"/>
    <w:qFormat/>
    <w:pPr>
      <w:contextualSpacing/>
      <w:spacing w:before="300" w:after="200"/>
    </w:pPr>
    <w:rPr>
      <w:sz w:val="48"/>
      <w:szCs w:val="48"/>
    </w:rPr>
  </w:style>
  <w:style w:type="table" w:styleId="7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uiPriority w:val="99"/>
    <w:unhideWhenUsed/>
    <w:qFormat/>
    <w:rPr>
      <w:vertAlign w:val="superscript"/>
    </w:rPr>
  </w:style>
  <w:style w:type="paragraph" w:styleId="772" w:customStyle="1">
    <w:name w:val="正文文本11"/>
    <w:basedOn w:val="773"/>
    <w:next w:val="774"/>
    <w:uiPriority w:val="0"/>
    <w:qFormat/>
    <w:pPr>
      <w:spacing w:after="120"/>
    </w:pPr>
    <w:rPr>
      <w:rFonts w:ascii="Calibri" w:hAnsi="Calibri"/>
    </w:rPr>
  </w:style>
  <w:style w:type="paragraph" w:styleId="773" w:customStyle="1">
    <w:name w:val="正文112"/>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正文11"/>
    <w:next w:val="736"/>
    <w:uiPriority w:val="0"/>
    <w:qFormat/>
    <w:pPr>
      <w:jc w:val="both"/>
    </w:pPr>
    <w:rPr>
      <w:rFonts w:hint="default" w:ascii="Times New Roman" w:hAnsi="Times New Roman" w:eastAsia="宋体" w:cs="Times New Roman"/>
      <w:lang w:val="en-US" w:eastAsia="zh-CN" w:bidi="ar-SA"/>
    </w:rPr>
  </w:style>
  <w:style w:type="paragraph" w:styleId="775" w:customStyle="1">
    <w:name w:val="目录 11"/>
    <w:basedOn w:val="776"/>
    <w:next w:val="774"/>
    <w:uiPriority w:val="0"/>
    <w:qFormat/>
    <w:pPr>
      <w:spacing w:before="120" w:after="120"/>
      <w:widowControl/>
    </w:pPr>
    <w:rPr>
      <w:rFonts w:ascii="Calibri" w:cs="Calibri"/>
      <w:b/>
      <w:bCs/>
      <w:caps/>
      <w:sz w:val="20"/>
    </w:rPr>
  </w:style>
  <w:style w:type="paragraph" w:styleId="776" w:customStyle="1">
    <w:name w:val="正文12"/>
    <w:next w:val="7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customStyle="1">
    <w:name w:val="脚注文本1"/>
    <w:basedOn w:val="778"/>
    <w:next w:val="780"/>
    <w:uiPriority w:val="0"/>
    <w:qFormat/>
    <w:pPr>
      <w:jc w:val="left"/>
    </w:pPr>
    <w:rPr>
      <w:rFonts w:ascii="宋体" w:hAnsi="Times New Roman" w:eastAsia="Times New Roman" w:cs="Times New Roman"/>
      <w:sz w:val="18"/>
      <w:szCs w:val="18"/>
    </w:rPr>
  </w:style>
  <w:style w:type="paragraph" w:styleId="778" w:customStyle="1">
    <w:name w:val="正文1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标题 211"/>
    <w:basedOn w:val="774"/>
    <w:next w:val="778"/>
    <w:uiPriority w:val="0"/>
    <w:qFormat/>
    <w:pPr>
      <w:keepLines/>
      <w:keepNext/>
      <w:spacing w:before="260" w:after="260" w:line="416" w:lineRule="auto"/>
      <w:outlineLvl w:val="1"/>
    </w:pPr>
    <w:rPr>
      <w:rFonts w:ascii="Calibri Light" w:hAnsi="Calibri Light"/>
      <w:bCs/>
      <w:sz w:val="32"/>
      <w:szCs w:val="32"/>
    </w:rPr>
  </w:style>
  <w:style w:type="paragraph" w:styleId="780" w:customStyle="1">
    <w:name w:val="索引 51"/>
    <w:basedOn w:val="781"/>
    <w:next w:val="783"/>
    <w:uiPriority w:val="0"/>
    <w:qFormat/>
    <w:pPr>
      <w:ind w:left="798"/>
      <w:jc w:val="left"/>
    </w:pPr>
    <w:rPr>
      <w:rFonts w:ascii="Calibri" w:hAnsi="Calibri" w:eastAsia="宋体" w:cs="Times New Roman"/>
    </w:rPr>
  </w:style>
  <w:style w:type="paragraph" w:styleId="781" w:customStyle="1">
    <w:name w:val="正文111"/>
    <w:next w:val="782"/>
    <w:uiPriority w:val="0"/>
    <w:qFormat/>
    <w:pPr>
      <w:jc w:val="both"/>
      <w:widowControl w:val="off"/>
    </w:pPr>
    <w:rPr>
      <w:rFonts w:hint="default" w:ascii="Calibri" w:hAnsi="Calibri" w:eastAsia="宋体" w:cs="Calibri"/>
      <w:color w:val="000000"/>
      <w:sz w:val="22"/>
      <w:szCs w:val="22"/>
      <w:lang w:val="en-US" w:eastAsia="zh-CN" w:bidi="ar-SA"/>
    </w:rPr>
  </w:style>
  <w:style w:type="paragraph" w:styleId="782" w:customStyle="1">
    <w:name w:val="标题 41"/>
    <w:basedOn w:val="776"/>
    <w:next w:val="781"/>
    <w:uiPriority w:val="9"/>
    <w:qFormat/>
    <w:pPr>
      <w:keepLines/>
      <w:keepNext/>
      <w:spacing w:before="320" w:after="200"/>
      <w:outlineLvl w:val="3"/>
    </w:pPr>
    <w:rPr>
      <w:rFonts w:ascii="Arial" w:hAnsi="Arial" w:eastAsia="Arial" w:cs="Arial"/>
      <w:b/>
      <w:bCs/>
      <w:sz w:val="26"/>
      <w:szCs w:val="26"/>
    </w:rPr>
  </w:style>
  <w:style w:type="paragraph" w:styleId="783" w:customStyle="1">
    <w:name w:val="正文1"/>
    <w:basedOn w:val="781"/>
    <w:next w:val="784"/>
    <w:uiPriority w:val="0"/>
    <w:qFormat/>
    <w:pPr>
      <w:jc w:val="left"/>
      <w:spacing w:line="360" w:lineRule="atLeast"/>
    </w:pPr>
    <w:rPr>
      <w:rFonts w:ascii="宋体" w:hAnsi="Calibri"/>
      <w:sz w:val="24"/>
      <w:szCs w:val="20"/>
    </w:rPr>
  </w:style>
  <w:style w:type="paragraph" w:styleId="784" w:customStyle="1">
    <w:name w:val="文本块1"/>
    <w:basedOn w:val="736"/>
    <w:next w:val="782"/>
    <w:uiPriority w:val="99"/>
    <w:qFormat/>
    <w:pPr>
      <w:ind w:left="1440" w:right="1440"/>
      <w:spacing w:after="120"/>
    </w:pPr>
  </w:style>
  <w:style w:type="paragraph" w:styleId="785" w:customStyle="1">
    <w:name w:val="文本块11"/>
    <w:basedOn w:val="786"/>
    <w:uiPriority w:val="0"/>
    <w:qFormat/>
    <w:pPr>
      <w:ind w:left="1440" w:right="1440"/>
      <w:spacing w:after="120"/>
    </w:pPr>
    <w:rPr>
      <w:rFonts w:ascii="Calibri" w:hAnsi="Calibri"/>
    </w:rPr>
  </w:style>
  <w:style w:type="paragraph" w:styleId="786" w:customStyle="1">
    <w:name w:val="正文121"/>
    <w:next w:val="785"/>
    <w:uiPriority w:val="0"/>
    <w:qFormat/>
    <w:rPr>
      <w:rFonts w:hint="default" w:ascii="Times New Roman" w:hAnsi="Times New Roman" w:eastAsia="宋体" w:cs="Times New Roman"/>
      <w:lang w:val="en-US" w:eastAsia="zh-CN" w:bidi="ar-SA"/>
    </w:rPr>
  </w:style>
  <w:style w:type="paragraph" w:styleId="787" w:customStyle="1">
    <w:name w:val="正文首行缩进1"/>
    <w:basedOn w:val="772"/>
    <w:next w:val="788"/>
    <w:uiPriority w:val="0"/>
    <w:qFormat/>
    <w:pPr>
      <w:ind w:firstLine="420"/>
    </w:pPr>
    <w:rPr>
      <w:rFonts w:ascii="仿宋_GB2312" w:eastAsia="仿宋_GB2312"/>
      <w:sz w:val="30"/>
      <w:szCs w:val="30"/>
    </w:rPr>
  </w:style>
  <w:style w:type="paragraph" w:styleId="788" w:customStyle="1">
    <w:name w:val="正文首行缩进 21"/>
    <w:basedOn w:val="789"/>
    <w:uiPriority w:val="0"/>
    <w:qFormat/>
    <w:pPr>
      <w:ind w:firstLine="420"/>
      <w:spacing w:line="360" w:lineRule="auto"/>
    </w:pPr>
    <w:rPr>
      <w:color w:val="000000"/>
      <w:sz w:val="20"/>
    </w:rPr>
  </w:style>
  <w:style w:type="paragraph" w:styleId="789" w:customStyle="1">
    <w:name w:val="正文文本缩进1"/>
    <w:basedOn w:val="736"/>
    <w:next w:val="790"/>
    <w:uiPriority w:val="0"/>
    <w:qFormat/>
    <w:pPr>
      <w:ind w:left="420"/>
      <w:spacing w:after="120"/>
    </w:pPr>
    <w:rPr>
      <w:rFonts w:ascii="Calibri" w:hAnsi="Calibri"/>
    </w:rPr>
  </w:style>
  <w:style w:type="paragraph" w:styleId="790" w:customStyle="1">
    <w:name w:val="寄信人地址1"/>
    <w:basedOn w:val="783"/>
    <w:uiPriority w:val="0"/>
    <w:qFormat/>
    <w:rPr>
      <w:rFonts w:ascii="Arial" w:hAnsi="Arial"/>
    </w:rPr>
  </w:style>
  <w:style w:type="character" w:styleId="791" w:customStyle="1">
    <w:name w:val="Heading 1 Char"/>
    <w:link w:val="737"/>
    <w:uiPriority w:val="9"/>
    <w:qFormat/>
    <w:rPr>
      <w:rFonts w:ascii="Arial" w:hAnsi="Arial" w:eastAsia="Arial" w:cs="Arial"/>
      <w:sz w:val="40"/>
      <w:szCs w:val="40"/>
    </w:rPr>
  </w:style>
  <w:style w:type="character" w:styleId="792" w:customStyle="1">
    <w:name w:val="Heading 2 Char"/>
    <w:link w:val="738"/>
    <w:uiPriority w:val="9"/>
    <w:qFormat/>
    <w:rPr>
      <w:rFonts w:ascii="Arial" w:hAnsi="Arial" w:eastAsia="Arial" w:cs="Arial"/>
      <w:sz w:val="34"/>
    </w:rPr>
  </w:style>
  <w:style w:type="character" w:styleId="793" w:customStyle="1">
    <w:name w:val="Heading 3 Char"/>
    <w:link w:val="739"/>
    <w:uiPriority w:val="9"/>
    <w:qFormat/>
    <w:rPr>
      <w:rFonts w:ascii="Arial" w:hAnsi="Arial" w:eastAsia="Arial" w:cs="Arial"/>
      <w:sz w:val="30"/>
      <w:szCs w:val="30"/>
    </w:rPr>
  </w:style>
  <w:style w:type="character" w:styleId="794" w:customStyle="1">
    <w:name w:val="Heading 4 Char"/>
    <w:link w:val="740"/>
    <w:uiPriority w:val="9"/>
    <w:qFormat/>
    <w:rPr>
      <w:rFonts w:ascii="Arial" w:hAnsi="Arial" w:eastAsia="Arial" w:cs="Arial"/>
      <w:b/>
      <w:bCs/>
      <w:sz w:val="26"/>
      <w:szCs w:val="26"/>
    </w:rPr>
  </w:style>
  <w:style w:type="character" w:styleId="795" w:customStyle="1">
    <w:name w:val="Heading 5 Char"/>
    <w:link w:val="741"/>
    <w:uiPriority w:val="9"/>
    <w:qFormat/>
    <w:rPr>
      <w:rFonts w:ascii="Arial" w:hAnsi="Arial" w:eastAsia="Arial" w:cs="Arial"/>
      <w:b/>
      <w:bCs/>
      <w:sz w:val="24"/>
      <w:szCs w:val="24"/>
    </w:rPr>
  </w:style>
  <w:style w:type="character" w:styleId="796" w:customStyle="1">
    <w:name w:val="Heading 6 Char"/>
    <w:link w:val="742"/>
    <w:uiPriority w:val="9"/>
    <w:qFormat/>
    <w:rPr>
      <w:rFonts w:ascii="Arial" w:hAnsi="Arial" w:eastAsia="Arial" w:cs="Arial"/>
      <w:b/>
      <w:bCs/>
      <w:sz w:val="22"/>
      <w:szCs w:val="22"/>
    </w:rPr>
  </w:style>
  <w:style w:type="character" w:styleId="797" w:customStyle="1">
    <w:name w:val="Heading 7 Char"/>
    <w:link w:val="743"/>
    <w:uiPriority w:val="9"/>
    <w:qFormat/>
    <w:rPr>
      <w:rFonts w:ascii="Arial" w:hAnsi="Arial" w:eastAsia="Arial" w:cs="Arial"/>
      <w:b/>
      <w:bCs/>
      <w:i/>
      <w:iCs/>
      <w:sz w:val="22"/>
      <w:szCs w:val="22"/>
    </w:rPr>
  </w:style>
  <w:style w:type="character" w:styleId="798" w:customStyle="1">
    <w:name w:val="Heading 8 Char"/>
    <w:link w:val="744"/>
    <w:uiPriority w:val="9"/>
    <w:qFormat/>
    <w:rPr>
      <w:rFonts w:ascii="Arial" w:hAnsi="Arial" w:eastAsia="Arial" w:cs="Arial"/>
      <w:i/>
      <w:iCs/>
      <w:sz w:val="22"/>
      <w:szCs w:val="22"/>
    </w:rPr>
  </w:style>
  <w:style w:type="character" w:styleId="799" w:customStyle="1">
    <w:name w:val="Heading 9 Char"/>
    <w:link w:val="745"/>
    <w:uiPriority w:val="9"/>
    <w:qFormat/>
    <w:rPr>
      <w:rFonts w:ascii="Arial" w:hAnsi="Arial" w:eastAsia="Arial" w:cs="Arial"/>
      <w:i/>
      <w:iCs/>
      <w:sz w:val="21"/>
      <w:szCs w:val="21"/>
    </w:rPr>
  </w:style>
  <w:style w:type="paragraph" w:styleId="800">
    <w:name w:val="List Paragraph"/>
    <w:basedOn w:val="736"/>
    <w:uiPriority w:val="34"/>
    <w:qFormat/>
    <w:pPr>
      <w:contextualSpacing/>
      <w:ind w:left="720"/>
    </w:pPr>
  </w:style>
  <w:style w:type="paragraph" w:styleId="801">
    <w:name w:val="No Spacing"/>
    <w:uiPriority w:val="1"/>
    <w:qFormat/>
    <w:pPr>
      <w:spacing w:before="0" w:after="0" w:line="240" w:lineRule="auto"/>
    </w:pPr>
    <w:rPr>
      <w:rFonts w:hint="default" w:ascii="Calibri" w:hAnsi="Calibri" w:eastAsia="宋体" w:cs="Times New Roman"/>
    </w:rPr>
  </w:style>
  <w:style w:type="character" w:styleId="802" w:customStyle="1">
    <w:name w:val="Title Char"/>
    <w:link w:val="767"/>
    <w:uiPriority w:val="10"/>
    <w:qFormat/>
    <w:rPr>
      <w:sz w:val="48"/>
      <w:szCs w:val="48"/>
    </w:rPr>
  </w:style>
  <w:style w:type="character" w:styleId="803" w:customStyle="1">
    <w:name w:val="Subtitle Char"/>
    <w:link w:val="760"/>
    <w:uiPriority w:val="11"/>
    <w:qFormat/>
    <w:rPr>
      <w:sz w:val="24"/>
      <w:szCs w:val="24"/>
    </w:rPr>
  </w:style>
  <w:style w:type="paragraph" w:styleId="804">
    <w:name w:val="Quote"/>
    <w:basedOn w:val="736"/>
    <w:next w:val="736"/>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36"/>
    <w:next w:val="736"/>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link w:val="757"/>
    <w:uiPriority w:val="99"/>
    <w:qFormat/>
  </w:style>
  <w:style w:type="character" w:styleId="809" w:customStyle="1">
    <w:name w:val="Footer Char"/>
    <w:link w:val="756"/>
    <w:uiPriority w:val="99"/>
    <w:qFormat/>
  </w:style>
  <w:style w:type="character" w:styleId="810" w:customStyle="1">
    <w:name w:val="Caption Char"/>
    <w:link w:val="756"/>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Footnote Text Char"/>
    <w:link w:val="761"/>
    <w:uiPriority w:val="99"/>
    <w:qFormat/>
    <w:rPr>
      <w:sz w:val="18"/>
    </w:rPr>
  </w:style>
  <w:style w:type="character" w:styleId="937" w:customStyle="1">
    <w:name w:val="Endnote Text Char"/>
    <w:link w:val="755"/>
    <w:uiPriority w:val="99"/>
    <w:qFormat/>
    <w:rPr>
      <w:sz w:val="20"/>
    </w:rPr>
  </w:style>
  <w:style w:type="paragraph" w:styleId="938" w:customStyle="1">
    <w:name w:val="TOC Heading"/>
    <w:uiPriority w:val="39"/>
    <w:unhideWhenUsed/>
    <w:qFormat/>
    <w:rPr>
      <w:rFonts w:hint="default" w:ascii="Calibri" w:hAnsi="Calibri" w:eastAsia="宋体" w:cs="Times New Roman"/>
    </w:rPr>
  </w:style>
  <w:style w:type="character" w:styleId="939" w:customStyle="1">
    <w:name w:val="默认段落字体11"/>
    <w:link w:val="736"/>
    <w:uiPriority w:val="0"/>
    <w:semiHidden/>
    <w:qFormat/>
  </w:style>
  <w:style w:type="table" w:styleId="940" w:customStyle="1">
    <w:name w:val="普通表格11"/>
    <w:uiPriority w:val="0"/>
    <w:semiHidden/>
    <w:qFormat/>
    <w:tblPr/>
  </w:style>
  <w:style w:type="paragraph" w:styleId="941" w:customStyle="1">
    <w:name w:val="正文文本1"/>
    <w:basedOn w:val="736"/>
    <w:uiPriority w:val="99"/>
    <w:qFormat/>
    <w:pPr>
      <w:spacing w:after="120"/>
    </w:pPr>
    <w:rPr>
      <w:rFonts w:ascii="Calibri" w:hAnsi="Calibri"/>
    </w:rPr>
  </w:style>
  <w:style w:type="paragraph" w:styleId="942" w:customStyle="1">
    <w:name w:val="文本块12"/>
    <w:basedOn w:val="736"/>
    <w:uiPriority w:val="99"/>
    <w:qFormat/>
    <w:pPr>
      <w:ind w:left="1440" w:right="700"/>
      <w:spacing w:after="120"/>
    </w:pPr>
    <w:rPr>
      <w:rFonts w:hint="default" w:ascii="Times New Roman" w:hAnsi="Times New Roman" w:eastAsia="仿宋_GB2312" w:cs="Arial"/>
      <w:sz w:val="28"/>
      <w:szCs w:val="20"/>
    </w:rPr>
  </w:style>
  <w:style w:type="paragraph" w:styleId="943" w:customStyle="1">
    <w:name w:val="页脚11"/>
    <w:basedOn w:val="736"/>
    <w:uiPriority w:val="99"/>
    <w:qFormat/>
    <w:pPr>
      <w:tabs>
        <w:tab w:val="center" w:pos="7143" w:leader="none"/>
        <w:tab w:val="right" w:pos="14287" w:leader="none"/>
      </w:tabs>
    </w:pPr>
  </w:style>
  <w:style w:type="paragraph" w:styleId="944" w:customStyle="1">
    <w:name w:val="正文文本 21"/>
    <w:uiPriority w:val="0"/>
    <w:qFormat/>
    <w:pPr>
      <w:jc w:val="both"/>
      <w:spacing w:after="120" w:line="480" w:lineRule="auto"/>
      <w:widowControl w:val="off"/>
    </w:pPr>
    <w:rPr>
      <w:rFonts w:hint="default" w:ascii="Times New Roman" w:hAnsi="Times New Roman" w:eastAsia="宋体" w:cs="Times New Roman"/>
      <w:sz w:val="28"/>
      <w:szCs w:val="21"/>
      <w:lang w:val="en-US" w:eastAsia="zh-CN" w:bidi="ar-SA"/>
    </w:rPr>
  </w:style>
  <w:style w:type="paragraph" w:styleId="945" w:customStyle="1">
    <w:name w:val="普通(网站)1"/>
    <w:basedOn w:val="736"/>
    <w:uiPriority w:val="7"/>
    <w:qFormat/>
    <w:pPr>
      <w:spacing w:before="100" w:beforeAutospacing="1" w:after="100" w:afterAutospacing="1"/>
    </w:pPr>
    <w:rPr>
      <w:rFonts w:ascii="宋体" w:hAnsi="宋体" w:cs="宋体"/>
    </w:rPr>
  </w:style>
  <w:style w:type="table" w:styleId="946" w:customStyle="1">
    <w:name w:val="网格型11"/>
    <w:uiPriority w:val="59"/>
    <w:qFormat/>
    <w:tblPr/>
  </w:style>
  <w:style w:type="paragraph" w:styleId="947" w:customStyle="1">
    <w:name w:val="正文缩进1"/>
    <w:basedOn w:val="736"/>
    <w:uiPriority w:val="0"/>
    <w:qFormat/>
    <w:pPr>
      <w:ind w:firstLine="420"/>
    </w:pPr>
  </w:style>
  <w:style w:type="character" w:styleId="948" w:customStyle="1">
    <w:name w:val="超链接1"/>
    <w:basedOn w:val="949"/>
    <w:link w:val="736"/>
    <w:uiPriority w:val="99"/>
    <w:qFormat/>
    <w:rPr>
      <w:color w:val="0000ff"/>
      <w:u w:val="single"/>
    </w:rPr>
  </w:style>
  <w:style w:type="character" w:styleId="949" w:customStyle="1">
    <w:name w:val="默认段落字体1"/>
    <w:link w:val="736"/>
    <w:uiPriority w:val="1"/>
    <w:qFormat/>
  </w:style>
  <w:style w:type="table" w:styleId="950" w:customStyle="1">
    <w:name w:val="网格型1"/>
    <w:basedOn w:val="951"/>
    <w:uiPriority w:val="39"/>
    <w:qFormat/>
    <w:tblPr/>
  </w:style>
  <w:style w:type="table" w:styleId="951" w:customStyle="1">
    <w:name w:val="普通表格1"/>
    <w:uiPriority w:val="99"/>
    <w:qFormat/>
    <w:tblPr/>
  </w:style>
  <w:style w:type="paragraph" w:styleId="952" w:customStyle="1">
    <w:name w:val="目录 111"/>
    <w:basedOn w:val="776"/>
    <w:next w:val="736"/>
    <w:uiPriority w:val="39"/>
    <w:qFormat/>
  </w:style>
  <w:style w:type="character" w:styleId="953" w:customStyle="1">
    <w:name w:val="font11"/>
    <w:link w:val="736"/>
    <w:uiPriority w:val="0"/>
    <w:qFormat/>
    <w:rPr>
      <w:rFonts w:hint="eastAsia" w:ascii="仿宋_GB2312" w:hAnsi="Times New Roman" w:eastAsia="仿宋_GB2312" w:cs="仿宋_GB2312"/>
      <w:color w:val="000000"/>
      <w:sz w:val="21"/>
      <w:szCs w:val="21"/>
      <w:u w:val="none"/>
    </w:rPr>
  </w:style>
  <w:style w:type="paragraph" w:styleId="954" w:customStyle="1">
    <w:name w:val="yf00正文"/>
    <w:uiPriority w:val="0"/>
    <w:qFormat/>
    <w:pPr>
      <w:ind w:firstLine="600"/>
      <w:jc w:val="both"/>
      <w:widowControl w:val="off"/>
    </w:pPr>
    <w:rPr>
      <w:rFonts w:hint="default" w:ascii="Times New Roman" w:hAnsi="Times New Roman" w:eastAsia="宋体" w:cs="Times New Roman"/>
      <w:sz w:val="28"/>
      <w:szCs w:val="30"/>
      <w:lang w:val="en-US" w:eastAsia="zh-CN" w:bidi="ar-SA"/>
    </w:rPr>
  </w:style>
  <w:style w:type="paragraph" w:styleId="955" w:customStyle="1">
    <w:name w:val="Other|1"/>
    <w:uiPriority w:val="0"/>
    <w:qFormat/>
    <w:pPr>
      <w:jc w:val="both"/>
      <w:spacing w:line="286" w:lineRule="auto"/>
      <w:widowControl w:val="off"/>
    </w:pPr>
    <w:rPr>
      <w:rFonts w:hint="default" w:ascii="宋体" w:hAnsi="宋体" w:eastAsia="宋体" w:cs="宋体"/>
      <w:sz w:val="26"/>
      <w:szCs w:val="26"/>
      <w:lang w:val="zh-TW" w:eastAsia="zh-TW" w:bidi="zh-TW"/>
    </w:rPr>
  </w:style>
  <w:style w:type="paragraph" w:styleId="956" w:customStyle="1">
    <w:name w:val="正文文本缩进11"/>
    <w:basedOn w:val="736"/>
    <w:uiPriority w:val="0"/>
    <w:qFormat/>
    <w:pPr>
      <w:ind w:left="420"/>
      <w:spacing w:after="120"/>
    </w:pPr>
    <w:rPr>
      <w:rFonts w:ascii="Calibri" w:hAnsi="Calibri"/>
    </w:rPr>
  </w:style>
  <w:style w:type="paragraph" w:styleId="957" w:customStyle="1">
    <w:name w:val="页眉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958" w:customStyle="1">
    <w:name w:val="页脚1"/>
    <w:basedOn w:val="736"/>
    <w:uiPriority w:val="99"/>
    <w:qFormat/>
    <w:pPr>
      <w:jc w:val="left"/>
      <w:tabs>
        <w:tab w:val="center" w:pos="4153" w:leader="none"/>
        <w:tab w:val="right" w:pos="8306" w:leader="none"/>
      </w:tabs>
    </w:pPr>
    <w:rPr>
      <w:sz w:val="18"/>
      <w:szCs w:val="18"/>
    </w:rPr>
  </w:style>
  <w:style w:type="paragraph" w:styleId="959" w:customStyle="1">
    <w:name w:val="一级条标题"/>
    <w:basedOn w:val="960"/>
    <w:next w:val="96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60"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61" w:customStyle="1">
    <w:name w:val="段"/>
    <w:basedOn w:val="783"/>
    <w:next w:val="736"/>
    <w:uiPriority w:val="0"/>
    <w:qFormat/>
    <w:pPr>
      <w:ind w:firstLine="200"/>
      <w:widowControl/>
    </w:pPr>
    <w:rPr>
      <w:rFonts w:ascii="宋体" w:hAnsi="Times New Roman" w:eastAsia="宋体" w:cs="Times New Roman"/>
      <w:sz w:val="20"/>
      <w:szCs w:val="20"/>
    </w:rPr>
  </w:style>
  <w:style w:type="paragraph" w:styleId="962" w:customStyle="1">
    <w:name w:val="Table Text"/>
    <w:basedOn w:val="736"/>
    <w:uiPriority w:val="0"/>
    <w:semiHidden/>
    <w:qFormat/>
    <w:rPr>
      <w:rFonts w:ascii="宋体" w:hAnsi="宋体" w:eastAsia="宋体" w:cs="宋体"/>
      <w:sz w:val="25"/>
      <w:szCs w:val="25"/>
      <w:lang w:val="en-US" w:eastAsia="en-US" w:bidi="ar-SA"/>
    </w:rPr>
  </w:style>
  <w:style w:type="table" w:styleId="963" w:customStyle="1">
    <w:name w:val="Table Normal"/>
    <w:uiPriority w:val="0"/>
    <w:semiHidden/>
    <w:unhideWhenUsed/>
    <w:qFormat/>
    <w:tblPr>
      <w:tblCellMar>
        <w:left w:w="0" w:type="dxa"/>
        <w:top w:w="0" w:type="dxa"/>
        <w:right w:w="0" w:type="dxa"/>
        <w:bottom w:w="0" w:type="dxa"/>
      </w:tblCellMar>
    </w:tblPr>
  </w:style>
  <w:style w:type="paragraph" w:styleId="964" w:customStyle="1">
    <w:name w:val="列表段落1"/>
    <w:basedOn w:val="783"/>
    <w:next w:val="736"/>
    <w:uiPriority w:val="34"/>
    <w:qFormat/>
    <w:pPr>
      <w:contextualSpacing/>
      <w:ind w:left="720"/>
    </w:pPr>
  </w:style>
  <w:style w:type="paragraph" w:styleId="965" w:customStyle="1">
    <w:name w:val="标题 11"/>
    <w:basedOn w:val="783"/>
    <w:next w:val="774"/>
    <w:uiPriority w:val="0"/>
    <w:qFormat/>
    <w:pPr>
      <w:jc w:val="center"/>
      <w:keepLines/>
      <w:keepNext/>
      <w:spacing w:line="578" w:lineRule="auto"/>
      <w:outlineLvl w:val="0"/>
    </w:pPr>
    <w:rPr>
      <w:rFonts w:eastAsia="新宋体"/>
      <w:b/>
      <w:bCs/>
      <w:sz w:val="30"/>
      <w:szCs w:val="44"/>
    </w:rPr>
  </w:style>
  <w:style w:type="character" w:styleId="966" w:customStyle="1">
    <w:name w:val="NormalCharacter"/>
    <w:uiPriority w:val="0"/>
    <w:semiHidden/>
    <w:qFormat/>
  </w:style>
  <w:style w:type="paragraph" w:styleId="967" w:customStyle="1">
    <w:name w:val="纯文本1"/>
    <w:basedOn w:val="736"/>
    <w:uiPriority w:val="0"/>
    <w:qFormat/>
    <w:rPr>
      <w:rFonts w:ascii="宋体" w:hAnsi="Courier New"/>
      <w:szCs w:val="21"/>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许光停</cp:lastModifiedBy>
  <cp:revision>3</cp:revision>
  <dcterms:created xsi:type="dcterms:W3CDTF">2025-12-26T06:46:00Z</dcterms:created>
  <dcterms:modified xsi:type="dcterms:W3CDTF">2026-02-14T04:09:47Z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CE641AC92B434894A472D0224E76764E_13</vt:lpwstr>
  </property>
  <property fmtid="{D5CDD505-2E9C-101B-9397-08002B2CF9AE}" pid="4" name="KSOTemplateDocerSaveRecord">
    <vt:lpwstr>eyJoZGlkIjoiNjI1ZTE0Zjg0NzgzMzc4MTY0Zjg0Zjg0MzJjNWNhYjAiLCJ1c2VySWQiOiI2MTQ5OTU1MzQifQ==</vt:lpwstr>
  </property>
</Properties>
</file>