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D9F41">
      <w:pPr>
        <w:spacing w:line="360" w:lineRule="auto"/>
        <w:rPr>
          <w:rFonts w:ascii="宋体" w:hAnsi="宋体" w:eastAsia="宋体" w:cs="Times New Roman"/>
          <w:color w:val="000000"/>
          <w:sz w:val="28"/>
          <w:szCs w:val="28"/>
        </w:rPr>
      </w:pPr>
      <w:r>
        <w:rPr>
          <w:rFonts w:hint="eastAsia" w:ascii="宋体" w:hAnsi="宋体" w:eastAsia="宋体" w:cs="Times New Roman"/>
          <w:color w:val="000000"/>
          <w:sz w:val="28"/>
          <w:szCs w:val="28"/>
        </w:rPr>
        <w:t>附件：</w:t>
      </w:r>
    </w:p>
    <w:p w14:paraId="3631F1AD">
      <w:pP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如有建议或意见，请以书面形式并加盖公章、注明联系人、联系方式，于202</w:t>
      </w:r>
      <w:r>
        <w:rPr>
          <w:rFonts w:hint="eastAsia" w:ascii="宋体" w:hAnsi="宋体" w:cs="Times New Roman"/>
          <w:color w:val="000000"/>
          <w:sz w:val="28"/>
          <w:szCs w:val="28"/>
          <w:lang w:val="en-US" w:eastAsia="zh-CN"/>
        </w:rPr>
        <w:t>6</w:t>
      </w:r>
      <w:r>
        <w:rPr>
          <w:rFonts w:hint="eastAsia" w:ascii="宋体" w:hAnsi="宋体" w:eastAsia="宋体" w:cs="Times New Roman"/>
          <w:color w:val="000000"/>
          <w:sz w:val="28"/>
          <w:szCs w:val="28"/>
        </w:rPr>
        <w:t>年</w:t>
      </w:r>
      <w:r>
        <w:rPr>
          <w:rFonts w:hint="eastAsia" w:ascii="宋体" w:hAnsi="宋体" w:eastAsia="宋体" w:cs="Times New Roman"/>
          <w:color w:val="000000"/>
          <w:sz w:val="28"/>
          <w:szCs w:val="28"/>
          <w:lang w:val="en-US" w:eastAsia="zh-CN"/>
        </w:rPr>
        <w:t>0</w:t>
      </w:r>
      <w:r>
        <w:rPr>
          <w:rFonts w:hint="eastAsia" w:ascii="宋体" w:hAnsi="宋体" w:cs="Times New Roman"/>
          <w:color w:val="000000"/>
          <w:sz w:val="28"/>
          <w:szCs w:val="28"/>
          <w:lang w:val="en-US" w:eastAsia="zh-CN"/>
        </w:rPr>
        <w:t>3</w:t>
      </w:r>
      <w:r>
        <w:rPr>
          <w:rFonts w:hint="eastAsia" w:ascii="宋体" w:hAnsi="宋体" w:eastAsia="宋体" w:cs="Times New Roman"/>
          <w:color w:val="000000"/>
          <w:sz w:val="28"/>
          <w:szCs w:val="28"/>
        </w:rPr>
        <w:t>月</w:t>
      </w:r>
      <w:r>
        <w:rPr>
          <w:rFonts w:hint="eastAsia" w:ascii="宋体" w:hAnsi="宋体" w:cs="Times New Roman"/>
          <w:color w:val="000000"/>
          <w:sz w:val="28"/>
          <w:szCs w:val="28"/>
          <w:lang w:val="en-US" w:eastAsia="zh-CN"/>
        </w:rPr>
        <w:t>27</w:t>
      </w:r>
      <w:r>
        <w:rPr>
          <w:rFonts w:hint="eastAsia" w:ascii="宋体" w:hAnsi="宋体" w:eastAsia="宋体" w:cs="Times New Roman"/>
          <w:color w:val="000000"/>
          <w:sz w:val="28"/>
          <w:szCs w:val="28"/>
        </w:rPr>
        <w:t>日17:</w:t>
      </w:r>
      <w:r>
        <w:rPr>
          <w:rFonts w:hint="eastAsia" w:ascii="宋体" w:hAnsi="宋体" w:cs="Times New Roman"/>
          <w:color w:val="000000"/>
          <w:sz w:val="28"/>
          <w:szCs w:val="28"/>
          <w:lang w:val="en-US" w:eastAsia="zh-CN"/>
        </w:rPr>
        <w:t>3</w:t>
      </w:r>
      <w:r>
        <w:rPr>
          <w:rFonts w:hint="eastAsia" w:ascii="宋体" w:hAnsi="宋体" w:eastAsia="宋体" w:cs="Times New Roman"/>
          <w:color w:val="000000"/>
          <w:sz w:val="28"/>
          <w:szCs w:val="28"/>
        </w:rPr>
        <w:t>0之前送至我单位，逾期不受理（如邮寄，202</w:t>
      </w:r>
      <w:r>
        <w:rPr>
          <w:rFonts w:hint="eastAsia" w:ascii="宋体" w:hAnsi="宋体" w:cs="Times New Roman"/>
          <w:color w:val="000000"/>
          <w:sz w:val="28"/>
          <w:szCs w:val="28"/>
          <w:lang w:val="en-US" w:eastAsia="zh-CN"/>
        </w:rPr>
        <w:t>6</w:t>
      </w:r>
      <w:r>
        <w:rPr>
          <w:rFonts w:hint="eastAsia" w:ascii="宋体" w:hAnsi="宋体" w:eastAsia="宋体" w:cs="Times New Roman"/>
          <w:color w:val="000000"/>
          <w:sz w:val="28"/>
          <w:szCs w:val="28"/>
        </w:rPr>
        <w:t>年</w:t>
      </w:r>
      <w:r>
        <w:rPr>
          <w:rFonts w:hint="eastAsia" w:ascii="宋体" w:hAnsi="宋体" w:eastAsia="宋体" w:cs="Times New Roman"/>
          <w:color w:val="000000"/>
          <w:sz w:val="28"/>
          <w:szCs w:val="28"/>
          <w:lang w:val="en-US" w:eastAsia="zh-CN"/>
        </w:rPr>
        <w:t>0</w:t>
      </w:r>
      <w:r>
        <w:rPr>
          <w:rFonts w:hint="eastAsia" w:ascii="宋体" w:hAnsi="宋体" w:cs="Times New Roman"/>
          <w:color w:val="000000"/>
          <w:sz w:val="28"/>
          <w:szCs w:val="28"/>
          <w:lang w:val="en-US" w:eastAsia="zh-CN"/>
        </w:rPr>
        <w:t>3</w:t>
      </w:r>
      <w:r>
        <w:rPr>
          <w:rFonts w:hint="eastAsia" w:ascii="宋体" w:hAnsi="宋体" w:eastAsia="宋体" w:cs="Times New Roman"/>
          <w:color w:val="000000"/>
          <w:sz w:val="28"/>
          <w:szCs w:val="28"/>
        </w:rPr>
        <w:t>月</w:t>
      </w:r>
      <w:r>
        <w:rPr>
          <w:rFonts w:hint="eastAsia" w:ascii="宋体" w:hAnsi="宋体" w:cs="Times New Roman"/>
          <w:color w:val="000000"/>
          <w:sz w:val="28"/>
          <w:szCs w:val="28"/>
          <w:lang w:val="en-US" w:eastAsia="zh-CN"/>
        </w:rPr>
        <w:t>27</w:t>
      </w:r>
      <w:bookmarkStart w:id="1" w:name="_GoBack"/>
      <w:bookmarkEnd w:id="1"/>
      <w:r>
        <w:rPr>
          <w:rFonts w:hint="eastAsia" w:ascii="宋体" w:hAnsi="宋体" w:eastAsia="宋体" w:cs="Times New Roman"/>
          <w:color w:val="000000"/>
          <w:sz w:val="28"/>
          <w:szCs w:val="28"/>
        </w:rPr>
        <w:t>日17:</w:t>
      </w:r>
      <w:r>
        <w:rPr>
          <w:rFonts w:hint="eastAsia" w:ascii="宋体" w:hAnsi="宋体" w:cs="Times New Roman"/>
          <w:color w:val="000000"/>
          <w:sz w:val="28"/>
          <w:szCs w:val="28"/>
          <w:lang w:val="en-US" w:eastAsia="zh-CN"/>
        </w:rPr>
        <w:t>3</w:t>
      </w:r>
      <w:r>
        <w:rPr>
          <w:rFonts w:hint="eastAsia" w:ascii="宋体" w:hAnsi="宋体" w:eastAsia="宋体" w:cs="Times New Roman"/>
          <w:color w:val="000000"/>
          <w:sz w:val="28"/>
          <w:szCs w:val="28"/>
        </w:rPr>
        <w:t>0之后到达本公司的邮件将不再受理）。</w:t>
      </w:r>
    </w:p>
    <w:p w14:paraId="5E852E57">
      <w:pPr>
        <w:pStyle w:val="2"/>
        <w:rPr>
          <w:rFonts w:hint="eastAsia" w:ascii="宋体" w:hAnsi="宋体" w:eastAsia="宋体" w:cs="Times New Roman"/>
          <w:color w:val="000000"/>
          <w:sz w:val="28"/>
          <w:szCs w:val="28"/>
        </w:rPr>
      </w:pPr>
    </w:p>
    <w:p w14:paraId="7CA727FD">
      <w:pPr>
        <w:rPr>
          <w:rFonts w:hint="eastAsia" w:ascii="宋体" w:hAnsi="宋体" w:eastAsia="宋体" w:cs="Times New Roman"/>
          <w:color w:val="000000"/>
          <w:sz w:val="28"/>
          <w:szCs w:val="28"/>
        </w:rPr>
      </w:pPr>
    </w:p>
    <w:p w14:paraId="03C8405F">
      <w:pPr>
        <w:pStyle w:val="2"/>
        <w:rPr>
          <w:rFonts w:hint="eastAsia" w:ascii="宋体" w:hAnsi="宋体" w:eastAsia="宋体" w:cs="Times New Roman"/>
          <w:color w:val="000000"/>
          <w:sz w:val="28"/>
          <w:szCs w:val="28"/>
        </w:rPr>
      </w:pPr>
    </w:p>
    <w:p w14:paraId="1B3A5DAD">
      <w:pPr>
        <w:rPr>
          <w:rFonts w:hint="eastAsia" w:ascii="宋体" w:hAnsi="宋体" w:eastAsia="宋体" w:cs="Times New Roman"/>
          <w:color w:val="000000"/>
          <w:sz w:val="28"/>
          <w:szCs w:val="28"/>
        </w:rPr>
      </w:pPr>
    </w:p>
    <w:p w14:paraId="7FF916D8">
      <w:pPr>
        <w:pStyle w:val="2"/>
        <w:rPr>
          <w:rFonts w:hint="eastAsia" w:ascii="宋体" w:hAnsi="宋体" w:eastAsia="宋体" w:cs="Times New Roman"/>
          <w:color w:val="000000"/>
          <w:sz w:val="28"/>
          <w:szCs w:val="28"/>
        </w:rPr>
      </w:pPr>
    </w:p>
    <w:p w14:paraId="75E7D04F">
      <w:pPr>
        <w:rPr>
          <w:rFonts w:hint="eastAsia" w:ascii="宋体" w:hAnsi="宋体" w:eastAsia="宋体" w:cs="Times New Roman"/>
          <w:color w:val="000000"/>
          <w:sz w:val="28"/>
          <w:szCs w:val="28"/>
        </w:rPr>
      </w:pPr>
    </w:p>
    <w:p w14:paraId="5309C760">
      <w:pPr>
        <w:pStyle w:val="2"/>
        <w:rPr>
          <w:rFonts w:hint="eastAsia" w:ascii="宋体" w:hAnsi="宋体" w:eastAsia="宋体" w:cs="Times New Roman"/>
          <w:color w:val="000000"/>
          <w:sz w:val="28"/>
          <w:szCs w:val="28"/>
        </w:rPr>
      </w:pPr>
    </w:p>
    <w:p w14:paraId="2EB4EC85">
      <w:pPr>
        <w:rPr>
          <w:rFonts w:hint="eastAsia" w:ascii="宋体" w:hAnsi="宋体" w:eastAsia="宋体" w:cs="Times New Roman"/>
          <w:color w:val="000000"/>
          <w:sz w:val="28"/>
          <w:szCs w:val="28"/>
        </w:rPr>
      </w:pPr>
    </w:p>
    <w:p w14:paraId="0696FBE4">
      <w:pPr>
        <w:pStyle w:val="2"/>
        <w:rPr>
          <w:rFonts w:hint="eastAsia" w:ascii="宋体" w:hAnsi="宋体" w:eastAsia="宋体" w:cs="Times New Roman"/>
          <w:color w:val="000000"/>
          <w:sz w:val="28"/>
          <w:szCs w:val="28"/>
        </w:rPr>
      </w:pPr>
    </w:p>
    <w:p w14:paraId="07CC449C">
      <w:pPr>
        <w:rPr>
          <w:rFonts w:hint="eastAsia" w:ascii="宋体" w:hAnsi="宋体" w:eastAsia="宋体" w:cs="Times New Roman"/>
          <w:color w:val="000000"/>
          <w:sz w:val="28"/>
          <w:szCs w:val="28"/>
        </w:rPr>
      </w:pPr>
    </w:p>
    <w:p w14:paraId="14DC0368">
      <w:pPr>
        <w:pStyle w:val="2"/>
        <w:rPr>
          <w:rFonts w:hint="eastAsia" w:ascii="宋体" w:hAnsi="宋体" w:eastAsia="宋体" w:cs="Times New Roman"/>
          <w:color w:val="000000"/>
          <w:sz w:val="28"/>
          <w:szCs w:val="28"/>
        </w:rPr>
      </w:pPr>
    </w:p>
    <w:p w14:paraId="381714FB">
      <w:pPr>
        <w:rPr>
          <w:rFonts w:hint="eastAsia" w:ascii="宋体" w:hAnsi="宋体" w:eastAsia="宋体" w:cs="Times New Roman"/>
          <w:color w:val="000000"/>
          <w:sz w:val="28"/>
          <w:szCs w:val="28"/>
        </w:rPr>
      </w:pPr>
    </w:p>
    <w:p w14:paraId="0772A1C6">
      <w:pPr>
        <w:pStyle w:val="2"/>
        <w:rPr>
          <w:rFonts w:hint="eastAsia" w:ascii="宋体" w:hAnsi="宋体" w:eastAsia="宋体" w:cs="Times New Roman"/>
          <w:color w:val="000000"/>
          <w:sz w:val="28"/>
          <w:szCs w:val="28"/>
        </w:rPr>
      </w:pPr>
    </w:p>
    <w:p w14:paraId="4BB62FE3">
      <w:pPr>
        <w:rPr>
          <w:rFonts w:hint="eastAsia" w:ascii="宋体" w:hAnsi="宋体" w:eastAsia="宋体" w:cs="Times New Roman"/>
          <w:color w:val="000000"/>
          <w:sz w:val="28"/>
          <w:szCs w:val="28"/>
        </w:rPr>
      </w:pPr>
    </w:p>
    <w:p w14:paraId="5BA5D34B">
      <w:pPr>
        <w:pStyle w:val="2"/>
        <w:rPr>
          <w:rFonts w:hint="eastAsia" w:ascii="宋体" w:hAnsi="宋体" w:eastAsia="宋体" w:cs="Times New Roman"/>
          <w:color w:val="000000"/>
          <w:sz w:val="28"/>
          <w:szCs w:val="28"/>
        </w:rPr>
      </w:pPr>
    </w:p>
    <w:p w14:paraId="70E0859B">
      <w:pPr>
        <w:rPr>
          <w:rFonts w:hint="eastAsia" w:ascii="宋体" w:hAnsi="宋体" w:eastAsia="宋体" w:cs="Times New Roman"/>
          <w:color w:val="000000"/>
          <w:sz w:val="28"/>
          <w:szCs w:val="28"/>
        </w:rPr>
      </w:pPr>
    </w:p>
    <w:p w14:paraId="74DC871A">
      <w:pPr>
        <w:pStyle w:val="2"/>
        <w:ind w:left="0" w:leftChars="0" w:firstLine="0" w:firstLineChars="0"/>
        <w:rPr>
          <w:rFonts w:hint="eastAsia" w:ascii="宋体" w:hAnsi="宋体" w:eastAsia="宋体" w:cs="Times New Roman"/>
          <w:color w:val="000000"/>
          <w:sz w:val="28"/>
          <w:szCs w:val="28"/>
        </w:rPr>
      </w:pPr>
    </w:p>
    <w:p w14:paraId="42932824">
      <w:pPr>
        <w:widowControl/>
        <w:numPr>
          <w:ilvl w:val="0"/>
          <w:numId w:val="1"/>
        </w:num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b/>
          <w:kern w:val="0"/>
          <w:sz w:val="36"/>
          <w:szCs w:val="24"/>
        </w:rPr>
      </w:pPr>
      <w:r>
        <w:rPr>
          <w:rFonts w:ascii="宋体" w:hAnsi="宋体" w:eastAsia="宋体" w:cs="宋体"/>
          <w:b/>
          <w:kern w:val="0"/>
          <w:sz w:val="36"/>
          <w:szCs w:val="24"/>
        </w:rPr>
        <w:t>项目要求（采购需求）</w:t>
      </w:r>
    </w:p>
    <w:p w14:paraId="7592E8D3">
      <w:pPr>
        <w:widowControl w:val="0"/>
        <w:spacing w:line="440" w:lineRule="exact"/>
        <w:ind w:firstLine="482"/>
        <w:rPr>
          <w:rFonts w:hint="eastAsia" w:ascii="宋体" w:hAnsi="宋体" w:eastAsia="宋体" w:cs="宋体"/>
          <w:b/>
          <w:bCs/>
          <w:kern w:val="0"/>
          <w:sz w:val="24"/>
          <w:szCs w:val="24"/>
        </w:rPr>
      </w:pPr>
      <w:r>
        <w:rPr>
          <w:rFonts w:hint="eastAsia" w:ascii="宋体" w:hAnsi="宋体" w:eastAsia="宋体" w:cs="宋体"/>
          <w:b/>
          <w:bCs/>
          <w:kern w:val="0"/>
          <w:sz w:val="24"/>
          <w:szCs w:val="24"/>
        </w:rPr>
        <w:t>一、项目概况</w:t>
      </w:r>
    </w:p>
    <w:p w14:paraId="5963A8E7">
      <w:pPr>
        <w:widowControl w:val="0"/>
        <w:spacing w:line="440" w:lineRule="exact"/>
        <w:ind w:firstLine="480"/>
        <w:rPr>
          <w:rFonts w:hint="eastAsia" w:ascii="宋体" w:hAnsi="宋体" w:eastAsia="宋体" w:cs="宋体"/>
          <w:kern w:val="0"/>
          <w:sz w:val="24"/>
          <w:szCs w:val="24"/>
          <w:lang w:eastAsia="zh-CN"/>
        </w:rPr>
      </w:pPr>
      <w:r>
        <w:rPr>
          <w:rFonts w:hint="eastAsia" w:ascii="宋体" w:hAnsi="宋体" w:eastAsia="宋体" w:cs="宋体"/>
          <w:kern w:val="0"/>
          <w:sz w:val="24"/>
          <w:szCs w:val="24"/>
        </w:rPr>
        <w:t>1.项目名称：</w:t>
      </w:r>
      <w:r>
        <w:rPr>
          <w:rFonts w:hint="eastAsia" w:ascii="宋体" w:hAnsi="宋体" w:eastAsia="宋体" w:cs="宋体"/>
          <w:kern w:val="0"/>
          <w:sz w:val="24"/>
          <w:szCs w:val="24"/>
          <w:lang w:eastAsia="zh-CN"/>
        </w:rPr>
        <w:t>徐州市贾汪区老矿片区老旧街区城市更新片区策划项目</w:t>
      </w:r>
    </w:p>
    <w:p w14:paraId="470E048F">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2.项目预算：本项目不接受超过</w:t>
      </w:r>
      <w:r>
        <w:rPr>
          <w:rFonts w:hint="eastAsia" w:ascii="宋体" w:hAnsi="宋体" w:eastAsia="宋体" w:cs="宋体"/>
          <w:kern w:val="0"/>
          <w:sz w:val="24"/>
          <w:szCs w:val="24"/>
          <w:lang w:eastAsia="zh-CN"/>
        </w:rPr>
        <w:t>171万</w:t>
      </w:r>
      <w:r>
        <w:rPr>
          <w:rFonts w:hint="eastAsia" w:ascii="宋体" w:hAnsi="宋体" w:eastAsia="宋体" w:cs="宋体"/>
          <w:kern w:val="0"/>
          <w:sz w:val="24"/>
          <w:szCs w:val="24"/>
        </w:rPr>
        <w:t>元人民币（采购项目预算金额）的报价。（报价超过预算金额的为无效报价，按照无效响应处理。采购人不再支付报价以外的任何费用。）</w:t>
      </w:r>
    </w:p>
    <w:p w14:paraId="2773BCE1">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3.质量标准：符合国家及省、市相关法律法规、政策文件和相关规划，并通过委托方组织的技术评审，获得贾汪区人民政府批复，具体成果内容以采购人要求为准。</w:t>
      </w:r>
    </w:p>
    <w:p w14:paraId="09D46200">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4.服务期限：自合同签订后</w:t>
      </w:r>
      <w:r>
        <w:rPr>
          <w:rFonts w:hint="eastAsia" w:ascii="宋体" w:hAnsi="宋体" w:eastAsia="宋体" w:cs="宋体"/>
          <w:kern w:val="0"/>
          <w:sz w:val="24"/>
          <w:szCs w:val="24"/>
          <w:lang w:eastAsia="zh-CN"/>
        </w:rPr>
        <w:t>90日历天</w:t>
      </w:r>
      <w:r>
        <w:rPr>
          <w:rFonts w:hint="eastAsia" w:ascii="宋体" w:hAnsi="宋体" w:eastAsia="宋体" w:cs="宋体"/>
          <w:kern w:val="0"/>
          <w:sz w:val="24"/>
          <w:szCs w:val="24"/>
        </w:rPr>
        <w:t>内完成报批成果（具体时间安排以采购人要求为准）。</w:t>
      </w:r>
    </w:p>
    <w:p w14:paraId="5D58C6AE">
      <w:pPr>
        <w:widowControl w:val="0"/>
        <w:spacing w:line="440" w:lineRule="exact"/>
        <w:ind w:firstLine="482"/>
        <w:rPr>
          <w:rFonts w:hint="eastAsia" w:ascii="宋体" w:hAnsi="宋体" w:eastAsia="宋体" w:cs="宋体"/>
          <w:b/>
          <w:bCs/>
          <w:kern w:val="0"/>
          <w:sz w:val="24"/>
          <w:szCs w:val="24"/>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highlight w:val="none"/>
        </w:rPr>
        <w:t>项目背景</w:t>
      </w:r>
    </w:p>
    <w:p w14:paraId="7C43F340">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实施城市更新行动，是转变城市发展模式的必然之举，是城市现代化建设的重要抓手。2020年9月，党的十九届五中全会首次提出实施城市更新行动。2021年8月，住房和城乡建设部出台《关于在实施城市更新行动中防止大拆大建的通知》。2022年《中华人民共和国国民经济和社会发展第十四个五年规划和2035年远景目标纲要》及党的二十大报告明确将城市更新上升为国家战略。2023年7月，住建部出台《关于扎实有序推进城市更新工作的通知》，指导各地扎实有序推进实施城市更新行动。2025年1月20日何立峰副总理在全国城市更新工作部署视频会议上要求大力实施城市更新，有力有序有效推进城市更新重点任务；5月15日，中共中央办公厅、国务院办公厅印发《关于持续推进城市更新行动的意见》，提出了城市更新工作要求及目标、八项主要任务，并强调加强支撑保障。</w:t>
      </w:r>
    </w:p>
    <w:p w14:paraId="623391C7">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省级层面城市更新各项工作有力有序推进，江苏省在政策支持、实施路径等方面进行了积极探索。2022年3月，省委、省政府出台《关于实施城市更新行动的指导意见》。2023年4月，江苏省住房和城乡建设厅发布《江苏省城市更新行动指引（2023版）》。2024年5月，省政府印发《关于支持城市更新行动的若干政策措施》，聚焦城市更新工作存在的突出问题精准发力，优化存量、提升品质、完善结构。全省累计遴选实施两批次80个省级试点项目，取得了可观可感的试点成果和示范效应。在全国实施城市更新行动可复制经验做法清单中，江苏省共入选14条，全省城市更新工作取得了阶段性成效。</w:t>
      </w:r>
    </w:p>
    <w:p w14:paraId="4BB5198B">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为深入贯彻国家、省、市关于城市更新工作的决策部署，落实徐州市及贾汪区城市发展总体规划要求，优化老矿街道片区空间布局，完善城市功能配套，激发片区发展新活力，推动区域高质量发展，拟开展本次城市更新片区策划工作。本次规划范围地处贾汪区核心区域，承载着城市发展的历史记忆与未来潜力，通过系统的片区策划，精准破解片区发展瓶颈，盘活存量资源，为后续城市更新项目实施提供科学、可行的规划指引，助力打造宜居、宜业、宜游的高品质城市片区。</w:t>
      </w:r>
    </w:p>
    <w:p w14:paraId="7101A2A8">
      <w:pPr>
        <w:widowControl w:val="0"/>
        <w:spacing w:line="440" w:lineRule="exact"/>
        <w:ind w:firstLine="482"/>
        <w:rPr>
          <w:rFonts w:hint="eastAsia" w:ascii="宋体" w:hAnsi="宋体" w:eastAsia="宋体" w:cs="宋体"/>
          <w:b/>
          <w:bCs/>
          <w:kern w:val="0"/>
          <w:sz w:val="24"/>
          <w:szCs w:val="24"/>
        </w:rPr>
      </w:pPr>
      <w:r>
        <w:rPr>
          <w:rFonts w:hint="eastAsia" w:ascii="宋体" w:hAnsi="宋体" w:eastAsia="宋体" w:cs="宋体"/>
          <w:b/>
          <w:bCs/>
          <w:kern w:val="0"/>
          <w:sz w:val="24"/>
          <w:szCs w:val="24"/>
        </w:rPr>
        <w:t>三、规划范围</w:t>
      </w:r>
    </w:p>
    <w:p w14:paraId="227A00A4">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规划范围为徐州市贾汪区老矿街道，北至泉旺路-军泉路、东至临城河、南至转型大道、西至天能路-徐矿路-将军大街，规划范围总面积约300.3公顷，并可结合城市更新工作需要具体调整。</w:t>
      </w:r>
    </w:p>
    <w:p w14:paraId="4D20CBB7">
      <w:pPr>
        <w:widowControl w:val="0"/>
        <w:spacing w:line="440" w:lineRule="exact"/>
        <w:ind w:firstLine="482"/>
        <w:rPr>
          <w:rFonts w:hint="eastAsia" w:ascii="宋体" w:hAnsi="宋体" w:eastAsia="宋体" w:cs="宋体"/>
          <w:b/>
          <w:bCs/>
          <w:kern w:val="0"/>
          <w:sz w:val="24"/>
          <w:szCs w:val="24"/>
        </w:rPr>
      </w:pPr>
      <w:r>
        <w:rPr>
          <w:rFonts w:hint="eastAsia" w:ascii="宋体" w:hAnsi="宋体" w:eastAsia="宋体" w:cs="宋体"/>
          <w:b/>
          <w:bCs/>
          <w:kern w:val="0"/>
          <w:sz w:val="24"/>
          <w:szCs w:val="24"/>
        </w:rPr>
        <w:t>四、</w:t>
      </w:r>
      <w:r>
        <w:rPr>
          <w:rFonts w:hint="eastAsia" w:ascii="宋体" w:hAnsi="宋体" w:eastAsia="宋体" w:cs="宋体"/>
          <w:b/>
          <w:bCs/>
          <w:kern w:val="0"/>
          <w:sz w:val="24"/>
          <w:szCs w:val="24"/>
          <w:highlight w:val="none"/>
        </w:rPr>
        <w:t>项目须执行的标准、规范</w:t>
      </w:r>
    </w:p>
    <w:p w14:paraId="31AF442E">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1.住房和城乡建设部《关在实施城市更新行动中防止大拆大建的通知》，2021年</w:t>
      </w:r>
    </w:p>
    <w:p w14:paraId="71F2D3CE">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2.中共中央办公厅 国务院办公厅《关于在城乡建设中加强历史文化保护传承的意见》，2021年</w:t>
      </w:r>
    </w:p>
    <w:p w14:paraId="68BE293E">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3.中共中央办公厅 国务院办公厅《关于推动城乡建设绿色发展的意见》，2021年</w:t>
      </w:r>
    </w:p>
    <w:p w14:paraId="037CD8CE">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4.住房和城乡建设部《关于扎实有序推进城市更新工作的通知》，2023年</w:t>
      </w:r>
    </w:p>
    <w:p w14:paraId="4A335645">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5.中共中央办公厅、国务院办公厅印发《关于持续推进城市更新行动的意见》，2025年</w:t>
      </w:r>
    </w:p>
    <w:p w14:paraId="11AF6352">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6.《江苏省关于实施城市更新行动的指导意见》，2022年</w:t>
      </w:r>
    </w:p>
    <w:p w14:paraId="5F151C9A">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7.《江苏省关于支持城市更新行动的若干政策措施》</w:t>
      </w:r>
      <w:bookmarkStart w:id="0" w:name="OLE_LINK14"/>
      <w:r>
        <w:rPr>
          <w:rFonts w:hint="eastAsia" w:ascii="宋体" w:hAnsi="宋体" w:eastAsia="宋体" w:cs="宋体"/>
          <w:kern w:val="0"/>
          <w:sz w:val="24"/>
          <w:szCs w:val="24"/>
        </w:rPr>
        <w:t>，2024年</w:t>
      </w:r>
      <w:bookmarkEnd w:id="0"/>
    </w:p>
    <w:p w14:paraId="268050D4">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8.《江苏省深入实施以人为本的新型城镇化战略五年行动计划实施方案》，2024年</w:t>
      </w:r>
    </w:p>
    <w:p w14:paraId="03651C66">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9《徐州市国土空间总体规划（2021-2035年）》</w:t>
      </w:r>
    </w:p>
    <w:p w14:paraId="12DA1AAA">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10.《徐州市城市更新管理办法》，2025年</w:t>
      </w:r>
    </w:p>
    <w:p w14:paraId="017B477F">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11.国家、江苏省和徐州市其他法律法规和标准规范</w:t>
      </w:r>
    </w:p>
    <w:p w14:paraId="2691A2EA">
      <w:pPr>
        <w:widowControl w:val="0"/>
        <w:spacing w:line="440" w:lineRule="exact"/>
        <w:ind w:firstLine="482"/>
        <w:rPr>
          <w:rFonts w:hint="eastAsia" w:ascii="宋体" w:hAnsi="宋体" w:eastAsia="宋体" w:cs="宋体"/>
          <w:b/>
          <w:bCs/>
          <w:kern w:val="0"/>
          <w:sz w:val="24"/>
          <w:szCs w:val="24"/>
        </w:rPr>
      </w:pPr>
      <w:r>
        <w:rPr>
          <w:rFonts w:hint="eastAsia" w:ascii="宋体" w:hAnsi="宋体" w:eastAsia="宋体" w:cs="宋体"/>
          <w:b/>
          <w:bCs/>
          <w:kern w:val="0"/>
          <w:sz w:val="24"/>
          <w:szCs w:val="24"/>
        </w:rPr>
        <w:t>五、</w:t>
      </w:r>
      <w:r>
        <w:rPr>
          <w:rFonts w:hint="eastAsia" w:ascii="宋体" w:hAnsi="宋体" w:eastAsia="宋体" w:cs="宋体"/>
          <w:b/>
          <w:bCs/>
          <w:kern w:val="0"/>
          <w:sz w:val="24"/>
          <w:szCs w:val="24"/>
          <w:highlight w:val="none"/>
        </w:rPr>
        <w:t>主要内容</w:t>
      </w:r>
    </w:p>
    <w:p w14:paraId="2A4884D5">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本次项目成果应按照住建部《城市更新规划编制导则》关于片区策划工作要求，主要内容包含以下内容：</w:t>
      </w:r>
    </w:p>
    <w:p w14:paraId="4FDA0B6F">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一）片区体检。结合问卷调查、现场踏勘、专题座谈、资料搜集等多途径，综合分析评价片区建设发展状况，调查评估片区历史文化资源，梳理居民、产权人、市场主体等多方利益诉求，摸清存量资源底数，评价更新潜力和价值，深入查找问题短板。</w:t>
      </w:r>
    </w:p>
    <w:p w14:paraId="72623C03">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二）功能业态。围绕完善城市功能、发展新质生产力、培育创新创业空间和打造消费新场景，明确更新片区目标定位、主要功能和业态产业，提出功能转换、产业转型、活力提升要求，确定业态类型、规模以及优化策略，综合测算片区更新经济效益和社会效益。</w:t>
      </w:r>
    </w:p>
    <w:p w14:paraId="32E9D05B">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三）更新项目。结合片区更新潜力、功能业态、设施和交通承载力分析，提出更新模式和实施路径，确定更新项目，划定项目实施范围，提出片区内项目统筹实施、统筹盘活存量土地的要求，明确政府、市场与居民之间合理共担的资金模式。</w:t>
      </w:r>
    </w:p>
    <w:p w14:paraId="7FBE7C45">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（四）设计引导。以城市设计统筹各专业领域，确定公共空间、开发建设强度、城市综合交通、市政基础设施、公共服务设施、历史文化保护等设计要求和详细规划调整建议。</w:t>
      </w:r>
    </w:p>
    <w:p w14:paraId="57F860D5">
      <w:pPr>
        <w:widowControl w:val="0"/>
        <w:spacing w:line="440" w:lineRule="exact"/>
        <w:ind w:firstLine="480"/>
        <w:rPr>
          <w:rFonts w:hint="eastAsia" w:ascii="宋体" w:hAnsi="宋体" w:eastAsia="宋体" w:cs="宋体"/>
          <w:b/>
          <w:bCs/>
          <w:kern w:val="0"/>
          <w:sz w:val="24"/>
          <w:szCs w:val="24"/>
        </w:rPr>
      </w:pPr>
      <w:r>
        <w:rPr>
          <w:rFonts w:hint="eastAsia" w:ascii="宋体" w:hAnsi="宋体" w:eastAsia="宋体" w:cs="宋体"/>
          <w:kern w:val="0"/>
          <w:sz w:val="24"/>
          <w:szCs w:val="24"/>
        </w:rPr>
        <w:t>（五）成果要求。</w:t>
      </w:r>
      <w:r>
        <w:rPr>
          <w:rFonts w:hint="eastAsia" w:ascii="宋体" w:hAnsi="宋体" w:eastAsia="宋体" w:cs="宋体"/>
          <w:kern w:val="0"/>
          <w:sz w:val="24"/>
          <w:szCs w:val="24"/>
          <w:highlight w:val="none"/>
        </w:rPr>
        <w:t>提交《</w:t>
      </w:r>
      <w:r>
        <w:rPr>
          <w:rFonts w:hint="eastAsia" w:ascii="宋体" w:hAnsi="宋体" w:eastAsia="宋体" w:cs="宋体"/>
          <w:kern w:val="0"/>
          <w:sz w:val="24"/>
          <w:szCs w:val="24"/>
          <w:highlight w:val="none"/>
          <w:lang w:eastAsia="zh-CN"/>
        </w:rPr>
        <w:t>徐州市贾汪区老矿片区老旧街区城市更新片区策划项目</w:t>
      </w:r>
      <w:r>
        <w:rPr>
          <w:rFonts w:hint="eastAsia" w:ascii="宋体" w:hAnsi="宋体" w:eastAsia="宋体" w:cs="宋体"/>
          <w:kern w:val="0"/>
          <w:sz w:val="24"/>
          <w:szCs w:val="24"/>
          <w:highlight w:val="none"/>
        </w:rPr>
        <w:t>》成果应当包括规划文本、图表及附件。规划文本内容包括片区体检、定位目标、功能业态策划、功能布局、城市设计引导、各专项引导、实施路径、项目谋划、资金估算等，并根据需要提出详细规划调整建议。图表包括图纸与表格。图纸主要包括区位图、片区范围图、现状用地图、现状土地权属图、更新潜力分析图、功能业态策划图、更新项目分布图及其他需要的图纸；表格主要包括更新项目汇总表、功能业态梳理表及其它需要的表格。附件主要包括详细规划调整建议、评审意见、规划编制与审查过程中的意见、复函、相关文件等。提交纸质成果6套，成果电子文件1套。</w:t>
      </w:r>
    </w:p>
    <w:p w14:paraId="3D766AD0">
      <w:pPr>
        <w:widowControl w:val="0"/>
        <w:spacing w:line="440" w:lineRule="exact"/>
        <w:ind w:firstLine="482"/>
        <w:rPr>
          <w:rFonts w:hint="eastAsia" w:ascii="宋体" w:hAnsi="宋体" w:eastAsia="宋体" w:cs="宋体"/>
          <w:b/>
          <w:bCs/>
          <w:kern w:val="0"/>
          <w:sz w:val="24"/>
          <w:szCs w:val="24"/>
        </w:rPr>
      </w:pPr>
      <w:r>
        <w:rPr>
          <w:rFonts w:hint="eastAsia" w:ascii="宋体" w:hAnsi="宋体" w:eastAsia="宋体" w:cs="宋体"/>
          <w:b/>
          <w:bCs/>
          <w:kern w:val="0"/>
          <w:sz w:val="24"/>
          <w:szCs w:val="24"/>
        </w:rPr>
        <w:t>六、其他服务要求</w:t>
      </w:r>
    </w:p>
    <w:p w14:paraId="2B3BD8AF">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1.对项目背景、现状、任务、内容进行全面理解分析，拟定科学的研究技术路线，分析研究重点、难点并提出解决对策和建议。提供优质的全过程服务，包括配合召开专家技术评审会、报批、发布等。</w:t>
      </w:r>
    </w:p>
    <w:p w14:paraId="104703FD">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2.工作计划安排科学合理。</w:t>
      </w:r>
    </w:p>
    <w:p w14:paraId="3B232471">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3.根据采购需求及评分标准制定相应的投标方案。</w:t>
      </w:r>
    </w:p>
    <w:p w14:paraId="5B6C3244">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4.供应商应遵守相关的保密要求，对采购单位提交的相关文件、资料等不得随意外泄。</w:t>
      </w:r>
    </w:p>
    <w:p w14:paraId="0E088AC1">
      <w:pPr>
        <w:widowControl w:val="0"/>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5.成交供应商应充分考虑项目实施过程中的各项安全风险，并采取必要的措施予以保障；若项目实施过程中发生任何安全事故或人身伤害，则均由成交供应商自行承担。</w:t>
      </w:r>
    </w:p>
    <w:p w14:paraId="30EC9800">
      <w:pPr>
        <w:ind w:firstLine="480" w:firstLineChars="200"/>
      </w:pPr>
      <w:r>
        <w:rPr>
          <w:rFonts w:hint="eastAsia" w:ascii="宋体" w:hAnsi="宋体" w:eastAsia="宋体" w:cs="宋体"/>
          <w:kern w:val="0"/>
          <w:sz w:val="24"/>
          <w:szCs w:val="24"/>
        </w:rPr>
        <w:t>6.其他内容见《磋商文件》附件6《拟签订的合同文本》。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A58C5"/>
    <w:rsid w:val="013A58C5"/>
    <w:rsid w:val="02263011"/>
    <w:rsid w:val="077F1F0C"/>
    <w:rsid w:val="09D3261B"/>
    <w:rsid w:val="0DBB5D95"/>
    <w:rsid w:val="13773F70"/>
    <w:rsid w:val="15E4207A"/>
    <w:rsid w:val="17E430E8"/>
    <w:rsid w:val="196B048E"/>
    <w:rsid w:val="23E6791D"/>
    <w:rsid w:val="2C9767B6"/>
    <w:rsid w:val="329E7DD8"/>
    <w:rsid w:val="37055D19"/>
    <w:rsid w:val="3D2F1AAB"/>
    <w:rsid w:val="3FE92FF1"/>
    <w:rsid w:val="3FFC0F4A"/>
    <w:rsid w:val="45AC15E4"/>
    <w:rsid w:val="4D8914A1"/>
    <w:rsid w:val="559F4A5E"/>
    <w:rsid w:val="5687183C"/>
    <w:rsid w:val="59EC17ED"/>
    <w:rsid w:val="5D500C5B"/>
    <w:rsid w:val="63A4104A"/>
    <w:rsid w:val="643E0295"/>
    <w:rsid w:val="65315464"/>
    <w:rsid w:val="66475F28"/>
    <w:rsid w:val="67FF08B6"/>
    <w:rsid w:val="69DA03F9"/>
    <w:rsid w:val="6D0C22ED"/>
    <w:rsid w:val="765A26F8"/>
    <w:rsid w:val="77156657"/>
    <w:rsid w:val="7BFD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next w:val="1"/>
    <w:unhideWhenUsed/>
    <w:qFormat/>
    <w:uiPriority w:val="99"/>
    <w:pPr>
      <w:widowControl w:val="0"/>
      <w:spacing w:after="120"/>
      <w:ind w:left="1440" w:leftChars="700" w:right="1440" w:rightChars="7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2578</Words>
  <Characters>2694</Characters>
  <Lines>0</Lines>
  <Paragraphs>0</Paragraphs>
  <TotalTime>2</TotalTime>
  <ScaleCrop>false</ScaleCrop>
  <LinksUpToDate>false</LinksUpToDate>
  <CharactersWithSpaces>2696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2026-03-24T07:30:00Z</dcterms:created>
  <dc:creator>小尹</dc:creator>
  <cp:lastModifiedBy>小尹</cp:lastModifiedBy>
  <dcterms:modified xsi:type="dcterms:W3CDTF">2026-03-24T08:25:57Z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39ED01184B3049F188C06770F2B65E89_11</vt:lpwstr>
  </property>
  <property fmtid="{D5CDD505-2E9C-101B-9397-08002B2CF9AE}" pid="4" name="KSOTemplateDocerSaveRecord">
    <vt:lpwstr>eyJoZGlkIjoiNzMyOTZiMzkyMjliMWYyMWE2NGFmNmMyYzRkNGQ2M2QiLCJ1c2VySWQiOiI0ODQ3NjExODcifQ==</vt:lpwstr>
  </property>
</Properties>
</file>