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7EEA4">
      <w:pPr>
        <w:widowControl w:val="0"/>
        <w:numPr>
          <w:ilvl w:val="0"/>
          <w:numId w:val="0"/>
        </w:numPr>
        <w:jc w:val="both"/>
        <w:rPr>
          <w:rFonts w:hint="eastAsia" w:ascii="宋体" w:hAnsi="宋体" w:cs="宋体"/>
          <w:b w:val="0"/>
          <w:bCs w:val="0"/>
          <w:sz w:val="24"/>
          <w:szCs w:val="24"/>
          <w:highlight w:val="none"/>
          <w:u w:val="none"/>
          <w:lang w:val="en-US" w:eastAsia="zh-CN"/>
        </w:rPr>
      </w:pPr>
    </w:p>
    <w:p w14:paraId="02ED0940">
      <w:pPr>
        <w:spacing w:line="360" w:lineRule="auto"/>
        <w:rPr>
          <w:rFonts w:ascii="宋体" w:hAnsi="宋体"/>
          <w:color w:val="000000"/>
          <w:sz w:val="28"/>
          <w:szCs w:val="28"/>
        </w:rPr>
      </w:pPr>
      <w:bookmarkStart w:id="0" w:name="_Toc20928"/>
      <w:r>
        <w:rPr>
          <w:rFonts w:hint="eastAsia" w:ascii="宋体" w:hAnsi="宋体"/>
          <w:color w:val="000000"/>
          <w:sz w:val="28"/>
          <w:szCs w:val="28"/>
        </w:rPr>
        <w:t>附件：</w:t>
      </w:r>
    </w:p>
    <w:p w14:paraId="6BAF9962">
      <w:pPr>
        <w:spacing w:line="360" w:lineRule="auto"/>
        <w:rPr>
          <w:rFonts w:ascii="宋体" w:hAnsi="宋体"/>
          <w:color w:val="000000"/>
          <w:sz w:val="24"/>
        </w:rPr>
      </w:pPr>
      <w:r>
        <w:rPr>
          <w:rFonts w:hint="eastAsia" w:ascii="宋体" w:hAnsi="宋体"/>
          <w:color w:val="000000"/>
          <w:sz w:val="28"/>
          <w:szCs w:val="28"/>
        </w:rPr>
        <w:t>如有建议或意见，请以书面形式并加盖公章、注明联系人、联系方式，于202</w:t>
      </w:r>
      <w:r>
        <w:rPr>
          <w:rFonts w:hint="eastAsia" w:ascii="宋体" w:hAnsi="宋体"/>
          <w:color w:val="000000"/>
          <w:sz w:val="28"/>
          <w:szCs w:val="28"/>
          <w:lang w:val="en-US" w:eastAsia="zh-CN"/>
        </w:rPr>
        <w:t>6</w:t>
      </w:r>
      <w:r>
        <w:rPr>
          <w:rFonts w:hint="eastAsia" w:ascii="宋体" w:hAnsi="宋体"/>
          <w:color w:val="000000"/>
          <w:sz w:val="28"/>
          <w:szCs w:val="28"/>
        </w:rPr>
        <w:t>年</w:t>
      </w:r>
      <w:r>
        <w:rPr>
          <w:rFonts w:hint="eastAsia" w:ascii="宋体" w:hAnsi="宋体"/>
          <w:color w:val="000000"/>
          <w:sz w:val="28"/>
          <w:szCs w:val="28"/>
          <w:lang w:val="en-US" w:eastAsia="zh-CN"/>
        </w:rPr>
        <w:t>05</w:t>
      </w:r>
      <w:r>
        <w:rPr>
          <w:rFonts w:hint="eastAsia" w:ascii="宋体" w:hAnsi="宋体"/>
          <w:color w:val="000000"/>
          <w:sz w:val="28"/>
          <w:szCs w:val="28"/>
        </w:rPr>
        <w:t>月</w:t>
      </w:r>
      <w:r>
        <w:rPr>
          <w:rFonts w:hint="eastAsia" w:ascii="宋体" w:hAnsi="宋体"/>
          <w:color w:val="000000"/>
          <w:sz w:val="28"/>
          <w:szCs w:val="28"/>
          <w:lang w:val="en-US" w:eastAsia="zh-CN"/>
        </w:rPr>
        <w:t>09</w:t>
      </w:r>
      <w:r>
        <w:rPr>
          <w:rFonts w:hint="eastAsia" w:ascii="宋体" w:hAnsi="宋体"/>
          <w:color w:val="000000"/>
          <w:sz w:val="28"/>
          <w:szCs w:val="28"/>
        </w:rPr>
        <w:t>日17:00之前送至我单位，逾期不受理（如邮寄，202</w:t>
      </w:r>
      <w:r>
        <w:rPr>
          <w:rFonts w:hint="eastAsia" w:ascii="宋体" w:hAnsi="宋体"/>
          <w:color w:val="000000"/>
          <w:sz w:val="28"/>
          <w:szCs w:val="28"/>
          <w:lang w:val="en-US" w:eastAsia="zh-CN"/>
        </w:rPr>
        <w:t>6</w:t>
      </w:r>
      <w:r>
        <w:rPr>
          <w:rFonts w:hint="eastAsia" w:ascii="宋体" w:hAnsi="宋体"/>
          <w:color w:val="000000"/>
          <w:sz w:val="28"/>
          <w:szCs w:val="28"/>
        </w:rPr>
        <w:t>年</w:t>
      </w:r>
      <w:r>
        <w:rPr>
          <w:rFonts w:hint="eastAsia" w:ascii="宋体" w:hAnsi="宋体"/>
          <w:color w:val="000000"/>
          <w:sz w:val="28"/>
          <w:szCs w:val="28"/>
          <w:lang w:val="en-US" w:eastAsia="zh-CN"/>
        </w:rPr>
        <w:t>05</w:t>
      </w:r>
      <w:r>
        <w:rPr>
          <w:rFonts w:hint="eastAsia" w:ascii="宋体" w:hAnsi="宋体"/>
          <w:color w:val="000000"/>
          <w:sz w:val="28"/>
          <w:szCs w:val="28"/>
        </w:rPr>
        <w:t>月</w:t>
      </w:r>
      <w:r>
        <w:rPr>
          <w:rFonts w:hint="eastAsia" w:ascii="宋体" w:hAnsi="宋体"/>
          <w:color w:val="000000"/>
          <w:sz w:val="28"/>
          <w:szCs w:val="28"/>
          <w:lang w:val="en-US" w:eastAsia="zh-CN"/>
        </w:rPr>
        <w:t>09</w:t>
      </w:r>
      <w:r>
        <w:rPr>
          <w:rFonts w:hint="eastAsia" w:ascii="宋体" w:hAnsi="宋体"/>
          <w:color w:val="000000"/>
          <w:sz w:val="28"/>
          <w:szCs w:val="28"/>
        </w:rPr>
        <w:t>日17:00之后到达本公司的邮件将不再受理）。</w:t>
      </w:r>
    </w:p>
    <w:p w14:paraId="23E1C401">
      <w:pPr>
        <w:spacing w:line="360" w:lineRule="auto"/>
        <w:jc w:val="center"/>
        <w:outlineLvl w:val="0"/>
        <w:rPr>
          <w:rFonts w:hint="eastAsia" w:ascii="宋体" w:hAnsi="宋体" w:eastAsia="宋体" w:cs="宋体"/>
          <w:b/>
          <w:bCs/>
          <w:sz w:val="32"/>
          <w:highlight w:val="none"/>
          <w:lang w:val="en-US" w:eastAsia="zh-CN"/>
        </w:rPr>
      </w:pPr>
    </w:p>
    <w:p w14:paraId="465F2757">
      <w:pPr>
        <w:spacing w:line="360" w:lineRule="auto"/>
        <w:jc w:val="center"/>
        <w:outlineLvl w:val="0"/>
        <w:rPr>
          <w:rFonts w:hint="eastAsia" w:ascii="宋体" w:hAnsi="宋体" w:eastAsia="宋体" w:cs="宋体"/>
          <w:b/>
          <w:bCs/>
          <w:sz w:val="32"/>
          <w:highlight w:val="none"/>
          <w:lang w:val="en-US" w:eastAsia="zh-CN"/>
        </w:rPr>
      </w:pPr>
    </w:p>
    <w:p w14:paraId="71AE3355">
      <w:pPr>
        <w:spacing w:line="360" w:lineRule="auto"/>
        <w:jc w:val="center"/>
        <w:outlineLvl w:val="0"/>
        <w:rPr>
          <w:rFonts w:hint="eastAsia" w:ascii="宋体" w:hAnsi="宋体" w:eastAsia="宋体" w:cs="宋体"/>
          <w:b/>
          <w:bCs/>
          <w:sz w:val="32"/>
          <w:highlight w:val="none"/>
          <w:lang w:val="en-US" w:eastAsia="zh-CN"/>
        </w:rPr>
      </w:pPr>
    </w:p>
    <w:p w14:paraId="767EA9BB">
      <w:pPr>
        <w:spacing w:line="360" w:lineRule="auto"/>
        <w:jc w:val="center"/>
        <w:outlineLvl w:val="0"/>
        <w:rPr>
          <w:rFonts w:hint="eastAsia" w:ascii="宋体" w:hAnsi="宋体" w:eastAsia="宋体" w:cs="宋体"/>
          <w:b/>
          <w:bCs/>
          <w:sz w:val="32"/>
          <w:highlight w:val="none"/>
          <w:lang w:val="en-US" w:eastAsia="zh-CN"/>
        </w:rPr>
      </w:pPr>
    </w:p>
    <w:p w14:paraId="4163D33E">
      <w:pPr>
        <w:spacing w:line="360" w:lineRule="auto"/>
        <w:jc w:val="center"/>
        <w:outlineLvl w:val="0"/>
        <w:rPr>
          <w:rFonts w:hint="eastAsia" w:ascii="宋体" w:hAnsi="宋体" w:eastAsia="宋体" w:cs="宋体"/>
          <w:b/>
          <w:bCs/>
          <w:sz w:val="32"/>
          <w:highlight w:val="none"/>
          <w:lang w:val="en-US" w:eastAsia="zh-CN"/>
        </w:rPr>
      </w:pPr>
    </w:p>
    <w:p w14:paraId="04E27891">
      <w:pPr>
        <w:spacing w:line="360" w:lineRule="auto"/>
        <w:jc w:val="center"/>
        <w:outlineLvl w:val="0"/>
        <w:rPr>
          <w:rFonts w:hint="eastAsia" w:ascii="宋体" w:hAnsi="宋体" w:eastAsia="宋体" w:cs="宋体"/>
          <w:b/>
          <w:bCs/>
          <w:sz w:val="32"/>
          <w:highlight w:val="none"/>
          <w:lang w:val="en-US" w:eastAsia="zh-CN"/>
        </w:rPr>
      </w:pPr>
    </w:p>
    <w:p w14:paraId="0E838B00">
      <w:pPr>
        <w:spacing w:line="360" w:lineRule="auto"/>
        <w:jc w:val="both"/>
        <w:outlineLvl w:val="0"/>
        <w:rPr>
          <w:rFonts w:hint="eastAsia" w:ascii="宋体" w:hAnsi="宋体" w:eastAsia="宋体" w:cs="宋体"/>
          <w:b/>
          <w:bCs/>
          <w:sz w:val="32"/>
          <w:highlight w:val="none"/>
          <w:lang w:val="en-US" w:eastAsia="zh-CN"/>
        </w:rPr>
      </w:pPr>
    </w:p>
    <w:p w14:paraId="70E99778">
      <w:pPr>
        <w:pStyle w:val="3"/>
        <w:rPr>
          <w:rFonts w:hint="eastAsia" w:ascii="宋体" w:hAnsi="宋体" w:eastAsia="宋体" w:cs="宋体"/>
          <w:b/>
          <w:bCs/>
          <w:sz w:val="32"/>
          <w:highlight w:val="none"/>
          <w:lang w:val="en-US" w:eastAsia="zh-CN"/>
        </w:rPr>
      </w:pPr>
    </w:p>
    <w:p w14:paraId="0E383894">
      <w:pPr>
        <w:rPr>
          <w:rFonts w:hint="eastAsia" w:ascii="宋体" w:hAnsi="宋体" w:eastAsia="宋体" w:cs="宋体"/>
          <w:b/>
          <w:bCs/>
          <w:sz w:val="32"/>
          <w:highlight w:val="none"/>
          <w:lang w:val="en-US" w:eastAsia="zh-CN"/>
        </w:rPr>
      </w:pPr>
    </w:p>
    <w:p w14:paraId="72BA72E7">
      <w:pPr>
        <w:pStyle w:val="3"/>
        <w:rPr>
          <w:rFonts w:hint="eastAsia" w:ascii="宋体" w:hAnsi="宋体" w:eastAsia="宋体" w:cs="宋体"/>
          <w:b/>
          <w:bCs/>
          <w:sz w:val="32"/>
          <w:highlight w:val="none"/>
          <w:lang w:val="en-US" w:eastAsia="zh-CN"/>
        </w:rPr>
      </w:pPr>
    </w:p>
    <w:p w14:paraId="2B800F0A">
      <w:pPr>
        <w:rPr>
          <w:rFonts w:hint="eastAsia" w:ascii="宋体" w:hAnsi="宋体" w:eastAsia="宋体" w:cs="宋体"/>
          <w:b/>
          <w:bCs/>
          <w:sz w:val="32"/>
          <w:highlight w:val="none"/>
          <w:lang w:val="en-US" w:eastAsia="zh-CN"/>
        </w:rPr>
      </w:pPr>
    </w:p>
    <w:p w14:paraId="09973CB9">
      <w:pPr>
        <w:pStyle w:val="3"/>
        <w:rPr>
          <w:rFonts w:hint="eastAsia" w:ascii="宋体" w:hAnsi="宋体" w:eastAsia="宋体" w:cs="宋体"/>
          <w:b/>
          <w:bCs/>
          <w:sz w:val="32"/>
          <w:highlight w:val="none"/>
          <w:lang w:val="en-US" w:eastAsia="zh-CN"/>
        </w:rPr>
      </w:pPr>
    </w:p>
    <w:p w14:paraId="247158EA">
      <w:pPr>
        <w:rPr>
          <w:rFonts w:hint="eastAsia" w:ascii="宋体" w:hAnsi="宋体" w:eastAsia="宋体" w:cs="宋体"/>
          <w:b/>
          <w:bCs/>
          <w:sz w:val="32"/>
          <w:highlight w:val="none"/>
          <w:lang w:val="en-US" w:eastAsia="zh-CN"/>
        </w:rPr>
      </w:pPr>
    </w:p>
    <w:p w14:paraId="6818497E">
      <w:pPr>
        <w:pStyle w:val="3"/>
        <w:rPr>
          <w:rFonts w:hint="eastAsia" w:ascii="宋体" w:hAnsi="宋体" w:eastAsia="宋体" w:cs="宋体"/>
          <w:b/>
          <w:bCs/>
          <w:sz w:val="32"/>
          <w:highlight w:val="none"/>
          <w:lang w:val="en-US" w:eastAsia="zh-CN"/>
        </w:rPr>
      </w:pPr>
    </w:p>
    <w:p w14:paraId="729C8193">
      <w:pPr>
        <w:rPr>
          <w:rFonts w:hint="eastAsia" w:ascii="宋体" w:hAnsi="宋体" w:eastAsia="宋体" w:cs="宋体"/>
          <w:b/>
          <w:bCs/>
          <w:sz w:val="32"/>
          <w:highlight w:val="none"/>
          <w:lang w:val="en-US" w:eastAsia="zh-CN"/>
        </w:rPr>
      </w:pPr>
    </w:p>
    <w:p w14:paraId="044711FB">
      <w:pPr>
        <w:pStyle w:val="3"/>
        <w:rPr>
          <w:rFonts w:hint="eastAsia" w:ascii="宋体" w:hAnsi="宋体" w:eastAsia="宋体" w:cs="宋体"/>
          <w:b/>
          <w:bCs/>
          <w:sz w:val="32"/>
          <w:highlight w:val="none"/>
          <w:lang w:val="en-US" w:eastAsia="zh-CN"/>
        </w:rPr>
      </w:pPr>
    </w:p>
    <w:p w14:paraId="57181718">
      <w:pPr>
        <w:pStyle w:val="3"/>
        <w:ind w:left="0" w:leftChars="0" w:firstLine="0" w:firstLineChars="0"/>
        <w:rPr>
          <w:rFonts w:hint="eastAsia"/>
          <w:lang w:val="en-US" w:eastAsia="zh-CN"/>
        </w:rPr>
      </w:pPr>
    </w:p>
    <w:p w14:paraId="70B74F32">
      <w:pPr>
        <w:spacing w:line="360" w:lineRule="auto"/>
        <w:jc w:val="center"/>
        <w:outlineLvl w:val="0"/>
        <w:rPr>
          <w:rFonts w:hint="eastAsia" w:ascii="宋体" w:hAnsi="宋体" w:eastAsia="宋体" w:cs="宋体"/>
          <w:b/>
          <w:bCs/>
          <w:sz w:val="32"/>
          <w:highlight w:val="none"/>
          <w:lang w:val="en-US" w:eastAsia="zh-CN"/>
        </w:rPr>
      </w:pPr>
    </w:p>
    <w:bookmarkEnd w:id="0"/>
    <w:p w14:paraId="637070F7">
      <w:pPr>
        <w:spacing w:line="360" w:lineRule="auto"/>
        <w:jc w:val="center"/>
        <w:outlineLvl w:val="0"/>
        <w:rPr>
          <w:rFonts w:hint="eastAsia" w:ascii="宋体" w:hAnsi="宋体" w:eastAsia="宋体" w:cs="宋体"/>
          <w:highlight w:val="none"/>
          <w:lang w:eastAsia="zh-CN"/>
        </w:rPr>
      </w:pPr>
      <w:r>
        <w:rPr>
          <w:rFonts w:hint="eastAsia" w:ascii="宋体" w:hAnsi="宋体" w:eastAsia="宋体" w:cs="宋体"/>
          <w:b/>
          <w:bCs/>
          <w:sz w:val="32"/>
          <w:highlight w:val="none"/>
          <w:lang w:val="en-US" w:eastAsia="zh-CN"/>
        </w:rPr>
        <w:t xml:space="preserve">第八章 </w:t>
      </w:r>
      <w:bookmarkStart w:id="1" w:name="_Toc316486464"/>
      <w:bookmarkStart w:id="2" w:name="_Toc339114187"/>
      <w:bookmarkStart w:id="3" w:name="_Toc331665135"/>
      <w:r>
        <w:rPr>
          <w:rFonts w:hint="eastAsia" w:ascii="宋体" w:hAnsi="宋体" w:eastAsia="宋体" w:cs="宋体"/>
          <w:b/>
          <w:bCs/>
          <w:sz w:val="32"/>
          <w:highlight w:val="none"/>
          <w:lang w:val="en-US" w:eastAsia="zh-CN"/>
        </w:rPr>
        <w:t>采购</w:t>
      </w:r>
      <w:r>
        <w:rPr>
          <w:rFonts w:hint="eastAsia" w:ascii="宋体" w:hAnsi="宋体" w:cs="宋体"/>
          <w:b/>
          <w:bCs/>
          <w:sz w:val="32"/>
          <w:highlight w:val="none"/>
          <w:lang w:val="en-US" w:eastAsia="zh-CN"/>
        </w:rPr>
        <w:t>需求</w:t>
      </w:r>
    </w:p>
    <w:p w14:paraId="165ECA64">
      <w:pPr>
        <w:pBdr>
          <w:top w:val="none" w:color="000000" w:sz="0" w:space="0"/>
          <w:left w:val="none" w:color="000000" w:sz="0" w:space="0"/>
          <w:bottom w:val="none" w:color="000000" w:sz="0" w:space="0"/>
          <w:right w:val="none" w:color="000000" w:sz="0" w:space="0"/>
        </w:pBdr>
        <w:spacing w:after="0" w:line="360" w:lineRule="auto"/>
        <w:jc w:val="both"/>
        <w:rPr>
          <w:rFonts w:ascii="宋体" w:hAnsi="宋体" w:cs="宋体"/>
          <w:b/>
          <w:bCs/>
          <w:sz w:val="24"/>
          <w:szCs w:val="24"/>
          <w:lang w:eastAsia="zh-CN"/>
        </w:rPr>
      </w:pPr>
      <w:r>
        <w:rPr>
          <w:rFonts w:hint="eastAsia" w:ascii="宋体" w:hAnsi="宋体"/>
          <w:b/>
          <w:bCs/>
          <w:color w:val="000000"/>
          <w:sz w:val="24"/>
          <w:highlight w:val="none"/>
          <w:lang w:val="en-US" w:eastAsia="zh-CN"/>
        </w:rPr>
        <w:t xml:space="preserve">一  </w:t>
      </w:r>
      <w:r>
        <w:rPr>
          <w:rFonts w:hint="eastAsia" w:ascii="宋体" w:hAnsi="宋体" w:cs="宋体"/>
          <w:b/>
          <w:bCs/>
          <w:sz w:val="24"/>
          <w:szCs w:val="24"/>
          <w:lang w:eastAsia="zh-CN"/>
        </w:rPr>
        <w:t>采购项目预算金额</w:t>
      </w:r>
    </w:p>
    <w:p w14:paraId="5068AFB9">
      <w:pPr>
        <w:spacing w:after="0" w:line="360" w:lineRule="auto"/>
        <w:ind w:firstLine="480"/>
        <w:rPr>
          <w:rFonts w:hint="eastAsia" w:ascii="宋体" w:hAnsi="宋体" w:cs="宋体"/>
          <w:kern w:val="0"/>
          <w:sz w:val="24"/>
          <w:highlight w:val="none"/>
          <w:lang w:val="en-US" w:eastAsia="zh-CN"/>
        </w:rPr>
      </w:pPr>
      <w:r>
        <w:rPr>
          <w:rFonts w:hint="eastAsia" w:ascii="宋体" w:hAnsi="宋体" w:cs="宋体"/>
          <w:sz w:val="24"/>
          <w:szCs w:val="24"/>
          <w:lang w:eastAsia="zh-CN"/>
        </w:rPr>
        <w:t>（一）</w:t>
      </w:r>
      <w:r>
        <w:rPr>
          <w:rFonts w:hint="eastAsia" w:ascii="宋体" w:hAnsi="宋体" w:eastAsia="宋体" w:cs="宋体"/>
          <w:b/>
          <w:bCs/>
          <w:color w:val="000000"/>
          <w:sz w:val="24"/>
          <w:highlight w:val="none"/>
        </w:rPr>
        <w:t>本项目</w:t>
      </w:r>
      <w:r>
        <w:rPr>
          <w:rFonts w:hint="eastAsia" w:ascii="宋体" w:hAnsi="宋体" w:cs="宋体"/>
          <w:b/>
          <w:bCs/>
          <w:color w:val="000000"/>
          <w:sz w:val="24"/>
          <w:highlight w:val="none"/>
          <w:lang w:eastAsia="zh-CN"/>
        </w:rPr>
        <w:t>共分四个采购包，采购包一</w:t>
      </w:r>
      <w:bookmarkStart w:id="4" w:name="OLE_LINK12"/>
      <w:r>
        <w:rPr>
          <w:rFonts w:hint="eastAsia" w:ascii="宋体" w:hAnsi="宋体" w:cs="宋体"/>
          <w:b/>
          <w:bCs/>
          <w:color w:val="000000"/>
          <w:sz w:val="24"/>
          <w:highlight w:val="none"/>
          <w:lang w:eastAsia="zh-CN"/>
        </w:rPr>
        <w:t>（</w:t>
      </w:r>
      <w:r>
        <w:rPr>
          <w:rFonts w:hint="eastAsia" w:ascii="宋体" w:hAnsi="宋体" w:cs="宋体"/>
          <w:b/>
          <w:bCs/>
          <w:sz w:val="24"/>
          <w:szCs w:val="24"/>
          <w:lang w:eastAsia="zh-CN"/>
        </w:rPr>
        <w:t>龙王庄地块（一、二）面积55492.81平方米，合83.24亩，</w:t>
      </w:r>
      <w:r>
        <w:rPr>
          <w:rFonts w:hint="eastAsia" w:ascii="宋体" w:hAnsi="宋体" w:cs="宋体"/>
          <w:b/>
          <w:bCs/>
          <w:color w:val="000000"/>
          <w:sz w:val="24"/>
          <w:highlight w:val="none"/>
          <w:lang w:eastAsia="zh-CN"/>
        </w:rPr>
        <w:t>采购预算为</w:t>
      </w:r>
      <w:r>
        <w:rPr>
          <w:rFonts w:hint="eastAsia" w:ascii="宋体" w:hAnsi="宋体" w:cs="宋体"/>
          <w:b/>
          <w:bCs/>
          <w:color w:val="000000"/>
          <w:sz w:val="24"/>
          <w:highlight w:val="none"/>
          <w:lang w:val="en-US" w:eastAsia="zh-CN"/>
        </w:rPr>
        <w:t>42.8</w:t>
      </w:r>
      <w:r>
        <w:rPr>
          <w:rFonts w:hint="eastAsia" w:ascii="宋体" w:hAnsi="宋体" w:eastAsia="宋体" w:cs="宋体"/>
          <w:b/>
          <w:bCs/>
          <w:color w:val="000000"/>
          <w:sz w:val="24"/>
          <w:highlight w:val="none"/>
          <w:lang w:val="en-US" w:eastAsia="zh-CN"/>
        </w:rPr>
        <w:t>万元</w:t>
      </w:r>
      <w:r>
        <w:rPr>
          <w:rFonts w:hint="eastAsia" w:ascii="宋体" w:hAnsi="宋体" w:eastAsia="宋体" w:cs="宋体"/>
          <w:b/>
          <w:bCs/>
          <w:color w:val="000000"/>
          <w:sz w:val="24"/>
          <w:highlight w:val="none"/>
        </w:rPr>
        <w:t>人民币</w:t>
      </w:r>
      <w:r>
        <w:rPr>
          <w:rFonts w:hint="eastAsia" w:ascii="宋体" w:hAnsi="宋体" w:cs="宋体"/>
          <w:b/>
          <w:bCs/>
          <w:color w:val="000000"/>
          <w:sz w:val="24"/>
          <w:highlight w:val="none"/>
          <w:lang w:eastAsia="zh-CN"/>
        </w:rPr>
        <w:t>）</w:t>
      </w:r>
      <w:bookmarkEnd w:id="4"/>
      <w:r>
        <w:rPr>
          <w:rFonts w:hint="eastAsia" w:ascii="宋体" w:hAnsi="宋体" w:eastAsia="宋体" w:cs="宋体"/>
          <w:b/>
          <w:bCs/>
          <w:color w:val="000000"/>
          <w:sz w:val="24"/>
          <w:highlight w:val="none"/>
          <w:lang w:eastAsia="zh-CN"/>
        </w:rPr>
        <w:t>，</w:t>
      </w:r>
      <w:r>
        <w:rPr>
          <w:rFonts w:hint="eastAsia" w:ascii="宋体" w:hAnsi="宋体" w:cs="宋体"/>
          <w:b/>
          <w:bCs/>
          <w:color w:val="000000"/>
          <w:sz w:val="24"/>
          <w:highlight w:val="none"/>
          <w:lang w:eastAsia="zh-CN"/>
        </w:rPr>
        <w:t>采购包二（</w:t>
      </w:r>
      <w:r>
        <w:rPr>
          <w:rFonts w:hint="eastAsia" w:ascii="宋体" w:hAnsi="宋体" w:cs="宋体"/>
          <w:b/>
          <w:bCs/>
          <w:sz w:val="24"/>
          <w:szCs w:val="24"/>
          <w:lang w:eastAsia="zh-CN"/>
        </w:rPr>
        <w:t>城东综合生活区31698.03平方米，合47.55亩，</w:t>
      </w:r>
      <w:r>
        <w:rPr>
          <w:rFonts w:hint="eastAsia" w:ascii="宋体" w:hAnsi="宋体" w:cs="宋体"/>
          <w:b/>
          <w:bCs/>
          <w:color w:val="000000"/>
          <w:sz w:val="24"/>
          <w:highlight w:val="none"/>
          <w:lang w:eastAsia="zh-CN"/>
        </w:rPr>
        <w:t>采购预算为</w:t>
      </w:r>
      <w:r>
        <w:rPr>
          <w:rFonts w:hint="eastAsia" w:ascii="宋体" w:hAnsi="宋体" w:cs="宋体"/>
          <w:b/>
          <w:bCs/>
          <w:color w:val="000000"/>
          <w:sz w:val="24"/>
          <w:highlight w:val="none"/>
          <w:lang w:val="en-US" w:eastAsia="zh-CN"/>
        </w:rPr>
        <w:t>40</w:t>
      </w:r>
      <w:r>
        <w:rPr>
          <w:rFonts w:hint="eastAsia" w:ascii="宋体" w:hAnsi="宋体" w:eastAsia="宋体" w:cs="宋体"/>
          <w:b/>
          <w:bCs/>
          <w:color w:val="000000"/>
          <w:sz w:val="24"/>
          <w:highlight w:val="none"/>
          <w:lang w:val="en-US" w:eastAsia="zh-CN"/>
        </w:rPr>
        <w:t>万元</w:t>
      </w:r>
      <w:r>
        <w:rPr>
          <w:rFonts w:hint="eastAsia" w:ascii="宋体" w:hAnsi="宋体" w:eastAsia="宋体" w:cs="宋体"/>
          <w:b/>
          <w:bCs/>
          <w:color w:val="000000"/>
          <w:sz w:val="24"/>
          <w:highlight w:val="none"/>
        </w:rPr>
        <w:t>人民币</w:t>
      </w:r>
      <w:r>
        <w:rPr>
          <w:rFonts w:hint="eastAsia" w:ascii="宋体" w:hAnsi="宋体" w:cs="宋体"/>
          <w:b/>
          <w:bCs/>
          <w:color w:val="000000"/>
          <w:sz w:val="24"/>
          <w:highlight w:val="none"/>
          <w:lang w:eastAsia="zh-CN"/>
        </w:rPr>
        <w:t>）</w:t>
      </w:r>
      <w:r>
        <w:rPr>
          <w:rFonts w:hint="eastAsia" w:ascii="宋体" w:hAnsi="宋体" w:eastAsia="宋体" w:cs="宋体"/>
          <w:b/>
          <w:bCs/>
          <w:color w:val="000000"/>
          <w:sz w:val="24"/>
          <w:highlight w:val="none"/>
          <w:lang w:eastAsia="zh-CN"/>
        </w:rPr>
        <w:t>，</w:t>
      </w:r>
      <w:r>
        <w:rPr>
          <w:rFonts w:hint="eastAsia" w:ascii="宋体" w:hAnsi="宋体" w:cs="宋体"/>
          <w:b/>
          <w:bCs/>
          <w:color w:val="000000"/>
          <w:sz w:val="24"/>
          <w:highlight w:val="none"/>
          <w:lang w:eastAsia="zh-CN"/>
        </w:rPr>
        <w:t>采购包三（</w:t>
      </w:r>
      <w:r>
        <w:rPr>
          <w:rFonts w:hint="eastAsia" w:ascii="宋体" w:hAnsi="宋体" w:cs="宋体"/>
          <w:b/>
          <w:bCs/>
          <w:sz w:val="24"/>
          <w:szCs w:val="24"/>
          <w:lang w:eastAsia="zh-CN"/>
        </w:rPr>
        <w:t>郝寨地块三面积28397.7平方米，合42.6亩，</w:t>
      </w:r>
      <w:r>
        <w:rPr>
          <w:rFonts w:hint="eastAsia" w:ascii="宋体" w:hAnsi="宋体" w:cs="宋体"/>
          <w:b/>
          <w:bCs/>
          <w:color w:val="000000"/>
          <w:sz w:val="24"/>
          <w:highlight w:val="none"/>
          <w:lang w:eastAsia="zh-CN"/>
        </w:rPr>
        <w:t>采购预算为</w:t>
      </w:r>
      <w:r>
        <w:rPr>
          <w:rFonts w:hint="eastAsia" w:ascii="宋体" w:hAnsi="宋体" w:cs="宋体"/>
          <w:b/>
          <w:bCs/>
          <w:color w:val="000000"/>
          <w:sz w:val="24"/>
          <w:highlight w:val="none"/>
          <w:lang w:val="en-US" w:eastAsia="zh-CN"/>
        </w:rPr>
        <w:t>85.2</w:t>
      </w:r>
      <w:r>
        <w:rPr>
          <w:rFonts w:hint="eastAsia" w:ascii="宋体" w:hAnsi="宋体" w:eastAsia="宋体" w:cs="宋体"/>
          <w:b/>
          <w:bCs/>
          <w:color w:val="000000"/>
          <w:sz w:val="24"/>
          <w:highlight w:val="none"/>
          <w:lang w:val="en-US" w:eastAsia="zh-CN"/>
        </w:rPr>
        <w:t>万元</w:t>
      </w:r>
      <w:r>
        <w:rPr>
          <w:rFonts w:hint="eastAsia" w:ascii="宋体" w:hAnsi="宋体" w:eastAsia="宋体" w:cs="宋体"/>
          <w:b/>
          <w:bCs/>
          <w:color w:val="000000"/>
          <w:sz w:val="24"/>
          <w:highlight w:val="none"/>
        </w:rPr>
        <w:t>人民币</w:t>
      </w:r>
      <w:r>
        <w:rPr>
          <w:rFonts w:hint="eastAsia" w:ascii="宋体" w:hAnsi="宋体" w:cs="宋体"/>
          <w:b/>
          <w:bCs/>
          <w:color w:val="000000"/>
          <w:sz w:val="24"/>
          <w:highlight w:val="none"/>
          <w:lang w:eastAsia="zh-CN"/>
        </w:rPr>
        <w:t>）</w:t>
      </w:r>
      <w:r>
        <w:rPr>
          <w:rFonts w:hint="eastAsia" w:ascii="宋体" w:hAnsi="宋体" w:eastAsia="宋体" w:cs="宋体"/>
          <w:b/>
          <w:bCs/>
          <w:color w:val="000000"/>
          <w:sz w:val="24"/>
          <w:highlight w:val="none"/>
          <w:lang w:eastAsia="zh-CN"/>
        </w:rPr>
        <w:t>，</w:t>
      </w:r>
      <w:r>
        <w:rPr>
          <w:rFonts w:hint="eastAsia" w:ascii="宋体" w:hAnsi="宋体" w:cs="宋体"/>
          <w:b/>
          <w:bCs/>
          <w:color w:val="000000"/>
          <w:sz w:val="24"/>
          <w:highlight w:val="none"/>
          <w:lang w:eastAsia="zh-CN"/>
        </w:rPr>
        <w:t>采购包四（</w:t>
      </w:r>
      <w:r>
        <w:rPr>
          <w:rFonts w:hint="eastAsia" w:ascii="宋体" w:hAnsi="宋体" w:cs="宋体"/>
          <w:b/>
          <w:bCs/>
          <w:sz w:val="24"/>
          <w:szCs w:val="24"/>
          <w:lang w:eastAsia="zh-CN"/>
        </w:rPr>
        <w:t>郝寨地块一面积27707.43平方米，合41.56亩，</w:t>
      </w:r>
      <w:r>
        <w:rPr>
          <w:rFonts w:hint="eastAsia" w:ascii="宋体" w:hAnsi="宋体" w:cs="宋体"/>
          <w:b/>
          <w:bCs/>
          <w:color w:val="000000"/>
          <w:sz w:val="24"/>
          <w:highlight w:val="none"/>
          <w:lang w:eastAsia="zh-CN"/>
        </w:rPr>
        <w:t>采购预算为</w:t>
      </w:r>
      <w:r>
        <w:rPr>
          <w:rFonts w:hint="eastAsia" w:ascii="宋体" w:hAnsi="宋体" w:cs="宋体"/>
          <w:b/>
          <w:bCs/>
          <w:color w:val="000000"/>
          <w:sz w:val="24"/>
          <w:highlight w:val="none"/>
          <w:lang w:val="en-US" w:eastAsia="zh-CN"/>
        </w:rPr>
        <w:t>83</w:t>
      </w:r>
      <w:r>
        <w:rPr>
          <w:rFonts w:hint="eastAsia" w:ascii="宋体" w:hAnsi="宋体" w:eastAsia="宋体" w:cs="宋体"/>
          <w:b/>
          <w:bCs/>
          <w:color w:val="000000"/>
          <w:sz w:val="24"/>
          <w:highlight w:val="none"/>
          <w:lang w:val="en-US" w:eastAsia="zh-CN"/>
        </w:rPr>
        <w:t>万元</w:t>
      </w:r>
      <w:r>
        <w:rPr>
          <w:rFonts w:hint="eastAsia" w:ascii="宋体" w:hAnsi="宋体" w:eastAsia="宋体" w:cs="宋体"/>
          <w:b/>
          <w:bCs/>
          <w:color w:val="000000"/>
          <w:sz w:val="24"/>
          <w:highlight w:val="none"/>
        </w:rPr>
        <w:t>人民币</w:t>
      </w:r>
      <w:r>
        <w:rPr>
          <w:rFonts w:hint="eastAsia" w:ascii="宋体" w:hAnsi="宋体" w:cs="宋体"/>
          <w:b/>
          <w:bCs/>
          <w:color w:val="000000"/>
          <w:sz w:val="24"/>
          <w:highlight w:val="none"/>
          <w:lang w:eastAsia="zh-CN"/>
        </w:rPr>
        <w:t>）</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本项目</w:t>
      </w:r>
      <w:r>
        <w:rPr>
          <w:rFonts w:hint="eastAsia" w:ascii="宋体" w:hAnsi="宋体" w:cs="宋体"/>
          <w:b/>
          <w:bCs/>
          <w:color w:val="auto"/>
          <w:sz w:val="24"/>
          <w:highlight w:val="none"/>
          <w:lang w:eastAsia="zh-CN"/>
        </w:rPr>
        <w:t>四个采购包均采用单价报价，不接受高于</w:t>
      </w:r>
      <w:r>
        <w:rPr>
          <w:rFonts w:hint="eastAsia" w:ascii="宋体" w:hAnsi="宋体" w:cs="宋体"/>
          <w:b/>
          <w:bCs/>
          <w:color w:val="auto"/>
          <w:sz w:val="24"/>
          <w:highlight w:val="none"/>
          <w:lang w:val="en-US" w:eastAsia="zh-CN"/>
        </w:rPr>
        <w:t>20元人民币</w:t>
      </w:r>
      <w:r>
        <w:rPr>
          <w:rFonts w:hint="eastAsia" w:ascii="宋体" w:hAnsi="宋体" w:cs="宋体"/>
          <w:b/>
          <w:bCs/>
          <w:color w:val="auto"/>
          <w:sz w:val="24"/>
          <w:szCs w:val="24"/>
          <w:lang w:val="en-US" w:eastAsia="zh-CN"/>
        </w:rPr>
        <w:t>/立方米的投标报价，</w:t>
      </w:r>
      <w:r>
        <w:rPr>
          <w:rFonts w:hint="eastAsia" w:ascii="宋体" w:hAnsi="宋体" w:cs="宋体"/>
          <w:b/>
          <w:bCs/>
          <w:color w:val="auto"/>
          <w:sz w:val="24"/>
          <w:szCs w:val="24"/>
          <w:lang w:eastAsia="zh-CN"/>
        </w:rPr>
        <w:t>投</w:t>
      </w:r>
      <w:r>
        <w:rPr>
          <w:rFonts w:hint="eastAsia" w:ascii="宋体" w:hAnsi="宋体" w:cs="宋体"/>
          <w:b/>
          <w:bCs/>
          <w:sz w:val="24"/>
          <w:szCs w:val="24"/>
          <w:lang w:eastAsia="zh-CN"/>
        </w:rPr>
        <w:t>标报价包括完成招标范围内的所有工作的全部费用，包括但不限于人工、材料、机械、差旅、采样、检测、编制、评审、管理、利润、规费、税金等费用。供应商应充分了解该项目的总体情况、各类市场风险以及影响投标报价的其他要素风险，服务期内结算总费用委托方委托受托方调查项目数量和中标单价来计算。</w:t>
      </w:r>
    </w:p>
    <w:p w14:paraId="4441C047">
      <w:pPr>
        <w:spacing w:line="360" w:lineRule="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二  </w:t>
      </w:r>
      <w:r>
        <w:rPr>
          <w:rFonts w:hint="eastAsia" w:ascii="宋体" w:hAnsi="宋体" w:cs="宋体"/>
          <w:b/>
          <w:bCs/>
          <w:sz w:val="24"/>
          <w:highlight w:val="none"/>
        </w:rPr>
        <w:t>本次招标范围</w:t>
      </w:r>
      <w:r>
        <w:rPr>
          <w:rFonts w:hint="eastAsia" w:ascii="宋体" w:hAnsi="宋体" w:cs="宋体"/>
          <w:b/>
          <w:bCs/>
          <w:sz w:val="24"/>
          <w:highlight w:val="none"/>
          <w:lang w:val="en-US" w:eastAsia="zh-CN"/>
        </w:rPr>
        <w:t>及预算单价</w:t>
      </w:r>
    </w:p>
    <w:p w14:paraId="4C9CFC10">
      <w:pPr>
        <w:spacing w:line="360" w:lineRule="auto"/>
        <w:ind w:firstLine="424" w:firstLineChars="177"/>
        <w:rPr>
          <w:rFonts w:hint="eastAsia" w:ascii="宋体" w:hAnsi="宋体" w:cs="宋体"/>
          <w:sz w:val="24"/>
          <w:highlight w:val="none"/>
          <w:lang w:val="en-US" w:eastAsia="zh-CN"/>
        </w:rPr>
      </w:pPr>
      <w:r>
        <w:rPr>
          <w:rFonts w:hint="eastAsia" w:ascii="宋体" w:hAnsi="宋体" w:cs="宋体"/>
          <w:sz w:val="24"/>
          <w:highlight w:val="none"/>
          <w:lang w:eastAsia="zh-CN"/>
        </w:rPr>
        <w:t>2025年城区范围内出让地块地表清理项目</w:t>
      </w:r>
      <w:r>
        <w:rPr>
          <w:rFonts w:hint="eastAsia" w:ascii="宋体" w:hAnsi="宋体" w:eastAsia="宋体" w:cs="宋体"/>
          <w:sz w:val="24"/>
          <w:highlight w:val="none"/>
        </w:rPr>
        <w:t>，共计约</w:t>
      </w:r>
      <w:r>
        <w:rPr>
          <w:rFonts w:hint="eastAsia" w:ascii="宋体" w:hAnsi="宋体" w:cs="宋体"/>
          <w:sz w:val="24"/>
          <w:highlight w:val="none"/>
          <w:lang w:val="en-US" w:eastAsia="zh-CN"/>
        </w:rPr>
        <w:t>215</w:t>
      </w:r>
      <w:r>
        <w:rPr>
          <w:rFonts w:hint="eastAsia" w:ascii="宋体" w:hAnsi="宋体" w:eastAsia="宋体" w:cs="宋体"/>
          <w:sz w:val="24"/>
          <w:highlight w:val="none"/>
        </w:rPr>
        <w:t>亩进行地表清理。</w:t>
      </w:r>
      <w:r>
        <w:rPr>
          <w:rFonts w:hint="eastAsia" w:ascii="宋体" w:hAnsi="宋体" w:cs="宋体"/>
          <w:sz w:val="24"/>
          <w:highlight w:val="none"/>
          <w:lang w:val="en-US" w:eastAsia="zh-CN"/>
        </w:rPr>
        <w:t>其中包含地表垃圾清运，地下垃圾挖运，地下挖运土方深度约为1.5米，最终以实际挖运量为准。</w:t>
      </w: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762"/>
        <w:gridCol w:w="1009"/>
        <w:gridCol w:w="4805"/>
      </w:tblGrid>
      <w:tr w14:paraId="5D35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88" w:type="dxa"/>
            <w:noWrap w:val="0"/>
            <w:vAlign w:val="center"/>
          </w:tcPr>
          <w:p w14:paraId="49EE3A69">
            <w:pPr>
              <w:jc w:val="center"/>
              <w:rPr>
                <w:rFonts w:ascii="宋体" w:hAnsi="宋体"/>
                <w:szCs w:val="21"/>
              </w:rPr>
            </w:pPr>
            <w:r>
              <w:rPr>
                <w:rFonts w:hint="eastAsia" w:ascii="宋体" w:hAnsi="宋体"/>
                <w:szCs w:val="21"/>
              </w:rPr>
              <w:t>序号</w:t>
            </w:r>
          </w:p>
        </w:tc>
        <w:tc>
          <w:tcPr>
            <w:tcW w:w="2762" w:type="dxa"/>
            <w:noWrap w:val="0"/>
            <w:vAlign w:val="center"/>
          </w:tcPr>
          <w:p w14:paraId="7213AD49">
            <w:pPr>
              <w:jc w:val="center"/>
              <w:rPr>
                <w:rFonts w:ascii="宋体" w:hAnsi="宋体"/>
                <w:szCs w:val="21"/>
              </w:rPr>
            </w:pPr>
            <w:r>
              <w:rPr>
                <w:rFonts w:hint="eastAsia" w:ascii="宋体" w:hAnsi="宋体"/>
                <w:szCs w:val="21"/>
              </w:rPr>
              <w:t>具体内容</w:t>
            </w:r>
          </w:p>
        </w:tc>
        <w:tc>
          <w:tcPr>
            <w:tcW w:w="1009" w:type="dxa"/>
            <w:noWrap w:val="0"/>
            <w:vAlign w:val="center"/>
          </w:tcPr>
          <w:p w14:paraId="06CBBBCF">
            <w:pPr>
              <w:jc w:val="center"/>
              <w:rPr>
                <w:rFonts w:hint="eastAsia" w:ascii="宋体" w:hAnsi="宋体" w:eastAsia="宋体"/>
                <w:szCs w:val="21"/>
                <w:lang w:eastAsia="zh-CN"/>
              </w:rPr>
            </w:pPr>
            <w:r>
              <w:rPr>
                <w:rFonts w:hint="eastAsia" w:ascii="宋体" w:hAnsi="宋体"/>
                <w:szCs w:val="21"/>
                <w:lang w:val="en-US" w:eastAsia="zh-CN"/>
              </w:rPr>
              <w:t>单价</w:t>
            </w:r>
          </w:p>
        </w:tc>
        <w:tc>
          <w:tcPr>
            <w:tcW w:w="4805" w:type="dxa"/>
            <w:noWrap w:val="0"/>
            <w:vAlign w:val="center"/>
          </w:tcPr>
          <w:p w14:paraId="0624BEC7">
            <w:pPr>
              <w:jc w:val="center"/>
              <w:rPr>
                <w:rFonts w:ascii="宋体" w:hAnsi="宋体"/>
                <w:szCs w:val="21"/>
              </w:rPr>
            </w:pPr>
            <w:r>
              <w:rPr>
                <w:rFonts w:hint="eastAsia" w:ascii="宋体" w:hAnsi="宋体"/>
                <w:szCs w:val="21"/>
              </w:rPr>
              <w:t>备注</w:t>
            </w:r>
          </w:p>
        </w:tc>
      </w:tr>
      <w:tr w14:paraId="61B2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center"/>
          </w:tcPr>
          <w:p w14:paraId="384C86D4">
            <w:pPr>
              <w:jc w:val="center"/>
              <w:rPr>
                <w:rFonts w:hint="eastAsia" w:ascii="宋体" w:hAnsi="宋体" w:eastAsia="宋体"/>
                <w:szCs w:val="21"/>
                <w:lang w:eastAsia="zh-CN"/>
              </w:rPr>
            </w:pPr>
            <w:r>
              <w:rPr>
                <w:rFonts w:hint="eastAsia" w:ascii="宋体" w:hAnsi="宋体"/>
                <w:szCs w:val="21"/>
                <w:lang w:eastAsia="zh-CN"/>
              </w:rPr>
              <w:t>采购包一</w:t>
            </w:r>
          </w:p>
        </w:tc>
        <w:tc>
          <w:tcPr>
            <w:tcW w:w="2762" w:type="dxa"/>
            <w:noWrap w:val="0"/>
            <w:vAlign w:val="center"/>
          </w:tcPr>
          <w:p w14:paraId="73962BA9">
            <w:pPr>
              <w:rPr>
                <w:rFonts w:hint="default" w:ascii="宋体" w:hAnsi="宋体" w:eastAsia="宋体"/>
                <w:szCs w:val="21"/>
                <w:lang w:val="en-US" w:eastAsia="zh-CN"/>
              </w:rPr>
            </w:pPr>
            <w:r>
              <w:rPr>
                <w:rFonts w:hint="eastAsia" w:ascii="宋体" w:hAnsi="宋体" w:cs="宋体"/>
                <w:szCs w:val="21"/>
                <w:lang w:val="en-US" w:eastAsia="zh-CN"/>
              </w:rPr>
              <w:t>沛县云飞路南侧、汉城路西侧（龙王庄一、二地块)</w:t>
            </w:r>
            <w:bookmarkStart w:id="5" w:name="_GoBack"/>
            <w:bookmarkEnd w:id="5"/>
          </w:p>
        </w:tc>
        <w:tc>
          <w:tcPr>
            <w:tcW w:w="1009" w:type="dxa"/>
            <w:noWrap w:val="0"/>
            <w:vAlign w:val="center"/>
          </w:tcPr>
          <w:p w14:paraId="59428FCA">
            <w:pPr>
              <w:jc w:val="center"/>
              <w:rPr>
                <w:rFonts w:hint="default" w:ascii="宋体" w:hAnsi="宋体" w:eastAsia="宋体"/>
                <w:szCs w:val="21"/>
                <w:lang w:val="en-US" w:eastAsia="zh-CN"/>
              </w:rPr>
            </w:pPr>
            <w:r>
              <w:rPr>
                <w:rFonts w:hint="eastAsia" w:ascii="宋体" w:hAnsi="宋体"/>
                <w:szCs w:val="21"/>
                <w:lang w:val="en-US" w:eastAsia="zh-CN"/>
              </w:rPr>
              <w:t>20元/立方米</w:t>
            </w:r>
          </w:p>
        </w:tc>
        <w:tc>
          <w:tcPr>
            <w:tcW w:w="4805" w:type="dxa"/>
            <w:noWrap w:val="0"/>
            <w:vAlign w:val="center"/>
          </w:tcPr>
          <w:p w14:paraId="427FACB0">
            <w:pPr>
              <w:numPr>
                <w:ilvl w:val="0"/>
                <w:numId w:val="1"/>
              </w:numPr>
            </w:pPr>
            <w:r>
              <w:rPr>
                <w:rFonts w:hint="eastAsia"/>
              </w:rPr>
              <w:t>清运数量</w:t>
            </w:r>
            <w:r>
              <w:rPr>
                <w:rFonts w:hint="eastAsia"/>
                <w:lang w:val="en-US" w:eastAsia="zh-CN"/>
              </w:rPr>
              <w:t>及挖运深度</w:t>
            </w:r>
            <w:r>
              <w:rPr>
                <w:rFonts w:hint="eastAsia"/>
              </w:rPr>
              <w:t>为暂定，最终根据实际处置的垃圾重量按实结算。</w:t>
            </w:r>
          </w:p>
          <w:p w14:paraId="5806EE6D">
            <w:pPr>
              <w:numPr>
                <w:ilvl w:val="0"/>
                <w:numId w:val="1"/>
              </w:numPr>
            </w:pPr>
            <w:r>
              <w:rPr>
                <w:rFonts w:hint="eastAsia"/>
                <w:lang w:eastAsia="zh-CN"/>
              </w:rPr>
              <w:t>供应商</w:t>
            </w:r>
            <w:r>
              <w:rPr>
                <w:rFonts w:hint="eastAsia"/>
              </w:rPr>
              <w:t>自行考虑相关风险。</w:t>
            </w:r>
          </w:p>
        </w:tc>
      </w:tr>
      <w:tr w14:paraId="21E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88" w:type="dxa"/>
            <w:noWrap w:val="0"/>
            <w:vAlign w:val="center"/>
          </w:tcPr>
          <w:p w14:paraId="4DF25D84">
            <w:pPr>
              <w:jc w:val="center"/>
              <w:rPr>
                <w:rFonts w:hint="eastAsia" w:ascii="宋体" w:hAnsi="宋体" w:eastAsia="宋体"/>
                <w:szCs w:val="21"/>
                <w:lang w:eastAsia="zh-CN"/>
              </w:rPr>
            </w:pPr>
            <w:r>
              <w:rPr>
                <w:rFonts w:hint="eastAsia" w:ascii="宋体" w:hAnsi="宋体"/>
                <w:szCs w:val="21"/>
                <w:lang w:eastAsia="zh-CN"/>
              </w:rPr>
              <w:t>采购包二</w:t>
            </w:r>
          </w:p>
        </w:tc>
        <w:tc>
          <w:tcPr>
            <w:tcW w:w="2762" w:type="dxa"/>
            <w:noWrap w:val="0"/>
            <w:vAlign w:val="center"/>
          </w:tcPr>
          <w:p w14:paraId="74CD5B96">
            <w:pPr>
              <w:rPr>
                <w:rFonts w:hint="eastAsia" w:ascii="宋体" w:hAnsi="宋体" w:cs="宋体"/>
                <w:szCs w:val="21"/>
                <w:lang w:val="en-US" w:eastAsia="zh-CN"/>
              </w:rPr>
            </w:pPr>
            <w:r>
              <w:rPr>
                <w:rFonts w:hint="eastAsia" w:ascii="宋体" w:hAnsi="宋体" w:eastAsia="宋体" w:cs="宋体"/>
                <w:szCs w:val="21"/>
                <w:lang w:val="en-US" w:eastAsia="zh-CN"/>
              </w:rPr>
              <w:t>沛县东环路东侧、东风路北侧(城东综合生活区)</w:t>
            </w:r>
          </w:p>
        </w:tc>
        <w:tc>
          <w:tcPr>
            <w:tcW w:w="1009" w:type="dxa"/>
            <w:noWrap w:val="0"/>
            <w:vAlign w:val="center"/>
          </w:tcPr>
          <w:p w14:paraId="4ABDB644">
            <w:pPr>
              <w:jc w:val="center"/>
              <w:rPr>
                <w:rFonts w:hint="eastAsia" w:ascii="宋体" w:hAnsi="宋体"/>
                <w:szCs w:val="21"/>
                <w:lang w:val="en-US" w:eastAsia="zh-CN"/>
              </w:rPr>
            </w:pPr>
            <w:r>
              <w:rPr>
                <w:rFonts w:hint="eastAsia" w:ascii="宋体" w:hAnsi="宋体"/>
                <w:szCs w:val="21"/>
                <w:lang w:val="en-US" w:eastAsia="zh-CN"/>
              </w:rPr>
              <w:t>20元/立方米</w:t>
            </w:r>
          </w:p>
        </w:tc>
        <w:tc>
          <w:tcPr>
            <w:tcW w:w="4805" w:type="dxa"/>
            <w:noWrap w:val="0"/>
            <w:vAlign w:val="center"/>
          </w:tcPr>
          <w:p w14:paraId="11EBCC5B">
            <w:pPr>
              <w:numPr>
                <w:ilvl w:val="0"/>
                <w:numId w:val="2"/>
              </w:numPr>
            </w:pPr>
            <w:r>
              <w:rPr>
                <w:rFonts w:hint="eastAsia"/>
              </w:rPr>
              <w:t>清运数量</w:t>
            </w:r>
            <w:r>
              <w:rPr>
                <w:rFonts w:hint="eastAsia"/>
                <w:lang w:val="en-US" w:eastAsia="zh-CN"/>
              </w:rPr>
              <w:t>及挖运深度</w:t>
            </w:r>
            <w:r>
              <w:rPr>
                <w:rFonts w:hint="eastAsia"/>
              </w:rPr>
              <w:t>为暂定，最终根据实际处置的垃圾重量按实结算。</w:t>
            </w:r>
          </w:p>
          <w:p w14:paraId="7E38692E">
            <w:pPr>
              <w:numPr>
                <w:ilvl w:val="0"/>
                <w:numId w:val="0"/>
              </w:numPr>
              <w:rPr>
                <w:rFonts w:hint="eastAsia"/>
              </w:rPr>
            </w:pPr>
            <w:r>
              <w:rPr>
                <w:rFonts w:hint="eastAsia"/>
                <w:lang w:val="en-US" w:eastAsia="zh-CN"/>
              </w:rPr>
              <w:t>2、</w:t>
            </w:r>
            <w:r>
              <w:rPr>
                <w:rFonts w:hint="eastAsia"/>
                <w:lang w:eastAsia="zh-CN"/>
              </w:rPr>
              <w:t>供应商</w:t>
            </w:r>
            <w:r>
              <w:rPr>
                <w:rFonts w:hint="eastAsia"/>
              </w:rPr>
              <w:t>自行考虑相关风险。</w:t>
            </w:r>
          </w:p>
        </w:tc>
      </w:tr>
      <w:tr w14:paraId="237E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88" w:type="dxa"/>
            <w:noWrap w:val="0"/>
            <w:vAlign w:val="center"/>
          </w:tcPr>
          <w:p w14:paraId="29CB143C">
            <w:pPr>
              <w:jc w:val="center"/>
              <w:rPr>
                <w:rFonts w:hint="eastAsia" w:ascii="宋体" w:hAnsi="宋体" w:eastAsia="宋体"/>
                <w:szCs w:val="21"/>
                <w:lang w:eastAsia="zh-CN"/>
              </w:rPr>
            </w:pPr>
            <w:r>
              <w:rPr>
                <w:rFonts w:hint="eastAsia" w:ascii="宋体" w:hAnsi="宋体"/>
                <w:szCs w:val="21"/>
                <w:lang w:eastAsia="zh-CN"/>
              </w:rPr>
              <w:t>采购包三</w:t>
            </w:r>
          </w:p>
        </w:tc>
        <w:tc>
          <w:tcPr>
            <w:tcW w:w="2762" w:type="dxa"/>
            <w:noWrap w:val="0"/>
            <w:vAlign w:val="center"/>
          </w:tcPr>
          <w:p w14:paraId="69E86888">
            <w:pPr>
              <w:rPr>
                <w:rFonts w:hint="eastAsia" w:ascii="宋体" w:hAnsi="宋体" w:cs="宋体"/>
                <w:szCs w:val="21"/>
                <w:lang w:val="en-US" w:eastAsia="zh-CN"/>
              </w:rPr>
            </w:pPr>
            <w:r>
              <w:rPr>
                <w:rFonts w:hint="eastAsia" w:ascii="宋体" w:hAnsi="宋体" w:cs="宋体"/>
                <w:szCs w:val="21"/>
                <w:lang w:val="en-US" w:eastAsia="zh-CN"/>
              </w:rPr>
              <w:t>沛县汉源大道东侧、支二路南侧、灌婴路北侧。(郝寨地块三</w:t>
            </w:r>
          </w:p>
        </w:tc>
        <w:tc>
          <w:tcPr>
            <w:tcW w:w="1009" w:type="dxa"/>
            <w:noWrap w:val="0"/>
            <w:vAlign w:val="center"/>
          </w:tcPr>
          <w:p w14:paraId="1B46C7C7">
            <w:pPr>
              <w:jc w:val="center"/>
              <w:rPr>
                <w:rFonts w:hint="eastAsia" w:ascii="宋体" w:hAnsi="宋体"/>
                <w:szCs w:val="21"/>
                <w:lang w:val="en-US" w:eastAsia="zh-CN"/>
              </w:rPr>
            </w:pPr>
            <w:r>
              <w:rPr>
                <w:rFonts w:hint="eastAsia" w:ascii="宋体" w:hAnsi="宋体"/>
                <w:szCs w:val="21"/>
                <w:lang w:val="en-US" w:eastAsia="zh-CN"/>
              </w:rPr>
              <w:t>20元/立方米</w:t>
            </w:r>
          </w:p>
        </w:tc>
        <w:tc>
          <w:tcPr>
            <w:tcW w:w="4805" w:type="dxa"/>
            <w:noWrap w:val="0"/>
            <w:vAlign w:val="center"/>
          </w:tcPr>
          <w:p w14:paraId="3F7DC283">
            <w:pPr>
              <w:numPr>
                <w:ilvl w:val="0"/>
                <w:numId w:val="3"/>
              </w:numPr>
            </w:pPr>
            <w:r>
              <w:rPr>
                <w:rFonts w:hint="eastAsia"/>
              </w:rPr>
              <w:t>清运数量</w:t>
            </w:r>
            <w:r>
              <w:rPr>
                <w:rFonts w:hint="eastAsia"/>
                <w:lang w:val="en-US" w:eastAsia="zh-CN"/>
              </w:rPr>
              <w:t>及挖运深度</w:t>
            </w:r>
            <w:r>
              <w:rPr>
                <w:rFonts w:hint="eastAsia"/>
              </w:rPr>
              <w:t>为暂定，最终根据实际处置的垃圾重量按实结算。</w:t>
            </w:r>
          </w:p>
          <w:p w14:paraId="4A239C6E">
            <w:pPr>
              <w:numPr>
                <w:ilvl w:val="0"/>
                <w:numId w:val="0"/>
              </w:numPr>
              <w:rPr>
                <w:rFonts w:hint="eastAsia"/>
              </w:rPr>
            </w:pPr>
            <w:r>
              <w:rPr>
                <w:rFonts w:hint="eastAsia"/>
                <w:lang w:val="en-US" w:eastAsia="zh-CN"/>
              </w:rPr>
              <w:t>2、</w:t>
            </w:r>
            <w:r>
              <w:rPr>
                <w:rFonts w:hint="eastAsia"/>
                <w:lang w:eastAsia="zh-CN"/>
              </w:rPr>
              <w:t>供应商</w:t>
            </w:r>
            <w:r>
              <w:rPr>
                <w:rFonts w:hint="eastAsia"/>
              </w:rPr>
              <w:t>自行考虑相关风险。</w:t>
            </w:r>
          </w:p>
        </w:tc>
      </w:tr>
      <w:tr w14:paraId="36D5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center"/>
          </w:tcPr>
          <w:p w14:paraId="24315BA2">
            <w:pPr>
              <w:jc w:val="center"/>
              <w:rPr>
                <w:rFonts w:hint="eastAsia" w:ascii="宋体" w:hAnsi="宋体" w:eastAsia="宋体"/>
                <w:szCs w:val="21"/>
                <w:lang w:eastAsia="zh-CN"/>
              </w:rPr>
            </w:pPr>
            <w:r>
              <w:rPr>
                <w:rFonts w:hint="eastAsia" w:ascii="宋体" w:hAnsi="宋体"/>
                <w:szCs w:val="21"/>
                <w:lang w:eastAsia="zh-CN"/>
              </w:rPr>
              <w:t>采购包四</w:t>
            </w:r>
          </w:p>
        </w:tc>
        <w:tc>
          <w:tcPr>
            <w:tcW w:w="2762" w:type="dxa"/>
            <w:noWrap w:val="0"/>
            <w:vAlign w:val="center"/>
          </w:tcPr>
          <w:p w14:paraId="018C7212">
            <w:pPr>
              <w:rPr>
                <w:rFonts w:hint="eastAsia" w:ascii="宋体" w:hAnsi="宋体" w:cs="宋体"/>
                <w:szCs w:val="21"/>
                <w:lang w:val="en-US" w:eastAsia="zh-CN"/>
              </w:rPr>
            </w:pPr>
            <w:r>
              <w:rPr>
                <w:rFonts w:hint="default" w:ascii="宋体" w:hAnsi="宋体" w:eastAsia="宋体"/>
                <w:szCs w:val="21"/>
                <w:lang w:val="en-US" w:eastAsia="zh-CN"/>
              </w:rPr>
              <w:t>沛县汉源大道东侧、王陵路北侧、沛龙路南侧。(郝寨地块一)</w:t>
            </w:r>
          </w:p>
        </w:tc>
        <w:tc>
          <w:tcPr>
            <w:tcW w:w="1009" w:type="dxa"/>
            <w:noWrap w:val="0"/>
            <w:vAlign w:val="center"/>
          </w:tcPr>
          <w:p w14:paraId="355290D6">
            <w:pPr>
              <w:jc w:val="center"/>
              <w:rPr>
                <w:rFonts w:hint="eastAsia" w:ascii="宋体" w:hAnsi="宋体"/>
                <w:szCs w:val="21"/>
                <w:lang w:val="en-US" w:eastAsia="zh-CN"/>
              </w:rPr>
            </w:pPr>
            <w:r>
              <w:rPr>
                <w:rFonts w:hint="eastAsia" w:ascii="宋体" w:hAnsi="宋体"/>
                <w:szCs w:val="21"/>
                <w:lang w:val="en-US" w:eastAsia="zh-CN"/>
              </w:rPr>
              <w:t>20元/立方米</w:t>
            </w:r>
          </w:p>
        </w:tc>
        <w:tc>
          <w:tcPr>
            <w:tcW w:w="4805" w:type="dxa"/>
            <w:noWrap w:val="0"/>
            <w:vAlign w:val="center"/>
          </w:tcPr>
          <w:p w14:paraId="0209B783">
            <w:pPr>
              <w:numPr>
                <w:ilvl w:val="0"/>
                <w:numId w:val="4"/>
              </w:numPr>
            </w:pPr>
            <w:r>
              <w:rPr>
                <w:rFonts w:hint="eastAsia"/>
              </w:rPr>
              <w:t>清运数量</w:t>
            </w:r>
            <w:r>
              <w:rPr>
                <w:rFonts w:hint="eastAsia"/>
                <w:lang w:val="en-US" w:eastAsia="zh-CN"/>
              </w:rPr>
              <w:t>及挖运深度</w:t>
            </w:r>
            <w:r>
              <w:rPr>
                <w:rFonts w:hint="eastAsia"/>
              </w:rPr>
              <w:t>为暂定，最终根据实际处置的垃圾重量按实结算。</w:t>
            </w:r>
          </w:p>
          <w:p w14:paraId="7463C4CC">
            <w:pPr>
              <w:numPr>
                <w:ilvl w:val="0"/>
                <w:numId w:val="0"/>
              </w:numPr>
              <w:rPr>
                <w:rFonts w:hint="eastAsia"/>
              </w:rPr>
            </w:pPr>
            <w:r>
              <w:rPr>
                <w:rFonts w:hint="eastAsia"/>
                <w:lang w:val="en-US" w:eastAsia="zh-CN"/>
              </w:rPr>
              <w:t>2、</w:t>
            </w:r>
            <w:r>
              <w:rPr>
                <w:rFonts w:hint="eastAsia"/>
                <w:lang w:eastAsia="zh-CN"/>
              </w:rPr>
              <w:t>供应商</w:t>
            </w:r>
            <w:r>
              <w:rPr>
                <w:rFonts w:hint="eastAsia"/>
              </w:rPr>
              <w:t>自行考虑相关风险。</w:t>
            </w:r>
          </w:p>
        </w:tc>
      </w:tr>
    </w:tbl>
    <w:p w14:paraId="63277791">
      <w:pP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合同履行期限：自合同签订之日进场后</w:t>
      </w:r>
      <w:r>
        <w:rPr>
          <w:rFonts w:hint="eastAsia" w:asciiTheme="minorEastAsia" w:hAnsiTheme="minorEastAsia" w:eastAsiaTheme="minorEastAsia" w:cstheme="minorEastAsia"/>
          <w:b/>
          <w:bCs/>
          <w:color w:val="auto"/>
          <w:sz w:val="24"/>
          <w:szCs w:val="24"/>
          <w:lang w:val="en-US" w:eastAsia="zh-CN"/>
        </w:rPr>
        <w:t>30日</w:t>
      </w:r>
      <w:r>
        <w:rPr>
          <w:rFonts w:hint="eastAsia" w:asciiTheme="minorEastAsia" w:hAnsiTheme="minorEastAsia" w:eastAsiaTheme="minorEastAsia" w:cstheme="minorEastAsia"/>
          <w:b/>
          <w:bCs/>
          <w:color w:val="auto"/>
          <w:sz w:val="24"/>
          <w:szCs w:val="24"/>
          <w:lang w:eastAsia="zh-CN"/>
        </w:rPr>
        <w:t>内完成</w:t>
      </w:r>
    </w:p>
    <w:p w14:paraId="19D22470">
      <w:pPr>
        <w:pStyle w:val="3"/>
        <w:ind w:left="0" w:leftChars="0" w:firstLine="0" w:firstLineChars="0"/>
        <w:rPr>
          <w:rFonts w:hint="default"/>
          <w:lang w:val="en-US" w:eastAsia="zh-CN"/>
        </w:rPr>
      </w:pPr>
    </w:p>
    <w:p w14:paraId="00FC9EF8">
      <w:pPr>
        <w:adjustRightInd w:val="0"/>
        <w:snapToGrid w:val="0"/>
        <w:spacing w:line="360" w:lineRule="auto"/>
        <w:rPr>
          <w:rFonts w:hint="eastAsia" w:ascii="宋体" w:hAnsi="宋体" w:eastAsia="宋体" w:cs="Times New Roman"/>
          <w:b/>
          <w:bCs/>
          <w:color w:val="000000"/>
          <w:sz w:val="24"/>
          <w:highlight w:val="none"/>
        </w:rPr>
      </w:pPr>
      <w:r>
        <w:rPr>
          <w:rFonts w:hint="eastAsia" w:ascii="宋体" w:hAnsi="宋体" w:cs="Times New Roman"/>
          <w:b/>
          <w:bCs/>
          <w:color w:val="000000"/>
          <w:sz w:val="24"/>
          <w:highlight w:val="none"/>
          <w:lang w:eastAsia="zh-CN"/>
        </w:rPr>
        <w:t>三</w:t>
      </w:r>
      <w:r>
        <w:rPr>
          <w:rFonts w:hint="eastAsia" w:ascii="宋体" w:hAnsi="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工程数量</w:t>
      </w:r>
    </w:p>
    <w:p w14:paraId="51C65F76">
      <w:pPr>
        <w:pStyle w:val="4"/>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2025年城区范围内出让地块地表清理项目；数量：1项。</w:t>
      </w:r>
    </w:p>
    <w:p w14:paraId="5416C458">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四  施工要求：</w:t>
      </w:r>
    </w:p>
    <w:p w14:paraId="4F236C52">
      <w:pPr>
        <w:pStyle w:val="4"/>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（1）清理拉运严格执行</w:t>
      </w:r>
      <w:r>
        <w:rPr>
          <w:rFonts w:hint="eastAsia" w:ascii="宋体" w:hAnsi="宋体" w:eastAsia="宋体" w:cs="Times New Roman"/>
          <w:sz w:val="24"/>
          <w:szCs w:val="24"/>
          <w:highlight w:val="none"/>
          <w:lang w:val="en-US" w:eastAsia="zh-CN"/>
        </w:rPr>
        <w:t>徐州市沛县人民政府及其他职能部门的相关规定、《徐州市建筑垃圾管理条例》要求执行，清运至正规消纳地点进行倾倒或填埋</w:t>
      </w:r>
      <w:r>
        <w:rPr>
          <w:rFonts w:hint="eastAsia" w:ascii="宋体" w:hAnsi="宋体" w:eastAsia="宋体"/>
          <w:sz w:val="24"/>
          <w:szCs w:val="24"/>
          <w:highlight w:val="none"/>
          <w:lang w:val="en-US" w:eastAsia="zh-CN"/>
        </w:rPr>
        <w:t>,并承担处置费用和消纳费用。禁止在道路、桥梁、公共场地、公共绿地、农田、河流、湖泊、供排水设施、水利设施以及其他非指定场地倾倒清运渣土。渣土拉运后应及时对清运地点进行收尾清理，平整地面。</w:t>
      </w:r>
      <w:r>
        <w:rPr>
          <w:rFonts w:hint="eastAsia"/>
          <w:sz w:val="24"/>
          <w:szCs w:val="24"/>
          <w:highlight w:val="none"/>
          <w:lang w:val="en-US" w:eastAsia="zh-CN"/>
        </w:rPr>
        <w:t xml:space="preserve">   </w:t>
      </w:r>
    </w:p>
    <w:p w14:paraId="041EC203">
      <w:pPr>
        <w:pStyle w:val="4"/>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（2）在安全文明施工问题上，必须严格按照标准规范严格执行，在此期间所发生的一切事故应由</w:t>
      </w:r>
      <w:r>
        <w:rPr>
          <w:rFonts w:hint="eastAsia"/>
          <w:sz w:val="24"/>
          <w:szCs w:val="24"/>
          <w:highlight w:val="none"/>
          <w:lang w:val="en-US" w:eastAsia="zh-CN"/>
        </w:rPr>
        <w:t>中标单位</w:t>
      </w:r>
      <w:r>
        <w:rPr>
          <w:rFonts w:hint="eastAsia" w:ascii="宋体" w:hAnsi="宋体" w:eastAsia="宋体"/>
          <w:sz w:val="24"/>
          <w:szCs w:val="24"/>
          <w:highlight w:val="none"/>
          <w:lang w:val="en-US" w:eastAsia="zh-CN"/>
        </w:rPr>
        <w:t>自行承担。</w:t>
      </w:r>
    </w:p>
    <w:p w14:paraId="0F853483">
      <w:pPr>
        <w:pStyle w:val="4"/>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（3）项目实施过程中不与其他人员发生纠纷，在服务期间与其他人员产生的纠纷，均由中标</w:t>
      </w:r>
      <w:r>
        <w:rPr>
          <w:rFonts w:hint="eastAsia"/>
          <w:sz w:val="24"/>
          <w:szCs w:val="24"/>
          <w:highlight w:val="none"/>
          <w:lang w:val="en-US" w:eastAsia="zh-CN"/>
        </w:rPr>
        <w:t>单位</w:t>
      </w:r>
      <w:r>
        <w:rPr>
          <w:rFonts w:hint="eastAsia" w:ascii="宋体" w:hAnsi="宋体" w:eastAsia="宋体"/>
          <w:sz w:val="24"/>
          <w:szCs w:val="24"/>
          <w:highlight w:val="none"/>
          <w:lang w:val="en-US" w:eastAsia="zh-CN"/>
        </w:rPr>
        <w:t>承担全部责任。</w:t>
      </w:r>
    </w:p>
    <w:p w14:paraId="7A1E2BE7">
      <w:pPr>
        <w:pStyle w:val="4"/>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w:t>
      </w:r>
      <w:r>
        <w:rPr>
          <w:rFonts w:hint="eastAsia"/>
          <w:sz w:val="24"/>
          <w:szCs w:val="24"/>
          <w:highlight w:val="none"/>
          <w:lang w:val="en-US" w:eastAsia="zh-CN"/>
        </w:rPr>
        <w:t>中标单位</w:t>
      </w:r>
      <w:r>
        <w:rPr>
          <w:rFonts w:hint="eastAsia" w:ascii="宋体" w:hAnsi="宋体" w:eastAsia="宋体"/>
          <w:sz w:val="24"/>
          <w:szCs w:val="24"/>
          <w:highlight w:val="none"/>
          <w:lang w:val="en-US" w:eastAsia="zh-CN"/>
        </w:rPr>
        <w:t>在清运渣土前需按照市容执法部门的要求安装车辆冲洗设备及渣土覆盖绿网、防尘措施等。</w:t>
      </w:r>
    </w:p>
    <w:p w14:paraId="073E7666">
      <w:pPr>
        <w:pStyle w:val="4"/>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w:t>
      </w:r>
      <w:r>
        <w:rPr>
          <w:rFonts w:hint="eastAsia"/>
          <w:sz w:val="24"/>
          <w:szCs w:val="24"/>
          <w:highlight w:val="none"/>
          <w:lang w:val="en-US" w:eastAsia="zh-CN"/>
        </w:rPr>
        <w:t>中标</w:t>
      </w:r>
      <w:r>
        <w:rPr>
          <w:rFonts w:hint="eastAsia" w:ascii="宋体" w:hAnsi="宋体" w:eastAsia="宋体"/>
          <w:sz w:val="24"/>
          <w:szCs w:val="24"/>
          <w:highlight w:val="none"/>
          <w:lang w:val="en-US" w:eastAsia="zh-CN"/>
        </w:rPr>
        <w:t>单位应当对渣土进行分类，不得将渣土与生活垃圾、危险废物混合处置。拉运前应设置符合相关技术规范的围蔽设施，出口道路硬化处理，设置车辆冲洗设备并有效使用，设置洗车槽和沉淀池并有效使用，采取措施避免扬尘。</w:t>
      </w:r>
    </w:p>
    <w:p w14:paraId="0DD5D8D0">
      <w:pPr>
        <w:pStyle w:val="4"/>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（6）服务单位应当建立健全渣土运输车辆安全管理、驾驶人培训、车辆清运规范服务制度，加强车辆维修养护，保证运输安全规范。</w:t>
      </w:r>
    </w:p>
    <w:p w14:paraId="4E161774">
      <w:pPr>
        <w:pStyle w:val="4"/>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（7）运输过程中造成道路及环境污染的，乙方应当立即清除污染。未及时清除的，由所在区、县市容环境卫生行政管理部门组织清除，清除费用由乙方承担。</w:t>
      </w:r>
    </w:p>
    <w:p w14:paraId="29A0D718">
      <w:pPr>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五</w:t>
      </w:r>
      <w:bookmarkEnd w:id="1"/>
      <w:bookmarkEnd w:id="2"/>
      <w:bookmarkEnd w:id="3"/>
      <w:r>
        <w:rPr>
          <w:rFonts w:hint="eastAsia" w:ascii="宋体" w:hAnsi="宋体" w:cs="宋体"/>
          <w:b/>
          <w:bCs/>
          <w:sz w:val="24"/>
          <w:highlight w:val="none"/>
          <w:lang w:val="en-US" w:eastAsia="zh-CN"/>
        </w:rPr>
        <w:t>、垃圾处理具体要求</w:t>
      </w:r>
    </w:p>
    <w:p w14:paraId="14F35706">
      <w:pPr>
        <w:spacing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r>
        <w:rPr>
          <w:rFonts w:hint="eastAsia" w:ascii="宋体" w:hAnsi="宋体" w:cs="Times New Roman"/>
          <w:kern w:val="2"/>
          <w:sz w:val="24"/>
          <w:szCs w:val="24"/>
          <w:highlight w:val="none"/>
          <w:lang w:val="en-US" w:eastAsia="zh-CN" w:bidi="ar-SA"/>
        </w:rPr>
        <w:t>所有清运垃圾由成交供应商自行处理，不得随意倾倒。如发现随意倾倒引发的相关责任由成交供应商承担。</w:t>
      </w:r>
    </w:p>
    <w:p w14:paraId="0B2B8895">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在正式开展运输前，根据总体计划安排运输路线，由中标方统一办理沿途涉及城管、交警、路政的有关许可手续；组织驾驶人员集中勘察现场、运输路线等，熟悉运输起、终点及沿线环境；组织所有作业人员开展安全和文明施工教育；明确奖惩制度，并在作业过程中坚决执行。确保作业过程安全和最终质量，不污染环境，不扰民。</w:t>
      </w:r>
    </w:p>
    <w:p w14:paraId="745D6DFC">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在运输起、终点的出口设置高压水枪，每辆即将进入市政道路的车辆必须清洗干净，尤其轮胎必须洗净，经专人检查后放行，以免造成对沿途道路的污染。洗车位置由中标方开挖沉淀池，洗车废水经沉淀池沉淀净化后重复利用，以利于节约用水和最终排放时最大限度地减少对附近水系的影响。</w:t>
      </w:r>
    </w:p>
    <w:p w14:paraId="431E92A5">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所有车辆严格控制装载量，以尽量减少沿途抛洒的可能性。</w:t>
      </w:r>
    </w:p>
    <w:p w14:paraId="098FE812">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控制每次作业时间，原则上作业时间安排在6:00时至17:00时之间，并且保证每周每个小区点位至少两次清运，清运数量按吨计取；工期紧张的情况下，在环境敏感点附近作业按上述时间控制，其他地点可在夜间进行，且在夜间作业时配备足够的照明设施。</w:t>
      </w:r>
    </w:p>
    <w:p w14:paraId="0A66E777">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车辆进入投放点后，车辆驾驶员及安全管理人员需身着工作服，并服从现场人员的管理和指挥，确保倾倒地点准确和人员、车辆的安全。倾卸时力争倾倒干净，必要时辅以人工清洁车厢，驾驶员必须收拾好篷布或盖板，以免回程中对沿途的二次污染。</w:t>
      </w:r>
    </w:p>
    <w:p w14:paraId="7FF0E412">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（7）</w:t>
      </w:r>
      <w:r>
        <w:rPr>
          <w:rFonts w:hint="eastAsia" w:ascii="宋体" w:hAnsi="宋体" w:eastAsia="宋体" w:cs="Times New Roman"/>
          <w:kern w:val="2"/>
          <w:sz w:val="24"/>
          <w:szCs w:val="24"/>
          <w:highlight w:val="none"/>
          <w:lang w:val="en-US" w:eastAsia="zh-CN" w:bidi="ar-SA"/>
        </w:rPr>
        <w:t>为确保按质按量完成，中标方需贯彻执行国家安全生产、劳动保护方面的方针、政策和法规，建立健全项目安全生产保证体系，建立和实施安全生产责任制。现场应实施机械安全管理制度，计划使用的机械、机具和电气设备必须经验收，确认机械状况良好、能安全运行，才准许投入使用。所有机械操作人员都必须经培训合格后，持证上岗。机械操作人员要进行登记存档，按期复验。机械使用期间，应当指定专人负责维护、保养，保证其机械设备的完好率和使用率以及安全运作。</w:t>
      </w:r>
    </w:p>
    <w:p w14:paraId="7EB8022F">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（8）</w:t>
      </w:r>
      <w:r>
        <w:rPr>
          <w:rFonts w:hint="eastAsia" w:ascii="宋体" w:hAnsi="宋体" w:eastAsia="宋体" w:cs="Times New Roman"/>
          <w:kern w:val="2"/>
          <w:sz w:val="24"/>
          <w:szCs w:val="24"/>
          <w:highlight w:val="none"/>
          <w:lang w:val="en-US" w:eastAsia="zh-CN" w:bidi="ar-SA"/>
        </w:rPr>
        <w:t>限时承诺办结制度：针对运输过程中出现的车辆抛锚、交通事故等意外情况，在限定</w:t>
      </w:r>
    </w:p>
    <w:p w14:paraId="13181787">
      <w:pPr>
        <w:spacing w:line="360" w:lineRule="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时间内及时处理完成。</w:t>
      </w:r>
    </w:p>
    <w:p w14:paraId="0E3B5FDD">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（9）</w:t>
      </w:r>
      <w:r>
        <w:rPr>
          <w:rFonts w:hint="eastAsia" w:ascii="宋体" w:hAnsi="宋体" w:eastAsia="宋体" w:cs="Times New Roman"/>
          <w:kern w:val="2"/>
          <w:sz w:val="24"/>
          <w:szCs w:val="24"/>
          <w:highlight w:val="none"/>
          <w:lang w:val="en-US" w:eastAsia="zh-CN" w:bidi="ar-SA"/>
        </w:rPr>
        <w:t>归档资料同步制度：日常运输计量台账等材料齐全。</w:t>
      </w:r>
    </w:p>
    <w:p w14:paraId="0661D499">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及时做好环卫运输车辆运送进场偷倒垃圾及废弃物的计量工作并做好相关台账。</w:t>
      </w:r>
    </w:p>
    <w:p w14:paraId="0E7C68D0">
      <w:pPr>
        <w:pStyle w:val="4"/>
        <w:ind w:left="0" w:leftChars="0" w:firstLine="0" w:firstLineChars="0"/>
        <w:rPr>
          <w:rFonts w:hint="default" w:ascii="宋体" w:hAnsi="宋体" w:eastAsia="宋体" w:cs="Times New Roman"/>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六、其他</w:t>
      </w:r>
      <w:r>
        <w:rPr>
          <w:rFonts w:hint="eastAsia" w:ascii="宋体" w:hAnsi="宋体" w:eastAsia="宋体" w:cs="Times New Roman"/>
          <w:b/>
          <w:bCs/>
          <w:kern w:val="2"/>
          <w:sz w:val="24"/>
          <w:szCs w:val="24"/>
          <w:highlight w:val="none"/>
          <w:lang w:val="en-US" w:eastAsia="zh-CN" w:bidi="ar-SA"/>
        </w:rPr>
        <w:t>要求</w:t>
      </w:r>
      <w:r>
        <w:rPr>
          <w:rFonts w:hint="eastAsia" w:ascii="宋体" w:hAnsi="宋体" w:eastAsia="宋体" w:cs="Times New Roman"/>
          <w:b w:val="0"/>
          <w:bCs w:val="0"/>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详细见《竞争性磋商文件》附件：《合同草案条款》。</w:t>
      </w:r>
    </w:p>
    <w:p w14:paraId="1B1323D6">
      <w:pPr>
        <w:widowControl w:val="0"/>
        <w:numPr>
          <w:ilvl w:val="0"/>
          <w:numId w:val="0"/>
        </w:numPr>
        <w:jc w:val="both"/>
        <w:rPr>
          <w:rFonts w:hint="default" w:ascii="宋体" w:hAnsi="宋体" w:cs="宋体"/>
          <w:b w:val="0"/>
          <w:bCs w:val="0"/>
          <w:sz w:val="24"/>
          <w:szCs w:val="24"/>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38D98"/>
    <w:multiLevelType w:val="multilevel"/>
    <w:tmpl w:val="A7838D98"/>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D36AF5"/>
    <w:multiLevelType w:val="multilevel"/>
    <w:tmpl w:val="CFD36AF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A8F537B"/>
    <w:multiLevelType w:val="multilevel"/>
    <w:tmpl w:val="2A8F537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39B4987C"/>
    <w:multiLevelType w:val="multilevel"/>
    <w:tmpl w:val="39B4987C"/>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10452"/>
    <w:rsid w:val="09EA59EB"/>
    <w:rsid w:val="1365147C"/>
    <w:rsid w:val="473C0748"/>
    <w:rsid w:val="4E487C6D"/>
    <w:rsid w:val="668E3931"/>
    <w:rsid w:val="69ED168C"/>
    <w:rsid w:val="6F800BBD"/>
    <w:rsid w:val="74C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jc w:val="left"/>
    </w:pPr>
    <w:rPr>
      <w:rFonts w:ascii="Times New Roman" w:hAnsi="Times New Roman"/>
      <w:sz w:val="20"/>
      <w:szCs w:val="20"/>
    </w:rPr>
  </w:style>
  <w:style w:type="paragraph" w:styleId="3">
    <w:name w:val="Block Text"/>
    <w:basedOn w:val="1"/>
    <w:qFormat/>
    <w:uiPriority w:val="0"/>
    <w:pPr>
      <w:ind w:left="256" w:right="6" w:firstLine="624"/>
    </w:pPr>
    <w:rPr>
      <w:rFonts w:eastAsia="仿宋_GB2312"/>
      <w:sz w:val="28"/>
      <w:szCs w:val="20"/>
    </w:rPr>
  </w:style>
  <w:style w:type="paragraph" w:styleId="4">
    <w:name w:val="Body Text First Indent"/>
    <w:basedOn w:val="2"/>
    <w:qFormat/>
    <w:uiPriority w:val="0"/>
    <w:pPr>
      <w:spacing w:line="360" w:lineRule="auto"/>
      <w:ind w:firstLine="200"/>
    </w:pPr>
    <w:rPr>
      <w:rFonts w:ascii="仿宋_GB2312" w:eastAsia="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2487</Characters>
  <Lines>0</Lines>
  <Paragraphs>0</Paragraphs>
  <TotalTime>2</TotalTime>
  <ScaleCrop>false</ScaleCrop>
  <LinksUpToDate>false</LinksUpToDate>
  <CharactersWithSpaces>2499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金工</cp:lastModifiedBy>
  <dcterms:modified xsi:type="dcterms:W3CDTF">2026-04-29T04:16:52Z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eyJoZGlkIjoiMmY0NjE1Njk5NzcxZDYzMGY1MTMyZjk0YWEzZDIwNTQifQ==</vt:lpwstr>
  </property>
  <property fmtid="{D5CDD505-2E9C-101B-9397-08002B2CF9AE}" pid="4" name="ICV">
    <vt:lpwstr>C1DB18494AD94FB3BAF2C86F69832489_13</vt:lpwstr>
  </property>
</Properties>
</file>