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jc w:val="center"/>
        <w:pageBreakBefore w:val="0"/>
        <w:spacing w:before="1440" w:after="100" w:afterAutospacing="1" w:line="360" w:lineRule="auto"/>
        <w:rPr>
          <w:rFonts w:hint="eastAsia" w:ascii="仿宋" w:hAnsi="仿宋" w:eastAsia="仿宋" w:cs="仿宋"/>
          <w:color w:val="000000" w:themeColor="text1"/>
          <w:sz w:val="32"/>
          <w:szCs w:val="32"/>
          <w:highlight w:val="none"/>
          <w14:textFill>
            <w14:solidFill>
              <w14:schemeClr w14:val="tx1"/>
            </w14:solidFill>
          </w14:textFill>
        </w:rPr>
        <w:outlineLvl w:val="0"/>
      </w:pPr>
      <w:r/>
      <w:bookmarkStart w:id="0" w:name="_Toc26972"/>
      <w:r/>
      <w:bookmarkStart w:id="1" w:name="_Toc9547"/>
      <w:r>
        <w:rPr>
          <w:rFonts w:hint="eastAsia" w:ascii="仿宋" w:hAnsi="仿宋" w:eastAsia="仿宋" w:cs="仿宋"/>
          <w:b/>
          <w:color w:val="000000" w:themeColor="text1"/>
          <w:sz w:val="72"/>
          <w:szCs w:val="72"/>
          <w:highlight w:val="none"/>
          <w:shd w:val="clear" w:color="auto" w:fill="ffffff"/>
          <w14:textFill>
            <w14:solidFill>
              <w14:schemeClr w14:val="tx1"/>
            </w14:solidFill>
          </w14:textFill>
        </w:rPr>
        <w:t xml:space="preserve">竞争性磋商文件</w:t>
      </w:r>
      <w:bookmarkEnd w:id="0"/>
      <w:r/>
      <w:bookmarkEnd w:id="1"/>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2"/>
          <w:szCs w:val="32"/>
          <w:highlight w:val="none"/>
          <w:lang w:val="en-US" w:eastAsia="zh-CN"/>
          <w14:textFill>
            <w14:solidFill>
              <w14:schemeClr w14:val="tx1"/>
            </w14:solidFill>
          </w14:textFill>
        </w:rPr>
        <w:t xml:space="preserve">                                                                                                                                                                                                                                                                </w:t>
      </w:r>
      <w:r/>
    </w:p>
    <w:p>
      <w:pPr>
        <w:pStyle w:val="730"/>
        <w:pageBreakBefore w:val="0"/>
        <w:spacing w:line="360" w:lineRule="auto"/>
        <w:rPr>
          <w:rFonts w:hint="eastAsia" w:ascii="仿宋" w:hAnsi="仿宋" w:eastAsia="仿宋" w:cs="仿宋"/>
          <w:highlight w:val="none"/>
        </w:rPr>
      </w:pPr>
      <w:r>
        <w:rPr>
          <w:rFonts w:hint="eastAsia" w:ascii="仿宋" w:hAnsi="仿宋" w:eastAsia="仿宋" w:cs="仿宋"/>
          <w:highlight w:val="none"/>
        </w:rPr>
      </w:r>
      <w:r/>
    </w:p>
    <w:p>
      <w:pPr>
        <w:pStyle w:val="731"/>
        <w:rPr>
          <w:rFonts w:hint="eastAsia" w:ascii="仿宋" w:hAnsi="仿宋" w:eastAsia="仿宋" w:cs="仿宋"/>
          <w:highlight w:val="none"/>
        </w:rPr>
      </w:pPr>
      <w:r>
        <w:rPr>
          <w:rFonts w:hint="eastAsia" w:ascii="仿宋" w:hAnsi="仿宋" w:eastAsia="仿宋" w:cs="仿宋"/>
          <w:highlight w:val="none"/>
        </w:rPr>
      </w:r>
      <w:r/>
    </w:p>
    <w:p>
      <w:pPr>
        <w:pStyle w:val="730"/>
        <w:rPr>
          <w:rFonts w:hint="eastAsia" w:ascii="仿宋" w:hAnsi="仿宋" w:eastAsia="仿宋" w:cs="仿宋"/>
          <w:highlight w:val="none"/>
        </w:rPr>
      </w:pPr>
      <w:r>
        <w:rPr>
          <w:rFonts w:hint="eastAsia" w:ascii="仿宋" w:hAnsi="仿宋" w:eastAsia="仿宋" w:cs="仿宋"/>
          <w:highlight w:val="none"/>
        </w:rPr>
      </w:r>
      <w:r/>
    </w:p>
    <w:p>
      <w:pPr>
        <w:pStyle w:val="731"/>
        <w:rPr>
          <w:rFonts w:hint="eastAsia" w:ascii="仿宋" w:hAnsi="仿宋" w:eastAsia="仿宋" w:cs="仿宋"/>
          <w:highlight w:val="none"/>
        </w:rPr>
      </w:pPr>
      <w:r>
        <w:rPr>
          <w:rFonts w:hint="eastAsia" w:ascii="仿宋" w:hAnsi="仿宋" w:eastAsia="仿宋" w:cs="仿宋"/>
          <w:highlight w:val="none"/>
        </w:rPr>
      </w:r>
      <w:r/>
    </w:p>
    <w:p>
      <w:pPr>
        <w:pStyle w:val="743"/>
        <w:rPr>
          <w:rFonts w:hint="eastAsia"/>
        </w:rPr>
      </w:pPr>
      <w:r>
        <w:rPr>
          <w:rFonts w:hint="eastAsia"/>
        </w:rPr>
      </w:r>
      <w:r/>
    </w:p>
    <w:p>
      <w:pPr>
        <w:pStyle w:val="731"/>
        <w:rPr>
          <w:rFonts w:hint="eastAsia" w:ascii="仿宋" w:hAnsi="仿宋" w:eastAsia="仿宋" w:cs="仿宋"/>
          <w:highlight w:val="none"/>
        </w:rPr>
      </w:pPr>
      <w:r>
        <w:rPr>
          <w:rFonts w:hint="eastAsia" w:ascii="仿宋" w:hAnsi="仿宋" w:eastAsia="仿宋" w:cs="仿宋"/>
          <w:highlight w:val="none"/>
        </w:rPr>
      </w:r>
      <w:r/>
    </w:p>
    <w:p>
      <w:pPr>
        <w:pStyle w:val="734"/>
        <w:jc w:val="left"/>
        <w:pageBreakBefore w:val="0"/>
        <w:spacing w:line="360" w:lineRule="auto"/>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ind w:firstLine="560"/>
        <w:jc w:val="left"/>
        <w:rPr>
          <w:rFonts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cs="Times New Roman"/>
          <w:sz w:val="28"/>
          <w:szCs w:val="28"/>
        </w:rPr>
        <w:t xml:space="preserve">：JSZC-320381050-ZYGJ-C2026-0003</w:t>
      </w:r>
      <w:r/>
    </w:p>
    <w:p>
      <w:pPr>
        <w:ind w:left="1959" w:hanging="1400"/>
        <w:spacing w:line="360" w:lineRule="auto"/>
        <w:tabs>
          <w:tab w:val="left" w:pos="2127" w:leader="none"/>
        </w:tabs>
        <w:rPr>
          <w:rFonts w:ascii="仿宋" w:hAnsi="仿宋" w:eastAsia="仿宋"/>
          <w:sz w:val="28"/>
          <w:szCs w:val="28"/>
        </w:rPr>
      </w:pPr>
      <w:r>
        <w:rPr>
          <w:rFonts w:ascii="仿宋" w:hAnsi="仿宋" w:eastAsia="仿宋"/>
          <w:sz w:val="28"/>
          <w:szCs w:val="28"/>
        </w:rPr>
      </w:r>
      <w:r/>
    </w:p>
    <w:p>
      <w:pPr>
        <w:ind w:left="1959" w:hanging="1400"/>
        <w:spacing w:line="360" w:lineRule="auto"/>
        <w:tabs>
          <w:tab w:val="left" w:pos="2127" w:leader="none"/>
        </w:tabs>
        <w:rPr>
          <w:rFonts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cs="Times New Roman"/>
          <w:sz w:val="28"/>
          <w:szCs w:val="28"/>
        </w:rPr>
        <w:t xml:space="preserve">枫荷雅居消防改造工程</w:t>
      </w:r>
      <w:r/>
    </w:p>
    <w:p>
      <w:r/>
      <w:r/>
    </w:p>
    <w:p>
      <w:pPr>
        <w:ind w:firstLine="560"/>
        <w:spacing w:line="360" w:lineRule="auto"/>
        <w:tabs>
          <w:tab w:val="left" w:pos="2127" w:leader="none"/>
        </w:tabs>
        <w:rPr>
          <w:rFonts w:ascii="仿宋" w:hAnsi="仿宋" w:eastAsia="仿宋"/>
          <w:sz w:val="28"/>
          <w:szCs w:val="28"/>
        </w:rPr>
      </w:pPr>
      <w:r>
        <w:rPr>
          <w:rFonts w:hint="eastAsia" w:ascii="仿宋" w:hAnsi="仿宋" w:eastAsia="仿宋"/>
          <w:sz w:val="28"/>
          <w:szCs w:val="28"/>
        </w:rPr>
        <w:t xml:space="preserve">采购单位：</w:t>
      </w:r>
      <w:r>
        <w:rPr>
          <w:rFonts w:hint="eastAsia" w:ascii="仿宋" w:hAnsi="仿宋" w:eastAsia="仿宋" w:cs="Times New Roman"/>
          <w:sz w:val="28"/>
          <w:szCs w:val="28"/>
        </w:rPr>
        <w:t xml:space="preserve">江苏新沂经济开发区管理委员会</w:t>
      </w:r>
      <w:r/>
    </w:p>
    <w:p>
      <w:r/>
      <w:r/>
    </w:p>
    <w:p>
      <w:pPr>
        <w:ind w:firstLine="560"/>
        <w:spacing w:line="360" w:lineRule="auto"/>
        <w:tabs>
          <w:tab w:val="left" w:pos="2127" w:leader="none"/>
        </w:tabs>
        <w:rPr>
          <w:rFonts w:hint="default" w:ascii="仿宋" w:hAnsi="仿宋" w:eastAsia="仿宋"/>
          <w:sz w:val="28"/>
          <w:szCs w:val="28"/>
          <w:lang w:val="en-US" w:eastAsia="zh-CN"/>
        </w:rPr>
      </w:pPr>
      <w:r>
        <w:rPr>
          <w:rFonts w:hint="eastAsia" w:ascii="仿宋" w:hAnsi="仿宋" w:eastAsia="仿宋"/>
          <w:sz w:val="28"/>
          <w:szCs w:val="28"/>
        </w:rPr>
        <w:t xml:space="preserve">代理机构：</w:t>
      </w:r>
      <w:r>
        <w:rPr>
          <w:rFonts w:hint="eastAsia" w:ascii="仿宋" w:hAnsi="仿宋" w:eastAsia="仿宋"/>
          <w:sz w:val="28"/>
          <w:szCs w:val="28"/>
          <w:lang w:val="en-US" w:eastAsia="zh-CN"/>
        </w:rPr>
        <w:t xml:space="preserve">中瀛国际工程管理有限公司</w:t>
      </w:r>
      <w:r/>
    </w:p>
    <w:p>
      <w:pPr>
        <w:pStyle w:val="734"/>
        <w:ind w:firstLine="301"/>
        <w:jc w:val="center"/>
        <w:pageBreakBefore w:val="0"/>
        <w:spacing w:line="360" w:lineRule="auto"/>
        <w:rPr>
          <w:rFonts w:hint="eastAsia" w:ascii="仿宋" w:hAnsi="仿宋" w:eastAsia="仿宋"/>
          <w:sz w:val="28"/>
          <w:szCs w:val="28"/>
        </w:rPr>
      </w:pPr>
      <w:r>
        <w:rPr>
          <w:rFonts w:hint="eastAsia" w:ascii="仿宋" w:hAnsi="仿宋" w:eastAsia="仿宋"/>
          <w:sz w:val="28"/>
          <w:szCs w:val="28"/>
        </w:rPr>
      </w:r>
      <w:r/>
    </w:p>
    <w:p>
      <w:pPr>
        <w:pStyle w:val="734"/>
        <w:ind w:firstLine="301"/>
        <w:jc w:val="center"/>
        <w:pageBreakBefore w:val="0"/>
        <w:spacing w:line="360" w:lineRule="auto"/>
        <w:rPr>
          <w:rFonts w:hint="eastAsia" w:ascii="仿宋" w:hAnsi="仿宋" w:eastAsia="仿宋"/>
          <w:sz w:val="28"/>
          <w:szCs w:val="28"/>
        </w:rPr>
      </w:pPr>
      <w:r>
        <w:rPr>
          <w:rFonts w:hint="eastAsia" w:ascii="仿宋" w:hAnsi="仿宋" w:eastAsia="仿宋"/>
          <w:sz w:val="28"/>
          <w:szCs w:val="28"/>
        </w:rPr>
      </w:r>
      <w:r/>
    </w:p>
    <w:p>
      <w:pPr>
        <w:pStyle w:val="734"/>
        <w:ind w:firstLine="301"/>
        <w:jc w:val="center"/>
        <w:pageBreakBefore w:val="0"/>
        <w:spacing w:line="360" w:lineRule="auto"/>
        <w:rPr>
          <w:rFonts w:hint="default" w:ascii="仿宋" w:hAnsi="仿宋" w:eastAsia="仿宋" w:cs="仿宋"/>
          <w:color w:val="000000" w:themeColor="text1"/>
          <w:sz w:val="36"/>
          <w:szCs w:val="36"/>
          <w:highlight w:val="none"/>
          <w:lang w:val="en-US" w:eastAsia="zh-CN"/>
          <w14:textFill>
            <w14:solidFill>
              <w14:schemeClr w14:val="tx1"/>
            </w14:solidFill>
          </w14:textFill>
        </w:rPr>
      </w:pPr>
      <w:r>
        <w:rPr>
          <w:rFonts w:hint="eastAsia" w:ascii="仿宋" w:hAnsi="仿宋" w:eastAsia="仿宋"/>
          <w:sz w:val="28"/>
          <w:szCs w:val="28"/>
        </w:rPr>
        <w:t xml:space="preserve">编制时间：202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pStyle w:val="1038"/>
        <w:keepLines w:val="0"/>
        <w:keepNext w:val="0"/>
        <w:pageBreakBefore w:val="0"/>
        <w:spacing w:line="360" w:lineRule="auto"/>
        <w:widowControl/>
        <w:tabs>
          <w:tab w:val="right" w:pos="8844" w:leader="dot"/>
        </w:tabs>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46"/>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outlineLvl w:val="9"/>
      </w:pPr>
      <w:r/>
      <w:bookmarkStart w:id="2" w:name="_Toc7019"/>
      <w:r/>
      <w:bookmarkStart w:id="3" w:name="_Toc28664"/>
      <w:r/>
      <w:bookmarkStart w:id="4" w:name="_Toc24307"/>
      <w:r/>
      <w:r/>
    </w:p>
    <w:p>
      <w:pPr>
        <w:pStyle w:val="734"/>
        <w:jc w:val="center"/>
        <w:spacing w:line="360" w:lineRule="auto"/>
        <w:rPr>
          <w:rFonts w:hint="eastAsia" w:ascii="仿宋" w:hAnsi="仿宋" w:eastAsia="仿宋" w:cs="仿宋"/>
          <w:color w:val="000000" w:themeColor="text1"/>
          <w:sz w:val="24"/>
          <w:highlight w:val="white"/>
          <w14:textFill>
            <w14:solidFill>
              <w14:schemeClr w14:val="tx1"/>
            </w14:solidFill>
          </w14:textFill>
        </w:rPr>
      </w:pPr>
      <w:r/>
      <w:bookmarkStart w:id="5" w:name="_Toc3776"/>
      <w:r/>
      <w:bookmarkStart w:id="6" w:name="_Toc4305"/>
      <w:r/>
      <w:bookmarkStart w:id="7" w:name="_Toc1046"/>
      <w:r/>
      <w:bookmarkStart w:id="8" w:name="_Toc24281"/>
      <w:r/>
      <w:bookmarkStart w:id="9" w:name="_Toc12112"/>
      <w:r/>
      <w:bookmarkStart w:id="10" w:name="_Toc27132"/>
      <w:r/>
      <w:bookmarkStart w:id="11" w:name="_Toc24143"/>
      <w:r/>
      <w:bookmarkStart w:id="12" w:name="_Toc2168"/>
      <w:r>
        <w:rPr>
          <w:rFonts w:hint="eastAsia" w:ascii="仿宋" w:hAnsi="仿宋" w:eastAsia="仿宋" w:cs="仿宋"/>
          <w:b/>
          <w:color w:val="000000" w:themeColor="text1"/>
          <w:sz w:val="44"/>
          <w:szCs w:val="44"/>
          <w:highlight w:val="white"/>
          <w14:textFill>
            <w14:solidFill>
              <w14:schemeClr w14:val="tx1"/>
            </w14:solidFill>
          </w14:textFill>
        </w:rPr>
        <w:t xml:space="preserve">竞争性磋商文件</w:t>
      </w:r>
      <w:r/>
    </w:p>
    <w:p>
      <w:pPr>
        <w:pStyle w:val="734"/>
        <w:ind w:firstLine="0"/>
        <w:jc w:val="center"/>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white"/>
          <w:lang w:eastAsia="zh-CN"/>
          <w14:textFill>
            <w14:solidFill>
              <w14:schemeClr w14:val="tx1"/>
            </w14:solidFill>
          </w14:textFill>
        </w:rPr>
        <w:t xml:space="preserve">项目编号：</w:t>
      </w:r>
      <w:r>
        <w:rPr>
          <w:rFonts w:hint="eastAsia" w:ascii="仿宋" w:hAnsi="仿宋" w:eastAsia="仿宋" w:cs="Times New Roman"/>
          <w:sz w:val="28"/>
          <w:szCs w:val="28"/>
        </w:rPr>
        <w:t xml:space="preserve">JSZC-320381050-ZYGJ-C2026-0003</w:t>
      </w:r>
      <w:r/>
      <w:r>
        <w:rPr>
          <w:rFonts w:hint="eastAsia" w:ascii="仿宋" w:hAnsi="仿宋" w:eastAsia="仿宋" w:cs="仿宋"/>
          <w:b/>
          <w:bCs/>
          <w:color w:val="000000" w:themeColor="text1"/>
          <w:sz w:val="24"/>
          <w:szCs w:val="24"/>
          <w:highlight w:val="white"/>
          <w:lang w:eastAsia="zh-CN"/>
          <w14:textFill>
            <w14:solidFill>
              <w14:schemeClr w14:val="tx1"/>
            </w14:solidFill>
          </w14:textFill>
        </w:rPr>
      </w:r>
      <w:r/>
    </w:p>
    <w:p>
      <w:pPr>
        <w:spacing w:line="360" w:lineRule="auto"/>
        <w:tabs>
          <w:tab w:val="left" w:pos="3240" w:leader="none"/>
        </w:tabs>
        <w:rPr>
          <w:rFonts w:hint="eastAsia" w:ascii="宋体" w:hAnsi="宋体" w:cs="宋体"/>
          <w:color w:val="auto"/>
          <w:sz w:val="24"/>
          <w:highlight w:val="none"/>
        </w:rPr>
      </w:pPr>
      <w:r>
        <w:rPr>
          <w:rFonts w:hint="eastAsia" w:ascii="仿宋" w:hAnsi="仿宋" w:eastAsia="仿宋" w:cs="仿宋"/>
          <w:b w:val="0"/>
          <w:bCs w:val="0"/>
          <w:color w:val="000000" w:themeColor="text1"/>
          <w:sz w:val="24"/>
          <w:szCs w:val="24"/>
          <w:highlight w:val="none"/>
          <w:u w:val="single"/>
          <w:lang w:val="en-US" w:eastAsia="zh-CN" w:bidi="ar-SA"/>
          <w14:textFill>
            <w14:solidFill>
              <w14:schemeClr w14:val="tx1"/>
            </w14:solidFill>
          </w14:textFill>
        </w:rPr>
        <w:t xml:space="preserve">（供应商）</w:t>
      </w:r>
      <w:r>
        <w:rPr>
          <w:rFonts w:hint="eastAsia" w:ascii="宋体" w:hAnsi="宋体" w:cs="宋体"/>
          <w:color w:val="auto"/>
          <w:sz w:val="24"/>
          <w:highlight w:val="none"/>
        </w:rPr>
        <w:t xml:space="preserve">：</w:t>
      </w:r>
      <w:r/>
    </w:p>
    <w:p>
      <w:pPr>
        <w:pStyle w:val="746"/>
        <w:ind w:firstLine="482"/>
        <w:jc w:val="left"/>
        <w:keepLines/>
        <w:keepNext/>
        <w:pageBreakBefore w:val="0"/>
        <w:spacing w:line="360" w:lineRule="auto"/>
        <w:widowControl w:val="off"/>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outlineLvl w:val="0"/>
      </w:pPr>
      <w:r>
        <w:rPr>
          <w:rFonts w:hint="eastAsia" w:ascii="仿宋" w:hAnsi="仿宋" w:eastAsia="仿宋" w:cs="仿宋"/>
          <w:b w:val="0"/>
          <w:bCs w:val="0"/>
          <w:color w:val="000000" w:themeColor="text1"/>
          <w:sz w:val="24"/>
          <w:szCs w:val="24"/>
          <w:highlight w:val="none"/>
          <w:lang w:val="en-US" w:eastAsia="zh-CN" w:bidi="ar-SA"/>
          <w14:textFill>
            <w14:solidFill>
              <w14:schemeClr w14:val="tx1"/>
            </w14:solidFill>
          </w14:textFill>
        </w:rPr>
        <w:t xml:space="preserve">按照《中华人民共和国政府采购法》、《中华人民共和国政府采购法实施条例》及《政府采购竞争性磋商采购方式管理暂行办法》的规定，中瀛国际工程管理有限公司对枫荷雅居消防改造工程采取竞争性磋商采购方式进行采购。如贵单位有意与本公司合作，请按以下竞争性磋商文件（以下简称磋商文件）要求参加磋商。</w:t>
      </w:r>
      <w:r/>
    </w:p>
    <w:p>
      <w:pPr>
        <w:pStyle w:val="746"/>
        <w:pageBreakBefore w:val="0"/>
        <w:spacing w:line="360" w:lineRule="auto"/>
        <w:rPr>
          <w:rFonts w:hint="default" w:ascii="仿宋" w:hAnsi="仿宋" w:eastAsia="仿宋" w:cs="仿宋"/>
          <w:color w:val="000000" w:themeColor="text1"/>
          <w:sz w:val="30"/>
          <w:szCs w:val="30"/>
          <w:highlight w:val="none"/>
          <w:lang w:val="en-US"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第一章 </w:t>
      </w:r>
      <w:bookmarkEnd w:id="2"/>
      <w:r/>
      <w:bookmarkEnd w:id="3"/>
      <w:r/>
      <w:bookmarkEnd w:id="4"/>
      <w:r/>
      <w:bookmarkEnd w:id="5"/>
      <w:r/>
      <w:bookmarkEnd w:id="6"/>
      <w:r/>
      <w:bookmarkEnd w:id="7"/>
      <w:r/>
      <w:bookmarkEnd w:id="8"/>
      <w:r/>
      <w:bookmarkEnd w:id="9"/>
      <w:r/>
      <w:bookmarkEnd w:id="10"/>
      <w:r/>
      <w:bookmarkEnd w:id="11"/>
      <w:r/>
      <w:bookmarkEnd w:id="12"/>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项目说明</w:t>
      </w:r>
      <w:r/>
    </w:p>
    <w:p>
      <w:pPr>
        <w:pStyle w:val="740"/>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一、采购人</w:t>
      </w:r>
      <w:r>
        <w:rPr>
          <w:rFonts w:hint="eastAsia" w:ascii="仿宋" w:hAnsi="仿宋" w:eastAsia="仿宋" w:cs="仿宋"/>
          <w:color w:val="000000" w:themeColor="text1"/>
          <w:sz w:val="24"/>
          <w:highlight w:val="none"/>
          <w14:textFill>
            <w14:solidFill>
              <w14:schemeClr w14:val="tx1"/>
            </w14:solidFill>
          </w14:textFill>
        </w:rPr>
        <w:t xml:space="preserve">：</w:t>
      </w:r>
      <w:r>
        <w:rPr>
          <w:rFonts w:ascii="仿宋" w:hAnsi="仿宋" w:eastAsia="仿宋" w:cs="仿宋"/>
          <w:i w:val="0"/>
          <w:iCs w:val="0"/>
          <w:caps w:val="0"/>
          <w:color w:val="353535"/>
          <w:spacing w:val="0"/>
          <w:sz w:val="24"/>
          <w:szCs w:val="24"/>
          <w:shd w:val="clear" w:color="auto" w:fill="ffffff"/>
        </w:rPr>
        <w:t xml:space="preserve">江苏新沂经济开发区管理委员会</w:t>
      </w:r>
      <w:r/>
    </w:p>
    <w:p>
      <w:pPr>
        <w:pStyle w:val="740"/>
        <w:jc w:val="left"/>
        <w:keepLines w:val="0"/>
        <w:keepNext w:val="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二、项目编号：</w:t>
      </w:r>
      <w:r>
        <w:rPr>
          <w:rFonts w:ascii="仿宋" w:hAnsi="仿宋" w:eastAsia="仿宋" w:cs="仿宋"/>
          <w:i w:val="0"/>
          <w:iCs w:val="0"/>
          <w:caps w:val="0"/>
          <w:color w:val="353535"/>
          <w:spacing w:val="0"/>
          <w:sz w:val="24"/>
          <w:szCs w:val="24"/>
          <w:shd w:val="clear" w:color="auto" w:fill="ffffff"/>
        </w:rPr>
        <w:t xml:space="preserve">JSZC-320381050-ZYGJ-C2026-0003</w:t>
      </w:r>
      <w:r/>
    </w:p>
    <w:p>
      <w:pPr>
        <w:pStyle w:val="740"/>
        <w:jc w:val="left"/>
        <w:keepLines w:val="0"/>
        <w:keepNext w:val="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枫</w:t>
      </w:r>
      <w:r>
        <w:rPr>
          <w:rFonts w:hint="eastAsia" w:ascii="仿宋" w:hAnsi="仿宋" w:eastAsia="仿宋" w:cs="仿宋"/>
          <w:color w:val="000000" w:themeColor="text1"/>
          <w:sz w:val="24"/>
          <w:highlight w:val="none"/>
          <w14:textFill>
            <w14:solidFill>
              <w14:schemeClr w14:val="tx1"/>
            </w14:solidFill>
          </w14:textFill>
        </w:rPr>
        <w:t xml:space="preserve">荷雅居消防改造工程</w:t>
      </w:r>
      <w:r/>
    </w:p>
    <w:p>
      <w:pPr>
        <w:pStyle w:val="740"/>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highlight w:val="none"/>
          <w14:textFill>
            <w14:solidFill>
              <w14:schemeClr w14:val="tx1"/>
            </w14:solidFill>
          </w14:textFill>
        </w:rPr>
        <w:t xml:space="preserve">采购邀请：通过发布公告的方式邀请符合相应资格条件的供应商参与竞争性磋商采购活动。</w:t>
      </w:r>
      <w:r/>
    </w:p>
    <w:p>
      <w:pPr>
        <w:pStyle w:val="740"/>
        <w:jc w:val="left"/>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五、采购方式：本项目采用竞争性磋商采购方式。</w:t>
      </w:r>
      <w:r/>
    </w:p>
    <w:p>
      <w:pPr>
        <w:pStyle w:val="740"/>
        <w:jc w:val="left"/>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六、供应商资格条件：</w:t>
      </w:r>
      <w:r/>
    </w:p>
    <w:p>
      <w:pPr>
        <w:pStyle w:val="74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满足</w:t>
      </w:r>
      <w:r>
        <w:rPr>
          <w:rFonts w:hint="eastAsia" w:ascii="仿宋" w:hAnsi="仿宋" w:eastAsia="仿宋" w:cs="仿宋"/>
          <w:color w:val="000000" w:themeColor="text1"/>
          <w:sz w:val="24"/>
          <w:highlight w:val="none"/>
          <w14:textFill>
            <w14:solidFill>
              <w14:schemeClr w14:val="tx1"/>
            </w14:solidFill>
          </w14:textFill>
        </w:rPr>
        <w:t xml:space="preserve">《中华人民共和国政府采购法》第二十二条规定；</w:t>
      </w:r>
      <w:r/>
    </w:p>
    <w:p>
      <w:pPr>
        <w:pStyle w:val="771"/>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71"/>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p>
    <w:p>
      <w:pPr>
        <w:pStyle w:val="771"/>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pStyle w:val="771"/>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4.具备履行合同所必需的设备和专业技术能力的证明材料提供具备履行合同所必需的设备和专业技术能力的书面声明（加盖电子签章，格式见《磋商文件》附件）；</w:t>
      </w:r>
      <w:r/>
    </w:p>
    <w:p>
      <w:pPr>
        <w:pStyle w:val="771"/>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4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落实政府采购政策需满足的资格要求：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4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jc w:val="left"/>
        <w:keepLines w:val="0"/>
        <w:keepNext w:val="0"/>
        <w:pageBreakBefore w:val="0"/>
        <w:spacing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（1）、供应商须具备消防设施工程专业承包贰级（含）以上资质证书，并具有有效的安全生产许可证；</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（原件扫描件上传加盖电子签章</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p>
    <w:p>
      <w:pPr>
        <w:pStyle w:val="726"/>
        <w:ind w:firstLine="480"/>
        <w:spacing w:line="360" w:lineRule="auto"/>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（2）拟派项目负责人须具备机电工程专业贰级（含）以上注册建造师资格证书；并取得《建筑施工企业项目负责人安全生产考核合格证书》（B证）</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（原件扫描件上传加盖电子签章</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，无在建工程（提供无在建承诺书，加盖电子签章）；</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说明：</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1.本项目不接受联合体参与采购活动，成交后不得转包或分包。</w:t>
      </w:r>
      <w:r/>
    </w:p>
    <w:p>
      <w:pPr>
        <w:ind w:firstLine="480"/>
        <w:jc w:val="left"/>
        <w:keepLines w:val="0"/>
        <w:keepNext w:val="0"/>
        <w:pageBreakBefore w:val="0"/>
        <w:spacing w:line="360" w:lineRule="auto"/>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lang w:val="en-US" w:eastAsia="zh-CN"/>
        </w:rPr>
      </w:pPr>
      <w:r>
        <w:rPr>
          <w:rFonts w:hint="eastAsia" w:ascii="仿宋" w:hAnsi="仿宋" w:eastAsia="仿宋" w:cs="仿宋"/>
          <w:sz w:val="24"/>
          <w:szCs w:val="24"/>
          <w:lang w:val="en-US" w:eastAsia="zh-CN"/>
        </w:rPr>
        <w:t xml:space="preserve">3.为本采购项目提供整体设计、规范编制或者项目管理、监理、检测等服务的供应商，不得再参加本采购项目的采购活动。</w:t>
      </w:r>
      <w:r/>
    </w:p>
    <w:p>
      <w:pPr>
        <w:pStyle w:val="74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七、采购预算：见《磋商文件》附件2、《采购需求》。</w:t>
      </w:r>
      <w:r/>
    </w:p>
    <w:p>
      <w:pPr>
        <w:pStyle w:val="74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 xml:space="preserve">八、采购需求：见《磋商文件》附件2、《采购需求》。</w:t>
      </w:r>
      <w:r/>
    </w:p>
    <w:p>
      <w:pPr>
        <w:pStyle w:val="740"/>
        <w:ind w:firstLine="480"/>
        <w:keepLines w:val="0"/>
        <w:keepNext w:val="0"/>
        <w:pageBreakBefore w:val="0"/>
        <w:spacing w:line="360" w:lineRule="auto"/>
        <w:rPr>
          <w:rFonts w:hint="eastAsia"/>
        </w:rPr>
      </w:pPr>
      <w:r>
        <w:rPr>
          <w:rFonts w:hint="eastAsia" w:ascii="仿宋" w:hAnsi="仿宋" w:eastAsia="仿宋" w:cs="仿宋"/>
          <w:b/>
          <w:bCs/>
          <w:color w:val="000000" w:themeColor="text1"/>
          <w:sz w:val="24"/>
          <w:highlight w:val="none"/>
          <w14:textFill>
            <w14:solidFill>
              <w14:schemeClr w14:val="tx1"/>
            </w14:solidFill>
          </w14:textFill>
        </w:rPr>
        <w:t xml:space="preserve">九、拟签订的合同文本：见《磋商文件》附件</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13</w:t>
      </w:r>
      <w:r>
        <w:rPr>
          <w:rFonts w:hint="eastAsia" w:ascii="仿宋" w:hAnsi="仿宋" w:eastAsia="仿宋" w:cs="仿宋"/>
          <w:b/>
          <w:bCs/>
          <w:color w:val="000000" w:themeColor="text1"/>
          <w:sz w:val="24"/>
          <w:highlight w:val="none"/>
          <w14:textFill>
            <w14:solidFill>
              <w14:schemeClr w14:val="tx1"/>
            </w14:solidFill>
          </w14:textFill>
        </w:rPr>
        <w:t xml:space="preserve">、《拟签订的合同文本》。</w:t>
      </w:r>
      <w:r/>
    </w:p>
    <w:p>
      <w:pPr>
        <w:pStyle w:val="74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报价要求：</w:t>
      </w:r>
      <w:r>
        <w:rPr>
          <w:rFonts w:hint="eastAsia" w:ascii="仿宋" w:hAnsi="仿宋" w:eastAsia="仿宋" w:cs="仿宋"/>
          <w:b/>
          <w:bCs/>
          <w:color w:val="000000" w:themeColor="text1"/>
          <w:sz w:val="24"/>
          <w:highlight w:val="none"/>
          <w14:textFill>
            <w14:solidFill>
              <w14:schemeClr w14:val="tx1"/>
            </w14:solidFill>
          </w14:textFill>
        </w:rPr>
        <w:t xml:space="preserve">见《磋商文件》附件2、《采购需求》。</w:t>
      </w:r>
      <w:r/>
    </w:p>
    <w:p>
      <w:pPr>
        <w:pStyle w:val="740"/>
        <w:ind w:firstLine="480"/>
        <w:keepLines w:val="0"/>
        <w:keepNext w:val="0"/>
        <w:pageBreakBefore w:val="0"/>
        <w:spacing w:line="360" w:lineRule="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十一</w:t>
      </w:r>
      <w:r>
        <w:rPr>
          <w:rFonts w:hint="eastAsia" w:ascii="仿宋" w:hAnsi="仿宋" w:eastAsia="仿宋" w:cs="仿宋"/>
          <w:b/>
          <w:bCs/>
          <w:color w:val="000000" w:themeColor="text1"/>
          <w:sz w:val="24"/>
          <w:highlight w:val="none"/>
          <w14:textFill>
            <w14:solidFill>
              <w14:schemeClr w14:val="tx1"/>
            </w14:solidFill>
          </w14:textFill>
        </w:rPr>
        <w:t xml:space="preserve">、</w:t>
      </w:r>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磋商保证金交纳数额和形式：本项目不收取磋商保证金。</w:t>
      </w:r>
      <w:r/>
    </w:p>
    <w:p>
      <w:pPr>
        <w:pStyle w:val="730"/>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十二</w:t>
      </w:r>
      <w:r>
        <w:rPr>
          <w:rFonts w:hint="eastAsia" w:ascii="仿宋" w:hAnsi="仿宋" w:eastAsia="仿宋" w:cs="仿宋"/>
          <w:b/>
          <w:bCs/>
          <w:sz w:val="24"/>
          <w:highlight w:val="none"/>
        </w:rPr>
        <w:t xml:space="preserve">、竞争性磋商文件的获取</w:t>
      </w:r>
      <w:r/>
    </w:p>
    <w:p>
      <w:pPr>
        <w:pStyle w:val="730"/>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获取方式：</w:t>
      </w:r>
      <w:r/>
    </w:p>
    <w:p>
      <w:pPr>
        <w:pStyle w:val="730"/>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本项目采用网上注册登记方式。    </w:t>
      </w:r>
      <w:r/>
    </w:p>
    <w:p>
      <w:pPr>
        <w:pStyle w:val="730"/>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潜在</w:t>
      </w:r>
      <w:r>
        <w:rPr>
          <w:rFonts w:hint="eastAsia" w:ascii="仿宋" w:hAnsi="仿宋" w:eastAsia="仿宋" w:cs="仿宋"/>
          <w:b w:val="0"/>
          <w:bCs/>
          <w:sz w:val="24"/>
          <w:highlight w:val="none"/>
          <w:lang w:eastAsia="zh-CN"/>
        </w:rPr>
        <w:t xml:space="preserve">供应商</w:t>
      </w:r>
      <w:r>
        <w:rPr>
          <w:rFonts w:hint="eastAsia" w:ascii="仿宋" w:hAnsi="仿宋" w:eastAsia="仿宋" w:cs="仿宋"/>
          <w:b w:val="0"/>
          <w:bCs/>
          <w:sz w:val="24"/>
          <w:highlight w:val="none"/>
        </w:rPr>
        <w:t xml:space="preserve">访问电子招标投标交易平台的网络地址和方法：</w:t>
      </w:r>
      <w:r/>
    </w:p>
    <w:p>
      <w:pPr>
        <w:pStyle w:val="730"/>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sz w:val="24"/>
          <w:highlight w:val="none"/>
        </w:rPr>
        <w:t xml:space="preserve">“苏采云”系统用户注册--获取“CA数字证书”--CA绑定与登录--网上报名--下载采购文件（后缀名为“.kedt”）--将后缀名为“.kedt”的采购文件导入政府采购客户端工具--制</w:t>
      </w:r>
      <w:r>
        <w:rPr>
          <w:rFonts w:hint="eastAsia" w:ascii="仿宋" w:hAnsi="仿宋" w:eastAsia="仿宋" w:cs="仿宋"/>
          <w:b w:val="0"/>
          <w:bCs/>
          <w:color w:val="000000"/>
          <w:sz w:val="24"/>
          <w:highlight w:val="none"/>
        </w:rPr>
        <w:t xml:space="preserve">作</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--导出加密的</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（后缀名为zip）--通过“苏采云”系统上传</w:t>
      </w:r>
      <w:r>
        <w:rPr>
          <w:rFonts w:hint="eastAsia" w:ascii="仿宋" w:hAnsi="仿宋" w:eastAsia="仿宋" w:cs="仿宋"/>
          <w:b w:val="0"/>
          <w:bCs/>
          <w:color w:val="000000"/>
          <w:sz w:val="24"/>
          <w:highlight w:val="none"/>
          <w:lang w:eastAsia="zh-CN"/>
        </w:rPr>
        <w:t xml:space="preserve">响应文件</w:t>
      </w:r>
      <w:r>
        <w:rPr>
          <w:rFonts w:hint="eastAsia" w:ascii="仿宋" w:hAnsi="仿宋" w:eastAsia="仿宋" w:cs="仿宋"/>
          <w:b w:val="0"/>
          <w:bCs/>
          <w:color w:val="000000"/>
          <w:sz w:val="24"/>
          <w:highlight w:val="none"/>
        </w:rPr>
        <w:t xml:space="preserve">。具体见《江苏省政府采购管理交易系统（苏采云）供应商操作手册》。</w:t>
      </w:r>
      <w:r/>
    </w:p>
    <w:p>
      <w:pPr>
        <w:pStyle w:val="730"/>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2</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访问“苏采云”系统的网络地址和方法：</w:t>
      </w:r>
      <w:r/>
    </w:p>
    <w:p>
      <w:pPr>
        <w:pStyle w:val="730"/>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 “苏采云”系统的网址：http://jszfcg.jsczt.cn/；或进入徐州政府采购网（网址：http://czj.xz.gov.cn/Home/HomeIndex）--业务工作--用户登录，点击“苏采云”进入系统。</w:t>
      </w:r>
      <w:r/>
    </w:p>
    <w:p>
      <w:pPr>
        <w:pStyle w:val="730"/>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3</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“CA数字证书”的获取：</w:t>
      </w:r>
      <w:r/>
    </w:p>
    <w:p>
      <w:pPr>
        <w:pStyle w:val="730"/>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30"/>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4</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0"/>
        <w:ind w:firstLine="480"/>
        <w:spacing w:line="360" w:lineRule="auto"/>
        <w:widowControl/>
        <w:rPr>
          <w:rFonts w:hint="eastAsia" w:ascii="仿宋" w:hAnsi="仿宋" w:eastAsia="仿宋" w:cs="仿宋"/>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5</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招标代理机构（采购代理机构）将数据电文形式的磋商文件加载至“苏采云”系统，供潜在</w:t>
      </w:r>
      <w:r>
        <w:rPr>
          <w:rFonts w:hint="eastAsia" w:ascii="仿宋" w:hAnsi="仿宋" w:eastAsia="仿宋" w:cs="仿宋"/>
          <w:b w:val="0"/>
          <w:bCs/>
          <w:color w:val="000000"/>
          <w:sz w:val="24"/>
          <w:highlight w:val="none"/>
          <w:lang w:eastAsia="zh-CN"/>
        </w:rPr>
        <w:t xml:space="preserve">供应商</w:t>
      </w:r>
      <w:r>
        <w:rPr>
          <w:rFonts w:hint="eastAsia" w:ascii="仿宋" w:hAnsi="仿宋" w:eastAsia="仿宋" w:cs="仿宋"/>
          <w:b w:val="0"/>
          <w:bCs/>
          <w:color w:val="000000"/>
          <w:sz w:val="24"/>
          <w:highlight w:val="none"/>
        </w:rPr>
        <w:t xml:space="preserve">下载或者查阅。</w:t>
      </w:r>
      <w:r/>
    </w:p>
    <w:p>
      <w:pPr>
        <w:pStyle w:val="730"/>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highlight w:val="none"/>
        </w:rPr>
        <w:t xml:space="preserve">6</w:t>
      </w:r>
      <w:r>
        <w:rPr>
          <w:rFonts w:hint="eastAsia" w:ascii="仿宋" w:hAnsi="仿宋" w:eastAsia="仿宋" w:cs="仿宋"/>
          <w:b w:val="0"/>
          <w:bCs/>
          <w:color w:val="000000"/>
          <w:sz w:val="24"/>
          <w:highlight w:val="none"/>
          <w:lang w:eastAsia="zh-CN"/>
        </w:rPr>
        <w:t xml:space="preserve">、</w:t>
      </w:r>
      <w:r>
        <w:rPr>
          <w:rFonts w:hint="eastAsia" w:ascii="仿宋" w:hAnsi="仿宋" w:eastAsia="仿宋" w:cs="仿宋"/>
          <w:b w:val="0"/>
          <w:bCs/>
          <w:color w:val="000000"/>
          <w:sz w:val="24"/>
          <w:highlight w:val="none"/>
        </w:rPr>
        <w:t xml:space="preserve">苏采云系统全程使用谷歌浏览器。</w:t>
      </w:r>
      <w:r/>
    </w:p>
    <w:p>
      <w:pPr>
        <w:pStyle w:val="744"/>
      </w:pPr>
      <w:r/>
      <w:r/>
    </w:p>
    <w:p>
      <w:pPr>
        <w:pStyle w:val="783"/>
        <w:rPr>
          <w:rFonts w:hint="eastAsia"/>
          <w:lang w:val="en-US" w:eastAsia="zh-CN"/>
        </w:rPr>
      </w:pPr>
      <w:r>
        <w:rPr>
          <w:rFonts w:hint="eastAsia"/>
          <w:lang w:val="en-US" w:eastAsia="zh-CN"/>
        </w:rPr>
      </w:r>
      <w:r/>
    </w:p>
    <w:p>
      <w:pPr>
        <w:pStyle w:val="740"/>
        <w:ind w:firstLine="480"/>
        <w:keepLines w:val="0"/>
        <w:keepNext w:val="0"/>
        <w:pageBreakBefore w:val="0"/>
        <w:spacing w:line="360" w:lineRule="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30"/>
          <w:szCs w:val="30"/>
          <w:highlight w:val="none"/>
          <w14:textFill>
            <w14:solidFill>
              <w14:schemeClr w14:val="tx1"/>
            </w14:solidFill>
          </w14:textFill>
        </w:rPr>
      </w:pPr>
      <w:r/>
      <w:bookmarkStart w:id="13" w:name="_Toc26050"/>
      <w:r/>
      <w:bookmarkStart w:id="14" w:name="_Toc16945"/>
      <w:r/>
      <w:bookmarkStart w:id="15" w:name="_Toc25225"/>
      <w:r/>
      <w:bookmarkStart w:id="16" w:name="_Toc24827"/>
      <w:r/>
      <w:bookmarkStart w:id="17" w:name="_Toc14940"/>
      <w:r/>
      <w:bookmarkStart w:id="18" w:name="_Toc3708"/>
      <w:r/>
      <w:bookmarkStart w:id="19" w:name="_Toc4427"/>
      <w:r/>
      <w:bookmarkStart w:id="20" w:name="_Toc14736"/>
      <w:r/>
      <w:bookmarkStart w:id="21" w:name="_Toc23839"/>
      <w:r/>
      <w:bookmarkStart w:id="22" w:name="_Toc22967"/>
      <w:r/>
      <w:bookmarkStart w:id="23" w:name="_Toc22062"/>
      <w:r/>
      <w:bookmarkStart w:id="24" w:name="_Toc26337"/>
      <w:r/>
      <w:bookmarkStart w:id="25" w:name="_Toc14217"/>
      <w:r/>
      <w:bookmarkStart w:id="26" w:name="_Toc23110"/>
      <w:r/>
      <w:bookmarkStart w:id="27" w:name="_Toc18728"/>
      <w:r/>
      <w:bookmarkStart w:id="28" w:name="_Toc16522"/>
      <w:r/>
      <w:bookmarkStart w:id="29" w:name="_Toc13830"/>
      <w:r/>
      <w:bookmarkStart w:id="30" w:name="_Toc23994"/>
      <w:r>
        <w:rPr>
          <w:rFonts w:hint="eastAsia" w:ascii="仿宋" w:hAnsi="仿宋" w:eastAsia="仿宋" w:cs="仿宋"/>
          <w:color w:val="000000" w:themeColor="text1"/>
          <w:sz w:val="30"/>
          <w:szCs w:val="30"/>
          <w:highlight w:val="none"/>
          <w14:textFill>
            <w14:solidFill>
              <w14:schemeClr w14:val="tx1"/>
            </w14:solidFill>
          </w14:textFill>
        </w:rPr>
        <w:br w:type="page" w:clear="all"/>
      </w:r>
      <w:r/>
    </w:p>
    <w:p>
      <w:pPr>
        <w:pStyle w:val="746"/>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第二章 招标代理服务费</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
    </w:p>
    <w:p>
      <w:pPr>
        <w:pStyle w:val="744"/>
        <w:ind w:left="0"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中标方承担本项目招标代理服务费，收取标准参照徐州市政府采购协会印发的《徐州市政府采购业务代理服务费行业指导价格标准》）标准的40%计取。</w:t>
      </w:r>
      <w:r/>
    </w:p>
    <w:p>
      <w:pPr>
        <w:jc w:val="center"/>
        <w:keepLines/>
        <w:keepNext/>
        <w:pageBreakBefore w:val="0"/>
        <w:spacing w:before="260" w:after="260" w:line="360" w:lineRule="auto"/>
        <w:widowControl w:val="off"/>
        <w:rPr>
          <w:rFonts w:hint="eastAsia" w:ascii="仿宋" w:hAnsi="仿宋" w:eastAsia="仿宋" w:cs="仿宋"/>
          <w:b/>
          <w:bCs/>
          <w:color w:val="000000" w:themeColor="text1"/>
          <w:sz w:val="24"/>
          <w:szCs w:val="32"/>
          <w:highlight w:val="none"/>
          <w:lang w:val="en-US" w:eastAsia="zh-CN" w:bidi="ar-SA"/>
          <w14:textFill>
            <w14:solidFill>
              <w14:schemeClr w14:val="tx1"/>
            </w14:solidFill>
          </w14:textFill>
        </w:rPr>
        <w:outlineLvl w:val="1"/>
      </w:pPr>
      <w:r/>
      <w:bookmarkStart w:id="31" w:name="_Toc32431"/>
      <w:r/>
      <w:bookmarkStart w:id="32" w:name="_Toc13394"/>
      <w:r/>
      <w:bookmarkStart w:id="33" w:name="_Toc17653"/>
      <w:r/>
      <w:bookmarkStart w:id="34" w:name="_Toc4006"/>
      <w:r/>
      <w:bookmarkStart w:id="35" w:name="_Toc26407"/>
      <w:r>
        <w:rPr>
          <w:rFonts w:hint="eastAsia" w:ascii="仿宋" w:hAnsi="仿宋" w:eastAsia="仿宋" w:cs="仿宋"/>
          <w:b/>
          <w:bCs/>
          <w:color w:val="000000"/>
          <w:sz w:val="24"/>
          <w:szCs w:val="24"/>
          <w:highlight w:val="none"/>
          <w:lang w:val="en-US" w:eastAsia="zh-CN" w:bidi="ar-SA"/>
        </w:rPr>
        <w:t xml:space="preserve">代理服务收费标准</w:t>
      </w:r>
      <w:r/>
    </w:p>
    <w:tbl>
      <w:tblPr>
        <w:tblStyle w:val="725"/>
        <w:tblW w:w="8600" w:type="dxa"/>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1-10亿（含10亿元）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4.代理服务费应收取金额=代理服务费基准金额（按差额定率累进法计算的）的合计数*40%。</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2"/>
          <w:szCs w:val="22"/>
          <w:highlight w:val="none"/>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eastAsia" w:ascii="仿宋" w:hAnsi="仿宋" w:eastAsia="仿宋" w:cs="仿宋"/>
          <w:sz w:val="22"/>
          <w:szCs w:val="22"/>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hint="eastAsia" w:ascii="仿宋" w:hAnsi="仿宋" w:eastAsia="仿宋" w:cs="仿宋"/>
          <w:color w:val="000000"/>
          <w:sz w:val="22"/>
          <w:szCs w:val="22"/>
          <w:highlight w:val="none"/>
          <w:lang w:val="en-US" w:eastAsia="zh-CN" w:bidi="ar-SA"/>
        </w:rPr>
        <w:t xml:space="preserve">6.有分包（分标段）的按一个项目计算。</w:t>
      </w:r>
      <w:r/>
    </w:p>
    <w:p>
      <w:pPr>
        <w:pStyle w:val="745"/>
        <w:pageBreakBefore w:val="0"/>
        <w:spacing w:line="360" w:lineRule="auto"/>
        <w:rPr>
          <w:rFonts w:hint="default"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 xml:space="preserve">本次招标代理服务费</w:t>
      </w:r>
      <w:bookmarkStart w:id="662" w:name="_GoBack"/>
      <w:r/>
      <w:bookmarkEnd w:id="662"/>
      <w:r>
        <w:rPr>
          <w:rFonts w:hint="eastAsia" w:ascii="仿宋" w:hAnsi="仿宋" w:eastAsia="仿宋" w:cs="仿宋"/>
          <w:color w:val="000000" w:themeColor="text1"/>
          <w:highlight w:val="none"/>
          <w:lang w:val="en-US" w:eastAsia="zh-CN"/>
          <w14:textFill>
            <w14:solidFill>
              <w14:schemeClr w14:val="tx1"/>
            </w14:solidFill>
          </w14:textFill>
        </w:rPr>
        <w:t xml:space="preserve">由中标方支付，投标方报价中包含招标代理服务费。代理服务费在中标方领取中标通知书时一次性支付给代理公司。</w:t>
      </w:r>
      <w:r/>
    </w:p>
    <w:p>
      <w:pPr>
        <w:pStyle w:val="746"/>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36" w:name="_Toc27036"/>
      <w:r/>
      <w:bookmarkStart w:id="37" w:name="_Toc21922"/>
      <w:r/>
      <w:bookmarkStart w:id="38" w:name="_Toc28130"/>
      <w:r/>
      <w:bookmarkStart w:id="39" w:name="_Toc29401"/>
      <w:r/>
      <w:bookmarkStart w:id="40" w:name="_Toc5546"/>
      <w:r/>
      <w:bookmarkStart w:id="41" w:name="_Toc18456"/>
      <w:r>
        <w:rPr>
          <w:rFonts w:hint="eastAsia" w:ascii="仿宋" w:hAnsi="仿宋" w:eastAsia="仿宋" w:cs="仿宋"/>
          <w:color w:val="000000" w:themeColor="text1"/>
          <w:sz w:val="30"/>
          <w:szCs w:val="30"/>
          <w:highlight w:val="none"/>
          <w14:textFill>
            <w14:solidFill>
              <w14:schemeClr w14:val="tx1"/>
            </w14:solidFill>
          </w14:textFill>
        </w:rPr>
        <w:t xml:space="preserve">第三章 响应文件</w:t>
      </w:r>
      <w:bookmarkEnd w:id="31"/>
      <w:r/>
      <w:bookmarkEnd w:id="32"/>
      <w:r/>
      <w:bookmarkEnd w:id="33"/>
      <w:r/>
      <w:bookmarkEnd w:id="34"/>
      <w:r/>
      <w:bookmarkEnd w:id="35"/>
      <w:r/>
      <w:bookmarkEnd w:id="36"/>
      <w:r/>
      <w:bookmarkEnd w:id="37"/>
      <w:r/>
      <w:bookmarkEnd w:id="38"/>
      <w:r/>
      <w:bookmarkEnd w:id="39"/>
      <w:r/>
      <w:bookmarkEnd w:id="40"/>
      <w:r/>
      <w:bookmarkEnd w:id="41"/>
      <w:r/>
      <w:r/>
    </w:p>
    <w:p>
      <w:pPr>
        <w:pStyle w:val="73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一、提交响应文件要求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（一）本项目通过“苏采云”系统进行电子采购，即供应商响应文件从政府采购客户端工具制作并通过“苏采云”系统提交。</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“CA数字证书”的获取：供应商需办理CA锁，“苏采云”系统目前仅支持“苏采云”系统下的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CA，省内各地区办理的“苏采云”系统下的</w:t>
      </w:r>
      <w:r>
        <w:rPr>
          <w:rFonts w:hint="eastAsia" w:ascii="仿宋" w:hAnsi="仿宋" w:eastAsia="仿宋" w:cs="仿宋"/>
          <w:b w:val="0"/>
          <w:bCs/>
          <w:color w:val="000000"/>
          <w:sz w:val="24"/>
          <w:highlight w:val="none"/>
          <w:lang w:val="en-US" w:eastAsia="zh-CN"/>
        </w:rPr>
        <w:t xml:space="preserve">政务</w:t>
      </w:r>
      <w:r>
        <w:rPr>
          <w:rFonts w:hint="eastAsia" w:ascii="仿宋" w:hAnsi="仿宋" w:eastAsia="仿宋" w:cs="仿宋"/>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30"/>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“苏采云”系统使用要求：</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1、使用谷歌浏览器参与不见面开标及磋商环节。</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2、电脑需提前准备好麦克风、音响，摄像头，提前检查保证能够正常使用。</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3、操作系统至少win7以上，建议使用win10操作系统。</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（二）首次响应文件提交的截止时间：</w:t>
      </w:r>
      <w:r>
        <w:rPr>
          <w:rFonts w:hint="eastAsia" w:ascii="仿宋" w:hAnsi="仿宋" w:eastAsia="仿宋" w:cs="仿宋"/>
          <w:b/>
          <w:bCs w:val="0"/>
          <w:color w:val="000000"/>
          <w:sz w:val="24"/>
          <w:highlight w:val="none"/>
          <w:lang w:eastAsia="zh-CN"/>
        </w:rPr>
        <w:t xml:space="preserve">2026年0</w:t>
      </w:r>
      <w:r>
        <w:rPr>
          <w:rFonts w:hint="eastAsia" w:ascii="仿宋" w:hAnsi="仿宋" w:eastAsia="仿宋" w:cs="仿宋"/>
          <w:b/>
          <w:bCs w:val="0"/>
          <w:color w:val="000000"/>
          <w:sz w:val="24"/>
          <w:highlight w:val="none"/>
          <w:lang w:val="en-US" w:eastAsia="zh-CN"/>
        </w:rPr>
        <w:t xml:space="preserve">5</w:t>
      </w:r>
      <w:r>
        <w:rPr>
          <w:rFonts w:hint="eastAsia" w:ascii="仿宋" w:hAnsi="仿宋" w:eastAsia="仿宋" w:cs="仿宋"/>
          <w:b/>
          <w:bCs w:val="0"/>
          <w:color w:val="000000"/>
          <w:sz w:val="24"/>
          <w:highlight w:val="none"/>
          <w:lang w:eastAsia="zh-CN"/>
        </w:rPr>
        <w:t xml:space="preserve">月</w:t>
      </w:r>
      <w:r>
        <w:rPr>
          <w:rFonts w:hint="eastAsia" w:ascii="仿宋" w:hAnsi="仿宋" w:eastAsia="仿宋" w:cs="仿宋"/>
          <w:b/>
          <w:bCs w:val="0"/>
          <w:color w:val="000000"/>
          <w:sz w:val="24"/>
          <w:highlight w:val="none"/>
          <w:lang w:val="en-US" w:eastAsia="zh-CN"/>
        </w:rPr>
        <w:t xml:space="preserve">08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rPr>
          <w:rFonts w:hint="eastAsia" w:ascii="仿宋" w:hAnsi="仿宋" w:eastAsia="仿宋" w:cs="仿宋"/>
          <w:b w:val="0"/>
          <w:bCs/>
          <w:color w:val="000000"/>
          <w:sz w:val="24"/>
          <w:highlight w:val="none"/>
        </w:rPr>
        <w:t xml:space="preserve">在截止时间后提交的首次响应文件为无效文件，将被拒收。</w:t>
      </w:r>
      <w:r/>
    </w:p>
    <w:p>
      <w:pPr>
        <w:pStyle w:val="730"/>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（三）首次响应文件提交时间、地点：</w:t>
      </w:r>
      <w:r>
        <w:rPr>
          <w:rFonts w:hint="eastAsia" w:ascii="仿宋" w:hAnsi="仿宋" w:eastAsia="仿宋" w:cs="仿宋"/>
          <w:b/>
          <w:bCs w:val="0"/>
          <w:color w:val="000000"/>
          <w:sz w:val="24"/>
          <w:highlight w:val="none"/>
          <w:lang w:val="en-US" w:eastAsia="zh-CN"/>
        </w:rPr>
        <w:t xml:space="preserve"> </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1、提交时间</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首次响应文件提交的截止时间</w:t>
      </w:r>
      <w:r>
        <w:rPr>
          <w:rFonts w:hint="eastAsia" w:ascii="仿宋" w:hAnsi="仿宋" w:eastAsia="仿宋" w:cs="仿宋"/>
          <w:b/>
          <w:bCs w:val="0"/>
          <w:color w:val="000000"/>
          <w:sz w:val="24"/>
          <w:highlight w:val="none"/>
        </w:rPr>
        <w:t xml:space="preserve">（</w:t>
      </w:r>
      <w:r>
        <w:rPr>
          <w:rFonts w:hint="eastAsia" w:ascii="仿宋" w:hAnsi="仿宋" w:eastAsia="仿宋" w:cs="仿宋"/>
          <w:b/>
          <w:bCs w:val="0"/>
          <w:color w:val="000000"/>
          <w:sz w:val="24"/>
          <w:highlight w:val="none"/>
          <w:lang w:eastAsia="zh-CN"/>
        </w:rPr>
        <w:t xml:space="preserve">2026年</w:t>
      </w:r>
      <w:r>
        <w:rPr>
          <w:rFonts w:hint="eastAsia" w:ascii="仿宋" w:hAnsi="仿宋" w:eastAsia="仿宋" w:cs="仿宋"/>
          <w:b/>
          <w:bCs w:val="0"/>
          <w:color w:val="000000"/>
          <w:sz w:val="24"/>
          <w:highlight w:val="none"/>
          <w:lang w:val="en-US" w:eastAsia="zh-CN"/>
        </w:rPr>
        <w:t xml:space="preserve">05</w:t>
      </w:r>
      <w:r>
        <w:rPr>
          <w:rFonts w:hint="eastAsia" w:ascii="仿宋" w:hAnsi="仿宋" w:eastAsia="仿宋" w:cs="仿宋"/>
          <w:b/>
          <w:bCs w:val="0"/>
          <w:color w:val="000000"/>
          <w:sz w:val="24"/>
          <w:highlight w:val="none"/>
          <w:lang w:eastAsia="zh-CN"/>
        </w:rPr>
        <w:t xml:space="preserve">月08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）前。</w:t>
      </w:r>
      <w:r/>
    </w:p>
    <w:p>
      <w:pPr>
        <w:pStyle w:val="730"/>
        <w:numPr>
          <w:ilvl w:val="0"/>
          <w:numId w:val="1"/>
        </w:numPr>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提交地点：</w:t>
      </w:r>
      <w:r/>
    </w:p>
    <w:p>
      <w:pPr>
        <w:pStyle w:val="730"/>
        <w:numPr>
          <w:ilvl w:val="0"/>
          <w:numId w:val="1"/>
        </w:numPr>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bCs w:val="0"/>
          <w:color w:val="000000"/>
          <w:sz w:val="24"/>
          <w:highlight w:val="none"/>
        </w:rPr>
        <w:t xml:space="preserve">（四）首次响应文件开启时间：</w:t>
      </w:r>
      <w:r>
        <w:rPr>
          <w:rFonts w:hint="eastAsia" w:ascii="仿宋" w:hAnsi="仿宋" w:eastAsia="仿宋" w:cs="仿宋"/>
          <w:b/>
          <w:bCs w:val="0"/>
          <w:color w:val="000000"/>
          <w:sz w:val="24"/>
          <w:highlight w:val="none"/>
          <w:lang w:eastAsia="zh-CN"/>
        </w:rPr>
        <w:t xml:space="preserve">2026年05</w:t>
      </w:r>
      <w:r>
        <w:rPr>
          <w:rFonts w:hint="eastAsia" w:ascii="仿宋" w:hAnsi="仿宋" w:eastAsia="仿宋" w:cs="仿宋"/>
          <w:b/>
          <w:bCs w:val="0"/>
          <w:color w:val="000000"/>
          <w:sz w:val="24"/>
          <w:highlight w:val="none"/>
          <w:lang w:val="en-US" w:eastAsia="zh-CN"/>
        </w:rPr>
        <w:t xml:space="preserve">月08</w:t>
      </w:r>
      <w:r>
        <w:rPr>
          <w:rFonts w:hint="eastAsia" w:ascii="仿宋" w:hAnsi="仿宋" w:eastAsia="仿宋" w:cs="仿宋"/>
          <w:b/>
          <w:bCs w:val="0"/>
          <w:color w:val="000000"/>
          <w:sz w:val="24"/>
          <w:highlight w:val="none"/>
          <w:lang w:eastAsia="zh-CN"/>
        </w:rPr>
        <w:t xml:space="preserve">日09:30</w:t>
      </w:r>
      <w:r>
        <w:rPr>
          <w:rFonts w:hint="eastAsia" w:ascii="仿宋" w:hAnsi="仿宋" w:eastAsia="仿宋" w:cs="仿宋"/>
          <w:b/>
          <w:bCs w:val="0"/>
          <w:color w:val="000000"/>
          <w:sz w:val="24"/>
          <w:highlight w:val="none"/>
        </w:rPr>
        <w:t xml:space="preserve">。</w:t>
      </w:r>
      <w:r/>
    </w:p>
    <w:p>
      <w:pPr>
        <w:pStyle w:val="730"/>
        <w:ind w:firstLine="480"/>
        <w:spacing w:line="460" w:lineRule="exact"/>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（五）首次响应文件开启地点：</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（七）不接受不按要求加盖公章（电子签章）的首次响应文件。电子签章相关要求见“苏采云”系统。</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bCs w:val="0"/>
          <w:color w:val="000000"/>
          <w:sz w:val="24"/>
          <w:highlight w:val="none"/>
        </w:rPr>
        <w:t xml:space="preserve">开启时间后30分钟内，</w:t>
      </w:r>
      <w:r>
        <w:rPr>
          <w:rFonts w:hint="eastAsia" w:ascii="仿宋" w:hAnsi="仿宋" w:eastAsia="仿宋" w:cs="仿宋"/>
          <w:b w:val="0"/>
          <w:bCs/>
          <w:color w:val="000000"/>
          <w:sz w:val="24"/>
          <w:highlight w:val="none"/>
        </w:rPr>
        <w:t xml:space="preserve">通过“苏采云”系统（使用“CA数字证书”）解密。</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（九）采购文件（后缀名为“.kedt”）、供应商操作手册及政府采购客户端工具可通过“苏采云”系统（网址：</w:t>
      </w:r>
      <w:r>
        <w:rPr>
          <w:rFonts w:hint="eastAsia" w:ascii="仿宋" w:hAnsi="仿宋" w:eastAsia="仿宋" w:cs="仿宋"/>
          <w:b w:val="0"/>
          <w:bCs/>
          <w:color w:val="000000"/>
          <w:sz w:val="24"/>
          <w:highlight w:val="none"/>
        </w:rPr>
        <w:fldChar w:fldCharType="begin"/>
      </w:r>
      <w:r>
        <w:rPr>
          <w:rFonts w:hint="eastAsia" w:ascii="仿宋" w:hAnsi="仿宋" w:eastAsia="仿宋" w:cs="仿宋"/>
          <w:b w:val="0"/>
          <w:bCs/>
          <w:color w:val="000000"/>
          <w:sz w:val="24"/>
          <w:highlight w:val="none"/>
        </w:rPr>
        <w:instrText xml:space="preserve"> HYPERLINK "http://jszfcg.jsczt.cn/" \o "http://jszfcg.jsczt.cn/" </w:instrText>
      </w:r>
      <w:r>
        <w:rPr>
          <w:rFonts w:hint="eastAsia" w:ascii="仿宋" w:hAnsi="仿宋" w:eastAsia="仿宋" w:cs="仿宋"/>
          <w:b w:val="0"/>
          <w:bCs/>
          <w:color w:val="000000"/>
          <w:sz w:val="24"/>
          <w:highlight w:val="none"/>
        </w:rPr>
        <w:fldChar w:fldCharType="separate"/>
      </w:r>
      <w:r>
        <w:rPr>
          <w:rFonts w:hint="eastAsia" w:ascii="仿宋" w:hAnsi="仿宋" w:eastAsia="仿宋" w:cs="仿宋"/>
          <w:b w:val="0"/>
          <w:bCs/>
          <w:color w:val="000000"/>
          <w:sz w:val="24"/>
          <w:highlight w:val="none"/>
        </w:rPr>
        <w:t xml:space="preserve">http://jszfcg.jsczt.cn/</w:t>
      </w:r>
      <w:r>
        <w:rPr>
          <w:rFonts w:hint="eastAsia" w:ascii="仿宋" w:hAnsi="仿宋" w:eastAsia="仿宋" w:cs="仿宋"/>
          <w:b w:val="0"/>
          <w:bCs/>
          <w:color w:val="000000"/>
          <w:sz w:val="24"/>
          <w:highlight w:val="none"/>
        </w:rPr>
        <w:fldChar w:fldCharType="end"/>
      </w:r>
      <w:r>
        <w:rPr>
          <w:rFonts w:hint="eastAsia" w:ascii="仿宋" w:hAnsi="仿宋" w:eastAsia="仿宋" w:cs="仿宋"/>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30"/>
        <w:ind w:firstLine="480"/>
        <w:spacing w:line="460" w:lineRule="exact"/>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（十）相关说明: 供应商在“苏采云”系统中提交首次响应文件的时间即为数据电文（响应文件，下同）的发送时间和接收时间。</w:t>
      </w:r>
      <w:r/>
    </w:p>
    <w:p>
      <w:pPr>
        <w:pStyle w:val="744"/>
        <w:rPr>
          <w:rFonts w:hint="eastAsia"/>
        </w:rPr>
      </w:pPr>
      <w:r>
        <w:rPr>
          <w:rFonts w:hint="eastAsia"/>
        </w:rPr>
      </w:r>
      <w:r/>
    </w:p>
    <w:p>
      <w:pPr>
        <w:pStyle w:val="734"/>
        <w:ind w:firstLine="482"/>
        <w:pageBreakBefore w:val="0"/>
        <w:spacing w:line="360" w:lineRule="auto"/>
        <w:rPr>
          <w:rFonts w:hint="eastAsia" w:ascii="仿宋" w:hAnsi="仿宋" w:eastAsia="仿宋" w:cs="仿宋"/>
          <w:color w:val="000000" w:themeColor="text1"/>
          <w:sz w:val="24"/>
          <w:highlight w:val="yellow"/>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二、响应文件编制要求</w:t>
      </w:r>
      <w:r>
        <w:rPr>
          <w:rFonts w:hint="eastAsia" w:ascii="仿宋" w:hAnsi="仿宋" w:eastAsia="仿宋" w:cs="仿宋"/>
          <w:b/>
          <w:color w:val="000000" w:themeColor="text1"/>
          <w:sz w:val="24"/>
          <w:highlight w:val="none"/>
          <w14:textFill>
            <w14:solidFill>
              <w14:schemeClr w14:val="tx1"/>
            </w14:solidFill>
          </w14:textFill>
        </w:rPr>
        <w:t xml:space="preserve">：</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2"/>
        </w:num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基本目录</w:t>
      </w:r>
      <w:r/>
    </w:p>
    <w:p>
      <w:pPr>
        <w:pStyle w:val="717"/>
        <w:numPr>
          <w:ilvl w:val="0"/>
          <w:numId w:val="3"/>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17"/>
        <w:numPr>
          <w:ilvl w:val="0"/>
          <w:numId w:val="0"/>
        </w:numPr>
        <w:ind w:firstLine="480"/>
        <w:keepLines/>
        <w:keepNext/>
        <w:pageBreakBefore w:val="0"/>
        <w:spacing w:before="0" w:after="0" w:line="360" w:lineRule="auto"/>
        <w:widowControl/>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outlineLvl w:val="3"/>
      </w:pPr>
      <w:r>
        <w:rPr>
          <w:rFonts w:hint="eastAsia" w:ascii="仿宋" w:hAnsi="仿宋" w:eastAsia="仿宋" w:cs="仿宋"/>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政府采购客户端工具输入报价自动生成）；</w:t>
      </w:r>
      <w:r/>
    </w:p>
    <w:p>
      <w:pPr>
        <w:ind w:firstLine="482"/>
        <w:keepLines w:val="0"/>
        <w:keepNext w:val="0"/>
        <w:pageBreakBefore w:val="0"/>
        <w:spacing w:after="0" w:line="360" w:lineRule="auto"/>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lang w:val="en-US" w:eastAsia="zh-CN"/>
        </w:rPr>
        <w:t xml:space="preserve">2.</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财务状况报告；至少提供：即提供投标人的本项目开标时间前6个月内任何1月（不含开标当月）资产负债表原件的扫描件1份；投标人的本项目开标时间前6个月内任何1月（不含开标当月）利润表月报表原件的扫描件1份或提供投标人上年度财务报告原件的扫描件或供应商的本项目开标时间前6个月内银行出具的资信证明原件的扫描件(加盖电子签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71"/>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在本项目开标时间前6个月内任何1月（不含开标当月）的依法缴纳税收和社会保障资金的相关材料扫描件；依法免税或不需要缴纳社会保障资金的投标人应提供相应其依法免税或不需要缴纳社会保障资金的证明文件扫描件(加盖电子签章)；</w:t>
      </w:r>
      <w:r/>
    </w:p>
    <w:p>
      <w:pPr>
        <w:ind w:right="26" w:firstLine="480"/>
        <w:keepLines w:val="0"/>
        <w:keepNext w:val="0"/>
        <w:pageBreakBefore w:val="0"/>
        <w:spacing w:after="0" w:line="360" w:lineRule="auto"/>
        <w:rPr>
          <w:rFonts w:hint="eastAsia" w:ascii="仿宋" w:hAnsi="仿宋" w:eastAsia="仿宋" w:cs="仿宋"/>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w:t>
      </w:r>
      <w:r/>
    </w:p>
    <w:p>
      <w:pPr>
        <w:pStyle w:val="73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pStyle w:val="73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注：中小微企业，应当同时符合以下条件：</w:t>
      </w:r>
      <w:r/>
    </w:p>
    <w:p>
      <w:pPr>
        <w:pStyle w:val="73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3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34"/>
        <w:ind w:right="-334" w:firstLine="480"/>
        <w:keepLines w:val="0"/>
        <w:keepNext w:val="0"/>
        <w:pageBreakBefore w:val="0"/>
        <w:spacing w:line="360" w:lineRule="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4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本项目的特定资格要求：</w:t>
      </w:r>
      <w:r/>
    </w:p>
    <w:p>
      <w:pPr>
        <w:ind w:firstLine="480"/>
        <w:jc w:val="left"/>
        <w:keepLines w:val="0"/>
        <w:keepNext w:val="0"/>
        <w:pageBreakBefore w:val="0"/>
        <w:spacing w:line="360" w:lineRule="auto"/>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（1）供应商须具备消防设施工程专业承包贰级（含）以上资质证书，并具有有效的安全生产许可证；</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（原件扫描件上传并加盖电子签章</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p>
    <w:p>
      <w:pPr>
        <w:pStyle w:val="726"/>
        <w:ind w:firstLine="480"/>
        <w:spacing w:line="360" w:lineRule="auto"/>
        <w:rPr>
          <w:rFonts w:hint="default"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（2）拟派项目负责人须具备机电工程专业贰级（含）以上注册建造师资格证书；并取得《建筑施工企业项目负责人安全生产考核合格证书》（B证）</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（原件扫描件上传并加盖电子签章</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，无在建工程（提供无在建承诺书，加盖电子签章）；</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5.《偏离表》（加盖电子签章，格式见《磋商文件》附件）；</w:t>
      </w:r>
      <w:r/>
    </w:p>
    <w:p>
      <w:pPr>
        <w:pStyle w:val="726"/>
        <w:ind w:firstLine="480"/>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6.《主要材料（设备）一览表》（加盖电子签章，格式见《磋商文件》附件）</w:t>
      </w:r>
      <w:r/>
    </w:p>
    <w:p>
      <w:pPr>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auto"/>
          <w:sz w:val="24"/>
          <w:szCs w:val="24"/>
          <w:highlight w:val="none"/>
          <w:lang w:eastAsia="zh-CN"/>
        </w:rPr>
        <w:t xml:space="preserve">1.技术部分</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《总体施工方案》（</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施工进度计划及保证措施》（</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4"/>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施工质量保证措施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726"/>
        <w:ind w:firstLine="480"/>
        <w:spacing w:line="360" w:lineRule="auto"/>
        <w:rPr>
          <w:rFonts w:hint="eastAsia"/>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项目管理班子人员配备、素质及管理经验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726"/>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pStyle w:val="726"/>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w:t>
      </w:r>
      <w:r>
        <w:rPr>
          <w:rFonts w:hint="eastAsia" w:ascii="仿宋" w:hAnsi="仿宋" w:eastAsia="仿宋" w:cs="仿宋"/>
          <w:color w:val="auto"/>
          <w:sz w:val="24"/>
          <w:szCs w:val="24"/>
          <w:highlight w:val="none"/>
          <w:lang w:val="en-US" w:eastAsia="zh-CN" w:bidi="ar-SA"/>
        </w:rPr>
        <w:t xml:space="preserve">安全文明施工方案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后期维保方案及措施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要求见本文</w:t>
      </w:r>
      <w:r>
        <w:rPr>
          <w:rFonts w:hint="eastAsia" w:ascii="仿宋" w:hAnsi="仿宋" w:eastAsia="仿宋" w:cs="仿宋"/>
          <w:color w:val="auto"/>
          <w:sz w:val="24"/>
          <w:szCs w:val="24"/>
          <w:highlight w:val="none"/>
          <w:lang w:val="en-US" w:eastAsia="zh-CN"/>
        </w:rPr>
        <w:t xml:space="preserve">附件</w:t>
      </w:r>
      <w:r>
        <w:rPr>
          <w:rFonts w:hint="eastAsia" w:ascii="仿宋" w:hAnsi="仿宋" w:eastAsia="仿宋" w:cs="仿宋"/>
          <w:color w:val="auto"/>
          <w:sz w:val="24"/>
          <w:szCs w:val="24"/>
          <w:highlight w:val="none"/>
          <w:lang w:eastAsia="zh-CN"/>
        </w:rPr>
        <w:t xml:space="preserve">《评分细则》</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after="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3"/>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.商务部分</w:t>
      </w:r>
      <w:r/>
    </w:p>
    <w:p>
      <w:pPr>
        <w:pStyle w:val="1007"/>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类似</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）价格折扣文件格式：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无</w:t>
      </w:r>
      <w:r/>
    </w:p>
    <w:p>
      <w:pPr>
        <w:ind w:firstLine="241"/>
        <w:pageBreakBefore w:val="0"/>
        <w:spacing w:after="0" w:line="360"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（六）提交的首次电子响应文件的密封、签署、盖章要求：</w:t>
      </w:r>
      <w:r/>
    </w:p>
    <w:p>
      <w:pPr>
        <w:pStyle w:val="1007"/>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1、密封（加密）要求：</w:t>
      </w:r>
      <w:r/>
    </w:p>
    <w:p>
      <w:pPr>
        <w:pStyle w:val="1007"/>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7"/>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、签署要求：见《磋商文件》第九章附件中相关格式要求。</w:t>
      </w:r>
      <w:r/>
    </w:p>
    <w:p>
      <w:pPr>
        <w:pStyle w:val="1007"/>
        <w:ind w:firstLine="480"/>
        <w:jc w:val="both"/>
        <w:pageBreakBefore w:val="0"/>
        <w:spacing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1007"/>
        <w:ind w:firstLine="480"/>
        <w:jc w:val="both"/>
        <w:pageBreakBefore w:val="0"/>
        <w:spacing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（特别提醒：竞争性磋商文件中如需“被授权代表签字或盖章”，供应商可打印成文档，签字或盖章后再扫描上传，最后再电子签章）。</w:t>
      </w:r>
      <w:r/>
    </w:p>
    <w:p>
      <w:pPr>
        <w:ind w:firstLine="241"/>
        <w:pageBreakBefore w:val="0"/>
        <w:spacing w:after="0" w:line="360" w:lineRule="auto"/>
        <w:rPr>
          <w:rFonts w:hint="eastAsia" w:ascii="仿宋" w:hAnsi="仿宋" w:eastAsia="仿宋" w:cs="仿宋"/>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）通过“苏采云”系统提交政府采购客户端工具导出加密的响应文件（后缀名为zip）。响应文件不得超过</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150</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M！</w:t>
      </w:r>
      <w:r/>
    </w:p>
    <w:p>
      <w:pPr>
        <w:pStyle w:val="746"/>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42" w:name="_Toc4298"/>
      <w:r/>
      <w:bookmarkStart w:id="43" w:name="_Toc575"/>
      <w:r/>
      <w:bookmarkStart w:id="44" w:name="_Toc17282"/>
      <w:r/>
      <w:bookmarkStart w:id="45" w:name="_Toc13331"/>
      <w:r/>
      <w:bookmarkStart w:id="46" w:name="_Toc1742"/>
      <w:r/>
      <w:bookmarkStart w:id="47" w:name="_Toc20389"/>
      <w:r/>
      <w:bookmarkStart w:id="48" w:name="_Toc25964"/>
      <w:r/>
      <w:bookmarkStart w:id="49" w:name="_Toc3749"/>
      <w:r/>
      <w:bookmarkStart w:id="50" w:name="_Toc25734"/>
      <w:r/>
      <w:bookmarkStart w:id="51" w:name="_Toc4286"/>
      <w:r/>
      <w:bookmarkStart w:id="52" w:name="_Toc9739"/>
      <w:r>
        <w:rPr>
          <w:rFonts w:hint="eastAsia" w:ascii="仿宋" w:hAnsi="仿宋" w:eastAsia="仿宋" w:cs="仿宋"/>
          <w:color w:val="000000" w:themeColor="text1"/>
          <w:sz w:val="30"/>
          <w:szCs w:val="30"/>
          <w:highlight w:val="none"/>
          <w14:textFill>
            <w14:solidFill>
              <w14:schemeClr w14:val="tx1"/>
            </w14:solidFill>
          </w14:textFill>
        </w:rPr>
        <w:t xml:space="preserve">第四章 磋商相关说明</w:t>
      </w:r>
      <w:bookmarkEnd w:id="42"/>
      <w:r/>
      <w:bookmarkEnd w:id="43"/>
      <w:r/>
      <w:bookmarkEnd w:id="44"/>
      <w:r/>
      <w:bookmarkEnd w:id="45"/>
      <w:r/>
      <w:bookmarkEnd w:id="46"/>
      <w:r/>
      <w:bookmarkEnd w:id="47"/>
      <w:r/>
      <w:bookmarkEnd w:id="48"/>
      <w:r/>
      <w:bookmarkEnd w:id="49"/>
      <w:r/>
      <w:bookmarkEnd w:id="50"/>
      <w:r/>
      <w:bookmarkEnd w:id="51"/>
      <w:r/>
      <w:bookmarkEnd w:id="52"/>
      <w:r/>
      <w:r/>
    </w:p>
    <w:p>
      <w:pPr>
        <w:pStyle w:val="73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一、评审程序：</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(一)磋商要求</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w:t>
      </w:r>
      <w:r>
        <w:rPr>
          <w:rFonts w:hint="eastAsia" w:ascii="仿宋" w:hAnsi="仿宋" w:eastAsia="仿宋" w:cs="仿宋"/>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仿宋" w:hAnsi="仿宋" w:eastAsia="仿宋" w:cs="仿宋"/>
          <w:b w:val="0"/>
          <w:bCs/>
          <w:color w:val="000000" w:themeColor="text1"/>
          <w:highlight w:val="none"/>
          <w14:textFill>
            <w14:solidFill>
              <w14:schemeClr w14:val="tx1"/>
            </w14:solidFill>
          </w14:textFill>
        </w:rPr>
        <w:t xml:space="preserve">。</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5.磋商方式：</w:t>
      </w:r>
      <w:r>
        <w:rPr>
          <w:rFonts w:hint="eastAsia" w:ascii="仿宋" w:hAnsi="仿宋" w:eastAsia="仿宋" w:cs="仿宋"/>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6.未在规定时间内进行答疑澄清的，视同放弃澄清。</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7.未在规定时间内进行报价的，视为响应无效。</w:t>
      </w:r>
      <w:r/>
    </w:p>
    <w:p>
      <w:pPr>
        <w:pStyle w:val="733"/>
        <w:ind w:firstLine="480"/>
        <w:keepLines w:val="0"/>
        <w:keepNext w:val="0"/>
        <w:pageBreakBefore w:val="0"/>
        <w:spacing w:line="360" w:lineRule="auto"/>
        <w:widowControl w:val="off"/>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color w:val="000000" w:themeColor="text1"/>
          <w:highlight w:val="none"/>
          <w14:textFill>
            <w14:solidFill>
              <w14:schemeClr w14:val="tx1"/>
            </w14:solidFill>
          </w14:textFill>
        </w:rPr>
        <w:t xml:space="preserve">9.本项目无效标书判定（磋商文件的实质性要求）</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9.1供应商资格条件不符合国家有关规定或磋商文件要求的；</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9.2响应报价低于成本或者高于磋商文件设定的最高限价的；</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highlight w:val="none"/>
          <w14:textFill>
            <w14:solidFill>
              <w14:schemeClr w14:val="tx1"/>
            </w14:solidFill>
          </w14:textFill>
        </w:rPr>
        <w:t xml:space="preserve">明显不符合技术规范、技术标准的要求的； </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9.1</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29"/>
        <w:ind w:firstLine="24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 (二) 查询及使用供应商信用记录</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1.由采购人查询信用信息。</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2.查询渠道包括：</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(1)“信用中国”网（www.creditchina.gov.cn）；</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3"/>
      </w:pPr>
      <w:r>
        <w:rPr>
          <w:rFonts w:hint="eastAsia" w:ascii="仿宋" w:hAnsi="仿宋" w:eastAsia="仿宋" w:cs="仿宋"/>
          <w:b w:val="0"/>
          <w:bCs/>
          <w:color w:val="000000" w:themeColor="text1"/>
          <w:highlight w:val="none"/>
          <w14:textFill>
            <w14:solidFill>
              <w14:schemeClr w14:val="tx1"/>
            </w14:solidFill>
          </w14:textFill>
        </w:rPr>
        <w:t xml:space="preserve">(2) 中国政府采购网（www.ccgp.gov.cn）；</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 “诚信江苏”网（www.jiangsu.gov.cn/jsxy/index.htm）</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和或“信用江苏”网（http://credit.jiangsu.gov.cn/）；</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(4)“诚信徐州”网（ http://www.xuzhoucredit.gov.cn）。</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和或“信用徐州”网（www.xuzhoucredit.gov.cn/）。</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3.截止时点（查询环节）：首次响应文件开启后资格审查结束前。</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4.信用信息查询记录和证据留存的具体方式：</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网页截屏打印，与其他采购文件一并保存。</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4"/>
      </w:pPr>
      <w:r>
        <w:rPr>
          <w:rFonts w:hint="eastAsia" w:ascii="仿宋" w:hAnsi="仿宋" w:eastAsia="仿宋" w:cs="仿宋"/>
          <w:b w:val="0"/>
          <w:bCs/>
          <w:color w:val="000000" w:themeColor="text1"/>
          <w:highlight w:val="none"/>
          <w14:textFill>
            <w14:solidFill>
              <w14:schemeClr w14:val="tx1"/>
            </w14:solidFill>
          </w14:textFill>
        </w:rPr>
        <w:t xml:space="preserve">5.信用信息的使用规则：</w:t>
      </w:r>
      <w:r/>
    </w:p>
    <w:p>
      <w:pPr>
        <w:pStyle w:val="729"/>
        <w:ind w:firstLine="482"/>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29"/>
        <w:numPr>
          <w:ilvl w:val="0"/>
          <w:numId w:val="4"/>
        </w:numPr>
        <w:ind w:left="0"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outlineLvl w:val="2"/>
      </w:pPr>
      <w:r>
        <w:rPr>
          <w:rFonts w:hint="eastAsia" w:ascii="仿宋" w:hAnsi="仿宋" w:eastAsia="仿宋" w:cs="仿宋"/>
          <w:b w:val="0"/>
          <w:bCs/>
          <w:color w:val="000000" w:themeColor="text1"/>
          <w:highlight w:val="none"/>
          <w14:textFill>
            <w14:solidFill>
              <w14:schemeClr w14:val="tx1"/>
            </w14:solidFill>
          </w14:textFill>
        </w:rPr>
        <w:t xml:space="preserve">评审程序</w:t>
      </w:r>
      <w:r/>
    </w:p>
    <w:p>
      <w:pPr>
        <w:pStyle w:val="729"/>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仿宋" w:hAnsi="仿宋" w:eastAsia="仿宋" w:cs="仿宋"/>
          <w:color w:val="000000" w:themeColor="text1"/>
          <w:highlight w:val="none"/>
          <w14:textFill>
            <w14:solidFill>
              <w14:schemeClr w14:val="tx1"/>
            </w14:solidFill>
          </w14:textFill>
        </w:rPr>
        <w:t xml:space="preserve">所有实质性响应的供应商在规定时间内均需提交最后报价</w:t>
      </w:r>
      <w:r>
        <w:rPr>
          <w:rFonts w:hint="eastAsia" w:ascii="仿宋" w:hAnsi="仿宋" w:eastAsia="仿宋" w:cs="仿宋"/>
          <w:color w:val="000000" w:themeColor="text1"/>
          <w:highlight w:val="none"/>
          <w:lang w:eastAsia="zh-CN"/>
          <w14:textFill>
            <w14:solidFill>
              <w14:schemeClr w14:val="tx1"/>
            </w14:solidFill>
          </w14:textFill>
        </w:rPr>
        <w:t xml:space="preserve">。</w:t>
      </w:r>
      <w:r>
        <w:rPr>
          <w:rFonts w:hint="eastAsia" w:ascii="仿宋" w:hAnsi="仿宋" w:eastAsia="仿宋" w:cs="仿宋"/>
          <w:b/>
          <w:bCs w:val="0"/>
          <w:color w:val="000000" w:themeColor="text1"/>
          <w:highlight w:val="none"/>
          <w14:textFill>
            <w14:solidFill>
              <w14:schemeClr w14:val="tx1"/>
            </w14:solidFill>
          </w14:textFill>
        </w:rPr>
        <w:t xml:space="preserve">二轮报价报价时间为</w:t>
      </w:r>
      <w:r>
        <w:rPr>
          <w:rFonts w:hint="eastAsia" w:ascii="仿宋" w:hAnsi="仿宋" w:eastAsia="仿宋" w:cs="仿宋"/>
          <w:b/>
          <w:bCs w:val="0"/>
          <w:color w:val="000000" w:themeColor="text1"/>
          <w:highlight w:val="none"/>
          <w:lang w:val="en-US" w:eastAsia="zh-CN"/>
          <w14:textFill>
            <w14:solidFill>
              <w14:schemeClr w14:val="tx1"/>
            </w14:solidFill>
          </w14:textFill>
        </w:rPr>
        <w:t xml:space="preserve">10</w:t>
      </w:r>
      <w:r>
        <w:rPr>
          <w:rFonts w:hint="eastAsia" w:ascii="仿宋" w:hAnsi="仿宋" w:eastAsia="仿宋" w:cs="仿宋"/>
          <w:b/>
          <w:bCs w:val="0"/>
          <w:color w:val="000000" w:themeColor="text1"/>
          <w:highlight w:val="none"/>
          <w14:textFill>
            <w14:solidFill>
              <w14:schemeClr w14:val="tx1"/>
            </w14:solidFill>
          </w14:textFill>
        </w:rPr>
        <w:t xml:space="preserve">分钟。</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磋商评审小组的组建：采购人组建。</w:t>
      </w:r>
      <w:r>
        <w:rPr>
          <w:rFonts w:hint="eastAsia" w:ascii="仿宋" w:hAnsi="仿宋" w:eastAsia="仿宋" w:cs="仿宋"/>
          <w:b w:val="0"/>
          <w:bCs/>
          <w:highlight w:val="none"/>
        </w:rPr>
        <w:t xml:space="preserve">磋商小组成员构成：3人。磋商小组确定方式：由采购人评委和政府采购专家（从《江苏省政府采购专家库》随机抽取）组成。</w:t>
      </w:r>
      <w:r/>
    </w:p>
    <w:p>
      <w:pPr>
        <w:pStyle w:val="729"/>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29"/>
        <w:ind w:firstLine="480"/>
        <w:keepLines w:val="0"/>
        <w:keepNext w:val="0"/>
        <w:pageBreakBefore w:val="0"/>
        <w:spacing w:line="360" w:lineRule="auto"/>
        <w:widowControl w:val="off"/>
        <w:rPr>
          <w:rFonts w:hint="eastAsia" w:ascii="仿宋" w:hAnsi="仿宋" w:eastAsia="仿宋" w:cs="仿宋"/>
          <w:b w:val="0"/>
          <w:bCs/>
          <w:color w:val="000000" w:themeColor="text1"/>
          <w:highlight w:val="none"/>
          <w14:textFill>
            <w14:solidFill>
              <w14:schemeClr w14:val="tx1"/>
            </w14:solidFill>
          </w14:textFill>
        </w:rPr>
      </w:pPr>
      <w:r>
        <w:rPr>
          <w:rFonts w:hint="eastAsia" w:ascii="仿宋" w:hAnsi="仿宋" w:eastAsia="仿宋" w:cs="仿宋"/>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ascii="仿宋" w:hAnsi="仿宋" w:eastAsia="仿宋" w:cs="仿宋"/>
          <w:b w:val="0"/>
          <w:bCs/>
          <w:color w:val="000000" w:themeColor="text1"/>
          <w:highlight w:val="none"/>
          <w:lang w:val="en-US" w:eastAsia="zh-CN"/>
          <w14:textFill>
            <w14:solidFill>
              <w14:schemeClr w14:val="tx1"/>
            </w14:solidFill>
          </w14:textFill>
        </w:rPr>
        <w:t xml:space="preserve">工程</w:t>
      </w:r>
      <w:r>
        <w:rPr>
          <w:rFonts w:hint="eastAsia" w:ascii="仿宋" w:hAnsi="仿宋" w:eastAsia="仿宋" w:cs="仿宋"/>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36"/>
        <w:rPr>
          <w:rFonts w:hint="eastAsia"/>
        </w:rPr>
      </w:pPr>
      <w:r>
        <w:rPr>
          <w:rFonts w:hint="eastAsia" w:ascii="仿宋" w:hAnsi="仿宋" w:eastAsia="仿宋" w:cs="仿宋"/>
          <w:sz w:val="24"/>
          <w:szCs w:val="24"/>
        </w:rPr>
        <w:t xml:space="preserve">磋商小组启动异常低价投标（响应）审查的情形和具体要求，包括:</w:t>
      </w:r>
      <w:r/>
    </w:p>
    <w:p>
      <w:pPr>
        <w:pStyle w:val="736"/>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评审过程中出现下列情形之一的，评审委员会应当启动异常低价投标(响应)审查程序:</w:t>
      </w:r>
      <w:r/>
    </w:p>
    <w:p>
      <w:pPr>
        <w:pStyle w:val="736"/>
        <w:numPr>
          <w:ilvl w:val="0"/>
          <w:numId w:val="5"/>
        </w:numPr>
        <w:rPr>
          <w:rFonts w:hint="eastAsia" w:ascii="仿宋" w:hAnsi="仿宋" w:eastAsia="仿宋" w:cs="仿宋"/>
          <w:sz w:val="24"/>
          <w:szCs w:val="24"/>
        </w:rPr>
      </w:pPr>
      <w:r>
        <w:rPr>
          <w:rFonts w:hint="eastAsia" w:ascii="仿宋" w:hAnsi="仿宋" w:eastAsia="仿宋" w:cs="仿宋"/>
          <w:sz w:val="24"/>
          <w:szCs w:val="24"/>
        </w:rPr>
        <w:t xml:space="preserve">投标(响应)报价低于采购项目预算50%的，即投标(响应)报价&lt;采购项目预算x50%;</w:t>
      </w:r>
      <w:r/>
    </w:p>
    <w:p>
      <w:pPr>
        <w:pStyle w:val="736"/>
        <w:numPr>
          <w:ilvl w:val="0"/>
          <w:numId w:val="5"/>
        </w:numPr>
        <w:rPr>
          <w:rFonts w:hint="eastAsia" w:ascii="仿宋" w:hAnsi="仿宋" w:eastAsia="仿宋" w:cs="仿宋"/>
          <w:sz w:val="28"/>
          <w:szCs w:val="28"/>
        </w:rPr>
      </w:pPr>
      <w:r>
        <w:rPr>
          <w:rFonts w:hint="eastAsia" w:ascii="仿宋" w:hAnsi="仿宋" w:eastAsia="仿宋" w:cs="仿宋"/>
          <w:sz w:val="24"/>
          <w:szCs w:val="24"/>
        </w:rPr>
        <w:t xml:space="preserve">投标(响应)报价低于采购项目最高限价45%的，即投标(响应)报价&lt;采购项目最高限价x45%;</w:t>
      </w:r>
      <w:r/>
    </w:p>
    <w:p>
      <w:pPr>
        <w:pStyle w:val="736"/>
        <w:numPr>
          <w:ilvl w:val="0"/>
          <w:numId w:val="5"/>
        </w:numPr>
        <w:rPr>
          <w:rFonts w:hint="eastAsia" w:ascii="仿宋" w:hAnsi="仿宋" w:eastAsia="仿宋" w:cs="仿宋"/>
          <w:sz w:val="28"/>
          <w:szCs w:val="28"/>
        </w:rPr>
      </w:pPr>
      <w:r>
        <w:rPr>
          <w:rFonts w:hint="eastAsia" w:ascii="仿宋" w:hAnsi="仿宋" w:eastAsia="仿宋" w:cs="仿宋"/>
          <w:sz w:val="24"/>
          <w:szCs w:val="24"/>
        </w:rPr>
        <w:t xml:space="preserve">评审委员会认定的供应商报价过低、有可能影响产品质量或者不能诚信履约的其他情形</w:t>
      </w:r>
      <w:r>
        <w:rPr>
          <w:rFonts w:hint="eastAsia" w:ascii="仿宋" w:hAnsi="仿宋" w:eastAsia="仿宋" w:cs="仿宋"/>
          <w:sz w:val="24"/>
          <w:szCs w:val="24"/>
          <w:lang w:eastAsia="zh-CN"/>
        </w:rPr>
        <w:t xml:space="preserve">。</w:t>
      </w:r>
      <w:r/>
    </w:p>
    <w:p>
      <w:pPr>
        <w:pStyle w:val="736"/>
        <w:rPr>
          <w:rFonts w:hint="eastAsia" w:ascii="仿宋" w:hAnsi="仿宋" w:eastAsia="仿宋" w:cs="仿宋"/>
          <w:sz w:val="28"/>
          <w:szCs w:val="28"/>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启动异常低价投标（</w:t>
      </w:r>
      <w:r>
        <w:rPr>
          <w:rFonts w:hint="eastAsia" w:ascii="仿宋" w:hAnsi="仿宋" w:eastAsia="仿宋" w:cs="仿宋"/>
          <w:b/>
          <w:bCs w:val="0"/>
          <w:color w:val="000000" w:themeColor="text1"/>
          <w:spacing w:val="0"/>
          <w:sz w:val="24"/>
          <w:highlight w:val="none"/>
          <w:lang w:val="en-US" w:eastAsia="zh-CN" w:bidi="ar-SA"/>
          <w14:textFill>
            <w14:solidFill>
              <w14:schemeClr w14:val="tx1"/>
            </w14:solidFill>
          </w14:textFill>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733"/>
        <w:ind w:left="2" w:right="29"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3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二、评审方法和评审标准：</w:t>
      </w:r>
      <w:r/>
    </w:p>
    <w:p>
      <w:pPr>
        <w:pStyle w:val="73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1、评审方法：综合评分法</w:t>
      </w:r>
      <w:r/>
    </w:p>
    <w:p>
      <w:pPr>
        <w:pStyle w:val="734"/>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w:t>
      </w:r>
      <w:r>
        <w:rPr>
          <w:rFonts w:hint="eastAsia" w:ascii="仿宋" w:hAnsi="仿宋" w:eastAsia="仿宋" w:cs="仿宋"/>
          <w:color w:val="000000" w:themeColor="text1"/>
          <w:sz w:val="24"/>
          <w:highlight w:val="none"/>
          <w:lang w:eastAsia="zh-CN"/>
          <w14:textFill>
            <w14:solidFill>
              <w14:schemeClr w14:val="tx1"/>
            </w14:solidFill>
          </w14:textFill>
        </w:rPr>
        <w:t xml:space="preserve">第九章</w:t>
      </w:r>
      <w:r>
        <w:rPr>
          <w:rFonts w:hint="eastAsia" w:ascii="仿宋" w:hAnsi="仿宋" w:eastAsia="仿宋" w:cs="仿宋"/>
          <w:color w:val="000000" w:themeColor="text1"/>
          <w:sz w:val="24"/>
          <w:highlight w:val="none"/>
          <w14:textFill>
            <w14:solidFill>
              <w14:schemeClr w14:val="tx1"/>
            </w14:solidFill>
          </w14:textFill>
        </w:rPr>
        <w:t xml:space="preserve">附件《评分细则》</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34"/>
        <w:keepLines w:val="0"/>
        <w:keepNext w:val="0"/>
        <w:pageBreakBefore w:val="0"/>
        <w:spacing w:line="360" w:lineRule="auto"/>
        <w:widowControl w:val="off"/>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三、磋商过程中可能实质性变动的内容：</w:t>
      </w:r>
      <w:r/>
    </w:p>
    <w:p>
      <w:pPr>
        <w:pStyle w:val="734"/>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34"/>
        <w:keepLines w:val="0"/>
        <w:keepNext w:val="0"/>
        <w:pageBreakBefore w:val="0"/>
        <w:spacing w:line="360" w:lineRule="auto"/>
        <w:widowControl w:val="off"/>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四、采购人有权对供应商的响应文件的真实性进行核实</w:t>
      </w:r>
      <w:r>
        <w:rPr>
          <w:rFonts w:hint="eastAsia" w:ascii="仿宋" w:hAnsi="仿宋" w:eastAsia="仿宋" w:cs="仿宋"/>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734"/>
        <w:rPr>
          <w:rFonts w:hint="eastAsia" w:ascii="仿宋" w:hAnsi="仿宋" w:eastAsia="仿宋" w:cs="仿宋"/>
          <w:highlight w:val="none"/>
        </w:rPr>
      </w:pPr>
      <w:r/>
      <w:bookmarkStart w:id="53" w:name="_Toc8321"/>
      <w:r/>
      <w:bookmarkStart w:id="54" w:name="_Toc570"/>
      <w:r/>
      <w:bookmarkStart w:id="55" w:name="_Toc11935"/>
      <w:r/>
      <w:bookmarkStart w:id="56" w:name="_Toc5288"/>
      <w:r/>
      <w:bookmarkStart w:id="57" w:name="_Toc18016"/>
      <w:r/>
      <w:bookmarkStart w:id="58" w:name="_Toc1470"/>
      <w:r/>
      <w:bookmarkStart w:id="59" w:name="_Toc677"/>
      <w:r/>
      <w:bookmarkStart w:id="60" w:name="_Toc4900"/>
      <w:r/>
      <w:bookmarkStart w:id="61" w:name="_Toc4341"/>
      <w:r/>
      <w:bookmarkStart w:id="62" w:name="_Toc1946"/>
      <w:r/>
      <w:r/>
    </w:p>
    <w:p>
      <w:pPr>
        <w:pStyle w:val="734"/>
        <w:jc w:val="center"/>
        <w:keepLines w:val="0"/>
        <w:keepNext w:val="0"/>
        <w:pageBreakBefore w:val="0"/>
        <w:spacing w:line="360" w:lineRule="auto"/>
        <w:widowControl w:val="off"/>
        <w:rPr>
          <w:rFonts w:hint="eastAsia" w:ascii="仿宋" w:hAnsi="仿宋" w:eastAsia="仿宋" w:cs="仿宋"/>
          <w:b/>
          <w:bCs/>
          <w:color w:val="000000" w:themeColor="text1"/>
          <w:highlight w:val="none"/>
          <w14:textFill>
            <w14:solidFill>
              <w14:schemeClr w14:val="tx1"/>
            </w14:solidFill>
          </w14:textFill>
        </w:rPr>
        <w:outlineLvl w:val="0"/>
      </w:pPr>
      <w:r/>
      <w:bookmarkStart w:id="63" w:name="_Toc14298"/>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bookmarkEnd w:id="53"/>
      <w:r/>
      <w:bookmarkEnd w:id="54"/>
      <w:r/>
      <w:bookmarkEnd w:id="55"/>
      <w:r/>
      <w:bookmarkEnd w:id="56"/>
      <w:r/>
      <w:bookmarkEnd w:id="57"/>
      <w:r/>
      <w:bookmarkEnd w:id="58"/>
      <w:r/>
      <w:bookmarkEnd w:id="59"/>
      <w:r/>
      <w:bookmarkEnd w:id="60"/>
      <w:r/>
      <w:bookmarkEnd w:id="61"/>
      <w:r/>
      <w:bookmarkEnd w:id="62"/>
      <w:r/>
      <w:bookmarkEnd w:id="63"/>
      <w:r/>
      <w:r/>
    </w:p>
    <w:p>
      <w:pPr>
        <w:pStyle w:val="734"/>
        <w:ind w:firstLine="482"/>
        <w:pageBreakBefore w:val="0"/>
        <w:spacing w:line="360" w:lineRule="auto"/>
        <w:rPr>
          <w:rFonts w:hint="eastAsia" w:ascii="仿宋" w:hAnsi="仿宋" w:eastAsia="仿宋" w:cs="仿宋"/>
          <w:color w:val="auto"/>
          <w:sz w:val="24"/>
          <w:highlight w:val="none"/>
        </w:rPr>
      </w:pPr>
      <w:r>
        <w:rPr>
          <w:rFonts w:hint="eastAsia" w:ascii="仿宋" w:hAnsi="仿宋" w:eastAsia="仿宋" w:cs="仿宋"/>
          <w:bCs/>
          <w:color w:val="000000" w:themeColor="text1"/>
          <w:sz w:val="24"/>
          <w:highlight w:val="none"/>
          <w14:textFill>
            <w14:solidFill>
              <w14:schemeClr w14:val="tx1"/>
            </w14:solidFill>
          </w14:textFill>
        </w:rPr>
        <w:t xml:space="preserve">一、成交结果确认：</w:t>
      </w:r>
      <w:r>
        <w:rPr>
          <w:rFonts w:hint="eastAsia" w:ascii="仿宋" w:hAnsi="仿宋" w:eastAsia="仿宋" w:cs="仿宋"/>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34"/>
        <w:ind w:firstLine="482"/>
        <w:pageBreakBefore w:val="0"/>
        <w:spacing w:line="360" w:lineRule="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二、供应商应对响应文件的合法性、真实性负责。</w:t>
      </w:r>
      <w:r>
        <w:rPr>
          <w:rFonts w:hint="eastAsia" w:ascii="仿宋" w:hAnsi="仿宋" w:eastAsia="仿宋" w:cs="仿宋"/>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仿宋" w:hAnsi="仿宋" w:eastAsia="仿宋" w:cs="仿宋"/>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34"/>
        <w:ind w:firstLine="482"/>
        <w:pageBreakBefore w:val="0"/>
        <w:spacing w:line="360" w:lineRule="auto"/>
        <w:rPr>
          <w:rFonts w:hint="eastAsia" w:ascii="仿宋" w:hAnsi="仿宋" w:eastAsia="仿宋" w:cs="仿宋"/>
          <w:color w:val="auto"/>
          <w:highlight w:val="none"/>
        </w:rPr>
      </w:pPr>
      <w:r>
        <w:rPr>
          <w:rFonts w:hint="eastAsia" w:ascii="仿宋" w:hAnsi="仿宋" w:eastAsia="仿宋" w:cs="仿宋"/>
          <w:bCs/>
          <w:color w:val="000000" w:themeColor="text1"/>
          <w:sz w:val="24"/>
          <w:highlight w:val="none"/>
          <w:lang w:val="en-US" w:eastAsia="zh-CN"/>
          <w14:textFill>
            <w14:solidFill>
              <w14:schemeClr w14:val="tx1"/>
            </w14:solidFill>
          </w14:textFill>
        </w:rPr>
        <w:t xml:space="preserve">三</w:t>
      </w:r>
      <w:r>
        <w:rPr>
          <w:rFonts w:hint="eastAsia" w:ascii="仿宋" w:hAnsi="仿宋" w:eastAsia="仿宋" w:cs="仿宋"/>
          <w:bCs/>
          <w:color w:val="000000" w:themeColor="text1"/>
          <w:sz w:val="24"/>
          <w:highlight w:val="none"/>
          <w14:textFill>
            <w14:solidFill>
              <w14:schemeClr w14:val="tx1"/>
            </w14:solidFill>
          </w14:textFill>
        </w:rPr>
        <w:t xml:space="preserve">、</w:t>
      </w:r>
      <w:bookmarkStart w:id="64" w:name="_Toc26346"/>
      <w:r/>
      <w:bookmarkStart w:id="65" w:name="_Toc26370"/>
      <w:r/>
      <w:bookmarkStart w:id="66" w:name="_Toc11573"/>
      <w:r/>
      <w:bookmarkStart w:id="67" w:name="_Toc22576"/>
      <w:r/>
      <w:bookmarkStart w:id="68" w:name="_Toc11048"/>
      <w:r/>
      <w:bookmarkStart w:id="69" w:name="_Toc8179"/>
      <w:r/>
      <w:bookmarkStart w:id="70" w:name="_Toc28376"/>
      <w:r/>
      <w:bookmarkStart w:id="71" w:name="_Toc27571"/>
      <w:r/>
      <w:bookmarkStart w:id="72" w:name="_Toc753"/>
      <w:r/>
      <w:bookmarkStart w:id="73" w:name="_Toc9526"/>
      <w:r>
        <w:rPr>
          <w:rFonts w:hint="eastAsia" w:ascii="仿宋" w:hAnsi="仿宋" w:eastAsia="仿宋" w:cs="仿宋"/>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782"/>
        <w:ind w:left="0"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46"/>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4" w:name="_Toc23596"/>
      <w:r>
        <w:rPr>
          <w:rFonts w:hint="eastAsia" w:ascii="仿宋" w:hAnsi="仿宋" w:eastAsia="仿宋" w:cs="仿宋"/>
          <w:color w:val="000000" w:themeColor="text1"/>
          <w:sz w:val="30"/>
          <w:szCs w:val="30"/>
          <w:highlight w:val="none"/>
          <w14:textFill>
            <w14:solidFill>
              <w14:schemeClr w14:val="tx1"/>
            </w14:solidFill>
          </w14:textFill>
        </w:rPr>
        <w:t xml:space="preserve">第六章 磋商文件的澄清或者修改</w:t>
      </w:r>
      <w:bookmarkEnd w:id="64"/>
      <w:r/>
      <w:bookmarkEnd w:id="65"/>
      <w:r/>
      <w:bookmarkEnd w:id="66"/>
      <w:r/>
      <w:bookmarkEnd w:id="67"/>
      <w:r/>
      <w:bookmarkEnd w:id="68"/>
      <w:r/>
      <w:bookmarkEnd w:id="69"/>
      <w:r/>
      <w:bookmarkEnd w:id="70"/>
      <w:r/>
      <w:bookmarkEnd w:id="71"/>
      <w:r/>
      <w:bookmarkEnd w:id="72"/>
      <w:r/>
      <w:bookmarkEnd w:id="73"/>
      <w:r/>
      <w:bookmarkEnd w:id="74"/>
      <w:r/>
      <w:r/>
    </w:p>
    <w:p>
      <w:pPr>
        <w:pStyle w:val="734"/>
        <w:ind w:firstLine="48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一、《磋商文件》的澄清或者修改：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。发布本项目的“更正（澄清）公告”后采购代理机构已尽通知义务。敬请各潜在</w:t>
      </w:r>
      <w:r>
        <w:rPr>
          <w:rFonts w:hint="eastAsia" w:ascii="仿宋" w:hAnsi="仿宋" w:eastAsia="仿宋" w:cs="仿宋"/>
          <w:sz w:val="24"/>
          <w:szCs w:val="24"/>
          <w:highlight w:val="none"/>
          <w:lang w:eastAsia="zh-CN" w:bidi="ar"/>
        </w:rPr>
        <w:t xml:space="preserve">供应商</w:t>
      </w:r>
      <w:r>
        <w:rPr>
          <w:rFonts w:hint="eastAsia" w:ascii="仿宋" w:hAnsi="仿宋" w:eastAsia="仿宋" w:cs="仿宋"/>
          <w:sz w:val="24"/>
          <w:szCs w:val="24"/>
          <w:highlight w:val="none"/>
          <w:lang w:bidi="ar"/>
        </w:rPr>
        <w:t xml:space="preserve">关注本项目的“更正（澄清）公告”，并通过“苏采云”系统重新下载更正（澄清）后的采购文件（后缀名为“.kedt”），离线编制投标文件，否则，将自行承担相应的风险。</w:t>
      </w:r>
      <w:r/>
    </w:p>
    <w:p>
      <w:pPr>
        <w:pStyle w:val="1034"/>
        <w:ind w:left="0" w:firstLine="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46"/>
        <w:jc w:val="center"/>
        <w:pageBreakBefore w:val="0"/>
        <w:spacing w:line="360" w:lineRule="auto"/>
        <w:rPr>
          <w:rFonts w:hint="eastAsia" w:ascii="仿宋" w:hAnsi="仿宋" w:eastAsia="仿宋" w:cs="仿宋"/>
          <w:color w:val="000000" w:themeColor="text1"/>
          <w:sz w:val="30"/>
          <w:szCs w:val="30"/>
          <w:highlight w:val="none"/>
          <w14:textFill>
            <w14:solidFill>
              <w14:schemeClr w14:val="tx1"/>
            </w14:solidFill>
          </w14:textFill>
        </w:rPr>
        <w:outlineLvl w:val="0"/>
      </w:pPr>
      <w:r/>
      <w:bookmarkStart w:id="75" w:name="_Toc24021"/>
      <w:r/>
      <w:bookmarkStart w:id="76" w:name="_Toc21663"/>
      <w:r/>
      <w:bookmarkStart w:id="77" w:name="_Toc7515"/>
      <w:r/>
      <w:bookmarkStart w:id="78" w:name="_Toc21449"/>
      <w:r/>
      <w:bookmarkStart w:id="79" w:name="_Toc26635"/>
      <w:r/>
      <w:bookmarkStart w:id="80" w:name="_Toc31276"/>
      <w:r/>
      <w:bookmarkStart w:id="81" w:name="_Toc8704"/>
      <w:r/>
      <w:bookmarkStart w:id="82" w:name="_Toc31059"/>
      <w:r/>
      <w:bookmarkStart w:id="83" w:name="_Toc29765"/>
      <w:r/>
      <w:bookmarkStart w:id="84" w:name="_Toc24692"/>
      <w:r/>
      <w:bookmarkStart w:id="85" w:name="_Toc6980"/>
      <w:r>
        <w:rPr>
          <w:rFonts w:hint="eastAsia" w:ascii="仿宋" w:hAnsi="仿宋" w:eastAsia="仿宋" w:cs="仿宋"/>
          <w:color w:val="000000" w:themeColor="text1"/>
          <w:sz w:val="30"/>
          <w:szCs w:val="30"/>
          <w:highlight w:val="none"/>
          <w14:textFill>
            <w14:solidFill>
              <w14:schemeClr w14:val="tx1"/>
            </w14:solidFill>
          </w14:textFill>
        </w:rPr>
        <w:t xml:space="preserve">第七章 询问和质疑</w:t>
      </w:r>
      <w:bookmarkEnd w:id="75"/>
      <w:r/>
      <w:bookmarkEnd w:id="76"/>
      <w:r/>
      <w:bookmarkEnd w:id="77"/>
      <w:r/>
      <w:bookmarkEnd w:id="78"/>
      <w:r/>
      <w:bookmarkEnd w:id="79"/>
      <w:r/>
      <w:bookmarkEnd w:id="80"/>
      <w:r/>
      <w:bookmarkEnd w:id="81"/>
      <w:r/>
      <w:bookmarkEnd w:id="82"/>
      <w:r/>
      <w:bookmarkEnd w:id="83"/>
      <w:r/>
      <w:bookmarkEnd w:id="84"/>
      <w:r/>
      <w:bookmarkEnd w:id="85"/>
      <w:r/>
      <w:r/>
    </w:p>
    <w:p>
      <w:pPr>
        <w:pStyle w:val="734"/>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t xml:space="preserve">一、询问和质疑：</w:t>
      </w:r>
      <w:r/>
    </w:p>
    <w:p>
      <w:pPr>
        <w:pStyle w:val="73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3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2、质疑和投诉按《政府采购质疑和投诉办法》执行。</w:t>
      </w:r>
      <w:r/>
    </w:p>
    <w:p>
      <w:pPr>
        <w:pStyle w:val="73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3、供应商对同一采购程序环节的质疑应在质疑期内一次性提出。</w:t>
      </w:r>
      <w:r/>
    </w:p>
    <w:p>
      <w:pPr>
        <w:pStyle w:val="734"/>
        <w:ind w:firstLine="480"/>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4、接收质疑函的方式：供应商直接送交或供应商通过EMS邮寄。</w:t>
      </w:r>
      <w:r/>
    </w:p>
    <w:p>
      <w:pPr>
        <w:pStyle w:val="734"/>
        <w:ind w:firstLine="120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质疑接收人：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薛云</w:t>
      </w:r>
      <w:r>
        <w:rPr>
          <w:rFonts w:hint="eastAsia" w:ascii="仿宋" w:hAnsi="仿宋" w:eastAsia="仿宋" w:cs="仿宋"/>
          <w:color w:val="000000" w:themeColor="text1"/>
          <w:sz w:val="24"/>
          <w:highlight w:val="none"/>
          <w14:textFill>
            <w14:solidFill>
              <w14:schemeClr w14:val="tx1"/>
            </w14:solidFill>
          </w14:textFill>
        </w:rPr>
        <w:t xml:space="preserve">      联系电话：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18251675115</w:t>
      </w:r>
      <w:r/>
    </w:p>
    <w:p>
      <w:pPr>
        <w:pStyle w:val="734"/>
        <w:ind w:firstLine="120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新沂市世纪花园三期门面房6-5</w:t>
      </w:r>
      <w:r/>
    </w:p>
    <w:p>
      <w:pPr>
        <w:pStyle w:val="782"/>
        <w:rPr>
          <w:rFonts w:hint="eastAsia"/>
          <w:highlight w:val="none"/>
        </w:rPr>
      </w:pPr>
      <w:r>
        <w:rPr>
          <w:rFonts w:hint="eastAsia"/>
          <w:highlight w:val="none"/>
        </w:rPr>
      </w:r>
      <w:r/>
    </w:p>
    <w:p>
      <w:pPr>
        <w:pStyle w:val="746"/>
        <w:jc w:val="center"/>
        <w:pageBreakBefore w:val="0"/>
        <w:spacing w:line="360" w:lineRule="auto"/>
        <w:rPr>
          <w:rFonts w:hint="eastAsia" w:ascii="仿宋" w:hAnsi="仿宋" w:eastAsia="仿宋" w:cs="仿宋"/>
          <w:color w:val="000000" w:themeColor="text1"/>
          <w:sz w:val="30"/>
          <w:szCs w:val="30"/>
          <w:highlight w:val="none"/>
          <w:lang w:eastAsia="zh-CN"/>
          <w14:textFill>
            <w14:solidFill>
              <w14:schemeClr w14:val="tx1"/>
            </w14:solidFill>
          </w14:textFill>
        </w:rPr>
        <w:outlineLvl w:val="0"/>
      </w:pPr>
      <w:r>
        <w:rPr>
          <w:rFonts w:hint="eastAsia" w:ascii="仿宋" w:hAnsi="仿宋" w:eastAsia="仿宋" w:cs="仿宋"/>
          <w:color w:val="000000" w:themeColor="text1"/>
          <w:sz w:val="30"/>
          <w:szCs w:val="30"/>
          <w:highlight w:val="none"/>
          <w14:textFill>
            <w14:solidFill>
              <w14:schemeClr w14:val="tx1"/>
            </w14:solidFill>
          </w14:textFill>
        </w:rPr>
        <w:t xml:space="preserve">第</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八章</w:t>
      </w:r>
      <w:r>
        <w:rPr>
          <w:rFonts w:hint="eastAsia" w:ascii="仿宋" w:hAnsi="仿宋" w:eastAsia="仿宋" w:cs="仿宋"/>
          <w:color w:val="000000" w:themeColor="text1"/>
          <w:sz w:val="30"/>
          <w:szCs w:val="30"/>
          <w:highlight w:val="none"/>
          <w14:textFill>
            <w14:solidFill>
              <w14:schemeClr w14:val="tx1"/>
            </w14:solidFill>
          </w14:textFill>
        </w:rPr>
        <w:t xml:space="preserve"> </w:t>
      </w:r>
      <w:r>
        <w:rPr>
          <w:rFonts w:hint="eastAsia" w:ascii="仿宋" w:hAnsi="仿宋" w:eastAsia="仿宋" w:cs="仿宋"/>
          <w:color w:val="000000" w:themeColor="text1"/>
          <w:sz w:val="30"/>
          <w:szCs w:val="30"/>
          <w:highlight w:val="none"/>
          <w:lang w:val="en-US" w:eastAsia="zh-CN"/>
          <w14:textFill>
            <w14:solidFill>
              <w14:schemeClr w14:val="tx1"/>
            </w14:solidFill>
          </w14:textFill>
        </w:rPr>
        <w:t xml:space="preserve">联系方式</w:t>
      </w:r>
      <w:r/>
    </w:p>
    <w:p>
      <w:pPr>
        <w:pStyle w:val="730"/>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1.采购人信息</w:t>
      </w:r>
      <w:r/>
    </w:p>
    <w:p>
      <w:pPr>
        <w:pStyle w:val="730"/>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ascii="仿宋" w:hAnsi="仿宋" w:eastAsia="仿宋" w:cs="仿宋"/>
          <w:i w:val="0"/>
          <w:iCs w:val="0"/>
          <w:caps w:val="0"/>
          <w:color w:val="353535"/>
          <w:spacing w:val="0"/>
          <w:sz w:val="24"/>
          <w:szCs w:val="24"/>
          <w:shd w:val="clear" w:color="auto" w:fill="ffffff"/>
        </w:rPr>
        <w:t xml:space="preserve">江苏新沂经济开发区管理委员会</w:t>
      </w:r>
      <w:r/>
    </w:p>
    <w:p>
      <w:pPr>
        <w:pStyle w:val="730"/>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新沂市大桥西路</w:t>
      </w:r>
      <w:r/>
    </w:p>
    <w:p>
      <w:pPr>
        <w:pStyle w:val="730"/>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联系人：</w:t>
      </w:r>
      <w:r>
        <w:rPr>
          <w:rFonts w:hint="eastAsia" w:ascii="仿宋" w:hAnsi="仿宋" w:eastAsia="仿宋" w:cs="仿宋"/>
          <w:color w:val="000000"/>
          <w:sz w:val="24"/>
          <w:lang w:val="en-US" w:eastAsia="zh-CN"/>
        </w:rPr>
        <w:t xml:space="preserve">陈科宇</w:t>
      </w:r>
      <w:r/>
    </w:p>
    <w:p>
      <w:pPr>
        <w:pStyle w:val="730"/>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联系方式：</w:t>
      </w:r>
      <w:r>
        <w:rPr>
          <w:rFonts w:ascii="仿宋" w:hAnsi="仿宋" w:eastAsia="仿宋" w:cs="仿宋"/>
          <w:i w:val="0"/>
          <w:iCs w:val="0"/>
          <w:caps w:val="0"/>
          <w:color w:val="353535"/>
          <w:spacing w:val="0"/>
          <w:sz w:val="24"/>
          <w:szCs w:val="24"/>
          <w:shd w:val="clear" w:color="auto" w:fill="ffffff"/>
        </w:rPr>
        <w:t xml:space="preserve">13655220711</w:t>
      </w:r>
      <w:r/>
    </w:p>
    <w:p>
      <w:pPr>
        <w:pStyle w:val="730"/>
        <w:ind w:firstLine="480"/>
        <w:keepLines w:val="0"/>
        <w:keepNext w:val="0"/>
        <w:pageBreakBefore w:val="0"/>
        <w:spacing w:line="360" w:lineRule="auto"/>
        <w:rPr>
          <w:rFonts w:hint="eastAsia" w:ascii="仿宋" w:hAnsi="仿宋" w:eastAsia="仿宋" w:cs="仿宋"/>
          <w:color w:val="000000" w:themeColor="text1"/>
          <w:sz w:val="24"/>
          <w:szCs w:val="24"/>
          <w:highlight w:val="none"/>
          <w:lang w:bidi="en-US"/>
          <w14:textFill>
            <w14:solidFill>
              <w14:schemeClr w14:val="tx1"/>
            </w14:solidFill>
          </w14:textFill>
        </w:rPr>
        <w:outlineLvl w:val="2"/>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2.采购代理机构信息</w:t>
      </w:r>
      <w:r/>
    </w:p>
    <w:p>
      <w:pPr>
        <w:pStyle w:val="730"/>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名称：</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中瀛国际工程管理有限公司</w:t>
      </w:r>
      <w:r/>
    </w:p>
    <w:p>
      <w:pPr>
        <w:pStyle w:val="734"/>
        <w:ind w:firstLine="480"/>
        <w:pageBreakBefore w:val="0"/>
        <w:spacing w:line="360" w:lineRule="auto"/>
        <w:widowControl/>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地址：</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新沂市世纪花园三期门面房6-5</w:t>
      </w:r>
      <w:r/>
    </w:p>
    <w:p>
      <w:pPr>
        <w:pStyle w:val="730"/>
        <w:ind w:firstLine="480"/>
        <w:keepLines w:val="0"/>
        <w:keepNext w:val="0"/>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薛云</w:t>
      </w:r>
      <w:r/>
    </w:p>
    <w:p>
      <w:pPr>
        <w:pStyle w:val="730"/>
        <w:ind w:firstLine="480"/>
        <w:keepLines w:val="0"/>
        <w:keepNext w:val="0"/>
        <w:pageBreakBefore w:val="0"/>
        <w:spacing w:line="360" w:lineRule="auto"/>
        <w:rPr>
          <w:rFonts w:hint="default" w:ascii="仿宋" w:hAnsi="仿宋" w:eastAsia="仿宋" w:cs="仿宋"/>
          <w:color w:val="000000" w:themeColor="text1"/>
          <w:sz w:val="24"/>
          <w:szCs w:val="24"/>
          <w:highlight w:val="none"/>
          <w:lang w:val="en-US" w:eastAsia="zh-CN"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联系方式：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18251675115</w:t>
      </w:r>
      <w:r/>
    </w:p>
    <w:p>
      <w:pPr>
        <w:pStyle w:val="746"/>
        <w:ind w:firstLine="482"/>
        <w:pageBreakBefore w:val="0"/>
        <w:spacing w:before="0" w:after="0"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br w:type="page" w:clear="all"/>
      </w:r>
      <w:bookmarkStart w:id="86" w:name="_Toc18403"/>
      <w:r/>
      <w:bookmarkStart w:id="87" w:name="_Toc21113"/>
      <w:r/>
      <w:bookmarkStart w:id="88" w:name="_Toc31"/>
      <w:r/>
      <w:bookmarkStart w:id="89" w:name="_Toc25097"/>
      <w:r/>
      <w:bookmarkStart w:id="90" w:name="_Toc12825"/>
      <w:r/>
      <w:bookmarkStart w:id="91" w:name="_Toc18729"/>
      <w:r/>
      <w:bookmarkStart w:id="92" w:name="_Toc13230"/>
      <w:r/>
      <w:bookmarkStart w:id="93" w:name="_Toc4671"/>
      <w:r/>
      <w:bookmarkStart w:id="94" w:name="_Toc23683"/>
      <w:r/>
      <w:bookmarkStart w:id="95" w:name="_Toc31547"/>
      <w:r/>
      <w:bookmarkStart w:id="96" w:name="_Toc30822"/>
      <w:r/>
      <w:bookmarkStart w:id="97" w:name="_Toc27653"/>
      <w:r/>
      <w:bookmarkStart w:id="98" w:name="_Toc10229"/>
      <w:r/>
      <w:bookmarkStart w:id="99" w:name="_Toc6628"/>
      <w:r/>
      <w:bookmarkStart w:id="100" w:name="_Toc1807"/>
      <w:r/>
      <w:bookmarkStart w:id="101" w:name="_Toc1369"/>
      <w:r/>
      <w:bookmarkStart w:id="102" w:name="_Toc28238"/>
      <w:r/>
      <w:bookmarkStart w:id="103" w:name="_Toc21146"/>
      <w:r>
        <w:rPr>
          <w:rFonts w:hint="eastAsia" w:ascii="仿宋" w:hAnsi="仿宋" w:eastAsia="仿宋" w:cs="仿宋"/>
          <w:color w:val="000000" w:themeColor="text1"/>
          <w:szCs w:val="28"/>
          <w:highlight w:val="none"/>
          <w:lang w:eastAsia="zh-CN"/>
          <w14:textFill>
            <w14:solidFill>
              <w14:schemeClr w14:val="tx1"/>
            </w14:solidFill>
          </w14:textFill>
        </w:rPr>
        <w:t xml:space="preserve">第九章</w:t>
      </w:r>
      <w:r>
        <w:rPr>
          <w:rFonts w:hint="eastAsia" w:ascii="仿宋" w:hAnsi="仿宋" w:eastAsia="仿宋" w:cs="仿宋"/>
          <w:color w:val="000000" w:themeColor="text1"/>
          <w:szCs w:val="28"/>
          <w:highlight w:val="none"/>
          <w14:textFill>
            <w14:solidFill>
              <w14:schemeClr w14:val="tx1"/>
            </w14:solidFill>
          </w14:textFill>
        </w:rPr>
        <w:t xml:space="preserve"> 附  件</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pStyle w:val="734"/>
        <w:ind w:firstLine="472"/>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附件：附后</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1、《评分细则》</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2、《采购需求》</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3、《磋商报价表》</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4、《</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分项报价表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5、《偏离表》</w:t>
      </w:r>
      <w:r/>
    </w:p>
    <w:p>
      <w:pPr>
        <w:pStyle w:val="734"/>
        <w:ind w:firstLine="480"/>
        <w:pageBreakBefore w:val="0"/>
        <w:spacing w:line="360" w:lineRule="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主要材料（设备）一览表</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highlight w:val="none"/>
          <w14:textFill>
            <w14:solidFill>
              <w14:schemeClr w14:val="tx1"/>
            </w14:solidFill>
          </w14:textFill>
        </w:rPr>
        <w:t xml:space="preserve">、《法人授权委托书》</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highlight w:val="none"/>
          <w14:textFill>
            <w14:solidFill>
              <w14:schemeClr w14:val="tx1"/>
            </w14:solidFill>
          </w14:textFill>
        </w:rPr>
        <w:t xml:space="preserve">. 《具备履行合同所必需的设备和专业技术能力的书面声明》</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、《中小企业声明函》</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、《残疾人福利性单位声明函》</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、《技术方案》</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14、</w:t>
      </w:r>
      <w:r>
        <w:rPr>
          <w:rFonts w:hint="eastAsia" w:ascii="仿宋" w:hAnsi="仿宋" w:eastAsia="仿宋" w:cs="仿宋"/>
          <w:color w:val="000000" w:themeColor="text1"/>
          <w:sz w:val="24"/>
          <w:highlight w:val="none"/>
          <w14:textFill>
            <w14:solidFill>
              <w14:schemeClr w14:val="tx1"/>
            </w14:solidFill>
          </w14:textFill>
        </w:rPr>
        <w:t xml:space="preserve">《拟签订的合同文本》</w:t>
      </w:r>
      <w:r/>
    </w:p>
    <w:p>
      <w:pPr>
        <w:pStyle w:val="1008"/>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5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ind w:left="0" w:right="0" w:firstLine="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numPr>
          <w:ilvl w:val="0"/>
          <w:numId w:val="0"/>
        </w:numPr>
        <w:ind w:right="6"/>
        <w:jc w:val="both"/>
        <w:pageBreakBefore w:val="0"/>
        <w:spacing w:line="360" w:lineRule="auto"/>
        <w:rPr>
          <w:rStyle w:val="943"/>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782"/>
        <w:numPr>
          <w:ilvl w:val="0"/>
          <w:numId w:val="0"/>
        </w:numPr>
        <w:ind w:right="6"/>
        <w:jc w:val="both"/>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numPr>
          <w:ilvl w:val="0"/>
          <w:numId w:val="0"/>
        </w:numPr>
        <w:ind w:right="6"/>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1、</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评分细则</w:t>
      </w:r>
      <w:r/>
    </w:p>
    <w:tbl>
      <w:tblPr>
        <w:tblStyle w:val="725"/>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4"/>
        <w:gridCol w:w="1641"/>
        <w:gridCol w:w="6225"/>
      </w:tblGrid>
      <w:tr>
        <w:trPr>
          <w:jc w:val="center"/>
          <w:trHeight w:val="341"/>
        </w:trPr>
        <w:tc>
          <w:tcPr>
            <w:tcBorders>
              <w:top w:val="single" w:color="auto" w:sz="4" w:space="0"/>
              <w:left w:val="single" w:color="auto" w:sz="4" w:space="0"/>
              <w:bottom w:val="single" w:color="auto" w:sz="4" w:space="0"/>
              <w:right w:val="single" w:color="auto" w:sz="4" w:space="0"/>
            </w:tcBorders>
            <w:tcW w:w="1194" w:type="dxa"/>
            <w:textDirection w:val="lrTb"/>
            <w:noWrap w:val="false"/>
          </w:tcPr>
          <w:p>
            <w:pPr>
              <w:pStyle w:val="1007"/>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项目</w:t>
            </w:r>
            <w:r/>
          </w:p>
        </w:tc>
        <w:tc>
          <w:tcPr>
            <w:gridSpan w:val="2"/>
            <w:tcBorders>
              <w:top w:val="single" w:color="auto" w:sz="4" w:space="0"/>
              <w:left w:val="single" w:color="auto" w:sz="4" w:space="0"/>
              <w:bottom w:val="single" w:color="auto" w:sz="4" w:space="0"/>
              <w:right w:val="single" w:color="auto" w:sz="4" w:space="0"/>
            </w:tcBorders>
            <w:tcW w:w="7866" w:type="dxa"/>
            <w:textDirection w:val="lrTb"/>
            <w:noWrap w:val="false"/>
          </w:tcPr>
          <w:p>
            <w:pPr>
              <w:pStyle w:val="1007"/>
              <w:jc w:val="center"/>
              <w:pageBreakBefore w:val="0"/>
              <w:spacing w:line="360" w:lineRule="auto"/>
              <w:rPr>
                <w:rFonts w:hint="eastAsia" w:ascii="仿宋" w:hAnsi="仿宋" w:eastAsia="仿宋" w:cs="仿宋"/>
                <w:b/>
                <w:color w:val="000000" w:themeColor="text1"/>
                <w:sz w:val="22"/>
                <w:szCs w:val="22"/>
                <w:highlight w:val="none"/>
                <w14:textFill>
                  <w14:solidFill>
                    <w14:schemeClr w14:val="tx1"/>
                  </w14:solidFill>
                </w14:textFill>
              </w:rPr>
            </w:pPr>
            <w:r>
              <w:rPr>
                <w:rFonts w:hint="eastAsia" w:ascii="仿宋" w:hAnsi="仿宋" w:eastAsia="仿宋" w:cs="仿宋"/>
                <w:b/>
                <w:color w:val="000000" w:themeColor="text1"/>
                <w:sz w:val="22"/>
                <w:szCs w:val="22"/>
                <w:highlight w:val="none"/>
                <w14:textFill>
                  <w14:solidFill>
                    <w14:schemeClr w14:val="tx1"/>
                  </w14:solidFill>
                </w14:textFill>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价格部分</w:t>
            </w:r>
            <w:r/>
          </w:p>
          <w:p>
            <w:pPr>
              <w:jc w:val="center"/>
              <w:pageBreakBefore w:val="0"/>
              <w:spacing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（50分）</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1007"/>
              <w:jc w:val="center"/>
              <w:pageBreakBefore w:val="0"/>
              <w:spacing w:line="360" w:lineRule="auto"/>
              <w:rPr>
                <w:rFonts w:hint="eastAsia" w:ascii="仿宋" w:hAnsi="仿宋" w:eastAsia="仿宋" w:cs="仿宋"/>
                <w:color w:val="000000" w:themeColor="text1"/>
                <w:sz w:val="22"/>
                <w:szCs w:val="22"/>
                <w:highlight w:val="none"/>
                <w:lang w:eastAsia="zh-CN"/>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价格</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分</w:t>
            </w:r>
            <w:r/>
          </w:p>
          <w:p>
            <w:pPr>
              <w:pStyle w:val="1007"/>
              <w:jc w:val="center"/>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50</w:t>
            </w:r>
            <w:r>
              <w:rPr>
                <w:rFonts w:hint="eastAsia" w:ascii="仿宋" w:hAnsi="仿宋" w:eastAsia="仿宋" w:cs="仿宋"/>
                <w:color w:val="000000" w:themeColor="text1"/>
                <w:sz w:val="22"/>
                <w:szCs w:val="22"/>
                <w:highlight w:val="none"/>
                <w14:textFill>
                  <w14:solidFill>
                    <w14:schemeClr w14:val="tx1"/>
                  </w14:solidFill>
                </w14:textFill>
              </w:rPr>
              <w:t xml:space="preserve">分</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07"/>
              <w:jc w:val="both"/>
              <w:keepLines w:val="0"/>
              <w:keepNext w:val="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本项目价格评分采用低价优先法计算，即满足</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磋商</w:t>
            </w:r>
            <w:r>
              <w:rPr>
                <w:rFonts w:hint="eastAsia" w:ascii="仿宋" w:hAnsi="仿宋" w:eastAsia="仿宋" w:cs="仿宋"/>
                <w:color w:val="000000" w:themeColor="text1"/>
                <w:sz w:val="22"/>
                <w:szCs w:val="22"/>
                <w:highlight w:val="none"/>
                <w14:textFill>
                  <w14:solidFill>
                    <w14:schemeClr w14:val="tx1"/>
                  </w14:solidFill>
                </w14:textFill>
              </w:rPr>
              <w:t xml:space="preserve">文件要求且投标价格最低的有效投标报价为评标基准价，其价格分为满分。</w:t>
            </w:r>
            <w:r/>
          </w:p>
          <w:p>
            <w:pPr>
              <w:pStyle w:val="1007"/>
              <w:jc w:val="both"/>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2"/>
                <w:szCs w:val="22"/>
                <w:highlight w:val="none"/>
                <w14:textFill>
                  <w14:solidFill>
                    <w14:schemeClr w14:val="tx1"/>
                  </w14:solidFill>
                </w14:textFill>
              </w:rPr>
              <w:t xml:space="preserve">其他供应商报价得分：投标报价得分=(评标基准价／投标报价)×</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50</w:t>
            </w:r>
            <w:r>
              <w:rPr>
                <w:rFonts w:hint="eastAsia" w:ascii="仿宋" w:hAnsi="仿宋" w:eastAsia="仿宋" w:cs="仿宋"/>
                <w:color w:val="000000" w:themeColor="text1"/>
                <w:sz w:val="22"/>
                <w:szCs w:val="22"/>
                <w:highlight w:val="none"/>
                <w14:textFill>
                  <w14:solidFill>
                    <w14:schemeClr w14:val="tx1"/>
                  </w14:solidFill>
                </w14:textFill>
              </w:rPr>
              <w:t xml:space="preserve">（四舍五入后保留小数点后两位） </w:t>
            </w:r>
            <w:r/>
          </w:p>
        </w:tc>
      </w:tr>
      <w:tr>
        <w:trPr>
          <w:jc w:val="center"/>
          <w:trHeight w:val="1622"/>
        </w:trPr>
        <w:tc>
          <w:tcPr>
            <w:tcBorders>
              <w:top w:val="single" w:color="auto" w:sz="4" w:space="0"/>
              <w:left w:val="single" w:color="auto" w:sz="4" w:space="0"/>
              <w:right w:val="single" w:color="auto" w:sz="4" w:space="0"/>
            </w:tcBorders>
            <w:tcW w:w="1194" w:type="dxa"/>
            <w:vAlign w:val="center"/>
            <w:textDirection w:val="lrTb"/>
            <w:noWrap w:val="false"/>
          </w:tcPr>
          <w:p>
            <w:pPr>
              <w:pStyle w:val="1007"/>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7"/>
              <w:jc w:val="center"/>
              <w:pageBreakBefore w:val="0"/>
              <w:spacing w:line="360" w:lineRule="auto"/>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商务</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部分</w:t>
            </w:r>
            <w:r/>
          </w:p>
          <w:p>
            <w:pPr>
              <w:jc w:val="center"/>
              <w:pageBreakBefore w:val="0"/>
              <w:spacing w:line="360" w:lineRule="auto"/>
              <w:rPr>
                <w:rFonts w:hint="eastAsia" w:ascii="仿宋" w:hAnsi="仿宋" w:eastAsia="仿宋" w:cs="仿宋"/>
                <w:b w:val="0"/>
                <w:bCs w:val="0"/>
                <w:color w:val="000000" w:themeColor="text1"/>
                <w:sz w:val="21"/>
                <w:szCs w:val="21"/>
                <w:highlight w:val="none"/>
                <w:lang w:val="en-US" w:eastAsia="zh-CN"/>
                <w14:textFill>
                  <w14:solidFill>
                    <w14:schemeClr w14:val="tx1"/>
                  </w14:solidFill>
                </w14:textFill>
              </w:rPr>
            </w:pPr>
            <w:r>
              <w:rPr>
                <w:rFonts w:hint="eastAsia" w:ascii="仿宋" w:hAnsi="仿宋" w:eastAsia="仿宋" w:cs="仿宋"/>
                <w:b w:val="0"/>
                <w:bCs w:val="0"/>
                <w:color w:val="000000" w:themeColor="text1"/>
                <w:sz w:val="22"/>
                <w:szCs w:val="22"/>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1007"/>
              <w:ind w:firstLine="440"/>
              <w:jc w:val="center"/>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r>
            <w:r/>
          </w:p>
          <w:p>
            <w:pPr>
              <w:pStyle w:val="1007"/>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类似</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业绩</w:t>
            </w:r>
            <w:r/>
          </w:p>
          <w:p>
            <w:pPr>
              <w:pStyle w:val="1007"/>
              <w:ind w:firstLine="440"/>
              <w:jc w:val="both"/>
              <w:pageBreakBefore w:val="0"/>
              <w:spacing w:line="360" w:lineRule="auto"/>
              <w:rPr>
                <w:rFonts w:hint="eastAsia" w:ascii="仿宋" w:hAnsi="仿宋" w:eastAsia="仿宋" w:cs="仿宋"/>
                <w:b w:val="0"/>
                <w:bCs w:val="0"/>
                <w:color w:val="000000" w:themeColor="text1"/>
                <w:sz w:val="22"/>
                <w:szCs w:val="22"/>
                <w:highlight w:val="none"/>
                <w14:textFill>
                  <w14:solidFill>
                    <w14:schemeClr w14:val="tx1"/>
                  </w14:solidFill>
                </w14:textFill>
              </w:rPr>
            </w:pP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w:t>
            </w:r>
            <w:r>
              <w:rPr>
                <w:rFonts w:hint="eastAsia" w:ascii="仿宋" w:hAnsi="仿宋" w:eastAsia="仿宋" w:cs="仿宋"/>
                <w:b w:val="0"/>
                <w:bCs w:val="0"/>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b w:val="0"/>
                <w:bCs w:val="0"/>
                <w:color w:val="000000" w:themeColor="text1"/>
                <w:sz w:val="22"/>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225" w:type="dxa"/>
            <w:textDirection w:val="lrTb"/>
            <w:noWrap w:val="false"/>
          </w:tcPr>
          <w:p>
            <w:pPr>
              <w:pStyle w:val="1040"/>
              <w:pageBreakBefore w:val="0"/>
              <w:spacing w:line="360" w:lineRule="auto"/>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投标供应商</w:t>
            </w:r>
            <w:r>
              <w:rPr>
                <w:rFonts w:hint="eastAsia" w:ascii="仿宋" w:hAnsi="仿宋" w:eastAsia="仿宋" w:cs="仿宋"/>
                <w:color w:val="000000" w:themeColor="text1"/>
                <w:sz w:val="22"/>
                <w:szCs w:val="22"/>
                <w:highlight w:val="none"/>
                <w14:textFill>
                  <w14:solidFill>
                    <w14:schemeClr w14:val="tx1"/>
                  </w14:solidFill>
                </w14:textFill>
              </w:rPr>
              <w:t xml:space="preserve">承接过类似项目</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的业绩证明材料</w:t>
            </w:r>
            <w:r>
              <w:rPr>
                <w:rFonts w:hint="eastAsia" w:ascii="仿宋" w:hAnsi="仿宋" w:eastAsia="仿宋" w:cs="仿宋"/>
                <w:color w:val="000000" w:themeColor="text1"/>
                <w:sz w:val="22"/>
                <w:szCs w:val="22"/>
                <w:highlight w:val="none"/>
                <w14:textFill>
                  <w14:solidFill>
                    <w14:schemeClr w14:val="tx1"/>
                  </w14:solidFill>
                </w14:textFill>
              </w:rPr>
              <w:t xml:space="preserve">，每提供一个得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2"/>
                <w:szCs w:val="22"/>
                <w:highlight w:val="none"/>
                <w14:textFill>
                  <w14:solidFill>
                    <w14:schemeClr w14:val="tx1"/>
                  </w14:solidFill>
                </w14:textFill>
              </w:rPr>
              <w:t xml:space="preserve">分，最多得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2"/>
                <w:szCs w:val="22"/>
                <w:highlight w:val="none"/>
                <w14:textFill>
                  <w14:solidFill>
                    <w14:schemeClr w14:val="tx1"/>
                  </w14:solidFill>
                </w14:textFill>
              </w:rPr>
              <w:t xml:space="preserve">分；（提供</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中标通知书、施工</w:t>
            </w:r>
            <w:r>
              <w:rPr>
                <w:rFonts w:hint="eastAsia" w:ascii="仿宋" w:hAnsi="仿宋" w:eastAsia="仿宋" w:cs="仿宋"/>
                <w:color w:val="000000" w:themeColor="text1"/>
                <w:sz w:val="22"/>
                <w:szCs w:val="22"/>
                <w:highlight w:val="none"/>
                <w14:textFill>
                  <w14:solidFill>
                    <w14:schemeClr w14:val="tx1"/>
                  </w14:solidFill>
                </w14:textFill>
              </w:rPr>
              <w:t xml:space="preserve">合同</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及竣工验收证明原</w:t>
            </w:r>
            <w:r>
              <w:rPr>
                <w:rFonts w:hint="eastAsia" w:ascii="仿宋" w:hAnsi="仿宋" w:eastAsia="仿宋" w:cs="仿宋"/>
                <w:color w:val="000000" w:themeColor="text1"/>
                <w:sz w:val="22"/>
                <w:szCs w:val="22"/>
                <w:highlight w:val="none"/>
                <w14:textFill>
                  <w14:solidFill>
                    <w14:schemeClr w14:val="tx1"/>
                  </w14:solidFill>
                </w14:textFill>
              </w:rPr>
              <w:t xml:space="preserve">件</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扫描上传并</w:t>
            </w:r>
            <w:r>
              <w:rPr>
                <w:rFonts w:hint="eastAsia" w:ascii="仿宋" w:hAnsi="仿宋" w:eastAsia="仿宋" w:cs="仿宋"/>
                <w:color w:val="000000" w:themeColor="text1"/>
                <w:sz w:val="22"/>
                <w:szCs w:val="22"/>
                <w:highlight w:val="none"/>
                <w14:textFill>
                  <w14:solidFill>
                    <w14:schemeClr w14:val="tx1"/>
                  </w14:solidFill>
                </w14:textFill>
              </w:rPr>
              <w:t xml:space="preserve">加盖</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电子签章，三者必须同时具备，否则不得分</w:t>
            </w:r>
            <w:r>
              <w:rPr>
                <w:rFonts w:hint="eastAsia" w:ascii="仿宋" w:hAnsi="仿宋" w:eastAsia="仿宋" w:cs="仿宋"/>
                <w:color w:val="000000" w:themeColor="text1"/>
                <w:sz w:val="22"/>
                <w:szCs w:val="22"/>
                <w:highlight w:val="none"/>
                <w14:textFill>
                  <w14:solidFill>
                    <w14:schemeClr w14:val="tx1"/>
                  </w14:solidFill>
                </w14:textFill>
              </w:rPr>
              <w:t xml:space="preserve">）</w:t>
            </w:r>
            <w:r>
              <w:rPr>
                <w:rFonts w:hint="eastAsia" w:ascii="仿宋" w:hAnsi="仿宋" w:eastAsia="仿宋" w:cs="仿宋"/>
                <w:color w:val="000000" w:themeColor="text1"/>
                <w:sz w:val="22"/>
                <w:szCs w:val="22"/>
                <w:highlight w:val="none"/>
                <w:lang w:eastAsia="zh-CN"/>
                <w14:textFill>
                  <w14:solidFill>
                    <w14:schemeClr w14:val="tx1"/>
                  </w14:solidFill>
                </w14:textFill>
              </w:rPr>
              <w:t xml:space="preserve">。</w:t>
            </w:r>
            <w:r/>
          </w:p>
        </w:tc>
      </w:tr>
      <w:tr>
        <w:trPr>
          <w:jc w:val="center"/>
          <w:trHeight w:val="425"/>
        </w:trPr>
        <w:tc>
          <w:tcPr>
            <w:tcBorders>
              <w:top w:val="single" w:color="auto" w:sz="4" w:space="0"/>
              <w:left w:val="single" w:color="auto" w:sz="4" w:space="0"/>
              <w:right w:val="single" w:color="auto" w:sz="4" w:space="0"/>
            </w:tcBorders>
            <w:tcW w:w="1194" w:type="dxa"/>
            <w:vMerge w:val="restart"/>
            <w:textDirection w:val="lrTb"/>
            <w:noWrap w:val="false"/>
          </w:tcPr>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p>
            <w:pPr>
              <w:pStyle w:val="1007"/>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技术部分</w:t>
            </w:r>
            <w:r/>
          </w:p>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 xml:space="preserve">（46分）</w:t>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3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总体施工方案</w:t>
            </w:r>
            <w:r/>
          </w:p>
          <w:p>
            <w:pPr>
              <w:pStyle w:val="73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根据供应商提供的总体施工方案</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工程总体概述、针对重点部分施工方案及施工工艺方法等方面进行总体评价。</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1194"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34"/>
              <w:jc w:val="center"/>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施工进度计划及保证措施</w:t>
            </w:r>
            <w:r/>
          </w:p>
          <w:p>
            <w:pPr>
              <w:pStyle w:val="73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（7分）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w:t>
            </w:r>
            <w:r>
              <w:rPr>
                <w:rFonts w:hint="eastAsia" w:ascii="仿宋" w:hAnsi="仿宋" w:eastAsia="仿宋" w:cs="仿宋"/>
                <w:color w:val="auto"/>
                <w:sz w:val="22"/>
                <w:szCs w:val="22"/>
                <w:highlight w:val="none"/>
                <w:lang w:val="en-US" w:eastAsia="zh-CN"/>
              </w:rPr>
              <w:t xml:space="preserve">的施工进度计划及保证措施中</w:t>
            </w:r>
            <w:r>
              <w:rPr>
                <w:rFonts w:hint="eastAsia" w:ascii="仿宋" w:hAnsi="仿宋" w:eastAsia="仿宋" w:cs="仿宋"/>
                <w:color w:val="auto"/>
                <w:sz w:val="22"/>
                <w:szCs w:val="22"/>
                <w:highlight w:val="none"/>
              </w:rPr>
              <w:t xml:space="preserve">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（1）以上内容不存在瑕疵:7分；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（2）以上内容存在1处瑕疵:5分；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（5）未提供方案或不满足施工要求或内容存在3处及以上瑕疵:0分。</w:t>
            </w:r>
            <w:r/>
          </w:p>
          <w:p>
            <w:pPr>
              <w:pStyle w:val="73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1194"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3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施工质量保证</w:t>
            </w:r>
            <w:r>
              <w:rPr>
                <w:rFonts w:hint="eastAsia" w:ascii="仿宋" w:hAnsi="仿宋" w:eastAsia="仿宋" w:cs="仿宋"/>
                <w:color w:val="auto"/>
                <w:sz w:val="22"/>
                <w:szCs w:val="22"/>
                <w:highlight w:val="none"/>
                <w:lang w:val="en-US" w:eastAsia="zh-CN"/>
              </w:rPr>
              <w:t xml:space="preserve">措施</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w:t>
            </w:r>
            <w:r>
              <w:rPr>
                <w:rFonts w:hint="eastAsia" w:ascii="仿宋" w:hAnsi="仿宋" w:eastAsia="仿宋" w:cs="仿宋"/>
                <w:color w:val="auto"/>
                <w:sz w:val="22"/>
                <w:szCs w:val="22"/>
                <w:highlight w:val="none"/>
                <w:lang w:val="en-US" w:eastAsia="zh-CN"/>
              </w:rPr>
              <w:t xml:space="preserve">施工</w:t>
            </w:r>
            <w:r>
              <w:rPr>
                <w:rFonts w:hint="eastAsia" w:ascii="仿宋" w:hAnsi="仿宋" w:eastAsia="仿宋" w:cs="仿宋"/>
                <w:color w:val="auto"/>
                <w:sz w:val="22"/>
                <w:szCs w:val="22"/>
                <w:highlight w:val="none"/>
              </w:rPr>
              <w:t xml:space="preserve">质量保证措施</w:t>
            </w:r>
            <w:r>
              <w:rPr>
                <w:rFonts w:hint="eastAsia" w:ascii="仿宋" w:hAnsi="仿宋" w:eastAsia="仿宋" w:cs="仿宋"/>
                <w:color w:val="auto"/>
                <w:sz w:val="22"/>
                <w:szCs w:val="22"/>
                <w:highlight w:val="none"/>
                <w:lang w:val="en-US" w:eastAsia="zh-CN"/>
              </w:rPr>
              <w:t xml:space="preserve">中</w:t>
            </w:r>
            <w:r>
              <w:rPr>
                <w:rFonts w:hint="eastAsia" w:ascii="仿宋" w:hAnsi="仿宋" w:eastAsia="仿宋" w:cs="仿宋"/>
                <w:color w:val="auto"/>
                <w:sz w:val="22"/>
                <w:szCs w:val="22"/>
                <w:highlight w:val="none"/>
              </w:rPr>
              <w:t xml:space="preserve">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（1）以上内容不存在瑕疵:7分；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（2）以上内容存在1处瑕疵:5分；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（5）未提供方案或不满足施工要求或内容存在3处及以上瑕疵:0分。</w:t>
            </w:r>
            <w:r/>
          </w:p>
          <w:p>
            <w:pPr>
              <w:pStyle w:val="73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21"/>
        </w:trPr>
        <w:tc>
          <w:tcPr>
            <w:tcBorders>
              <w:left w:val="single" w:color="auto" w:sz="4" w:space="0"/>
              <w:right w:val="single" w:color="auto" w:sz="4" w:space="0"/>
            </w:tcBorders>
            <w:tcW w:w="1194"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3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项目管理班子人员配备、素质及管理经验</w:t>
            </w:r>
            <w:r/>
          </w:p>
          <w:p>
            <w:pPr>
              <w:pStyle w:val="73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（1）以上内容不存在瑕疵:6分；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（2）以上内容存在1处瑕疵:4分；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（3）以上内容存在2处瑕疵:2分；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（5）未提供方案或不满足施工要求或内容存在5处及以上瑕疵:0分。</w:t>
            </w:r>
            <w:r/>
          </w:p>
          <w:p>
            <w:pPr>
              <w:pStyle w:val="73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1194"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34"/>
              <w:jc w:val="center"/>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关键施工技术、工艺及工程项目实施的重点、难点和解决方案</w:t>
            </w:r>
            <w:r/>
          </w:p>
          <w:p>
            <w:pPr>
              <w:pStyle w:val="73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（1）以上内容不存在瑕疵:7分；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（2）以上内容存在1处瑕疵:5分；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（3）以上内容存在2处瑕疵:3分；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 xml:space="preserve">（5）未提供方案或不满足施工要求或内容存在3处及以上瑕疵:0分。</w:t>
            </w:r>
            <w:r/>
          </w:p>
          <w:p>
            <w:pPr>
              <w:pStyle w:val="73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5926"/>
        </w:trPr>
        <w:tc>
          <w:tcPr>
            <w:tcBorders>
              <w:left w:val="single" w:color="auto" w:sz="4" w:space="0"/>
              <w:right w:val="single" w:color="auto" w:sz="4" w:space="0"/>
            </w:tcBorders>
            <w:tcW w:w="1194"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pStyle w:val="734"/>
              <w:jc w:val="center"/>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安全文明施工方案（7分）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根据供应商提供的安全文明施工</w:t>
            </w:r>
            <w:r>
              <w:rPr>
                <w:rFonts w:hint="eastAsia" w:ascii="仿宋" w:hAnsi="仿宋" w:eastAsia="仿宋" w:cs="仿宋"/>
                <w:color w:val="auto"/>
                <w:sz w:val="22"/>
                <w:szCs w:val="22"/>
                <w:highlight w:val="none"/>
                <w:lang w:val="en-US" w:eastAsia="zh-CN"/>
              </w:rPr>
              <w:t xml:space="preserve">方案</w:t>
            </w:r>
            <w:r>
              <w:rPr>
                <w:rFonts w:hint="eastAsia" w:ascii="仿宋" w:hAnsi="仿宋" w:eastAsia="仿宋" w:cs="仿宋"/>
                <w:color w:val="auto"/>
                <w:sz w:val="22"/>
                <w:szCs w:val="22"/>
                <w:highlight w:val="none"/>
              </w:rPr>
              <w:t xml:space="preserve">中安全生产管理措施、文明施工管理措施、环境保护措施等方面进行总体评价。</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1194" w:type="dxa"/>
            <w:vMerge w:val="continue"/>
            <w:textDirection w:val="lrTb"/>
            <w:noWrap w:val="false"/>
          </w:tcPr>
          <w:p>
            <w:pPr>
              <w:jc w:val="center"/>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41" w:type="dxa"/>
            <w:vAlign w:val="center"/>
            <w:textDirection w:val="lrTb"/>
            <w:noWrap w:val="false"/>
          </w:tcPr>
          <w:p>
            <w:pPr>
              <w:ind w:left="0" w:right="0" w:firstLine="0"/>
              <w:jc w:val="center"/>
              <w:keepLines w:val="0"/>
              <w:keepNext w:val="0"/>
              <w:pageBreakBefore w:val="0"/>
              <w:spacing w:before="240" w:after="240" w:line="360" w:lineRule="auto"/>
              <w:rPr>
                <w:rFonts w:hint="eastAsia" w:ascii="仿宋" w:hAnsi="仿宋" w:eastAsia="仿宋" w:cs="仿宋"/>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2"/>
                <w:highlight w:val="none"/>
              </w:rPr>
              <w:t xml:space="preserve">后期维保方案及措施</w:t>
            </w:r>
            <w:r/>
          </w:p>
          <w:p>
            <w:pPr>
              <w:pStyle w:val="734"/>
              <w:jc w:val="center"/>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225" w:type="dxa"/>
            <w:vAlign w:val="center"/>
            <w:textDirection w:val="lrTb"/>
            <w:noWrap w:val="false"/>
          </w:tcPr>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根据供应商提供的</w:t>
            </w:r>
            <w:r>
              <w:rPr>
                <w:rFonts w:hint="eastAsia" w:ascii="仿宋" w:hAnsi="仿宋" w:eastAsia="仿宋" w:cs="仿宋"/>
                <w:color w:val="auto"/>
                <w:sz w:val="22"/>
                <w:szCs w:val="22"/>
                <w:highlight w:val="none"/>
                <w:lang w:val="en-US" w:eastAsia="zh-CN"/>
              </w:rPr>
              <w:t xml:space="preserve">后期维保</w:t>
            </w:r>
            <w:r>
              <w:rPr>
                <w:rFonts w:hint="eastAsia" w:ascii="仿宋" w:hAnsi="仿宋" w:eastAsia="仿宋" w:cs="仿宋"/>
                <w:color w:val="auto"/>
                <w:sz w:val="22"/>
                <w:szCs w:val="22"/>
                <w:highlight w:val="none"/>
                <w:lang w:eastAsia="zh-CN"/>
              </w:rPr>
              <w:t xml:space="preserve">及措施，进行总体评价。</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以上内容不存在瑕疵:</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以上内容存在1处瑕疵:</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以上内容存在2处瑕疵:</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以上内容存在3处瑕疵:</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widowControl w:val="off"/>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未提供方案或不满足施工要求或内容存在</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处及以上瑕疵:0分</w:t>
            </w:r>
            <w:r>
              <w:rPr>
                <w:rFonts w:hint="eastAsia" w:ascii="仿宋" w:hAnsi="仿宋" w:eastAsia="仿宋" w:cs="仿宋"/>
                <w:color w:val="auto"/>
                <w:sz w:val="22"/>
                <w:szCs w:val="22"/>
                <w:highlight w:val="none"/>
                <w:lang w:eastAsia="zh-CN"/>
              </w:rPr>
              <w:t xml:space="preserve">。</w:t>
            </w:r>
            <w:r/>
          </w:p>
          <w:p>
            <w:pPr>
              <w:pStyle w:val="734"/>
              <w:jc w:val="left"/>
              <w:keepLines w:val="0"/>
              <w:keepNext w:val="0"/>
              <w:pageBreakBefore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auto"/>
                <w:sz w:val="22"/>
                <w:szCs w:val="22"/>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pStyle w:val="745"/>
        <w:pageBreakBefore w:val="0"/>
        <w:spacing w:line="360" w:lineRule="auto"/>
        <w:rPr>
          <w:rFonts w:hint="eastAsia" w:ascii="仿宋" w:hAnsi="仿宋" w:eastAsia="仿宋" w:cs="仿宋"/>
          <w:b/>
          <w:bCs/>
          <w:color w:val="000000" w:themeColor="text1"/>
          <w:sz w:val="22"/>
          <w:szCs w:val="22"/>
          <w:highlight w:val="none"/>
          <w14:textFill>
            <w14:solidFill>
              <w14:schemeClr w14:val="tx1"/>
            </w14:solidFill>
          </w14:textFill>
        </w:rPr>
      </w:pPr>
      <w:r>
        <w:rPr>
          <w:rFonts w:hint="eastAsia" w:ascii="仿宋" w:hAnsi="仿宋" w:eastAsia="仿宋" w:cs="仿宋"/>
          <w:b/>
          <w:bCs/>
          <w:color w:val="000000" w:themeColor="text1"/>
          <w:sz w:val="22"/>
          <w:szCs w:val="22"/>
          <w:highlight w:val="none"/>
          <w14:textFill>
            <w14:solidFill>
              <w14:schemeClr w14:val="tx1"/>
            </w14:solidFill>
          </w14:textFill>
        </w:rPr>
        <w:t xml:space="preserve">注：本项目采用综合评分法。供应商技术部分得分取所有评委的平均值，保留小数点后二位</w:t>
      </w:r>
      <w:r>
        <w:rPr>
          <w:rFonts w:hint="eastAsia" w:ascii="仿宋" w:hAnsi="仿宋" w:eastAsia="仿宋" w:cs="仿宋"/>
          <w:b/>
          <w:bCs/>
          <w:color w:val="000000" w:themeColor="text1"/>
          <w:sz w:val="22"/>
          <w:szCs w:val="22"/>
          <w:highlight w:val="none"/>
          <w:lang w:eastAsia="zh-CN"/>
          <w14:textFill>
            <w14:solidFill>
              <w14:schemeClr w14:val="tx1"/>
            </w14:solidFill>
          </w14:textFill>
        </w:rPr>
        <w:t xml:space="preserve">。</w:t>
      </w:r>
      <w:r/>
    </w:p>
    <w:p>
      <w:pPr>
        <w:pStyle w:val="734"/>
        <w:numPr>
          <w:ilvl w:val="0"/>
          <w:numId w:val="0"/>
        </w:numPr>
        <w:ind w:left="0" w:firstLine="0"/>
        <w:jc w:val="center"/>
        <w:pageBreakBefore w:val="0"/>
        <w:spacing w:line="360" w:lineRule="auto"/>
        <w:widowControl/>
        <w:rPr>
          <w:rStyle w:val="943"/>
          <w:rFonts w:hint="eastAsia" w:ascii="仿宋" w:hAnsi="仿宋" w:eastAsia="仿宋" w:cs="仿宋"/>
          <w:color w:val="000000" w:themeColor="text1"/>
          <w:sz w:val="24"/>
          <w:szCs w:val="24"/>
          <w:highlight w:val="none"/>
          <w:lang w:val="en-US"/>
          <w14:textFill>
            <w14:solidFill>
              <w14:schemeClr w14:val="tx1"/>
            </w14:solidFill>
          </w14:textFill>
        </w:rPr>
        <w:outlineLvl w:val="1"/>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Style w:val="943"/>
          <w:rFonts w:hint="eastAsia" w:ascii="仿宋" w:hAnsi="仿宋" w:eastAsia="仿宋" w:cs="仿宋"/>
          <w:color w:val="000000" w:themeColor="text1"/>
          <w:sz w:val="24"/>
          <w:szCs w:val="24"/>
          <w:highlight w:val="none"/>
          <w:lang w:val="en-US"/>
          <w14:textFill>
            <w14:solidFill>
              <w14:schemeClr w14:val="tx1"/>
            </w14:solidFill>
          </w14:textFill>
        </w:rPr>
      </w:pPr>
      <w:r>
        <w:rPr>
          <w:rStyle w:val="943"/>
          <w:rFonts w:hint="eastAsia" w:ascii="仿宋" w:hAnsi="仿宋" w:eastAsia="仿宋" w:cs="仿宋"/>
          <w:color w:val="000000" w:themeColor="text1"/>
          <w:sz w:val="24"/>
          <w:szCs w:val="24"/>
          <w:highlight w:val="none"/>
          <w:lang w:val="en-US"/>
          <w14:textFill>
            <w14:solidFill>
              <w14:schemeClr w14:val="tx1"/>
            </w14:solidFill>
          </w14:textFill>
        </w:rPr>
        <w:br w:type="page" w:clear="all"/>
      </w:r>
      <w:r/>
    </w:p>
    <w:p>
      <w:pPr>
        <w:pStyle w:val="734"/>
        <w:numPr>
          <w:ilvl w:val="0"/>
          <w:numId w:val="0"/>
        </w:numPr>
        <w:ind w:left="0" w:firstLine="0"/>
        <w:jc w:val="center"/>
        <w:pageBreakBefore w:val="0"/>
        <w:spacing w:line="360" w:lineRule="auto"/>
        <w:widowControl/>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2、</w:t>
      </w:r>
      <w:bookmarkStart w:id="104" w:name="OLE_LINK1"/>
      <w:r>
        <w:rPr>
          <w:rStyle w:val="943"/>
          <w:rFonts w:hint="eastAsia" w:ascii="仿宋" w:hAnsi="仿宋" w:eastAsia="仿宋" w:cs="仿宋"/>
          <w:color w:val="000000" w:themeColor="text1"/>
          <w:sz w:val="24"/>
          <w:szCs w:val="24"/>
          <w:highlight w:val="none"/>
          <w14:textFill>
            <w14:solidFill>
              <w14:schemeClr w14:val="tx1"/>
            </w14:solidFill>
          </w14:textFill>
        </w:rPr>
        <w:t xml:space="preserve">采购需求</w:t>
      </w:r>
      <w:r/>
    </w:p>
    <w:p>
      <w:pPr>
        <w:pStyle w:val="949"/>
        <w:ind w:firstLine="482"/>
        <w:pageBreakBefore w:val="0"/>
        <w:spacing w:line="360" w:lineRule="auto"/>
        <w:rPr>
          <w:rFonts w:hint="default"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一、</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项目预算</w:t>
      </w:r>
      <w:r/>
    </w:p>
    <w:p>
      <w:pPr>
        <w:pStyle w:val="949"/>
        <w:ind w:firstLine="482"/>
        <w:pageBreakBefore w:val="0"/>
        <w:spacing w:line="360" w:lineRule="auto"/>
        <w:rPr>
          <w:rFonts w:hint="eastAsia" w:ascii="仿宋" w:hAnsi="仿宋" w:eastAsia="仿宋" w:cs="仿宋"/>
          <w:b/>
          <w:bCs/>
          <w:sz w:val="24"/>
          <w:szCs w:val="24"/>
          <w:highlight w:val="none"/>
          <w:lang w:val="en-US" w:eastAsia="zh-CN"/>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本项目总预算金额为245万元，</w:t>
      </w:r>
      <w:r>
        <w:rPr>
          <w:rFonts w:hint="eastAsia" w:ascii="仿宋" w:hAnsi="仿宋" w:eastAsia="仿宋" w:cs="仿宋"/>
          <w:b/>
          <w:bCs/>
          <w:sz w:val="24"/>
          <w:highlight w:val="none"/>
        </w:rPr>
        <w:t xml:space="preserve">不接受超过预算金额的磋商报价。</w:t>
      </w:r>
      <w:r>
        <w:rPr>
          <w:rFonts w:hint="eastAsia" w:ascii="仿宋" w:hAnsi="仿宋" w:eastAsia="仿宋" w:cs="仿宋"/>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sz w:val="24"/>
          <w:highlight w:val="none"/>
          <w:lang w:eastAsia="zh-CN"/>
        </w:rPr>
        <w:t xml:space="preserve">相关</w:t>
      </w:r>
      <w:r>
        <w:rPr>
          <w:rFonts w:hint="eastAsia" w:ascii="仿宋" w:hAnsi="仿宋" w:eastAsia="仿宋" w:cs="仿宋"/>
          <w:sz w:val="24"/>
          <w:highlight w:val="none"/>
        </w:rPr>
        <w:t xml:space="preserve">费用。</w:t>
      </w:r>
      <w:r>
        <w:rPr>
          <w:rFonts w:hint="eastAsia" w:ascii="仿宋" w:hAnsi="仿宋" w:eastAsia="仿宋" w:cs="仿宋"/>
          <w:b/>
          <w:bCs/>
          <w:sz w:val="24"/>
          <w:szCs w:val="24"/>
          <w:highlight w:val="none"/>
          <w:lang w:val="en-US" w:eastAsia="zh-CN"/>
        </w:rPr>
        <w:t xml:space="preserve">采购人不支付报价以外的任何费用。</w:t>
      </w:r>
      <w:r/>
    </w:p>
    <w:p>
      <w:pPr>
        <w:pStyle w:val="949"/>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2"/>
      </w:pPr>
      <w:r>
        <w:rPr>
          <w:rFonts w:hint="eastAsia" w:ascii="仿宋" w:hAnsi="仿宋" w:eastAsia="仿宋" w:cs="仿宋"/>
          <w:b/>
          <w:color w:val="000000" w:themeColor="text1"/>
          <w:sz w:val="24"/>
          <w:highlight w:val="none"/>
          <w14:textFill>
            <w14:solidFill>
              <w14:schemeClr w14:val="tx1"/>
            </w14:solidFill>
          </w14:textFill>
        </w:rPr>
        <w:t xml:space="preserve">二、项目概况：</w:t>
      </w:r>
      <w:r/>
    </w:p>
    <w:p>
      <w:pPr>
        <w:pStyle w:val="949"/>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 xml:space="preserve">1、项目名称：</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枫荷雅居消防改造工程。</w:t>
      </w:r>
      <w:r/>
    </w:p>
    <w:p>
      <w:pPr>
        <w:pStyle w:val="1007"/>
        <w:ind w:firstLine="480"/>
        <w:keepLines w:val="0"/>
        <w:keepNext w:val="0"/>
        <w:pageBreakBefore w:val="0"/>
        <w:spacing w:line="360" w:lineRule="auto"/>
        <w:widowControl w:val="off"/>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2、</w:t>
      </w:r>
      <w:r>
        <w:rPr>
          <w:rFonts w:hint="eastAsia" w:ascii="仿宋" w:hAnsi="仿宋" w:eastAsia="仿宋" w:cs="仿宋"/>
          <w:color w:val="000000" w:themeColor="text1"/>
          <w:highlight w:val="none"/>
          <w14:textFill>
            <w14:solidFill>
              <w14:schemeClr w14:val="tx1"/>
            </w14:solidFill>
          </w14:textFill>
        </w:rPr>
        <w:t xml:space="preserve">本项目主要内容：</w:t>
      </w:r>
      <w:r>
        <w:rPr>
          <w:rFonts w:hint="eastAsia" w:ascii="仿宋" w:hAnsi="仿宋" w:eastAsia="仿宋" w:cs="仿宋"/>
          <w:color w:val="000000" w:themeColor="text1"/>
          <w:sz w:val="24"/>
          <w:highlight w:val="none"/>
          <w:lang w:eastAsia="zh-CN"/>
          <w14:textFill>
            <w14:solidFill>
              <w14:schemeClr w14:val="tx1"/>
            </w14:solidFill>
          </w14:textFill>
        </w:rPr>
        <w:t xml:space="preserve">对</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枫荷雅居1#楼、2#楼消防和暖通改造</w:t>
      </w:r>
      <w:r>
        <w:rPr>
          <w:rFonts w:hint="eastAsia" w:ascii="仿宋" w:hAnsi="仿宋" w:eastAsia="仿宋" w:cs="仿宋"/>
          <w:color w:val="000000" w:themeColor="text1"/>
          <w:sz w:val="24"/>
          <w:highlight w:val="none"/>
          <w:lang w:eastAsia="zh-CN"/>
          <w14:textFill>
            <w14:solidFill>
              <w14:schemeClr w14:val="tx1"/>
            </w14:solidFill>
          </w14:textFill>
        </w:rPr>
        <w:t xml:space="preserve">;对</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消防水池改造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1#楼和2#楼的防火门更换等</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具体详见招标工程量清单所含全部内容</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1007"/>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3、工程地点：徐州市新沂市  </w:t>
      </w:r>
      <w:r/>
    </w:p>
    <w:p>
      <w:pPr>
        <w:pStyle w:val="1007"/>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4、</w:t>
      </w:r>
      <w:r>
        <w:rPr>
          <w:rFonts w:hint="eastAsia" w:ascii="仿宋" w:hAnsi="仿宋" w:eastAsia="仿宋" w:cs="仿宋"/>
          <w:color w:val="auto"/>
          <w:sz w:val="24"/>
          <w:szCs w:val="24"/>
          <w:highlight w:val="none"/>
          <w:lang w:val="en-US" w:eastAsia="zh-CN" w:bidi="ar-SA"/>
        </w:rPr>
        <w:t xml:space="preserve">要求工期：60日历天。 </w:t>
      </w:r>
      <w:r>
        <w:rPr>
          <w:rFonts w:hint="eastAsia" w:ascii="仿宋" w:hAnsi="仿宋" w:eastAsia="仿宋" w:cs="仿宋"/>
          <w:color w:val="000000" w:themeColor="text1"/>
          <w:sz w:val="24"/>
          <w:highlight w:val="none"/>
          <w:lang w:eastAsia="zh-CN"/>
          <w14:textFill>
            <w14:solidFill>
              <w14:schemeClr w14:val="tx1"/>
            </w14:solidFill>
          </w14:textFill>
        </w:rPr>
        <w:t xml:space="preserve">   </w:t>
      </w:r>
      <w:r/>
    </w:p>
    <w:p>
      <w:pPr>
        <w:pStyle w:val="949"/>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highlight w:val="none"/>
          <w:lang w:eastAsia="zh-CN"/>
          <w14:textFill>
            <w14:solidFill>
              <w14:schemeClr w14:val="tx1"/>
            </w14:solidFill>
          </w14:textFill>
        </w:rPr>
        <w:t xml:space="preserve">、质量</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：“合格”</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标准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符合现行国家技术、施工及验收规范规程</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确保一次性通过相关部门的竣工验收，未达到质量要求的，承包人负责无条件返工，直至达到要求，所发生的费用由承包人承担，承包人还应赔偿因此给发包人造成的损失。</w:t>
      </w:r>
      <w:r/>
    </w:p>
    <w:p>
      <w:pPr>
        <w:pStyle w:val="949"/>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b w:val="0"/>
          <w:bCs w:val="0"/>
          <w:color w:val="auto"/>
          <w:sz w:val="24"/>
          <w:szCs w:val="24"/>
          <w:highlight w:val="none"/>
        </w:rPr>
        <w:t xml:space="preserve">施工工艺的特殊要求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按国家有关规定执行</w:t>
      </w:r>
      <w:r>
        <w:rPr>
          <w:rFonts w:hint="eastAsia" w:ascii="仿宋" w:hAnsi="仿宋" w:eastAsia="仿宋" w:cs="仿宋"/>
          <w:b w:val="0"/>
          <w:bCs w:val="0"/>
          <w:color w:val="auto"/>
          <w:sz w:val="24"/>
          <w:szCs w:val="24"/>
          <w:highlight w:val="none"/>
          <w:lang w:eastAsia="zh-CN"/>
        </w:rPr>
        <w:t xml:space="preserve">。</w:t>
      </w:r>
      <w:r/>
    </w:p>
    <w:p>
      <w:pPr>
        <w:pStyle w:val="949"/>
        <w:ind w:firstLine="480"/>
        <w:keepLines w:val="0"/>
        <w:keepNext w:val="0"/>
        <w:pageBreakBefore w:val="0"/>
        <w:spacing w:line="360" w:lineRule="auto"/>
        <w:widowControl w:val="off"/>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highlight w:val="none"/>
          <w:lang w:eastAsia="zh-CN"/>
          <w14:textFill>
            <w14:solidFill>
              <w14:schemeClr w14:val="tx1"/>
            </w14:solidFill>
          </w14:textFill>
        </w:rPr>
        <w:t xml:space="preserve">承包方式：包工包料，</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不得分包与转包</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p>
    <w:p>
      <w:pPr>
        <w:pStyle w:val="949"/>
        <w:pageBreakBefore w:val="0"/>
        <w:spacing w:line="360" w:lineRule="auto"/>
        <w:rPr>
          <w:rFonts w:hint="eastAsia" w:ascii="仿宋" w:hAnsi="仿宋" w:eastAsia="仿宋" w:cs="仿宋"/>
          <w:b/>
          <w:color w:val="000000" w:themeColor="text1"/>
          <w:sz w:val="24"/>
          <w:highlight w:val="none"/>
          <w:lang w:val="en-US" w:eastAsia="zh-CN"/>
          <w14:textFill>
            <w14:solidFill>
              <w14:schemeClr w14:val="tx1"/>
            </w14:solidFill>
          </w14:textFill>
        </w:rPr>
        <w:outlineLvl w:val="2"/>
      </w:pPr>
      <w:r>
        <w:rPr>
          <w:rFonts w:hint="eastAsia" w:ascii="仿宋" w:hAnsi="仿宋" w:eastAsia="仿宋" w:cs="仿宋"/>
          <w:b/>
          <w:color w:val="000000" w:themeColor="text1"/>
          <w:sz w:val="24"/>
          <w:highlight w:val="none"/>
          <w:lang w:val="en-US" w:eastAsia="zh-CN"/>
          <w14:textFill>
            <w14:solidFill>
              <w14:schemeClr w14:val="tx1"/>
            </w14:solidFill>
          </w14:textFill>
        </w:rPr>
        <w:t xml:space="preserve">三、投标报价要求：</w:t>
      </w:r>
      <w:r/>
    </w:p>
    <w:p>
      <w:pPr>
        <w:pStyle w:val="949"/>
        <w:pageBreakBefore w:val="0"/>
        <w:spacing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1、响应报价内容</w:t>
      </w:r>
      <w:r/>
    </w:p>
    <w:p>
      <w:pPr>
        <w:pStyle w:val="949"/>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49"/>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49"/>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49"/>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49"/>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49"/>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49"/>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1.7 </w:t>
      </w:r>
      <w:r>
        <w:rPr>
          <w:rFonts w:hint="eastAsia" w:ascii="仿宋" w:hAnsi="仿宋" w:eastAsia="仿宋" w:cs="仿宋"/>
          <w:color w:val="000000" w:themeColor="text1"/>
          <w:sz w:val="24"/>
          <w:highlight w:val="none"/>
          <w14:textFill>
            <w14:solidFill>
              <w14:schemeClr w14:val="tx1"/>
            </w14:solidFill>
          </w14:textFill>
        </w:rPr>
        <w:t xml:space="preserve">投标人如勘察现场，投标人在现场勘察活动中须服从采购人指挥</w:t>
      </w:r>
      <w:r>
        <w:rPr>
          <w:rFonts w:hint="eastAsia" w:ascii="仿宋" w:hAnsi="仿宋" w:eastAsia="仿宋" w:cs="仿宋"/>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49"/>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49"/>
        <w:ind w:firstLine="480"/>
        <w:pageBreakBefore w:val="0"/>
        <w:spacing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4、低于成本报价</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仿宋" w:hAnsi="仿宋" w:eastAsia="仿宋" w:cs="仿宋"/>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人工费、材料费、机械费、管理费、验收、税金</w:t>
      </w: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等相关的一切费用。</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3、供应商对项目现场和周围环境进行实地踏勘，合理编制本项目施工方案。  </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（1）符合《建筑工程施工质量验收统一标准》GB50300-2013 和相关专业验收规范的规定;</w:t>
      </w:r>
      <w:r/>
    </w:p>
    <w:p>
      <w:pPr>
        <w:ind w:left="0" w:right="0" w:firstLine="600"/>
        <w:jc w:val="both"/>
        <w:pageBreakBefore w:val="0"/>
        <w:spacing w:before="220" w:after="0" w:line="360" w:lineRule="auto"/>
        <w:rPr>
          <w:rFonts w:hint="eastAsia" w:ascii="仿宋" w:hAnsi="仿宋" w:eastAsia="仿宋" w:cs="仿宋"/>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16"/>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bookmarkEnd w:id="104"/>
      <w:r/>
      <w:r/>
    </w:p>
    <w:p>
      <w:pPr>
        <w:pStyle w:val="734"/>
        <w:jc w:val="left"/>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rPr>
          <w:rStyle w:val="943"/>
          <w:rFonts w:hint="eastAsia" w:ascii="仿宋" w:hAnsi="仿宋" w:eastAsia="仿宋" w:cs="仿宋"/>
          <w:color w:val="000000" w:themeColor="text1"/>
          <w:sz w:val="24"/>
          <w:szCs w:val="24"/>
          <w:highlight w:val="none"/>
          <w14:textFill>
            <w14:solidFill>
              <w14:schemeClr w14:val="tx1"/>
            </w14:solidFill>
          </w14:textFill>
        </w:rPr>
      </w:pPr>
      <w:r>
        <w:rPr>
          <w:rStyle w:val="943"/>
          <w:rFonts w:hint="eastAsia" w:ascii="仿宋" w:hAnsi="仿宋" w:eastAsia="仿宋" w:cs="仿宋"/>
          <w:color w:val="000000" w:themeColor="text1"/>
          <w:sz w:val="24"/>
          <w:szCs w:val="24"/>
          <w:highlight w:val="none"/>
          <w14:textFill>
            <w14:solidFill>
              <w14:schemeClr w14:val="tx1"/>
            </w14:solidFill>
          </w14:textFill>
        </w:rPr>
        <w:br w:type="page" w:clear="all"/>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73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bookmarkStart w:id="105" w:name="_Toc28445"/>
      <w:r/>
      <w:bookmarkStart w:id="106" w:name="_Toc2522"/>
      <w:r/>
      <w:bookmarkStart w:id="107" w:name="_Toc17357"/>
      <w:r>
        <w:rPr>
          <w:rFonts w:hint="eastAsia" w:ascii="仿宋" w:hAnsi="仿宋" w:eastAsia="仿宋" w:cs="仿宋"/>
          <w:color w:val="000000" w:themeColor="text1"/>
          <w:sz w:val="24"/>
          <w:highlight w:val="none"/>
          <w14:textFill>
            <w14:solidFill>
              <w14:schemeClr w14:val="tx1"/>
            </w14:solidFill>
          </w14:textFill>
        </w:rPr>
        <w:t xml:space="preserve">（首次）</w:t>
      </w:r>
      <w:bookmarkEnd w:id="105"/>
      <w:r/>
      <w:bookmarkEnd w:id="106"/>
      <w:r/>
      <w:bookmarkEnd w:id="107"/>
      <w:r/>
      <w:r/>
    </w:p>
    <w:p>
      <w:pPr>
        <w:pStyle w:val="734"/>
        <w:ind w:firstLine="472"/>
        <w:pageBreakBefore w:val="0"/>
        <w:spacing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项目名称：</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tbl>
      <w:tblPr>
        <w:tblStyle w:val="725"/>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820"/>
        <w:gridCol w:w="3365"/>
      </w:tblGrid>
      <w:tr>
        <w:trPr>
          <w:jc w:val="center"/>
          <w:trHeight w:val="404"/>
        </w:trPr>
        <w:tc>
          <w:tcPr>
            <w:tcW w:w="3093"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Style w:val="1042"/>
                <w:rFonts w:hint="eastAsia" w:ascii="仿宋" w:hAnsi="仿宋" w:eastAsia="仿宋" w:cs="仿宋"/>
                <w:color w:val="000000" w:themeColor="text1"/>
                <w:sz w:val="24"/>
                <w:highlight w:val="none"/>
                <w14:textFill>
                  <w14:solidFill>
                    <w14:schemeClr w14:val="tx1"/>
                  </w14:solidFill>
                </w14:textFill>
              </w:rPr>
              <w:t xml:space="preserve">项目名称</w:t>
            </w:r>
            <w:r/>
          </w:p>
        </w:tc>
        <w:tc>
          <w:tcPr>
            <w:tcW w:w="2820"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Style w:val="1042"/>
                <w:rFonts w:hint="eastAsia" w:ascii="仿宋" w:hAnsi="仿宋" w:eastAsia="仿宋" w:cs="仿宋"/>
                <w:color w:val="000000" w:themeColor="text1"/>
                <w:sz w:val="24"/>
                <w:highlight w:val="none"/>
                <w14:textFill>
                  <w14:solidFill>
                    <w14:schemeClr w14:val="tx1"/>
                  </w14:solidFill>
                </w14:textFill>
              </w:rPr>
              <w:t xml:space="preserve">项目内容</w:t>
            </w:r>
            <w:r/>
          </w:p>
        </w:tc>
        <w:tc>
          <w:tcPr>
            <w:tcW w:w="3365"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Style w:val="1042"/>
                <w:rFonts w:hint="eastAsia" w:ascii="仿宋" w:hAnsi="仿宋" w:eastAsia="仿宋" w:cs="仿宋"/>
                <w:color w:val="000000" w:themeColor="text1"/>
                <w:sz w:val="24"/>
                <w:highlight w:val="none"/>
                <w14:textFill>
                  <w14:solidFill>
                    <w14:schemeClr w14:val="tx1"/>
                  </w14:solidFill>
                </w14:textFill>
              </w:rPr>
              <w:t xml:space="preserve">总价</w:t>
            </w:r>
            <w:r/>
          </w:p>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Style w:val="1042"/>
                <w:rFonts w:hint="eastAsia" w:ascii="仿宋" w:hAnsi="仿宋" w:eastAsia="仿宋" w:cs="仿宋"/>
                <w:color w:val="000000" w:themeColor="text1"/>
                <w:sz w:val="24"/>
                <w:highlight w:val="none"/>
                <w14:textFill>
                  <w14:solidFill>
                    <w14:schemeClr w14:val="tx1"/>
                  </w14:solidFill>
                </w14:textFill>
              </w:rPr>
              <w:t xml:space="preserve">（小写）</w:t>
            </w:r>
            <w:r/>
          </w:p>
        </w:tc>
      </w:tr>
      <w:tr>
        <w:trPr>
          <w:jc w:val="center"/>
          <w:trHeight w:val="812"/>
        </w:trPr>
        <w:tc>
          <w:tcPr>
            <w:tcW w:w="3093"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lang w:eastAsia="zh-CN"/>
                <w14:textFill>
                  <w14:solidFill>
                    <w14:schemeClr w14:val="tx1"/>
                  </w14:solidFill>
                </w14:textFill>
              </w:rPr>
            </w:pPr>
            <w:r>
              <w:rPr>
                <w:rStyle w:val="1042"/>
                <w:rFonts w:hint="eastAsia" w:ascii="仿宋" w:hAnsi="仿宋" w:eastAsia="仿宋" w:cs="仿宋"/>
                <w:color w:val="000000" w:themeColor="text1"/>
                <w:sz w:val="24"/>
                <w:highlight w:val="none"/>
                <w:lang w:val="en-US" w:eastAsia="zh-CN"/>
                <w14:textFill>
                  <w14:solidFill>
                    <w14:schemeClr w14:val="tx1"/>
                  </w14:solidFill>
                </w14:textFill>
              </w:rPr>
              <w:t xml:space="preserve">枫荷雅居消防改造工程</w:t>
            </w:r>
            <w:r/>
          </w:p>
        </w:tc>
        <w:tc>
          <w:tcPr>
            <w:tcW w:w="2820"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Style w:val="1042"/>
                <w:rFonts w:hint="eastAsia" w:ascii="仿宋" w:hAnsi="仿宋" w:eastAsia="仿宋" w:cs="仿宋"/>
                <w:color w:val="000000" w:themeColor="text1"/>
                <w:sz w:val="24"/>
                <w:highlight w:val="none"/>
                <w14:textFill>
                  <w14:solidFill>
                    <w14:schemeClr w14:val="tx1"/>
                  </w14:solidFill>
                </w14:textFill>
              </w:rPr>
              <w:t xml:space="preserve">详见响应文件</w:t>
            </w:r>
            <w:r/>
          </w:p>
        </w:tc>
        <w:tc>
          <w:tcPr>
            <w:tcW w:w="3365"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1"/>
        </w:trPr>
        <w:tc>
          <w:tcPr>
            <w:tcW w:w="3093"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Style w:val="1042"/>
                <w:rFonts w:hint="eastAsia" w:ascii="仿宋" w:hAnsi="仿宋" w:eastAsia="仿宋" w:cs="仿宋"/>
                <w:color w:val="000000" w:themeColor="text1"/>
                <w:sz w:val="24"/>
                <w:highlight w:val="none"/>
                <w14:textFill>
                  <w14:solidFill>
                    <w14:schemeClr w14:val="tx1"/>
                  </w14:solidFill>
                </w14:textFill>
              </w:rPr>
              <w:t xml:space="preserve">总价（大写）：</w:t>
            </w:r>
            <w:r/>
          </w:p>
        </w:tc>
        <w:tc>
          <w:tcPr>
            <w:gridSpan w:val="2"/>
            <w:tcW w:w="6185"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654"/>
        </w:trPr>
        <w:tc>
          <w:tcPr>
            <w:tcW w:w="3093"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lang w:val="en-US" w:eastAsia="zh-CN"/>
                <w14:textFill>
                  <w14:solidFill>
                    <w14:schemeClr w14:val="tx1"/>
                  </w14:solidFill>
                </w14:textFill>
              </w:rPr>
            </w:pPr>
            <w:r>
              <w:rPr>
                <w:rStyle w:val="1042"/>
                <w:rFonts w:hint="eastAsia" w:ascii="仿宋" w:hAnsi="仿宋" w:eastAsia="仿宋" w:cs="仿宋"/>
                <w:color w:val="000000" w:themeColor="text1"/>
                <w:sz w:val="24"/>
                <w:highlight w:val="none"/>
                <w:lang w:val="en-US" w:eastAsia="zh-CN"/>
                <w14:textFill>
                  <w14:solidFill>
                    <w14:schemeClr w14:val="tx1"/>
                  </w14:solidFill>
                </w14:textFill>
              </w:rPr>
              <w:t xml:space="preserve">工程质量</w:t>
            </w:r>
            <w:r/>
          </w:p>
        </w:tc>
        <w:tc>
          <w:tcPr>
            <w:gridSpan w:val="2"/>
            <w:tcW w:w="6185" w:type="dxa"/>
            <w:vAlign w:val="center"/>
            <w:textDirection w:val="lrTb"/>
            <w:noWrap w:val="false"/>
          </w:tcPr>
          <w:p>
            <w:pPr>
              <w:jc w:val="center"/>
              <w:widowControl/>
              <w:rPr>
                <w:rStyle w:val="1042"/>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r>
        <w:trPr>
          <w:jc w:val="center"/>
          <w:trHeight w:val="587"/>
        </w:trPr>
        <w:tc>
          <w:tcPr>
            <w:tcW w:w="3093" w:type="dxa"/>
            <w:vAlign w:val="center"/>
            <w:textDirection w:val="lrTb"/>
            <w:noWrap w:val="false"/>
          </w:tcPr>
          <w:p>
            <w:pPr>
              <w:pStyle w:val="734"/>
              <w:jc w:val="center"/>
              <w:widowControl w:val="off"/>
              <w:rPr>
                <w:rStyle w:val="1042"/>
                <w:rFonts w:hint="eastAsia" w:ascii="仿宋" w:hAnsi="仿宋" w:eastAsia="仿宋" w:cs="仿宋"/>
                <w:color w:val="000000" w:themeColor="text1"/>
                <w:sz w:val="24"/>
                <w:highlight w:val="none"/>
                <w:lang w:val="en-US" w:eastAsia="zh-CN"/>
                <w14:textFill>
                  <w14:solidFill>
                    <w14:schemeClr w14:val="tx1"/>
                  </w14:solidFill>
                </w14:textFill>
              </w:rPr>
            </w:pPr>
            <w:r>
              <w:rPr>
                <w:rStyle w:val="1042"/>
                <w:rFonts w:hint="eastAsia" w:ascii="仿宋" w:hAnsi="仿宋" w:eastAsia="仿宋" w:cs="仿宋"/>
                <w:color w:val="000000" w:themeColor="text1"/>
                <w:sz w:val="24"/>
                <w:highlight w:val="none"/>
                <w:lang w:val="en-US" w:eastAsia="zh-CN"/>
                <w14:textFill>
                  <w14:solidFill>
                    <w14:schemeClr w14:val="tx1"/>
                  </w14:solidFill>
                </w14:textFill>
              </w:rPr>
              <w:t xml:space="preserve">工期</w:t>
            </w:r>
            <w:r/>
          </w:p>
        </w:tc>
        <w:tc>
          <w:tcPr>
            <w:gridSpan w:val="2"/>
            <w:tcW w:w="6185" w:type="dxa"/>
            <w:vAlign w:val="center"/>
            <w:textDirection w:val="lrTb"/>
            <w:noWrap w:val="false"/>
          </w:tcPr>
          <w:p>
            <w:pPr>
              <w:jc w:val="center"/>
              <w:widowControl/>
              <w:rPr>
                <w:rStyle w:val="1042"/>
                <w:rFonts w:hint="eastAsia"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r>
            <w:r/>
          </w:p>
        </w:tc>
      </w:tr>
    </w:tbl>
    <w:p>
      <w:pPr>
        <w:pStyle w:val="73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供应商承诺：本报价（总价）为供应商本企业提供的服务。</w:t>
      </w:r>
      <w:r/>
    </w:p>
    <w:p>
      <w:pPr>
        <w:pStyle w:val="73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报价说明：</w:t>
      </w:r>
      <w:r/>
    </w:p>
    <w:p>
      <w:pPr>
        <w:pStyle w:val="73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1、报价应包括磋商文件所确定的招标范围内工程量清单所含的全部内容，以及为完成上述内容所需的全部费用，采购人不再支付报价以外的任何费用。</w:t>
      </w:r>
      <w:r/>
    </w:p>
    <w:p>
      <w:pPr>
        <w:pStyle w:val="73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2、报价以总价为准，大小写不一致以大写为准；</w:t>
      </w:r>
      <w:r/>
    </w:p>
    <w:p>
      <w:pPr>
        <w:pStyle w:val="734"/>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3、偏离说明：详见《偏离表》；</w:t>
      </w:r>
      <w:r/>
    </w:p>
    <w:p>
      <w:pPr>
        <w:pStyle w:val="734"/>
        <w:keepLines w:val="0"/>
        <w:keepNext w:val="0"/>
        <w:pageBreakBefore w:val="0"/>
        <w:spacing w:line="360" w:lineRule="auto"/>
        <w:widowControl w:val="off"/>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4、如最后报价未列明单价，则最后所报各项单价计算方法为：（最后总价/最初总价）*各项最初报价的单价。</w:t>
      </w:r>
      <w:r/>
    </w:p>
    <w:p>
      <w:pPr>
        <w:pStyle w:val="736"/>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737"/>
        <w:rPr>
          <w:rFonts w:hint="eastAsia"/>
        </w:rPr>
      </w:pPr>
      <w:r>
        <w:rPr>
          <w:rFonts w:hint="eastAsia"/>
        </w:rPr>
      </w:r>
      <w:r/>
    </w:p>
    <w:p>
      <w:pPr>
        <w:pStyle w:val="73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ind w:firstLine="472"/>
        <w:jc w:val="left"/>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34"/>
        <w:ind w:firstLine="472"/>
        <w:jc w:val="left"/>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本次为首次报价</w:t>
      </w:r>
      <w:r/>
    </w:p>
    <w:p>
      <w:pPr>
        <w:ind w:right="31"/>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ageBreakBefore w:val="0"/>
        <w:spacing w:before="240" w:after="240" w:line="360" w:lineRule="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ind w:right="242"/>
        <w:pageBreakBefore w:val="0"/>
        <w:spacing w:before="240" w:after="240"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货币单位：人民币元</w:t>
      </w:r>
      <w:r/>
    </w:p>
    <w:p>
      <w:pPr>
        <w:pStyle w:val="727"/>
        <w:ind w:left="0"/>
        <w:jc w:val="center"/>
        <w:widowControl w:val="off"/>
        <w:rPr>
          <w:rFonts w:hint="eastAsia" w:ascii="仿宋" w:hAnsi="仿宋" w:eastAsia="仿宋" w:cs="仿宋"/>
          <w:color w:val="000000" w:themeColor="text1"/>
          <w:sz w:val="24"/>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4"/>
          <w:highlight w:val="none"/>
          <w:lang w:val="en-US" w:eastAsia="zh-CN" w:bidi="ar-SA"/>
          <w14:textFill>
            <w14:solidFill>
              <w14:schemeClr w14:val="tx1"/>
            </w14:solidFill>
          </w14:textFill>
        </w:rPr>
      </w:r>
      <w:r/>
    </w:p>
    <w:p>
      <w:pPr>
        <w:pStyle w:val="727"/>
        <w:ind w:left="0"/>
        <w:jc w:val="center"/>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bidi="ar-SA"/>
          <w14:textFill>
            <w14:solidFill>
              <w14:schemeClr w14:val="tx1"/>
            </w14:solidFill>
          </w14:textFill>
        </w:rPr>
        <w:t xml:space="preserve">根据发布的《招标工程量清单》进行编制</w:t>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4"/>
          <w:szCs w:val="26"/>
          <w:highlight w:val="none"/>
          <w:lang w:val="en-US" w:eastAsia="zh-CN" w:bidi="ar-SA"/>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keepLines/>
        <w:keepNext/>
        <w:spacing w:before="320" w:after="200"/>
        <w:rPr>
          <w:rFonts w:hint="eastAsia" w:ascii="仿宋" w:hAnsi="仿宋" w:eastAsia="仿宋" w:cs="仿宋"/>
          <w:b/>
          <w:bCs/>
          <w:sz w:val="26"/>
          <w:szCs w:val="26"/>
          <w:highlight w:val="none"/>
          <w:lang w:val="en-US" w:eastAsia="zh-CN" w:bidi="ar-SA"/>
        </w:rPr>
        <w:outlineLvl w:val="9"/>
      </w:pPr>
      <w:r>
        <w:rPr>
          <w:rFonts w:hint="eastAsia" w:ascii="仿宋" w:hAnsi="仿宋" w:eastAsia="仿宋" w:cs="仿宋"/>
          <w:b/>
          <w:bCs/>
          <w:sz w:val="26"/>
          <w:szCs w:val="26"/>
          <w:highlight w:val="none"/>
          <w:lang w:val="en-US" w:eastAsia="zh-CN" w:bidi="ar-SA"/>
        </w:rPr>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供应商（电子签章）：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w:t>
      </w:r>
      <w:r/>
    </w:p>
    <w:p>
      <w:pPr>
        <w:ind w:right="0"/>
        <w:keepLines w:val="0"/>
        <w:keepNext w:val="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注：1</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如果按单价计算的结果与总价不一致，以总价为准。</w:t>
      </w:r>
      <w:r/>
    </w:p>
    <w:p>
      <w:pPr>
        <w:ind w:right="0" w:firstLine="480"/>
        <w:keepLines w:val="0"/>
        <w:keepNext w:val="0"/>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highlight w:val="none"/>
          <w14:textFill>
            <w14:solidFill>
              <w14:schemeClr w14:val="tx1"/>
            </w14:solidFill>
          </w14:textFill>
        </w:rPr>
        <w:t xml:space="preserve">、如果不提供详细分项报价将视为没有实质性响应。</w:t>
      </w:r>
      <w:r/>
    </w:p>
    <w:p>
      <w:pPr>
        <w:pStyle w:val="734"/>
        <w:ind w:firstLine="480"/>
        <w:keepLines w:val="0"/>
        <w:keepNext w:val="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highlight w:val="none"/>
          <w14:textFill>
            <w14:solidFill>
              <w14:schemeClr w14:val="tx1"/>
            </w14:solidFill>
          </w14:textFill>
        </w:rPr>
        <w:t xml:space="preserve">、供应商对以上数据的真实性负责。</w:t>
      </w:r>
      <w:r/>
    </w:p>
    <w:p>
      <w:pPr>
        <w:pStyle w:val="734"/>
        <w:ind w:firstLine="480"/>
        <w:keepLines w:val="0"/>
        <w:keepNext w:val="0"/>
        <w:pageBreakBefore w:val="0"/>
        <w:spacing w:line="360" w:lineRule="auto"/>
        <w:widowControl w:val="off"/>
        <w:rPr>
          <w:rFonts w:hint="eastAsia" w:ascii="仿宋" w:hAnsi="仿宋" w:eastAsia="仿宋" w:cs="仿宋"/>
          <w:b/>
          <w:bCs/>
          <w:i/>
          <w:iCs/>
          <w:highlight w:val="none"/>
          <w:u w:val="single"/>
        </w:rPr>
      </w:pPr>
      <w:r>
        <w:rPr>
          <w:rFonts w:hint="eastAsia" w:ascii="仿宋" w:hAnsi="仿宋" w:eastAsia="仿宋" w:cs="仿宋"/>
          <w:b/>
          <w:bCs/>
          <w:i/>
          <w:iCs/>
          <w:color w:val="000000" w:themeColor="text1"/>
          <w:sz w:val="24"/>
          <w:highlight w:val="none"/>
          <w:u w:val="single"/>
          <w14:textFill>
            <w14:solidFill>
              <w14:schemeClr w14:val="tx1"/>
            </w14:solidFill>
          </w14:textFill>
        </w:rPr>
        <w:t xml:space="preserve">采购人或采购代理机构有权将以上内容进行公示。</w:t>
      </w:r>
      <w:r/>
    </w:p>
    <w:p>
      <w:pPr>
        <w:pStyle w:val="734"/>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734"/>
        <w:numPr>
          <w:ilvl w:val="0"/>
          <w:numId w:val="0"/>
        </w:numPr>
        <w:jc w:val="center"/>
        <w:pageBreakBefore w:val="0"/>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734"/>
        <w:numPr>
          <w:ilvl w:val="0"/>
          <w:numId w:val="0"/>
        </w:numPr>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5、</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偏离表</w:t>
      </w:r>
      <w:r/>
    </w:p>
    <w:p>
      <w:pPr>
        <w:pStyle w:val="732"/>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项目名称：                                                        </w:t>
      </w:r>
      <w:r/>
    </w:p>
    <w:p>
      <w:pPr>
        <w:pStyle w:val="732"/>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项目编号：</w:t>
      </w:r>
      <w:r/>
    </w:p>
    <w:tbl>
      <w:tblPr>
        <w:tblStyle w:val="72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序号</w:t>
            </w:r>
            <w:r/>
          </w:p>
        </w:tc>
        <w:tc>
          <w:tcPr>
            <w:tcW w:w="1220"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偏离内容</w:t>
            </w:r>
            <w:r/>
          </w:p>
        </w:tc>
        <w:tc>
          <w:tcPr>
            <w:tcW w:w="241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sz w:val="24"/>
              </w:rPr>
              <w:t xml:space="preserve">首次响应文件中的内容</w:t>
            </w:r>
            <w:r/>
          </w:p>
        </w:tc>
        <w:tc>
          <w:tcPr>
            <w:tcW w:w="1351"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（正/负/无）偏离</w:t>
            </w:r>
            <w:r/>
          </w:p>
        </w:tc>
        <w:tc>
          <w:tcPr>
            <w:tcW w:w="2123" w:type="dxa"/>
            <w:vAlign w:val="center"/>
            <w:textDirection w:val="lrTb"/>
            <w:noWrap w:val="false"/>
          </w:tcPr>
          <w:p>
            <w:pPr>
              <w:jc w:val="center"/>
              <w:rPr>
                <w:rFonts w:hint="eastAsia" w:ascii="仿宋" w:hAnsi="仿宋" w:eastAsia="仿宋" w:cs="仿宋"/>
                <w:caps/>
                <w:sz w:val="24"/>
              </w:rPr>
            </w:pPr>
            <w:r>
              <w:rPr>
                <w:rFonts w:hint="eastAsia" w:ascii="仿宋" w:hAnsi="仿宋" w:eastAsia="仿宋" w:cs="仿宋"/>
                <w:caps/>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22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41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575"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1351"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c>
          <w:tcPr>
            <w:tcW w:w="2123" w:type="dxa"/>
            <w:vAlign w:val="center"/>
            <w:textDirection w:val="lrTb"/>
            <w:noWrap w:val="false"/>
          </w:tcPr>
          <w:p>
            <w:pPr>
              <w:jc w:val="center"/>
              <w:rPr>
                <w:rFonts w:hint="eastAsia" w:ascii="宋体" w:hAnsi="宋体" w:cs="宋体"/>
                <w:caps/>
                <w:sz w:val="24"/>
              </w:rPr>
            </w:pPr>
            <w:r>
              <w:rPr>
                <w:rFonts w:hint="eastAsia" w:ascii="宋体" w:hAnsi="宋体" w:cs="宋体"/>
                <w:caps/>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94"/>
        </w:trPr>
        <w:tc>
          <w:tcPr>
            <w:tcW w:w="8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2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5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3"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pageBreakBefore w:val="0"/>
        <w:spacing w:line="360" w:lineRule="auto"/>
        <w:rPr>
          <w:rFonts w:hint="eastAsia" w:ascii="仿宋" w:hAnsi="仿宋" w:eastAsia="仿宋" w:cs="仿宋"/>
          <w:highlight w:val="none"/>
        </w:rPr>
      </w:pPr>
      <w:r>
        <w:rPr>
          <w:rFonts w:hint="eastAsia" w:ascii="仿宋" w:hAnsi="仿宋" w:eastAsia="仿宋" w:cs="仿宋"/>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w:t>
      </w:r>
      <w:r/>
    </w:p>
    <w:p>
      <w:pPr>
        <w:ind w:firstLine="480"/>
        <w:pageBreakBefore w:val="0"/>
        <w:spacing w:before="240" w:after="240" w:line="360" w:lineRule="auto"/>
        <w:rPr>
          <w:rFonts w:hint="eastAsia"/>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34"/>
        <w:ind w:firstLine="472"/>
        <w:pageBreakBefore w:val="0"/>
        <w:spacing w:line="360" w:lineRule="auto"/>
        <w:rPr>
          <w:rFonts w:hint="eastAsia" w:ascii="仿宋" w:hAnsi="仿宋" w:eastAsia="仿宋" w:cs="仿宋"/>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日期：</w:t>
      </w:r>
      <w:r/>
    </w:p>
    <w:p>
      <w:pPr>
        <w:pStyle w:val="734"/>
        <w:jc w:val="left"/>
        <w:pageBreakBefore w:val="0"/>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43"/>
        <w:rPr>
          <w:rFonts w:hint="eastAsia" w:ascii="仿宋" w:hAnsi="仿宋" w:eastAsia="仿宋" w:cs="仿宋"/>
          <w:highlight w:val="none"/>
        </w:rPr>
      </w:pPr>
      <w:r>
        <w:rPr>
          <w:rFonts w:hint="eastAsia" w:ascii="仿宋" w:hAnsi="仿宋" w:eastAsia="仿宋" w:cs="仿宋"/>
          <w:highlight w:val="none"/>
        </w:rPr>
      </w:r>
      <w:r/>
    </w:p>
    <w:p>
      <w:pPr>
        <w:pStyle w:val="734"/>
        <w:numPr>
          <w:ilvl w:val="0"/>
          <w:numId w:val="0"/>
        </w:numPr>
        <w:jc w:val="center"/>
        <w:pageBreakBefore w:val="0"/>
        <w:spacing w:line="360" w:lineRule="auto"/>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6、主要材料（设备）一览表</w:t>
      </w:r>
      <w:r/>
    </w:p>
    <w:tbl>
      <w:tblPr>
        <w:tblStyle w:val="72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制造</w:t>
            </w:r>
            <w:r/>
          </w:p>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年份</w:t>
            </w:r>
            <w:r/>
          </w:p>
        </w:tc>
        <w:tc>
          <w:tcPr>
            <w:tcBorders>
              <w:top w:val="single" w:color="auto" w:sz="12" w:space="0"/>
              <w:bottom w:val="single" w:color="auto" w:sz="6" w:space="0"/>
            </w:tcBorders>
            <w:tcW w:w="1480"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生产</w:t>
            </w:r>
            <w:r/>
          </w:p>
          <w:p>
            <w:pPr>
              <w:ind w:left="63" w:right="63"/>
              <w:jc w:val="center"/>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能力</w:t>
            </w:r>
            <w:r/>
          </w:p>
        </w:tc>
        <w:tc>
          <w:tcPr>
            <w:tcBorders>
              <w:top w:val="single" w:color="auto" w:sz="12" w:space="0"/>
              <w:bottom w:val="single" w:color="auto" w:sz="6" w:space="0"/>
            </w:tcBorders>
            <w:tcW w:w="921" w:type="dxa"/>
            <w:vAlign w:val="center"/>
            <w:textDirection w:val="lrTb"/>
            <w:noWrap w:val="false"/>
          </w:tcPr>
          <w:p>
            <w:pPr>
              <w:ind w:left="63" w:right="63"/>
              <w:jc w:val="both"/>
              <w:keepNext/>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single" w:color="auto" w:sz="6" w:space="0"/>
              <w:bottom w:val="single" w:color="auto" w:sz="6"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Borders>
              <w:top w:val="none" w:color="000000" w:sz="4" w:space="0"/>
            </w:tcBorders>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Borders>
              <w:top w:val="none" w:color="000000" w:sz="4" w:space="0"/>
            </w:tcBorders>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1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5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58"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8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48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1020"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c>
          <w:tcPr>
            <w:tcW w:w="921" w:type="dxa"/>
            <w:vAlign w:val="center"/>
            <w:textDirection w:val="lrTb"/>
            <w:noWrap w:val="false"/>
          </w:tcPr>
          <w:p>
            <w:pPr>
              <w:ind w:left="63" w:right="63" w:firstLine="600"/>
              <w:jc w:val="both"/>
              <w:keepNext/>
              <w:spacing w:line="440" w:lineRule="exact"/>
              <w:widowControl w:val="off"/>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r>
        <w:trPr>
          <w:jc w:val="center"/>
          <w:trHeight w:val="567"/>
        </w:trPr>
        <w:tc>
          <w:tcPr>
            <w:tcW w:w="1162"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1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5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58"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8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48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1020"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c>
          <w:tcPr>
            <w:tcW w:w="921" w:type="dxa"/>
            <w:vAlign w:val="top"/>
            <w:textDirection w:val="lrTb"/>
            <w:noWrap w:val="false"/>
          </w:tcPr>
          <w:p>
            <w:pPr>
              <w:ind w:firstLine="600"/>
              <w:rPr>
                <w:rFonts w:ascii="宋体" w:hAnsi="宋体" w:cs="宋体"/>
                <w:color w:val="auto"/>
                <w:sz w:val="24"/>
                <w:szCs w:val="24"/>
              </w:rPr>
            </w:pPr>
            <w:r>
              <w:rPr>
                <w:rFonts w:ascii="宋体" w:hAnsi="宋体" w:cs="宋体"/>
                <w:color w:val="auto"/>
                <w:sz w:val="24"/>
                <w:szCs w:val="24"/>
              </w:rPr>
            </w:r>
            <w:r/>
          </w:p>
        </w:tc>
      </w:tr>
    </w:tbl>
    <w:p>
      <w:pPr>
        <w:pStyle w:val="731"/>
        <w:rPr>
          <w:rFonts w:hint="eastAsia"/>
          <w:lang w:val="en-US" w:eastAsia="zh-CN"/>
        </w:rPr>
      </w:pPr>
      <w:r>
        <w:rPr>
          <w:rFonts w:hint="eastAsia"/>
          <w:lang w:val="en-US" w:eastAsia="zh-CN"/>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7</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、承诺书</w:t>
      </w:r>
      <w:r/>
    </w:p>
    <w:p>
      <w:pPr>
        <w:pStyle w:val="734"/>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致：</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中瀛国际工程管理有限公司</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ascii="仿宋" w:hAnsi="仿宋" w:eastAsia="仿宋" w:cs="仿宋"/>
          <w:i w:val="0"/>
          <w:iCs w:val="0"/>
          <w:caps w:val="0"/>
          <w:color w:val="353535"/>
          <w:spacing w:val="0"/>
          <w:sz w:val="24"/>
          <w:szCs w:val="24"/>
          <w:shd w:val="clear" w:color="auto" w:fill="ffffff"/>
        </w:rPr>
        <w:t xml:space="preserve">江苏新沂经济开发区管理委员会</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根据贵方</w:t>
      </w:r>
      <w:r>
        <w:rPr>
          <w:rFonts w:hint="eastAsia" w:ascii="仿宋" w:hAnsi="仿宋" w:eastAsia="仿宋" w:cs="仿宋"/>
          <w:color w:val="000000" w:themeColor="text1"/>
          <w:sz w:val="24"/>
          <w:highlight w:val="none"/>
          <w:lang w:eastAsia="zh-CN"/>
          <w14:textFill>
            <w14:solidFill>
              <w14:schemeClr w14:val="tx1"/>
            </w14:solidFill>
          </w14:textFill>
        </w:rPr>
        <w:t xml:space="preserve">枫荷雅居消防改造工程</w:t>
      </w:r>
      <w:r>
        <w:rPr>
          <w:rFonts w:hint="eastAsia" w:ascii="仿宋" w:hAnsi="仿宋" w:eastAsia="仿宋" w:cs="仿宋"/>
          <w:color w:val="000000" w:themeColor="text1"/>
          <w:sz w:val="24"/>
          <w:highlight w:val="none"/>
          <w14:textFill>
            <w14:solidFill>
              <w14:schemeClr w14:val="tx1"/>
            </w14:solidFill>
          </w14:textFill>
        </w:rPr>
        <w:t xml:space="preserve">《竞争性磋商文件》（项目编号：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）要求，本供应商正式提交以下首次响应文件。</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2" o:spid="_x0000_s2"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承诺书；</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08" w:name="_Toc16644"/>
      <w:r/>
      <w:bookmarkStart w:id="109" w:name="_Toc30031"/>
      <w:r/>
      <w:bookmarkStart w:id="110" w:name="_Toc24561"/>
      <w:r/>
      <w:bookmarkStart w:id="111" w:name="_Toc18142"/>
      <w:r/>
      <w:bookmarkStart w:id="112" w:name="_Toc20543"/>
      <w:r>
        <w:rPr>
          <w:rFonts w:hint="eastAsia" w:ascii="仿宋" w:hAnsi="仿宋" w:eastAsia="仿宋" w:cs="仿宋"/>
          <w:color w:val="000000" w:themeColor="text1"/>
          <w:sz w:val="24"/>
          <w:highlight w:val="none"/>
          <w14:textFill>
            <w14:solidFill>
              <w14:schemeClr w14:val="tx1"/>
            </w14:solidFill>
          </w14:textFill>
        </w:rPr>
        <w:t xml:space="preserve">（2）磋商报价表；</w:t>
      </w:r>
      <w:bookmarkEnd w:id="108"/>
      <w:r/>
      <w:bookmarkEnd w:id="109"/>
      <w:r/>
      <w:bookmarkEnd w:id="110"/>
      <w:r/>
      <w:bookmarkEnd w:id="111"/>
      <w:r/>
      <w:bookmarkEnd w:id="112"/>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3" w:name="_Toc15322"/>
      <w:r/>
      <w:bookmarkStart w:id="114" w:name="_Toc27728"/>
      <w:r/>
      <w:bookmarkStart w:id="115" w:name="_Toc26005"/>
      <w:r/>
      <w:bookmarkStart w:id="116" w:name="_Toc8339"/>
      <w:r/>
      <w:bookmarkStart w:id="117" w:name="_Toc27515"/>
      <w:r>
        <w:rPr>
          <w:rFonts w:hint="eastAsia" w:ascii="仿宋" w:hAnsi="仿宋" w:eastAsia="仿宋" w:cs="仿宋"/>
          <w:color w:val="000000" w:themeColor="text1"/>
          <w:sz w:val="24"/>
          <w:highlight w:val="none"/>
          <w14:textFill>
            <w14:solidFill>
              <w14:schemeClr w14:val="tx1"/>
            </w14:solidFill>
          </w14:textFill>
        </w:rPr>
        <w:t xml:space="preserve">（3）偏离表；</w:t>
      </w:r>
      <w:bookmarkEnd w:id="113"/>
      <w:r/>
      <w:bookmarkEnd w:id="114"/>
      <w:r/>
      <w:bookmarkEnd w:id="115"/>
      <w:r/>
      <w:bookmarkEnd w:id="116"/>
      <w:r/>
      <w:bookmarkEnd w:id="117"/>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bookmarkStart w:id="118" w:name="_Toc10380"/>
      <w:r/>
      <w:bookmarkStart w:id="119" w:name="_Toc1135"/>
      <w:r/>
      <w:bookmarkStart w:id="120" w:name="_Toc22961"/>
      <w:r/>
      <w:bookmarkStart w:id="121" w:name="_Toc30830"/>
      <w:r/>
      <w:bookmarkStart w:id="122" w:name="_Toc2652"/>
      <w:r>
        <w:rPr>
          <w:rFonts w:hint="eastAsia" w:ascii="仿宋" w:hAnsi="仿宋" w:eastAsia="仿宋" w:cs="仿宋"/>
          <w:color w:val="000000" w:themeColor="text1"/>
          <w:sz w:val="24"/>
          <w:highlight w:val="none"/>
          <w14:textFill>
            <w14:solidFill>
              <w14:schemeClr w14:val="tx1"/>
            </w14:solidFill>
          </w14:textFill>
        </w:rPr>
        <w:t xml:space="preserve">（4）磋商文件要求提供的其他响应文件。</w:t>
      </w:r>
      <w:bookmarkEnd w:id="118"/>
      <w:r/>
      <w:bookmarkEnd w:id="119"/>
      <w:r/>
      <w:bookmarkEnd w:id="120"/>
      <w:r/>
      <w:bookmarkEnd w:id="121"/>
      <w:r/>
      <w:bookmarkEnd w:id="122"/>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供应商兹宣布同意如下: </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五、投标有效期为</w:t>
      </w:r>
      <w:r>
        <w:rPr>
          <w:rFonts w:hint="eastAsia" w:ascii="仿宋" w:hAnsi="仿宋" w:eastAsia="仿宋" w:cs="仿宋"/>
          <w:color w:val="000000" w:themeColor="text1"/>
          <w:sz w:val="24"/>
          <w:highlight w:val="none"/>
          <w:u w:val="single"/>
          <w14:textFill>
            <w14:solidFill>
              <w14:schemeClr w14:val="tx1"/>
            </w14:solidFill>
          </w14:textFill>
        </w:rPr>
        <w:t xml:space="preserve">45</w:t>
      </w:r>
      <w:r>
        <w:rPr>
          <w:rFonts w:hint="eastAsia" w:ascii="仿宋" w:hAnsi="仿宋" w:eastAsia="仿宋" w:cs="仿宋"/>
          <w:color w:val="000000" w:themeColor="text1"/>
          <w:sz w:val="24"/>
          <w:highlight w:val="none"/>
          <w14:textFill>
            <w14:solidFill>
              <w14:schemeClr w14:val="tx1"/>
            </w14:solidFill>
          </w14:textFill>
        </w:rPr>
        <w:t xml:space="preserve">日。</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outlineLvl w:val="2"/>
      </w:pPr>
      <w:r>
        <w:rPr>
          <w:rFonts w:hint="eastAsia" w:ascii="仿宋" w:hAnsi="仿宋" w:eastAsia="仿宋" w:cs="仿宋"/>
          <w:color w:val="000000" w:themeColor="text1"/>
          <w:sz w:val="24"/>
          <w:highlight w:val="none"/>
          <w14:textFill>
            <w14:solidFill>
              <w14:schemeClr w14:val="tx1"/>
            </w14:solidFill>
          </w14:textFill>
        </w:rPr>
        <w:t xml:space="preserve">七、完全理解贵方不一定要接受最低的报价或收到的任何报价。</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八、</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中瀛国际工程管理有限公司</w:t>
      </w:r>
      <w:r>
        <w:rPr>
          <w:rFonts w:hint="eastAsia" w:ascii="仿宋" w:hAnsi="仿宋" w:eastAsia="仿宋" w:cs="仿宋"/>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中瀛国际工程管理有限公司</w:t>
      </w:r>
      <w:r>
        <w:rPr>
          <w:rFonts w:hint="eastAsia" w:ascii="仿宋" w:hAnsi="仿宋" w:eastAsia="仿宋" w:cs="仿宋"/>
          <w:color w:val="000000" w:themeColor="text1"/>
          <w:sz w:val="24"/>
          <w:highlight w:val="none"/>
          <w14:textFill>
            <w14:solidFill>
              <w14:schemeClr w14:val="tx1"/>
            </w14:solidFill>
          </w14:textFill>
        </w:rPr>
        <w:t xml:space="preserve">确定。</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十、同意按照有关规定</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在领取</w:t>
      </w:r>
      <w:r>
        <w:rPr>
          <w:rFonts w:hint="eastAsia" w:ascii="仿宋" w:hAnsi="仿宋" w:eastAsia="仿宋" w:cs="仿宋"/>
          <w:color w:val="000000" w:themeColor="text1"/>
          <w:sz w:val="24"/>
          <w:highlight w:val="none"/>
          <w:lang w:eastAsia="zh-CN"/>
          <w14:textFill>
            <w14:solidFill>
              <w14:schemeClr w14:val="tx1"/>
            </w14:solidFill>
          </w14:textFill>
        </w:rPr>
        <w:t xml:space="preserve">成交（中标）通知书</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前一次性向中瀛国际工程管理有限公司</w:t>
      </w:r>
      <w:r>
        <w:rPr>
          <w:rFonts w:hint="eastAsia" w:ascii="仿宋" w:hAnsi="仿宋" w:eastAsia="仿宋" w:cs="仿宋"/>
          <w:color w:val="000000" w:themeColor="text1"/>
          <w:sz w:val="24"/>
          <w:highlight w:val="none"/>
          <w14:textFill>
            <w14:solidFill>
              <w14:schemeClr w14:val="tx1"/>
            </w14:solidFill>
          </w14:textFill>
        </w:rPr>
        <w:t xml:space="preserve">支付代理服务费。</w:t>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72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80"/>
        <w:keepLines w:val="0"/>
        <w:keepNext w:val="0"/>
        <w:pageBreakBefore w:val="0"/>
        <w:spacing w:line="24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3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3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3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联系电话：</w:t>
      </w:r>
      <w:r/>
    </w:p>
    <w:p>
      <w:pPr>
        <w:pStyle w:val="734"/>
        <w:ind w:firstLine="472"/>
        <w:keepLines w:val="0"/>
        <w:keepNext w:val="0"/>
        <w:pageBreakBefore w:val="0"/>
        <w:spacing w:line="240" w:lineRule="auto"/>
        <w:widowControl/>
        <w:rPr>
          <w:rFonts w:hint="eastAsia" w:ascii="仿宋" w:hAnsi="仿宋" w:eastAsia="仿宋" w:cs="仿宋"/>
          <w:color w:val="000000" w:themeColor="text1"/>
          <w:sz w:val="24"/>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34"/>
        <w:ind w:firstLine="472"/>
        <w:keepLines w:val="0"/>
        <w:keepNext w:val="0"/>
        <w:pageBreakBefore w:val="0"/>
        <w:spacing w:line="240" w:lineRule="auto"/>
        <w:widowControl/>
        <w:rPr>
          <w:rFonts w:hint="eastAsia" w:ascii="仿宋" w:hAnsi="仿宋" w:eastAsia="仿宋" w:cs="仿宋"/>
          <w:color w:val="000000" w:themeColor="text1"/>
          <w:highlight w:val="none"/>
          <w14:textFill>
            <w14:solidFill>
              <w14:schemeClr w14:val="tx1"/>
            </w14:solidFill>
          </w14:textFill>
        </w:rPr>
        <w:outlineLvl w:val="9"/>
      </w:pPr>
      <w:r>
        <w:rPr>
          <w:rFonts w:hint="eastAsia" w:ascii="仿宋" w:hAnsi="仿宋" w:eastAsia="仿宋" w:cs="仿宋"/>
          <w:color w:val="000000" w:themeColor="text1"/>
          <w:sz w:val="24"/>
          <w:highlight w:val="none"/>
          <w14:textFill>
            <w14:solidFill>
              <w14:schemeClr w14:val="tx1"/>
            </w14:solidFill>
          </w14:textFill>
        </w:rPr>
        <w:t xml:space="preserve">日期：</w:t>
      </w:r>
      <w:r/>
    </w:p>
    <w:p>
      <w:pPr>
        <w:pStyle w:val="734"/>
        <w:jc w:val="center"/>
        <w:pageBreakBefore w:val="0"/>
        <w:spacing w:line="360" w:lineRule="auto"/>
        <w:widowControl/>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widowControl/>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5"/>
        <w:rPr>
          <w:rFonts w:hint="eastAsia"/>
        </w:rPr>
      </w:pPr>
      <w:r>
        <w:rPr>
          <w:rFonts w:hint="eastAsia"/>
        </w:rPr>
      </w:r>
      <w:r/>
    </w:p>
    <w:p>
      <w:pPr>
        <w:pStyle w:val="734"/>
        <w:jc w:val="center"/>
        <w:pageBreakBefore w:val="0"/>
        <w:spacing w:line="360" w:lineRule="auto"/>
        <w:widowControl/>
        <w:rPr>
          <w:rFonts w:hint="eastAsia" w:ascii="仿宋" w:hAnsi="仿宋" w:eastAsia="仿宋" w:cs="仿宋"/>
          <w:b/>
          <w:color w:val="000000" w:themeColor="text1"/>
          <w:sz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8</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、法人授权委托书</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委托人（全称）：</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地  址：</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               </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法人营业执照注册号（统一社会信用代码）：</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                  先生（女士）  </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联系电话：                     </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身份证号：</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兹委托（           ）全权代表我企业（公司）参与</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枫荷雅居消防改造工程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委托期限自     年   月  日起至    年   月   日止。</w:t>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委托人（</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法定代表人（签字）：</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受托人（签字）：</w:t>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法定代表人、</w:t>
      </w:r>
      <w:r>
        <w:rPr>
          <w:rFonts w:hint="eastAsia" w:ascii="仿宋" w:hAnsi="仿宋" w:eastAsia="仿宋" w:cs="仿宋"/>
          <w:color w:val="000000" w:themeColor="text1"/>
          <w:sz w:val="24"/>
          <w:highlight w:val="none"/>
          <w14:textFill>
            <w14:solidFill>
              <w14:schemeClr w14:val="tx1"/>
            </w14:solidFill>
          </w14:textFill>
        </w:rPr>
        <w:t xml:space="preserve">受托人身份证正反面附后（加盖电子章）)</w:t>
      </w:r>
      <w:r/>
    </w:p>
    <w:p>
      <w:pPr>
        <w:pStyle w:val="732"/>
        <w:rPr>
          <w:rFonts w:hint="eastAsia" w:ascii="仿宋" w:hAnsi="仿宋" w:eastAsia="仿宋" w:cs="仿宋"/>
          <w:highlight w:val="none"/>
        </w:rPr>
      </w:pPr>
      <w:r>
        <w:rPr>
          <w:rFonts w:hint="eastAsia" w:ascii="仿宋" w:hAnsi="仿宋" w:eastAsia="仿宋" w:cs="仿宋"/>
          <w:highlight w:val="none"/>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9</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、供应商参加政府采购活动前3年内在经营活动中没有重大违法记录的书面声明</w:t>
      </w:r>
      <w:r/>
    </w:p>
    <w:p>
      <w:pPr>
        <w:pStyle w:val="73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我单位在参加</w:t>
      </w:r>
      <w:r>
        <w:rPr>
          <w:rFonts w:hint="eastAsia" w:ascii="仿宋" w:hAnsi="仿宋" w:eastAsia="仿宋" w:cs="仿宋"/>
          <w:color w:val="000000" w:themeColor="text1"/>
          <w:sz w:val="24"/>
          <w:highlight w:val="none"/>
          <w:lang w:eastAsia="zh-CN"/>
          <w14:textFill>
            <w14:solidFill>
              <w14:schemeClr w14:val="tx1"/>
            </w14:solidFill>
          </w14:textFill>
        </w:rPr>
        <w:t xml:space="preserve">枫荷雅居消防改造工程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3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w:t>
      </w:r>
      <w:r/>
    </w:p>
    <w:p>
      <w:pPr>
        <w:pStyle w:val="73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3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2"/>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27"/>
        <w:rPr>
          <w:rFonts w:hint="eastAsia" w:ascii="仿宋" w:hAnsi="仿宋" w:eastAsia="仿宋" w:cs="仿宋"/>
          <w:highlight w:val="none"/>
        </w:rPr>
        <w:outlineLvl w:val="9"/>
      </w:pPr>
      <w:r>
        <w:rPr>
          <w:rFonts w:hint="eastAsia" w:ascii="仿宋" w:hAnsi="仿宋" w:eastAsia="仿宋" w:cs="仿宋"/>
          <w:highlight w:val="none"/>
        </w:rPr>
      </w:r>
      <w:r/>
    </w:p>
    <w:p>
      <w:pPr>
        <w:pStyle w:val="730"/>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1"/>
        <w:rPr>
          <w:rFonts w:hint="eastAsia"/>
        </w:rPr>
      </w:pPr>
      <w:r>
        <w:rPr>
          <w:rFonts w:hint="eastAsia"/>
        </w:rPr>
      </w:r>
      <w:r/>
    </w:p>
    <w:p>
      <w:pPr>
        <w:pStyle w:val="730"/>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10</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 具备履行合同所必需的设备和专业技术能力的书面声明</w:t>
      </w:r>
      <w:r/>
    </w:p>
    <w:p>
      <w:pPr>
        <w:pStyle w:val="73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pageBreakBefore w:val="0"/>
        <w:spacing w:line="360" w:lineRule="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枫荷雅居消防改造工程</w:t>
      </w:r>
      <w:r/>
    </w:p>
    <w:p>
      <w:pPr>
        <w:pStyle w:val="730"/>
        <w:pageBreakBefore w:val="0"/>
        <w:spacing w:line="360" w:lineRule="auto"/>
        <w:rPr>
          <w:rFonts w:hint="default"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p>
    <w:p>
      <w:pPr>
        <w:pStyle w:val="73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highlight w:val="none"/>
          <w:u w:val="single"/>
          <w:lang w:eastAsia="zh-CN"/>
          <w14:textFill>
            <w14:solidFill>
              <w14:schemeClr w14:val="tx1"/>
            </w14:solidFill>
          </w14:textFill>
        </w:rPr>
        <w:t xml:space="preserve">枫荷雅居消防改造工程</w:t>
      </w:r>
      <w:r>
        <w:rPr>
          <w:rFonts w:hint="eastAsia" w:ascii="仿宋" w:hAnsi="仿宋" w:eastAsia="仿宋" w:cs="仿宋"/>
          <w:color w:val="000000" w:themeColor="text1"/>
          <w:sz w:val="24"/>
          <w:highlight w:val="none"/>
          <w14:textFill>
            <w14:solidFill>
              <w14:schemeClr w14:val="tx1"/>
            </w14:solidFill>
          </w14:textFill>
        </w:rPr>
        <w:t xml:space="preserve">，项目编号：</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）所必需的设备和专业技术能力。</w:t>
      </w:r>
      <w:r/>
    </w:p>
    <w:p>
      <w:pPr>
        <w:pStyle w:val="73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特此声明。</w:t>
      </w:r>
      <w:r/>
    </w:p>
    <w:p>
      <w:pPr>
        <w:pStyle w:val="730"/>
        <w:ind w:firstLine="480"/>
        <w:pageBreakBefore w:val="0"/>
        <w:spacing w:line="360" w:lineRule="auto"/>
        <w:widowControl w:val="off"/>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我单位对上述声明的真实性负责。如有虚假，将依法承担相应责任。</w:t>
      </w:r>
      <w:r/>
    </w:p>
    <w:p>
      <w:pPr>
        <w:pStyle w:val="73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ind w:firstLine="300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w:t>
      </w:r>
      <w:r/>
    </w:p>
    <w:p>
      <w:pPr>
        <w:pStyle w:val="734"/>
        <w:ind w:firstLine="31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34"/>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b/>
          <w:color w:val="000000" w:themeColor="text1"/>
          <w:sz w:val="24"/>
          <w:highlight w:val="none"/>
          <w14:textFill>
            <w14:solidFill>
              <w14:schemeClr w14:val="tx1"/>
            </w14:solidFill>
          </w14:textFill>
        </w:rPr>
        <w:br w:type="page" w:clear="all"/>
      </w: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11</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、中小企业声明函</w:t>
      </w:r>
      <w:r/>
    </w:p>
    <w:p>
      <w:pPr>
        <w:pStyle w:val="734"/>
        <w:ind w:firstLine="480"/>
        <w:pageBreakBefore w:val="0"/>
        <w:spacing w:before="292"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3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szCs w:val="24"/>
          <w:highlight w:val="none"/>
          <w:u w:val="single"/>
        </w:rPr>
        <w:t xml:space="preserve">（</w:t>
      </w:r>
      <w:r>
        <w:rPr>
          <w:rFonts w:ascii="仿宋" w:hAnsi="仿宋" w:eastAsia="仿宋" w:cs="仿宋"/>
          <w:i w:val="0"/>
          <w:iCs w:val="0"/>
          <w:caps w:val="0"/>
          <w:color w:val="353535"/>
          <w:spacing w:val="0"/>
          <w:sz w:val="24"/>
          <w:szCs w:val="24"/>
          <w:u w:val="single"/>
          <w:shd w:val="clear" w:color="auto" w:fill="ffffff"/>
        </w:rPr>
        <w:t xml:space="preserve">江苏新沂经济开发区管理委员会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枫荷雅居消防改造工程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采购活动，工程的施工单位全部为符合政策要求的中小企业。相关企业的具体情况如下：</w:t>
      </w:r>
      <w:r/>
    </w:p>
    <w:p>
      <w:pPr>
        <w:pStyle w:val="73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枫荷雅居消防改造工程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万元，属于（□中型企业、□小型企业、□微型企业，请勾选）；</w:t>
      </w:r>
      <w:r/>
    </w:p>
    <w:p>
      <w:pPr>
        <w:pStyle w:val="73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734"/>
        <w:ind w:firstLine="480"/>
        <w:spacing w:line="360" w:lineRule="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734"/>
        <w:ind w:firstLine="60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w:t>
      </w:r>
      <w:r>
        <w:rPr>
          <w:rFonts w:hint="eastAsia" w:ascii="仿宋" w:hAnsi="仿宋" w:eastAsia="仿宋" w:cs="仿宋"/>
          <w:color w:val="auto"/>
          <w:sz w:val="24"/>
          <w:szCs w:val="24"/>
          <w:highlight w:val="none"/>
          <w:lang w:val="en-US" w:eastAsia="zh-CN"/>
        </w:rPr>
        <w:t xml:space="preserve">电子签章</w:t>
      </w:r>
      <w:r>
        <w:rPr>
          <w:rFonts w:hint="eastAsia" w:ascii="仿宋" w:hAnsi="仿宋" w:eastAsia="仿宋" w:cs="仿宋"/>
          <w:color w:val="auto"/>
          <w:sz w:val="24"/>
          <w:szCs w:val="24"/>
          <w:highlight w:val="none"/>
        </w:rPr>
        <w:t xml:space="preserve">）：</w:t>
      </w:r>
      <w:r/>
    </w:p>
    <w:p>
      <w:pPr>
        <w:pStyle w:val="734"/>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 年  月  日</w:t>
      </w:r>
      <w:r/>
    </w:p>
    <w:p>
      <w:pPr>
        <w:pStyle w:val="74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3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34"/>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eastAsia" w:ascii="仿宋" w:hAnsi="仿宋" w:eastAsia="仿宋" w:cs="仿宋"/>
          <w:sz w:val="21"/>
          <w:szCs w:val="24"/>
          <w:highlight w:val="none"/>
          <w:lang w:val="en-US" w:eastAsia="zh-CN" w:bidi="ar-SA"/>
        </w:rPr>
        <w:outlineLvl w:val="1"/>
      </w:pPr>
      <w:r>
        <w:rPr>
          <w:rFonts w:hint="eastAsia" w:ascii="仿宋" w:hAnsi="仿宋" w:eastAsia="仿宋" w:cs="仿宋"/>
          <w:b/>
          <w:color w:val="auto"/>
          <w:sz w:val="24"/>
          <w:szCs w:val="24"/>
          <w:highlight w:val="none"/>
          <w:lang w:val="en-US" w:eastAsia="zh-CN" w:bidi="ar-SA"/>
        </w:rPr>
        <w:t xml:space="preserve">        2、采购人确定的采购项目属性：工程。</w:t>
      </w:r>
      <w:r/>
    </w:p>
    <w:p>
      <w:pPr>
        <w:pStyle w:val="732"/>
        <w:rPr>
          <w:rFonts w:hint="eastAsia" w:ascii="仿宋" w:hAnsi="仿宋" w:eastAsia="仿宋" w:cs="仿宋"/>
          <w:highlight w:val="none"/>
        </w:rPr>
      </w:pPr>
      <w:r>
        <w:rPr>
          <w:rFonts w:hint="eastAsia" w:ascii="仿宋" w:hAnsi="仿宋" w:eastAsia="仿宋" w:cs="仿宋"/>
          <w:highlight w:val="none"/>
        </w:rPr>
      </w:r>
      <w:r/>
    </w:p>
    <w:p>
      <w:pPr>
        <w:pStyle w:val="743"/>
        <w:ind w:left="0" w:firstLine="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pageBreakBefore w:val="0"/>
        <w:spacing w:line="360" w:lineRule="auto"/>
        <w:widowControl/>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62"/>
        <w:jc w:val="both"/>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outlineLvl w:val="9"/>
      </w:pPr>
      <w:r/>
      <w:bookmarkStart w:id="123" w:name="_Toc369"/>
      <w:r/>
      <w:bookmarkStart w:id="124" w:name="_Toc8932"/>
      <w:r/>
      <w:bookmarkStart w:id="125" w:name="_Toc20052"/>
      <w:r/>
      <w:bookmarkStart w:id="126" w:name="_Toc16442"/>
      <w:r/>
      <w:bookmarkStart w:id="127" w:name="_Toc28289"/>
      <w:r/>
      <w:bookmarkStart w:id="128" w:name="_Toc14588"/>
      <w:r/>
      <w:bookmarkStart w:id="129" w:name="_Toc20404"/>
      <w:r/>
      <w:r/>
    </w:p>
    <w:p>
      <w:pPr>
        <w:pStyle w:val="962"/>
        <w:jc w:val="center"/>
        <w:keepLines w:val="0"/>
        <w:keepNext w:val="0"/>
        <w:pageBreakBefore w:val="0"/>
        <w:spacing w:before="0" w:after="210" w:line="360" w:lineRule="auto"/>
        <w:shd w:val="clear" w:color="auto" w:fill="ffffff"/>
        <w:widowControl/>
        <w:rPr>
          <w:rFonts w:hint="eastAsia" w:ascii="仿宋" w:hAnsi="仿宋" w:eastAsia="仿宋" w:cs="仿宋"/>
          <w:color w:val="000000" w:themeColor="text1"/>
          <w:spacing w:val="8"/>
          <w:sz w:val="33"/>
          <w:szCs w:val="33"/>
          <w:highlight w:val="none"/>
          <w14:textFill>
            <w14:solidFill>
              <w14:schemeClr w14:val="tx1"/>
            </w14:solidFill>
          </w14:textFill>
        </w:rPr>
        <w:outlineLvl w:val="2"/>
      </w:pPr>
      <w:r>
        <w:rPr>
          <w:rFonts w:hint="eastAsia" w:ascii="仿宋" w:hAnsi="仿宋" w:eastAsia="仿宋" w:cs="仿宋"/>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23"/>
      <w:r/>
      <w:bookmarkEnd w:id="124"/>
      <w:r/>
      <w:bookmarkEnd w:id="125"/>
      <w:r/>
      <w:bookmarkEnd w:id="126"/>
      <w:r/>
      <w:bookmarkEnd w:id="127"/>
      <w:r/>
      <w:bookmarkEnd w:id="128"/>
      <w:r/>
      <w:bookmarkEnd w:id="129"/>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2"/>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2" o:title=""/>
              </v:shape>
            </w:pict>
          </mc:Fallback>
        </mc:AlternateContent>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8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Fonts w:hint="eastAsia" w:ascii="仿宋" w:hAnsi="仿宋" w:eastAsia="仿宋" w:cs="仿宋"/>
          <w:color w:val="000000" w:themeColor="text1"/>
          <w:sz w:val="24"/>
          <w:szCs w:val="24"/>
          <w:highlight w:val="none"/>
          <w14:textFill>
            <w14:solidFill>
              <w14:schemeClr w14:val="tx1"/>
            </w14:solidFill>
          </w14:textFill>
        </w:rPr>
      </w:r>
      <w:r/>
    </w:p>
    <w:p>
      <w:pPr>
        <w:pStyle w:val="734"/>
        <w:jc w:val="center"/>
        <w:pageBreakBefore w:val="0"/>
        <w:spacing w:line="360" w:lineRule="auto"/>
        <w:rPr>
          <w:rStyle w:val="943"/>
          <w:rFonts w:hint="eastAsia" w:ascii="仿宋" w:hAnsi="仿宋" w:eastAsia="仿宋" w:cs="仿宋"/>
          <w:color w:val="000000" w:themeColor="text1"/>
          <w:sz w:val="24"/>
          <w:szCs w:val="24"/>
          <w:highlight w:val="none"/>
          <w14:textFill>
            <w14:solidFill>
              <w14:schemeClr w14:val="tx1"/>
            </w14:solidFill>
          </w14:textFill>
        </w:rPr>
        <w:outlineLvl w:val="1"/>
      </w:pPr>
      <w:r>
        <w:rPr>
          <w:rStyle w:val="943"/>
          <w:rFonts w:hint="eastAsia" w:ascii="仿宋" w:hAnsi="仿宋" w:eastAsia="仿宋" w:cs="仿宋"/>
          <w:color w:val="000000" w:themeColor="text1"/>
          <w:sz w:val="24"/>
          <w:szCs w:val="24"/>
          <w:highlight w:val="none"/>
          <w14:textFill>
            <w14:solidFill>
              <w14:schemeClr w14:val="tx1"/>
            </w14:solidFill>
          </w14:textFill>
        </w:rPr>
        <w:t xml:space="preserve">1</w:t>
      </w:r>
      <w:r>
        <w:rPr>
          <w:rStyle w:val="943"/>
          <w:rFonts w:hint="eastAsia" w:ascii="仿宋" w:hAnsi="仿宋" w:eastAsia="仿宋" w:cs="仿宋"/>
          <w:color w:val="000000" w:themeColor="text1"/>
          <w:sz w:val="24"/>
          <w:szCs w:val="24"/>
          <w:highlight w:val="none"/>
          <w:lang w:val="en-US"/>
          <w14:textFill>
            <w14:solidFill>
              <w14:schemeClr w14:val="tx1"/>
            </w14:solidFill>
          </w14:textFill>
        </w:rPr>
        <w:t xml:space="preserve">2</w:t>
      </w:r>
      <w:r>
        <w:rPr>
          <w:rStyle w:val="943"/>
          <w:rFonts w:hint="eastAsia" w:ascii="仿宋" w:hAnsi="仿宋" w:eastAsia="仿宋" w:cs="仿宋"/>
          <w:color w:val="000000" w:themeColor="text1"/>
          <w:sz w:val="24"/>
          <w:szCs w:val="24"/>
          <w:highlight w:val="none"/>
          <w14:textFill>
            <w14:solidFill>
              <w14:schemeClr w14:val="tx1"/>
            </w14:solidFill>
          </w14:textFill>
        </w:rPr>
        <w:t xml:space="preserve">、残疾人福利性单位声明函</w:t>
      </w:r>
      <w:r/>
    </w:p>
    <w:p>
      <w:pPr>
        <w:pStyle w:val="734"/>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项目名称：</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项目编号：</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单位的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34"/>
        <w:ind w:firstLine="72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本单位对上述声明的真实性负责。如有虚假，将依法承担相应责任。</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电子签章</w:t>
      </w:r>
      <w:r>
        <w:rPr>
          <w:rFonts w:hint="eastAsia" w:ascii="仿宋" w:hAnsi="仿宋" w:eastAsia="仿宋" w:cs="仿宋"/>
          <w:color w:val="000000" w:themeColor="text1"/>
          <w:sz w:val="24"/>
          <w:highlight w:val="none"/>
          <w14:textFill>
            <w14:solidFill>
              <w14:schemeClr w14:val="tx1"/>
            </w14:solidFill>
          </w14:textFill>
        </w:rPr>
        <w:t xml:space="preserve">）</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法定代表人(负责人)或授权代表（签字或盖章）  </w:t>
      </w:r>
      <w:r/>
    </w:p>
    <w:p>
      <w:pPr>
        <w:pStyle w:val="734"/>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p>
    <w:p>
      <w:pPr>
        <w:pStyle w:val="734"/>
        <w:ind w:firstLine="472"/>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日期：   年  月  日</w:t>
      </w:r>
      <w:r/>
    </w:p>
    <w:p>
      <w:pPr>
        <w:pStyle w:val="734"/>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jc w:val="left"/>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4"/>
        <w:jc w:val="center"/>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730"/>
        <w:ind w:firstLine="496"/>
        <w:pageBreakBefore w:val="0"/>
        <w:spacing w:line="360" w:lineRule="auto"/>
        <w:rPr>
          <w:rFonts w:hint="eastAsia" w:ascii="仿宋" w:hAnsi="仿宋" w:eastAsia="仿宋" w:cs="仿宋"/>
          <w:b/>
          <w:color w:val="000000" w:themeColor="text1"/>
          <w:spacing w:val="6"/>
          <w:sz w:val="24"/>
          <w:highlight w:val="none"/>
          <w14:textFill>
            <w14:solidFill>
              <w14:schemeClr w14:val="tx1"/>
            </w14:solidFill>
          </w14:textFill>
        </w:rPr>
      </w:pPr>
      <w:r>
        <w:rPr>
          <w:rFonts w:hint="eastAsia" w:ascii="仿宋" w:hAnsi="仿宋" w:eastAsia="仿宋" w:cs="仿宋"/>
          <w:b/>
          <w:color w:val="000000" w:themeColor="text1"/>
          <w:spacing w:val="6"/>
          <w:sz w:val="24"/>
          <w:highlight w:val="none"/>
          <w14:textFill>
            <w14:solidFill>
              <w14:schemeClr w14:val="tx1"/>
            </w14:solidFill>
          </w14:textFill>
        </w:rPr>
        <w:t xml:space="preserve">说明：</w:t>
      </w:r>
      <w:r/>
    </w:p>
    <w:p>
      <w:pPr>
        <w:pStyle w:val="730"/>
        <w:ind w:firstLine="480"/>
        <w:pageBreakBefore w:val="0"/>
        <w:spacing w:line="360"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6"/>
          <w:sz w:val="24"/>
          <w:highlight w:val="none"/>
          <w14:textFill>
            <w14:solidFill>
              <w14:schemeClr w14:val="tx1"/>
            </w14:solidFill>
          </w14:textFill>
        </w:rPr>
        <w:t xml:space="preserve">1、</w:t>
      </w:r>
      <w:r>
        <w:rPr>
          <w:rFonts w:hint="eastAsia" w:ascii="仿宋" w:hAnsi="仿宋" w:eastAsia="仿宋" w:cs="仿宋"/>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782"/>
        <w:ind w:left="0" w:right="6"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outlineLvl w:val="1"/>
      </w:pPr>
      <w:r>
        <w:rPr>
          <w:rFonts w:hint="eastAsia" w:ascii="仿宋" w:hAnsi="仿宋" w:eastAsia="仿宋" w:cs="仿宋"/>
          <w:color w:val="000000" w:themeColor="text1"/>
          <w:sz w:val="24"/>
          <w:highlight w:val="none"/>
          <w14:textFill>
            <w14:solidFill>
              <w14:schemeClr w14:val="tx1"/>
            </w14:solidFill>
          </w14:textFill>
        </w:rPr>
        <w:br w:type="page" w:clear="all"/>
      </w:r>
      <w:r>
        <w:rPr>
          <w:rFonts w:hint="eastAsia" w:ascii="仿宋" w:hAnsi="仿宋" w:eastAsia="仿宋" w:cs="仿宋"/>
          <w:b/>
          <w:color w:val="000000" w:themeColor="text1"/>
          <w:sz w:val="24"/>
          <w:highlight w:val="none"/>
          <w14:textFill>
            <w14:solidFill>
              <w14:schemeClr w14:val="tx1"/>
            </w14:solidFill>
          </w14:textFill>
        </w:rPr>
        <w:t xml:space="preserve">1</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3</w:t>
      </w:r>
      <w:r>
        <w:rPr>
          <w:rFonts w:hint="eastAsia" w:ascii="仿宋" w:hAnsi="仿宋" w:eastAsia="仿宋" w:cs="仿宋"/>
          <w:b/>
          <w:color w:val="000000" w:themeColor="text1"/>
          <w:sz w:val="24"/>
          <w:highlight w:val="none"/>
          <w14:textFill>
            <w14:solidFill>
              <w14:schemeClr w14:val="tx1"/>
            </w14:solidFill>
          </w14:textFill>
        </w:rPr>
        <w:t xml:space="preserve">、技术方案</w:t>
      </w:r>
      <w:r/>
    </w:p>
    <w:p>
      <w:pPr>
        <w:pStyle w:val="782"/>
        <w:ind w:left="0" w:firstLine="0"/>
        <w:jc w:val="center"/>
        <w:pageBreakBefore w:val="0"/>
        <w:spacing w:line="360" w:lineRule="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r>
      <w:r/>
    </w:p>
    <w:p>
      <w:pPr>
        <w:pStyle w:val="73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2"/>
        <w:ind w:left="0" w:firstLine="0"/>
        <w:jc w:val="center"/>
        <w:pageBreakBefore w:val="0"/>
        <w:spacing w:line="360" w:lineRule="auto"/>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782"/>
        <w:ind w:left="0" w:firstLine="0"/>
        <w:jc w:val="center"/>
        <w:pageBreakBefore w:val="0"/>
        <w:spacing w:line="360" w:lineRule="auto"/>
        <w:rPr>
          <w:rFonts w:hint="eastAsia" w:ascii="仿宋" w:hAnsi="仿宋" w:eastAsia="仿宋" w:cs="仿宋"/>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418" w:right="1474" w:bottom="1701" w:left="1588" w:header="851" w:footer="1418" w:gutter="0"/>
          <w:pgNumType w:start="1"/>
          <w:cols w:num="1" w:sep="0" w:space="720" w:equalWidth="1"/>
          <w:docGrid w:linePitch="360"/>
        </w:sectPr>
      </w:pPr>
      <w:r>
        <w:rPr>
          <w:rFonts w:hint="eastAsia" w:ascii="仿宋" w:hAnsi="仿宋" w:eastAsia="仿宋" w:cs="仿宋"/>
          <w:bCs/>
          <w:color w:val="000000" w:themeColor="text1"/>
          <w:sz w:val="24"/>
          <w:szCs w:val="24"/>
          <w:highlight w:val="none"/>
          <w14:textFill>
            <w14:solidFill>
              <w14:schemeClr w14:val="tx1"/>
            </w14:solidFill>
          </w14:textFill>
        </w:rPr>
        <w:t xml:space="preserve">（格式自拟</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要求见本文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附件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《评分细则》</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734"/>
        <w:numPr>
          <w:ilvl w:val="0"/>
          <w:numId w:val="0"/>
        </w:numPr>
        <w:ind w:left="0" w:firstLine="0"/>
        <w:jc w:val="center"/>
        <w:pageBreakBefore w:val="0"/>
        <w:spacing w:line="360" w:lineRule="auto"/>
        <w:rPr>
          <w:rFonts w:hint="eastAsia" w:ascii="仿宋" w:hAnsi="仿宋" w:eastAsia="仿宋" w:cs="仿宋"/>
          <w:b/>
          <w:color w:val="000000" w:themeColor="text1"/>
          <w:sz w:val="24"/>
          <w:szCs w:val="20"/>
          <w:highlight w:val="none"/>
          <w14:textFill>
            <w14:solidFill>
              <w14:schemeClr w14:val="tx1"/>
            </w14:solidFill>
          </w14:textFill>
        </w:rPr>
        <w:outlineLvl w:val="1"/>
      </w:pPr>
      <w:r>
        <w:rPr>
          <w:rFonts w:hint="eastAsia" w:ascii="仿宋" w:hAnsi="仿宋" w:eastAsia="仿宋" w:cs="仿宋"/>
          <w:b/>
          <w:color w:val="000000" w:themeColor="text1"/>
          <w:sz w:val="24"/>
          <w:szCs w:val="20"/>
          <w:highlight w:val="none"/>
          <w:lang w:val="en-US" w:eastAsia="zh-CN"/>
          <w14:textFill>
            <w14:solidFill>
              <w14:schemeClr w14:val="tx1"/>
            </w14:solidFill>
          </w14:textFill>
        </w:rPr>
        <w:t xml:space="preserve">14、</w:t>
      </w:r>
      <w:r>
        <w:rPr>
          <w:rFonts w:hint="eastAsia" w:ascii="仿宋" w:hAnsi="仿宋" w:eastAsia="仿宋" w:cs="仿宋"/>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highlight w:val="none"/>
          <w:lang w:val="en-US" w:eastAsia="zh-CN"/>
          <w14:textFill>
            <w14:solidFill>
              <w14:schemeClr w14:val="tx1"/>
            </w14:solidFill>
          </w14:textFill>
        </w:rPr>
      </w:r>
      <w:r/>
    </w:p>
    <w:p>
      <w:pPr>
        <w:pStyle w:val="732"/>
        <w:widowControl w:val="off"/>
        <w:rPr>
          <w:rFonts w:hint="eastAsia" w:ascii="仿宋" w:hAnsi="仿宋" w:eastAsia="仿宋" w:cs="仿宋"/>
          <w:color w:val="auto"/>
          <w:sz w:val="24"/>
          <w:highlight w:val="none"/>
          <w:lang w:eastAsia="zh-CN"/>
        </w:rPr>
      </w:pPr>
      <w:r>
        <w:rPr>
          <w:rFonts w:hint="eastAsia" w:ascii="仿宋" w:hAnsi="仿宋" w:eastAsia="仿宋" w:cs="仿宋"/>
          <w:bCs/>
          <w:color w:val="auto"/>
          <w:sz w:val="24"/>
          <w:szCs w:val="24"/>
          <w:highlight w:val="none"/>
        </w:rPr>
        <w:t xml:space="preserve">项目名称：</w:t>
      </w:r>
      <w:r>
        <w:rPr>
          <w:rFonts w:hint="eastAsia" w:ascii="仿宋" w:hAnsi="仿宋" w:eastAsia="仿宋" w:cs="仿宋"/>
          <w:color w:val="auto"/>
          <w:sz w:val="24"/>
          <w:highlight w:val="none"/>
          <w:lang w:eastAsia="zh-CN"/>
        </w:rPr>
        <w:t xml:space="preserve">枫荷雅居消防改造工程</w:t>
      </w:r>
      <w:r/>
    </w:p>
    <w:p>
      <w:pPr>
        <w:pStyle w:val="732"/>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项目编号：</w:t>
      </w:r>
      <w:r/>
    </w:p>
    <w:p>
      <w:pPr>
        <w:pStyle w:val="732"/>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32"/>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743"/>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6"/>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4"/>
        <w:rPr>
          <w:rFonts w:hint="eastAsia" w:ascii="仿宋" w:hAnsi="仿宋" w:eastAsia="仿宋" w:cs="仿宋"/>
          <w:highlight w:val="none"/>
        </w:rPr>
      </w:pPr>
      <w:r>
        <w:rPr>
          <w:rFonts w:hint="eastAsia" w:ascii="仿宋" w:hAnsi="仿宋" w:eastAsia="仿宋" w:cs="仿宋"/>
          <w:highlight w:val="none"/>
        </w:rPr>
      </w:r>
      <w:r/>
    </w:p>
    <w:p>
      <w:pPr>
        <w:pStyle w:val="732"/>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建设工程施工合同</w:t>
      </w:r>
      <w:r/>
    </w:p>
    <w:p>
      <w:pPr>
        <w:pStyle w:val="732"/>
        <w:jc w:val="center"/>
        <w:widowControl w:val="off"/>
        <w:rPr>
          <w:rFonts w:hint="eastAsia" w:ascii="仿宋" w:hAnsi="仿宋" w:eastAsia="仿宋" w:cs="仿宋"/>
          <w:bCs/>
          <w:color w:val="auto"/>
          <w:sz w:val="44"/>
          <w:szCs w:val="52"/>
          <w:highlight w:val="none"/>
        </w:rPr>
      </w:pPr>
      <w:r>
        <w:rPr>
          <w:rFonts w:hint="eastAsia" w:ascii="仿宋" w:hAnsi="仿宋" w:eastAsia="仿宋" w:cs="仿宋"/>
          <w:bCs/>
          <w:color w:val="auto"/>
          <w:sz w:val="44"/>
          <w:szCs w:val="52"/>
          <w:highlight w:val="none"/>
        </w:rPr>
        <w:t xml:space="preserve">（示范文本）</w:t>
      </w:r>
      <w:r/>
    </w:p>
    <w:p>
      <w:pPr>
        <w:pStyle w:val="732"/>
        <w:jc w:val="center"/>
        <w:widowControl w:val="off"/>
        <w:rPr>
          <w:rFonts w:hint="eastAsia" w:ascii="仿宋" w:hAnsi="仿宋" w:eastAsia="仿宋" w:cs="仿宋"/>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仿宋" w:hAnsi="仿宋" w:eastAsia="仿宋" w:cs="仿宋"/>
          <w:bCs/>
          <w:color w:val="auto"/>
          <w:sz w:val="44"/>
          <w:szCs w:val="52"/>
          <w:highlight w:val="none"/>
        </w:rPr>
        <w:t xml:space="preserve">（GF—2017—0201）</w:t>
      </w:r>
      <w:r/>
    </w:p>
    <w:p>
      <w:pPr>
        <w:pStyle w:val="1048"/>
        <w:jc w:val="center"/>
        <w:rPr>
          <w:rFonts w:hint="eastAsia" w:ascii="仿宋" w:hAnsi="仿宋" w:eastAsia="仿宋" w:cs="仿宋"/>
          <w:b w:val="0"/>
          <w:color w:val="auto"/>
          <w:sz w:val="44"/>
          <w:szCs w:val="44"/>
          <w:highlight w:val="none"/>
        </w:rPr>
      </w:pPr>
      <w:r/>
      <w:bookmarkStart w:id="130" w:name="_Toc110245277"/>
      <w:r>
        <w:rPr>
          <w:rFonts w:hint="eastAsia" w:ascii="仿宋" w:hAnsi="仿宋" w:eastAsia="仿宋" w:cs="仿宋"/>
          <w:b w:val="0"/>
          <w:color w:val="auto"/>
          <w:sz w:val="44"/>
          <w:szCs w:val="44"/>
          <w:highlight w:val="none"/>
        </w:rPr>
        <w:t xml:space="preserve">第一部分 合同协议书</w:t>
      </w:r>
      <w:bookmarkEnd w:id="130"/>
      <w:r/>
      <w:r/>
    </w:p>
    <w:p>
      <w:pPr>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b/>
          <w:color w:val="auto"/>
          <w:sz w:val="24"/>
          <w:szCs w:val="24"/>
          <w:highlight w:val="none"/>
        </w:rPr>
        <w:t xml:space="preserve">发包人（全称）：</w:t>
      </w:r>
      <w:r>
        <w:rPr>
          <w:rFonts w:ascii="仿宋" w:hAnsi="仿宋" w:eastAsia="仿宋" w:cs="仿宋"/>
          <w:i w:val="0"/>
          <w:iCs w:val="0"/>
          <w:caps w:val="0"/>
          <w:color w:val="353535"/>
          <w:spacing w:val="0"/>
          <w:sz w:val="24"/>
          <w:szCs w:val="24"/>
          <w:u w:val="single"/>
          <w:shd w:val="clear" w:color="auto" w:fill="ffffff"/>
        </w:rPr>
        <w:t xml:space="preserve">江苏新沂经济开发区管理委员会</w:t>
      </w:r>
      <w:r/>
    </w:p>
    <w:p>
      <w:pPr>
        <w:spacing w:after="164"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color w:val="auto"/>
          <w:sz w:val="24"/>
          <w:highlight w:val="none"/>
          <w:lang w:eastAsia="zh-CN"/>
        </w:rPr>
        <w:t xml:space="preserve">2026年城南绿化补植及设施维修工程项目</w:t>
      </w:r>
      <w:r>
        <w:rPr>
          <w:rFonts w:hint="eastAsia" w:ascii="仿宋" w:hAnsi="仿宋" w:eastAsia="仿宋" w:cs="仿宋"/>
          <w:color w:val="auto"/>
          <w:sz w:val="24"/>
          <w:szCs w:val="24"/>
          <w:highlight w:val="none"/>
        </w:rPr>
        <w:t xml:space="preserve">施工及有关事项协商一致，共同达成如下协议：</w:t>
      </w:r>
      <w:r/>
    </w:p>
    <w:p>
      <w:pPr>
        <w:keepLines/>
        <w:keepNext/>
        <w:spacing w:before="327" w:line="360" w:lineRule="auto"/>
        <w:rPr>
          <w:rFonts w:hint="eastAsia" w:ascii="仿宋" w:hAnsi="仿宋" w:eastAsia="仿宋" w:cs="仿宋"/>
          <w:color w:val="auto"/>
          <w:sz w:val="24"/>
          <w:szCs w:val="24"/>
          <w:highlight w:val="none"/>
        </w:rPr>
        <w:outlineLvl w:val="3"/>
      </w:pPr>
      <w:r/>
      <w:bookmarkStart w:id="131" w:name="_Toc351203481"/>
      <w:r>
        <w:rPr>
          <w:rFonts w:hint="eastAsia" w:ascii="仿宋" w:hAnsi="仿宋" w:eastAsia="仿宋" w:cs="仿宋"/>
          <w:color w:val="auto"/>
          <w:sz w:val="24"/>
          <w:szCs w:val="24"/>
          <w:highlight w:val="none"/>
        </w:rPr>
        <w:t xml:space="preserve">一、工程概况</w:t>
      </w:r>
      <w:bookmarkEnd w:id="131"/>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                                            。</w:t>
      </w:r>
      <w:r/>
    </w:p>
    <w:p>
      <w:pPr>
        <w:keepLines/>
        <w:keepNext/>
        <w:spacing w:before="327" w:line="360" w:lineRule="auto"/>
        <w:rPr>
          <w:rFonts w:hint="eastAsia" w:ascii="仿宋" w:hAnsi="仿宋" w:eastAsia="仿宋" w:cs="仿宋"/>
          <w:color w:val="auto"/>
          <w:sz w:val="24"/>
          <w:szCs w:val="24"/>
          <w:highlight w:val="none"/>
        </w:rPr>
        <w:outlineLvl w:val="3"/>
      </w:pPr>
      <w:r/>
      <w:bookmarkStart w:id="132" w:name="_Toc351203482"/>
      <w:r>
        <w:rPr>
          <w:rFonts w:hint="eastAsia" w:ascii="仿宋" w:hAnsi="仿宋" w:eastAsia="仿宋" w:cs="仿宋"/>
          <w:color w:val="auto"/>
          <w:sz w:val="24"/>
          <w:szCs w:val="24"/>
          <w:highlight w:val="none"/>
        </w:rPr>
        <w:t xml:space="preserve">二、合同工期</w:t>
      </w:r>
      <w:bookmarkEnd w:id="132"/>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60</w:t>
      </w:r>
      <w:r>
        <w:rPr>
          <w:rFonts w:hint="eastAsia" w:ascii="仿宋" w:hAnsi="仿宋" w:eastAsia="仿宋" w:cs="仿宋"/>
          <w:color w:val="auto"/>
          <w:sz w:val="24"/>
          <w:szCs w:val="24"/>
          <w:highlight w:val="none"/>
          <w:lang w:val="en-US" w:eastAsia="zh-CN"/>
        </w:rPr>
        <w:t xml:space="preserve">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keepLines/>
        <w:keepNext/>
        <w:spacing w:before="327" w:line="360" w:lineRule="auto"/>
        <w:rPr>
          <w:rFonts w:hint="eastAsia" w:ascii="仿宋" w:hAnsi="仿宋" w:eastAsia="仿宋" w:cs="仿宋"/>
          <w:color w:val="auto"/>
          <w:sz w:val="24"/>
          <w:szCs w:val="24"/>
          <w:highlight w:val="none"/>
        </w:rPr>
        <w:outlineLvl w:val="3"/>
      </w:pPr>
      <w:r/>
      <w:bookmarkStart w:id="133" w:name="_Toc351203483"/>
      <w:r>
        <w:rPr>
          <w:rFonts w:hint="eastAsia" w:ascii="仿宋" w:hAnsi="仿宋" w:eastAsia="仿宋" w:cs="仿宋"/>
          <w:color w:val="auto"/>
          <w:sz w:val="24"/>
          <w:szCs w:val="24"/>
          <w:highlight w:val="none"/>
        </w:rPr>
        <w:t xml:space="preserve">三、质量标准</w:t>
      </w:r>
      <w:bookmarkEnd w:id="133"/>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keepLines/>
        <w:keepNext/>
        <w:spacing w:before="327" w:line="360" w:lineRule="auto"/>
        <w:rPr>
          <w:rFonts w:hint="eastAsia" w:ascii="仿宋" w:hAnsi="仿宋" w:eastAsia="仿宋" w:cs="仿宋"/>
          <w:color w:val="auto"/>
          <w:sz w:val="24"/>
          <w:szCs w:val="24"/>
          <w:highlight w:val="none"/>
        </w:rPr>
        <w:outlineLvl w:val="3"/>
      </w:pPr>
      <w:r/>
      <w:bookmarkStart w:id="134" w:name="_Toc351203484"/>
      <w:r>
        <w:rPr>
          <w:rFonts w:hint="eastAsia" w:ascii="仿宋" w:hAnsi="仿宋" w:eastAsia="仿宋" w:cs="仿宋"/>
          <w:color w:val="auto"/>
          <w:sz w:val="24"/>
          <w:szCs w:val="24"/>
          <w:highlight w:val="none"/>
        </w:rPr>
        <w:t xml:space="preserve">四、签约合同价与合同价格形式</w:t>
      </w:r>
      <w:bookmarkEnd w:id="134"/>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1.签约合同价为：</w:t>
      </w:r>
      <w:r/>
    </w:p>
    <w:p>
      <w:pPr>
        <w:ind w:firstLine="5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（2）材料和工程设备暂估价金额：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（3）专业工程暂估价金额：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（4）暂列金额：</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 (¥元)。</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5" w:name="_Toc351203485"/>
      <w:r>
        <w:rPr>
          <w:rFonts w:hint="eastAsia" w:ascii="仿宋" w:hAnsi="仿宋" w:eastAsia="仿宋" w:cs="仿宋"/>
          <w:color w:val="auto"/>
          <w:sz w:val="24"/>
          <w:szCs w:val="24"/>
          <w:highlight w:val="none"/>
        </w:rPr>
        <w:t xml:space="preserve">五、</w:t>
      </w:r>
      <w:bookmarkEnd w:id="135"/>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keepNext/>
        <w:spacing w:before="327" w:line="360" w:lineRule="auto"/>
        <w:rPr>
          <w:rFonts w:hint="eastAsia" w:ascii="仿宋" w:hAnsi="仿宋" w:eastAsia="仿宋" w:cs="仿宋"/>
          <w:color w:val="auto"/>
          <w:sz w:val="24"/>
          <w:szCs w:val="24"/>
          <w:highlight w:val="none"/>
        </w:rPr>
        <w:outlineLvl w:val="2"/>
      </w:pPr>
      <w:r/>
      <w:bookmarkStart w:id="136" w:name="_Toc351203486"/>
      <w:r>
        <w:rPr>
          <w:rFonts w:hint="eastAsia" w:ascii="仿宋" w:hAnsi="仿宋" w:eastAsia="仿宋" w:cs="仿宋"/>
          <w:color w:val="auto"/>
          <w:sz w:val="24"/>
          <w:szCs w:val="24"/>
          <w:highlight w:val="none"/>
        </w:rPr>
        <w:t xml:space="preserve">六、合同文件构成</w:t>
      </w:r>
      <w:bookmarkEnd w:id="13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仿宋" w:hAnsi="仿宋" w:eastAsia="仿宋" w:cs="仿宋"/>
          <w:color w:val="auto"/>
          <w:sz w:val="24"/>
          <w:szCs w:val="24"/>
          <w:highlight w:val="none"/>
        </w:rPr>
        <w:outlineLvl w:val="2"/>
      </w:pPr>
      <w:r/>
      <w:bookmarkStart w:id="137" w:name="_Toc351203487"/>
      <w:r>
        <w:rPr>
          <w:rFonts w:hint="eastAsia" w:ascii="仿宋" w:hAnsi="仿宋" w:eastAsia="仿宋" w:cs="仿宋"/>
          <w:color w:val="auto"/>
          <w:sz w:val="24"/>
          <w:szCs w:val="24"/>
          <w:highlight w:val="none"/>
        </w:rPr>
        <w:t xml:space="preserve">七、承诺</w:t>
      </w:r>
      <w:bookmarkEnd w:id="13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仿宋" w:hAnsi="仿宋" w:eastAsia="仿宋" w:cs="仿宋"/>
          <w:color w:val="auto"/>
          <w:sz w:val="24"/>
          <w:szCs w:val="24"/>
          <w:highlight w:val="none"/>
        </w:rPr>
        <w:outlineLvl w:val="2"/>
      </w:pPr>
      <w:r/>
      <w:bookmarkStart w:id="138" w:name="_Toc351203488"/>
      <w:r>
        <w:rPr>
          <w:rFonts w:hint="eastAsia" w:ascii="仿宋" w:hAnsi="仿宋" w:eastAsia="仿宋" w:cs="仿宋"/>
          <w:color w:val="auto"/>
          <w:sz w:val="24"/>
          <w:szCs w:val="24"/>
          <w:highlight w:val="none"/>
        </w:rPr>
        <w:t xml:space="preserve">八、词语含义</w:t>
      </w:r>
      <w:bookmarkEnd w:id="13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keepLines/>
        <w:keepNext/>
        <w:spacing w:before="327" w:line="360" w:lineRule="auto"/>
        <w:rPr>
          <w:rFonts w:hint="eastAsia" w:ascii="仿宋" w:hAnsi="仿宋" w:eastAsia="仿宋" w:cs="仿宋"/>
          <w:color w:val="auto"/>
          <w:sz w:val="24"/>
          <w:szCs w:val="24"/>
          <w:highlight w:val="none"/>
        </w:rPr>
        <w:outlineLvl w:val="2"/>
      </w:pPr>
      <w:r/>
      <w:bookmarkStart w:id="139" w:name="_Toc351203489"/>
      <w:r>
        <w:rPr>
          <w:rFonts w:hint="eastAsia" w:ascii="仿宋" w:hAnsi="仿宋" w:eastAsia="仿宋" w:cs="仿宋"/>
          <w:color w:val="auto"/>
          <w:sz w:val="24"/>
          <w:szCs w:val="24"/>
          <w:highlight w:val="none"/>
        </w:rPr>
        <w:t xml:space="preserve">九、签订时间</w:t>
      </w:r>
      <w:bookmarkEnd w:id="139"/>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0" w:name="_Toc351203490"/>
      <w:r>
        <w:rPr>
          <w:rFonts w:hint="eastAsia" w:ascii="仿宋" w:hAnsi="仿宋" w:eastAsia="仿宋" w:cs="仿宋"/>
          <w:color w:val="auto"/>
          <w:sz w:val="24"/>
          <w:szCs w:val="24"/>
          <w:highlight w:val="none"/>
        </w:rPr>
        <w:t xml:space="preserve">十、签订地点</w:t>
      </w:r>
      <w:bookmarkEnd w:id="14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江苏省新沂市   </w:t>
      </w:r>
      <w:r>
        <w:rPr>
          <w:rFonts w:hint="eastAsia" w:ascii="仿宋" w:hAnsi="仿宋" w:eastAsia="仿宋" w:cs="仿宋"/>
          <w:color w:val="auto"/>
          <w:sz w:val="24"/>
          <w:szCs w:val="24"/>
          <w:highlight w:val="none"/>
        </w:rPr>
        <w:t xml:space="preserve">签订。</w:t>
      </w:r>
      <w:r/>
    </w:p>
    <w:p>
      <w:pPr>
        <w:keepLines/>
        <w:keepNext/>
        <w:spacing w:before="327" w:line="360" w:lineRule="auto"/>
        <w:rPr>
          <w:rFonts w:hint="eastAsia" w:ascii="仿宋" w:hAnsi="仿宋" w:eastAsia="仿宋" w:cs="仿宋"/>
          <w:color w:val="auto"/>
          <w:sz w:val="24"/>
          <w:szCs w:val="24"/>
          <w:highlight w:val="none"/>
        </w:rPr>
        <w:outlineLvl w:val="2"/>
      </w:pPr>
      <w:r/>
      <w:bookmarkStart w:id="141" w:name="_Toc351203491"/>
      <w:r>
        <w:rPr>
          <w:rFonts w:hint="eastAsia" w:ascii="仿宋" w:hAnsi="仿宋" w:eastAsia="仿宋" w:cs="仿宋"/>
          <w:color w:val="auto"/>
          <w:sz w:val="24"/>
          <w:szCs w:val="24"/>
          <w:highlight w:val="none"/>
        </w:rPr>
        <w:t xml:space="preserve">十一、补充协议</w:t>
      </w:r>
      <w:bookmarkEnd w:id="141"/>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keepLines/>
        <w:keepNext/>
        <w:spacing w:before="327" w:line="360" w:lineRule="auto"/>
        <w:rPr>
          <w:rFonts w:hint="eastAsia" w:ascii="仿宋" w:hAnsi="仿宋" w:eastAsia="仿宋" w:cs="仿宋"/>
          <w:color w:val="auto"/>
          <w:sz w:val="24"/>
          <w:szCs w:val="24"/>
          <w:highlight w:val="none"/>
        </w:rPr>
        <w:outlineLvl w:val="2"/>
      </w:pPr>
      <w:r/>
      <w:bookmarkStart w:id="142" w:name="_Toc351203492"/>
      <w:r>
        <w:rPr>
          <w:rFonts w:hint="eastAsia" w:ascii="仿宋" w:hAnsi="仿宋" w:eastAsia="仿宋" w:cs="仿宋"/>
          <w:color w:val="auto"/>
          <w:sz w:val="24"/>
          <w:szCs w:val="24"/>
          <w:highlight w:val="none"/>
        </w:rPr>
        <w:t xml:space="preserve">十二、合同生效</w:t>
      </w:r>
      <w:bookmarkEnd w:id="1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签字、盖章   </w:t>
      </w:r>
      <w:r>
        <w:rPr>
          <w:rFonts w:hint="eastAsia" w:ascii="仿宋" w:hAnsi="仿宋" w:eastAsia="仿宋" w:cs="仿宋"/>
          <w:color w:val="auto"/>
          <w:sz w:val="24"/>
          <w:szCs w:val="24"/>
          <w:highlight w:val="none"/>
        </w:rPr>
        <w:t xml:space="preserve">生效。</w:t>
      </w:r>
      <w:r/>
    </w:p>
    <w:p>
      <w:pPr>
        <w:keepLines/>
        <w:keepNext/>
        <w:spacing w:before="327" w:line="360" w:lineRule="auto"/>
        <w:rPr>
          <w:rFonts w:hint="eastAsia" w:ascii="仿宋" w:hAnsi="仿宋" w:eastAsia="仿宋" w:cs="仿宋"/>
          <w:color w:val="auto"/>
          <w:sz w:val="24"/>
          <w:szCs w:val="24"/>
          <w:highlight w:val="none"/>
        </w:rPr>
        <w:outlineLvl w:val="2"/>
      </w:pPr>
      <w:r/>
      <w:bookmarkStart w:id="143" w:name="_Toc351203493"/>
      <w:r>
        <w:rPr>
          <w:rFonts w:hint="eastAsia" w:ascii="仿宋" w:hAnsi="仿宋" w:eastAsia="仿宋" w:cs="仿宋"/>
          <w:color w:val="auto"/>
          <w:sz w:val="24"/>
          <w:szCs w:val="24"/>
          <w:highlight w:val="none"/>
        </w:rPr>
        <w:t xml:space="preserve">十三、合同份数</w:t>
      </w:r>
      <w:bookmarkEnd w:id="14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肆  </w:t>
      </w:r>
      <w:r>
        <w:rPr>
          <w:rFonts w:hint="eastAsia" w:ascii="仿宋" w:hAnsi="仿宋" w:eastAsia="仿宋" w:cs="仿宋"/>
          <w:color w:val="auto"/>
          <w:sz w:val="24"/>
          <w:szCs w:val="24"/>
          <w:highlight w:val="none"/>
        </w:rPr>
        <w:t xml:space="preserve">份，均具有同等法律效力，发包人执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份，承包人执</w:t>
      </w:r>
      <w:r>
        <w:rPr>
          <w:rFonts w:hint="eastAsia" w:ascii="仿宋" w:hAnsi="仿宋" w:eastAsia="仿宋" w:cs="仿宋"/>
          <w:color w:val="auto"/>
          <w:sz w:val="24"/>
          <w:szCs w:val="24"/>
          <w:highlight w:val="none"/>
          <w:u w:val="single"/>
        </w:rPr>
        <w:t xml:space="preserve">  贰  </w:t>
      </w:r>
      <w:r>
        <w:rPr>
          <w:rFonts w:hint="eastAsia" w:ascii="仿宋" w:hAnsi="仿宋" w:eastAsia="仿宋" w:cs="仿宋"/>
          <w:color w:val="auto"/>
          <w:sz w:val="24"/>
          <w:szCs w:val="24"/>
          <w:highlight w:val="none"/>
        </w:rPr>
        <w:t xml:space="preserve">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25"/>
        <w:tblW w:w="9410" w:type="dxa"/>
        <w:jc w:val="center"/>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w:t>
            </w:r>
            <w:r/>
          </w:p>
        </w:tc>
      </w:tr>
    </w:tbl>
    <w:p>
      <w:pPr>
        <w:jc w:val="center"/>
        <w:keepLines/>
        <w:keepNex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bookmarkStart w:id="144" w:name="_Toc498006745"/>
      <w:r/>
      <w:r/>
    </w:p>
    <w:p>
      <w:pPr>
        <w:jc w:val="center"/>
        <w:keepLines/>
        <w:keepNext/>
        <w:rPr>
          <w:rFonts w:hint="eastAsia" w:ascii="仿宋" w:hAnsi="仿宋" w:eastAsia="仿宋" w:cs="仿宋"/>
          <w:color w:val="auto"/>
          <w:sz w:val="32"/>
          <w:szCs w:val="32"/>
          <w:highlight w:val="none"/>
        </w:rPr>
        <w:outlineLvl w:val="3"/>
      </w:pPr>
      <w:r>
        <w:rPr>
          <w:rFonts w:hint="eastAsia" w:ascii="仿宋" w:hAnsi="仿宋" w:eastAsia="仿宋" w:cs="仿宋"/>
          <w:color w:val="auto"/>
          <w:sz w:val="32"/>
          <w:szCs w:val="32"/>
          <w:highlight w:val="none"/>
        </w:rPr>
        <w:t xml:space="preserve">第二部分 通用合同条款</w:t>
      </w:r>
      <w:bookmarkEnd w:id="14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540" w:lineRule="exact"/>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8"/>
        <w:jc w:val="center"/>
        <w:rPr>
          <w:rFonts w:hint="eastAsia" w:ascii="仿宋" w:hAnsi="仿宋" w:eastAsia="仿宋" w:cs="仿宋"/>
          <w:color w:val="auto"/>
          <w:sz w:val="32"/>
          <w:szCs w:val="32"/>
          <w:highlight w:val="none"/>
        </w:rPr>
        <w:outlineLvl w:val="3"/>
      </w:pPr>
      <w:r>
        <w:rPr>
          <w:rFonts w:hint="eastAsia" w:ascii="仿宋" w:hAnsi="仿宋" w:eastAsia="仿宋" w:cs="仿宋"/>
          <w:color w:val="auto"/>
          <w:sz w:val="24"/>
          <w:szCs w:val="24"/>
          <w:highlight w:val="none"/>
        </w:rPr>
        <w:br w:type="page" w:clear="all"/>
      </w:r>
      <w:bookmarkStart w:id="145" w:name="_Toc498006746"/>
      <w:r/>
      <w:bookmarkStart w:id="146" w:name="_Toc110245278"/>
      <w:r>
        <w:rPr>
          <w:rFonts w:hint="eastAsia" w:ascii="仿宋" w:hAnsi="仿宋" w:eastAsia="仿宋" w:cs="仿宋"/>
          <w:b w:val="0"/>
          <w:color w:val="auto"/>
          <w:sz w:val="32"/>
          <w:szCs w:val="32"/>
          <w:highlight w:val="none"/>
        </w:rPr>
        <w:t xml:space="preserve">第三部分 专用合同条款</w:t>
      </w:r>
      <w:bookmarkEnd w:id="145"/>
      <w:r/>
      <w:bookmarkEnd w:id="146"/>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47" w:name="_Toc351203633"/>
      <w:r>
        <w:rPr>
          <w:rFonts w:hint="eastAsia" w:ascii="仿宋" w:hAnsi="仿宋" w:eastAsia="仿宋" w:cs="仿宋"/>
          <w:color w:val="auto"/>
          <w:sz w:val="24"/>
          <w:szCs w:val="24"/>
          <w:highlight w:val="none"/>
        </w:rPr>
        <w:t xml:space="preserve">1</w:t>
      </w:r>
      <w:bookmarkStart w:id="148" w:name="_Toc292559866"/>
      <w:r/>
      <w:bookmarkStart w:id="149" w:name="_Toc297048342"/>
      <w:r/>
      <w:bookmarkStart w:id="150" w:name="_Toc296944495"/>
      <w:r/>
      <w:bookmarkStart w:id="151" w:name="_Toc296346657"/>
      <w:r/>
      <w:bookmarkStart w:id="152" w:name="_Toc296891196"/>
      <w:r/>
      <w:bookmarkStart w:id="153" w:name="_Toc296503156"/>
      <w:r/>
      <w:bookmarkStart w:id="154" w:name="_Toc292559361"/>
      <w:r/>
      <w:bookmarkStart w:id="155" w:name="_Toc296347155"/>
      <w:r/>
      <w:bookmarkStart w:id="156" w:name="_Toc297120456"/>
      <w:r/>
      <w:bookmarkStart w:id="157" w:name="_Toc296890984"/>
      <w:r>
        <w:rPr>
          <w:rFonts w:hint="eastAsia" w:ascii="仿宋" w:hAnsi="仿宋" w:eastAsia="仿宋" w:cs="仿宋"/>
          <w:color w:val="auto"/>
          <w:sz w:val="24"/>
          <w:szCs w:val="24"/>
          <w:highlight w:val="none"/>
        </w:rPr>
        <w:t xml:space="preserve">. 一般约定</w:t>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1.1.1 合同</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1.1.1.1 其他合同文件包括：。</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1.1.2.1 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1.1.2.2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 作为施工现场组成部分的其他场所包括：</w:t>
      </w:r>
      <w:r>
        <w:rPr>
          <w:rFonts w:hint="eastAsia" w:ascii="仿宋" w:hAnsi="仿宋" w:eastAsia="仿宋" w:cs="仿宋"/>
          <w:color w:val="auto"/>
          <w:sz w:val="24"/>
          <w:szCs w:val="24"/>
          <w:highlight w:val="none"/>
          <w:u w:val="single"/>
        </w:rPr>
        <w:t xml:space="preserve">符合通用条款规定的发包人提供的施工场地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1.1.3.2 永久占地包括：</w:t>
      </w:r>
      <w:r>
        <w:rPr>
          <w:rFonts w:hint="eastAsia" w:ascii="仿宋" w:hAnsi="仿宋" w:eastAsia="仿宋" w:cs="仿宋"/>
          <w:color w:val="auto"/>
          <w:sz w:val="24"/>
          <w:szCs w:val="24"/>
          <w:highlight w:val="none"/>
          <w:u w:val="single"/>
        </w:rPr>
        <w:t xml:space="preserve">规划红线范围内的土地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 临时占地包括：</w:t>
      </w:r>
      <w:r>
        <w:rPr>
          <w:rFonts w:hint="eastAsia" w:ascii="仿宋" w:hAnsi="仿宋" w:eastAsia="仿宋" w:cs="仿宋"/>
          <w:color w:val="auto"/>
          <w:sz w:val="24"/>
          <w:szCs w:val="24"/>
          <w:highlight w:val="none"/>
          <w:u w:val="single"/>
        </w:rPr>
        <w:t xml:space="preserve">规划红线范围外因施工需要而占用的土地</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 法律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rPr>
          <w:rFonts w:hint="eastAsia" w:ascii="仿宋" w:hAnsi="仿宋" w:eastAsia="仿宋" w:cs="仿宋"/>
          <w:color w:val="auto"/>
          <w:sz w:val="24"/>
          <w:szCs w:val="24"/>
          <w:highlight w:val="none"/>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 标准和规范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适用于工程的标准规范包括：</w:t>
      </w:r>
      <w:r>
        <w:rPr>
          <w:rFonts w:hint="eastAsia" w:ascii="仿宋" w:hAnsi="仿宋" w:eastAsia="仿宋" w:cs="仿宋"/>
          <w:color w:val="auto"/>
          <w:sz w:val="24"/>
          <w:szCs w:val="24"/>
          <w:highlight w:val="none"/>
          <w:u w:val="single"/>
        </w:rPr>
        <w:t xml:space="preserve">适用国家、行业及工程所在地现行的相关标准、规范、规定（对于同一标准、规范应以最新颁布者为准）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发包人提供国外标准、规范的名称：</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发包人对工程的技术标准和功能要求的特殊要求：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按设计图纸施工，若设计图纸中也没有的，经发包人批准后按发包人批准的要求执行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 合同文件的优先顺序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 图纸和承包人文件</w:t>
      </w:r>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开工前5天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通过图纸审核的全套施工图纸及相关资料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1.5.2 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见上述条款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依据发包人需要</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书面形式，以上资料必须经总监理工程师签字认可后报发包人</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收到齐全的资料后合理时间内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执行通用条款中相关1.6.2、1.6.3约定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发包人和承包人应当在</w:t>
      </w:r>
      <w:r>
        <w:rPr>
          <w:rFonts w:hint="eastAsia" w:ascii="仿宋" w:hAnsi="仿宋" w:eastAsia="仿宋" w:cs="仿宋"/>
          <w:color w:val="auto"/>
          <w:sz w:val="24"/>
          <w:szCs w:val="24"/>
          <w:highlight w:val="none"/>
          <w:u w:val="single"/>
        </w:rPr>
        <w:t xml:space="preserve"> 7 </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发包人接收文件的地点：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 项目所在地发包人办公室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 项目所在地监理人项目部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 交通运输</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58" w:name="_Toc312677986"/>
      <w:r/>
      <w:bookmarkStart w:id="159" w:name="_Toc304295521"/>
      <w:r/>
      <w:bookmarkStart w:id="160" w:name="_Toc318581155"/>
      <w:r/>
      <w:bookmarkStart w:id="161" w:name="_Toc303539100"/>
      <w:r/>
      <w:bookmarkStart w:id="162" w:name="_Toc300934943"/>
      <w:r>
        <w:rPr>
          <w:rFonts w:hint="eastAsia" w:ascii="仿宋" w:hAnsi="仿宋" w:eastAsia="仿宋" w:cs="仿宋"/>
          <w:color w:val="auto"/>
          <w:sz w:val="24"/>
          <w:szCs w:val="24"/>
          <w:highlight w:val="none"/>
        </w:rPr>
        <w:t xml:space="preserve">.7.1 出入现场的权利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hint="eastAsia" w:ascii="仿宋" w:hAnsi="仿宋" w:eastAsia="仿宋" w:cs="仿宋"/>
          <w:color w:val="auto"/>
          <w:sz w:val="24"/>
          <w:szCs w:val="24"/>
          <w:highlight w:val="none"/>
        </w:rPr>
        <w:t xml:space="preserve">。</w:t>
      </w:r>
      <w:bookmarkEnd w:id="158"/>
      <w:r/>
      <w:bookmarkEnd w:id="159"/>
      <w:r/>
      <w:bookmarkEnd w:id="160"/>
      <w:r/>
      <w:bookmarkEnd w:id="161"/>
      <w:r/>
      <w:bookmarkEnd w:id="162"/>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163" w:name="_Toc312677987"/>
      <w:r/>
      <w:bookmarkStart w:id="164" w:name="_Toc303539101"/>
      <w:r/>
      <w:bookmarkStart w:id="165" w:name="_Toc318581156"/>
      <w:r/>
      <w:bookmarkStart w:id="166" w:name="_Toc300934944"/>
      <w:r/>
      <w:bookmarkStart w:id="167" w:name="_Toc304295522"/>
      <w:r>
        <w:rPr>
          <w:rFonts w:hint="eastAsia" w:ascii="仿宋" w:hAnsi="仿宋" w:eastAsia="仿宋" w:cs="仿宋"/>
          <w:color w:val="auto"/>
          <w:sz w:val="24"/>
          <w:szCs w:val="24"/>
          <w:highlight w:val="none"/>
        </w:rPr>
        <w:t xml:space="preserve">.7.2 场内交通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bookmarkEnd w:id="163"/>
      <w:r/>
      <w:bookmarkEnd w:id="164"/>
      <w:r/>
      <w:bookmarkEnd w:id="165"/>
      <w:r/>
      <w:bookmarkEnd w:id="166"/>
      <w:r/>
      <w:bookmarkEnd w:id="167"/>
      <w:r/>
      <w:bookmarkStart w:id="168" w:name="_Toc318581157"/>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1.7.3 超大件和超重件的运输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承包人 </w:t>
      </w:r>
      <w:r>
        <w:rPr>
          <w:rFonts w:hint="eastAsia" w:ascii="仿宋" w:hAnsi="仿宋" w:eastAsia="仿宋" w:cs="仿宋"/>
          <w:color w:val="auto"/>
          <w:sz w:val="24"/>
          <w:szCs w:val="24"/>
          <w:highlight w:val="none"/>
        </w:rPr>
        <w:t xml:space="preserve">承担。</w:t>
      </w:r>
      <w:bookmarkEnd w:id="168"/>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 知识产权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关于发包人提供的上述文件的使用限制的要求：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未经发包人同意，承包人不得私自复印或将发包人提供的图纸等资料提供给第三人。若违反本条，承包人应承担由此引起的法律责任，发包人有权向承包人索赔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关于承包人为实施工程所编制文件的著作权的归属：</w:t>
      </w:r>
      <w:r>
        <w:rPr>
          <w:rFonts w:hint="eastAsia" w:ascii="仿宋" w:hAnsi="仿宋" w:eastAsia="仿宋" w:cs="仿宋"/>
          <w:color w:val="auto"/>
          <w:sz w:val="24"/>
          <w:szCs w:val="24"/>
          <w:highlight w:val="none"/>
          <w:u w:val="single"/>
        </w:rPr>
        <w:t xml:space="preserve"> 归承包人所有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 仅限于此工程项目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 工程量清单错误的修正</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出现工程量清单错误时，是否调整合同价格：</w:t>
      </w:r>
      <w:r>
        <w:rPr>
          <w:rFonts w:hint="eastAsia" w:ascii="仿宋" w:hAnsi="仿宋" w:eastAsia="仿宋" w:cs="仿宋"/>
          <w:b/>
          <w:color w:val="auto"/>
          <w:sz w:val="24"/>
          <w:szCs w:val="24"/>
          <w:highlight w:val="none"/>
          <w:u w:val="single"/>
        </w:rPr>
        <w:t xml:space="preserve"> 应在招标时提出，其他情况均不调整 </w:t>
      </w:r>
      <w:r>
        <w:rPr>
          <w:rFonts w:hint="eastAsia" w:ascii="仿宋" w:hAnsi="仿宋" w:eastAsia="仿宋" w:cs="仿宋"/>
          <w:b/>
          <w:color w:val="auto"/>
          <w:sz w:val="24"/>
          <w:szCs w:val="24"/>
          <w:highlight w:val="non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  /  </w:t>
      </w:r>
      <w:r>
        <w:rPr>
          <w:rFonts w:hint="eastAsia" w:ascii="仿宋" w:hAnsi="仿宋" w:eastAsia="仿宋" w:cs="仿宋"/>
          <w:b/>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69" w:name="_Toc351203634"/>
      <w:r>
        <w:rPr>
          <w:rFonts w:hint="eastAsia" w:ascii="仿宋" w:hAnsi="仿宋" w:eastAsia="仿宋" w:cs="仿宋"/>
          <w:color w:val="auto"/>
          <w:sz w:val="24"/>
          <w:szCs w:val="24"/>
          <w:highlight w:val="none"/>
        </w:rPr>
        <w:t xml:space="preserve">2</w:t>
      </w:r>
      <w:bookmarkStart w:id="170" w:name="_Toc292559362"/>
      <w:r/>
      <w:bookmarkStart w:id="171" w:name="_Toc296347156"/>
      <w:r/>
      <w:bookmarkStart w:id="172" w:name="_Toc296890985"/>
      <w:r/>
      <w:bookmarkStart w:id="173" w:name="_Toc296891197"/>
      <w:r/>
      <w:bookmarkStart w:id="174" w:name="_Toc297120457"/>
      <w:r/>
      <w:bookmarkStart w:id="175" w:name="_Toc296944496"/>
      <w:r/>
      <w:bookmarkStart w:id="176" w:name="_Toc292559867"/>
      <w:r/>
      <w:bookmarkStart w:id="177" w:name="_Toc296346658"/>
      <w:r/>
      <w:bookmarkStart w:id="178" w:name="_Toc296503157"/>
      <w:r/>
      <w:bookmarkStart w:id="179" w:name="_Toc297048343"/>
      <w:r>
        <w:rPr>
          <w:rFonts w:hint="eastAsia" w:ascii="仿宋" w:hAnsi="仿宋" w:eastAsia="仿宋" w:cs="仿宋"/>
          <w:color w:val="auto"/>
          <w:sz w:val="24"/>
          <w:szCs w:val="24"/>
          <w:highlight w:val="none"/>
        </w:rPr>
        <w:t xml:space="preserve">. 发包人</w:t>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2.1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项目现场负责人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施工现场、施工条件和基础资料的提供</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2.2.1 提供施工现场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 场地移交可以全部移交，所移交的场地能满足施工要求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2.2.2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2.2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180" w:name="_Toc351203635"/>
      <w:r>
        <w:rPr>
          <w:rFonts w:hint="eastAsia" w:ascii="仿宋" w:hAnsi="仿宋" w:eastAsia="仿宋" w:cs="仿宋"/>
          <w:color w:val="auto"/>
          <w:sz w:val="24"/>
          <w:szCs w:val="24"/>
          <w:highlight w:val="none"/>
        </w:rPr>
        <w:t xml:space="preserve">3</w:t>
      </w:r>
      <w:bookmarkStart w:id="181" w:name="_Toc292559868"/>
      <w:r/>
      <w:bookmarkStart w:id="182" w:name="_Toc296891198"/>
      <w:r/>
      <w:bookmarkStart w:id="183" w:name="_Toc292559363"/>
      <w:r/>
      <w:bookmarkStart w:id="184" w:name="_Toc297120458"/>
      <w:r/>
      <w:bookmarkStart w:id="185" w:name="_Toc296944497"/>
      <w:r/>
      <w:bookmarkStart w:id="186" w:name="_Toc296890986"/>
      <w:r/>
      <w:bookmarkStart w:id="187" w:name="_Toc296503158"/>
      <w:r/>
      <w:bookmarkStart w:id="188" w:name="_Toc296347157"/>
      <w:r/>
      <w:bookmarkStart w:id="189" w:name="_Toc296346659"/>
      <w:r/>
      <w:bookmarkStart w:id="190" w:name="_Toc297048344"/>
      <w:r>
        <w:rPr>
          <w:rFonts w:hint="eastAsia" w:ascii="仿宋" w:hAnsi="仿宋" w:eastAsia="仿宋" w:cs="仿宋"/>
          <w:color w:val="auto"/>
          <w:sz w:val="24"/>
          <w:szCs w:val="24"/>
          <w:highlight w:val="none"/>
        </w:rPr>
        <w:t xml:space="preserve">. 承包人</w:t>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3.1 承包人的一般义务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(1)承包人提交的竣工资料的内容：</w:t>
      </w:r>
      <w:r>
        <w:rPr>
          <w:rFonts w:hint="eastAsia" w:ascii="仿宋" w:hAnsi="仿宋" w:eastAsia="仿宋" w:cs="仿宋"/>
          <w:color w:val="auto"/>
          <w:sz w:val="24"/>
          <w:szCs w:val="24"/>
          <w:highlight w:val="none"/>
          <w:u w:val="single"/>
        </w:rPr>
        <w:t xml:space="preserve">符合竣工资料规范要求（含竣工图及相关文件）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t xml:space="preserve">由承包人自行解决，费用包含在合同总价内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t xml:space="preserve">承包人在工程竣工后一个月内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符合竣工备案要求的纸质件（按要求盖章、签字）和电子件（刻光盘）</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(2)承包人应履行的其他义务：</w:t>
      </w:r>
      <w:r>
        <w:rPr>
          <w:rFonts w:hint="eastAsia" w:ascii="仿宋" w:hAnsi="仿宋" w:eastAsia="仿宋" w:cs="仿宋"/>
          <w:color w:val="auto"/>
          <w:sz w:val="24"/>
          <w:szCs w:val="24"/>
          <w:highlight w:val="none"/>
          <w:u w:val="single"/>
        </w:rPr>
        <w:t xml:space="preserve">① 本工程实行总承包管理，土建安装施工单位为总承包管理单位，行使总包管理职能，承担总包管理责任。本工程承包人在完成本合同规</w:t>
      </w:r>
      <w:r>
        <w:rPr>
          <w:rFonts w:hint="eastAsia" w:ascii="仿宋" w:hAnsi="仿宋" w:eastAsia="仿宋" w:cs="仿宋"/>
          <w:color w:val="auto"/>
          <w:sz w:val="24"/>
          <w:szCs w:val="24"/>
          <w:highlight w:val="none"/>
          <w:u w:val="single"/>
        </w:rPr>
        <w:t xml:space="preserve">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w:t>
      </w:r>
      <w:r>
        <w:rPr>
          <w:rFonts w:hint="eastAsia" w:ascii="仿宋" w:hAnsi="仿宋" w:eastAsia="仿宋" w:cs="仿宋"/>
          <w:color w:val="auto"/>
          <w:sz w:val="24"/>
          <w:szCs w:val="24"/>
          <w:highlight w:val="none"/>
          <w:u w:val="single"/>
        </w:rPr>
        <w:t xml:space="preserve">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施工场地周围地下管线和邻近建筑物、构筑物(含文物保护建筑)、古树名木的保护要求及费用承担：对施工场地周围所有管网、管线、排水、道路及邻近建筑物承包人负责</w:t>
      </w:r>
      <w:r>
        <w:rPr>
          <w:rFonts w:hint="eastAsia" w:ascii="仿宋" w:hAnsi="仿宋" w:eastAsia="仿宋" w:cs="仿宋"/>
          <w:color w:val="auto"/>
          <w:sz w:val="24"/>
          <w:szCs w:val="24"/>
          <w:highlight w:val="none"/>
          <w:u w:val="single"/>
        </w:rPr>
        <w:t xml:space="preserve">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1、领导、决策，调集企业所属各单位、各部门为项目进行全面服务和控制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2、代表承包人履行对业主的合约，并受业主委托行使对项目所有分包商统一指挥、协调、管理权；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3、负责组织编制与审批工程总体进度计划及其修订与调整；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4、负责组织编制与审批质量保证计划及其修订与调整；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5、负责组织编制与审批主要物资供应与采购计划及其修订与调整；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6、负责组织编制与审批工程分包计划及其修订与调整；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7、组织工程成本分析、预测及控制，对项目资金管理与财务运作负责；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8、与业主、监理保持经常沟通，了解业主需求，解决随时出现的问题，替业主排忧解难，保护业主利益；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9、负责组织人力资源调配、内部和外部关系协调；遵照合同约定及施工组织设计中的内容实施于工程，当超出实施范围应向上级决策机构申报。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关于项目经理每月在施工现场的时间要求：</w:t>
      </w:r>
      <w:r>
        <w:rPr>
          <w:rFonts w:hint="eastAsia" w:ascii="仿宋" w:hAnsi="仿宋" w:eastAsia="仿宋" w:cs="仿宋"/>
          <w:color w:val="auto"/>
          <w:sz w:val="24"/>
          <w:szCs w:val="24"/>
          <w:highlight w:val="none"/>
          <w:u w:val="single"/>
        </w:rPr>
        <w:t xml:space="preserve">每周不少于6天，每天不少于7小时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发包人有权与承包人解除合同，已完工程，按照建设工程成本价结算，并追究由此带来的发包人一切损失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color w:val="auto"/>
          <w:sz w:val="24"/>
          <w:szCs w:val="24"/>
          <w:highlight w:val="none"/>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3.2.2 承包人擅自更换项目经理的违约责任：</w:t>
      </w:r>
      <w:r>
        <w:rPr>
          <w:rFonts w:hint="eastAsia" w:ascii="仿宋" w:hAnsi="仿宋" w:eastAsia="仿宋" w:cs="仿宋"/>
          <w:color w:val="auto"/>
          <w:sz w:val="24"/>
          <w:szCs w:val="24"/>
          <w:highlight w:val="none"/>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承包人无正当理由拒绝更换项目经理的违约责任：</w:t>
      </w:r>
      <w:r>
        <w:rPr>
          <w:rFonts w:hint="eastAsia" w:ascii="仿宋" w:hAnsi="仿宋" w:eastAsia="仿宋" w:cs="仿宋"/>
          <w:color w:val="auto"/>
          <w:sz w:val="24"/>
          <w:szCs w:val="24"/>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color w:val="auto"/>
          <w:sz w:val="24"/>
          <w:szCs w:val="24"/>
          <w:highlight w:val="none"/>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 承包人无正当理由拒绝撤换主要施工管理人员的违约责任：</w:t>
      </w:r>
      <w:r>
        <w:rPr>
          <w:rFonts w:hint="eastAsia" w:ascii="仿宋" w:hAnsi="仿宋" w:eastAsia="仿宋" w:cs="仿宋"/>
          <w:color w:val="auto"/>
          <w:sz w:val="24"/>
          <w:szCs w:val="24"/>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承包人主要施工管理人员离开施工现场的批准要求：</w:t>
      </w:r>
      <w:r>
        <w:rPr>
          <w:rFonts w:hint="eastAsia" w:ascii="仿宋" w:hAnsi="仿宋" w:eastAsia="仿宋" w:cs="仿宋"/>
          <w:color w:val="auto"/>
          <w:sz w:val="24"/>
          <w:szCs w:val="24"/>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3.3.4 承包人擅自更换主要施工管理人员的违约责任：</w:t>
      </w:r>
      <w:r>
        <w:rPr>
          <w:rFonts w:hint="eastAsia" w:ascii="仿宋" w:hAnsi="仿宋" w:eastAsia="仿宋" w:cs="仿宋"/>
          <w:color w:val="auto"/>
          <w:sz w:val="24"/>
          <w:szCs w:val="24"/>
          <w:highlight w:val="none"/>
          <w:u w:val="single"/>
        </w:rPr>
        <w:t xml:space="preserve">承包人投标文件所载明的项目经理不得变更，如擅自变更，视为违约，发包人有权终止合同，并追究由此带来的发包人一切损失。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 承包人主要施工管理人员擅自离开施工现场的违约责任：</w:t>
      </w:r>
      <w:r>
        <w:rPr>
          <w:rFonts w:hint="eastAsia" w:ascii="仿宋" w:hAnsi="仿宋" w:eastAsia="仿宋" w:cs="仿宋"/>
          <w:color w:val="auto"/>
          <w:sz w:val="24"/>
          <w:szCs w:val="24"/>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3.3.6 承包人未按时每月发放农民工工资和及时结算社保资金的违约责任：</w:t>
      </w:r>
      <w:r>
        <w:rPr>
          <w:rFonts w:hint="eastAsia" w:ascii="仿宋" w:hAnsi="仿宋" w:eastAsia="仿宋" w:cs="仿宋"/>
          <w:color w:val="auto"/>
          <w:sz w:val="24"/>
          <w:szCs w:val="24"/>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3.3.7 对承包人失信行为的处罚：</w:t>
      </w:r>
      <w:r>
        <w:rPr>
          <w:rFonts w:hint="eastAsia" w:ascii="仿宋" w:hAnsi="仿宋" w:eastAsia="仿宋" w:cs="仿宋"/>
          <w:color w:val="auto"/>
          <w:sz w:val="24"/>
          <w:szCs w:val="24"/>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w:t>
      </w:r>
      <w:bookmarkStart w:id="191" w:name="_Toc296346660"/>
      <w:r/>
      <w:bookmarkStart w:id="192" w:name="_Toc296944498"/>
      <w:r/>
      <w:bookmarkStart w:id="193" w:name="_Toc297048345"/>
      <w:r/>
      <w:bookmarkStart w:id="194" w:name="_Toc304295523"/>
      <w:r/>
      <w:bookmarkStart w:id="195" w:name="_Toc297123492"/>
      <w:r/>
      <w:bookmarkStart w:id="196" w:name="_Toc300934945"/>
      <w:r/>
      <w:bookmarkStart w:id="197" w:name="_Toc292559869"/>
      <w:r/>
      <w:bookmarkStart w:id="198" w:name="_Toc303539102"/>
      <w:r/>
      <w:bookmarkStart w:id="199" w:name="_Toc296347158"/>
      <w:r/>
      <w:bookmarkStart w:id="200" w:name="_Toc297216151"/>
      <w:r/>
      <w:bookmarkStart w:id="201" w:name="_Toc296503159"/>
      <w:r/>
      <w:bookmarkStart w:id="202" w:name="_Toc296891199"/>
      <w:r/>
      <w:bookmarkStart w:id="203" w:name="_Toc296890987"/>
      <w:r/>
      <w:bookmarkStart w:id="204" w:name="_Toc297120459"/>
      <w:r/>
      <w:bookmarkStart w:id="205" w:name="_Toc292559364"/>
      <w:r/>
      <w:bookmarkStart w:id="206" w:name="_Toc312677988"/>
      <w:r>
        <w:rPr>
          <w:rFonts w:hint="eastAsia" w:ascii="仿宋" w:hAnsi="仿宋" w:eastAsia="仿宋" w:cs="仿宋"/>
          <w:color w:val="auto"/>
          <w:sz w:val="24"/>
          <w:szCs w:val="24"/>
          <w:highlight w:val="none"/>
        </w:rPr>
        <w:t xml:space="preserve">.4 分包</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3.4.1 分包的一般约定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w:t>
      </w:r>
      <w:bookmarkStart w:id="207" w:name="_Toc318581159"/>
      <w:r/>
      <w:bookmarkStart w:id="208" w:name="_Toc312677990"/>
      <w:r>
        <w:rPr>
          <w:rFonts w:hint="eastAsia" w:ascii="仿宋" w:hAnsi="仿宋" w:eastAsia="仿宋" w:cs="仿宋"/>
          <w:color w:val="auto"/>
          <w:sz w:val="24"/>
          <w:szCs w:val="24"/>
          <w:highlight w:val="none"/>
        </w:rPr>
        <w:t xml:space="preserve">.4.2 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本工程不允许承包人有任何形式的转包和未经发包人允许的分包，否则发包人有权终止合同，一切损失由承包人承担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3.4.3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207"/>
      <w:r/>
      <w:bookmarkEnd w:id="208"/>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3.5 工程照管与成品、半成品保护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在工程交付前，成品保护由承包人负责，费用已含在合同价款内，发生成品损坏，承包人负责予以修复，费用自理；如交付后，发包人要求承包人继续保护，费用另行商定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3.6 履约担保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75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履约担保的形式：银行支票、汇票； </w:t>
      </w:r>
      <w:r/>
    </w:p>
    <w:p>
      <w:pPr>
        <w:pStyle w:val="75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履约担保金额：中标价的10%； </w:t>
      </w:r>
      <w:r/>
    </w:p>
    <w:p>
      <w:pPr>
        <w:pStyle w:val="75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履约担保的提交方式：银行支票、汇票。</w:t>
      </w:r>
      <w:r/>
    </w:p>
    <w:p>
      <w:pPr>
        <w:pStyle w:val="753"/>
        <w:numPr>
          <w:ilvl w:val="0"/>
          <w:numId w:val="0"/>
        </w:numPr>
        <w:ind w:left="116"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履约担保收款人:</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履约担保开户行:</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bidi="ar-SA"/>
        </w:rPr>
        <w:t xml:space="preserve">履约担保开户账号:</w:t>
      </w:r>
      <w:r/>
    </w:p>
    <w:p>
      <w:pPr>
        <w:pStyle w:val="753"/>
        <w:numPr>
          <w:ilvl w:val="0"/>
          <w:numId w:val="0"/>
        </w:numPr>
        <w:ind w:right="63" w:firstLine="24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履约保证金的返还（无息）：承包人在无违法、违纪现象的情况下，完成竣工结算审计后14日内，全额返还。</w:t>
      </w:r>
      <w:r/>
    </w:p>
    <w:p>
      <w:pPr>
        <w:ind w:firstLine="420"/>
        <w:keepLines/>
        <w:keepNext/>
        <w:spacing w:before="164" w:after="164" w:line="360" w:lineRule="auto"/>
        <w:rPr>
          <w:rFonts w:hint="eastAsia" w:ascii="仿宋" w:hAnsi="仿宋" w:eastAsia="仿宋" w:cs="仿宋"/>
          <w:color w:val="auto"/>
          <w:sz w:val="24"/>
          <w:szCs w:val="24"/>
          <w:highlight w:val="none"/>
        </w:rPr>
        <w:outlineLvl w:val="1"/>
      </w:pPr>
      <w:r/>
      <w:bookmarkStart w:id="209" w:name="_Toc351203636"/>
      <w:r>
        <w:rPr>
          <w:rFonts w:hint="eastAsia" w:ascii="仿宋" w:hAnsi="仿宋" w:eastAsia="仿宋" w:cs="仿宋"/>
          <w:color w:val="auto"/>
          <w:sz w:val="24"/>
          <w:szCs w:val="24"/>
          <w:highlight w:val="none"/>
        </w:rPr>
        <w:t xml:space="preserve">4</w:t>
      </w:r>
      <w:bookmarkStart w:id="210" w:name="_Toc296503162"/>
      <w:r/>
      <w:bookmarkStart w:id="211" w:name="_Toc296891202"/>
      <w:r/>
      <w:bookmarkStart w:id="212" w:name="_Toc296890990"/>
      <w:r/>
      <w:bookmarkStart w:id="213" w:name="_Toc296347161"/>
      <w:r/>
      <w:bookmarkStart w:id="214" w:name="_Toc292559366"/>
      <w:r/>
      <w:bookmarkStart w:id="215" w:name="_Toc267251413"/>
      <w:r/>
      <w:bookmarkStart w:id="216" w:name="_Toc297120462"/>
      <w:r/>
      <w:bookmarkStart w:id="217" w:name="_Toc297048348"/>
      <w:r/>
      <w:bookmarkStart w:id="218" w:name="_Toc292559871"/>
      <w:r/>
      <w:bookmarkStart w:id="219" w:name="_Toc296944501"/>
      <w:r/>
      <w:bookmarkStart w:id="220" w:name="_Toc296346663"/>
      <w:r>
        <w:rPr>
          <w:rFonts w:hint="eastAsia" w:ascii="仿宋" w:hAnsi="仿宋" w:eastAsia="仿宋" w:cs="仿宋"/>
          <w:color w:val="auto"/>
          <w:sz w:val="24"/>
          <w:szCs w:val="24"/>
          <w:highlight w:val="none"/>
        </w:rPr>
        <w:t xml:space="preserve">. 监</w:t>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仿宋" w:hAnsi="仿宋" w:eastAsia="仿宋" w:cs="仿宋"/>
          <w:color w:val="auto"/>
          <w:sz w:val="24"/>
          <w:szCs w:val="24"/>
          <w:highlight w:val="none"/>
        </w:rPr>
        <w:t xml:space="preserve">理人</w:t>
      </w:r>
      <w:bookmarkEnd w:id="209"/>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4.1 监理人的一般规定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需要取得发包人批准才能行使的职权为工程款拨付、各项工程变更洽商的确认及重大质量、进度、安全问题的处理权</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承包人应积极配合向监理人提供施工现场的办公用房和生活场所，其费用已包含在合同总价中</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具体见监理合同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4.3 商定或确定</w:t>
      </w:r>
      <w:r/>
    </w:p>
    <w:p>
      <w:pPr>
        <w:ind w:firstLine="420"/>
        <w:spacing w:line="360" w:lineRule="auto"/>
        <w:rPr>
          <w:rFonts w:hint="eastAsia" w:ascii="仿宋" w:hAnsi="仿宋" w:eastAsia="仿宋" w:cs="仿宋"/>
          <w:color w:val="auto"/>
          <w:sz w:val="24"/>
          <w:szCs w:val="24"/>
          <w:highlight w:val="none"/>
        </w:rPr>
      </w:pPr>
      <w:r/>
      <w:bookmarkStart w:id="221"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rPr>
      </w:pPr>
      <w:r/>
      <w:bookmarkStart w:id="222"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另行约定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5</w:t>
      </w:r>
      <w:bookmarkEnd w:id="221"/>
      <w:r/>
      <w:bookmarkStart w:id="223" w:name="_Toc296347162"/>
      <w:r/>
      <w:bookmarkStart w:id="224" w:name="_Toc292559367"/>
      <w:r/>
      <w:bookmarkStart w:id="225" w:name="_Toc296891203"/>
      <w:r/>
      <w:bookmarkStart w:id="226" w:name="_Toc292559872"/>
      <w:r/>
      <w:bookmarkStart w:id="227" w:name="_Toc297048349"/>
      <w:r/>
      <w:bookmarkStart w:id="228" w:name="_Toc296890991"/>
      <w:r/>
      <w:bookmarkStart w:id="229" w:name="_Toc296503163"/>
      <w:r/>
      <w:bookmarkStart w:id="230" w:name="_Toc296944502"/>
      <w:r/>
      <w:bookmarkStart w:id="231" w:name="_Toc297120463"/>
      <w:r/>
      <w:bookmarkStart w:id="232" w:name="_Toc296346664"/>
      <w:r>
        <w:rPr>
          <w:rFonts w:hint="eastAsia" w:ascii="仿宋" w:hAnsi="仿宋" w:eastAsia="仿宋" w:cs="仿宋"/>
          <w:color w:val="auto"/>
          <w:sz w:val="24"/>
          <w:szCs w:val="24"/>
          <w:highlight w:val="none"/>
        </w:rPr>
        <w:t xml:space="preserve">. 工程质量</w:t>
      </w:r>
      <w:bookmarkEnd w:id="22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5.1 质量要求</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5</w:t>
      </w:r>
      <w:bookmarkStart w:id="233" w:name="_Toc318581164"/>
      <w:r/>
      <w:bookmarkStart w:id="234" w:name="_Toc297216155"/>
      <w:r/>
      <w:bookmarkStart w:id="235" w:name="_Toc303539106"/>
      <w:r/>
      <w:bookmarkStart w:id="236" w:name="_Toc304295527"/>
      <w:r/>
      <w:bookmarkStart w:id="237" w:name="_Toc300934949"/>
      <w:r/>
      <w:bookmarkStart w:id="238" w:name="_Toc297123496"/>
      <w:r/>
      <w:bookmarkStart w:id="239" w:name="_Toc312677997"/>
      <w:r>
        <w:rPr>
          <w:rFonts w:hint="eastAsia" w:ascii="仿宋" w:hAnsi="仿宋" w:eastAsia="仿宋" w:cs="仿宋"/>
          <w:color w:val="auto"/>
          <w:sz w:val="24"/>
          <w:szCs w:val="24"/>
          <w:highlight w:val="none"/>
        </w:rPr>
        <w:t xml:space="preserve">.1.1 特殊质量标准和要求：</w:t>
      </w:r>
      <w:r>
        <w:rPr>
          <w:rFonts w:hint="eastAsia" w:ascii="仿宋" w:hAnsi="仿宋" w:eastAsia="仿宋" w:cs="仿宋"/>
          <w:color w:val="auto"/>
          <w:sz w:val="24"/>
          <w:szCs w:val="24"/>
          <w:highlight w:val="none"/>
          <w:u w:val="single"/>
        </w:rPr>
        <w:t xml:space="preserve"> 一次性验收合格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5.2 隐蔽工程检查</w:t>
      </w:r>
      <w:r/>
    </w:p>
    <w:p>
      <w:pPr>
        <w:ind w:firstLine="420"/>
        <w:spacing w:line="360" w:lineRule="auto"/>
        <w:rPr>
          <w:rFonts w:hint="eastAsia" w:ascii="仿宋" w:hAnsi="仿宋" w:eastAsia="仿宋" w:cs="仿宋"/>
          <w:color w:val="auto"/>
          <w:sz w:val="24"/>
          <w:szCs w:val="24"/>
          <w:highlight w:val="none"/>
        </w:rPr>
      </w:pPr>
      <w:r/>
      <w:bookmarkStart w:id="240" w:name="_Toc351203638"/>
      <w:r>
        <w:rPr>
          <w:rFonts w:hint="eastAsia" w:ascii="仿宋" w:hAnsi="仿宋" w:eastAsia="仿宋" w:cs="仿宋"/>
          <w:color w:val="auto"/>
          <w:sz w:val="24"/>
          <w:szCs w:val="24"/>
          <w:highlight w:val="none"/>
        </w:rPr>
        <w:t xml:space="preserve">5.2.1 承包人提前通知监理人隐蔽工程检查的期限的约定：</w:t>
      </w:r>
      <w:r>
        <w:rPr>
          <w:rFonts w:hint="eastAsia" w:ascii="仿宋" w:hAnsi="仿宋" w:eastAsia="仿宋" w:cs="仿宋"/>
          <w:color w:val="auto"/>
          <w:sz w:val="24"/>
          <w:szCs w:val="24"/>
          <w:highlight w:val="none"/>
          <w:u w:val="single"/>
        </w:rPr>
        <w:t xml:space="preserve">按质监部门的有关要求及通用条款规定执行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keepLines/>
        <w:keepNext/>
        <w:spacing w:before="164" w:after="164"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6. 安全文明施工与环境保护</w:t>
      </w:r>
      <w:bookmarkEnd w:id="24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6.1 安全文明施工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仿宋" w:hAnsi="仿宋" w:eastAsia="仿宋" w:cs="仿宋"/>
          <w:color w:val="auto"/>
          <w:sz w:val="24"/>
          <w:szCs w:val="24"/>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6.1.2 关于治安保卫的特别约定：</w:t>
      </w:r>
      <w:r>
        <w:rPr>
          <w:rFonts w:hint="eastAsia" w:ascii="仿宋" w:hAnsi="仿宋" w:eastAsia="仿宋" w:cs="仿宋"/>
          <w:color w:val="auto"/>
          <w:sz w:val="24"/>
          <w:szCs w:val="24"/>
          <w:highlight w:val="none"/>
          <w:u w:val="single"/>
        </w:rPr>
        <w:t xml:space="preserve">承包人应保证在整个合同履行过程中不发生民事或刑事案件，并承担施工安全保卫工作及非夜间施工照明的责任和要求：在实施和完成</w:t>
      </w:r>
      <w:r>
        <w:rPr>
          <w:rFonts w:hint="eastAsia" w:ascii="仿宋" w:hAnsi="仿宋" w:eastAsia="仿宋" w:cs="仿宋"/>
          <w:color w:val="auto"/>
          <w:sz w:val="24"/>
          <w:szCs w:val="24"/>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6.1.3 文明施工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按照《徐州市市区扬尘污染防治办</w:t>
      </w:r>
      <w:r>
        <w:rPr>
          <w:rFonts w:hint="eastAsia" w:ascii="仿宋" w:hAnsi="仿宋" w:eastAsia="仿宋" w:cs="仿宋"/>
          <w:color w:val="auto"/>
          <w:sz w:val="24"/>
          <w:szCs w:val="24"/>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为保证道路交通安全及运输畅通,当施工期间，承包人必须与交通和公安部门协商，采取足够的交通疏导措施；承包人制定运输计划时，应避开现有道路上在高峰时的运输。投标人的扬尘防控环保要求必须符合严格按照现行有效文件执行。该费用已经包含在投标报价当中，结算不再增加此项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关于安全文明施工费支付比例和支付期限的约定：</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bookmarkEnd w:id="233"/>
      <w:r/>
      <w:bookmarkEnd w:id="234"/>
      <w:r/>
      <w:bookmarkEnd w:id="235"/>
      <w:r/>
      <w:bookmarkEnd w:id="236"/>
      <w:r/>
      <w:bookmarkEnd w:id="237"/>
      <w:r/>
      <w:bookmarkEnd w:id="238"/>
      <w:r/>
      <w:bookmarkEnd w:id="239"/>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41" w:name="_Toc351203639"/>
      <w:r>
        <w:rPr>
          <w:rFonts w:hint="eastAsia" w:ascii="仿宋" w:hAnsi="仿宋" w:eastAsia="仿宋" w:cs="仿宋"/>
          <w:color w:val="auto"/>
          <w:sz w:val="24"/>
          <w:szCs w:val="24"/>
          <w:highlight w:val="none"/>
        </w:rPr>
        <w:t xml:space="preserve">7. 工期和进度</w:t>
      </w:r>
      <w:bookmarkEnd w:id="24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7.1 施工组织设计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7.1.2 施工组织设计的提交和修改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收到需要确认的文件后7日内。工程师对施工组织设计和进度计划的任何确认、调整和修改意见不免除和减轻承包人的工期责任</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2" w:name="_Toc312678005"/>
      <w:r/>
      <w:bookmarkStart w:id="243" w:name="_Toc297123514"/>
      <w:r/>
      <w:bookmarkStart w:id="244" w:name="_Toc303539123"/>
      <w:r/>
      <w:bookmarkStart w:id="245" w:name="_Toc304295541"/>
      <w:r/>
      <w:bookmarkStart w:id="246" w:name="_Toc300934966"/>
      <w:r/>
      <w:bookmarkStart w:id="247" w:name="_Toc312677479"/>
      <w:r/>
      <w:bookmarkStart w:id="248" w:name="_Toc297216173"/>
      <w:r>
        <w:rPr>
          <w:rFonts w:hint="eastAsia" w:ascii="仿宋" w:hAnsi="仿宋" w:eastAsia="仿宋" w:cs="仿宋"/>
          <w:color w:val="auto"/>
          <w:sz w:val="24"/>
          <w:szCs w:val="24"/>
          <w:highlight w:val="none"/>
        </w:rPr>
        <w:t xml:space="preserve">.2 施工进度计划</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7.2.1 施工进度计划的修订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收到后一周内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7.3 开工</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7.3.1 开工准备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 开工前14日内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协商办理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7.3.2 开工通知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90 </w:t>
      </w:r>
      <w:r>
        <w:rPr>
          <w:rFonts w:hint="eastAsia" w:ascii="仿宋" w:hAnsi="仿宋" w:eastAsia="仿宋" w:cs="仿宋"/>
          <w:color w:val="auto"/>
          <w:sz w:val="24"/>
          <w:szCs w:val="24"/>
          <w:highlight w:val="none"/>
        </w:rPr>
        <w:t xml:space="preserve">天内发出开工通知的，承包人有权提出价格调整要求，或者解除合同。</w:t>
      </w:r>
      <w:bookmarkEnd w:id="242"/>
      <w:r/>
      <w:bookmarkEnd w:id="243"/>
      <w:r/>
      <w:bookmarkEnd w:id="244"/>
      <w:r/>
      <w:bookmarkEnd w:id="245"/>
      <w:r/>
      <w:bookmarkEnd w:id="246"/>
      <w:r/>
      <w:bookmarkEnd w:id="247"/>
      <w:r/>
      <w:bookmarkEnd w:id="248"/>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7.4 测量放线</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 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49" w:name="_Toc304295546"/>
      <w:r/>
      <w:bookmarkStart w:id="250" w:name="_Toc312678010"/>
      <w:r/>
      <w:bookmarkStart w:id="251" w:name="_Toc297123516"/>
      <w:r/>
      <w:bookmarkStart w:id="252" w:name="_Toc312677484"/>
      <w:r/>
      <w:bookmarkStart w:id="253" w:name="_Toc303539125"/>
      <w:r/>
      <w:bookmarkStart w:id="254" w:name="_Toc297216175"/>
      <w:r/>
      <w:bookmarkStart w:id="255" w:name="_Toc300934968"/>
      <w:r>
        <w:rPr>
          <w:rFonts w:hint="eastAsia" w:ascii="仿宋" w:hAnsi="仿宋" w:eastAsia="仿宋" w:cs="仿宋"/>
          <w:color w:val="auto"/>
          <w:sz w:val="24"/>
          <w:szCs w:val="24"/>
          <w:highlight w:val="none"/>
        </w:rPr>
        <w:t xml:space="preserve">.5 工期延误</w:t>
      </w:r>
      <w:bookmarkEnd w:id="249"/>
      <w:r/>
      <w:bookmarkEnd w:id="250"/>
      <w:r/>
      <w:bookmarkEnd w:id="251"/>
      <w:r/>
      <w:bookmarkEnd w:id="252"/>
      <w:r/>
      <w:bookmarkEnd w:id="253"/>
      <w:r/>
      <w:bookmarkEnd w:id="254"/>
      <w:r/>
      <w:bookmarkEnd w:id="255"/>
      <w:r/>
      <w:r/>
    </w:p>
    <w:p>
      <w:pPr>
        <w:ind w:firstLine="420"/>
        <w:spacing w:line="360" w:lineRule="auto"/>
        <w:rPr>
          <w:rFonts w:hint="eastAsia" w:ascii="仿宋" w:hAnsi="仿宋" w:eastAsia="仿宋" w:cs="仿宋"/>
          <w:color w:val="auto"/>
          <w:sz w:val="24"/>
          <w:szCs w:val="24"/>
          <w:highlight w:val="none"/>
        </w:rPr>
        <w:outlineLvl w:val="3"/>
      </w:pPr>
      <w:r/>
      <w:bookmarkStart w:id="256" w:name="_Toc318581171"/>
      <w:r/>
      <w:bookmarkStart w:id="257" w:name="_Toc312678014"/>
      <w:r>
        <w:rPr>
          <w:rFonts w:hint="eastAsia" w:ascii="仿宋" w:hAnsi="仿宋" w:eastAsia="仿宋" w:cs="仿宋"/>
          <w:color w:val="auto"/>
          <w:sz w:val="24"/>
          <w:szCs w:val="24"/>
          <w:highlight w:val="none"/>
        </w:rPr>
        <w:t xml:space="preserve">7.5.1 因发包人原因导致工期延误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因发包人原因导致工期延误的其他情形：</w:t>
      </w:r>
      <w:r>
        <w:rPr>
          <w:rFonts w:hint="eastAsia" w:ascii="仿宋" w:hAnsi="仿宋" w:eastAsia="仿宋" w:cs="仿宋"/>
          <w:color w:val="auto"/>
          <w:sz w:val="24"/>
          <w:szCs w:val="24"/>
          <w:highlight w:val="none"/>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7</w:t>
      </w:r>
      <w:bookmarkStart w:id="258" w:name="_Toc318581169"/>
      <w:r/>
      <w:bookmarkStart w:id="259" w:name="_Toc312678012"/>
      <w:r/>
      <w:bookmarkStart w:id="260" w:name="_Toc312677486"/>
      <w:r/>
      <w:bookmarkStart w:id="261" w:name="_Toc297123518"/>
      <w:r/>
      <w:bookmarkStart w:id="262" w:name="_Toc304295548"/>
      <w:r/>
      <w:bookmarkStart w:id="263" w:name="_Toc300934970"/>
      <w:r/>
      <w:bookmarkStart w:id="264" w:name="_Toc297216177"/>
      <w:r/>
      <w:bookmarkStart w:id="265" w:name="_Toc303539127"/>
      <w:r>
        <w:rPr>
          <w:rFonts w:hint="eastAsia" w:ascii="仿宋" w:hAnsi="仿宋" w:eastAsia="仿宋" w:cs="仿宋"/>
          <w:color w:val="auto"/>
          <w:sz w:val="24"/>
          <w:szCs w:val="24"/>
          <w:highlight w:val="none"/>
        </w:rPr>
        <w:t xml:space="preserve">.5.2 因承包人原因导致工期延误</w:t>
      </w:r>
      <w:bookmarkEnd w:id="258"/>
      <w:r/>
      <w:bookmarkEnd w:id="259"/>
      <w:r/>
      <w:bookmarkEnd w:id="26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266" w:name="_Toc312678013"/>
      <w:r/>
      <w:bookmarkStart w:id="267" w:name="_Toc318581170"/>
      <w:r/>
      <w:bookmarkStart w:id="268" w:name="_Toc312677487"/>
      <w:r>
        <w:rPr>
          <w:rFonts w:hint="eastAsia" w:ascii="仿宋" w:hAnsi="仿宋" w:eastAsia="仿宋" w:cs="仿宋"/>
          <w:color w:val="auto"/>
          <w:sz w:val="24"/>
          <w:szCs w:val="24"/>
          <w:highlight w:val="none"/>
        </w:rPr>
        <w:t xml:space="preserve">承包人原因造成工期延误，逾期竣工违约金的计算方法为：</w:t>
      </w:r>
      <w:r>
        <w:rPr>
          <w:rFonts w:hint="eastAsia" w:ascii="仿宋" w:hAnsi="仿宋" w:eastAsia="仿宋" w:cs="仿宋"/>
          <w:color w:val="auto"/>
          <w:sz w:val="24"/>
          <w:szCs w:val="24"/>
          <w:highlight w:val="none"/>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hint="eastAsia" w:ascii="仿宋" w:hAnsi="仿宋" w:eastAsia="仿宋" w:cs="仿宋"/>
          <w:color w:val="auto"/>
          <w:sz w:val="24"/>
          <w:szCs w:val="24"/>
          <w:highlight w:val="none"/>
        </w:rPr>
        <w:t xml:space="preserve">。</w:t>
      </w:r>
      <w:bookmarkEnd w:id="261"/>
      <w:r/>
      <w:bookmarkEnd w:id="262"/>
      <w:r/>
      <w:bookmarkEnd w:id="263"/>
      <w:r/>
      <w:bookmarkEnd w:id="264"/>
      <w:r/>
      <w:bookmarkEnd w:id="265"/>
      <w:r/>
      <w:bookmarkEnd w:id="266"/>
      <w:r/>
      <w:bookmarkEnd w:id="267"/>
      <w:r/>
      <w:bookmarkEnd w:id="26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因承包人原因造成工期延误，逾期竣工违约金的上限：</w:t>
      </w:r>
      <w:r>
        <w:rPr>
          <w:rFonts w:hint="eastAsia" w:ascii="仿宋" w:hAnsi="仿宋" w:eastAsia="仿宋" w:cs="仿宋"/>
          <w:color w:val="auto"/>
          <w:sz w:val="24"/>
          <w:szCs w:val="24"/>
          <w:highlight w:val="none"/>
          <w:u w:val="single"/>
        </w:rPr>
        <w:t xml:space="preserve">合同总价的 5 % </w:t>
      </w:r>
      <w:r>
        <w:rPr>
          <w:rFonts w:hint="eastAsia" w:ascii="仿宋" w:hAnsi="仿宋" w:eastAsia="仿宋" w:cs="仿宋"/>
          <w:color w:val="auto"/>
          <w:sz w:val="24"/>
          <w:szCs w:val="24"/>
          <w:highlight w:val="none"/>
        </w:rPr>
        <w:t xml:space="preserve">。</w:t>
      </w:r>
      <w:bookmarkEnd w:id="256"/>
      <w:r/>
      <w:bookmarkEnd w:id="25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69" w:name="_Toc304295549"/>
      <w:r/>
      <w:bookmarkStart w:id="270" w:name="_Toc300934971"/>
      <w:r/>
      <w:bookmarkStart w:id="271" w:name="_Toc297216178"/>
      <w:r/>
      <w:bookmarkStart w:id="272" w:name="_Toc297123519"/>
      <w:r/>
      <w:bookmarkStart w:id="273" w:name="_Toc303539128"/>
      <w:r/>
      <w:bookmarkStart w:id="274" w:name="_Toc312678015"/>
      <w:r>
        <w:rPr>
          <w:rFonts w:hint="eastAsia" w:ascii="仿宋" w:hAnsi="仿宋" w:eastAsia="仿宋" w:cs="仿宋"/>
          <w:color w:val="auto"/>
          <w:sz w:val="24"/>
          <w:szCs w:val="24"/>
          <w:highlight w:val="none"/>
        </w:rPr>
        <w:t xml:space="preserve">.6 不</w:t>
      </w:r>
      <w:bookmarkEnd w:id="269"/>
      <w:r/>
      <w:bookmarkEnd w:id="270"/>
      <w:r/>
      <w:bookmarkEnd w:id="271"/>
      <w:r/>
      <w:bookmarkEnd w:id="272"/>
      <w:r/>
      <w:bookmarkEnd w:id="273"/>
      <w:r/>
      <w:bookmarkEnd w:id="274"/>
      <w:r>
        <w:rPr>
          <w:rFonts w:hint="eastAsia" w:ascii="仿宋" w:hAnsi="仿宋" w:eastAsia="仿宋" w:cs="仿宋"/>
          <w:color w:val="auto"/>
          <w:sz w:val="24"/>
          <w:szCs w:val="24"/>
          <w:highlight w:val="none"/>
        </w:rPr>
        <w:t xml:space="preserve">利物质条件</w:t>
      </w:r>
      <w:r/>
    </w:p>
    <w:p>
      <w:pPr>
        <w:ind w:firstLine="420"/>
        <w:spacing w:line="360" w:lineRule="auto"/>
        <w:rPr>
          <w:rFonts w:hint="eastAsia" w:ascii="仿宋" w:hAnsi="仿宋" w:eastAsia="仿宋" w:cs="仿宋"/>
          <w:color w:val="auto"/>
          <w:sz w:val="24"/>
          <w:szCs w:val="24"/>
          <w:highlight w:val="none"/>
        </w:rPr>
      </w:pPr>
      <w:r/>
      <w:bookmarkStart w:id="275" w:name="_Toc297216179"/>
      <w:r/>
      <w:bookmarkStart w:id="276" w:name="_Toc312678016"/>
      <w:r/>
      <w:bookmarkStart w:id="277" w:name="_Toc303539129"/>
      <w:r/>
      <w:bookmarkStart w:id="278" w:name="_Toc304295550"/>
      <w:r/>
      <w:bookmarkStart w:id="279" w:name="_Toc318581172"/>
      <w:r/>
      <w:bookmarkStart w:id="280" w:name="_Toc300934972"/>
      <w:r/>
      <w:bookmarkStart w:id="281" w:name="_Toc297123520"/>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hint="eastAsia" w:ascii="仿宋" w:hAnsi="仿宋" w:eastAsia="仿宋" w:cs="仿宋"/>
          <w:color w:val="auto"/>
          <w:sz w:val="24"/>
          <w:szCs w:val="24"/>
          <w:highlight w:val="none"/>
        </w:rPr>
        <w:t xml:space="preserve">。</w:t>
      </w:r>
      <w:bookmarkEnd w:id="275"/>
      <w:r/>
      <w:bookmarkEnd w:id="276"/>
      <w:r/>
      <w:bookmarkEnd w:id="277"/>
      <w:r/>
      <w:bookmarkEnd w:id="278"/>
      <w:r/>
      <w:bookmarkEnd w:id="279"/>
      <w:r/>
      <w:bookmarkEnd w:id="280"/>
      <w:r/>
      <w:bookmarkEnd w:id="28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w:t>
      </w:r>
      <w:bookmarkStart w:id="282" w:name="_Toc297123521"/>
      <w:r/>
      <w:bookmarkStart w:id="283" w:name="_Toc300934973"/>
      <w:r/>
      <w:bookmarkStart w:id="284" w:name="_Toc297216180"/>
      <w:r/>
      <w:bookmarkStart w:id="285" w:name="_Toc312678017"/>
      <w:r/>
      <w:bookmarkStart w:id="286" w:name="_Toc303539130"/>
      <w:r/>
      <w:bookmarkStart w:id="287" w:name="_Toc304295551"/>
      <w:r>
        <w:rPr>
          <w:rFonts w:hint="eastAsia" w:ascii="仿宋" w:hAnsi="仿宋" w:eastAsia="仿宋" w:cs="仿宋"/>
          <w:color w:val="auto"/>
          <w:sz w:val="24"/>
          <w:szCs w:val="24"/>
          <w:highlight w:val="none"/>
        </w:rPr>
        <w:t xml:space="preserve">.7 异常恶劣的气候条件</w:t>
      </w:r>
      <w:bookmarkEnd w:id="282"/>
      <w:r/>
      <w:bookmarkEnd w:id="283"/>
      <w:r/>
      <w:bookmarkEnd w:id="284"/>
      <w:r/>
      <w:bookmarkEnd w:id="285"/>
      <w:r/>
      <w:bookmarkEnd w:id="286"/>
      <w:r/>
      <w:bookmarkEnd w:id="28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7.8 提前竣工的奖励</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7.8.1 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288" w:name="_Toc351203640"/>
      <w:r>
        <w:rPr>
          <w:rFonts w:hint="eastAsia" w:ascii="仿宋" w:hAnsi="仿宋" w:eastAsia="仿宋" w:cs="仿宋"/>
          <w:color w:val="auto"/>
          <w:sz w:val="24"/>
          <w:szCs w:val="24"/>
          <w:highlight w:val="none"/>
        </w:rPr>
        <w:t xml:space="preserve">8. 材料与设备</w:t>
      </w:r>
      <w:bookmarkEnd w:id="223"/>
      <w:r/>
      <w:bookmarkEnd w:id="224"/>
      <w:r/>
      <w:bookmarkEnd w:id="225"/>
      <w:r/>
      <w:bookmarkEnd w:id="226"/>
      <w:r/>
      <w:bookmarkEnd w:id="227"/>
      <w:r/>
      <w:bookmarkEnd w:id="228"/>
      <w:r/>
      <w:bookmarkEnd w:id="229"/>
      <w:r/>
      <w:bookmarkEnd w:id="230"/>
      <w:r/>
      <w:bookmarkEnd w:id="231"/>
      <w:r/>
      <w:bookmarkEnd w:id="232"/>
      <w:r/>
      <w:bookmarkEnd w:id="288"/>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w:t>
      </w:r>
      <w:bookmarkStart w:id="289" w:name="_Toc296503167"/>
      <w:r/>
      <w:bookmarkStart w:id="290" w:name="_Toc296347166"/>
      <w:r/>
      <w:bookmarkStart w:id="291" w:name="_Toc280868654"/>
      <w:r/>
      <w:bookmarkStart w:id="292" w:name="_Toc292559877"/>
      <w:r/>
      <w:bookmarkStart w:id="293" w:name="_Toc303539136"/>
      <w:r/>
      <w:bookmarkStart w:id="294" w:name="_Toc297216186"/>
      <w:r/>
      <w:bookmarkStart w:id="295" w:name="_Toc296891207"/>
      <w:r/>
      <w:bookmarkStart w:id="296" w:name="_Toc300934979"/>
      <w:r/>
      <w:bookmarkStart w:id="297" w:name="_Toc297123527"/>
      <w:r/>
      <w:bookmarkStart w:id="298" w:name="_Toc312677493"/>
      <w:r/>
      <w:bookmarkStart w:id="299" w:name="_Toc312678019"/>
      <w:r/>
      <w:bookmarkStart w:id="300" w:name="_Toc296346668"/>
      <w:r/>
      <w:bookmarkStart w:id="301" w:name="_Toc297120467"/>
      <w:r/>
      <w:bookmarkStart w:id="302" w:name="_Toc296944506"/>
      <w:r/>
      <w:bookmarkStart w:id="303" w:name="_Toc297048353"/>
      <w:r/>
      <w:bookmarkStart w:id="304" w:name="_Toc304295556"/>
      <w:r/>
      <w:bookmarkStart w:id="305" w:name="_Toc292559372"/>
      <w:r/>
      <w:bookmarkStart w:id="306" w:name="_Toc296890995"/>
      <w:r/>
      <w:bookmarkStart w:id="307" w:name="_Toc267251424"/>
      <w:r/>
      <w:bookmarkStart w:id="308" w:name="_Toc280868655"/>
      <w:r/>
      <w:bookmarkStart w:id="309" w:name="_Toc280868656"/>
      <w:r>
        <w:rPr>
          <w:rFonts w:hint="eastAsia" w:ascii="仿宋" w:hAnsi="仿宋" w:eastAsia="仿宋" w:cs="仿宋"/>
          <w:color w:val="auto"/>
          <w:sz w:val="24"/>
          <w:szCs w:val="24"/>
          <w:highlight w:val="none"/>
        </w:rPr>
        <w:t xml:space="preserve">.4 材料与工程设备的保管与使用</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310" w:name="_Toc292559878"/>
      <w:r/>
      <w:bookmarkStart w:id="311" w:name="_Toc292559373"/>
      <w:r/>
      <w:bookmarkStart w:id="312" w:name="_Toc296891208"/>
      <w:r/>
      <w:bookmarkStart w:id="313" w:name="_Toc296346669"/>
      <w:r/>
      <w:bookmarkStart w:id="314" w:name="_Toc304295557"/>
      <w:r/>
      <w:bookmarkStart w:id="315" w:name="_Toc296944507"/>
      <w:r/>
      <w:bookmarkStart w:id="316" w:name="_Toc297123528"/>
      <w:r/>
      <w:bookmarkStart w:id="317" w:name="_Toc296503168"/>
      <w:r/>
      <w:bookmarkStart w:id="318" w:name="_Toc297048354"/>
      <w:r/>
      <w:bookmarkStart w:id="319" w:name="_Toc297120468"/>
      <w:r/>
      <w:bookmarkStart w:id="320" w:name="_Toc296347167"/>
      <w:r/>
      <w:bookmarkStart w:id="321" w:name="_Toc318581173"/>
      <w:r/>
      <w:bookmarkStart w:id="322" w:name="_Toc296890996"/>
      <w:r/>
      <w:bookmarkStart w:id="323" w:name="_Toc312677494"/>
      <w:r/>
      <w:bookmarkStart w:id="324" w:name="_Toc297216187"/>
      <w:r/>
      <w:bookmarkStart w:id="325" w:name="_Toc303539137"/>
      <w:r/>
      <w:bookmarkStart w:id="326" w:name="_Toc300934980"/>
      <w:r/>
      <w:bookmarkStart w:id="327" w:name="_Toc312678020"/>
      <w:r>
        <w:rPr>
          <w:rFonts w:hint="eastAsia" w:ascii="仿宋" w:hAnsi="仿宋" w:eastAsia="仿宋" w:cs="仿宋"/>
          <w:color w:val="auto"/>
          <w:sz w:val="24"/>
          <w:szCs w:val="24"/>
          <w:highlight w:val="none"/>
        </w:rPr>
        <w:t xml:space="preserve">.4.1 发包人供应的材料设备的保管费用的承担：</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0"/>
      <w:r/>
      <w:bookmarkEnd w:id="311"/>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8.4.2 本工程检测费用的承担：</w:t>
      </w:r>
      <w:r>
        <w:rPr>
          <w:rFonts w:hint="eastAsia" w:ascii="仿宋" w:hAnsi="仿宋" w:eastAsia="仿宋" w:cs="仿宋"/>
          <w:b/>
          <w:color w:val="auto"/>
          <w:sz w:val="24"/>
          <w:szCs w:val="24"/>
          <w:highlight w:val="none"/>
          <w:u w:val="single"/>
        </w:rPr>
        <w:t xml:space="preserve">承包人承担，包含在投标报价中，发包人不在另行支付。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8.5 样品</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8.5.1 样品的报送与封存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8.6 施工设备和临时设施</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8.6.1 承包人提供的施工设备和临时设施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28" w:name="_Toc351203641"/>
      <w:r>
        <w:rPr>
          <w:rFonts w:hint="eastAsia" w:ascii="仿宋" w:hAnsi="仿宋" w:eastAsia="仿宋" w:cs="仿宋"/>
          <w:color w:val="auto"/>
          <w:sz w:val="24"/>
          <w:szCs w:val="24"/>
          <w:highlight w:val="none"/>
        </w:rPr>
        <w:t xml:space="preserve">9</w:t>
      </w:r>
      <w:bookmarkEnd w:id="307"/>
      <w:r/>
      <w:bookmarkEnd w:id="308"/>
      <w:r/>
      <w:bookmarkEnd w:id="309"/>
      <w:r/>
      <w:bookmarkStart w:id="329" w:name="_Toc300934982"/>
      <w:r/>
      <w:bookmarkStart w:id="330" w:name="_Toc303539139"/>
      <w:r/>
      <w:bookmarkStart w:id="331" w:name="_Toc297216192"/>
      <w:r/>
      <w:bookmarkStart w:id="332" w:name="_Toc297123533"/>
      <w:r/>
      <w:bookmarkStart w:id="333" w:name="_Toc312678021"/>
      <w:r/>
      <w:bookmarkStart w:id="334" w:name="_Toc304295559"/>
      <w:r/>
      <w:bookmarkStart w:id="335" w:name="_Toc312677495"/>
      <w:r/>
      <w:bookmarkStart w:id="336" w:name="_Toc267251427"/>
      <w:r/>
      <w:bookmarkStart w:id="337" w:name="_Toc296891213"/>
      <w:r/>
      <w:bookmarkStart w:id="338" w:name="_Toc296503173"/>
      <w:r/>
      <w:bookmarkStart w:id="339" w:name="_Toc296347172"/>
      <w:r/>
      <w:bookmarkStart w:id="340" w:name="_Toc296346674"/>
      <w:r/>
      <w:bookmarkStart w:id="341" w:name="_Toc297048359"/>
      <w:r/>
      <w:bookmarkStart w:id="342" w:name="_Toc292559378"/>
      <w:r/>
      <w:bookmarkStart w:id="343" w:name="_Toc296891001"/>
      <w:r/>
      <w:bookmarkStart w:id="344" w:name="_Toc296944512"/>
      <w:r/>
      <w:bookmarkStart w:id="345" w:name="_Toc267251428"/>
      <w:r/>
      <w:bookmarkStart w:id="346" w:name="_Toc297120473"/>
      <w:r/>
      <w:bookmarkStart w:id="347" w:name="_Toc292559883"/>
      <w:r>
        <w:rPr>
          <w:rFonts w:hint="eastAsia" w:ascii="仿宋" w:hAnsi="仿宋" w:eastAsia="仿宋" w:cs="仿宋"/>
          <w:color w:val="auto"/>
          <w:sz w:val="24"/>
          <w:szCs w:val="24"/>
          <w:highlight w:val="none"/>
        </w:rPr>
        <w:t xml:space="preserve">. 试验与检验</w:t>
      </w:r>
      <w:bookmarkEnd w:id="328"/>
      <w:r/>
      <w:bookmarkEnd w:id="329"/>
      <w:r/>
      <w:bookmarkEnd w:id="330"/>
      <w:r/>
      <w:bookmarkEnd w:id="331"/>
      <w:r/>
      <w:bookmarkEnd w:id="332"/>
      <w:r/>
      <w:bookmarkEnd w:id="333"/>
      <w:r/>
      <w:bookmarkEnd w:id="334"/>
      <w:r/>
      <w:bookmarkEnd w:id="33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w:t>
      </w:r>
      <w:bookmarkStart w:id="348" w:name="_Toc312677496"/>
      <w:r/>
      <w:bookmarkStart w:id="349" w:name="_Toc300934983"/>
      <w:r/>
      <w:bookmarkStart w:id="350" w:name="_Toc304295560"/>
      <w:r/>
      <w:bookmarkStart w:id="351" w:name="_Toc303539140"/>
      <w:r/>
      <w:bookmarkStart w:id="352" w:name="_Toc297216193"/>
      <w:r/>
      <w:bookmarkStart w:id="353" w:name="_Toc297123534"/>
      <w:r/>
      <w:bookmarkStart w:id="354" w:name="_Toc312678022"/>
      <w:r>
        <w:rPr>
          <w:rFonts w:hint="eastAsia" w:ascii="仿宋" w:hAnsi="仿宋" w:eastAsia="仿宋" w:cs="仿宋"/>
          <w:color w:val="auto"/>
          <w:sz w:val="24"/>
          <w:szCs w:val="24"/>
          <w:highlight w:val="none"/>
        </w:rPr>
        <w:t xml:space="preserve">.1 试验设备与试验人员</w:t>
      </w:r>
      <w:bookmarkEnd w:id="348"/>
      <w:r/>
      <w:bookmarkEnd w:id="349"/>
      <w:r/>
      <w:bookmarkEnd w:id="350"/>
      <w:r/>
      <w:bookmarkEnd w:id="351"/>
      <w:r/>
      <w:bookmarkEnd w:id="352"/>
      <w:r/>
      <w:bookmarkEnd w:id="353"/>
      <w:r/>
      <w:bookmarkEnd w:id="354"/>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9</w:t>
      </w:r>
      <w:bookmarkStart w:id="355" w:name="_Toc297216194"/>
      <w:r/>
      <w:bookmarkStart w:id="356" w:name="_Toc297123535"/>
      <w:r/>
      <w:bookmarkStart w:id="357" w:name="_Toc300934984"/>
      <w:r/>
      <w:bookmarkStart w:id="358" w:name="_Toc312678023"/>
      <w:r/>
      <w:bookmarkStart w:id="359" w:name="_Toc304295561"/>
      <w:r/>
      <w:bookmarkStart w:id="360" w:name="_Toc303539141"/>
      <w:r/>
      <w:bookmarkStart w:id="361" w:name="_Toc312677497"/>
      <w:r/>
      <w:bookmarkStart w:id="362" w:name="_Toc318581174"/>
      <w:r>
        <w:rPr>
          <w:rFonts w:hint="eastAsia" w:ascii="仿宋" w:hAnsi="仿宋" w:eastAsia="仿宋" w:cs="仿宋"/>
          <w:color w:val="auto"/>
          <w:sz w:val="24"/>
          <w:szCs w:val="24"/>
          <w:highlight w:val="none"/>
        </w:rPr>
        <w:t xml:space="preserve">.1.1 试验设备</w:t>
      </w:r>
      <w:bookmarkEnd w:id="355"/>
      <w:r/>
      <w:bookmarkEnd w:id="356"/>
      <w:r/>
      <w:bookmarkEnd w:id="357"/>
      <w:r/>
      <w:bookmarkEnd w:id="358"/>
      <w:r/>
      <w:bookmarkEnd w:id="359"/>
      <w:r/>
      <w:bookmarkEnd w:id="360"/>
      <w:r/>
      <w:bookmarkEnd w:id="361"/>
      <w:r/>
      <w:r/>
    </w:p>
    <w:p>
      <w:pPr>
        <w:ind w:firstLine="420"/>
        <w:spacing w:line="360" w:lineRule="auto"/>
        <w:rPr>
          <w:rFonts w:hint="eastAsia" w:ascii="仿宋" w:hAnsi="仿宋" w:eastAsia="仿宋" w:cs="仿宋"/>
          <w:color w:val="auto"/>
          <w:sz w:val="24"/>
          <w:szCs w:val="24"/>
          <w:highlight w:val="none"/>
        </w:rPr>
      </w:pPr>
      <w:r/>
      <w:bookmarkStart w:id="363" w:name="_Toc297216195"/>
      <w:r/>
      <w:bookmarkStart w:id="364" w:name="_Toc312677498"/>
      <w:r/>
      <w:bookmarkStart w:id="365" w:name="_Toc300934985"/>
      <w:r/>
      <w:bookmarkStart w:id="366" w:name="_Toc304295562"/>
      <w:r/>
      <w:bookmarkStart w:id="367" w:name="_Toc303539142"/>
      <w:r/>
      <w:bookmarkStart w:id="368" w:name="_Toc297123536"/>
      <w:r/>
      <w:bookmarkStart w:id="369" w:name="_Toc312678024"/>
      <w:r>
        <w:rPr>
          <w:rFonts w:hint="eastAsia" w:ascii="仿宋" w:hAnsi="仿宋" w:eastAsia="仿宋" w:cs="仿宋"/>
          <w:color w:val="auto"/>
          <w:sz w:val="24"/>
          <w:szCs w:val="24"/>
          <w:highlight w:val="none"/>
        </w:rPr>
        <w:t xml:space="preserve">施工现场需要配置的试验场所：</w:t>
      </w:r>
      <w:r>
        <w:rPr>
          <w:rFonts w:hint="eastAsia" w:ascii="仿宋" w:hAnsi="仿宋" w:eastAsia="仿宋" w:cs="仿宋"/>
          <w:color w:val="auto"/>
          <w:sz w:val="24"/>
          <w:szCs w:val="24"/>
          <w:highlight w:val="none"/>
          <w:u w:val="single"/>
        </w:rPr>
        <w:t xml:space="preserve">由承包人根据工程情况自行设置建设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由承包人自行承担，并包含在合同总价内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9.2 现场工艺试验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362"/>
      <w:r/>
      <w:bookmarkEnd w:id="363"/>
      <w:r/>
      <w:bookmarkEnd w:id="364"/>
      <w:r/>
      <w:bookmarkEnd w:id="365"/>
      <w:r/>
      <w:bookmarkEnd w:id="366"/>
      <w:r/>
      <w:bookmarkEnd w:id="367"/>
      <w:r/>
      <w:bookmarkEnd w:id="368"/>
      <w:r/>
      <w:bookmarkEnd w:id="369"/>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370" w:name="_Toc351203642"/>
      <w:r>
        <w:rPr>
          <w:rFonts w:hint="eastAsia" w:ascii="仿宋" w:hAnsi="仿宋" w:eastAsia="仿宋" w:cs="仿宋"/>
          <w:color w:val="auto"/>
          <w:sz w:val="24"/>
          <w:szCs w:val="24"/>
          <w:highlight w:val="none"/>
        </w:rPr>
        <w:t xml:space="preserve">1</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Start w:id="371" w:name="_Toc297216199"/>
      <w:r/>
      <w:bookmarkStart w:id="372" w:name="_Toc292559903"/>
      <w:r/>
      <w:bookmarkStart w:id="373" w:name="_Toc296891021"/>
      <w:r/>
      <w:bookmarkStart w:id="374" w:name="_Toc300934989"/>
      <w:r/>
      <w:bookmarkStart w:id="375" w:name="_Toc292559398"/>
      <w:r/>
      <w:bookmarkStart w:id="376" w:name="_Toc296347192"/>
      <w:r/>
      <w:bookmarkStart w:id="377" w:name="_Toc303539146"/>
      <w:r/>
      <w:bookmarkStart w:id="378" w:name="_Toc304295566"/>
      <w:r/>
      <w:bookmarkStart w:id="379" w:name="_Toc297123540"/>
      <w:r/>
      <w:bookmarkStart w:id="380" w:name="_Toc297048379"/>
      <w:r/>
      <w:bookmarkStart w:id="381" w:name="_Toc312678025"/>
      <w:r/>
      <w:bookmarkStart w:id="382" w:name="_Toc312677499"/>
      <w:r/>
      <w:bookmarkStart w:id="383" w:name="_Toc296944532"/>
      <w:r/>
      <w:bookmarkStart w:id="384" w:name="_Toc296891233"/>
      <w:r/>
      <w:bookmarkStart w:id="385" w:name="_Toc296503193"/>
      <w:r/>
      <w:bookmarkStart w:id="386" w:name="_Toc297120493"/>
      <w:r/>
      <w:bookmarkStart w:id="387" w:name="_Toc296346694"/>
      <w:r/>
      <w:bookmarkStart w:id="388" w:name="_Toc267251437"/>
      <w:r/>
      <w:bookmarkStart w:id="389" w:name="_Toc267251440"/>
      <w:r/>
      <w:bookmarkStart w:id="390" w:name="_Toc267251439"/>
      <w:r/>
      <w:bookmarkStart w:id="391" w:name="_Toc267251433"/>
      <w:r/>
      <w:bookmarkStart w:id="392" w:name="_Toc267251441"/>
      <w:r/>
      <w:bookmarkStart w:id="393" w:name="_Toc267251435"/>
      <w:r/>
      <w:bookmarkStart w:id="394" w:name="_Toc267251442"/>
      <w:r>
        <w:rPr>
          <w:rFonts w:hint="eastAsia" w:ascii="仿宋" w:hAnsi="仿宋" w:eastAsia="仿宋" w:cs="仿宋"/>
          <w:color w:val="auto"/>
          <w:sz w:val="24"/>
          <w:szCs w:val="24"/>
          <w:highlight w:val="none"/>
        </w:rPr>
        <w:t xml:space="preserve">0. 变更</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395" w:name="_Toc296503194"/>
      <w:r/>
      <w:bookmarkStart w:id="396" w:name="_Toc292559399"/>
      <w:r/>
      <w:bookmarkStart w:id="397" w:name="_Toc292559904"/>
      <w:r/>
      <w:bookmarkStart w:id="398" w:name="_Toc300934990"/>
      <w:r/>
      <w:bookmarkStart w:id="399" w:name="_Toc312678026"/>
      <w:r/>
      <w:bookmarkStart w:id="400" w:name="_Toc297123541"/>
      <w:r/>
      <w:bookmarkStart w:id="401" w:name="_Toc296891234"/>
      <w:r/>
      <w:bookmarkStart w:id="402" w:name="_Toc296891022"/>
      <w:r/>
      <w:bookmarkStart w:id="403" w:name="_Toc297120494"/>
      <w:r/>
      <w:bookmarkStart w:id="404" w:name="_Toc297216200"/>
      <w:r/>
      <w:bookmarkStart w:id="405" w:name="_Toc304295567"/>
      <w:r/>
      <w:bookmarkStart w:id="406" w:name="_Toc296944533"/>
      <w:r/>
      <w:bookmarkStart w:id="407" w:name="_Toc303539147"/>
      <w:r/>
      <w:bookmarkStart w:id="408" w:name="_Toc297048380"/>
      <w:r/>
      <w:bookmarkStart w:id="409" w:name="_Toc296347193"/>
      <w:r/>
      <w:bookmarkStart w:id="410" w:name="_Toc296346695"/>
      <w:r/>
      <w:bookmarkStart w:id="411" w:name="_Toc312677500"/>
      <w:r>
        <w:rPr>
          <w:rFonts w:hint="eastAsia" w:ascii="仿宋" w:hAnsi="仿宋" w:eastAsia="仿宋" w:cs="仿宋"/>
          <w:color w:val="auto"/>
          <w:sz w:val="24"/>
          <w:szCs w:val="24"/>
          <w:highlight w:val="none"/>
        </w:rPr>
        <w:t xml:space="preserve">0.1 变更的范围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工程的设计变更由发包人提前通知监理、承包人，承包人应执行变更，工程变更、签证应先进行费用审批后实施</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10.2 变更估价</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10.2.1 变更估价原则</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① 对承包人超出设计图纸（含设计变更）范围和因承包人原因造成返工的工程量，发包人不予计量；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 所有涉及工程造价确定方面的资料（含所有的变更签证资料），必须经过发包人代表的书面确认后，方可作为竣工后价款结算的唯一依据。</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Start w:id="412" w:name="_Toc297048383"/>
      <w:r/>
      <w:bookmarkStart w:id="413" w:name="_Toc296347196"/>
      <w:r/>
      <w:bookmarkStart w:id="414" w:name="_Toc292559402"/>
      <w:r/>
      <w:bookmarkStart w:id="415" w:name="_Toc300934993"/>
      <w:r/>
      <w:bookmarkStart w:id="416" w:name="_Toc296503197"/>
      <w:r/>
      <w:bookmarkStart w:id="417" w:name="_Toc296891025"/>
      <w:r/>
      <w:bookmarkStart w:id="418" w:name="_Toc297120497"/>
      <w:r/>
      <w:bookmarkStart w:id="419" w:name="_Toc303539150"/>
      <w:r/>
      <w:bookmarkStart w:id="420" w:name="_Toc296346698"/>
      <w:r/>
      <w:bookmarkStart w:id="421" w:name="_Toc296891237"/>
      <w:r/>
      <w:bookmarkStart w:id="422" w:name="_Toc297216203"/>
      <w:r/>
      <w:bookmarkStart w:id="423" w:name="_Toc296944536"/>
      <w:r/>
      <w:bookmarkStart w:id="424" w:name="_Toc297123544"/>
      <w:r/>
      <w:bookmarkStart w:id="425" w:name="_Toc292559907"/>
      <w:r/>
      <w:bookmarkStart w:id="426" w:name="_Toc312677503"/>
      <w:r/>
      <w:bookmarkStart w:id="427" w:name="_Toc312678029"/>
      <w:r/>
      <w:bookmarkStart w:id="428" w:name="_Toc304295570"/>
      <w:r>
        <w:rPr>
          <w:rFonts w:hint="eastAsia" w:ascii="仿宋" w:hAnsi="仿宋" w:eastAsia="仿宋" w:cs="仿宋"/>
          <w:color w:val="auto"/>
          <w:sz w:val="24"/>
          <w:szCs w:val="24"/>
          <w:highlight w:val="none"/>
        </w:rPr>
        <w:t xml:space="preserve">0.3 承</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Start w:id="429" w:name="_Toc303539151"/>
      <w:r/>
      <w:bookmarkStart w:id="430" w:name="_Toc296346704"/>
      <w:r/>
      <w:bookmarkStart w:id="431" w:name="_Toc296891243"/>
      <w:r/>
      <w:bookmarkStart w:id="432" w:name="_Toc297216204"/>
      <w:r/>
      <w:bookmarkStart w:id="433" w:name="_Toc300934994"/>
      <w:r/>
      <w:bookmarkStart w:id="434" w:name="_Toc297048389"/>
      <w:r/>
      <w:bookmarkStart w:id="435" w:name="_Toc296891031"/>
      <w:r/>
      <w:bookmarkStart w:id="436" w:name="_Toc297120503"/>
      <w:r/>
      <w:bookmarkStart w:id="437" w:name="_Toc297123545"/>
      <w:r/>
      <w:bookmarkStart w:id="438" w:name="_Toc296347202"/>
      <w:r/>
      <w:bookmarkStart w:id="439" w:name="_Toc292559913"/>
      <w:r/>
      <w:bookmarkStart w:id="440" w:name="_Toc296503203"/>
      <w:r/>
      <w:bookmarkStart w:id="441" w:name="_Toc296944542"/>
      <w:r/>
      <w:bookmarkStart w:id="442" w:name="_Toc292559408"/>
      <w:r>
        <w:rPr>
          <w:rFonts w:hint="eastAsia" w:ascii="仿宋" w:hAnsi="仿宋" w:eastAsia="仿宋" w:cs="仿宋"/>
          <w:color w:val="auto"/>
          <w:sz w:val="24"/>
          <w:szCs w:val="24"/>
          <w:highlight w:val="none"/>
        </w:rPr>
        <w:t xml:space="preserve">包人的合理化建议</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7日内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443" w:name="_Toc292559409"/>
      <w:r/>
      <w:bookmarkStart w:id="444" w:name="_Toc312678030"/>
      <w:r/>
      <w:bookmarkStart w:id="445" w:name="_Toc296503204"/>
      <w:r/>
      <w:bookmarkStart w:id="446" w:name="_Toc297048390"/>
      <w:r/>
      <w:bookmarkStart w:id="447" w:name="_Toc297123546"/>
      <w:r/>
      <w:bookmarkStart w:id="448" w:name="_Toc296891244"/>
      <w:r/>
      <w:bookmarkStart w:id="449" w:name="_Toc303539152"/>
      <w:r/>
      <w:bookmarkStart w:id="450" w:name="_Toc297216205"/>
      <w:r/>
      <w:bookmarkStart w:id="451" w:name="_Toc300934995"/>
      <w:r/>
      <w:bookmarkStart w:id="452" w:name="_Toc318581175"/>
      <w:r/>
      <w:bookmarkStart w:id="453" w:name="_Toc292559914"/>
      <w:r/>
      <w:bookmarkStart w:id="454" w:name="_Toc296346705"/>
      <w:r/>
      <w:bookmarkStart w:id="455" w:name="_Toc297120504"/>
      <w:r/>
      <w:bookmarkStart w:id="456" w:name="_Toc296944543"/>
      <w:r/>
      <w:bookmarkStart w:id="457" w:name="_Toc312677504"/>
      <w:r/>
      <w:bookmarkStart w:id="458" w:name="_Toc296891032"/>
      <w:r/>
      <w:bookmarkStart w:id="459" w:name="_Toc296347203"/>
      <w:r/>
      <w:bookmarkStart w:id="460" w:name="_Toc304295571"/>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w:t>
      </w:r>
      <w:bookmarkStart w:id="461" w:name="_Toc303539154"/>
      <w:r/>
      <w:bookmarkStart w:id="462" w:name="_Toc312677507"/>
      <w:r/>
      <w:bookmarkStart w:id="463" w:name="_Toc296503199"/>
      <w:r/>
      <w:bookmarkStart w:id="464" w:name="_Toc297048385"/>
      <w:r/>
      <w:bookmarkStart w:id="465" w:name="_Toc297120499"/>
      <w:r/>
      <w:bookmarkStart w:id="466" w:name="_Toc297123548"/>
      <w:r/>
      <w:bookmarkStart w:id="467" w:name="_Toc292559909"/>
      <w:r/>
      <w:bookmarkStart w:id="468" w:name="_Toc292559404"/>
      <w:r/>
      <w:bookmarkStart w:id="469" w:name="_Toc300934997"/>
      <w:r/>
      <w:bookmarkStart w:id="470" w:name="_Toc296891027"/>
      <w:r/>
      <w:bookmarkStart w:id="471" w:name="_Toc296346700"/>
      <w:r/>
      <w:bookmarkStart w:id="472" w:name="_Toc304295574"/>
      <w:r/>
      <w:bookmarkStart w:id="473" w:name="_Toc296891239"/>
      <w:r/>
      <w:bookmarkStart w:id="474" w:name="_Toc296944538"/>
      <w:r/>
      <w:bookmarkStart w:id="475" w:name="_Toc312678033"/>
      <w:r/>
      <w:bookmarkStart w:id="476" w:name="_Toc297216207"/>
      <w:r/>
      <w:bookmarkStart w:id="477" w:name="_Toc296347198"/>
      <w:r>
        <w:rPr>
          <w:rFonts w:hint="eastAsia" w:ascii="仿宋" w:hAnsi="仿宋" w:eastAsia="仿宋" w:cs="仿宋"/>
          <w:color w:val="auto"/>
          <w:sz w:val="24"/>
          <w:szCs w:val="24"/>
          <w:highlight w:val="none"/>
        </w:rPr>
        <w:t xml:space="preserve">0.4 暂估价</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78" w:name="_Toc318581176"/>
      <w:r/>
      <w:bookmarkStart w:id="479" w:name="_Toc312678034"/>
      <w:r/>
      <w:bookmarkStart w:id="480" w:name="_Toc312677508"/>
      <w:r>
        <w:rPr>
          <w:rFonts w:hint="eastAsia" w:ascii="仿宋" w:hAnsi="仿宋" w:eastAsia="仿宋" w:cs="仿宋"/>
          <w:color w:val="auto"/>
          <w:sz w:val="24"/>
          <w:szCs w:val="24"/>
          <w:highlight w:val="none"/>
        </w:rPr>
        <w:t xml:space="preserve">估价材料和工程设备的明细详见附件11：《暂估价一览表》。</w:t>
      </w:r>
      <w:bookmarkEnd w:id="478"/>
      <w:r/>
      <w:bookmarkEnd w:id="479"/>
      <w:r/>
      <w:bookmarkEnd w:id="48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w:t>
      </w:r>
      <w:bookmarkStart w:id="481" w:name="_Toc312677509"/>
      <w:r/>
      <w:bookmarkStart w:id="482" w:name="_Toc318581177"/>
      <w:r/>
      <w:bookmarkStart w:id="483" w:name="_Toc312678035"/>
      <w:r>
        <w:rPr>
          <w:rFonts w:hint="eastAsia" w:ascii="仿宋" w:hAnsi="仿宋" w:eastAsia="仿宋" w:cs="仿宋"/>
          <w:color w:val="auto"/>
          <w:sz w:val="24"/>
          <w:szCs w:val="24"/>
          <w:highlight w:val="none"/>
        </w:rPr>
        <w:t xml:space="preserve">0.4.1 依法必须招标的暂估价项目</w:t>
      </w:r>
      <w:bookmarkEnd w:id="481"/>
      <w:r/>
      <w:bookmarkEnd w:id="482"/>
      <w:r/>
      <w:bookmarkEnd w:id="48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10.4.2 不属于依法必须招标的暂估价项目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第3种方式：承包人直接实施的暂估价项目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b/>
          <w:color w:val="auto"/>
          <w:sz w:val="24"/>
          <w:szCs w:val="24"/>
          <w:highlight w:val="none"/>
          <w:u w:val="single"/>
        </w:rPr>
        <w:t xml:space="preserve">材料暂估价中所有材料，施工过程中由发包方负责采购，费用由工程款支付</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10.5 暂列金额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如有，暂列金额应按照发包人的要求使用，发包人的要求应通过监理人发出，承包人应对发包人发出的要求进行响应</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484" w:name="_Toc351203643"/>
      <w:r>
        <w:rPr>
          <w:rFonts w:hint="eastAsia" w:ascii="仿宋" w:hAnsi="仿宋" w:eastAsia="仿宋" w:cs="仿宋"/>
          <w:color w:val="auto"/>
          <w:sz w:val="24"/>
          <w:szCs w:val="24"/>
          <w:highlight w:val="none"/>
        </w:rPr>
        <w:t xml:space="preserve">11. 价格调整</w:t>
      </w:r>
      <w:bookmarkEnd w:id="484"/>
      <w:r/>
      <w:r/>
    </w:p>
    <w:p>
      <w:pPr>
        <w:ind w:firstLine="420"/>
        <w:spacing w:line="360" w:lineRule="auto"/>
        <w:rPr>
          <w:rFonts w:hint="eastAsia" w:ascii="仿宋" w:hAnsi="仿宋" w:eastAsia="仿宋" w:cs="仿宋"/>
          <w:color w:val="auto"/>
          <w:sz w:val="24"/>
          <w:szCs w:val="24"/>
          <w:highlight w:val="none"/>
        </w:rPr>
        <w:outlineLvl w:val="2"/>
      </w:pPr>
      <w:r/>
      <w:bookmarkStart w:id="485" w:name="_Toc292559911"/>
      <w:r/>
      <w:bookmarkStart w:id="486" w:name="_Toc296944540"/>
      <w:r/>
      <w:bookmarkStart w:id="487" w:name="_Toc300935000"/>
      <w:r/>
      <w:bookmarkStart w:id="488" w:name="_Toc296503201"/>
      <w:r/>
      <w:bookmarkStart w:id="489" w:name="_Toc297120501"/>
      <w:r/>
      <w:bookmarkStart w:id="490" w:name="_Toc297216209"/>
      <w:r/>
      <w:bookmarkStart w:id="491" w:name="_Toc297048387"/>
      <w:r/>
      <w:bookmarkStart w:id="492" w:name="_Toc292559406"/>
      <w:r/>
      <w:bookmarkStart w:id="493" w:name="_Toc296347200"/>
      <w:r/>
      <w:bookmarkStart w:id="494" w:name="_Toc296346702"/>
      <w:r/>
      <w:bookmarkStart w:id="495" w:name="_Toc304295577"/>
      <w:r/>
      <w:bookmarkStart w:id="496" w:name="_Toc296891241"/>
      <w:r/>
      <w:bookmarkStart w:id="497" w:name="_Toc303539157"/>
      <w:r/>
      <w:bookmarkStart w:id="498" w:name="_Toc296891029"/>
      <w:r/>
      <w:bookmarkStart w:id="499" w:name="_Toc297123550"/>
      <w:r/>
      <w:bookmarkStart w:id="500" w:name="_Toc312678039"/>
      <w:r>
        <w:rPr>
          <w:rFonts w:hint="eastAsia" w:ascii="仿宋" w:hAnsi="仿宋" w:eastAsia="仿宋" w:cs="仿宋"/>
          <w:color w:val="auto"/>
          <w:sz w:val="24"/>
          <w:szCs w:val="24"/>
          <w:highlight w:val="none"/>
        </w:rPr>
        <w:t xml:space="preserve">11.1 市场价格波动引起的调整</w:t>
      </w:r>
      <w:bookmarkEnd w:id="388"/>
      <w:r/>
      <w:bookmarkEnd w:id="389"/>
      <w:r/>
      <w:bookmarkEnd w:id="390"/>
      <w:r/>
      <w:bookmarkEnd w:id="391"/>
      <w:r/>
      <w:bookmarkEnd w:id="392"/>
      <w:r/>
      <w:bookmarkEnd w:id="393"/>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firstLine="420"/>
        <w:spacing w:line="360" w:lineRule="auto"/>
        <w:rPr>
          <w:rFonts w:hint="eastAsia" w:ascii="仿宋" w:hAnsi="仿宋" w:eastAsia="仿宋" w:cs="仿宋"/>
          <w:color w:val="auto"/>
          <w:sz w:val="24"/>
          <w:szCs w:val="24"/>
          <w:highlight w:val="none"/>
        </w:rPr>
      </w:pPr>
      <w:r/>
      <w:bookmarkStart w:id="501" w:name="_Toc292559915"/>
      <w:r/>
      <w:bookmarkStart w:id="502" w:name="_Toc297120505"/>
      <w:r/>
      <w:bookmarkStart w:id="503" w:name="_Toc296346706"/>
      <w:r/>
      <w:bookmarkStart w:id="504" w:name="_Toc292559410"/>
      <w:r/>
      <w:bookmarkStart w:id="505" w:name="_Toc296891033"/>
      <w:r/>
      <w:bookmarkStart w:id="506" w:name="_Toc296347204"/>
      <w:r/>
      <w:bookmarkStart w:id="507" w:name="_Toc296944544"/>
      <w:r/>
      <w:bookmarkStart w:id="508" w:name="_Toc296503205"/>
      <w:r/>
      <w:bookmarkStart w:id="509" w:name="_Toc296891245"/>
      <w:r/>
      <w:bookmarkStart w:id="510" w:name="_Toc297048391"/>
      <w:r/>
      <w:bookmarkStart w:id="511" w:name="_Toc303539159"/>
      <w:r/>
      <w:bookmarkStart w:id="512" w:name="_Toc300935002"/>
      <w:r/>
      <w:bookmarkStart w:id="513" w:name="_Toc297216211"/>
      <w:r/>
      <w:bookmarkStart w:id="514" w:name="_Toc304295579"/>
      <w:r/>
      <w:bookmarkStart w:id="515" w:name="_Toc351203644"/>
      <w:r/>
      <w:bookmarkStart w:id="516" w:name="_Toc312678040"/>
      <w:r/>
      <w:bookmarkStart w:id="517" w:name="_Toc297123552"/>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除约定的调整范围外，其他材料、设备、机械费用等市场价格变化在投标综合单价里已考虑，不做调整，除不可抗力以外的其他风险</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种方式对合同价格进行调整：</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第1种方式：采用价格指数进行价格调整。</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第2种方式：采用造价信息进行价格调整。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关于基准价格的约定：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%时，或材料单价跌幅以已标价工程量清单或预算书中载明材料单价为基础超过%时，其超过部分据实调整。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%时，其超过部分据实调整。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420"/>
        <w:spacing w:line="360" w:lineRule="auto"/>
        <w:rPr>
          <w:rFonts w:hint="eastAsia" w:ascii="仿宋" w:hAnsi="仿宋" w:eastAsia="仿宋" w:cs="仿宋"/>
          <w:color w:val="auto"/>
          <w:sz w:val="24"/>
          <w:szCs w:val="24"/>
          <w:highlight w:val="none"/>
          <w:u w:val="single"/>
        </w:rPr>
        <w:outlineLvl w:val="3"/>
      </w:pPr>
      <w:r>
        <w:rPr>
          <w:rFonts w:hint="eastAsia" w:ascii="仿宋" w:hAnsi="仿宋" w:eastAsia="仿宋" w:cs="仿宋"/>
          <w:color w:val="auto"/>
          <w:sz w:val="24"/>
          <w:szCs w:val="24"/>
          <w:highlight w:val="none"/>
        </w:rPr>
        <w:t xml:space="preserve">第3种方式：其他价格调整方式：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根据苏建价〔2008〕67号《关于加强建筑材料价格风险控制的指导意见》规定：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4、本工程的措施项目（模板、脚手架、文明施工措施费除外）实行一次性包干费用，过程中发生的变更、签证费将不计取措施费，仅计取规费及税金。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5、承包人在施工过程中发生的变更、签证，应严格按发包人的变更、签证管理流程进行申报，其人工、机械、管理费、利润均按照投标时优惠率和费率。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6、人工费调整执行本项目工程量清单的规定同比例调整</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501"/>
      <w:r/>
      <w:bookmarkEnd w:id="502"/>
      <w:r/>
      <w:bookmarkEnd w:id="503"/>
      <w:r/>
      <w:bookmarkEnd w:id="504"/>
      <w:r/>
      <w:bookmarkEnd w:id="505"/>
      <w:r/>
      <w:bookmarkEnd w:id="506"/>
      <w:r/>
      <w:bookmarkEnd w:id="507"/>
      <w:r/>
      <w:bookmarkEnd w:id="508"/>
      <w:r/>
      <w:bookmarkEnd w:id="509"/>
      <w:r/>
      <w:bookmarkEnd w:id="510"/>
      <w:r>
        <w:rPr>
          <w:rFonts w:hint="eastAsia" w:ascii="仿宋" w:hAnsi="仿宋" w:eastAsia="仿宋" w:cs="仿宋"/>
          <w:color w:val="auto"/>
          <w:sz w:val="24"/>
          <w:szCs w:val="24"/>
          <w:highlight w:val="none"/>
        </w:rPr>
        <w:t xml:space="preserve">合同价格、计量与支付</w:t>
      </w:r>
      <w:bookmarkEnd w:id="511"/>
      <w:r/>
      <w:bookmarkEnd w:id="512"/>
      <w:r/>
      <w:bookmarkEnd w:id="513"/>
      <w:r/>
      <w:bookmarkEnd w:id="514"/>
      <w:r/>
      <w:bookmarkEnd w:id="515"/>
      <w:r/>
      <w:bookmarkEnd w:id="516"/>
      <w:r/>
      <w:bookmarkEnd w:id="517"/>
      <w:r/>
      <w:r/>
    </w:p>
    <w:p>
      <w:pPr>
        <w:ind w:firstLine="420"/>
        <w:spacing w:line="360" w:lineRule="auto"/>
        <w:rPr>
          <w:rFonts w:hint="eastAsia" w:ascii="仿宋" w:hAnsi="仿宋" w:eastAsia="仿宋" w:cs="仿宋"/>
          <w:color w:val="auto"/>
          <w:sz w:val="24"/>
          <w:szCs w:val="24"/>
          <w:highlight w:val="none"/>
        </w:rPr>
        <w:outlineLvl w:val="2"/>
      </w:pPr>
      <w:r/>
      <w:bookmarkStart w:id="518" w:name="_Toc292559411"/>
      <w:r/>
      <w:bookmarkStart w:id="519" w:name="_Toc267251461"/>
      <w:r/>
      <w:bookmarkStart w:id="520" w:name="_Toc292559916"/>
      <w:r/>
      <w:bookmarkStart w:id="521" w:name="_Toc297048392"/>
      <w:r/>
      <w:bookmarkStart w:id="522" w:name="_Toc296944545"/>
      <w:r/>
      <w:bookmarkStart w:id="523" w:name="_Toc296503206"/>
      <w:r/>
      <w:bookmarkStart w:id="524" w:name="_Toc297120506"/>
      <w:r/>
      <w:bookmarkStart w:id="525" w:name="_Toc296891034"/>
      <w:r/>
      <w:bookmarkStart w:id="526" w:name="_Toc296346707"/>
      <w:r/>
      <w:bookmarkStart w:id="527" w:name="_Toc296891246"/>
      <w:r/>
      <w:bookmarkStart w:id="528" w:name="_Toc296347205"/>
      <w:r/>
      <w:bookmarkStart w:id="529" w:name="_Toc303539160"/>
      <w:r/>
      <w:bookmarkStart w:id="530" w:name="_Toc297216212"/>
      <w:r/>
      <w:bookmarkStart w:id="531" w:name="_Toc304295580"/>
      <w:r/>
      <w:bookmarkStart w:id="532" w:name="_Toc312678041"/>
      <w:r/>
      <w:bookmarkStart w:id="533" w:name="_Toc300935003"/>
      <w:r/>
      <w:bookmarkStart w:id="534" w:name="_Toc297123553"/>
      <w:r>
        <w:rPr>
          <w:rFonts w:hint="eastAsia" w:ascii="仿宋" w:hAnsi="仿宋" w:eastAsia="仿宋" w:cs="仿宋"/>
          <w:color w:val="auto"/>
          <w:sz w:val="24"/>
          <w:szCs w:val="24"/>
          <w:highlight w:val="none"/>
        </w:rPr>
        <w:t xml:space="preserve">12.1 合</w:t>
      </w:r>
      <w:bookmarkEnd w:id="518"/>
      <w:r/>
      <w:bookmarkEnd w:id="519"/>
      <w:r/>
      <w:bookmarkEnd w:id="520"/>
      <w:r>
        <w:rPr>
          <w:rFonts w:hint="eastAsia" w:ascii="仿宋" w:hAnsi="仿宋" w:eastAsia="仿宋" w:cs="仿宋"/>
          <w:color w:val="auto"/>
          <w:sz w:val="24"/>
          <w:szCs w:val="24"/>
          <w:highlight w:val="none"/>
        </w:rPr>
        <w:t xml:space="preserve">同价</w:t>
      </w:r>
      <w:bookmarkEnd w:id="521"/>
      <w:r/>
      <w:bookmarkEnd w:id="522"/>
      <w:r/>
      <w:bookmarkEnd w:id="523"/>
      <w:r/>
      <w:bookmarkEnd w:id="524"/>
      <w:r/>
      <w:bookmarkEnd w:id="525"/>
      <w:r/>
      <w:bookmarkEnd w:id="526"/>
      <w:r/>
      <w:bookmarkEnd w:id="527"/>
      <w:r/>
      <w:bookmarkEnd w:id="528"/>
      <w:r>
        <w:rPr>
          <w:rFonts w:hint="eastAsia" w:ascii="仿宋" w:hAnsi="仿宋" w:eastAsia="仿宋" w:cs="仿宋"/>
          <w:color w:val="auto"/>
          <w:sz w:val="24"/>
          <w:szCs w:val="24"/>
          <w:highlight w:val="none"/>
        </w:rPr>
        <w:t xml:space="preserve">格形式</w:t>
      </w:r>
      <w:bookmarkEnd w:id="529"/>
      <w:r/>
      <w:bookmarkEnd w:id="530"/>
      <w:r/>
      <w:bookmarkEnd w:id="531"/>
      <w:r/>
      <w:bookmarkEnd w:id="532"/>
      <w:r/>
      <w:bookmarkEnd w:id="533"/>
      <w:r/>
      <w:bookmarkEnd w:id="534"/>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1、单价合同。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color w:val="auto"/>
          <w:sz w:val="24"/>
          <w:szCs w:val="24"/>
          <w:highlight w:val="none"/>
          <w:u w:val="single"/>
        </w:rPr>
        <w:t xml:space="preserve">（1）一周内非承包人原因停水、停电造成累计停工在八小时以内的风险；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（3）作为一个有经验的承包人可以或应该预见的，为完成整体工程内容所必须考虑的风险；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（4）双方约定的不可抗力范围的风险；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（5）投标报价时所报的一次性包干的固定费用的风险；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（6）招标文件中的暂定价以及原图纸或招标清单中未实施项的项目结算中予以扣除的风险；</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u w:val="single"/>
        </w:rPr>
        <w:t xml:space="preserve">（7）工程量误差或错误造成的工程造价调整的风险；</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此合同的风险费用已包含在合同价款中，不再另行计取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w:t>
      </w:r>
      <w:r>
        <w:rPr>
          <w:rFonts w:hint="eastAsia" w:ascii="仿宋" w:hAnsi="仿宋" w:eastAsia="仿宋" w:cs="仿宋"/>
          <w:color w:val="auto"/>
          <w:sz w:val="24"/>
          <w:szCs w:val="24"/>
          <w:highlight w:val="none"/>
          <w:u w:val="single"/>
        </w:rPr>
        <w:t xml:space="preserve">按照投标文件中的综合单价执行。若投标文件中相同清单综合单价不一致的，按照最低的综合单价执行。②若投标文件中无此清单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2、总价合同。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bookmarkStart w:id="535" w:name="_Toc300935004"/>
      <w:r/>
      <w:bookmarkStart w:id="536" w:name="_Toc303539161"/>
      <w:r/>
      <w:bookmarkStart w:id="537" w:name="_Toc297123554"/>
      <w:r/>
      <w:bookmarkStart w:id="538" w:name="_Toc297216213"/>
      <w:r/>
      <w:bookmarkStart w:id="539" w:name="_Toc304295581"/>
      <w:r/>
      <w:bookmarkStart w:id="540" w:name="_Toc312678042"/>
      <w:r/>
      <w:bookmarkStart w:id="541" w:name="_Toc296891247"/>
      <w:r/>
      <w:bookmarkStart w:id="542" w:name="_Toc296503207"/>
      <w:r/>
      <w:bookmarkStart w:id="543" w:name="_Toc296891035"/>
      <w:r/>
      <w:bookmarkStart w:id="544" w:name="_Toc296347206"/>
      <w:r/>
      <w:bookmarkStart w:id="545" w:name="_Toc296346708"/>
      <w:r/>
      <w:bookmarkStart w:id="546" w:name="_Toc296944546"/>
      <w:r/>
      <w:bookmarkStart w:id="547" w:name="_Toc292559917"/>
      <w:r/>
      <w:bookmarkStart w:id="548" w:name="_Toc297120507"/>
      <w:r/>
      <w:bookmarkStart w:id="549" w:name="_Toc297048393"/>
      <w:r/>
      <w:bookmarkStart w:id="550" w:name="_Toc292559412"/>
      <w:r>
        <w:rPr>
          <w:rFonts w:hint="eastAsia" w:ascii="仿宋" w:hAnsi="仿宋" w:eastAsia="仿宋" w:cs="仿宋"/>
          <w:color w:val="auto"/>
          <w:sz w:val="24"/>
          <w:szCs w:val="24"/>
          <w:highlight w:val="none"/>
        </w:rPr>
        <w:t xml:space="preserve">12.2 预付款</w:t>
      </w:r>
      <w:bookmarkEnd w:id="535"/>
      <w:r/>
      <w:bookmarkEnd w:id="536"/>
      <w:r/>
      <w:bookmarkEnd w:id="537"/>
      <w:r/>
      <w:bookmarkEnd w:id="538"/>
      <w:r/>
      <w:bookmarkEnd w:id="539"/>
      <w:r/>
      <w:bookmarkEnd w:id="540"/>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12.2.1 预付款的支付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12.2.2 预付款担保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541"/>
      <w:r/>
      <w:bookmarkEnd w:id="542"/>
      <w:r/>
      <w:bookmarkEnd w:id="543"/>
      <w:r/>
      <w:bookmarkEnd w:id="544"/>
      <w:r/>
      <w:bookmarkEnd w:id="545"/>
      <w:r/>
      <w:bookmarkEnd w:id="546"/>
      <w:r/>
      <w:bookmarkEnd w:id="547"/>
      <w:r/>
      <w:bookmarkEnd w:id="548"/>
      <w:r/>
      <w:bookmarkEnd w:id="549"/>
      <w:r/>
      <w:bookmarkEnd w:id="550"/>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12.3 计量</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12.3.1 计量原则</w:t>
      </w:r>
      <w:r/>
    </w:p>
    <w:p>
      <w:pPr>
        <w:ind w:firstLine="42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  计价规则执行国家标准《建设工程工程量清单计价规范》(GB50500-2013)、《房屋建筑与装饰工程工程量计算规范》（GB50854-2013）、《市政工程工程量计算规范》（GB50857-2013）</w:t>
      </w:r>
      <w:r>
        <w:rPr>
          <w:rFonts w:hint="eastAsia" w:ascii="仿宋" w:hAnsi="仿宋" w:eastAsia="仿宋" w:cs="仿宋"/>
          <w:color w:val="auto"/>
          <w:sz w:val="24"/>
          <w:szCs w:val="24"/>
          <w:highlight w:val="none"/>
          <w:u w:val="single"/>
        </w:rPr>
        <w:t xml:space="preserve">、《通用安装工程工程量计算规范》（GB5085-2013）、《园林绿化工程工程量计算规范》（GB50858-2013），承包人实际完成的工程量按《江苏省建筑与装饰工程计价定额》（2014年版）、《江苏省市政工程计价定额》（2014年版）、《江苏省安装工程计价定额》（2014年版）、《江苏省园林工程计价定额》（2007年版）、《江苏省建设工程费用定额》（2014年）和苏建价【2016】154号文《省住房城乡建设厅关于建筑业实施营改增后江苏省建设工程计价依据调整的通知》及其附件内容、有合同约束力的图纸进行计量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12.3.2 计量周期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根据工程进度节点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12.3.3 单价合同的计量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12.3.4 总价合同的计量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 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12.3.6 其他价格形式合同的计量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12.4 工程进度款支付</w:t>
      </w:r>
      <w:r/>
    </w:p>
    <w:p>
      <w:pPr>
        <w:ind w:firstLine="420"/>
        <w:spacing w:line="360" w:lineRule="auto"/>
        <w:rPr>
          <w:rFonts w:hint="eastAsia" w:ascii="仿宋" w:hAnsi="仿宋" w:eastAsia="仿宋" w:cs="仿宋"/>
          <w:color w:val="auto"/>
          <w:sz w:val="24"/>
          <w:szCs w:val="24"/>
          <w:highlight w:val="none"/>
        </w:rPr>
        <w:outlineLvl w:val="3"/>
      </w:pPr>
      <w:r/>
      <w:bookmarkStart w:id="551" w:name="_Toc296891251"/>
      <w:r/>
      <w:bookmarkStart w:id="552" w:name="_Toc296891039"/>
      <w:r/>
      <w:bookmarkStart w:id="553" w:name="_Toc297123556"/>
      <w:r/>
      <w:bookmarkStart w:id="554" w:name="_Toc296346712"/>
      <w:r/>
      <w:bookmarkStart w:id="555" w:name="_Toc296347210"/>
      <w:r/>
      <w:bookmarkStart w:id="556" w:name="_Toc297048397"/>
      <w:r/>
      <w:bookmarkStart w:id="557" w:name="_Toc292559921"/>
      <w:r/>
      <w:bookmarkStart w:id="558" w:name="_Toc296503211"/>
      <w:r/>
      <w:bookmarkStart w:id="559" w:name="_Toc292559416"/>
      <w:r/>
      <w:bookmarkStart w:id="560" w:name="_Toc300935006"/>
      <w:r/>
      <w:bookmarkStart w:id="561" w:name="_Toc296944550"/>
      <w:r/>
      <w:bookmarkStart w:id="562" w:name="_Toc297120511"/>
      <w:r/>
      <w:bookmarkStart w:id="563" w:name="_Toc303539163"/>
      <w:r/>
      <w:bookmarkStart w:id="564" w:name="_Toc297216215"/>
      <w:r>
        <w:rPr>
          <w:rFonts w:hint="eastAsia" w:ascii="仿宋" w:hAnsi="仿宋" w:eastAsia="仿宋" w:cs="仿宋"/>
          <w:color w:val="auto"/>
          <w:sz w:val="24"/>
          <w:szCs w:val="24"/>
          <w:highlight w:val="none"/>
        </w:rPr>
        <w:t xml:space="preserve">12.4.1 付款周期</w:t>
      </w:r>
      <w:bookmarkEnd w:id="394"/>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ind w:firstLine="420"/>
        <w:spacing w:line="360" w:lineRule="auto"/>
        <w:rPr>
          <w:rFonts w:hint="eastAsia" w:ascii="仿宋" w:hAnsi="仿宋" w:eastAsia="仿宋" w:cs="仿宋"/>
          <w:color w:val="auto"/>
          <w:sz w:val="24"/>
          <w:szCs w:val="24"/>
          <w:highlight w:val="none"/>
        </w:rPr>
      </w:pPr>
      <w:r/>
      <w:bookmarkStart w:id="565" w:name="_Toc297123564"/>
      <w:r/>
      <w:bookmarkStart w:id="566" w:name="_Toc297048405"/>
      <w:r/>
      <w:bookmarkStart w:id="567" w:name="_Toc297216223"/>
      <w:r/>
      <w:bookmarkStart w:id="568" w:name="_Toc296347218"/>
      <w:r/>
      <w:bookmarkStart w:id="569" w:name="_Toc297120519"/>
      <w:r/>
      <w:bookmarkStart w:id="570" w:name="_Toc303539172"/>
      <w:r/>
      <w:bookmarkStart w:id="571" w:name="_Toc312678053"/>
      <w:r/>
      <w:bookmarkStart w:id="572" w:name="_Toc292559929"/>
      <w:r/>
      <w:bookmarkStart w:id="573" w:name="_Toc296503219"/>
      <w:r/>
      <w:bookmarkStart w:id="574" w:name="_Toc296891259"/>
      <w:r/>
      <w:bookmarkStart w:id="575" w:name="_Toc296346720"/>
      <w:r/>
      <w:bookmarkStart w:id="576" w:name="_Toc296891047"/>
      <w:r/>
      <w:bookmarkStart w:id="577" w:name="_Toc292559424"/>
      <w:r/>
      <w:bookmarkStart w:id="578" w:name="_Toc351203645"/>
      <w:r/>
      <w:bookmarkStart w:id="579" w:name="_Toc300935015"/>
      <w:r/>
      <w:bookmarkStart w:id="580" w:name="_Toc304295593"/>
      <w:r/>
      <w:bookmarkStart w:id="581" w:name="_Toc296944558"/>
      <w:r>
        <w:rPr>
          <w:rFonts w:hint="eastAsia" w:ascii="仿宋" w:hAnsi="仿宋" w:eastAsia="仿宋" w:cs="仿宋"/>
          <w:color w:val="auto"/>
          <w:sz w:val="24"/>
          <w:szCs w:val="24"/>
          <w:highlight w:val="none"/>
        </w:rPr>
        <w:t xml:space="preserve">本合同总金额为人民币大写金额：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元（小写金额：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元），经双方协商一致，选择以下第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种付款方式：</w:t>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付款方式一：提交预付款保函的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合同价款的百分之三十(30%) 即￥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，大写：人民币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元整，在双方签订合同、材料进场且承包人提供对应金额的增值税发票后15日内（或承包人向发包人出具等额预付款保函后），由发包人办理政府采购资金结算手续，经审核后支付给承包人。</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完成一半后14日内付至合同价的50%；工程竣工验收通过后14日内付至合同价款的80%；竣工结算价款确认后14日内付至确认价款的100%（各阶段付款承包人需提供发包人认可的对应金额正规增值税发票，由发包人办理政府采购资金结算手续，经审核且财政资金到位后30个工作日内支付给承包人）。</w:t>
      </w: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付款方式二：不提交预付款保函的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合同价款的百分之三十(30%)作为预付款；即￥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，大写：人民币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元整，在双方签订合同、材料进场且乙方提供对应金额的增值税发票后15日内，由发包人办理政府采购资金结算手续，经审核后支付给承包人。</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完成一半后28日内付至合同价的50%；工程竣工验收通过后28日内付至合同价款的80%；竣工结算价款确认后28日内付至确认价款的100%（各阶段付款承包人需提供发包人认可的对应金额正规增值税发票，由发包人办理政府采购资金结算手续，经审核且财政资金到位后30个工作日内支付给承包人）。</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3）付款前，承包人应当提供能满足发包人财务要求的等额发票，未提供则发包人有权拒付相应款项。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12.4.3 进度付款申请单的提交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 </w:t>
      </w:r>
      <w:r>
        <w:rPr>
          <w:rFonts w:hint="eastAsia" w:ascii="仿宋" w:hAnsi="仿宋" w:eastAsia="仿宋" w:cs="仿宋"/>
          <w:color w:val="auto"/>
          <w:sz w:val="24"/>
          <w:szCs w:val="24"/>
          <w:highlight w:val="none"/>
          <w:u w:val="single"/>
        </w:rPr>
        <w:t xml:space="preserve">按本合同约定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 </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监理人应在收到承包人进度付款申请单以及相关资料后7天内完成审查并报送发包人。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 </w:t>
      </w:r>
      <w:r>
        <w:rPr>
          <w:rFonts w:hint="eastAsia" w:ascii="仿宋" w:hAnsi="仿宋" w:eastAsia="仿宋" w:cs="仿宋"/>
          <w:color w:val="auto"/>
          <w:sz w:val="24"/>
          <w:szCs w:val="24"/>
          <w:highlight w:val="none"/>
          <w:u w:val="single"/>
        </w:rPr>
        <w:t xml:space="preserve">经发包人审查完毕并签署同意支付本期进度款意见后14天内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  </w:t>
      </w:r>
      <w:r>
        <w:rPr>
          <w:rFonts w:hint="eastAsia" w:ascii="仿宋" w:hAnsi="仿宋" w:eastAsia="仿宋" w:cs="仿宋"/>
          <w:color w:val="auto"/>
          <w:sz w:val="24"/>
          <w:szCs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验收和工程试车</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13.1 分部分项工程验收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13.1.1 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48  </w:t>
      </w:r>
      <w:r>
        <w:rPr>
          <w:rFonts w:hint="eastAsia" w:ascii="仿宋" w:hAnsi="仿宋" w:eastAsia="仿宋" w:cs="仿宋"/>
          <w:color w:val="auto"/>
          <w:sz w:val="24"/>
          <w:szCs w:val="24"/>
          <w:highlight w:val="none"/>
        </w:rPr>
        <w:t xml:space="preserve">小时。</w:t>
      </w:r>
      <w:r/>
    </w:p>
    <w:p>
      <w:pPr>
        <w:ind w:firstLine="420"/>
        <w:spacing w:line="360" w:lineRule="auto"/>
        <w:rPr>
          <w:rFonts w:hint="eastAsia" w:ascii="仿宋" w:hAnsi="仿宋" w:eastAsia="仿宋" w:cs="仿宋"/>
          <w:color w:val="auto"/>
          <w:sz w:val="24"/>
          <w:szCs w:val="24"/>
          <w:highlight w:val="none"/>
        </w:rPr>
        <w:outlineLvl w:val="2"/>
      </w:pPr>
      <w:r/>
      <w:bookmarkStart w:id="582" w:name="_Toc297123565"/>
      <w:r/>
      <w:bookmarkStart w:id="583" w:name="_Toc303539173"/>
      <w:r/>
      <w:bookmarkStart w:id="584" w:name="_Toc300935016"/>
      <w:r/>
      <w:bookmarkStart w:id="585" w:name="_Toc296944562"/>
      <w:r/>
      <w:bookmarkStart w:id="586" w:name="_Toc312678056"/>
      <w:r/>
      <w:bookmarkStart w:id="587" w:name="_Toc292559428"/>
      <w:r/>
      <w:bookmarkStart w:id="588" w:name="_Toc296347222"/>
      <w:r/>
      <w:bookmarkStart w:id="589" w:name="_Toc304295596"/>
      <w:r/>
      <w:bookmarkStart w:id="590" w:name="_Toc296891263"/>
      <w:r/>
      <w:bookmarkStart w:id="591" w:name="_Toc296346724"/>
      <w:r/>
      <w:bookmarkStart w:id="592" w:name="_Toc297120523"/>
      <w:r/>
      <w:bookmarkStart w:id="593" w:name="_Toc296891051"/>
      <w:r/>
      <w:bookmarkStart w:id="594" w:name="_Toc297048409"/>
      <w:r/>
      <w:bookmarkStart w:id="595" w:name="_Toc296503223"/>
      <w:r/>
      <w:bookmarkStart w:id="596" w:name="_Toc297216224"/>
      <w:r/>
      <w:bookmarkStart w:id="597" w:name="_Toc292559933"/>
      <w:r/>
      <w:bookmarkStart w:id="598" w:name="_Toc267251470"/>
      <w:r/>
      <w:bookmarkStart w:id="599" w:name="_Toc267251473"/>
      <w:r/>
      <w:bookmarkStart w:id="600" w:name="_Toc267251471"/>
      <w:r/>
      <w:bookmarkStart w:id="601" w:name="_Toc267251472"/>
      <w:r/>
      <w:bookmarkStart w:id="602" w:name="_Toc267251476"/>
      <w:r/>
      <w:bookmarkStart w:id="603" w:name="_Toc267251474"/>
      <w:r/>
      <w:bookmarkStart w:id="604" w:name="_Toc267251475"/>
      <w:r>
        <w:rPr>
          <w:rFonts w:hint="eastAsia" w:ascii="仿宋" w:hAnsi="仿宋" w:eastAsia="仿宋" w:cs="仿宋"/>
          <w:color w:val="auto"/>
          <w:sz w:val="24"/>
          <w:szCs w:val="24"/>
          <w:highlight w:val="none"/>
        </w:rPr>
        <w:t xml:space="preserve">13.2 竣工验收</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20"/>
        <w:spacing w:line="360" w:lineRule="auto"/>
        <w:rPr>
          <w:rFonts w:hint="eastAsia" w:ascii="仿宋" w:hAnsi="仿宋" w:eastAsia="仿宋" w:cs="仿宋"/>
          <w:color w:val="auto"/>
          <w:sz w:val="24"/>
          <w:szCs w:val="24"/>
          <w:highlight w:val="none"/>
        </w:rPr>
        <w:outlineLvl w:val="3"/>
      </w:pPr>
      <w:r/>
      <w:bookmarkStart w:id="605" w:name="_Toc280868704"/>
      <w:r/>
      <w:bookmarkStart w:id="606" w:name="_Toc280868705"/>
      <w:r/>
      <w:bookmarkStart w:id="607" w:name="_Toc280868707"/>
      <w:r/>
      <w:bookmarkStart w:id="608" w:name="_Toc280868706"/>
      <w:r/>
      <w:bookmarkStart w:id="609" w:name="_Toc280868708"/>
      <w:r/>
      <w:bookmarkStart w:id="610" w:name="_Toc280868709"/>
      <w:r>
        <w:rPr>
          <w:rFonts w:hint="eastAsia" w:ascii="仿宋" w:hAnsi="仿宋" w:eastAsia="仿宋" w:cs="仿宋"/>
          <w:color w:val="auto"/>
          <w:sz w:val="24"/>
          <w:szCs w:val="24"/>
          <w:highlight w:val="none"/>
        </w:rPr>
        <w:t xml:space="preserve">13.2.1 竣工验收程序</w:t>
      </w:r>
      <w:bookmarkEnd w:id="60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bookmarkEnd w:id="60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13.2.2 移交、接收全部与部分工程</w:t>
      </w:r>
      <w:bookmarkEnd w:id="607"/>
      <w:r/>
      <w:bookmarkEnd w:id="60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13.3 工程试车</w:t>
      </w:r>
      <w:bookmarkEnd w:id="609"/>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13.3.1 试车程序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（1）单机无负荷试车费用由承担；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（2）无负荷联动试车费用由承担。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13.3.2 投料试车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13.4 竣工退场</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13.6.1 竣工退场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竣工验收合格后14日内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1" w:name="_Toc351203646"/>
      <w:r>
        <w:rPr>
          <w:rFonts w:hint="eastAsia" w:ascii="仿宋" w:hAnsi="仿宋" w:eastAsia="仿宋" w:cs="仿宋"/>
          <w:color w:val="auto"/>
          <w:sz w:val="24"/>
          <w:szCs w:val="24"/>
          <w:highlight w:val="none"/>
        </w:rPr>
        <w:t xml:space="preserve">14. 竣工结算</w:t>
      </w:r>
      <w:bookmarkEnd w:id="611"/>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14.1 竣工结算申请</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 工程竣工验收合格后一个月内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元+核减额的5%计算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14.2 竣工结算审核</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收到承包人提交的最终结清申请后28天内完成审批并向承包人颁发最终结清证书</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  签发竣工付款证书后28天内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审减率约定：</w:t>
      </w:r>
      <w:r>
        <w:rPr>
          <w:rFonts w:hint="eastAsia" w:ascii="仿宋" w:hAnsi="仿宋" w:eastAsia="仿宋" w:cs="仿宋"/>
          <w:color w:val="auto"/>
          <w:sz w:val="24"/>
          <w:szCs w:val="24"/>
          <w:highlight w:val="none"/>
          <w:u w:val="single"/>
        </w:rPr>
        <w:t xml:space="preserve">审计报告结（决）算审减率10%-15%的，承包人按审减金额的20%支付违约金，超过15%的，按照审减金额的30%支付违约金，发包人有权从工程款中直接扣除。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项目终审费用约定：</w:t>
      </w:r>
      <w:r>
        <w:rPr>
          <w:rFonts w:hint="eastAsia" w:ascii="仿宋" w:hAnsi="仿宋" w:eastAsia="仿宋" w:cs="仿宋"/>
          <w:color w:val="auto"/>
          <w:sz w:val="24"/>
          <w:szCs w:val="24"/>
          <w:highlight w:val="none"/>
          <w:u w:val="single"/>
        </w:rPr>
        <w:t xml:space="preserve">工程结（决）算经市审计中心终审后，审减率在3%（含3%）以内的，审计服务费用由发包人支付，3%-5%（含5%）发包人和承包人各付一半，5%以上的承包人全额支付。</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14.3 最终结清</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14.3.1 最终结清申请单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       4份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14.3.2 最终结清证书和支付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收到承包人提交的最终结清申请后28天内完成审批并向承包人颁发最终结清证书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  签发最终结清证书后的28天内 </w:t>
      </w:r>
      <w:r>
        <w:rPr>
          <w:rFonts w:hint="eastAsia" w:ascii="仿宋" w:hAnsi="仿宋" w:eastAsia="仿宋" w:cs="仿宋"/>
          <w:color w:val="auto"/>
          <w:sz w:val="24"/>
          <w:szCs w:val="24"/>
          <w:highlight w:val="none"/>
        </w:rPr>
        <w:t xml:space="preserve">。</w:t>
      </w:r>
      <w:bookmarkEnd w:id="598"/>
      <w:r/>
      <w:bookmarkEnd w:id="599"/>
      <w:r/>
      <w:bookmarkEnd w:id="600"/>
      <w:r/>
      <w:bookmarkEnd w:id="601"/>
      <w:r/>
      <w:bookmarkEnd w:id="602"/>
      <w:r/>
      <w:bookmarkEnd w:id="603"/>
      <w:r/>
      <w:bookmarkEnd w:id="604"/>
      <w:r/>
      <w:bookmarkEnd w:id="61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12" w:name="_Toc351203647"/>
      <w:r/>
      <w:bookmarkStart w:id="613" w:name="_Toc267251483"/>
      <w:r/>
      <w:bookmarkStart w:id="614" w:name="_Toc267251482"/>
      <w:r/>
      <w:bookmarkStart w:id="615" w:name="_Toc267251484"/>
      <w:r/>
      <w:bookmarkStart w:id="616" w:name="_Toc267251485"/>
      <w:r/>
      <w:bookmarkStart w:id="617" w:name="_Toc267251488"/>
      <w:r/>
      <w:bookmarkStart w:id="618" w:name="_Toc267251489"/>
      <w:r/>
      <w:bookmarkStart w:id="619" w:name="_Toc267251486"/>
      <w:r/>
      <w:bookmarkStart w:id="620" w:name="_Toc267251490"/>
      <w:r/>
      <w:bookmarkStart w:id="621" w:name="_Toc267251491"/>
      <w:r/>
      <w:bookmarkStart w:id="622" w:name="_Toc267251492"/>
      <w:r/>
      <w:bookmarkStart w:id="623" w:name="_Toc267251497"/>
      <w:r/>
      <w:bookmarkStart w:id="624" w:name="_Toc267251499"/>
      <w:r/>
      <w:bookmarkStart w:id="625" w:name="_Toc267251503"/>
      <w:r/>
      <w:bookmarkStart w:id="626" w:name="_Toc267251495"/>
      <w:r/>
      <w:bookmarkStart w:id="627" w:name="_Toc267251498"/>
      <w:r/>
      <w:bookmarkStart w:id="628" w:name="_Toc267251496"/>
      <w:r/>
      <w:bookmarkStart w:id="629" w:name="_Toc267251501"/>
      <w:r/>
      <w:bookmarkStart w:id="630" w:name="_Toc267251502"/>
      <w:r/>
      <w:bookmarkStart w:id="631" w:name="_Toc267251494"/>
      <w:r/>
      <w:bookmarkStart w:id="632" w:name="_Toc267251493"/>
      <w:r/>
      <w:bookmarkStart w:id="633" w:name="_Toc267251506"/>
      <w:r/>
      <w:bookmarkStart w:id="634" w:name="_Toc267251504"/>
      <w:r/>
      <w:bookmarkStart w:id="635" w:name="_Toc267251507"/>
      <w:r/>
      <w:bookmarkStart w:id="636" w:name="_Toc267251508"/>
      <w:r/>
      <w:bookmarkStart w:id="637" w:name="_Toc267251509"/>
      <w:r/>
      <w:bookmarkStart w:id="638" w:name="_Toc267251513"/>
      <w:r/>
      <w:bookmarkStart w:id="639" w:name="_Toc267251510"/>
      <w:r/>
      <w:bookmarkStart w:id="640" w:name="_Toc267251515"/>
      <w:r/>
      <w:bookmarkStart w:id="641" w:name="_Toc267251511"/>
      <w:r/>
      <w:bookmarkStart w:id="642" w:name="_Toc267251514"/>
      <w:r>
        <w:rPr>
          <w:rFonts w:hint="eastAsia" w:ascii="仿宋" w:hAnsi="仿宋" w:eastAsia="仿宋" w:cs="仿宋"/>
          <w:color w:val="auto"/>
          <w:sz w:val="24"/>
          <w:szCs w:val="24"/>
          <w:highlight w:val="none"/>
        </w:rPr>
        <w:t xml:space="preserve">15. 缺陷责任期与保修</w:t>
      </w:r>
      <w:bookmarkEnd w:id="612"/>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15.1 缺陷责任期</w:t>
      </w:r>
      <w:bookmarkEnd w:id="61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15.2 质量保证金</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614"/>
      <w:r/>
      <w:bookmarkEnd w:id="615"/>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15.3 保修</w:t>
      </w:r>
      <w:bookmarkEnd w:id="616"/>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15.3.1 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见工程质量保修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15.3.2 修复通知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 承包人收到保修通知后24小时内到达工程现场</w:t>
      </w:r>
      <w:r>
        <w:rPr>
          <w:rFonts w:hint="eastAsia" w:ascii="仿宋" w:hAnsi="仿宋" w:eastAsia="仿宋" w:cs="仿宋"/>
          <w:color w:val="auto"/>
          <w:sz w:val="24"/>
          <w:szCs w:val="24"/>
          <w:highlight w:val="none"/>
        </w:rPr>
        <w:t xml:space="preserve">。</w:t>
      </w:r>
      <w:bookmarkEnd w:id="617"/>
      <w:r/>
      <w:bookmarkEnd w:id="618"/>
      <w:r/>
      <w:bookmarkEnd w:id="619"/>
      <w:r/>
      <w:bookmarkEnd w:id="620"/>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3" w:name="_Toc351203648"/>
      <w:r/>
      <w:bookmarkStart w:id="644" w:name="_Toc280868717"/>
      <w:r/>
      <w:bookmarkStart w:id="645" w:name="_Toc280868718"/>
      <w:r>
        <w:rPr>
          <w:rFonts w:hint="eastAsia" w:ascii="仿宋" w:hAnsi="仿宋" w:eastAsia="仿宋" w:cs="仿宋"/>
          <w:color w:val="auto"/>
          <w:sz w:val="24"/>
          <w:szCs w:val="24"/>
          <w:highlight w:val="none"/>
        </w:rPr>
        <w:t xml:space="preserve">16. 违约</w:t>
      </w:r>
      <w:bookmarkEnd w:id="643"/>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16.1 发包人违约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16.1.1 发包人违约的情形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    16.1.2 发包人违约的责任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执行通用条款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4"/>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16.1.3 因发包人违约解除合同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 承包人违约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16.2.1 承包人违约的情形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1、承包人应当按照合同中确定的开工日期开工，承包人承诺每逾期一天，按照合同总价款的万分之二计算，向发包人给付违约金。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2、承包人承诺有下列情形之一者，发包人有权要求承包人承担违约责任，赔偿发包人损失，并可以要求解除或终止本合同的一部分或全部：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超过合同中确定的或发包人要求开工日期达十天（含十天）以上的；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承包人有转移资产、抽逃资金、工人及设备数据不足及其它丧失履约能力之情形；</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t xml:space="preserve">承包人违反本合同任何条款规定，经发包人限期改正而未改正；</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承包人工作草率、偷工减料、消极怠工或不听从发包人指示，屡教不改；</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u w:val="single"/>
        </w:rPr>
        <w:t xml:space="preserve">承包人工程质量不合格，发包人有权要求承包人在限期内无偿修理或者返工、改建，并进行相应经济处罚，如未在限期内完成，发包人有权解除或终止合同；</w:t>
      </w:r>
      <w:r/>
    </w:p>
    <w:p>
      <w:pPr>
        <w:ind w:firstLine="420"/>
        <w:spacing w:line="360" w:lineRule="auto"/>
        <w:rPr>
          <w:rFonts w:hint="eastAsia" w:ascii="仿宋" w:hAnsi="仿宋" w:eastAsia="仿宋" w:cs="仿宋"/>
          <w:color w:val="auto"/>
          <w:sz w:val="24"/>
          <w:szCs w:val="24"/>
          <w:highlight w:val="none"/>
          <w:u w:val="single"/>
        </w:rPr>
        <w:outlineLvl w:val="4"/>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u w:val="single"/>
        </w:rPr>
        <w:t xml:space="preserve">承包人其他违约行为，影响合同目的实现的。</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16.2.2 承包人违约的责任</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1、发包人有权要求解除合同，并由承包人承担由此引起的一切损失，并负责由此引起的一切法律责任，并赔偿由此引起的发包人的一切经济损失。</w:t>
      </w:r>
      <w:r/>
    </w:p>
    <w:p>
      <w:pPr>
        <w:ind w:firstLine="420"/>
        <w:spacing w:line="360" w:lineRule="auto"/>
        <w:rPr>
          <w:rFonts w:hint="eastAsia" w:ascii="仿宋" w:hAnsi="仿宋" w:eastAsia="仿宋" w:cs="仿宋"/>
          <w:color w:val="auto"/>
          <w:sz w:val="24"/>
          <w:szCs w:val="24"/>
          <w:highlight w:val="none"/>
          <w:u w:val="single"/>
        </w:rPr>
        <w:outlineLvl w:val="1"/>
      </w:pPr>
      <w:r>
        <w:rPr>
          <w:rFonts w:hint="eastAsia" w:ascii="仿宋" w:hAnsi="仿宋" w:eastAsia="仿宋" w:cs="仿宋"/>
          <w:color w:val="auto"/>
          <w:sz w:val="24"/>
          <w:szCs w:val="24"/>
          <w:highlight w:val="none"/>
          <w:u w:val="single"/>
        </w:rPr>
        <w:t xml:space="preserve">2、工期每延期一天，罚款合同总价的5‰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3、承包人确保达到投标时承诺的质量标准，否则赔偿合同总价的2%。</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16.2.3 因承包人违约解除合同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color w:val="auto"/>
          <w:sz w:val="24"/>
          <w:szCs w:val="24"/>
          <w:highlight w:val="none"/>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  另行协商  </w:t>
      </w:r>
      <w:r>
        <w:rPr>
          <w:rFonts w:hint="eastAsia" w:ascii="仿宋" w:hAnsi="仿宋" w:eastAsia="仿宋" w:cs="仿宋"/>
          <w:color w:val="auto"/>
          <w:sz w:val="24"/>
          <w:szCs w:val="24"/>
          <w:highlight w:val="none"/>
        </w:rPr>
        <w:t xml:space="preserve">。</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6" w:name="_Toc351203649"/>
      <w:r>
        <w:rPr>
          <w:rFonts w:hint="eastAsia" w:ascii="仿宋" w:hAnsi="仿宋" w:eastAsia="仿宋" w:cs="仿宋"/>
          <w:color w:val="auto"/>
          <w:sz w:val="24"/>
          <w:szCs w:val="24"/>
          <w:highlight w:val="none"/>
        </w:rPr>
        <w:t xml:space="preserve">17. 不可抗力</w:t>
      </w:r>
      <w:bookmarkEnd w:id="644"/>
      <w:r/>
      <w:bookmarkEnd w:id="646"/>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17.1 不可抗力的确认</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17.4 因不可抗力解除合同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天内完成款项的支付。</w:t>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7" w:name="_Toc351203650"/>
      <w:r>
        <w:rPr>
          <w:rFonts w:hint="eastAsia" w:ascii="仿宋" w:hAnsi="仿宋" w:eastAsia="仿宋" w:cs="仿宋"/>
          <w:color w:val="auto"/>
          <w:sz w:val="24"/>
          <w:szCs w:val="24"/>
          <w:highlight w:val="none"/>
        </w:rPr>
        <w:t xml:space="preserve">18. 保险</w:t>
      </w:r>
      <w:bookmarkEnd w:id="645"/>
      <w:r/>
      <w:bookmarkEnd w:id="647"/>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18.1 工程保险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  承包人应按照国家强制性规定和自身需要，以承包人或承包人和发包人共同名义投保有关险种，所需费用包含在投标报价中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18.3 其他保险</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18.4 通知义务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keepLines/>
        <w:keepNext/>
        <w:spacing w:before="164" w:after="164" w:line="360" w:lineRule="auto"/>
        <w:rPr>
          <w:rFonts w:hint="eastAsia" w:ascii="仿宋" w:hAnsi="仿宋" w:eastAsia="仿宋" w:cs="仿宋"/>
          <w:color w:val="auto"/>
          <w:sz w:val="24"/>
          <w:szCs w:val="24"/>
          <w:highlight w:val="none"/>
        </w:rPr>
        <w:outlineLvl w:val="1"/>
      </w:pPr>
      <w:r/>
      <w:bookmarkStart w:id="648" w:name="_Toc351203651"/>
      <w:r>
        <w:rPr>
          <w:rFonts w:hint="eastAsia" w:ascii="仿宋" w:hAnsi="仿宋" w:eastAsia="仿宋" w:cs="仿宋"/>
          <w:color w:val="auto"/>
          <w:sz w:val="24"/>
          <w:szCs w:val="24"/>
          <w:highlight w:val="none"/>
        </w:rPr>
        <w:t xml:space="preserve">19. 争议解决</w:t>
      </w:r>
      <w:bookmarkEnd w:id="633"/>
      <w:r/>
      <w:bookmarkEnd w:id="634"/>
      <w:r/>
      <w:bookmarkEnd w:id="648"/>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19.1 争</w:t>
      </w:r>
      <w:bookmarkEnd w:id="635"/>
      <w:r>
        <w:rPr>
          <w:rFonts w:hint="eastAsia" w:ascii="仿宋" w:hAnsi="仿宋" w:eastAsia="仿宋" w:cs="仿宋"/>
          <w:color w:val="auto"/>
          <w:sz w:val="24"/>
          <w:szCs w:val="24"/>
          <w:highlight w:val="none"/>
        </w:rPr>
        <w:t xml:space="preserve">议评审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  </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19.1.1 争议评审小组的确定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不提交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19.1.2 争议评审小组的决定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19.2 仲裁或诉讼</w:t>
      </w:r>
      <w:bookmarkEnd w:id="63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   新沂市  </w:t>
      </w:r>
      <w:r>
        <w:rPr>
          <w:rFonts w:hint="eastAsia" w:ascii="仿宋" w:hAnsi="仿宋" w:eastAsia="仿宋" w:cs="仿宋"/>
          <w:color w:val="auto"/>
          <w:sz w:val="24"/>
          <w:szCs w:val="24"/>
          <w:highlight w:val="none"/>
        </w:rPr>
        <w:t xml:space="preserve">人民法院起诉。</w:t>
      </w:r>
      <w:bookmarkEnd w:id="637"/>
      <w:r/>
      <w:bookmarkEnd w:id="638"/>
      <w:r/>
      <w:bookmarkEnd w:id="639"/>
      <w:r/>
      <w:bookmarkEnd w:id="640"/>
      <w:r/>
      <w:bookmarkEnd w:id="641"/>
      <w:r/>
      <w:bookmarkEnd w:id="642"/>
      <w:r/>
      <w:bookmarkStart w:id="649" w:name="_Toc358569763"/>
      <w:r/>
      <w:r/>
    </w:p>
    <w:p>
      <w:pPr>
        <w:pStyle w:val="1050"/>
        <w:keepLines w:val="0"/>
        <w:keepNext w:val="0"/>
        <w:spacing w:before="0" w:after="0" w:line="360" w:lineRule="auto"/>
        <w:widowControl/>
        <w:rPr>
          <w:rFonts w:hint="eastAsia" w:ascii="仿宋" w:hAnsi="仿宋" w:eastAsia="仿宋" w:cs="仿宋"/>
          <w:color w:val="auto"/>
          <w:sz w:val="24"/>
          <w:szCs w:val="24"/>
          <w:highlight w:val="none"/>
        </w:rPr>
        <w:outlineLvl w:val="9"/>
      </w:pPr>
      <w:r/>
      <w:bookmarkStart w:id="650" w:name="_Toc2511"/>
      <w:r/>
      <w:bookmarkStart w:id="651" w:name="_Toc25273"/>
      <w:r/>
      <w:r/>
    </w:p>
    <w:p>
      <w:pPr>
        <w:pStyle w:val="754"/>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050"/>
        <w:keepLines w:val="0"/>
        <w:keepNext w:val="0"/>
        <w:spacing w:before="0" w:after="0" w:line="360" w:lineRule="auto"/>
        <w:widowControl/>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专用合同条件附件</w:t>
      </w:r>
      <w:bookmarkEnd w:id="650"/>
      <w:r/>
      <w:bookmarkEnd w:id="651"/>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附件3：承包人主要管理人员表</w:t>
      </w:r>
      <w:r/>
    </w:p>
    <w:p>
      <w:pPr>
        <w:pStyle w:val="1052"/>
        <w:rPr>
          <w:rFonts w:hint="eastAsia" w:ascii="仿宋" w:hAnsi="仿宋" w:eastAsia="仿宋" w:cs="仿宋"/>
          <w:color w:val="auto"/>
          <w:sz w:val="24"/>
          <w:szCs w:val="24"/>
          <w:highlight w:val="none"/>
        </w:rPr>
        <w:outlineLvl w:val="9"/>
      </w:pPr>
      <w:r/>
      <w:bookmarkStart w:id="652" w:name="_Toc20171895"/>
      <w:r/>
      <w:bookmarkStart w:id="653" w:name="_Toc32488"/>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24"/>
          <w:szCs w:val="24"/>
          <w:highlight w:val="none"/>
        </w:rPr>
        <w:t xml:space="preserve">附件1  工程质量保修书</w:t>
      </w:r>
      <w:bookmarkEnd w:id="652"/>
      <w:r/>
      <w:bookmarkEnd w:id="653"/>
      <w:r/>
      <w:r/>
    </w:p>
    <w:p>
      <w:pPr>
        <w:ind w:firstLine="42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江苏新沂经济开发区管理委员会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发包人和承包人根据《中华人民共和国建筑法》和《建设工程质量管理条例》，经协商一致就（工程全称）订立工程质量保修书。</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一、工程质量保修范围和内容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承包人在质量保修期内，按照有关法律规定和合同约定，承担工程质量保修责任。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360" w:lineRule="auto"/>
        <w:rPr>
          <w:rFonts w:hint="eastAsia" w:ascii="仿宋" w:hAnsi="仿宋" w:eastAsia="仿宋" w:cs="仿宋"/>
          <w:color w:val="auto"/>
          <w:sz w:val="24"/>
          <w:szCs w:val="24"/>
          <w:highlight w:val="none"/>
        </w:rPr>
        <w:outlineLvl w:val="3"/>
      </w:pPr>
      <w:r>
        <w:rPr>
          <w:rFonts w:hint="eastAsia" w:ascii="仿宋" w:hAnsi="仿宋" w:eastAsia="仿宋" w:cs="仿宋"/>
          <w:color w:val="auto"/>
          <w:sz w:val="24"/>
          <w:szCs w:val="24"/>
          <w:highlight w:val="none"/>
        </w:rPr>
        <w:t xml:space="preserve">二、质量保修期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个采暖期、供冷期；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7．其他项目保修期限约定如下：</w:t>
      </w:r>
      <w:r>
        <w:rPr>
          <w:rFonts w:hint="eastAsia" w:ascii="仿宋" w:hAnsi="仿宋" w:eastAsia="仿宋" w:cs="仿宋"/>
          <w:color w:val="auto"/>
          <w:sz w:val="24"/>
          <w:szCs w:val="24"/>
          <w:highlight w:val="none"/>
          <w:u w:val="single"/>
          <w:lang w:val="en-US" w:eastAsia="zh-CN"/>
        </w:rPr>
        <w:t xml:space="preserve">  2年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质量保修期自工程竣工验收合格之日起计算。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三、缺陷责任期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四、质量保修责任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w:t>
      </w:r>
      <w:r>
        <w:rPr>
          <w:rFonts w:hint="eastAsia" w:ascii="仿宋" w:hAnsi="仿宋" w:eastAsia="仿宋" w:cs="仿宋"/>
          <w:color w:val="auto"/>
          <w:sz w:val="24"/>
          <w:szCs w:val="24"/>
          <w:highlight w:val="none"/>
          <w:lang w:val="en-US" w:eastAsia="zh-CN"/>
        </w:rPr>
        <w:t xml:space="preserve">48小时内</w:t>
      </w:r>
      <w:r>
        <w:rPr>
          <w:rFonts w:hint="eastAsia" w:ascii="仿宋" w:hAnsi="仿宋" w:eastAsia="仿宋" w:cs="仿宋"/>
          <w:color w:val="auto"/>
          <w:sz w:val="24"/>
          <w:szCs w:val="24"/>
          <w:highlight w:val="none"/>
        </w:rPr>
        <w:t xml:space="preserve">内派人保修。承包人不在约定期限内派人保修的，发包人可以委托他人修理。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4．质量保修完成后，由发包人组织验收。</w:t>
      </w:r>
      <w:r/>
    </w:p>
    <w:p>
      <w:pPr>
        <w:ind w:firstLine="420"/>
        <w:spacing w:line="360" w:lineRule="auto"/>
        <w:rPr>
          <w:rFonts w:hint="eastAsia" w:ascii="仿宋" w:hAnsi="仿宋" w:eastAsia="仿宋" w:cs="仿宋"/>
          <w:color w:val="auto"/>
          <w:sz w:val="24"/>
          <w:szCs w:val="24"/>
          <w:highlight w:val="none"/>
        </w:rPr>
        <w:outlineLvl w:val="2"/>
      </w:pPr>
      <w:r>
        <w:rPr>
          <w:rFonts w:hint="eastAsia" w:ascii="仿宋" w:hAnsi="仿宋" w:eastAsia="仿宋" w:cs="仿宋"/>
          <w:color w:val="auto"/>
          <w:sz w:val="24"/>
          <w:szCs w:val="24"/>
          <w:highlight w:val="none"/>
        </w:rPr>
        <w:t xml:space="preserve">五、保修费用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保修费用由造成质量缺陷的责任方承担。</w:t>
      </w:r>
      <w:r/>
    </w:p>
    <w:p>
      <w:pPr>
        <w:ind w:firstLine="420"/>
        <w:spacing w:line="360" w:lineRule="auto"/>
        <w:rPr>
          <w:rFonts w:hint="eastAsia" w:ascii="仿宋" w:hAnsi="仿宋" w:eastAsia="仿宋" w:cs="仿宋"/>
          <w:color w:val="auto"/>
          <w:sz w:val="24"/>
          <w:szCs w:val="24"/>
          <w:highlight w:val="none"/>
          <w:u w:val="single"/>
        </w:rPr>
        <w:outlineLvl w:val="2"/>
      </w:pPr>
      <w:r>
        <w:rPr>
          <w:rFonts w:hint="eastAsia" w:ascii="仿宋" w:hAnsi="仿宋" w:eastAsia="仿宋" w:cs="仿宋"/>
          <w:color w:val="auto"/>
          <w:sz w:val="24"/>
          <w:szCs w:val="24"/>
          <w:highlight w:val="none"/>
        </w:rPr>
        <w:t xml:space="preserve">六、双方约定的其他工程质量保修事项：。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工程质量保修书由发包人、承包人在工程竣工验收前共同签署，作为工程总承包合同附件，其有效期限至保修期满。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9"/>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spacing w:after="164"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邮政编码：</w:t>
      </w:r>
      <w:r/>
    </w:p>
    <w:p>
      <w:pPr>
        <w:pStyle w:val="1052"/>
        <w:rPr>
          <w:rFonts w:hint="eastAsia" w:ascii="仿宋" w:hAnsi="仿宋" w:eastAsia="仿宋" w:cs="仿宋"/>
          <w:color w:val="auto"/>
          <w:sz w:val="24"/>
          <w:szCs w:val="24"/>
          <w:highlight w:val="none"/>
        </w:rPr>
        <w:outlineLvl w:val="9"/>
      </w:pPr>
      <w:r/>
      <w:bookmarkStart w:id="654" w:name="_Toc20171896"/>
      <w:r/>
      <w:bookmarkStart w:id="655" w:name="_Toc9101"/>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2"/>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52"/>
        <w:rPr>
          <w:rFonts w:hint="eastAsia" w:ascii="仿宋" w:hAnsi="仿宋" w:eastAsia="仿宋" w:cs="仿宋"/>
          <w:color w:val="auto"/>
          <w:sz w:val="24"/>
          <w:szCs w:val="24"/>
          <w:highlight w:val="none"/>
        </w:rPr>
        <w:outlineLvl w:val="0"/>
      </w:pPr>
      <w:r/>
      <w:bookmarkStart w:id="656" w:name="_Toc16795"/>
      <w:r/>
      <w:bookmarkStart w:id="657" w:name="_Toc7898"/>
      <w:r>
        <w:rPr>
          <w:rFonts w:hint="eastAsia" w:ascii="仿宋" w:hAnsi="仿宋" w:eastAsia="仿宋" w:cs="仿宋"/>
          <w:color w:val="auto"/>
          <w:sz w:val="24"/>
          <w:szCs w:val="24"/>
          <w:highlight w:val="none"/>
        </w:rPr>
        <w:t xml:space="preserve">附件2  主要建设工程文件目录</w:t>
      </w:r>
      <w:bookmarkEnd w:id="654"/>
      <w:r/>
      <w:bookmarkEnd w:id="655"/>
      <w:r/>
      <w:bookmarkEnd w:id="656"/>
      <w:r/>
      <w:bookmarkEnd w:id="657"/>
      <w:r/>
      <w:r/>
    </w:p>
    <w:tbl>
      <w:tblPr>
        <w:tblStyle w:val="725"/>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文件名称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套数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费用（元）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移交时间</w:t>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责任人</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bookmarkStart w:id="658" w:name="_Toc20171897"/>
      <w:r/>
      <w:bookmarkStart w:id="659" w:name="_Toc16062"/>
      <w:r/>
      <w:r/>
    </w:p>
    <w:p>
      <w:pPr>
        <w:pStyle w:val="1052"/>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52"/>
        <w:rPr>
          <w:rFonts w:hint="eastAsia" w:ascii="仿宋" w:hAnsi="仿宋" w:eastAsia="仿宋" w:cs="仿宋"/>
          <w:highlight w:val="none"/>
        </w:rPr>
        <w:outlineLvl w:val="0"/>
      </w:pPr>
      <w:r/>
      <w:bookmarkStart w:id="660" w:name="_Toc21360"/>
      <w:r/>
      <w:bookmarkStart w:id="661" w:name="_Toc27181"/>
      <w:r>
        <w:rPr>
          <w:rFonts w:hint="eastAsia" w:ascii="仿宋" w:hAnsi="仿宋" w:eastAsia="仿宋" w:cs="仿宋"/>
          <w:color w:val="auto"/>
          <w:sz w:val="24"/>
          <w:szCs w:val="24"/>
          <w:highlight w:val="none"/>
        </w:rPr>
        <w:t xml:space="preserve">附件3 承包人主要管理人员表</w:t>
      </w:r>
      <w:bookmarkEnd w:id="658"/>
      <w:r/>
      <w:bookmarkEnd w:id="659"/>
      <w:r/>
      <w:bookmarkEnd w:id="660"/>
      <w:r/>
      <w:bookmarkEnd w:id="661"/>
      <w:r/>
      <w:r/>
    </w:p>
    <w:tbl>
      <w:tblPr>
        <w:tblStyle w:val="725"/>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470"/>
        <w:gridCol w:w="1385"/>
        <w:gridCol w:w="1107"/>
        <w:gridCol w:w="1107"/>
        <w:gridCol w:w="3808"/>
      </w:tblGrid>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主要资历、经验及承担过的项目</w:t>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一、总部人员</w:t>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gridSpan w:val="5"/>
            <w:tcBorders>
              <w:top w:val="single" w:color="auto" w:sz="4" w:space="0"/>
              <w:left w:val="single" w:color="auto" w:sz="4" w:space="0"/>
              <w:bottom w:val="single" w:color="auto" w:sz="4" w:space="0"/>
              <w:right w:val="single" w:color="auto" w:sz="4" w:space="0"/>
            </w:tcBorders>
            <w:tcW w:w="887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二、现场人员</w:t>
            </w:r>
            <w:r/>
          </w:p>
        </w:tc>
      </w:tr>
      <w:tr>
        <w:trPr>
          <w:jc w:val="center"/>
          <w:trHeight w:val="802"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工程总承包</w:t>
            </w:r>
            <w:r/>
          </w:p>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项目副经理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设计负责人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造价管理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环境管理</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其他人员</w:t>
            </w:r>
            <w:bookmarkEnd w:id="649"/>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1" w:hRule="exact"/>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808" w:type="dxa"/>
            <w:vAlign w:val="center"/>
            <w:textDirection w:val="lrTb"/>
            <w:noWrap w:val="false"/>
          </w:tcPr>
          <w:p>
            <w:pPr>
              <w:pStyle w:val="726"/>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747"/>
        <w:ind w:left="0" w:firstLine="0"/>
        <w:keepLines w:val="0"/>
        <w:keepNext w:val="0"/>
        <w:pageBreakBefore w:val="0"/>
        <w:spacing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uiPriority w:val="0"/>
    <w:qFormat/>
    <w:rPr>
      <w:rFonts w:hint="default" w:ascii="Calibri" w:hAnsi="Calibri" w:eastAsia="宋体" w:cs="Times New Roman"/>
      <w:lang w:val="en-US" w:eastAsia="zh-CN" w:bidi="ar-SA"/>
    </w:rPr>
  </w:style>
  <w:style w:type="paragraph" w:styleId="715">
    <w:name w:val="Heading 1"/>
    <w:basedOn w:val="714"/>
    <w:next w:val="714"/>
    <w:uiPriority w:val="0"/>
    <w:qFormat/>
    <w:pPr>
      <w:keepLines/>
      <w:keepNext/>
      <w:spacing w:before="480" w:after="200"/>
      <w:outlineLvl w:val="0"/>
    </w:pPr>
    <w:rPr>
      <w:rFonts w:ascii="Arial" w:hAnsi="Arial" w:eastAsia="Arial" w:cs="Arial"/>
      <w:sz w:val="40"/>
      <w:szCs w:val="40"/>
    </w:rPr>
  </w:style>
  <w:style w:type="paragraph" w:styleId="716">
    <w:name w:val="Heading 2"/>
    <w:basedOn w:val="714"/>
    <w:next w:val="748"/>
    <w:uiPriority w:val="0"/>
    <w:qFormat/>
    <w:pPr>
      <w:keepLines/>
      <w:keepNext/>
      <w:spacing w:before="360" w:after="200"/>
      <w:outlineLvl w:val="1"/>
    </w:pPr>
    <w:rPr>
      <w:rFonts w:ascii="Arial" w:hAnsi="Arial" w:eastAsia="Arial" w:cs="Arial"/>
      <w:sz w:val="34"/>
    </w:rPr>
  </w:style>
  <w:style w:type="paragraph" w:styleId="717">
    <w:name w:val="Heading 3"/>
    <w:basedOn w:val="714"/>
    <w:next w:val="714"/>
    <w:uiPriority w:val="0"/>
    <w:qFormat/>
    <w:pPr>
      <w:keepLines/>
      <w:keepNext/>
      <w:spacing w:before="320" w:after="200"/>
      <w:outlineLvl w:val="2"/>
    </w:pPr>
    <w:rPr>
      <w:rFonts w:ascii="Arial" w:hAnsi="Arial" w:eastAsia="Arial" w:cs="Arial"/>
      <w:sz w:val="30"/>
      <w:szCs w:val="30"/>
      <w:lang w:val="en-US" w:eastAsia="zh-CN" w:bidi="ar-SA"/>
    </w:rPr>
  </w:style>
  <w:style w:type="paragraph" w:styleId="718">
    <w:name w:val="Heading 4"/>
    <w:basedOn w:val="714"/>
    <w:next w:val="714"/>
    <w:uiPriority w:val="0"/>
    <w:qFormat/>
    <w:pPr>
      <w:keepLines/>
      <w:keepNext/>
      <w:spacing w:before="320" w:after="200"/>
      <w:outlineLvl w:val="3"/>
    </w:pPr>
    <w:rPr>
      <w:rFonts w:ascii="Arial" w:hAnsi="Arial" w:eastAsia="Arial" w:cs="Arial"/>
      <w:b/>
      <w:bCs/>
      <w:sz w:val="26"/>
      <w:szCs w:val="26"/>
    </w:rPr>
  </w:style>
  <w:style w:type="paragraph" w:styleId="719">
    <w:name w:val="Heading 5"/>
    <w:next w:val="714"/>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20">
    <w:name w:val="Heading 6"/>
    <w:next w:val="714"/>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21">
    <w:name w:val="Heading 7"/>
    <w:next w:val="714"/>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2">
    <w:name w:val="Heading 8"/>
    <w:next w:val="714"/>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23">
    <w:name w:val="Heading 9"/>
    <w:next w:val="714"/>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w:basedOn w:val="714"/>
    <w:next w:val="727"/>
    <w:uiPriority w:val="0"/>
    <w:qFormat/>
    <w:pPr>
      <w:spacing w:after="120"/>
    </w:pPr>
    <w:rPr>
      <w:rFonts w:ascii="Times New Roman" w:hAnsi="Times New Roman"/>
    </w:rPr>
  </w:style>
  <w:style w:type="paragraph" w:styleId="727" w:customStyle="1">
    <w:name w:val="一级条标题"/>
    <w:basedOn w:val="728"/>
    <w:next w:val="747"/>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28" w:customStyle="1">
    <w:name w:val="章标题"/>
    <w:basedOn w:val="729"/>
    <w:next w:val="729"/>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29" w:customStyle="1">
    <w:name w:val="正文1"/>
    <w:basedOn w:val="730"/>
    <w:next w:val="746"/>
    <w:uiPriority w:val="0"/>
    <w:qFormat/>
    <w:pPr>
      <w:ind w:firstLine="432"/>
      <w:spacing w:line="360" w:lineRule="auto"/>
      <w:tabs>
        <w:tab w:val="left" w:pos="420" w:leader="none"/>
      </w:tabs>
    </w:pPr>
    <w:rPr>
      <w:rFonts w:ascii="宋体"/>
      <w:b/>
      <w:sz w:val="24"/>
    </w:rPr>
  </w:style>
  <w:style w:type="paragraph" w:styleId="730" w:customStyle="1">
    <w:name w:val="正文111"/>
    <w:next w:val="731"/>
    <w:uiPriority w:val="0"/>
    <w:qFormat/>
    <w:rPr>
      <w:rFonts w:hint="default" w:ascii="Calibri" w:hAnsi="Calibri" w:eastAsia="宋体" w:cs="Times New Roman"/>
      <w:lang w:val="en-US" w:eastAsia="zh-CN" w:bidi="ar-SA"/>
    </w:rPr>
  </w:style>
  <w:style w:type="paragraph" w:styleId="731" w:customStyle="1">
    <w:name w:val="正文首行缩进1"/>
    <w:basedOn w:val="732"/>
    <w:next w:val="743"/>
    <w:uiPriority w:val="0"/>
    <w:qFormat/>
    <w:pPr>
      <w:ind w:firstLine="100"/>
      <w:tabs>
        <w:tab w:val="left" w:pos="180" w:leader="none"/>
      </w:tabs>
    </w:pPr>
  </w:style>
  <w:style w:type="paragraph" w:styleId="732" w:customStyle="1">
    <w:name w:val="正文文本11"/>
    <w:basedOn w:val="733"/>
    <w:next w:val="734"/>
    <w:uiPriority w:val="0"/>
    <w:qFormat/>
    <w:pPr>
      <w:spacing w:after="120"/>
    </w:pPr>
    <w:rPr>
      <w:rFonts w:ascii="Times New Roman" w:hAnsi="Times New Roman"/>
    </w:rPr>
  </w:style>
  <w:style w:type="paragraph" w:styleId="733" w:customStyle="1">
    <w:name w:val="正文112"/>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customStyle="1">
    <w:name w:val="正文11"/>
    <w:next w:val="735"/>
    <w:link w:val="1042"/>
    <w:uiPriority w:val="0"/>
    <w:qFormat/>
    <w:pPr>
      <w:jc w:val="both"/>
      <w:widowControl w:val="off"/>
    </w:pPr>
    <w:rPr>
      <w:rFonts w:hint="default" w:ascii="Calibri" w:hAnsi="Calibri" w:eastAsia="宋体" w:cs="Times New Roman"/>
      <w:sz w:val="21"/>
      <w:szCs w:val="24"/>
      <w:lang w:val="en-US" w:eastAsia="zh-CN" w:bidi="ar-SA"/>
    </w:rPr>
  </w:style>
  <w:style w:type="paragraph" w:styleId="735" w:customStyle="1">
    <w:name w:val="正文首行缩进11"/>
    <w:basedOn w:val="736"/>
    <w:next w:val="738"/>
    <w:uiPriority w:val="0"/>
    <w:qFormat/>
    <w:pPr>
      <w:ind w:firstLine="200"/>
      <w:spacing w:line="360" w:lineRule="auto"/>
      <w:tabs>
        <w:tab w:val="left" w:pos="420" w:leader="none"/>
      </w:tabs>
    </w:pPr>
    <w:rPr>
      <w:rFonts w:ascii="仿宋_GB2312" w:eastAsia="仿宋_GB2312"/>
      <w:sz w:val="30"/>
      <w:szCs w:val="30"/>
    </w:rPr>
  </w:style>
  <w:style w:type="paragraph" w:styleId="736" w:customStyle="1">
    <w:name w:val="正文文本1"/>
    <w:basedOn w:val="729"/>
    <w:next w:val="737"/>
    <w:uiPriority w:val="0"/>
    <w:qFormat/>
    <w:rPr>
      <w:rFonts w:eastAsia="黑体"/>
      <w:bCs/>
      <w:spacing w:val="20"/>
      <w:sz w:val="56"/>
    </w:rPr>
  </w:style>
  <w:style w:type="paragraph" w:styleId="737" w:customStyle="1">
    <w:name w:val="正文文本 21"/>
    <w:basedOn w:val="714"/>
    <w:uiPriority w:val="0"/>
    <w:qFormat/>
    <w:pPr>
      <w:spacing w:after="120" w:line="480" w:lineRule="auto"/>
    </w:pPr>
    <w:rPr>
      <w:rFonts w:ascii="Calibri" w:hAnsi="Calibri" w:eastAsia="宋体"/>
      <w:szCs w:val="22"/>
    </w:rPr>
  </w:style>
  <w:style w:type="paragraph" w:styleId="738" w:customStyle="1">
    <w:name w:val="正文首行缩进 211"/>
    <w:basedOn w:val="739"/>
    <w:uiPriority w:val="99"/>
    <w:qFormat/>
    <w:pPr>
      <w:ind w:left="0" w:firstLine="420"/>
      <w:spacing w:after="0" w:line="360" w:lineRule="auto"/>
    </w:pPr>
    <w:rPr>
      <w:rFonts w:ascii="宋体" w:hAnsi="宋体"/>
    </w:rPr>
  </w:style>
  <w:style w:type="paragraph" w:styleId="739" w:customStyle="1">
    <w:name w:val="正文文本缩进11"/>
    <w:basedOn w:val="740"/>
    <w:next w:val="742"/>
    <w:uiPriority w:val="99"/>
    <w:unhideWhenUsed/>
    <w:qFormat/>
    <w:pPr>
      <w:ind w:firstLine="425"/>
      <w:jc w:val="both"/>
      <w:spacing w:line="360" w:lineRule="auto"/>
    </w:pPr>
    <w:rPr>
      <w:lang w:val="en-US" w:eastAsia="zh-CN"/>
    </w:rPr>
  </w:style>
  <w:style w:type="paragraph" w:styleId="740" w:customStyle="1">
    <w:name w:val="正文12"/>
    <w:next w:val="7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customStyle="1">
    <w:name w:val="标题 41"/>
    <w:basedOn w:val="740"/>
    <w:next w:val="740"/>
    <w:uiPriority w:val="0"/>
    <w:qFormat/>
    <w:pPr>
      <w:keepLines/>
      <w:keepNext/>
      <w:spacing w:before="280" w:after="290" w:line="377" w:lineRule="auto"/>
      <w:outlineLvl w:val="3"/>
    </w:pPr>
    <w:rPr>
      <w:rFonts w:ascii="Cambria" w:hAnsi="Cambria"/>
      <w:b/>
      <w:bCs/>
      <w:sz w:val="28"/>
      <w:szCs w:val="28"/>
    </w:rPr>
  </w:style>
  <w:style w:type="paragraph" w:styleId="742" w:customStyle="1">
    <w:name w:val="寄信人地址11"/>
    <w:basedOn w:val="714"/>
    <w:uiPriority w:val="99"/>
    <w:unhideWhenUsed/>
    <w:qFormat/>
    <w:rPr>
      <w:rFonts w:ascii="Arial" w:hAnsi="Arial"/>
    </w:rPr>
  </w:style>
  <w:style w:type="paragraph" w:styleId="743" w:customStyle="1">
    <w:name w:val="正文首行缩进 21"/>
    <w:basedOn w:val="744"/>
    <w:next w:val="730"/>
    <w:uiPriority w:val="0"/>
    <w:qFormat/>
    <w:pPr>
      <w:ind w:left="0" w:firstLine="420"/>
      <w:spacing w:after="0" w:line="360" w:lineRule="auto"/>
    </w:pPr>
    <w:rPr>
      <w:rFonts w:ascii="宋体"/>
      <w:sz w:val="20"/>
      <w:szCs w:val="20"/>
    </w:rPr>
  </w:style>
  <w:style w:type="paragraph" w:styleId="744" w:customStyle="1">
    <w:name w:val="正文文本缩进1"/>
    <w:basedOn w:val="734"/>
    <w:next w:val="745"/>
    <w:uiPriority w:val="0"/>
    <w:qFormat/>
    <w:pPr>
      <w:ind w:left="420"/>
      <w:spacing w:after="120"/>
    </w:pPr>
    <w:rPr>
      <w:rFonts w:ascii="Times New Roman" w:hAnsi="Times New Roman"/>
    </w:rPr>
  </w:style>
  <w:style w:type="paragraph" w:styleId="745" w:customStyle="1">
    <w:name w:val="寄信人地址1"/>
    <w:basedOn w:val="740"/>
    <w:uiPriority w:val="0"/>
    <w:qFormat/>
    <w:rPr>
      <w:rFonts w:ascii="Arial" w:hAnsi="Arial"/>
    </w:rPr>
  </w:style>
  <w:style w:type="paragraph" w:styleId="746" w:customStyle="1">
    <w:name w:val="标题 21"/>
    <w:basedOn w:val="740"/>
    <w:next w:val="734"/>
    <w:link w:val="943"/>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47" w:customStyle="1">
    <w:name w:val="段"/>
    <w:basedOn w:val="733"/>
    <w:next w:val="729"/>
    <w:uiPriority w:val="0"/>
    <w:qFormat/>
    <w:pPr>
      <w:ind w:firstLine="200"/>
      <w:widowControl/>
    </w:pPr>
    <w:rPr>
      <w:rFonts w:ascii="宋体"/>
      <w:sz w:val="20"/>
      <w:szCs w:val="20"/>
    </w:rPr>
  </w:style>
  <w:style w:type="paragraph" w:styleId="748">
    <w:name w:val="Normal Indent"/>
    <w:basedOn w:val="714"/>
    <w:next w:val="749"/>
    <w:uiPriority w:val="99"/>
    <w:unhideWhenUsed/>
    <w:qFormat/>
    <w:pPr>
      <w:ind w:firstLine="420"/>
    </w:pPr>
  </w:style>
  <w:style w:type="paragraph" w:styleId="749">
    <w:name w:val="Body Text Indent"/>
    <w:basedOn w:val="714"/>
    <w:next w:val="750"/>
    <w:uiPriority w:val="0"/>
    <w:qFormat/>
    <w:pPr>
      <w:ind w:firstLine="567"/>
      <w:spacing w:line="500" w:lineRule="exact"/>
      <w:tabs>
        <w:tab w:val="left" w:pos="0" w:leader="none"/>
        <w:tab w:val="left" w:pos="993" w:leader="none"/>
        <w:tab w:val="left" w:pos="1134" w:leader="none"/>
      </w:tabs>
    </w:pPr>
    <w:rPr>
      <w:rFonts w:ascii="宋体"/>
    </w:rPr>
  </w:style>
  <w:style w:type="paragraph" w:styleId="750">
    <w:name w:val="envelope return"/>
    <w:basedOn w:val="714"/>
    <w:uiPriority w:val="99"/>
    <w:unhideWhenUsed/>
    <w:qFormat/>
    <w:rPr>
      <w:rFonts w:ascii="Arial" w:hAnsi="Arial"/>
    </w:rPr>
  </w:style>
  <w:style w:type="paragraph" w:styleId="751">
    <w:name w:val="toc 7"/>
    <w:next w:val="714"/>
    <w:uiPriority w:val="0"/>
    <w:qFormat/>
    <w:pPr>
      <w:ind w:left="1701"/>
      <w:spacing w:after="57"/>
    </w:pPr>
    <w:rPr>
      <w:rFonts w:hint="default" w:ascii="Calibri" w:hAnsi="Calibri" w:eastAsia="宋体" w:cs="Times New Roman"/>
      <w:lang w:val="en-US" w:eastAsia="zh-CN" w:bidi="ar-SA"/>
    </w:rPr>
  </w:style>
  <w:style w:type="paragraph" w:styleId="752">
    <w:name w:val="Caption"/>
    <w:next w:val="714"/>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53">
    <w:name w:val="annotation text"/>
    <w:basedOn w:val="714"/>
    <w:uiPriority w:val="0"/>
    <w:qFormat/>
    <w:pPr>
      <w:jc w:val="left"/>
    </w:pPr>
  </w:style>
  <w:style w:type="paragraph" w:styleId="754">
    <w:name w:val="Block Text"/>
    <w:basedOn w:val="714"/>
    <w:next w:val="714"/>
    <w:uiPriority w:val="0"/>
    <w:qFormat/>
    <w:pPr>
      <w:ind w:left="256" w:right="6" w:firstLine="624"/>
    </w:pPr>
    <w:rPr>
      <w:rFonts w:ascii="Times New Roman" w:hAnsi="Times New Roman" w:eastAsia="仿宋_GB2312"/>
      <w:sz w:val="28"/>
    </w:rPr>
  </w:style>
  <w:style w:type="paragraph" w:styleId="755">
    <w:name w:val="toc 5"/>
    <w:next w:val="714"/>
    <w:uiPriority w:val="0"/>
    <w:qFormat/>
    <w:pPr>
      <w:ind w:left="1134"/>
      <w:spacing w:after="57"/>
    </w:pPr>
    <w:rPr>
      <w:rFonts w:hint="default" w:ascii="Calibri" w:hAnsi="Calibri" w:eastAsia="宋体" w:cs="Times New Roman"/>
      <w:lang w:val="en-US" w:eastAsia="zh-CN" w:bidi="ar-SA"/>
    </w:rPr>
  </w:style>
  <w:style w:type="paragraph" w:styleId="756">
    <w:name w:val="toc 3"/>
    <w:next w:val="714"/>
    <w:uiPriority w:val="0"/>
    <w:qFormat/>
    <w:pPr>
      <w:ind w:left="567"/>
      <w:spacing w:after="57"/>
    </w:pPr>
    <w:rPr>
      <w:rFonts w:hint="default" w:ascii="Calibri" w:hAnsi="Calibri" w:eastAsia="宋体" w:cs="Times New Roman"/>
      <w:lang w:val="en-US" w:eastAsia="zh-CN" w:bidi="ar-SA"/>
    </w:rPr>
  </w:style>
  <w:style w:type="paragraph" w:styleId="757">
    <w:name w:val="Plain Text"/>
    <w:basedOn w:val="714"/>
    <w:uiPriority w:val="0"/>
    <w:qFormat/>
    <w:rPr>
      <w:rFonts w:ascii="宋体"/>
    </w:rPr>
  </w:style>
  <w:style w:type="paragraph" w:styleId="758">
    <w:name w:val="toc 8"/>
    <w:next w:val="714"/>
    <w:uiPriority w:val="0"/>
    <w:qFormat/>
    <w:pPr>
      <w:ind w:left="1984"/>
      <w:spacing w:after="57"/>
    </w:pPr>
    <w:rPr>
      <w:rFonts w:hint="default" w:ascii="Calibri" w:hAnsi="Calibri" w:eastAsia="宋体" w:cs="Times New Roman"/>
      <w:lang w:val="en-US" w:eastAsia="zh-CN" w:bidi="ar-SA"/>
    </w:rPr>
  </w:style>
  <w:style w:type="paragraph" w:styleId="759">
    <w:name w:val="endnote text"/>
    <w:uiPriority w:val="0"/>
    <w:qFormat/>
    <w:rPr>
      <w:rFonts w:hint="default" w:ascii="Calibri" w:hAnsi="Calibri" w:eastAsia="宋体" w:cs="Times New Roman"/>
      <w:lang w:val="en-US" w:eastAsia="zh-CN" w:bidi="ar-SA"/>
    </w:rPr>
  </w:style>
  <w:style w:type="paragraph" w:styleId="760">
    <w:name w:val="Footer"/>
    <w:basedOn w:val="714"/>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61">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62">
    <w:name w:val="toc 1"/>
    <w:next w:val="714"/>
    <w:uiPriority w:val="0"/>
    <w:qFormat/>
    <w:pPr>
      <w:spacing w:after="57"/>
    </w:pPr>
    <w:rPr>
      <w:rFonts w:hint="default" w:ascii="Calibri" w:hAnsi="Calibri" w:eastAsia="宋体" w:cs="Times New Roman"/>
      <w:lang w:val="en-US" w:eastAsia="zh-CN" w:bidi="ar-SA"/>
    </w:rPr>
  </w:style>
  <w:style w:type="paragraph" w:styleId="763">
    <w:name w:val="toc 4"/>
    <w:next w:val="714"/>
    <w:uiPriority w:val="0"/>
    <w:qFormat/>
    <w:pPr>
      <w:ind w:left="850"/>
      <w:spacing w:after="57"/>
    </w:pPr>
    <w:rPr>
      <w:rFonts w:hint="default" w:ascii="Calibri" w:hAnsi="Calibri" w:eastAsia="宋体" w:cs="Times New Roman"/>
      <w:lang w:val="en-US" w:eastAsia="zh-CN" w:bidi="ar-SA"/>
    </w:rPr>
  </w:style>
  <w:style w:type="paragraph" w:styleId="764">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65">
    <w:name w:val="footnote text"/>
    <w:uiPriority w:val="0"/>
    <w:qFormat/>
    <w:pPr>
      <w:spacing w:after="40"/>
    </w:pPr>
    <w:rPr>
      <w:rFonts w:hint="default" w:ascii="Calibri" w:hAnsi="Calibri" w:eastAsia="宋体" w:cs="Times New Roman"/>
      <w:sz w:val="18"/>
      <w:lang w:val="en-US" w:eastAsia="zh-CN" w:bidi="ar-SA"/>
    </w:rPr>
  </w:style>
  <w:style w:type="paragraph" w:styleId="766">
    <w:name w:val="toc 6"/>
    <w:basedOn w:val="714"/>
    <w:next w:val="714"/>
    <w:uiPriority w:val="0"/>
    <w:qFormat/>
    <w:pPr>
      <w:ind w:left="1417"/>
      <w:spacing w:after="57"/>
    </w:pPr>
    <w:rPr>
      <w:rFonts w:hint="default" w:ascii="Calibri" w:hAnsi="Calibri" w:eastAsia="宋体" w:cs="Times New Roman"/>
      <w:lang w:val="en-US" w:eastAsia="zh-CN" w:bidi="ar-SA"/>
    </w:rPr>
  </w:style>
  <w:style w:type="paragraph" w:styleId="767">
    <w:name w:val="table of figures"/>
    <w:next w:val="714"/>
    <w:uiPriority w:val="0"/>
    <w:qFormat/>
    <w:rPr>
      <w:rFonts w:hint="default" w:ascii="Calibri" w:hAnsi="Calibri" w:eastAsia="宋体" w:cs="Times New Roman"/>
      <w:lang w:val="en-US" w:eastAsia="zh-CN" w:bidi="ar-SA"/>
    </w:rPr>
  </w:style>
  <w:style w:type="paragraph" w:styleId="768">
    <w:name w:val="toc 2"/>
    <w:next w:val="714"/>
    <w:uiPriority w:val="0"/>
    <w:qFormat/>
    <w:pPr>
      <w:ind w:left="283"/>
      <w:spacing w:after="57"/>
    </w:pPr>
    <w:rPr>
      <w:rFonts w:hint="default" w:ascii="Calibri" w:hAnsi="Calibri" w:eastAsia="宋体" w:cs="Times New Roman"/>
      <w:lang w:val="en-US" w:eastAsia="zh-CN" w:bidi="ar-SA"/>
    </w:rPr>
  </w:style>
  <w:style w:type="paragraph" w:styleId="769">
    <w:name w:val="toc 9"/>
    <w:basedOn w:val="714"/>
    <w:next w:val="714"/>
    <w:uiPriority w:val="0"/>
    <w:qFormat/>
    <w:pPr>
      <w:ind w:left="2268"/>
      <w:spacing w:after="57"/>
    </w:pPr>
    <w:rPr>
      <w:rFonts w:hint="default" w:ascii="Calibri" w:hAnsi="Calibri" w:eastAsia="宋体" w:cs="Times New Roman"/>
      <w:lang w:val="en-US" w:eastAsia="zh-CN" w:bidi="ar-SA"/>
    </w:rPr>
  </w:style>
  <w:style w:type="paragraph" w:styleId="770">
    <w:name w:val="Body Text 2"/>
    <w:basedOn w:val="714"/>
    <w:uiPriority w:val="0"/>
    <w:qFormat/>
    <w:pPr>
      <w:spacing w:after="120" w:line="480" w:lineRule="auto"/>
    </w:pPr>
  </w:style>
  <w:style w:type="paragraph" w:styleId="771">
    <w:name w:val="Normal (Web)"/>
    <w:basedOn w:val="714"/>
    <w:uiPriority w:val="0"/>
    <w:qFormat/>
    <w:pPr>
      <w:ind w:left="0" w:right="0"/>
      <w:jc w:val="left"/>
      <w:spacing w:before="0" w:beforeAutospacing="1" w:after="0" w:afterAutospacing="1"/>
    </w:pPr>
    <w:rPr>
      <w:sz w:val="24"/>
      <w:lang w:val="en-US" w:eastAsia="zh-CN" w:bidi="ar"/>
    </w:rPr>
  </w:style>
  <w:style w:type="paragraph" w:styleId="772">
    <w:name w:val="Title"/>
    <w:basedOn w:val="714"/>
    <w:next w:val="714"/>
    <w:uiPriority w:val="0"/>
    <w:qFormat/>
    <w:pPr>
      <w:contextualSpacing/>
      <w:spacing w:before="300" w:after="200"/>
    </w:pPr>
    <w:rPr>
      <w:sz w:val="48"/>
      <w:szCs w:val="48"/>
    </w:rPr>
  </w:style>
  <w:style w:type="paragraph" w:styleId="773">
    <w:name w:val="Body Text First Indent"/>
    <w:basedOn w:val="726"/>
    <w:next w:val="766"/>
    <w:uiPriority w:val="0"/>
    <w:qFormat/>
    <w:pPr>
      <w:ind w:firstLine="200"/>
      <w:spacing w:line="360" w:lineRule="auto"/>
    </w:pPr>
    <w:rPr>
      <w:rFonts w:ascii="仿宋_GB2312" w:eastAsia="仿宋_GB2312"/>
      <w:sz w:val="30"/>
      <w:szCs w:val="30"/>
    </w:rPr>
  </w:style>
  <w:style w:type="table" w:styleId="774">
    <w:name w:val="Table Grid"/>
    <w:basedOn w:val="72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24"/>
    <w:uiPriority w:val="22"/>
    <w:qFormat/>
    <w:rPr>
      <w:b/>
    </w:rPr>
  </w:style>
  <w:style w:type="character" w:styleId="776">
    <w:name w:val="endnote reference"/>
    <w:uiPriority w:val="0"/>
    <w:qFormat/>
    <w:rPr>
      <w:vertAlign w:val="superscript"/>
    </w:rPr>
  </w:style>
  <w:style w:type="character" w:styleId="777">
    <w:name w:val="page number"/>
    <w:basedOn w:val="724"/>
    <w:uiPriority w:val="0"/>
    <w:qFormat/>
  </w:style>
  <w:style w:type="character" w:styleId="778">
    <w:name w:val="Emphasis"/>
    <w:basedOn w:val="724"/>
    <w:uiPriority w:val="0"/>
    <w:qFormat/>
    <w:rPr>
      <w:color w:val="cc0033"/>
    </w:rPr>
  </w:style>
  <w:style w:type="character" w:styleId="779">
    <w:name w:val="Hyperlink"/>
    <w:uiPriority w:val="0"/>
    <w:qFormat/>
    <w:rPr>
      <w:color w:val="0000ff"/>
      <w:u w:val="single"/>
    </w:rPr>
  </w:style>
  <w:style w:type="character" w:styleId="780">
    <w:name w:val="footnote reference"/>
    <w:uiPriority w:val="0"/>
    <w:qFormat/>
    <w:rPr>
      <w:vertAlign w:val="superscript"/>
    </w:rPr>
  </w:style>
  <w:style w:type="paragraph" w:styleId="781" w:customStyle="1">
    <w:name w:val="BodyText"/>
    <w:basedOn w:val="714"/>
    <w:next w:val="714"/>
    <w:uiPriority w:val="0"/>
    <w:qFormat/>
    <w:pPr>
      <w:ind w:left="72" w:right="30"/>
      <w:jc w:val="center"/>
      <w:spacing w:after="60" w:line="360" w:lineRule="atLeast"/>
    </w:pPr>
    <w:rPr>
      <w:szCs w:val="22"/>
    </w:rPr>
  </w:style>
  <w:style w:type="paragraph" w:styleId="782" w:customStyle="1">
    <w:name w:val="文本块1"/>
    <w:basedOn w:val="740"/>
    <w:next w:val="714"/>
    <w:uiPriority w:val="0"/>
    <w:qFormat/>
    <w:pPr>
      <w:ind w:left="256" w:right="6" w:firstLine="624"/>
    </w:pPr>
    <w:rPr>
      <w:rFonts w:ascii="Times New Roman" w:hAnsi="Times New Roman" w:eastAsia="仿宋_GB2312"/>
      <w:sz w:val="28"/>
    </w:rPr>
  </w:style>
  <w:style w:type="paragraph" w:styleId="783" w:customStyle="1">
    <w:name w:val="脚注文本1"/>
    <w:basedOn w:val="729"/>
    <w:next w:val="784"/>
    <w:uiPriority w:val="0"/>
    <w:qFormat/>
    <w:pPr>
      <w:spacing w:after="40"/>
    </w:pPr>
    <w:rPr>
      <w:rFonts w:hint="default" w:ascii="Calibri" w:hAnsi="Calibri" w:eastAsia="宋体" w:cs="Times New Roman"/>
      <w:sz w:val="18"/>
      <w:lang w:val="en-US" w:eastAsia="zh-CN" w:bidi="ar-SA"/>
    </w:rPr>
  </w:style>
  <w:style w:type="paragraph" w:styleId="784" w:customStyle="1">
    <w:name w:val="索引 51"/>
    <w:basedOn w:val="740"/>
    <w:next w:val="729"/>
    <w:uiPriority w:val="0"/>
    <w:qFormat/>
    <w:pPr>
      <w:ind w:left="798"/>
      <w:jc w:val="left"/>
    </w:pPr>
  </w:style>
  <w:style w:type="paragraph" w:styleId="785" w:customStyle="1">
    <w:name w:val="无间隔1"/>
    <w:uiPriority w:val="0"/>
    <w:qFormat/>
    <w:rPr>
      <w:rFonts w:hint="default" w:ascii="Calibri" w:hAnsi="Calibri" w:eastAsia="宋体" w:cs="Times New Roman"/>
      <w:lang w:val="en-US" w:eastAsia="zh-CN" w:bidi="ar-SA"/>
    </w:rPr>
  </w:style>
  <w:style w:type="paragraph" w:styleId="786" w:customStyle="1">
    <w:name w:val="正文缩进1"/>
    <w:basedOn w:val="733"/>
    <w:next w:val="734"/>
    <w:uiPriority w:val="0"/>
    <w:qFormat/>
    <w:pPr>
      <w:ind w:firstLine="420"/>
    </w:pPr>
  </w:style>
  <w:style w:type="paragraph" w:styleId="787" w:customStyle="1">
    <w:name w:val="正文首行缩进 22"/>
    <w:basedOn w:val="788"/>
    <w:next w:val="733"/>
    <w:uiPriority w:val="0"/>
    <w:qFormat/>
    <w:pPr>
      <w:ind w:firstLine="420"/>
    </w:pPr>
  </w:style>
  <w:style w:type="paragraph" w:styleId="788" w:customStyle="1">
    <w:name w:val="正文文本缩进2"/>
    <w:basedOn w:val="730"/>
    <w:uiPriority w:val="0"/>
    <w:qFormat/>
    <w:pPr>
      <w:ind w:left="420"/>
      <w:spacing w:after="120"/>
    </w:pPr>
  </w:style>
  <w:style w:type="character" w:styleId="789" w:customStyle="1">
    <w:name w:val="Heading 1 Char"/>
    <w:basedOn w:val="724"/>
    <w:uiPriority w:val="9"/>
    <w:qFormat/>
    <w:rPr>
      <w:rFonts w:ascii="Arial" w:hAnsi="Arial" w:eastAsia="Arial" w:cs="Arial"/>
      <w:sz w:val="40"/>
      <w:szCs w:val="40"/>
    </w:r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paragraph" w:styleId="791">
    <w:name w:val="Quote"/>
    <w:basedOn w:val="714"/>
    <w:next w:val="714"/>
    <w:uiPriority w:val="29"/>
    <w:qFormat/>
    <w:pPr>
      <w:ind w:left="720" w:right="720"/>
    </w:pPr>
    <w:rPr>
      <w:i/>
    </w:rPr>
  </w:style>
  <w:style w:type="paragraph" w:styleId="792">
    <w:name w:val="Intense Quote"/>
    <w:basedOn w:val="714"/>
    <w:next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3"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2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2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2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2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2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2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2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72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72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72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2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2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2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2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8" w:customStyle="1">
    <w:name w:val="Grid Table 6 Colorful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2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6 Colorful - Accent 6"/>
    <w:basedOn w:val="72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2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2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2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2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2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2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2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2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2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2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2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2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2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2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72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2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2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2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2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2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2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2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2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2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2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2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2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2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2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2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2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2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2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2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2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2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2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basedOn w:val="72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basedOn w:val="72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basedOn w:val="72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basedOn w:val="72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basedOn w:val="72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2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2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2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2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2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2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2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Bordered &amp; Lined - Accent 2"/>
    <w:basedOn w:val="72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72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72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2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2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2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2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72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72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2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2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样式 正文文本缩进 + 首行缩进:  2 字符 行距: 1.5 倍行距"/>
    <w:basedOn w:val="744"/>
    <w:uiPriority w:val="0"/>
    <w:qFormat/>
    <w:pPr>
      <w:ind w:firstLine="645"/>
      <w:spacing w:before="156"/>
    </w:pPr>
    <w:rPr>
      <w:rFonts w:ascii="Calibri" w:hAnsi="Calibri"/>
      <w:sz w:val="28"/>
    </w:rPr>
  </w:style>
  <w:style w:type="paragraph" w:styleId="920" w:customStyle="1">
    <w:name w:val="标题1"/>
    <w:basedOn w:val="740"/>
    <w:next w:val="921"/>
    <w:uiPriority w:val="0"/>
    <w:qFormat/>
    <w:pPr>
      <w:jc w:val="center"/>
      <w:spacing w:before="240" w:after="60"/>
      <w:outlineLvl w:val="0"/>
    </w:pPr>
    <w:rPr>
      <w:rFonts w:ascii="Cambria" w:hAnsi="Cambria"/>
      <w:b/>
      <w:bCs/>
      <w:sz w:val="32"/>
      <w:szCs w:val="32"/>
    </w:rPr>
  </w:style>
  <w:style w:type="paragraph" w:styleId="921" w:customStyle="1">
    <w:name w:val="纯文本1"/>
    <w:basedOn w:val="734"/>
    <w:uiPriority w:val="0"/>
    <w:qFormat/>
    <w:rPr>
      <w:rFonts w:ascii="宋体"/>
      <w:szCs w:val="21"/>
    </w:rPr>
  </w:style>
  <w:style w:type="character" w:styleId="922" w:customStyle="1">
    <w:name w:val="正文11 Char"/>
    <w:basedOn w:val="724"/>
    <w:link w:val="734"/>
    <w:uiPriority w:val="0"/>
    <w:qFormat/>
    <w:rPr>
      <w:rFonts w:ascii="Calibri" w:hAnsi="Calibri" w:eastAsia="宋体" w:cs="Times New Roman"/>
      <w:sz w:val="21"/>
      <w:szCs w:val="24"/>
      <w:lang w:val="en-US" w:eastAsia="zh-CN" w:bidi="ar-SA"/>
    </w:rPr>
  </w:style>
  <w:style w:type="character" w:styleId="923" w:customStyle="1">
    <w:name w:val="Heading 2 Char"/>
    <w:basedOn w:val="724"/>
    <w:uiPriority w:val="0"/>
    <w:qFormat/>
    <w:rPr>
      <w:rFonts w:ascii="Arial" w:hAnsi="Arial" w:eastAsia="Arial" w:cs="Arial"/>
      <w:sz w:val="34"/>
    </w:rPr>
  </w:style>
  <w:style w:type="character" w:styleId="924" w:customStyle="1">
    <w:name w:val="Heading 3 Char"/>
    <w:basedOn w:val="724"/>
    <w:uiPriority w:val="0"/>
    <w:qFormat/>
    <w:rPr>
      <w:rFonts w:ascii="Arial" w:hAnsi="Arial" w:eastAsia="Arial" w:cs="Arial"/>
      <w:sz w:val="30"/>
      <w:szCs w:val="30"/>
    </w:rPr>
  </w:style>
  <w:style w:type="character" w:styleId="925" w:customStyle="1">
    <w:name w:val="Heading 4 Char"/>
    <w:basedOn w:val="724"/>
    <w:uiPriority w:val="0"/>
    <w:qFormat/>
    <w:rPr>
      <w:rFonts w:ascii="Arial" w:hAnsi="Arial" w:eastAsia="Arial" w:cs="Arial"/>
      <w:b/>
      <w:bCs/>
      <w:sz w:val="26"/>
      <w:szCs w:val="26"/>
    </w:rPr>
  </w:style>
  <w:style w:type="character" w:styleId="926" w:customStyle="1">
    <w:name w:val="Heading 5 Char"/>
    <w:basedOn w:val="724"/>
    <w:uiPriority w:val="0"/>
    <w:qFormat/>
    <w:rPr>
      <w:rFonts w:ascii="Arial" w:hAnsi="Arial" w:eastAsia="Arial" w:cs="Arial"/>
      <w:b/>
      <w:bCs/>
      <w:sz w:val="24"/>
      <w:szCs w:val="24"/>
    </w:rPr>
  </w:style>
  <w:style w:type="character" w:styleId="927" w:customStyle="1">
    <w:name w:val="Heading 6 Char"/>
    <w:basedOn w:val="724"/>
    <w:uiPriority w:val="0"/>
    <w:qFormat/>
    <w:rPr>
      <w:rFonts w:ascii="Arial" w:hAnsi="Arial" w:eastAsia="Arial" w:cs="Arial"/>
      <w:b/>
      <w:bCs/>
      <w:sz w:val="22"/>
      <w:szCs w:val="22"/>
    </w:rPr>
  </w:style>
  <w:style w:type="character" w:styleId="928" w:customStyle="1">
    <w:name w:val="Heading 7 Char"/>
    <w:basedOn w:val="724"/>
    <w:uiPriority w:val="0"/>
    <w:qFormat/>
    <w:rPr>
      <w:rFonts w:ascii="Arial" w:hAnsi="Arial" w:eastAsia="Arial" w:cs="Arial"/>
      <w:b/>
      <w:bCs/>
      <w:i/>
      <w:iCs/>
      <w:sz w:val="22"/>
      <w:szCs w:val="22"/>
    </w:rPr>
  </w:style>
  <w:style w:type="character" w:styleId="929" w:customStyle="1">
    <w:name w:val="Heading 8 Char"/>
    <w:basedOn w:val="724"/>
    <w:uiPriority w:val="0"/>
    <w:qFormat/>
    <w:rPr>
      <w:rFonts w:ascii="Arial" w:hAnsi="Arial" w:eastAsia="Arial" w:cs="Arial"/>
      <w:i/>
      <w:iCs/>
      <w:sz w:val="22"/>
      <w:szCs w:val="22"/>
    </w:rPr>
  </w:style>
  <w:style w:type="character" w:styleId="930" w:customStyle="1">
    <w:name w:val="Heading 9 Char"/>
    <w:basedOn w:val="724"/>
    <w:uiPriority w:val="0"/>
    <w:qFormat/>
    <w:rPr>
      <w:rFonts w:ascii="Arial" w:hAnsi="Arial" w:eastAsia="Arial" w:cs="Arial"/>
      <w:i/>
      <w:iCs/>
      <w:sz w:val="21"/>
      <w:szCs w:val="21"/>
    </w:rPr>
  </w:style>
  <w:style w:type="character" w:styleId="931" w:customStyle="1">
    <w:name w:val="Title Char"/>
    <w:basedOn w:val="724"/>
    <w:uiPriority w:val="0"/>
    <w:qFormat/>
    <w:rPr>
      <w:sz w:val="48"/>
      <w:szCs w:val="48"/>
    </w:rPr>
  </w:style>
  <w:style w:type="character" w:styleId="932" w:customStyle="1">
    <w:name w:val="Subtitle Char"/>
    <w:basedOn w:val="724"/>
    <w:uiPriority w:val="0"/>
    <w:qFormat/>
    <w:rPr>
      <w:sz w:val="24"/>
      <w:szCs w:val="24"/>
    </w:rPr>
  </w:style>
  <w:style w:type="character" w:styleId="933" w:customStyle="1">
    <w:name w:val="Quote Char"/>
    <w:uiPriority w:val="0"/>
    <w:qFormat/>
    <w:rPr>
      <w:i/>
    </w:rPr>
  </w:style>
  <w:style w:type="character" w:styleId="934" w:customStyle="1">
    <w:name w:val="Intense Quote Char"/>
    <w:uiPriority w:val="0"/>
    <w:qFormat/>
    <w:rPr>
      <w:i/>
    </w:rPr>
  </w:style>
  <w:style w:type="character" w:styleId="935" w:customStyle="1">
    <w:name w:val="Header Char"/>
    <w:basedOn w:val="724"/>
    <w:uiPriority w:val="0"/>
    <w:qFormat/>
  </w:style>
  <w:style w:type="character" w:styleId="936" w:customStyle="1">
    <w:name w:val="Caption Char"/>
    <w:uiPriority w:val="0"/>
    <w:qFormat/>
  </w:style>
  <w:style w:type="character" w:styleId="937" w:customStyle="1">
    <w:name w:val="Footnote Text Char"/>
    <w:uiPriority w:val="0"/>
    <w:qFormat/>
    <w:rPr>
      <w:sz w:val="18"/>
    </w:rPr>
  </w:style>
  <w:style w:type="character" w:styleId="938" w:customStyle="1">
    <w:name w:val="Endnote Text Char"/>
    <w:uiPriority w:val="0"/>
    <w:qFormat/>
    <w:rPr>
      <w:sz w:val="20"/>
    </w:rPr>
  </w:style>
  <w:style w:type="paragraph" w:styleId="939" w:customStyle="1">
    <w:name w:val="TOC 标题1"/>
    <w:uiPriority w:val="0"/>
    <w:qFormat/>
    <w:rPr>
      <w:rFonts w:hint="default" w:ascii="Times New Roman" w:hAnsi="Times New Roman" w:eastAsia="宋体" w:cs="Times New Roman"/>
      <w:lang w:val="en-US" w:eastAsia="zh-CN" w:bidi="ar-SA"/>
    </w:rPr>
  </w:style>
  <w:style w:type="paragraph" w:styleId="940" w:customStyle="1">
    <w:name w:val="列出段落1"/>
    <w:next w:val="714"/>
    <w:uiPriority w:val="0"/>
    <w:qFormat/>
    <w:pPr>
      <w:contextualSpacing/>
      <w:ind w:left="720"/>
    </w:pPr>
    <w:rPr>
      <w:rFonts w:hint="default" w:ascii="Calibri" w:hAnsi="Calibri" w:eastAsia="宋体" w:cs="Times New Roman"/>
      <w:lang w:val="en-US" w:eastAsia="zh-CN" w:bidi="ar-SA"/>
    </w:rPr>
  </w:style>
  <w:style w:type="paragraph" w:styleId="941" w:customStyle="1">
    <w:name w:val="引用1"/>
    <w:uiPriority w:val="0"/>
    <w:qFormat/>
    <w:pPr>
      <w:ind w:left="720" w:right="720"/>
    </w:pPr>
    <w:rPr>
      <w:rFonts w:hint="default" w:ascii="Calibri" w:hAnsi="Calibri" w:eastAsia="宋体" w:cs="Times New Roman"/>
      <w:i/>
      <w:lang w:val="en-US" w:eastAsia="zh-CN" w:bidi="ar-SA"/>
    </w:rPr>
  </w:style>
  <w:style w:type="paragraph" w:styleId="942"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3" w:customStyle="1">
    <w:name w:val="标题 21 Char"/>
    <w:basedOn w:val="922"/>
    <w:link w:val="746"/>
    <w:uiPriority w:val="0"/>
    <w:qFormat/>
    <w:rPr>
      <w:rFonts w:ascii="Cambria" w:hAnsi="Cambria" w:eastAsia="宋体" w:cs="Times New Roman"/>
      <w:b/>
      <w:bCs/>
      <w:sz w:val="28"/>
      <w:szCs w:val="32"/>
      <w:lang w:val="en-US" w:eastAsia="zh-CN" w:bidi="ar-SA"/>
    </w:rPr>
  </w:style>
  <w:style w:type="paragraph" w:styleId="944" w:customStyle="1">
    <w:name w:val="正文122"/>
    <w:next w:val="945"/>
    <w:uiPriority w:val="0"/>
    <w:qFormat/>
    <w:rPr>
      <w:rFonts w:hint="default" w:ascii="Times New Roman" w:hAnsi="Times New Roman" w:eastAsia="宋体" w:cs="Times New Roman"/>
      <w:lang w:val="en-US" w:eastAsia="zh-CN" w:bidi="ar-SA"/>
    </w:rPr>
  </w:style>
  <w:style w:type="paragraph" w:styleId="945" w:customStyle="1">
    <w:name w:val="目录 21"/>
    <w:basedOn w:val="730"/>
    <w:next w:val="944"/>
    <w:uiPriority w:val="0"/>
    <w:qFormat/>
    <w:pPr>
      <w:ind w:left="283"/>
      <w:spacing w:after="57"/>
    </w:pPr>
    <w:rPr>
      <w:rFonts w:ascii="Times New Roman" w:hAnsi="Times New Roman"/>
    </w:rPr>
  </w:style>
  <w:style w:type="paragraph" w:styleId="946" w:customStyle="1">
    <w:name w:val="列表 211"/>
    <w:basedOn w:val="944"/>
    <w:uiPriority w:val="0"/>
    <w:qFormat/>
    <w:pPr>
      <w:ind w:left="100" w:hanging="200"/>
    </w:pPr>
  </w:style>
  <w:style w:type="paragraph" w:styleId="947" w:customStyle="1">
    <w:name w:val="标题 111"/>
    <w:basedOn w:val="734"/>
    <w:next w:val="730"/>
    <w:uiPriority w:val="0"/>
    <w:qFormat/>
    <w:pPr>
      <w:ind w:left="1373"/>
      <w:jc w:val="left"/>
      <w:spacing w:before="59"/>
      <w:outlineLvl w:val="1"/>
    </w:pPr>
    <w:rPr>
      <w:rFonts w:ascii="仿宋" w:eastAsia="仿宋"/>
      <w:b/>
      <w:bCs/>
      <w:sz w:val="30"/>
      <w:szCs w:val="30"/>
      <w:lang w:val="zh-CN" w:bidi="zh-CN"/>
    </w:rPr>
  </w:style>
  <w:style w:type="paragraph" w:styleId="948" w:customStyle="1">
    <w:name w:val="标题 211"/>
    <w:next w:val="949"/>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49" w:customStyle="1">
    <w:name w:val="正文1111"/>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标题 311"/>
    <w:next w:val="730"/>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51" w:customStyle="1">
    <w:name w:val="标题 411"/>
    <w:basedOn w:val="740"/>
    <w:next w:val="714"/>
    <w:uiPriority w:val="0"/>
    <w:qFormat/>
    <w:pPr>
      <w:keepLines/>
      <w:keepNext/>
      <w:spacing w:before="320" w:after="200"/>
      <w:outlineLvl w:val="3"/>
    </w:pPr>
    <w:rPr>
      <w:rFonts w:ascii="Arial" w:hAnsi="Arial" w:eastAsia="Arial"/>
      <w:b/>
      <w:bCs/>
      <w:sz w:val="26"/>
      <w:szCs w:val="26"/>
    </w:rPr>
  </w:style>
  <w:style w:type="paragraph" w:styleId="952" w:customStyle="1">
    <w:name w:val="标题 51"/>
    <w:next w:val="730"/>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53" w:customStyle="1">
    <w:name w:val="标题 61"/>
    <w:next w:val="730"/>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54" w:customStyle="1">
    <w:name w:val="标题 71"/>
    <w:next w:val="730"/>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55" w:customStyle="1">
    <w:name w:val="标题 81"/>
    <w:next w:val="730"/>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56" w:customStyle="1">
    <w:name w:val="标题 91"/>
    <w:next w:val="730"/>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57" w:customStyle="1">
    <w:name w:val="默认段落字体11"/>
    <w:uiPriority w:val="0"/>
    <w:qFormat/>
  </w:style>
  <w:style w:type="character" w:styleId="958" w:customStyle="1">
    <w:name w:val="脚注引用1"/>
    <w:uiPriority w:val="0"/>
    <w:qFormat/>
    <w:rPr>
      <w:vertAlign w:val="superscript"/>
    </w:rPr>
  </w:style>
  <w:style w:type="character" w:styleId="959" w:customStyle="1">
    <w:name w:val="强调11"/>
    <w:uiPriority w:val="0"/>
    <w:qFormat/>
    <w:rPr>
      <w:i/>
    </w:rPr>
  </w:style>
  <w:style w:type="character" w:styleId="960" w:customStyle="1">
    <w:name w:val="页码1"/>
    <w:basedOn w:val="961"/>
    <w:link w:val="734"/>
    <w:uiPriority w:val="0"/>
    <w:qFormat/>
    <w:rPr>
      <w:rFonts w:ascii="Times New Roman" w:hAnsi="Times New Roman" w:eastAsia="宋体"/>
    </w:rPr>
  </w:style>
  <w:style w:type="character" w:styleId="961" w:customStyle="1">
    <w:name w:val="默认段落字体1"/>
    <w:link w:val="734"/>
    <w:uiPriority w:val="0"/>
    <w:qFormat/>
    <w:rPr>
      <w:rFonts w:ascii="Times New Roman" w:hAnsi="Times New Roman" w:eastAsia="宋体"/>
    </w:rPr>
  </w:style>
  <w:style w:type="paragraph" w:styleId="962" w:customStyle="1">
    <w:name w:val="标题 11"/>
    <w:basedOn w:val="734"/>
    <w:next w:val="734"/>
    <w:uiPriority w:val="0"/>
    <w:qFormat/>
    <w:pPr>
      <w:keepLines/>
      <w:keepNext/>
      <w:spacing w:before="340" w:after="330" w:line="576" w:lineRule="auto"/>
      <w:outlineLvl w:val="0"/>
    </w:pPr>
    <w:rPr>
      <w:b/>
      <w:sz w:val="44"/>
      <w:szCs w:val="20"/>
    </w:rPr>
  </w:style>
  <w:style w:type="character" w:styleId="963" w:customStyle="1">
    <w:name w:val="HTML 引文1"/>
    <w:uiPriority w:val="0"/>
    <w:qFormat/>
    <w:rPr>
      <w:color w:val="008000"/>
    </w:rPr>
  </w:style>
  <w:style w:type="character" w:styleId="964" w:customStyle="1">
    <w:name w:val="已访问的超链接1"/>
    <w:uiPriority w:val="0"/>
    <w:qFormat/>
    <w:rPr>
      <w:color w:val="771caa"/>
      <w:u w:val="none"/>
    </w:rPr>
  </w:style>
  <w:style w:type="paragraph" w:styleId="965" w:customStyle="1">
    <w:name w:val="批注框文本1"/>
    <w:basedOn w:val="734"/>
    <w:uiPriority w:val="0"/>
    <w:qFormat/>
    <w:rPr>
      <w:sz w:val="18"/>
      <w:szCs w:val="18"/>
    </w:rPr>
  </w:style>
  <w:style w:type="character" w:styleId="966" w:customStyle="1">
    <w:name w:val="font11"/>
    <w:uiPriority w:val="0"/>
    <w:qFormat/>
    <w:rPr>
      <w:rFonts w:ascii="宋体" w:eastAsia="宋体"/>
      <w:color w:val="000000"/>
      <w:sz w:val="28"/>
      <w:szCs w:val="28"/>
      <w:u w:val="none"/>
      <w:vertAlign w:val="superscript"/>
    </w:rPr>
  </w:style>
  <w:style w:type="paragraph" w:styleId="967"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968" w:customStyle="1">
    <w:name w:val="无间隔11"/>
    <w:uiPriority w:val="0"/>
    <w:qFormat/>
    <w:rPr>
      <w:rFonts w:hint="default" w:ascii="Calibri" w:hAnsi="Calibri" w:eastAsia="宋体" w:cs="Times New Roman"/>
      <w:sz w:val="22"/>
      <w:szCs w:val="22"/>
      <w:lang w:val="en-US" w:eastAsia="zh-CN" w:bidi="ar-SA"/>
    </w:rPr>
  </w:style>
  <w:style w:type="paragraph" w:styleId="969" w:customStyle="1">
    <w:name w:val="批注文字1"/>
    <w:basedOn w:val="734"/>
    <w:uiPriority w:val="0"/>
    <w:qFormat/>
    <w:pPr>
      <w:jc w:val="left"/>
    </w:pPr>
  </w:style>
  <w:style w:type="character" w:styleId="970" w:customStyle="1">
    <w:name w:val="chewduserlogo"/>
    <w:uiPriority w:val="0"/>
    <w:qFormat/>
  </w:style>
  <w:style w:type="character" w:styleId="971" w:customStyle="1">
    <w:name w:val="HTML 定义1"/>
    <w:uiPriority w:val="0"/>
    <w:qFormat/>
  </w:style>
  <w:style w:type="paragraph" w:styleId="972" w:customStyle="1">
    <w:name w:val="批注主题1"/>
    <w:basedOn w:val="969"/>
    <w:next w:val="969"/>
    <w:uiPriority w:val="0"/>
    <w:qFormat/>
    <w:rPr>
      <w:b/>
      <w:bCs/>
    </w:rPr>
  </w:style>
  <w:style w:type="paragraph" w:styleId="973"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74" w:customStyle="1">
    <w:name w:val="超链接11"/>
    <w:uiPriority w:val="0"/>
    <w:qFormat/>
    <w:rPr>
      <w:color w:val="0000ff"/>
      <w:u w:val="single"/>
    </w:rPr>
  </w:style>
  <w:style w:type="character" w:styleId="975" w:customStyle="1">
    <w:name w:val="尾注引用1"/>
    <w:uiPriority w:val="0"/>
    <w:qFormat/>
    <w:rPr>
      <w:vertAlign w:val="superscript"/>
    </w:rPr>
  </w:style>
  <w:style w:type="character" w:styleId="976" w:customStyle="1">
    <w:name w:val="hover27"/>
    <w:uiPriority w:val="0"/>
    <w:qFormat/>
    <w:rPr>
      <w:color w:val="315efb"/>
    </w:rPr>
  </w:style>
  <w:style w:type="paragraph" w:styleId="977" w:customStyle="1">
    <w:name w:val="页脚11"/>
    <w:basedOn w:val="730"/>
    <w:uiPriority w:val="0"/>
    <w:qFormat/>
    <w:pPr>
      <w:tabs>
        <w:tab w:val="center" w:pos="7143" w:leader="none"/>
        <w:tab w:val="right" w:pos="14287" w:leader="none"/>
      </w:tabs>
    </w:pPr>
  </w:style>
  <w:style w:type="character" w:styleId="978" w:customStyle="1">
    <w:name w:val="hover26"/>
    <w:uiPriority w:val="0"/>
    <w:qFormat/>
  </w:style>
  <w:style w:type="paragraph" w:styleId="979" w:customStyle="1">
    <w:name w:val="页脚1"/>
    <w:basedOn w:val="734"/>
    <w:uiPriority w:val="0"/>
    <w:qFormat/>
    <w:pPr>
      <w:jc w:val="left"/>
      <w:tabs>
        <w:tab w:val="center" w:pos="4153" w:leader="none"/>
        <w:tab w:val="right" w:pos="8306" w:leader="none"/>
      </w:tabs>
    </w:pPr>
    <w:rPr>
      <w:sz w:val="18"/>
      <w:szCs w:val="18"/>
    </w:rPr>
  </w:style>
  <w:style w:type="character" w:styleId="980" w:customStyle="1">
    <w:name w:val="hover25"/>
    <w:uiPriority w:val="0"/>
    <w:qFormat/>
  </w:style>
  <w:style w:type="character" w:styleId="981" w:customStyle="1">
    <w:name w:val="awspan"/>
    <w:uiPriority w:val="0"/>
    <w:qFormat/>
  </w:style>
  <w:style w:type="character" w:styleId="982" w:customStyle="1">
    <w:name w:val="批注引用1"/>
    <w:uiPriority w:val="0"/>
    <w:qFormat/>
    <w:rPr>
      <w:rFonts w:ascii="Times New Roman" w:hAnsi="Times New Roman" w:eastAsia="宋体"/>
      <w:sz w:val="21"/>
      <w:szCs w:val="21"/>
    </w:rPr>
  </w:style>
  <w:style w:type="character" w:styleId="983" w:customStyle="1">
    <w:name w:val="Footer Char"/>
    <w:uiPriority w:val="0"/>
    <w:qFormat/>
  </w:style>
  <w:style w:type="paragraph" w:styleId="984" w:customStyle="1">
    <w:name w:val="引用11"/>
    <w:uiPriority w:val="0"/>
    <w:qFormat/>
    <w:pPr>
      <w:ind w:left="720" w:right="720"/>
    </w:pPr>
    <w:rPr>
      <w:rFonts w:hint="default" w:ascii="Calibri" w:hAnsi="Calibri" w:eastAsia="宋体" w:cs="Times New Roman"/>
      <w:i/>
      <w:lang w:val="en-US" w:eastAsia="zh-CN" w:bidi="ar-SA"/>
    </w:rPr>
  </w:style>
  <w:style w:type="character" w:styleId="985" w:customStyle="1">
    <w:name w:val="page-start"/>
    <w:uiPriority w:val="0"/>
    <w:qFormat/>
    <w:rPr>
      <w:color w:val="999999"/>
      <w:u w:val="none"/>
      <w:shd w:val="clear" w:color="auto" w:fill="fafafa"/>
    </w:rPr>
  </w:style>
  <w:style w:type="paragraph" w:styleId="986"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87" w:customStyle="1">
    <w:name w:val="c-icon"/>
    <w:uiPriority w:val="0"/>
    <w:qFormat/>
  </w:style>
  <w:style w:type="paragraph" w:styleId="988"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89" w:customStyle="1">
    <w:name w:val="尾注文本1"/>
    <w:uiPriority w:val="0"/>
    <w:qFormat/>
    <w:rPr>
      <w:rFonts w:hint="default" w:ascii="Calibri" w:hAnsi="Calibri" w:eastAsia="宋体" w:cs="Times New Roman"/>
      <w:lang w:val="en-US" w:eastAsia="zh-CN" w:bidi="ar-SA"/>
    </w:rPr>
  </w:style>
  <w:style w:type="character" w:styleId="990" w:customStyle="1">
    <w:name w:val="强调1"/>
    <w:uiPriority w:val="0"/>
    <w:qFormat/>
    <w:rPr>
      <w:color w:val="f73131"/>
    </w:rPr>
  </w:style>
  <w:style w:type="character" w:styleId="991" w:customStyle="1">
    <w:name w:val="hover24"/>
    <w:uiPriority w:val="0"/>
    <w:qFormat/>
    <w:rPr>
      <w:color w:val="315efb"/>
    </w:rPr>
  </w:style>
  <w:style w:type="paragraph" w:styleId="992" w:customStyle="1">
    <w:name w:val="页眉11"/>
    <w:basedOn w:val="730"/>
    <w:uiPriority w:val="0"/>
    <w:qFormat/>
    <w:pPr>
      <w:tabs>
        <w:tab w:val="center" w:pos="7143" w:leader="none"/>
        <w:tab w:val="right" w:pos="14287" w:leader="none"/>
      </w:tabs>
    </w:pPr>
  </w:style>
  <w:style w:type="character" w:styleId="993" w:customStyle="1">
    <w:name w:val="超链接1"/>
    <w:uiPriority w:val="0"/>
    <w:qFormat/>
    <w:rPr>
      <w:color w:val="2440b3"/>
      <w:u w:val="none"/>
    </w:rPr>
  </w:style>
  <w:style w:type="character" w:styleId="994" w:customStyle="1">
    <w:name w:val="c-icon30"/>
    <w:uiPriority w:val="0"/>
    <w:qFormat/>
  </w:style>
  <w:style w:type="character" w:styleId="995" w:customStyle="1">
    <w:name w:val="page-cur"/>
    <w:uiPriority w:val="0"/>
    <w:qFormat/>
    <w:rPr>
      <w:color w:val="999999"/>
      <w:u w:val="none"/>
      <w:shd w:val="clear" w:color="auto" w:fill="fafafa"/>
    </w:rPr>
  </w:style>
  <w:style w:type="character" w:styleId="996" w:customStyle="1">
    <w:name w:val="awspan1"/>
    <w:uiPriority w:val="0"/>
    <w:qFormat/>
    <w:rPr>
      <w:color w:val="000000"/>
      <w:sz w:val="24"/>
      <w:szCs w:val="24"/>
    </w:rPr>
  </w:style>
  <w:style w:type="paragraph" w:styleId="997" w:customStyle="1">
    <w:name w:val="目录 11"/>
    <w:basedOn w:val="740"/>
    <w:next w:val="740"/>
    <w:uiPriority w:val="0"/>
    <w:qFormat/>
    <w:pPr>
      <w:spacing w:after="57"/>
    </w:pPr>
    <w:rPr>
      <w:rFonts w:hint="default" w:ascii="Calibri" w:hAnsi="Calibri" w:eastAsia="宋体" w:cs="Times New Roman"/>
      <w:lang w:val="en-US" w:eastAsia="zh-CN" w:bidi="ar-SA"/>
    </w:rPr>
  </w:style>
  <w:style w:type="paragraph" w:styleId="998" w:customStyle="1">
    <w:name w:val="目录 31"/>
    <w:next w:val="730"/>
    <w:uiPriority w:val="0"/>
    <w:qFormat/>
    <w:pPr>
      <w:ind w:left="567"/>
      <w:spacing w:after="57"/>
    </w:pPr>
    <w:rPr>
      <w:rFonts w:hint="default" w:ascii="Calibri" w:hAnsi="Calibri" w:eastAsia="宋体" w:cs="Times New Roman"/>
      <w:lang w:val="en-US" w:eastAsia="zh-CN" w:bidi="ar-SA"/>
    </w:rPr>
  </w:style>
  <w:style w:type="paragraph" w:styleId="999" w:customStyle="1">
    <w:name w:val="文本块11"/>
    <w:basedOn w:val="730"/>
    <w:uiPriority w:val="0"/>
    <w:qFormat/>
    <w:pPr>
      <w:ind w:left="268" w:right="-24" w:firstLine="473"/>
    </w:pPr>
    <w:rPr>
      <w:bCs/>
    </w:rPr>
  </w:style>
  <w:style w:type="paragraph" w:styleId="1000" w:customStyle="1">
    <w:name w:val="目录 61"/>
    <w:next w:val="730"/>
    <w:uiPriority w:val="0"/>
    <w:qFormat/>
    <w:pPr>
      <w:ind w:left="1417"/>
      <w:spacing w:after="57"/>
    </w:pPr>
    <w:rPr>
      <w:rFonts w:hint="default" w:ascii="Calibri" w:hAnsi="Calibri" w:eastAsia="宋体" w:cs="Times New Roman"/>
      <w:lang w:val="en-US" w:eastAsia="zh-CN" w:bidi="ar-SA"/>
    </w:rPr>
  </w:style>
  <w:style w:type="paragraph" w:styleId="1001" w:customStyle="1">
    <w:name w:val="目录 71"/>
    <w:next w:val="730"/>
    <w:uiPriority w:val="0"/>
    <w:qFormat/>
    <w:pPr>
      <w:ind w:left="1701"/>
      <w:spacing w:after="57"/>
    </w:pPr>
    <w:rPr>
      <w:rFonts w:hint="default" w:ascii="Calibri" w:hAnsi="Calibri" w:eastAsia="宋体" w:cs="Times New Roman"/>
      <w:lang w:val="en-US" w:eastAsia="zh-CN" w:bidi="ar-SA"/>
    </w:rPr>
  </w:style>
  <w:style w:type="paragraph" w:styleId="1002" w:customStyle="1">
    <w:name w:val="纯文本11"/>
    <w:basedOn w:val="740"/>
    <w:uiPriority w:val="0"/>
    <w:qFormat/>
    <w:rPr>
      <w:rFonts w:ascii="宋体" w:hAnsi="宋体" w:eastAsia="仿宋_GB2312"/>
      <w:sz w:val="30"/>
    </w:rPr>
  </w:style>
  <w:style w:type="paragraph" w:styleId="1003" w:customStyle="1">
    <w:name w:val="正文文本111"/>
    <w:basedOn w:val="730"/>
    <w:next w:val="727"/>
    <w:uiPriority w:val="0"/>
    <w:qFormat/>
    <w:rPr>
      <w:rFonts w:ascii="金山简黑体" w:eastAsia="金山简黑体"/>
      <w:b/>
      <w:spacing w:val="-8"/>
      <w:sz w:val="44"/>
    </w:rPr>
  </w:style>
  <w:style w:type="paragraph" w:styleId="1004" w:customStyle="1">
    <w:name w:val="批注文字11"/>
    <w:basedOn w:val="730"/>
    <w:uiPriority w:val="0"/>
    <w:qFormat/>
    <w:rPr>
      <w:sz w:val="22"/>
      <w:szCs w:val="22"/>
    </w:rPr>
  </w:style>
  <w:style w:type="paragraph" w:styleId="1005" w:customStyle="1">
    <w:name w:val="首行缩进"/>
    <w:basedOn w:val="734"/>
    <w:next w:val="734"/>
    <w:uiPriority w:val="0"/>
    <w:qFormat/>
    <w:pPr>
      <w:ind w:firstLine="480"/>
      <w:spacing w:line="360" w:lineRule="auto"/>
    </w:pPr>
    <w:rPr>
      <w:rFonts w:ascii="宋体"/>
      <w:sz w:val="24"/>
    </w:rPr>
  </w:style>
  <w:style w:type="paragraph" w:styleId="1006" w:customStyle="1">
    <w:name w:val="+正文"/>
    <w:basedOn w:val="734"/>
    <w:uiPriority w:val="0"/>
    <w:qFormat/>
    <w:pPr>
      <w:ind w:firstLine="200"/>
      <w:jc w:val="left"/>
      <w:spacing w:line="500" w:lineRule="exact"/>
    </w:pPr>
    <w:rPr>
      <w:rFonts w:ascii="Times New Roman" w:hAnsi="Times New Roman"/>
      <w:sz w:val="24"/>
      <w:szCs w:val="28"/>
    </w:rPr>
  </w:style>
  <w:style w:type="paragraph" w:styleId="1007"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08" w:customStyle="1">
    <w:name w:val="正文文本缩进 21"/>
    <w:basedOn w:val="734"/>
    <w:uiPriority w:val="0"/>
    <w:qFormat/>
    <w:pPr>
      <w:ind w:left="630" w:firstLine="645"/>
    </w:pPr>
    <w:rPr>
      <w:rFonts w:ascii="Arial" w:hAnsi="Arial" w:eastAsia="仿宋_GB2312"/>
      <w:sz w:val="32"/>
      <w:szCs w:val="32"/>
    </w:rPr>
  </w:style>
  <w:style w:type="paragraph" w:styleId="1009" w:customStyle="1">
    <w:name w:val="列出段落11"/>
    <w:basedOn w:val="734"/>
    <w:uiPriority w:val="0"/>
    <w:qFormat/>
    <w:pPr>
      <w:ind w:firstLine="420"/>
      <w:jc w:val="left"/>
      <w:spacing w:line="360" w:lineRule="atLeast"/>
    </w:pPr>
    <w:rPr>
      <w:sz w:val="24"/>
    </w:rPr>
  </w:style>
  <w:style w:type="paragraph" w:styleId="1010" w:customStyle="1">
    <w:name w:val="无间隔121"/>
    <w:uiPriority w:val="0"/>
    <w:qFormat/>
    <w:rPr>
      <w:rFonts w:hint="default" w:ascii="Calibri" w:hAnsi="Calibri" w:eastAsia="宋体" w:cs="Times New Roman"/>
      <w:lang w:val="en-US" w:eastAsia="zh-CN" w:bidi="ar-SA"/>
    </w:rPr>
  </w:style>
  <w:style w:type="paragraph" w:styleId="1011" w:customStyle="1">
    <w:name w:val="表格文本"/>
    <w:basedOn w:val="734"/>
    <w:uiPriority w:val="0"/>
    <w:qFormat/>
    <w:pPr>
      <w:jc w:val="center"/>
    </w:pPr>
    <w:rPr>
      <w:rFonts w:ascii="宋体"/>
      <w:bCs/>
      <w:szCs w:val="21"/>
    </w:rPr>
  </w:style>
  <w:style w:type="paragraph" w:styleId="1012" w:customStyle="1">
    <w:name w:val="表格文字"/>
    <w:basedOn w:val="734"/>
    <w:next w:val="732"/>
    <w:uiPriority w:val="0"/>
    <w:qFormat/>
    <w:pPr>
      <w:jc w:val="left"/>
    </w:pPr>
    <w:rPr>
      <w:bCs/>
      <w:spacing w:val="10"/>
      <w:sz w:val="20"/>
      <w:szCs w:val="20"/>
    </w:rPr>
  </w:style>
  <w:style w:type="paragraph" w:styleId="1013" w:customStyle="1">
    <w:name w:val="题注1"/>
    <w:next w:val="730"/>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14" w:customStyle="1">
    <w:name w:val="正文121"/>
    <w:next w:val="945"/>
    <w:uiPriority w:val="0"/>
    <w:qFormat/>
    <w:rPr>
      <w:rFonts w:hint="default" w:ascii="Times New Roman" w:hAnsi="Times New Roman" w:eastAsia="宋体" w:cs="Times New Roman"/>
      <w:lang w:val="en-US" w:eastAsia="zh-CN" w:bidi="ar-SA"/>
    </w:rPr>
  </w:style>
  <w:style w:type="paragraph" w:styleId="1015" w:customStyle="1">
    <w:name w:val="普通(网站)11"/>
    <w:basedOn w:val="730"/>
    <w:uiPriority w:val="0"/>
    <w:qFormat/>
    <w:rPr>
      <w:sz w:val="24"/>
    </w:rPr>
  </w:style>
  <w:style w:type="paragraph" w:styleId="1016" w:customStyle="1">
    <w:name w:val="目录 41"/>
    <w:next w:val="730"/>
    <w:uiPriority w:val="0"/>
    <w:qFormat/>
    <w:pPr>
      <w:ind w:left="850"/>
      <w:spacing w:after="57"/>
    </w:pPr>
    <w:rPr>
      <w:rFonts w:hint="default" w:ascii="Calibri" w:hAnsi="Calibri" w:eastAsia="宋体" w:cs="Times New Roman"/>
      <w:lang w:val="en-US" w:eastAsia="zh-CN" w:bidi="ar-SA"/>
    </w:rPr>
  </w:style>
  <w:style w:type="paragraph" w:styleId="1017" w:customStyle="1">
    <w:name w:val="目录 81"/>
    <w:next w:val="730"/>
    <w:uiPriority w:val="0"/>
    <w:qFormat/>
    <w:pPr>
      <w:ind w:left="1984"/>
      <w:spacing w:after="57"/>
    </w:pPr>
    <w:rPr>
      <w:rFonts w:hint="default" w:ascii="Calibri" w:hAnsi="Calibri" w:eastAsia="宋体" w:cs="Times New Roman"/>
      <w:lang w:val="en-US" w:eastAsia="zh-CN" w:bidi="ar-SA"/>
    </w:rPr>
  </w:style>
  <w:style w:type="paragraph" w:styleId="1018" w:customStyle="1">
    <w:name w:val="图表目录1"/>
    <w:next w:val="730"/>
    <w:uiPriority w:val="0"/>
    <w:qFormat/>
    <w:rPr>
      <w:rFonts w:hint="default" w:ascii="Calibri" w:hAnsi="Calibri" w:eastAsia="宋体" w:cs="Times New Roman"/>
      <w:lang w:val="en-US" w:eastAsia="zh-CN" w:bidi="ar-SA"/>
    </w:rPr>
  </w:style>
  <w:style w:type="paragraph" w:styleId="1019" w:customStyle="1">
    <w:name w:val="寄信人地址2"/>
    <w:basedOn w:val="730"/>
    <w:uiPriority w:val="0"/>
    <w:qFormat/>
    <w:rPr>
      <w:rFonts w:ascii="Arial" w:hAnsi="Arial"/>
    </w:rPr>
  </w:style>
  <w:style w:type="paragraph" w:styleId="1020" w:customStyle="1">
    <w:name w:val="目录 91"/>
    <w:basedOn w:val="730"/>
    <w:next w:val="730"/>
    <w:uiPriority w:val="0"/>
    <w:qFormat/>
    <w:pPr>
      <w:ind w:left="2268"/>
      <w:spacing w:after="57"/>
    </w:pPr>
    <w:rPr>
      <w:rFonts w:ascii="Times New Roman" w:hAnsi="Times New Roman"/>
    </w:rPr>
  </w:style>
  <w:style w:type="paragraph" w:styleId="1021" w:customStyle="1">
    <w:name w:val="目录 51"/>
    <w:next w:val="730"/>
    <w:uiPriority w:val="0"/>
    <w:qFormat/>
    <w:pPr>
      <w:ind w:left="1134"/>
      <w:spacing w:after="57"/>
    </w:pPr>
    <w:rPr>
      <w:rFonts w:hint="default" w:ascii="Calibri" w:hAnsi="Calibri" w:eastAsia="宋体" w:cs="Times New Roman"/>
      <w:lang w:val="en-US" w:eastAsia="zh-CN" w:bidi="ar-SA"/>
    </w:rPr>
  </w:style>
  <w:style w:type="paragraph" w:styleId="1022" w:customStyle="1">
    <w:name w:val="正文文本缩进 22"/>
    <w:basedOn w:val="730"/>
    <w:uiPriority w:val="0"/>
    <w:qFormat/>
    <w:pPr>
      <w:ind w:left="420"/>
      <w:spacing w:after="120" w:line="480" w:lineRule="auto"/>
    </w:pPr>
  </w:style>
  <w:style w:type="paragraph" w:styleId="1023" w:customStyle="1">
    <w:name w:val="表格3"/>
    <w:basedOn w:val="734"/>
    <w:uiPriority w:val="0"/>
    <w:qFormat/>
    <w:pPr>
      <w:jc w:val="center"/>
    </w:pPr>
    <w:rPr>
      <w:rFonts w:ascii="Times New Roman" w:hAnsi="Times New Roman"/>
    </w:rPr>
  </w:style>
  <w:style w:type="paragraph" w:styleId="1024" w:customStyle="1">
    <w:name w:val="Char"/>
    <w:basedOn w:val="734"/>
    <w:uiPriority w:val="0"/>
    <w:qFormat/>
    <w:pPr>
      <w:tabs>
        <w:tab w:val="left" w:pos="360" w:leader="none"/>
      </w:tabs>
    </w:pPr>
    <w:rPr>
      <w:rFonts w:ascii="Times New Roman" w:hAnsi="Times New Roman"/>
      <w:sz w:val="24"/>
    </w:rPr>
  </w:style>
  <w:style w:type="paragraph" w:styleId="1025" w:customStyle="1">
    <w:name w:val="样式"/>
    <w:basedOn w:val="734"/>
    <w:uiPriority w:val="0"/>
    <w:qFormat/>
    <w:pPr>
      <w:jc w:val="left"/>
    </w:pPr>
    <w:rPr>
      <w:rFonts w:ascii="宋体"/>
      <w:sz w:val="24"/>
    </w:rPr>
  </w:style>
  <w:style w:type="paragraph" w:styleId="1026" w:customStyle="1">
    <w:name w:val="_Style 49"/>
    <w:basedOn w:val="730"/>
    <w:next w:val="1002"/>
    <w:uiPriority w:val="0"/>
    <w:qFormat/>
    <w:rPr>
      <w:rFonts w:ascii="宋体"/>
      <w:sz w:val="24"/>
    </w:rPr>
  </w:style>
  <w:style w:type="paragraph" w:styleId="1027" w:customStyle="1">
    <w:name w:val="默认段落字体 Para Char Char Char Char Char Char Char"/>
    <w:basedOn w:val="734"/>
    <w:uiPriority w:val="0"/>
    <w:qFormat/>
    <w:rPr>
      <w:rFonts w:ascii="Tahoma" w:hAnsi="Tahoma"/>
      <w:sz w:val="24"/>
      <w:szCs w:val="20"/>
    </w:rPr>
  </w:style>
  <w:style w:type="paragraph" w:styleId="1028" w:customStyle="1">
    <w:name w:val="[基本段落]"/>
    <w:basedOn w:val="734"/>
    <w:uiPriority w:val="0"/>
    <w:qFormat/>
    <w:pPr>
      <w:spacing w:line="288" w:lineRule="auto"/>
    </w:pPr>
    <w:rPr>
      <w:rFonts w:ascii="宋体"/>
      <w:color w:val="000000"/>
      <w:sz w:val="24"/>
      <w:lang w:val="zh-CN"/>
    </w:rPr>
  </w:style>
  <w:style w:type="paragraph" w:styleId="1029" w:customStyle="1">
    <w:name w:val="普通(网站)1"/>
    <w:basedOn w:val="734"/>
    <w:uiPriority w:val="0"/>
    <w:qFormat/>
    <w:pPr>
      <w:jc w:val="left"/>
      <w:spacing w:before="100" w:beforeAutospacing="1" w:after="100" w:afterAutospacing="1"/>
      <w:widowControl/>
    </w:pPr>
    <w:rPr>
      <w:rFonts w:ascii="宋体"/>
      <w:sz w:val="24"/>
    </w:rPr>
  </w:style>
  <w:style w:type="paragraph" w:styleId="1030" w:customStyle="1">
    <w:name w:val="TOC 标题11"/>
    <w:uiPriority w:val="0"/>
    <w:qFormat/>
    <w:rPr>
      <w:rFonts w:hint="default" w:ascii="Calibri" w:hAnsi="Calibri" w:eastAsia="宋体" w:cs="Times New Roman"/>
      <w:lang w:val="en-US" w:eastAsia="zh-CN" w:bidi="ar-SA"/>
    </w:rPr>
  </w:style>
  <w:style w:type="paragraph" w:styleId="1031" w:customStyle="1">
    <w:name w:val="样式 首行缩进:  2 字符"/>
    <w:basedOn w:val="734"/>
    <w:uiPriority w:val="0"/>
    <w:qFormat/>
    <w:pPr>
      <w:ind w:firstLine="200"/>
      <w:spacing w:line="400" w:lineRule="exact"/>
    </w:pPr>
    <w:rPr>
      <w:sz w:val="24"/>
    </w:rPr>
  </w:style>
  <w:style w:type="paragraph" w:styleId="1032" w:customStyle="1">
    <w:name w:val="Table Paragraph"/>
    <w:basedOn w:val="734"/>
    <w:uiPriority w:val="0"/>
    <w:qFormat/>
    <w:pPr>
      <w:jc w:val="left"/>
    </w:pPr>
    <w:rPr>
      <w:rFonts w:ascii="仿宋" w:eastAsia="仿宋"/>
      <w:sz w:val="22"/>
      <w:szCs w:val="22"/>
      <w:lang w:val="zh-CN" w:bidi="zh-CN"/>
    </w:rPr>
  </w:style>
  <w:style w:type="paragraph" w:styleId="1033" w:customStyle="1">
    <w:name w:val="Style1"/>
    <w:basedOn w:val="730"/>
    <w:uiPriority w:val="0"/>
    <w:qFormat/>
    <w:pPr>
      <w:spacing w:after="120"/>
      <w:tabs>
        <w:tab w:val="left" w:pos="-720" w:leader="none"/>
      </w:tabs>
    </w:pPr>
    <w:rPr>
      <w:spacing w:val="-3"/>
      <w:sz w:val="24"/>
      <w:lang w:val="en-AU"/>
    </w:rPr>
  </w:style>
  <w:style w:type="paragraph" w:styleId="1034" w:customStyle="1">
    <w:name w:val="列表 21"/>
    <w:basedOn w:val="734"/>
    <w:uiPriority w:val="0"/>
    <w:qFormat/>
    <w:pPr>
      <w:ind w:left="100" w:hanging="200"/>
    </w:pPr>
  </w:style>
  <w:style w:type="paragraph" w:styleId="1035" w:customStyle="1">
    <w:name w:val="标题 31"/>
    <w:basedOn w:val="734"/>
    <w:next w:val="734"/>
    <w:uiPriority w:val="0"/>
    <w:qFormat/>
    <w:pPr>
      <w:ind w:left="50" w:right="31"/>
      <w:jc w:val="center"/>
      <w:spacing w:before="39"/>
      <w:outlineLvl w:val="2"/>
    </w:pPr>
    <w:rPr>
      <w:sz w:val="30"/>
      <w:szCs w:val="30"/>
    </w:rPr>
  </w:style>
  <w:style w:type="paragraph" w:styleId="1036" w:customStyle="1">
    <w:name w:val="列表段落1"/>
    <w:basedOn w:val="734"/>
    <w:next w:val="714"/>
    <w:uiPriority w:val="0"/>
    <w:qFormat/>
    <w:pPr>
      <w:ind w:firstLine="420"/>
    </w:pPr>
    <w:rPr>
      <w:sz w:val="22"/>
      <w:szCs w:val="22"/>
    </w:rPr>
  </w:style>
  <w:style w:type="paragraph" w:styleId="1037" w:customStyle="1">
    <w:name w:val="列出段落2"/>
    <w:basedOn w:val="730"/>
    <w:uiPriority w:val="0"/>
    <w:qFormat/>
    <w:pPr>
      <w:contextualSpacing/>
      <w:ind w:left="720"/>
    </w:pPr>
    <w:rPr>
      <w:rFonts w:ascii="Times New Roman" w:hAnsi="Times New Roman"/>
    </w:rPr>
  </w:style>
  <w:style w:type="paragraph" w:styleId="1038" w:customStyle="1">
    <w:name w:val="WPSOffice手动目录 1"/>
    <w:uiPriority w:val="0"/>
    <w:qFormat/>
    <w:rPr>
      <w:rFonts w:hint="default" w:ascii="Calibri" w:hAnsi="Calibri" w:eastAsia="宋体" w:cs="Times New Roman"/>
      <w:lang w:val="en-US" w:eastAsia="zh-CN" w:bidi="ar-SA"/>
    </w:rPr>
  </w:style>
  <w:style w:type="paragraph" w:styleId="1039"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footer1"/>
    <w:basedOn w:val="714"/>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41" w:customStyle="1">
    <w:name w:val="段落文字"/>
    <w:basedOn w:val="714"/>
    <w:uiPriority w:val="0"/>
    <w:qFormat/>
    <w:pPr>
      <w:ind w:firstLine="200"/>
      <w:spacing w:line="360" w:lineRule="auto"/>
    </w:pPr>
    <w:rPr>
      <w:rFonts w:ascii="仿宋" w:eastAsia="仿宋"/>
      <w:sz w:val="28"/>
      <w:szCs w:val="28"/>
    </w:rPr>
  </w:style>
  <w:style w:type="character" w:styleId="1042" w:customStyle="1">
    <w:name w:val="NormalCharacter1"/>
    <w:link w:val="734"/>
    <w:uiPriority w:val="0"/>
    <w:semiHidden/>
    <w:qFormat/>
    <w:rPr>
      <w:rFonts w:ascii="Times New Roman" w:hAnsi="Times New Roman" w:eastAsia="宋体" w:cs="Times New Roman"/>
      <w:sz w:val="21"/>
      <w:szCs w:val="24"/>
      <w:lang w:val="en-US" w:eastAsia="zh-CN" w:bidi="ar-SA"/>
    </w:rPr>
  </w:style>
  <w:style w:type="paragraph" w:styleId="1043">
    <w:name w:val="List Paragraph"/>
    <w:basedOn w:val="714"/>
    <w:uiPriority w:val="0"/>
    <w:qFormat/>
    <w:pPr>
      <w:ind w:firstLine="420"/>
    </w:pPr>
    <w:rPr>
      <w:rFonts w:ascii="Calibri" w:hAnsi="Calibri" w:cstheme="minorBidi"/>
      <w:szCs w:val="22"/>
    </w:rPr>
  </w:style>
  <w:style w:type="paragraph" w:styleId="1044"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45" w:customStyle="1">
    <w:name w:val="font31"/>
    <w:basedOn w:val="724"/>
    <w:uiPriority w:val="0"/>
    <w:qFormat/>
    <w:rPr>
      <w:rFonts w:hint="eastAsia" w:ascii="宋体" w:hAnsi="宋体" w:eastAsia="宋体" w:cs="宋体"/>
      <w:color w:val="000000"/>
      <w:sz w:val="20"/>
      <w:szCs w:val="20"/>
      <w:u w:val="none"/>
    </w:rPr>
  </w:style>
  <w:style w:type="character" w:styleId="1046" w:customStyle="1">
    <w:name w:val="font61"/>
    <w:basedOn w:val="724"/>
    <w:uiPriority w:val="0"/>
    <w:qFormat/>
    <w:rPr>
      <w:rFonts w:hint="default" w:ascii="Times New Roman" w:hAnsi="Times New Roman" w:cs="Times New Roman"/>
      <w:color w:val="000000"/>
      <w:sz w:val="20"/>
      <w:szCs w:val="20"/>
      <w:u w:val="none"/>
    </w:rPr>
  </w:style>
  <w:style w:type="paragraph" w:styleId="1047" w:customStyle="1">
    <w:name w:val="文本块12"/>
    <w:basedOn w:val="714"/>
    <w:uiPriority w:val="0"/>
    <w:qFormat/>
    <w:pPr>
      <w:ind w:left="256" w:right="6" w:firstLine="624"/>
    </w:pPr>
    <w:rPr>
      <w:rFonts w:ascii="Times New Roman" w:hAnsi="Times New Roman" w:eastAsia="仿宋" w:cs="Times New Roman"/>
      <w:sz w:val="28"/>
      <w:szCs w:val="20"/>
    </w:rPr>
  </w:style>
  <w:style w:type="paragraph" w:styleId="1048" w:customStyle="1">
    <w:name w:val="Heading 3"/>
    <w:basedOn w:val="714"/>
    <w:next w:val="714"/>
    <w:uiPriority w:val="0"/>
    <w:unhideWhenUsed/>
    <w:qFormat/>
    <w:pPr>
      <w:keepLines/>
      <w:keepNext/>
      <w:spacing w:line="415" w:lineRule="auto"/>
      <w:outlineLvl w:val="2"/>
    </w:pPr>
    <w:rPr>
      <w:b/>
      <w:sz w:val="32"/>
      <w:szCs w:val="32"/>
    </w:rPr>
  </w:style>
  <w:style w:type="paragraph" w:styleId="1049" w:customStyle="1">
    <w:name w:val="Heading 4"/>
    <w:basedOn w:val="714"/>
    <w:next w:val="714"/>
    <w:uiPriority w:val="0"/>
    <w:unhideWhenUsed/>
    <w:qFormat/>
    <w:pPr>
      <w:keepLines/>
      <w:keepNext/>
      <w:spacing w:before="120" w:after="120"/>
      <w:outlineLvl w:val="3"/>
    </w:pPr>
    <w:rPr>
      <w:rFonts w:ascii="Arial" w:hAnsi="Arial" w:eastAsia="黑体"/>
      <w:b/>
      <w:sz w:val="20"/>
      <w:szCs w:val="20"/>
    </w:rPr>
  </w:style>
  <w:style w:type="paragraph" w:styleId="1050" w:customStyle="1">
    <w:name w:val="TOC 标题2"/>
    <w:basedOn w:val="1051"/>
    <w:next w:val="714"/>
    <w:uiPriority w:val="0"/>
    <w:unhideWhenUsed/>
    <w:qFormat/>
    <w:pPr>
      <w:jc w:val="center"/>
      <w:spacing w:before="260" w:after="260" w:line="413" w:lineRule="auto"/>
    </w:pPr>
    <w:rPr>
      <w:rFonts w:hint="eastAsia" w:ascii="宋体" w:hAnsi="宋体"/>
      <w:sz w:val="36"/>
      <w:lang w:val="zh-CN"/>
    </w:rPr>
  </w:style>
  <w:style w:type="paragraph" w:styleId="1051" w:customStyle="1">
    <w:name w:val="Heading 1"/>
    <w:basedOn w:val="714"/>
    <w:next w:val="714"/>
    <w:uiPriority w:val="0"/>
    <w:unhideWhenUsed/>
    <w:qFormat/>
    <w:pPr>
      <w:keepLines/>
      <w:keepNext/>
      <w:spacing w:before="340" w:after="330" w:line="578" w:lineRule="auto"/>
      <w:outlineLvl w:val="0"/>
    </w:pPr>
    <w:rPr>
      <w:b/>
      <w:sz w:val="44"/>
      <w:szCs w:val="44"/>
    </w:rPr>
  </w:style>
  <w:style w:type="paragraph" w:styleId="1052" w:customStyle="1">
    <w:name w:val="附件标题"/>
    <w:basedOn w:val="1053"/>
    <w:next w:val="714"/>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53" w:customStyle="1">
    <w:name w:val="Heading 2"/>
    <w:basedOn w:val="714"/>
    <w:next w:val="714"/>
    <w:uiPriority w:val="0"/>
    <w:unhideWhenUsed/>
    <w:qFormat/>
    <w:pPr>
      <w:keepLines/>
      <w:keepNext/>
      <w:spacing w:line="415" w:lineRule="auto"/>
      <w:outlineLvl w:val="1"/>
    </w:pPr>
    <w:rPr>
      <w:rFonts w:ascii="Arial" w:hAnsi="Arial" w:eastAsia="黑体"/>
      <w:b/>
      <w:sz w:val="32"/>
      <w:szCs w:val="32"/>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薛云</cp:lastModifiedBy>
  <cp:revision>43</cp:revision>
  <dcterms:created xsi:type="dcterms:W3CDTF">2023-07-07T04:13:00Z</dcterms:created>
  <dcterms:modified xsi:type="dcterms:W3CDTF">2026-04-22T01:33:32Z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1E1073B2E2124157B16756933072B071_13</vt:lpwstr>
  </property>
  <property fmtid="{D5CDD505-2E9C-101B-9397-08002B2CF9AE}" pid="4" name="KSOTemplateDocerSaveRecord">
    <vt:lpwstr>eyJoZGlkIjoiNjIxMDJjYmU5ZmE1NjQ1N2QwNzU0MmI4ODRhNWFjMGIiLCJ1c2VySWQiOiI1MDI1NDU3MTkifQ==</vt:lpwstr>
  </property>
</Properties>
</file>