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customXml/itemProps9.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240" w:lineRule="auto"/>
        <w:rPr>
          <w:rFonts w:hint="eastAsia" w:ascii="宋体" w:hAnsi="宋体" w:eastAsia="宋体" w:cs="宋体"/>
          <w:b/>
          <w:color w:val="auto"/>
          <w:spacing w:val="76"/>
          <w:sz w:val="60"/>
          <w:szCs w:val="60"/>
          <w:highlight w:val="none"/>
          <w:lang w:eastAsia="zh-CN"/>
        </w:rPr>
      </w:pPr>
      <w:r>
        <w:rPr>
          <w:rFonts w:hint="eastAsia" w:ascii="宋体" w:hAnsi="宋体" w:eastAsia="宋体" w:cs="宋体"/>
          <w:b/>
          <w:color w:val="auto"/>
          <w:spacing w:val="76"/>
          <w:sz w:val="60"/>
          <w:szCs w:val="60"/>
          <w:highlight w:val="none"/>
          <w:lang w:eastAsia="zh-CN"/>
        </w:rPr>
      </w:r>
      <w:r/>
    </w:p>
    <w:p>
      <w:pPr>
        <w:jc w:val="center"/>
        <w:spacing w:after="0" w:line="240" w:lineRule="auto"/>
        <w:rPr>
          <w:rFonts w:hint="eastAsia" w:ascii="宋体" w:hAnsi="宋体" w:eastAsia="宋体" w:cs="宋体"/>
          <w:b/>
          <w:color w:val="auto"/>
          <w:spacing w:val="76"/>
          <w:sz w:val="56"/>
          <w:szCs w:val="56"/>
          <w:highlight w:val="none"/>
          <w:lang w:eastAsia="zh-CN"/>
        </w:rPr>
      </w:pPr>
      <w:r>
        <w:rPr>
          <w:rFonts w:hint="eastAsia" w:ascii="宋体" w:hAnsi="宋体" w:eastAsia="宋体" w:cs="宋体"/>
          <w:b/>
          <w:color w:val="auto"/>
          <w:spacing w:val="76"/>
          <w:sz w:val="56"/>
          <w:szCs w:val="56"/>
          <w:highlight w:val="none"/>
          <w:lang w:eastAsia="zh-CN"/>
        </w:rPr>
      </w:r>
      <w:r/>
    </w:p>
    <w:p>
      <w:pPr>
        <w:jc w:val="center"/>
        <w:spacing w:after="0" w:line="240" w:lineRule="auto"/>
        <w:rPr>
          <w:rFonts w:hint="eastAsia" w:ascii="宋体" w:hAnsi="宋体" w:eastAsia="宋体" w:cs="宋体"/>
          <w:b/>
          <w:color w:val="auto"/>
          <w:spacing w:val="76"/>
          <w:sz w:val="96"/>
          <w:szCs w:val="96"/>
          <w:highlight w:val="none"/>
          <w:lang w:eastAsia="zh-CN"/>
        </w:rPr>
      </w:pPr>
      <w:r>
        <w:rPr>
          <w:rFonts w:hint="eastAsia" w:ascii="宋体" w:hAnsi="宋体" w:eastAsia="宋体" w:cs="宋体"/>
          <w:b/>
          <w:color w:val="auto"/>
          <w:spacing w:val="76"/>
          <w:sz w:val="96"/>
          <w:szCs w:val="96"/>
          <w:highlight w:val="none"/>
          <w:lang w:eastAsia="zh-CN"/>
        </w:rPr>
      </w:r>
      <w:r/>
    </w:p>
    <w:p>
      <w:pPr>
        <w:jc w:val="center"/>
        <w:spacing w:after="0" w:line="240" w:lineRule="auto"/>
        <w:rPr>
          <w:rFonts w:hint="eastAsia" w:ascii="宋体" w:hAnsi="宋体" w:eastAsia="宋体" w:cs="宋体"/>
          <w:b/>
          <w:color w:val="auto"/>
          <w:spacing w:val="76"/>
          <w:sz w:val="96"/>
          <w:szCs w:val="96"/>
          <w:highlight w:val="none"/>
          <w:lang w:eastAsia="zh-CN"/>
        </w:rPr>
      </w:pPr>
      <w:r>
        <w:rPr>
          <w:rFonts w:hint="eastAsia" w:ascii="宋体" w:hAnsi="宋体" w:eastAsia="宋体" w:cs="宋体"/>
          <w:b/>
          <w:color w:val="auto"/>
          <w:spacing w:val="76"/>
          <w:sz w:val="96"/>
          <w:szCs w:val="96"/>
          <w:highlight w:val="none"/>
          <w:lang w:eastAsia="zh-CN"/>
        </w:rPr>
        <w:t xml:space="preserve">招标文件</w:t>
      </w:r>
      <w:r/>
    </w:p>
    <w:p>
      <w:pPr>
        <w:jc w:val="center"/>
        <w:spacing w:after="0" w:line="240" w:lineRule="auto"/>
        <w:rPr>
          <w:rFonts w:hint="eastAsia" w:ascii="宋体" w:hAnsi="宋体" w:eastAsia="宋体" w:cs="宋体"/>
          <w:b/>
          <w:color w:val="auto"/>
          <w:spacing w:val="76"/>
          <w:sz w:val="60"/>
          <w:szCs w:val="60"/>
          <w:highlight w:val="none"/>
          <w:lang w:eastAsia="zh-CN"/>
        </w:rPr>
      </w:pPr>
      <w:r>
        <w:rPr>
          <w:rFonts w:hint="eastAsia" w:ascii="宋体" w:hAnsi="宋体" w:eastAsia="宋体" w:cs="宋体"/>
          <w:b/>
          <w:color w:val="auto"/>
          <w:spacing w:val="76"/>
          <w:sz w:val="60"/>
          <w:szCs w:val="60"/>
          <w:highlight w:val="none"/>
          <w:lang w:eastAsia="zh-CN"/>
        </w:rPr>
      </w:r>
      <w:r/>
    </w:p>
    <w:p>
      <w:pPr>
        <w:jc w:val="center"/>
        <w:spacing w:after="0" w:line="240" w:lineRule="auto"/>
        <w:rPr>
          <w:rFonts w:hint="eastAsia" w:ascii="宋体" w:hAnsi="宋体" w:eastAsia="宋体" w:cs="宋体"/>
          <w:b/>
          <w:color w:val="auto"/>
          <w:spacing w:val="76"/>
          <w:sz w:val="56"/>
          <w:szCs w:val="56"/>
          <w:highlight w:val="none"/>
          <w:lang w:eastAsia="zh-CN"/>
        </w:rPr>
      </w:pPr>
      <w:r>
        <w:rPr>
          <w:rFonts w:hint="eastAsia" w:ascii="宋体" w:hAnsi="宋体" w:eastAsia="宋体" w:cs="宋体"/>
          <w:b/>
          <w:color w:val="auto"/>
          <w:spacing w:val="76"/>
          <w:sz w:val="56"/>
          <w:szCs w:val="56"/>
          <w:highlight w:val="none"/>
          <w:lang w:eastAsia="zh-CN"/>
        </w:rPr>
      </w:r>
      <w:r/>
    </w:p>
    <w:p>
      <w:pPr>
        <w:jc w:val="center"/>
        <w:spacing w:after="0" w:line="240" w:lineRule="auto"/>
        <w:rPr>
          <w:rFonts w:hint="eastAsia" w:ascii="宋体" w:hAnsi="宋体" w:eastAsia="宋体" w:cs="宋体"/>
          <w:b/>
          <w:color w:val="auto"/>
          <w:spacing w:val="76"/>
          <w:sz w:val="96"/>
          <w:szCs w:val="96"/>
          <w:highlight w:val="none"/>
          <w:lang w:eastAsia="zh-CN"/>
        </w:rPr>
      </w:pPr>
      <w:r>
        <w:rPr>
          <w:rFonts w:hint="eastAsia" w:ascii="宋体" w:hAnsi="宋体" w:eastAsia="宋体" w:cs="宋体"/>
          <w:b/>
          <w:color w:val="auto"/>
          <w:spacing w:val="76"/>
          <w:sz w:val="96"/>
          <w:szCs w:val="96"/>
          <w:highlight w:val="none"/>
          <w:lang w:eastAsia="zh-CN"/>
        </w:rPr>
      </w:r>
      <w:r/>
    </w:p>
    <w:p>
      <w:pPr>
        <w:pStyle w:val="823"/>
        <w:rPr>
          <w:rFonts w:hint="eastAsia" w:ascii="宋体" w:hAnsi="宋体" w:eastAsia="宋体" w:cs="宋体"/>
          <w:lang w:eastAsia="zh-CN"/>
        </w:rPr>
      </w:pPr>
      <w:r>
        <w:rPr>
          <w:rFonts w:hint="eastAsia" w:ascii="宋体" w:hAnsi="宋体" w:eastAsia="宋体" w:cs="宋体"/>
          <w:lang w:eastAsia="zh-CN"/>
        </w:rPr>
      </w:r>
      <w:r/>
    </w:p>
    <w:p>
      <w:pPr>
        <w:pStyle w:val="803"/>
        <w:ind w:left="0" w:firstLine="0"/>
        <w:jc w:val="left"/>
        <w:widowControl/>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项目名称：</w:t>
      </w:r>
      <w:r>
        <w:rPr>
          <w:rFonts w:hint="eastAsia" w:eastAsia="宋体" w:cs="宋体"/>
          <w:b/>
          <w:bCs/>
          <w:color w:val="auto"/>
          <w:sz w:val="32"/>
          <w:szCs w:val="32"/>
          <w:highlight w:val="none"/>
          <w:lang w:eastAsia="zh-CN"/>
        </w:rPr>
        <w:t xml:space="preserve">沛县歌风中学（树恩校区）二期工程弱电安装项目</w:t>
      </w:r>
      <w:r/>
    </w:p>
    <w:p>
      <w:pPr>
        <w:pStyle w:val="803"/>
        <w:ind w:left="0" w:firstLine="0"/>
        <w:jc w:val="left"/>
        <w:widowControl/>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项目编号：JSZC-320322-HXXM-G2026-0003</w:t>
      </w:r>
      <w:r/>
    </w:p>
    <w:p>
      <w:pPr>
        <w:pStyle w:val="806"/>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pStyle w:val="854"/>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pStyle w:val="854"/>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pStyle w:val="854"/>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pStyle w:val="854"/>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pStyle w:val="803"/>
        <w:ind w:left="0" w:firstLine="0"/>
        <w:jc w:val="left"/>
        <w:widowControl/>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采 购 人：</w:t>
      </w:r>
      <w:r>
        <w:rPr>
          <w:rFonts w:hint="eastAsia" w:eastAsia="宋体" w:cs="宋体"/>
          <w:b/>
          <w:bCs/>
          <w:color w:val="auto"/>
          <w:sz w:val="32"/>
          <w:szCs w:val="32"/>
          <w:highlight w:val="none"/>
          <w:lang w:eastAsia="zh-CN"/>
        </w:rPr>
        <w:t xml:space="preserve">沛县教育局</w:t>
      </w:r>
      <w:r/>
    </w:p>
    <w:p>
      <w:pPr>
        <w:pStyle w:val="803"/>
        <w:ind w:left="0" w:firstLine="0"/>
        <w:jc w:val="left"/>
        <w:widowControl/>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采购代理机构：</w:t>
      </w:r>
      <w:r>
        <w:rPr>
          <w:rFonts w:hint="eastAsia" w:eastAsia="宋体" w:cs="宋体"/>
          <w:b/>
          <w:bCs/>
          <w:color w:val="auto"/>
          <w:sz w:val="32"/>
          <w:szCs w:val="32"/>
          <w:highlight w:val="none"/>
          <w:lang w:eastAsia="zh-CN"/>
        </w:rPr>
        <w:t xml:space="preserve">江苏华徐</w:t>
      </w:r>
      <w:r>
        <w:rPr>
          <w:rFonts w:hint="eastAsia" w:ascii="宋体" w:hAnsi="宋体" w:eastAsia="宋体" w:cs="宋体"/>
          <w:b/>
          <w:bCs/>
          <w:color w:val="auto"/>
          <w:sz w:val="32"/>
          <w:szCs w:val="32"/>
          <w:highlight w:val="none"/>
          <w:lang w:eastAsia="zh-CN"/>
        </w:rPr>
        <w:t xml:space="preserve">项目管理有限公司</w:t>
      </w:r>
      <w:r/>
    </w:p>
    <w:p>
      <w:pPr>
        <w:pStyle w:val="803"/>
        <w:ind w:left="0" w:firstLine="0"/>
        <w:jc w:val="both"/>
        <w:widowControl/>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pStyle w:val="803"/>
        <w:ind w:left="0" w:firstLine="0"/>
        <w:jc w:val="center"/>
        <w:widowControl/>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二〇二</w:t>
      </w:r>
      <w:r>
        <w:rPr>
          <w:rFonts w:hint="eastAsia"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lang w:eastAsia="zh-CN"/>
        </w:rPr>
        <w:t xml:space="preserve">年</w:t>
      </w:r>
      <w:r>
        <w:rPr>
          <w:rFonts w:hint="eastAsia" w:eastAsia="宋体" w:cs="宋体"/>
          <w:b/>
          <w:bCs/>
          <w:color w:val="auto"/>
          <w:sz w:val="32"/>
          <w:szCs w:val="32"/>
          <w:highlight w:val="none"/>
          <w:lang w:val="en-US" w:eastAsia="zh-CN"/>
        </w:rPr>
        <w:t xml:space="preserve">四</w:t>
      </w:r>
      <w:r>
        <w:rPr>
          <w:rFonts w:hint="eastAsia" w:ascii="宋体" w:hAnsi="宋体" w:eastAsia="宋体" w:cs="宋体"/>
          <w:b/>
          <w:bCs/>
          <w:color w:val="auto"/>
          <w:sz w:val="32"/>
          <w:szCs w:val="32"/>
          <w:highlight w:val="none"/>
          <w:lang w:eastAsia="zh-CN"/>
        </w:rPr>
        <w:t xml:space="preserve">月</w:t>
      </w:r>
      <w:r/>
    </w:p>
    <w:p>
      <w:pPr>
        <w:tabs>
          <w:tab w:val="center" w:pos="4111" w:leader="none"/>
        </w:tabs>
        <w:rPr>
          <w:rFonts w:hint="eastAsia" w:ascii="宋体" w:hAnsi="宋体" w:eastAsia="宋体" w:cs="宋体"/>
          <w:color w:val="auto"/>
          <w:highlight w:val="none"/>
          <w:lang w:eastAsia="zh-CN"/>
        </w:rPr>
        <w:sectPr>
          <w:footerReference w:type="default" r:id="rId10"/>
          <w:footnotePr/>
          <w:endnotePr/>
          <w:type w:val="nextPage"/>
          <w:pgSz w:w="11906" w:h="16838" w:orient="portrait"/>
          <w:pgMar w:top="1440" w:right="1587" w:bottom="1440" w:left="1587" w:header="850" w:footer="992" w:gutter="0"/>
          <w:pgNumType w:start="1"/>
          <w:cols w:num="1" w:sep="0" w:space="0" w:equalWidth="1"/>
          <w:docGrid w:linePitch="360"/>
        </w:sectPr>
      </w:pPr>
      <w:r>
        <w:rPr>
          <w:rFonts w:hint="eastAsia" w:ascii="宋体" w:hAnsi="宋体" w:eastAsia="宋体" w:cs="宋体"/>
          <w:color w:val="auto"/>
          <w:highlight w:val="none"/>
          <w:lang w:eastAsia="zh-CN"/>
        </w:rPr>
        <w:tab/>
      </w:r>
      <w:r/>
    </w:p>
    <w:p>
      <w:pPr>
        <w:pStyle w:val="795"/>
        <w:ind w:firstLine="0"/>
        <w:jc w:val="center"/>
        <w:rPr>
          <w:rFonts w:hint="eastAsia" w:ascii="宋体" w:hAnsi="宋体" w:eastAsia="宋体" w:cs="宋体"/>
          <w:b/>
          <w:color w:val="auto"/>
          <w:sz w:val="44"/>
          <w:highlight w:val="none"/>
          <w:lang w:eastAsia="zh-CN"/>
        </w:rPr>
      </w:pPr>
      <w:r>
        <w:rPr>
          <w:rFonts w:hint="eastAsia" w:ascii="宋体" w:hAnsi="宋体" w:eastAsia="宋体" w:cs="宋体"/>
          <w:b/>
          <w:color w:val="auto"/>
          <w:sz w:val="44"/>
          <w:highlight w:val="none"/>
          <w:lang w:eastAsia="zh-CN"/>
        </w:rPr>
        <w:t xml:space="preserve">总 目 录</w:t>
      </w:r>
      <w:r/>
    </w:p>
    <w:p>
      <w:pPr>
        <w:jc w:val="both"/>
        <w:spacing w:line="520" w:lineRule="exact"/>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r>
      <w:r/>
    </w:p>
    <w:p>
      <w:pPr>
        <w:pStyle w:val="834"/>
        <w:spacing w:line="480" w:lineRule="exact"/>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fldChar w:fldCharType="begin"/>
      </w:r>
      <w:r>
        <w:rPr>
          <w:rFonts w:hint="eastAsia" w:ascii="宋体" w:hAnsi="宋体" w:eastAsia="宋体" w:cs="宋体"/>
          <w:b/>
          <w:color w:val="auto"/>
          <w:sz w:val="30"/>
          <w:szCs w:val="30"/>
          <w:highlight w:val="none"/>
        </w:rPr>
        <w:instrText xml:space="preserve"> TOC \o "1-3" \h \z \u </w:instrText>
      </w:r>
      <w:r>
        <w:rPr>
          <w:rFonts w:hint="eastAsia" w:ascii="宋体" w:hAnsi="宋体" w:eastAsia="宋体" w:cs="宋体"/>
          <w:b/>
          <w:color w:val="auto"/>
          <w:sz w:val="30"/>
          <w:szCs w:val="30"/>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"_Toc523404695" \o "#_Toc523404695" </w:instrText>
      </w:r>
      <w:r>
        <w:rPr>
          <w:rFonts w:hint="eastAsia" w:ascii="宋体" w:hAnsi="宋体" w:eastAsia="宋体" w:cs="宋体"/>
          <w:color w:val="auto"/>
          <w:highlight w:val="none"/>
        </w:rPr>
        <w:fldChar w:fldCharType="separate"/>
      </w:r>
      <w:r>
        <w:rPr>
          <w:rStyle w:val="851"/>
          <w:rFonts w:hint="eastAsia" w:ascii="宋体" w:hAnsi="宋体" w:eastAsia="宋体" w:cs="宋体"/>
          <w:color w:val="auto"/>
          <w:sz w:val="30"/>
          <w:szCs w:val="30"/>
          <w:highlight w:val="none"/>
        </w:rPr>
        <w:t xml:space="preserve">第一章  投标邀请</w:t>
      </w:r>
      <w:r>
        <w:rPr>
          <w:rStyle w:val="851"/>
          <w:rFonts w:hint="eastAsia" w:ascii="宋体" w:hAnsi="宋体" w:eastAsia="宋体" w:cs="宋体"/>
          <w:color w:val="auto"/>
          <w:sz w:val="30"/>
          <w:szCs w:val="30"/>
          <w:highlight w:val="none"/>
        </w:rPr>
        <w:fldChar w:fldCharType="end"/>
      </w:r>
      <w:r/>
    </w:p>
    <w:p>
      <w:pPr>
        <w:pStyle w:val="834"/>
        <w:spacing w:line="480" w:lineRule="exact"/>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"_Toc523404696" \o "#_Toc523404696" </w:instrText>
      </w:r>
      <w:r>
        <w:rPr>
          <w:rFonts w:hint="eastAsia" w:ascii="宋体" w:hAnsi="宋体" w:eastAsia="宋体" w:cs="宋体"/>
          <w:color w:val="auto"/>
          <w:highlight w:val="none"/>
        </w:rPr>
        <w:fldChar w:fldCharType="separate"/>
      </w:r>
      <w:r>
        <w:rPr>
          <w:rStyle w:val="851"/>
          <w:rFonts w:hint="eastAsia" w:ascii="宋体" w:hAnsi="宋体" w:eastAsia="宋体" w:cs="宋体"/>
          <w:color w:val="auto"/>
          <w:sz w:val="30"/>
          <w:szCs w:val="30"/>
          <w:highlight w:val="none"/>
        </w:rPr>
        <w:t xml:space="preserve">第二章  投标人须知</w:t>
      </w:r>
      <w:r>
        <w:rPr>
          <w:rStyle w:val="851"/>
          <w:rFonts w:hint="eastAsia" w:ascii="宋体" w:hAnsi="宋体" w:eastAsia="宋体" w:cs="宋体"/>
          <w:color w:val="auto"/>
          <w:sz w:val="30"/>
          <w:szCs w:val="30"/>
          <w:highlight w:val="none"/>
        </w:rPr>
        <w:fldChar w:fldCharType="end"/>
      </w:r>
      <w:r/>
    </w:p>
    <w:p>
      <w:pPr>
        <w:pStyle w:val="834"/>
        <w:spacing w:line="480" w:lineRule="exact"/>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"_Toc523404697" \o "#_Toc523404697" </w:instrText>
      </w:r>
      <w:r>
        <w:rPr>
          <w:rFonts w:hint="eastAsia" w:ascii="宋体" w:hAnsi="宋体" w:eastAsia="宋体" w:cs="宋体"/>
          <w:color w:val="auto"/>
          <w:highlight w:val="none"/>
        </w:rPr>
        <w:fldChar w:fldCharType="separate"/>
      </w:r>
      <w:r>
        <w:rPr>
          <w:rStyle w:val="851"/>
          <w:rFonts w:hint="eastAsia" w:ascii="宋体" w:hAnsi="宋体" w:eastAsia="宋体" w:cs="宋体"/>
          <w:color w:val="auto"/>
          <w:sz w:val="30"/>
          <w:szCs w:val="30"/>
          <w:highlight w:val="none"/>
        </w:rPr>
        <w:t xml:space="preserve">第三章  投标资料表</w:t>
      </w:r>
      <w:r>
        <w:rPr>
          <w:rStyle w:val="851"/>
          <w:rFonts w:hint="eastAsia" w:ascii="宋体" w:hAnsi="宋体" w:eastAsia="宋体" w:cs="宋体"/>
          <w:color w:val="auto"/>
          <w:sz w:val="30"/>
          <w:szCs w:val="30"/>
          <w:highlight w:val="none"/>
        </w:rPr>
        <w:fldChar w:fldCharType="end"/>
      </w:r>
      <w:r/>
    </w:p>
    <w:p>
      <w:pPr>
        <w:pStyle w:val="834"/>
        <w:spacing w:line="480" w:lineRule="exact"/>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"_Toc523404698" \o "#_Toc523404698" </w:instrText>
      </w:r>
      <w:r>
        <w:rPr>
          <w:rFonts w:hint="eastAsia" w:ascii="宋体" w:hAnsi="宋体" w:eastAsia="宋体" w:cs="宋体"/>
          <w:color w:val="auto"/>
          <w:highlight w:val="none"/>
        </w:rPr>
        <w:fldChar w:fldCharType="separate"/>
      </w:r>
      <w:r>
        <w:rPr>
          <w:rStyle w:val="851"/>
          <w:rFonts w:hint="eastAsia" w:ascii="宋体" w:hAnsi="宋体" w:eastAsia="宋体" w:cs="宋体"/>
          <w:color w:val="auto"/>
          <w:sz w:val="30"/>
          <w:szCs w:val="30"/>
          <w:highlight w:val="none"/>
        </w:rPr>
        <w:t xml:space="preserve">第四章  评标标准</w:t>
      </w:r>
      <w:r>
        <w:rPr>
          <w:rStyle w:val="851"/>
          <w:rFonts w:hint="eastAsia" w:ascii="宋体" w:hAnsi="宋体" w:eastAsia="宋体" w:cs="宋体"/>
          <w:color w:val="auto"/>
          <w:sz w:val="30"/>
          <w:szCs w:val="30"/>
          <w:highlight w:val="none"/>
        </w:rPr>
        <w:fldChar w:fldCharType="end"/>
      </w:r>
      <w:r/>
    </w:p>
    <w:p>
      <w:pPr>
        <w:pStyle w:val="834"/>
        <w:spacing w:line="480" w:lineRule="exact"/>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"_Toc523404699" \o "#_Toc523404699" </w:instrText>
      </w:r>
      <w:r>
        <w:rPr>
          <w:rFonts w:hint="eastAsia" w:ascii="宋体" w:hAnsi="宋体" w:eastAsia="宋体" w:cs="宋体"/>
          <w:color w:val="auto"/>
          <w:highlight w:val="none"/>
        </w:rPr>
        <w:fldChar w:fldCharType="separate"/>
      </w:r>
      <w:r>
        <w:rPr>
          <w:rStyle w:val="851"/>
          <w:rFonts w:hint="eastAsia" w:ascii="宋体" w:hAnsi="宋体" w:eastAsia="宋体" w:cs="宋体"/>
          <w:color w:val="auto"/>
          <w:sz w:val="30"/>
          <w:szCs w:val="30"/>
          <w:highlight w:val="none"/>
        </w:rPr>
        <w:t xml:space="preserve">第五章  拟签订的合同文本</w:t>
      </w:r>
      <w:r>
        <w:rPr>
          <w:rStyle w:val="851"/>
          <w:rFonts w:hint="eastAsia" w:ascii="宋体" w:hAnsi="宋体" w:eastAsia="宋体" w:cs="宋体"/>
          <w:color w:val="auto"/>
          <w:sz w:val="30"/>
          <w:szCs w:val="30"/>
          <w:highlight w:val="none"/>
        </w:rPr>
        <w:fldChar w:fldCharType="end"/>
      </w:r>
      <w:r/>
    </w:p>
    <w:p>
      <w:pPr>
        <w:pStyle w:val="834"/>
        <w:spacing w:line="480" w:lineRule="exact"/>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"_Toc523404700" \o "#_Toc523404700" </w:instrText>
      </w:r>
      <w:r>
        <w:rPr>
          <w:rFonts w:hint="eastAsia" w:ascii="宋体" w:hAnsi="宋体" w:eastAsia="宋体" w:cs="宋体"/>
          <w:color w:val="auto"/>
          <w:highlight w:val="none"/>
        </w:rPr>
        <w:fldChar w:fldCharType="separate"/>
      </w:r>
      <w:r>
        <w:rPr>
          <w:rStyle w:val="851"/>
          <w:rFonts w:hint="eastAsia" w:ascii="宋体" w:hAnsi="宋体" w:eastAsia="宋体" w:cs="宋体"/>
          <w:color w:val="auto"/>
          <w:sz w:val="30"/>
          <w:szCs w:val="30"/>
          <w:highlight w:val="none"/>
        </w:rPr>
        <w:t xml:space="preserve">第六章  采购需求</w:t>
      </w:r>
      <w:r>
        <w:rPr>
          <w:rStyle w:val="851"/>
          <w:rFonts w:hint="eastAsia" w:ascii="宋体" w:hAnsi="宋体" w:eastAsia="宋体" w:cs="宋体"/>
          <w:color w:val="auto"/>
          <w:sz w:val="30"/>
          <w:szCs w:val="30"/>
          <w:highlight w:val="none"/>
        </w:rPr>
        <w:fldChar w:fldCharType="end"/>
      </w:r>
      <w:r/>
    </w:p>
    <w:p>
      <w:pPr>
        <w:pStyle w:val="834"/>
        <w:spacing w:line="480" w:lineRule="exact"/>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"_Toc523404701" \o "#_Toc523404701" </w:instrText>
      </w:r>
      <w:r>
        <w:rPr>
          <w:rFonts w:hint="eastAsia" w:ascii="宋体" w:hAnsi="宋体" w:eastAsia="宋体" w:cs="宋体"/>
          <w:color w:val="auto"/>
          <w:highlight w:val="none"/>
        </w:rPr>
        <w:fldChar w:fldCharType="separate"/>
      </w:r>
      <w:r>
        <w:rPr>
          <w:rStyle w:val="851"/>
          <w:rFonts w:hint="eastAsia" w:ascii="宋体" w:hAnsi="宋体" w:eastAsia="宋体" w:cs="宋体"/>
          <w:color w:val="auto"/>
          <w:sz w:val="30"/>
          <w:szCs w:val="30"/>
          <w:highlight w:val="none"/>
        </w:rPr>
        <w:t xml:space="preserve">第七章  投标文件相关格</w:t>
      </w:r>
      <w:bookmarkStart w:id="0" w:name="_Hlt532911772"/>
      <w:r/>
      <w:bookmarkStart w:id="1" w:name="_Hlt532911771"/>
      <w:r>
        <w:rPr>
          <w:rStyle w:val="851"/>
          <w:rFonts w:hint="eastAsia" w:ascii="宋体" w:hAnsi="宋体" w:eastAsia="宋体" w:cs="宋体"/>
          <w:color w:val="auto"/>
          <w:sz w:val="30"/>
          <w:szCs w:val="30"/>
          <w:highlight w:val="none"/>
        </w:rPr>
        <w:t xml:space="preserve">式</w:t>
      </w:r>
      <w:bookmarkEnd w:id="0"/>
      <w:r/>
      <w:bookmarkEnd w:id="1"/>
      <w:r>
        <w:rPr>
          <w:rStyle w:val="851"/>
          <w:rFonts w:hint="eastAsia" w:ascii="宋体" w:hAnsi="宋体" w:eastAsia="宋体" w:cs="宋体"/>
          <w:color w:val="auto"/>
          <w:sz w:val="30"/>
          <w:szCs w:val="30"/>
          <w:highlight w:val="none"/>
        </w:rPr>
        <w:fldChar w:fldCharType="end"/>
      </w:r>
      <w:r/>
    </w:p>
    <w:p>
      <w:pPr>
        <w:jc w:val="center"/>
        <w:spacing w:line="480" w:lineRule="exact"/>
        <w:rPr>
          <w:rFonts w:hint="eastAsia" w:ascii="宋体" w:hAnsi="宋体" w:eastAsia="宋体" w:cs="宋体"/>
          <w:b/>
          <w:color w:val="auto"/>
          <w:sz w:val="44"/>
          <w:szCs w:val="44"/>
          <w:highlight w:val="none"/>
        </w:rPr>
      </w:pPr>
      <w:r>
        <w:rPr>
          <w:rFonts w:hint="eastAsia" w:ascii="宋体" w:hAnsi="宋体" w:eastAsia="宋体" w:cs="宋体"/>
          <w:b/>
          <w:color w:val="auto"/>
          <w:sz w:val="30"/>
          <w:szCs w:val="30"/>
          <w:highlight w:val="none"/>
        </w:rPr>
        <w:fldChar w:fldCharType="end"/>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after="0" w:line="519" w:lineRule="atLeast"/>
        <w:rPr>
          <w:rFonts w:hint="eastAsia" w:ascii="宋体" w:hAnsi="宋体" w:eastAsia="宋体" w:cs="宋体"/>
          <w:b/>
          <w:color w:val="auto"/>
          <w:sz w:val="30"/>
          <w:szCs w:val="30"/>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701" w:bottom="1440" w:left="1701" w:header="850" w:footer="992" w:gutter="0"/>
          <w:pgNumType w:start="2"/>
          <w:cols w:num="1" w:sep="0" w:space="0" w:equalWidth="1"/>
          <w:docGrid w:linePitch="360"/>
        </w:sectPr>
      </w:pPr>
      <w:r>
        <w:rPr>
          <w:rFonts w:hint="eastAsia" w:ascii="宋体" w:hAnsi="宋体" w:eastAsia="宋体" w:cs="宋体"/>
          <w:b/>
          <w:color w:val="auto"/>
          <w:sz w:val="30"/>
          <w:szCs w:val="30"/>
          <w:highlight w:val="none"/>
        </w:rPr>
      </w:r>
      <w:r/>
    </w:p>
    <w:p>
      <w:pPr>
        <w:jc w:val="center"/>
        <w:keepLines w:val="0"/>
        <w:keepNext w:val="0"/>
        <w:pageBreakBefore w:val="0"/>
        <w:spacing w:after="0" w:line="360" w:lineRule="auto"/>
        <w:rPr>
          <w:rFonts w:hint="eastAsia" w:ascii="宋体" w:hAnsi="宋体" w:eastAsia="宋体" w:cs="宋体"/>
          <w:b/>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highlight w:val="none"/>
          <w:lang w:eastAsia="zh-CN"/>
        </w:rPr>
        <w:t xml:space="preserve">沛县教育局</w:t>
      </w:r>
      <w:r/>
    </w:p>
    <w:p>
      <w:pPr>
        <w:jc w:val="center"/>
        <w:keepLines w:val="0"/>
        <w:keepNext w:val="0"/>
        <w:pageBreakBefore w:val="0"/>
        <w:spacing w:after="0" w:line="360" w:lineRule="auto"/>
        <w:rPr>
          <w:rFonts w:hint="eastAsia" w:ascii="宋体" w:hAnsi="宋体" w:eastAsia="宋体" w:cs="宋体"/>
          <w:b/>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highlight w:val="none"/>
          <w:lang w:eastAsia="zh-CN"/>
        </w:rPr>
        <w:t xml:space="preserve">《沛县歌风中学（树恩校区）二期工程弱电安装项目》</w:t>
      </w:r>
      <w:r/>
    </w:p>
    <w:p>
      <w:pPr>
        <w:jc w:val="center"/>
        <w:keepLines w:val="0"/>
        <w:keepNext w:val="0"/>
        <w:pageBreakBefore w:val="0"/>
        <w:spacing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highlight w:val="none"/>
          <w:lang w:eastAsia="zh-CN"/>
        </w:rPr>
        <w:t xml:space="preserve">招标文件</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keepLines w:val="0"/>
        <w:keepNext w:val="0"/>
        <w:pageBreakBefore w:val="0"/>
        <w:spacing w:after="0" w:line="360" w:lineRule="auto"/>
        <w:widowControl/>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highlight w:val="none"/>
          <w:lang w:eastAsia="zh-CN"/>
        </w:rPr>
        <w:t xml:space="preserve">第一章 投标邀请</w:t>
      </w:r>
      <w:r/>
    </w:p>
    <w:p>
      <w:pPr>
        <w:ind w:firstLine="600"/>
        <w:jc w:val="both"/>
        <w:keepLines w:val="0"/>
        <w:keepNext w:val="0"/>
        <w:pageBreakBefore w:val="0"/>
        <w:spacing w:after="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江苏华徐项目管理有限公司对沛县教育局“沛县歌风中学（树恩校区）二期工程弱电安装项目”进行公开招标采购，现邀请符合相关条件的供应商投标。</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eastAsia="zh-CN"/>
        </w:rPr>
        <w:t xml:space="preserve">一、项目名称和项目编号</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(一)项目名称：沛县歌风中学（树恩校区）二期工程弱电安装项目</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(二)项目编号：JSZC-320322-HXXM-G2026-0003</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eastAsia="zh-CN"/>
        </w:rPr>
        <w:t xml:space="preserve">二、对投标人的资格要求</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详见本项目公开招标公告。</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eastAsia="zh-CN"/>
        </w:rPr>
        <w:t xml:space="preserve">三、获取招标文件</w:t>
      </w:r>
      <w:r/>
    </w:p>
    <w:p>
      <w:pPr>
        <w:ind w:firstLine="480"/>
        <w:jc w:val="both"/>
        <w:keepLines w:val="0"/>
        <w:keepNext w:val="0"/>
        <w:pageBreakBefore w:val="0"/>
        <w:spacing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（一）潜在投标人访问电子招标投标交易平台的网络地址和方法：</w:t>
      </w:r>
      <w:r/>
    </w:p>
    <w:p>
      <w:pPr>
        <w:ind w:firstLine="480"/>
        <w:jc w:val="both"/>
        <w:keepLines w:val="0"/>
        <w:keepNext w:val="0"/>
        <w:pageBreakBefore w:val="0"/>
        <w:spacing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04"/>
        <w:ind w:firstLine="480"/>
        <w:keepLines w:val="0"/>
        <w:keepNext w:val="0"/>
        <w:pageBreakBefore w:val="0"/>
        <w:spacing w:line="360" w:lineRule="auto"/>
        <w:widowControl/>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（2）潜在供应商访问“苏采云”系统的网络地址和方法：“苏采云”系统的网址：http://jszfcg.jsczt.cn/；或进入</w:t>
      </w:r>
      <w:r>
        <w:rPr>
          <w:rFonts w:hint="eastAsia" w:ascii="宋体" w:hAnsi="宋体" w:eastAsia="宋体" w:cs="宋体"/>
          <w:b w:val="0"/>
          <w:bCs/>
          <w:color w:val="000000"/>
          <w:sz w:val="24"/>
          <w:highlight w:val="none"/>
        </w:rPr>
        <w:t xml:space="preserve">徐州政府采购网（网址：</w:t>
      </w:r>
      <w:r>
        <w:rPr>
          <w:rFonts w:hint="eastAsia" w:ascii="宋体" w:hAnsi="宋体" w:eastAsia="宋体" w:cs="宋体"/>
          <w:b w:val="0"/>
          <w:bCs/>
          <w:color w:val="000000"/>
          <w:sz w:val="24"/>
          <w:highlight w:val="none"/>
          <w:lang w:eastAsia="zh-CN"/>
        </w:rPr>
        <w:t xml:space="preserve">https://czj.xz.gov.cn/zfcg/index.html</w:t>
      </w:r>
      <w:r>
        <w:rPr>
          <w:rFonts w:hint="eastAsia" w:ascii="宋体" w:hAnsi="宋体" w:eastAsia="宋体" w:cs="宋体"/>
          <w:b w:val="0"/>
          <w:bCs/>
          <w:color w:val="000000"/>
          <w:sz w:val="24"/>
          <w:highlight w:val="none"/>
        </w:rPr>
        <w:t xml:space="preserve">）</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点击“苏采云”进入系统。</w:t>
      </w:r>
      <w:r/>
    </w:p>
    <w:p>
      <w:pPr>
        <w:ind w:firstLine="480"/>
        <w:jc w:val="both"/>
        <w:keepLines w:val="0"/>
        <w:keepNext w:val="0"/>
        <w:pageBreakBefore w:val="0"/>
        <w:spacing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（3）“CA数字证书”的获取：</w:t>
      </w:r>
      <w:r/>
    </w:p>
    <w:p>
      <w:pPr>
        <w:ind w:firstLine="480"/>
        <w:jc w:val="both"/>
        <w:keepLines w:val="0"/>
        <w:keepNext w:val="0"/>
        <w:pageBreakBefore w:val="0"/>
        <w:spacing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keepLines w:val="0"/>
        <w:keepNext w:val="0"/>
        <w:pageBreakBefore w:val="0"/>
        <w:spacing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keepLines w:val="0"/>
        <w:keepNext w:val="0"/>
        <w:pageBreakBefore w:val="0"/>
        <w:spacing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（二）采购代理机构将数据电文形式的招标文件加载至电子招标投标交易平台，供潜在投标人下载或者查阅。</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（三）售价：免费。</w:t>
      </w:r>
      <w:r/>
    </w:p>
    <w:p>
      <w:pPr>
        <w:ind w:firstLine="600"/>
        <w:jc w:val="both"/>
        <w:keepLines w:val="0"/>
        <w:keepNext w:val="0"/>
        <w:pageBreakBefore w:val="0"/>
        <w:spacing w:after="0" w:line="360" w:lineRule="auto"/>
        <w:tabs>
          <w:tab w:val="center" w:pos="4323" w:leader="none"/>
        </w:tabs>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eastAsia="zh-CN"/>
        </w:rPr>
        <w:t xml:space="preserve">四、投标有关信息</w:t>
      </w:r>
      <w:r>
        <w:rPr>
          <w:rFonts w:hint="eastAsia" w:ascii="宋体" w:hAnsi="宋体" w:eastAsia="宋体" w:cs="宋体"/>
          <w:color w:val="auto"/>
          <w:highlight w:val="none"/>
          <w:lang w:eastAsia="zh-CN"/>
        </w:rPr>
        <w:tab/>
      </w:r>
      <w:r/>
    </w:p>
    <w:p>
      <w:pPr>
        <w:ind w:firstLine="601"/>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（一）投标截止时间：</w:t>
      </w:r>
      <w:r>
        <w:rPr>
          <w:rFonts w:hint="eastAsia" w:ascii="宋体" w:hAnsi="宋体" w:eastAsia="宋体" w:cs="宋体"/>
          <w:color w:val="ff0000"/>
          <w:sz w:val="24"/>
          <w:szCs w:val="24"/>
          <w:highlight w:val="none"/>
          <w:lang w:val="en-US" w:eastAsia="zh-CN"/>
        </w:rPr>
        <w:t xml:space="preserve">2026</w:t>
      </w:r>
      <w:r>
        <w:rPr>
          <w:rFonts w:hint="eastAsia" w:ascii="宋体" w:hAnsi="宋体" w:eastAsia="宋体" w:cs="宋体"/>
          <w:color w:val="ff0000"/>
          <w:sz w:val="24"/>
          <w:szCs w:val="24"/>
          <w:highlight w:val="none"/>
          <w:lang w:eastAsia="zh-CN"/>
        </w:rPr>
        <w:t xml:space="preserve">年</w:t>
      </w:r>
      <w:r>
        <w:rPr>
          <w:rFonts w:hint="eastAsia" w:ascii="宋体" w:hAnsi="宋体" w:eastAsia="宋体" w:cs="宋体"/>
          <w:color w:val="ff0000"/>
          <w:sz w:val="24"/>
          <w:szCs w:val="24"/>
          <w:highlight w:val="none"/>
          <w:u w:val="single"/>
          <w:lang w:val="en-US" w:eastAsia="zh-CN"/>
        </w:rPr>
        <w:t xml:space="preserve"> 5 </w:t>
      </w:r>
      <w:r>
        <w:rPr>
          <w:rFonts w:hint="eastAsia" w:ascii="宋体" w:hAnsi="宋体" w:eastAsia="宋体" w:cs="宋体"/>
          <w:color w:val="ff0000"/>
          <w:sz w:val="24"/>
          <w:szCs w:val="24"/>
          <w:highlight w:val="none"/>
          <w:lang w:eastAsia="zh-CN"/>
        </w:rPr>
        <w:t xml:space="preserve">月</w:t>
      </w:r>
      <w:r>
        <w:rPr>
          <w:rFonts w:hint="eastAsia" w:ascii="宋体" w:hAnsi="宋体" w:eastAsia="宋体" w:cs="宋体"/>
          <w:color w:val="ff0000"/>
          <w:sz w:val="24"/>
          <w:szCs w:val="24"/>
          <w:highlight w:val="none"/>
          <w:u w:val="single"/>
          <w:lang w:val="en-US" w:eastAsia="zh-CN"/>
        </w:rPr>
        <w:t xml:space="preserve"> 19 </w:t>
      </w:r>
      <w:r>
        <w:rPr>
          <w:rFonts w:hint="eastAsia" w:ascii="宋体" w:hAnsi="宋体" w:eastAsia="宋体" w:cs="宋体"/>
          <w:color w:val="ff0000"/>
          <w:sz w:val="24"/>
          <w:szCs w:val="24"/>
          <w:highlight w:val="none"/>
          <w:lang w:eastAsia="zh-CN"/>
        </w:rPr>
        <w:t xml:space="preserve">日</w:t>
      </w:r>
      <w:r>
        <w:rPr>
          <w:rFonts w:hint="eastAsia" w:ascii="宋体" w:hAnsi="宋体" w:eastAsia="宋体" w:cs="宋体"/>
          <w:color w:val="auto"/>
          <w:sz w:val="24"/>
          <w:szCs w:val="24"/>
          <w:highlight w:val="none"/>
          <w:lang w:eastAsia="zh-CN"/>
        </w:rPr>
        <w:t xml:space="preserve">北京时间09时30分，（电子招标投标交易平台（即“苏采云”系统）的国家授时中心标准时间，下同），在截止时间后提交的首次响应文件为无效文件，将被拒收。</w:t>
      </w:r>
      <w:r/>
    </w:p>
    <w:p>
      <w:pPr>
        <w:ind w:firstLine="601"/>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（二）开标时间：</w:t>
      </w:r>
      <w:r>
        <w:rPr>
          <w:rFonts w:hint="eastAsia" w:ascii="宋体" w:hAnsi="宋体" w:eastAsia="宋体" w:cs="宋体"/>
          <w:color w:val="ff0000"/>
          <w:sz w:val="24"/>
          <w:szCs w:val="24"/>
          <w:highlight w:val="none"/>
          <w:lang w:val="en-US" w:eastAsia="zh-CN"/>
        </w:rPr>
        <w:t xml:space="preserve">2026</w:t>
      </w:r>
      <w:r>
        <w:rPr>
          <w:rFonts w:hint="eastAsia" w:ascii="宋体" w:hAnsi="宋体" w:eastAsia="宋体" w:cs="宋体"/>
          <w:color w:val="ff0000"/>
          <w:sz w:val="24"/>
          <w:szCs w:val="24"/>
          <w:highlight w:val="none"/>
          <w:lang w:eastAsia="zh-CN"/>
        </w:rPr>
        <w:t xml:space="preserve">年</w:t>
      </w:r>
      <w:r>
        <w:rPr>
          <w:rFonts w:hint="eastAsia" w:ascii="宋体" w:hAnsi="宋体" w:eastAsia="宋体" w:cs="宋体"/>
          <w:color w:val="ff0000"/>
          <w:sz w:val="24"/>
          <w:szCs w:val="24"/>
          <w:highlight w:val="none"/>
          <w:u w:val="single"/>
          <w:lang w:val="en-US" w:eastAsia="zh-CN"/>
        </w:rPr>
        <w:t xml:space="preserve"> 5 </w:t>
      </w:r>
      <w:r>
        <w:rPr>
          <w:rFonts w:hint="eastAsia" w:ascii="宋体" w:hAnsi="宋体" w:eastAsia="宋体" w:cs="宋体"/>
          <w:color w:val="ff0000"/>
          <w:sz w:val="24"/>
          <w:szCs w:val="24"/>
          <w:highlight w:val="none"/>
          <w:lang w:eastAsia="zh-CN"/>
        </w:rPr>
        <w:t xml:space="preserve">月</w:t>
      </w:r>
      <w:r>
        <w:rPr>
          <w:rFonts w:hint="eastAsia" w:ascii="宋体" w:hAnsi="宋体" w:eastAsia="宋体" w:cs="宋体"/>
          <w:color w:val="ff0000"/>
          <w:sz w:val="24"/>
          <w:szCs w:val="24"/>
          <w:highlight w:val="none"/>
          <w:u w:val="single"/>
          <w:lang w:val="en-US" w:eastAsia="zh-CN"/>
        </w:rPr>
        <w:t xml:space="preserve"> 19 </w:t>
      </w:r>
      <w:r>
        <w:rPr>
          <w:rFonts w:hint="eastAsia" w:ascii="宋体" w:hAnsi="宋体" w:eastAsia="宋体" w:cs="宋体"/>
          <w:color w:val="ff0000"/>
          <w:sz w:val="24"/>
          <w:szCs w:val="24"/>
          <w:highlight w:val="none"/>
          <w:lang w:eastAsia="zh-CN"/>
        </w:rPr>
        <w:t xml:space="preserve">日</w:t>
      </w:r>
      <w:r>
        <w:rPr>
          <w:rFonts w:hint="eastAsia" w:ascii="宋体" w:hAnsi="宋体" w:eastAsia="宋体" w:cs="宋体"/>
          <w:color w:val="auto"/>
          <w:sz w:val="24"/>
          <w:szCs w:val="24"/>
          <w:highlight w:val="none"/>
          <w:lang w:eastAsia="zh-CN"/>
        </w:rPr>
        <w:t xml:space="preserve">北京时间09时30分。</w:t>
      </w:r>
      <w:r/>
    </w:p>
    <w:p>
      <w:pPr>
        <w:ind w:firstLine="601"/>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（三）线上开标地点：“苏采云”系统（网址：http://jszfcg.jsczt.cn/）“开标大厅”或进入徐州政府采购网（网址：https://czj.xz.gov.cn/zfcg/index.html），点击“苏采云”进入系统“</w:t>
      </w:r>
      <w:r>
        <w:rPr>
          <w:rFonts w:hint="eastAsia" w:ascii="宋体" w:hAnsi="宋体" w:eastAsia="宋体" w:cs="宋体"/>
          <w:color w:val="auto"/>
          <w:sz w:val="24"/>
          <w:szCs w:val="24"/>
          <w:highlight w:val="none"/>
          <w:lang w:val="en-US" w:eastAsia="zh-CN"/>
        </w:rPr>
        <w:t xml:space="preserve">开标大厅</w:t>
      </w:r>
      <w:r>
        <w:rPr>
          <w:rFonts w:hint="eastAsia" w:ascii="宋体" w:hAnsi="宋体" w:eastAsia="宋体" w:cs="宋体"/>
          <w:color w:val="auto"/>
          <w:sz w:val="24"/>
          <w:szCs w:val="24"/>
          <w:highlight w:val="none"/>
          <w:lang w:eastAsia="zh-CN"/>
        </w:rPr>
        <w:t xml:space="preserve">”。</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eastAsia="zh-CN"/>
        </w:rPr>
        <w:t xml:space="preserve">五、采购人</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（一）名称：沛县教育局</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（二）地址：沛县沛公路2号  </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（三）联系人：</w:t>
      </w:r>
      <w:r>
        <w:rPr>
          <w:rFonts w:hint="eastAsia" w:ascii="宋体" w:hAnsi="宋体" w:eastAsia="宋体" w:cs="宋体"/>
          <w:color w:val="auto"/>
          <w:sz w:val="24"/>
          <w:szCs w:val="24"/>
          <w:highlight w:val="none"/>
          <w:lang w:val="en-US" w:eastAsia="zh-CN"/>
        </w:rPr>
        <w:t xml:space="preserve">刘明君</w:t>
      </w:r>
      <w:r>
        <w:rPr>
          <w:rFonts w:hint="eastAsia" w:ascii="宋体" w:hAnsi="宋体" w:eastAsia="宋体" w:cs="宋体"/>
          <w:color w:val="auto"/>
          <w:sz w:val="24"/>
          <w:szCs w:val="24"/>
          <w:highlight w:val="none"/>
          <w:lang w:eastAsia="zh-CN"/>
        </w:rPr>
        <w:t xml:space="preserve"> </w:t>
      </w:r>
      <w:r/>
    </w:p>
    <w:p>
      <w:pPr>
        <w:ind w:firstLine="600"/>
        <w:jc w:val="both"/>
        <w:keepLines w:val="0"/>
        <w:keepNext w:val="0"/>
        <w:pageBreakBefore w:val="0"/>
        <w:spacing w:after="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（四）联系电话：</w:t>
      </w:r>
      <w:r>
        <w:rPr>
          <w:rFonts w:hint="eastAsia" w:ascii="宋体" w:hAnsi="宋体" w:eastAsia="宋体" w:cs="宋体"/>
          <w:color w:val="auto"/>
          <w:sz w:val="24"/>
          <w:szCs w:val="24"/>
          <w:highlight w:val="none"/>
          <w:lang w:val="en-US" w:eastAsia="zh-CN"/>
        </w:rPr>
        <w:t xml:space="preserve">13815393856</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eastAsia="zh-CN"/>
        </w:rPr>
        <w:t xml:space="preserve">六、采购代理机构</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（一）名称：江苏华徐项目管理有限公司</w:t>
      </w:r>
      <w:r/>
    </w:p>
    <w:p>
      <w:pPr>
        <w:ind w:firstLine="600"/>
        <w:jc w:val="both"/>
        <w:keepLines w:val="0"/>
        <w:keepNext w:val="0"/>
        <w:pageBreakBefore w:val="0"/>
        <w:spacing w:after="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（二）地址：丰县凤城街道为民服务中心5楼综合部</w:t>
      </w:r>
      <w:r/>
    </w:p>
    <w:p>
      <w:pPr>
        <w:ind w:firstLine="600"/>
        <w:jc w:val="both"/>
        <w:keepLines w:val="0"/>
        <w:keepNext w:val="0"/>
        <w:pageBreakBefore w:val="0"/>
        <w:spacing w:after="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（三）联系电话：</w:t>
      </w:r>
      <w:r>
        <w:rPr>
          <w:rFonts w:hint="eastAsia" w:ascii="宋体" w:hAnsi="宋体" w:eastAsia="宋体" w:cs="宋体"/>
          <w:color w:val="auto"/>
          <w:sz w:val="24"/>
          <w:szCs w:val="24"/>
          <w:highlight w:val="none"/>
          <w:lang w:val="en-US" w:eastAsia="zh-CN"/>
        </w:rPr>
        <w:t xml:space="preserve">15250089534</w:t>
      </w:r>
      <w:r/>
    </w:p>
    <w:p>
      <w:pPr>
        <w:ind w:firstLine="600"/>
        <w:jc w:val="both"/>
        <w:keepLines w:val="0"/>
        <w:keepNext w:val="0"/>
        <w:pageBreakBefore w:val="0"/>
        <w:spacing w:after="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（四）项目联系人：</w:t>
      </w:r>
      <w:r>
        <w:rPr>
          <w:rFonts w:hint="eastAsia" w:ascii="宋体" w:hAnsi="宋体" w:eastAsia="宋体" w:cs="宋体"/>
          <w:color w:val="auto"/>
          <w:sz w:val="24"/>
          <w:szCs w:val="24"/>
          <w:highlight w:val="none"/>
          <w:lang w:val="en-US" w:eastAsia="zh-CN"/>
        </w:rPr>
        <w:t xml:space="preserve">崔婷婷</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jc w:val="center"/>
        <w:keepLines w:val="0"/>
        <w:keepNext w:val="0"/>
        <w:pageBreakBefore w:val="0"/>
        <w:spacing w:after="0" w:line="360" w:lineRule="auto"/>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8"/>
          <w:szCs w:val="28"/>
          <w:highlight w:val="none"/>
          <w:lang w:eastAsia="zh-CN"/>
        </w:rPr>
        <w:t xml:space="preserve">第二章 投标人须知</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eastAsia="zh-CN"/>
        </w:rPr>
        <w:t xml:space="preserve">一、总则</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（一）采购人。采购人即指依法进行政府采购的国家机关、事业单位和团体组织。</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（二）政府招标采购方式。政府采购货物或服务（以下简称“货物服务”）的招标方式，分为公开招标和邀请招标。</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（三）采购人在采购货物服务的招标投标活动中，应当贯彻落实“节约能源、保护环境、扶持不发达地区和少数民族地区和促进中小企业发展”等政府采购政策。</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（五）采购人委托采购代理机构代理招标的，采购代理机构必须在采购人委托的范围内依法开展采购活动。</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（六）投标人的资格条件：</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投标人是指响应招标、参加投标竞争的法人、其他组织或者自然人。</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2.投标人授权代表系指法定代表人或受法人委托的受托人。</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（七）投标费用：投标人应承担所有与准备和参加投标有关的费用。无论投标的结果如何，采购代理机构对上述费用不承担任何责任和义务。</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eastAsia="zh-CN"/>
        </w:rPr>
        <w:t xml:space="preserve">二、招标</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szCs w:val="24"/>
          <w:highlight w:val="none"/>
          <w:lang w:eastAsia="zh-CN"/>
        </w:rPr>
        <w:t xml:space="preserve">（八）招标文件应包括以下内容：</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第一章，投标邀请；</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第二章，投标人须知；</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第三章，投标资料表；</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第四章，评标标准；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第五章，拟签订的合同文本；</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第六章，采购需求；</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第七章，投标文件相关格式。</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szCs w:val="24"/>
          <w:highlight w:val="none"/>
          <w:lang w:eastAsia="zh-CN"/>
        </w:rPr>
        <w:t xml:space="preserve">（九）招标文件澄清或者修改：</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2.现场考察以本文件第三章《投标资料表》中的要求为准。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3.开标前答疑会以本文件第三章《投标资料表》中的要求为准。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eastAsia="zh-CN"/>
        </w:rPr>
        <w:t xml:space="preserve">三、投标</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（十）投标人应当按照招标文件的要求编制投标文件。投标文件应对招标文件提出的要求和条件作出实质性响应。</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（十一）投标文件的语言。投标文件以及投标人与采购代理机构就有关投标的往来函电均应使用本文件第三章《投标资料表》规定的语言书写，否则无效。</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（十二）投标文件的构成：</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1.投标文件的构成以本文件第三章《投标资料表》中的要求为准。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2.投标人应当提交的资格、资信证明文件，以本文件第三章《投标资料表》中的所提要求为准。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（十三）投标函和价格表、商务条件、交货和提供服务的时间：</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1.投标函和价格表的要求见本章（十二）、（十三），格式见本文件第七章《投标文件相关格式》中《投标函》和《开标一览表》。</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2.商务条件以本文件第三章《投标资料表》中的要求为准。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3.交货和提供服务的时间，以本文件第三章《投标资料表》中所提要求为准。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（十四）投标报价要求：</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1.投标人应按照招标文件的要求报出分项价格和总价。</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2.投标人应按照招标文件的要求进行报价，如投标人作出偏离，应在《偏离表》中列出。</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3.采购人不支付报价以外的任何费用。</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4.投标人所报的价格，在合同执行过程中是固定的，不得以任何理由予以变更。投标人提交滑动价格的投标文件，在资格性、符合性检查时按照无效投标处理。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5.投标人只能提交一个投标价格，投标人提交多个价格的投标文件，在资格性、符合性检查时按照无效投标处理。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（十五）投标货币。以本文件第三章《投标资料表》中所提要求为准。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（十六）投标有效期：</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1.投标有效期为开标之日后90天。采购人可以要求对投标有效期延长一次，但该延长期最长不得超过30天。</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3.如果采购人发出要求延长投标有效期的通知，并在投标有效期届满前，没有收到投标人同意的书面通知，则视为该投标人不接受上述延期的要求。</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（十七）投标文件的编制要求和签署要求</w:t>
      </w:r>
      <w:r/>
    </w:p>
    <w:p>
      <w:pPr>
        <w:ind w:firstLine="482"/>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（1）电子招标投标交易平台（即“苏采云”系统）相关要求是本招标文件的组成部分。</w:t>
      </w:r>
      <w:r/>
    </w:p>
    <w:p>
      <w:pPr>
        <w:ind w:firstLine="482"/>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（2）投标人应由其法定代表人或法定代表人授权代表在规定的网上投标时间，凭 CA 证书登陆“苏采云”系统在线编制投标文件（电子数据），并在投标截止时间之前上传投标文件。</w:t>
      </w:r>
      <w:r/>
    </w:p>
    <w:p>
      <w:pPr>
        <w:ind w:firstLine="482"/>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（3）投标人应对 CA 证书妥善保管，如被他人盗用投标，因此带来的结果均由投标人自行承担。</w:t>
      </w:r>
      <w:r/>
    </w:p>
    <w:p>
      <w:pPr>
        <w:ind w:firstLine="482"/>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（4）投标人应当对招标文件提出的要求和条件作出实质性响应，并在电子投标系统逐条应答。</w:t>
      </w:r>
      <w:r/>
    </w:p>
    <w:p>
      <w:pPr>
        <w:ind w:firstLine="482"/>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（5）投标人应对要求提供的资格证明文件（如资质证书、资格证书）、技术资料（如白皮书、彩页、手册、检测报告等）扫描上传至投标系统。</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（十八）投标文件的盖章要求：</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投标文件的盖章要求，以本文件第三章《投标资料表》中所提要求为准。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（十九）提交投标文件的截止时间和收到投标文件后注意事项。投标人应在招标文件要求的提交投标文件的截止时间前，将投标文件提交至“苏采云”系统。</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（二十）凡在招标文件要求提交投标文件的截止时间之后送达的投标文件，均为无效投标文件，“苏采云”系统将自动拒收。各投标人应在规定时间内通过 CA 证书进行网上解密。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（二十二）本项目不允许分包。</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（二十三）投标人应当遵循公平竞争的原则，不得恶意串通，不得妨碍其他投标人的竞争行为，不得损害采购人或者其他投标人的合法权益。</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在评标过程中发现投标人有上述情形的，评标委员会应当认定其投标无效，并书面报告本级财政部门。</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（二十四）有下列情形之一的，其投标无效。</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1.不同投标人的投标文件，由同一单位或者个人编制；</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2.不同投标人委托同一单位或者个人办理投标事宜；</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3.不同投标人的投标文件中，所载明的项目管理成员或联系人为同一人；</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4.不同投标人的投标文件，异常一致或者投标报价呈规律性差异；</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5.不同投标人投标文件内容存在非正常一致、项目组成员出现同一人、投标文件中错误（或异常）一致或雷同、电子文档信息一致或雷同的、投标报价呈规律性差异的；</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6.电子投标文件未按规定期限投标的；</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7.电子投标文件未按招标文件要求签章的；</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8.投标人未在规定时间内解密电子投标文件的；</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9.投标文件未按招标文件规定的内容和要求填写的；没有在投标系统指定位置上传对应文件、材料的；</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10.不具备招标文件中规定的资格要求的；</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11.报价超过招标文件中规定的预算金额或者最高限价的；</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12.投标文件含有采购人不能接受的附加条件的；</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13.法律、法规和招标文件规定的其他无效情形。</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eastAsia="zh-CN"/>
        </w:rPr>
        <w:t xml:space="preserve">四、开标</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szCs w:val="24"/>
          <w:highlight w:val="none"/>
          <w:lang w:eastAsia="zh-CN"/>
        </w:rPr>
        <w:t xml:space="preserve">（二十五）开标：</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1.开标时间及地点。开标应当在招标文件确定的提交投标文件截止时间的同一时间公开进行；开标地点应当为招标文件中预先确定的地点。</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2.由电子招标投标交易平台主持，邀请投标人参加。</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3.所有投标单位使用 CA 证书在开标时间时，解密各自投标文件，由工作人员操作系统进行开标，投标人不足3家的，不得评标。</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5.投标人未参加开标的，视同认可开标结果。</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eastAsia="zh-CN"/>
        </w:rPr>
        <w:t xml:space="preserve">五、评标</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（二十六）公开招标采购项目开标结束后，采购人依法对投标人的资格进行审查。合格投标人不足3家的，不得评标。</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1.评标工作由采购代理机构负责组织，并履行下列职责：</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（1）核对评审专家身份和采购人代表授权函，对评审专家在政府采购活动中的职责履行情况予以记录，并及时将有关违法违规行为向财政部门报告；</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（2）宣布评标纪律；</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（3）公布投标人名单，告知评审专家应当回避的情形；</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（4）组织评标委员会推选评标组长（采购人代表不得担任组长）；</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（5）在评标期间采取必要的通讯管理措施，保证评标活动不受外界干扰；</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（6）根据评标委员会的要求介绍政府采购相关政策法规、招标文件；</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（8）核对评标结果，对有《</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"http://www.caigou2003.com/" \o "http://www.caigou2003.com/"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lang w:eastAsia="zh-CN"/>
        </w:rPr>
        <w:t xml:space="preserve">政府采购</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货物和服务招标投标管理办法》第六十四条规定情形的，应要求评标委员会复核或者书面说明理由，评标委员会拒绝的，应予记录并向本级财政部门报告；</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（9）评审工作完成后，按照规定向评审专家支付劳务报酬和异地评审差旅费，不得向评审专家以外的其他人员支付评审劳务报酬； </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（10）处理与评标有关的其他事项。</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2.评标委员会负责具体评标事务，并独立履行下列职责：</w:t>
      </w:r>
      <w:r/>
    </w:p>
    <w:p>
      <w:pPr>
        <w:ind w:firstLine="45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（1）审查、评价投标文件是否符合招标文件的商务、技术等实质性要求；</w:t>
      </w:r>
      <w:r/>
    </w:p>
    <w:p>
      <w:pPr>
        <w:ind w:firstLine="45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（2）要求投标人对投标文件有关事项作出澄清或者说明；</w:t>
      </w:r>
      <w:r/>
    </w:p>
    <w:p>
      <w:pPr>
        <w:ind w:firstLine="45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（3）对投标文件进行比较和评价；</w:t>
      </w:r>
      <w:r/>
    </w:p>
    <w:p>
      <w:pPr>
        <w:ind w:firstLine="45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（4）确定中标候选人名单，以及根据采购人委托直接确定中标人；</w:t>
      </w:r>
      <w:r/>
    </w:p>
    <w:p>
      <w:pPr>
        <w:ind w:firstLine="45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（5）向采购人、采购代理机构或有关部门报告评标中发现的违法行为。</w:t>
      </w:r>
      <w:r/>
    </w:p>
    <w:p>
      <w:pPr>
        <w:ind w:firstLine="45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（二十七）评标方法分为最低评标价法和综合评分法。</w:t>
      </w:r>
      <w:r/>
    </w:p>
    <w:p>
      <w:pPr>
        <w:ind w:firstLine="45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（二十八）评标</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1.评标工作程序：</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（1）投标文件初审。</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①资格性审查。</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②符合性审查。</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（2）澄清有关问题。</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（3）比较与评价。</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（4）推荐中标候选供应商名单。</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（5）编写评审报告（评标报告）。</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2.在评标中，不得改变招标文件中规定的评标标准、方法和中标条件。评标委员会对投标文件响应性的判定，要基于投标文件本身的内容，而不得寻求外部的证据。</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3.采用</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"http://lilun.caigou2003.com/recijiedu/2365668.html" \o "http://lilun.caigou2003.com/recijiedu/2365668.html" </w:instrText>
      </w:r>
      <w:r>
        <w:rPr>
          <w:rFonts w:hint="eastAsia" w:ascii="宋体" w:hAnsi="宋体" w:eastAsia="宋体" w:cs="宋体"/>
          <w:color w:val="auto"/>
          <w:highlight w:val="none"/>
        </w:rPr>
        <w:fldChar w:fldCharType="separate"/>
      </w:r>
      <w:r>
        <w:rPr>
          <w:rStyle w:val="851"/>
          <w:rFonts w:hint="eastAsia" w:ascii="宋体" w:hAnsi="宋体" w:eastAsia="宋体" w:cs="宋体"/>
          <w:color w:val="auto"/>
          <w:sz w:val="24"/>
          <w:szCs w:val="24"/>
          <w:highlight w:val="none"/>
          <w:u w:val="none"/>
          <w:lang w:eastAsia="zh-CN"/>
        </w:rPr>
        <w:t xml:space="preserve">最低评标价法</w:t>
      </w:r>
      <w:r>
        <w:rPr>
          <w:rStyle w:val="851"/>
          <w:rFonts w:hint="eastAsia" w:ascii="宋体" w:hAnsi="宋体" w:eastAsia="宋体" w:cs="宋体"/>
          <w:color w:val="auto"/>
          <w:sz w:val="24"/>
          <w:szCs w:val="24"/>
          <w:highlight w:val="none"/>
          <w:u w:val="none"/>
          <w:lang w:eastAsia="zh-CN"/>
        </w:rPr>
        <w:fldChar w:fldCharType="end"/>
      </w:r>
      <w:r>
        <w:rPr>
          <w:rFonts w:hint="eastAsia" w:ascii="宋体" w:hAnsi="宋体" w:eastAsia="宋体" w:cs="宋体"/>
          <w:color w:val="auto"/>
          <w:sz w:val="24"/>
          <w:szCs w:val="24"/>
          <w:highlight w:val="none"/>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1"/>
        <w:jc w:val="both"/>
        <w:keepLines w:val="0"/>
        <w:keepNext w:val="0"/>
        <w:pageBreakBefore w:val="0"/>
        <w:spacing w:after="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采用</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"http://lilun.caigou2003.com/recijiedu/2365667.html" \o "http://lilun.caigou2003.com/recijiedu/2365667.html" </w:instrText>
      </w:r>
      <w:r>
        <w:rPr>
          <w:rFonts w:hint="eastAsia" w:ascii="宋体" w:hAnsi="宋体" w:eastAsia="宋体" w:cs="宋体"/>
          <w:color w:val="auto"/>
          <w:highlight w:val="none"/>
        </w:rPr>
        <w:fldChar w:fldCharType="separate"/>
      </w:r>
      <w:r>
        <w:rPr>
          <w:rStyle w:val="851"/>
          <w:rFonts w:hint="eastAsia" w:ascii="宋体" w:hAnsi="宋体" w:eastAsia="宋体" w:cs="宋体"/>
          <w:color w:val="auto"/>
          <w:sz w:val="24"/>
          <w:szCs w:val="24"/>
          <w:highlight w:val="none"/>
          <w:u w:val="none"/>
          <w:lang w:eastAsia="zh-CN"/>
        </w:rPr>
        <w:t xml:space="preserve">综合评分法</w:t>
      </w:r>
      <w:r>
        <w:rPr>
          <w:rStyle w:val="851"/>
          <w:rFonts w:hint="eastAsia" w:ascii="宋体" w:hAnsi="宋体" w:eastAsia="宋体" w:cs="宋体"/>
          <w:color w:val="auto"/>
          <w:sz w:val="24"/>
          <w:szCs w:val="24"/>
          <w:highlight w:val="none"/>
          <w:u w:val="none"/>
          <w:lang w:eastAsia="zh-CN"/>
        </w:rPr>
        <w:fldChar w:fldCharType="end"/>
      </w:r>
      <w:r>
        <w:rPr>
          <w:rFonts w:hint="eastAsia" w:ascii="宋体" w:hAnsi="宋体" w:eastAsia="宋体" w:cs="宋体"/>
          <w:color w:val="auto"/>
          <w:sz w:val="24"/>
          <w:szCs w:val="24"/>
          <w:highlight w:val="none"/>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非单一产品采购项目，多家投标人提供的核心产品品牌相同的，按前两款规定处理。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（二十九）投标文件报价出现前后不一致的，按照下列规定修正：</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1.投标文件中开标一览表（报价表）内容与投标文件中相应内容不一致的，以开标一览表（报价表）为准；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2.大写金额和小写金额不一致的，以大写金额为准；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3.单价金额小数点或者百分比有明显错位的，以开标一览表的总价为准，并修改单价；</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4.总价金额与按单价合计金额不一致的，以单价金额计算结果为准。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评标中需要投标人对投标文件澄清或者说明的，应当通过“苏采云”系统交换数据电文。在评标期间，请投标人保持在线。</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评审过程中出现下列情形之一的，评审委员会应当启动异常低价投标（响应）审查程序：</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1．投标（响应）报价低于采购项目预算50%的，即投标（响应）报价＜采购项目预算×50%；</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2．投标（响应）报价低于采购项目最高限价45％的，即投标（响应）报价＜采购项目最高限价×45%；</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3．评审委员会认定的供应商报价过低、有可能影响产品质量或者不能诚信履约的其他情形。</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启动异常低价投标审查后，评标委员会应当要求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标报告中进行记录。</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（三十二）废标条款：</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出现下列情形之一的，应予废标。</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1.符合专业条件的供应商或者对招标文件作实质响应的供应商不足三家的；</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2.出现影响采购公正的违法、违规行为的；</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3.投标人的报价均超过了采购预算，采购人不能支付的；</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4.因重大变故，采购任务取消的。</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eastAsia="zh-CN"/>
        </w:rPr>
        <w:t xml:space="preserve">六、定标</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（三十三）采购代理机构应当在评标结束后2个工作日内将评标报告送采购人。</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（三十四）采购人应当自收到评标报告之日起5个工作日内，在评标报告确定的中标候选人名单中按顺序确定中标人。</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（三十五）签订合同前，中标人必须向采购人提交其投标文件中所有扫描件的原件，采购人核查无误后，签订合同。如中标人不能在采购人规定的时间内向采购人提供原件，将被采购人视为放弃中标资格。</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eastAsia="zh-CN"/>
        </w:rPr>
        <w:t xml:space="preserve">七、政府采购合同</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（三十六）签订政府采购合同（合同签订方式）：</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采购人不得向中标人提出任何不合理的要求作为签订合同的条件。</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对依法必须进行招标的项目的中标人，由有关行政监督部门责令改正。</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（三十七）采购人与中标人应当根据合同的约定依法履行合同义务。政府采购合同的履行、违约责任和解决争议的方法等，按《中华人民共和国民法典》相关条款执行。</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（三十八）履约保证金：</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1.中标人应在签订采购合同前，向采购人提交本文件第三章《投标资料表》中规定金额的履约保证金。</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800"/>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lang w:eastAsia="zh-CN"/>
        </w:rPr>
        <w:t xml:space="preserve">3.履约保证金退还：</w:t>
      </w:r>
      <w:r>
        <w:rPr>
          <w:rFonts w:hint="eastAsia" w:ascii="宋体" w:hAnsi="宋体" w:eastAsia="宋体" w:cs="宋体"/>
          <w:color w:val="auto"/>
          <w:sz w:val="24"/>
          <w:highlight w:val="none"/>
          <w:lang w:eastAsia="zh-CN"/>
        </w:rPr>
        <w:t xml:space="preserve">质保期满后，结算违约赔偿（如有）后7个工作日内无息退还给卖方；卖方需出具买方提供的《验收书》，如未提供，履约保证金不予退还。</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（三十九）腐败和欺诈行为：</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1.采购代理机构、采购人、投标人等参与招投标的各方，均应在招标、采购、合同执行等过程中保持廉洁和最高的道德水准。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（1）腐败和欺诈行为的含义：</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②“欺诈行为”系指为了影响招标、采购和合同执行等过程，隐瞒事实真相，给买方、卖方、采购代理机构及他人造成损害的行为，其中包括投标人之间的串通行为。</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（2）如果被推荐的中标人有腐败和欺诈行为，将取消其中标资格。</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（3）如果投标人在任何时候，被法院及政府有关管理部门认定为有腐败和欺诈行为，采购代理机构有权拒绝其投标、取消其中标资格和撤销其已签署的合同。</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eastAsia="zh-CN"/>
        </w:rPr>
        <w:t xml:space="preserve">八、询问和质疑</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szCs w:val="24"/>
          <w:highlight w:val="none"/>
          <w:lang w:eastAsia="zh-CN"/>
        </w:rPr>
        <w:t xml:space="preserve">（四十）询问和质疑</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eastAsia="zh-CN"/>
        </w:rPr>
        <w:t xml:space="preserve">九、电子招标投标交易平台</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（四十一）电子招标投标交易平台（即“苏采云”系统，网址: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\o "http://jszfcg.jsczt.cn/"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lang w:eastAsia="zh-CN"/>
        </w:rPr>
        <w:t xml:space="preserve">http://jszfcg.jsczt.cn/</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）相关要求是本招标文件的组成部分。</w:t>
      </w:r>
      <w:r/>
    </w:p>
    <w:p>
      <w:pP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br w:type="page" w:clear="all"/>
      </w:r>
      <w:r/>
    </w:p>
    <w:p>
      <w:pPr>
        <w:ind w:firstLine="600"/>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t xml:space="preserve">第三章   投标资料表</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该资料表的条款项号是与《投标人须知》的条款项号相对应的，若有增加的条款，是对《投标人须知》的补充、修改和完善，如果因此而造成矛盾时，应以本资料表为准。</w:t>
      </w:r>
      <w:r/>
    </w:p>
    <w:tbl>
      <w:tblPr>
        <w:tblStyle w:val="848"/>
        <w:tblW w:w="5126"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6"/>
        <w:gridCol w:w="752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条款项号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内</w:t>
            </w:r>
            <w:r>
              <w:rPr>
                <w:rFonts w:hint="eastAsia" w:ascii="宋体" w:hAnsi="宋体" w:eastAsia="宋体" w:cs="宋体"/>
                <w:b/>
                <w:color w:val="auto"/>
                <w:sz w:val="24"/>
                <w:szCs w:val="24"/>
                <w:highlight w:val="none"/>
                <w:lang w:eastAsia="zh-CN"/>
              </w:rPr>
              <w:t xml:space="preserve">      </w:t>
            </w:r>
            <w:r>
              <w:rPr>
                <w:rFonts w:hint="eastAsia" w:ascii="宋体" w:hAnsi="宋体" w:eastAsia="宋体" w:cs="宋体"/>
                <w:b/>
                <w:color w:val="auto"/>
                <w:sz w:val="24"/>
                <w:szCs w:val="24"/>
                <w:highlight w:val="none"/>
              </w:rPr>
              <w:t xml:space="preserve">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本项目采购人：沛县教育局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本次采购采用的政府采购方式：公开招标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采购人确定的采购项目属性：货物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本项目采购代理机构：江苏华徐项目管理有限公司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投标人的资格条件：</w:t>
            </w:r>
            <w:r/>
          </w:p>
          <w:p>
            <w:pPr>
              <w:numPr>
                <w:ilvl w:val="0"/>
                <w:numId w:val="0"/>
              </w:num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val="en-US" w:eastAsia="zh-CN" w:bidi="ar-SA"/>
              </w:rPr>
              <w:t xml:space="preserve">一、</w:t>
            </w:r>
            <w:r>
              <w:rPr>
                <w:rFonts w:hint="eastAsia" w:ascii="宋体" w:hAnsi="宋体" w:eastAsia="宋体" w:cs="宋体"/>
                <w:color w:val="auto"/>
                <w:sz w:val="24"/>
                <w:szCs w:val="24"/>
                <w:highlight w:val="none"/>
                <w:lang w:eastAsia="zh-CN"/>
              </w:rPr>
              <w:t xml:space="preserve">符合《中华人民共和国政府采购法》第二十二条的规定：</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val="en-US" w:eastAsia="zh-CN" w:bidi="ar-SA"/>
              </w:rPr>
              <w:t xml:space="preserve">二、</w:t>
            </w:r>
            <w:r>
              <w:rPr>
                <w:rFonts w:hint="eastAsia" w:ascii="宋体" w:hAnsi="宋体" w:eastAsia="宋体" w:cs="宋体"/>
                <w:color w:val="auto"/>
                <w:sz w:val="24"/>
                <w:szCs w:val="24"/>
                <w:highlight w:val="none"/>
                <w:lang w:eastAsia="zh-CN"/>
              </w:rPr>
              <w:t xml:space="preserve">此项目不属于专门面向中小微企业采购的项目。</w:t>
            </w:r>
            <w:r/>
          </w:p>
          <w:p>
            <w:pPr>
              <w:pStyle w:val="834"/>
              <w:rPr>
                <w:rFonts w:hint="default"/>
                <w:lang w:val="en-US" w:eastAsia="zh-CN"/>
              </w:rPr>
            </w:pPr>
            <w:r>
              <w:rPr>
                <w:rFonts w:hint="eastAsia" w:ascii="宋体" w:hAnsi="宋体" w:eastAsia="宋体" w:cs="宋体"/>
                <w:color w:val="auto"/>
                <w:sz w:val="24"/>
                <w:szCs w:val="24"/>
                <w:highlight w:val="none"/>
                <w:lang w:val="en-US" w:eastAsia="zh-CN"/>
              </w:rPr>
              <w:t xml:space="preserve">三、本项目的特定资格要求：无。</w:t>
            </w:r>
            <w:r/>
          </w:p>
          <w:p>
            <w:pPr>
              <w:keepLines w:val="0"/>
              <w:keepNext w:val="0"/>
              <w:pageBreakBefore w:val="0"/>
              <w:spacing w:after="0"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同时明确相关事项如下：</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1、本项目不接受联合体参与采购活动。</w:t>
            </w:r>
            <w:r/>
          </w:p>
          <w:p>
            <w:pPr>
              <w:ind w:right="-172"/>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2、单位负责人为同一人或者存在直接控股、管理关系的不同供应商，不得参加同一合同项下的政府采购活动。</w:t>
            </w:r>
            <w:r/>
          </w:p>
          <w:p>
            <w:pPr>
              <w:ind w:right="-132"/>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3、为本采购项目提供监理、检测等服务的供应商，不得再参加本采购项目的采购活动。</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4、查询及使用供应商信用记录：</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(一)由采购人查询信用信息。</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(二)查询渠道包括：</w:t>
            </w:r>
            <w:r/>
          </w:p>
          <w:p>
            <w:pPr>
              <w:ind w:right="-97"/>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1.“信用中国”网（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\o "http://www.creditchina.gov.cn/" </w:instrText>
            </w:r>
            <w:r>
              <w:rPr>
                <w:rFonts w:hint="eastAsia" w:ascii="宋体" w:hAnsi="宋体" w:eastAsia="宋体" w:cs="宋体"/>
                <w:color w:val="auto"/>
                <w:highlight w:val="none"/>
              </w:rPr>
              <w:fldChar w:fldCharType="separate"/>
            </w:r>
            <w:r>
              <w:rPr>
                <w:rStyle w:val="851"/>
                <w:rFonts w:hint="eastAsia" w:ascii="宋体" w:hAnsi="宋体" w:eastAsia="宋体" w:cs="宋体"/>
                <w:color w:val="auto"/>
                <w:sz w:val="24"/>
                <w:szCs w:val="24"/>
                <w:highlight w:val="none"/>
                <w:u w:val="none"/>
              </w:rPr>
              <w:t xml:space="preserve">www.creditchina.gov.cn</w:t>
            </w:r>
            <w:r>
              <w:rPr>
                <w:rStyle w:val="851"/>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"http://www.ccgp.gov.cn/" \o "http://www.ccgp.gov.cn/" </w:instrText>
            </w:r>
            <w:r>
              <w:rPr>
                <w:rFonts w:hint="eastAsia" w:ascii="宋体" w:hAnsi="宋体" w:eastAsia="宋体" w:cs="宋体"/>
                <w:color w:val="auto"/>
                <w:highlight w:val="none"/>
              </w:rPr>
              <w:fldChar w:fldCharType="separate"/>
            </w:r>
            <w:r>
              <w:rPr>
                <w:rStyle w:val="851"/>
                <w:rFonts w:hint="eastAsia" w:ascii="宋体" w:hAnsi="宋体" w:eastAsia="宋体" w:cs="宋体"/>
                <w:color w:val="auto"/>
                <w:sz w:val="24"/>
                <w:szCs w:val="24"/>
                <w:highlight w:val="none"/>
                <w:u w:val="none"/>
              </w:rPr>
              <w:t xml:space="preserve">www.ccgp.gov.cn</w:t>
            </w:r>
            <w:r>
              <w:rPr>
                <w:rStyle w:val="851"/>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3.“信用江苏”网（http://credit.jiangsu.gov.cn/）；</w:t>
            </w:r>
            <w:r/>
          </w:p>
          <w:p>
            <w:pPr>
              <w:ind w:right="-97"/>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信用中国（江苏徐州）</w:t>
            </w:r>
            <w:r>
              <w:rPr>
                <w:rFonts w:hint="eastAsia" w:ascii="宋体" w:hAnsi="宋体" w:eastAsia="宋体" w:cs="宋体"/>
                <w:color w:val="auto"/>
                <w:sz w:val="24"/>
                <w:szCs w:val="24"/>
                <w:highlight w:val="none"/>
                <w:lang w:eastAsia="zh-CN"/>
              </w:rPr>
              <w:t xml:space="preserve">”网（https://www.xuzhoucredit.gov.cn/）；</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(三)截止时点（查询环节）：资格审查结束前。</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(四)信用信息查询记录和证据留存的具体方式：网页截屏打印，与其他采购文件一并保存。</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(五)信用信息的使用规则：</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招标代理服务费由中标人在领取中标通知书前支付，标准按照《附件1：徐州市政府采购业务代理服务费行业指导价格标准》（见附件）。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不安排现场考察。</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不安排开标前答疑会。</w:t>
            </w:r>
            <w:r/>
          </w:p>
        </w:tc>
      </w:tr>
      <w:t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投标文件的语言为中文。</w:t>
            </w:r>
            <w:r/>
          </w:p>
        </w:tc>
      </w:tr>
      <w:tr>
        <w:trPr>
          <w:trHeight w:val="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(十二)1</w:t>
            </w:r>
            <w:r/>
          </w:p>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(十二)2</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投标文件编制要求：</w:t>
            </w:r>
            <w:r/>
          </w:p>
          <w:p>
            <w:pPr>
              <w:jc w:val="both"/>
              <w:keepLines w:val="0"/>
              <w:keepNext w:val="0"/>
              <w:pageBreakBefore w:val="0"/>
              <w:spacing w:after="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请按照以下要求（包括但不限于以下要求）制作：</w:t>
            </w:r>
            <w:r/>
          </w:p>
          <w:p>
            <w:pPr>
              <w:numPr>
                <w:ilvl w:val="0"/>
                <w:numId w:val="0"/>
              </w:numPr>
              <w:jc w:val="both"/>
              <w:keepLines w:val="0"/>
              <w:keepNext w:val="0"/>
              <w:pageBreakBefore w:val="0"/>
              <w:spacing w:after="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bidi="ar-SA"/>
              </w:rPr>
              <w:t xml:space="preserve">1、</w:t>
            </w:r>
            <w:r>
              <w:rPr>
                <w:rFonts w:hint="eastAsia" w:ascii="宋体" w:hAnsi="宋体" w:eastAsia="宋体" w:cs="宋体"/>
                <w:b/>
                <w:bCs/>
                <w:color w:val="auto"/>
                <w:sz w:val="24"/>
                <w:szCs w:val="24"/>
                <w:highlight w:val="none"/>
                <w:lang w:eastAsia="zh-CN"/>
              </w:rPr>
              <w:t xml:space="preserve">《开标一览表》（加盖电子签章，</w:t>
            </w:r>
            <w:r>
              <w:rPr>
                <w:rFonts w:hint="eastAsia" w:ascii="宋体" w:hAnsi="宋体" w:eastAsia="宋体" w:cs="宋体"/>
                <w:color w:val="auto"/>
                <w:sz w:val="24"/>
                <w:szCs w:val="24"/>
                <w:highlight w:val="none"/>
                <w:lang w:eastAsia="zh-CN"/>
              </w:rPr>
              <w:t xml:space="preserve">政府采购客户端工具输入报价自动生成）；</w:t>
            </w:r>
            <w:r/>
          </w:p>
          <w:p>
            <w:pPr>
              <w:keepLines w:val="0"/>
              <w:keepNext w:val="0"/>
              <w:pageBreakBefore w:val="0"/>
              <w:spacing w:after="0" w:line="360" w:lineRule="auto"/>
              <w:widowControl/>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2、所投产品的环境标志产品认证证书原件的扫描件（如有）。</w:t>
            </w:r>
            <w:r/>
          </w:p>
          <w:p>
            <w:pPr>
              <w:keepLines w:val="0"/>
              <w:keepNext w:val="0"/>
              <w:pageBreakBefore w:val="0"/>
              <w:spacing w:after="0" w:line="360" w:lineRule="auto"/>
              <w:widowControl/>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注：</w:t>
            </w:r>
            <w:r/>
          </w:p>
          <w:p>
            <w:pPr>
              <w:keepLines w:val="0"/>
              <w:keepNext w:val="0"/>
              <w:pageBreakBefore w:val="0"/>
              <w:spacing w:after="0" w:line="360" w:lineRule="auto"/>
              <w:widowControl/>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keepLines w:val="0"/>
              <w:keepNext w:val="0"/>
              <w:pageBreakBefore w:val="0"/>
              <w:spacing w:after="0" w:line="360" w:lineRule="auto"/>
              <w:widowControl/>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（2）环境标志产品认证证书是否符合要求，采购人评标时查询中国政府采购网（www.ccgp.gov.cn）相关内容后确定。</w:t>
            </w:r>
            <w:r/>
          </w:p>
          <w:p>
            <w:pPr>
              <w:keepLines w:val="0"/>
              <w:keepNext w:val="0"/>
              <w:pageBreakBefore w:val="0"/>
              <w:spacing w:after="0" w:line="360" w:lineRule="auto"/>
              <w:widowControl/>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3、所投产品的节能产品认证证书原件的扫描件（如有）。</w:t>
            </w:r>
            <w:r/>
          </w:p>
          <w:p>
            <w:pPr>
              <w:keepLines w:val="0"/>
              <w:keepNext w:val="0"/>
              <w:pageBreakBefore w:val="0"/>
              <w:spacing w:after="0" w:line="360" w:lineRule="auto"/>
              <w:widowControl/>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注：</w:t>
            </w:r>
            <w:r/>
          </w:p>
          <w:p>
            <w:pPr>
              <w:keepLines w:val="0"/>
              <w:keepNext w:val="0"/>
              <w:pageBreakBefore w:val="0"/>
              <w:spacing w:after="0" w:line="360" w:lineRule="auto"/>
              <w:widowControl/>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keepLines w:val="0"/>
              <w:keepNext w:val="0"/>
              <w:pageBreakBefore w:val="0"/>
              <w:spacing w:after="0" w:line="360" w:lineRule="auto"/>
              <w:widowControl/>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（2）节能产品认证证书是否符合要求，采购人评标时查询中国政府采购网（www.ccgp.gov.cn）相关内容后确定。</w:t>
            </w:r>
            <w:r/>
          </w:p>
          <w:p>
            <w:pPr>
              <w:keepLines w:val="0"/>
              <w:keepNext w:val="0"/>
              <w:pageBreakBefore w:val="0"/>
              <w:spacing w:after="0" w:line="360" w:lineRule="auto"/>
              <w:widowControl/>
              <w:rPr>
                <w:rFonts w:hint="eastAsia" w:ascii="宋体" w:hAnsi="宋体" w:eastAsia="宋体" w:cs="宋体"/>
                <w:b w:val="0"/>
                <w:bCs w:val="0"/>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4、投标人认为需要提供的其他资料（如有）</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lang w:eastAsia="zh-CN"/>
              </w:rPr>
              <w:t xml:space="preserve">、资格条件（必须提供，否则投标无效）</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highlight w:val="none"/>
                <w:lang w:eastAsia="zh-CN"/>
              </w:rPr>
              <w:t xml:space="preserve"> </w:t>
            </w:r>
            <w:r>
              <w:rPr>
                <w:rFonts w:hint="eastAsia" w:ascii="宋体" w:hAnsi="宋体" w:eastAsia="宋体" w:cs="宋体"/>
                <w:color w:val="auto"/>
                <w:sz w:val="24"/>
                <w:szCs w:val="24"/>
                <w:highlight w:val="none"/>
                <w:lang w:eastAsia="zh-CN"/>
              </w:rPr>
              <w:t xml:space="preserve">投标人合法有效的法人或者其他组织的营业执照等证明文件，自然人的身份证明。以上证明文件提供原件的扫描件。</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highlight w:val="none"/>
                <w:lang w:eastAsia="zh-CN"/>
              </w:rPr>
              <w:t xml:space="preserve"> </w:t>
            </w:r>
            <w:r>
              <w:rPr>
                <w:rFonts w:hint="eastAsia" w:ascii="宋体" w:hAnsi="宋体" w:eastAsia="宋体" w:cs="宋体"/>
                <w:color w:val="auto"/>
                <w:sz w:val="24"/>
                <w:szCs w:val="24"/>
                <w:highlight w:val="none"/>
                <w:lang w:eastAsia="zh-CN"/>
              </w:rPr>
              <w:t xml:space="preserve">财务状况报告（即提供投标人的本项目开标时间前6个月内（不含开标当月）任何1月的资产负债表、利润表各扫描件一份；或提供投标人202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年度经审计的财务报告扫描件一份；或投标人的本项目开标时间前6个月内（不含开标当月）银行出具的资信证明扫描件一份）；</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投标人的“首次投标文件提交的截止时间”前6个月内（不含开标当月）任何1月的依法缴纳税收和社会保障资金的相关材料的扫描件（依法免税或不需要缴纳社会保障资金的供应商,应提供相应文件证明其依法免税或不需要缴纳社会保障资金)。</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Cs w:val="24"/>
                <w:highlight w:val="none"/>
                <w:lang w:eastAsia="zh-CN"/>
              </w:rPr>
              <w:t xml:space="preserve"> </w:t>
            </w:r>
            <w:r>
              <w:rPr>
                <w:rFonts w:hint="eastAsia" w:ascii="宋体" w:hAnsi="宋体" w:eastAsia="宋体" w:cs="宋体"/>
                <w:color w:val="auto"/>
                <w:sz w:val="24"/>
                <w:szCs w:val="24"/>
                <w:highlight w:val="none"/>
                <w:lang w:eastAsia="zh-CN"/>
              </w:rPr>
              <w:t xml:space="preserve">具备履行合同所必需的设备和专业技术能力的证明材料（投标文件中提供《具备履行合同所必需的设备和专业技术能力的书面声明（附证明材料扫描件）》，加盖电子签章，格式见招标文件第七章《投标文件相关格式》）</w:t>
            </w:r>
            <w:r>
              <w:rPr>
                <w:rFonts w:hint="eastAsia" w:ascii="宋体" w:hAnsi="宋体" w:eastAsia="宋体" w:cs="宋体"/>
                <w:b w:val="0"/>
                <w:bCs w:val="0"/>
                <w:color w:val="auto"/>
                <w:sz w:val="24"/>
                <w:szCs w:val="24"/>
                <w:highlight w:val="none"/>
                <w:lang w:eastAsia="zh-CN"/>
              </w:rPr>
              <w:t xml:space="preserve">；</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5.投标人参加政府采购活动前3年内在经营活动中没有重大违法记录的书面声明（加盖电子签章，格式见招标文件第七章《投标文件相关格式》）；</w:t>
            </w:r>
            <w:r/>
          </w:p>
          <w:p>
            <w:pPr>
              <w:pStyle w:val="803"/>
              <w:ind w:left="0" w:firstLine="0"/>
              <w:keepLines w:val="0"/>
              <w:keepNext w:val="0"/>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eastAsia="宋体" w:cs="宋体"/>
                <w:color w:val="auto"/>
                <w:highlight w:val="none"/>
                <w:lang w:val="en-US" w:eastAsia="zh-CN"/>
              </w:rPr>
              <w:t xml:space="preserve">6</w:t>
            </w:r>
            <w:r>
              <w:rPr>
                <w:rFonts w:hint="eastAsia" w:ascii="宋体" w:hAnsi="宋体" w:eastAsia="宋体" w:cs="宋体"/>
                <w:color w:val="auto"/>
                <w:highlight w:val="none"/>
              </w:rPr>
              <w:t xml:space="preserve">、投标人信用信息（要求见“六、投标人的资格条件”中“4、查询及使用供应商信用记录”内容）。</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eastAsia="zh-CN"/>
              </w:rPr>
              <w:t xml:space="preserve">、符合条件（必须提供，否则投标无效）</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（一）报价</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eastAsia="宋体" w:cs="宋体"/>
                <w:b/>
                <w:bCs/>
                <w:color w:val="auto"/>
                <w:sz w:val="24"/>
                <w:szCs w:val="24"/>
                <w:highlight w:val="none"/>
                <w:lang w:eastAsia="zh-CN"/>
              </w:rPr>
              <w:t xml:space="preserve">（加盖电子签章，</w:t>
            </w:r>
            <w:r>
              <w:rPr>
                <w:rFonts w:hint="eastAsia" w:ascii="宋体" w:hAnsi="宋体" w:eastAsia="宋体" w:cs="宋体"/>
                <w:color w:val="auto"/>
                <w:sz w:val="24"/>
                <w:szCs w:val="24"/>
                <w:highlight w:val="none"/>
                <w:lang w:eastAsia="zh-CN"/>
              </w:rPr>
              <w:t xml:space="preserve">政府采购客户端工具输入报价自动生成）</w:t>
            </w:r>
            <w:r>
              <w:rPr>
                <w:rFonts w:hint="eastAsia" w:ascii="宋体" w:hAnsi="宋体" w:cs="宋体"/>
                <w:color w:val="auto"/>
                <w:sz w:val="24"/>
                <w:szCs w:val="24"/>
              </w:rPr>
              <w:t xml:space="preserve">。</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、《分项价格表》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加盖电子签章</w:t>
            </w:r>
            <w:r>
              <w:rPr>
                <w:rFonts w:hint="eastAsia" w:ascii="宋体" w:hAnsi="宋体" w:eastAsia="宋体" w:cs="宋体"/>
                <w:color w:val="auto"/>
                <w:sz w:val="24"/>
                <w:szCs w:val="24"/>
                <w:highlight w:val="none"/>
                <w:lang w:eastAsia="zh-CN"/>
              </w:rPr>
              <w:t xml:space="preserve">，格式见招标文件第七章《投标文件相关格式》）。</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（二）商务资信</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1、《投标函》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加盖电子签章</w:t>
            </w:r>
            <w:r>
              <w:rPr>
                <w:rFonts w:hint="eastAsia" w:ascii="宋体" w:hAnsi="宋体" w:eastAsia="宋体" w:cs="宋体"/>
                <w:color w:val="auto"/>
                <w:sz w:val="24"/>
                <w:szCs w:val="24"/>
                <w:highlight w:val="none"/>
                <w:lang w:eastAsia="zh-CN"/>
              </w:rPr>
              <w:t xml:space="preserve">，格式见招标文件第七章《投标文件相关格式》）；</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2、《授权委托书》（提供原件的扫描件，</w:t>
            </w:r>
            <w:r>
              <w:rPr>
                <w:rFonts w:hint="eastAsia" w:ascii="宋体" w:hAnsi="宋体" w:eastAsia="宋体" w:cs="宋体"/>
                <w:color w:val="auto"/>
                <w:sz w:val="24"/>
                <w:szCs w:val="24"/>
                <w:highlight w:val="none"/>
                <w:lang w:eastAsia="zh-CN"/>
              </w:rPr>
              <w:t xml:space="preserve">格式见招标文件第七章《投标文件相关格式》）。</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（三）技术响应</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1、《偏离表》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加盖电子签章</w:t>
            </w:r>
            <w:r>
              <w:rPr>
                <w:rFonts w:hint="eastAsia" w:ascii="宋体" w:hAnsi="宋体" w:eastAsia="宋体" w:cs="宋体"/>
                <w:color w:val="auto"/>
                <w:sz w:val="24"/>
                <w:szCs w:val="24"/>
                <w:highlight w:val="none"/>
                <w:lang w:eastAsia="zh-CN"/>
              </w:rPr>
              <w:t xml:space="preserve">，格式见招标文件第七章《投标文件相关格式》。）</w:t>
            </w:r>
            <w:r/>
          </w:p>
          <w:p>
            <w:pPr>
              <w:jc w:val="both"/>
              <w:keepLines w:val="0"/>
              <w:keepNext w:val="0"/>
              <w:pageBreakBefore w:val="0"/>
              <w:spacing w:after="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lang w:eastAsia="zh-CN"/>
              </w:rPr>
              <w:t xml:space="preserve">、综合评审评分项</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具体详见招标文件第四章《评标标准》中《评分细则》和第六章《采购需求》。</w:t>
            </w:r>
            <w:r/>
          </w:p>
          <w:p>
            <w:pPr>
              <w:numPr>
                <w:ilvl w:val="0"/>
                <w:numId w:val="2"/>
              </w:numPr>
              <w:jc w:val="both"/>
              <w:keepLines w:val="0"/>
              <w:keepNext w:val="0"/>
              <w:pageBreakBefore w:val="0"/>
              <w:spacing w:after="0" w:line="360" w:lineRule="auto"/>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其他部分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一</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w:t>
            </w:r>
            <w:r>
              <w:rPr>
                <w:rFonts w:hint="eastAsia" w:ascii="宋体" w:hAnsi="宋体" w:eastAsia="宋体" w:cs="宋体"/>
                <w:b/>
                <w:bCs/>
                <w:color w:val="auto"/>
                <w:sz w:val="24"/>
                <w:szCs w:val="24"/>
                <w:highlight w:val="none"/>
              </w:rPr>
              <w:t xml:space="preserve">如不填写完整或未按要求填写的，视为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23"/>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23"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Theme="minorEastAsia" w:hAnsiTheme="minorEastAsia" w:eastAsiaTheme="minorEastAsia" w:cstheme="minorEastAsia"/>
                <w:b/>
                <w:bCs w:val="0"/>
                <w:color w:val="auto"/>
                <w:sz w:val="24"/>
                <w:szCs w:val="24"/>
              </w:rPr>
            </w:pPr>
            <w:r>
              <w:rPr>
                <w:rFonts w:hint="eastAsia" w:asciiTheme="minorEastAsia" w:hAnsiTheme="minorEastAsia" w:eastAsiaTheme="minorEastAsia" w:cstheme="minorEastAsia"/>
                <w:b/>
                <w:bCs w:val="0"/>
                <w:color w:val="auto"/>
                <w:sz w:val="24"/>
                <w:szCs w:val="24"/>
              </w:rPr>
              <w:t xml:space="preserve">（二）企业报价折扣证明：</w:t>
            </w:r>
            <w:r/>
          </w:p>
          <w:p>
            <w:pPr>
              <w:jc w:val="both"/>
              <w:keepLines w:val="0"/>
              <w:keepNext w:val="0"/>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eastAsia="zh-CN"/>
              </w:rPr>
              <w:t xml:space="preserve">投标人提供的货物全部由符合政策要求的中小企业制造</w:t>
            </w:r>
            <w:r>
              <w:rPr>
                <w:rFonts w:hint="eastAsia" w:ascii="宋体" w:hAnsi="宋体" w:cs="宋体"/>
                <w:b w:val="0"/>
                <w:bCs w:val="0"/>
                <w:color w:val="auto"/>
                <w:sz w:val="24"/>
                <w:szCs w:val="24"/>
                <w:lang w:eastAsia="zh-CN"/>
              </w:rPr>
              <w:t xml:space="preserve">的</w:t>
            </w:r>
            <w:r>
              <w:rPr>
                <w:rFonts w:hint="eastAsia" w:ascii="宋体" w:hAnsi="宋体" w:eastAsia="宋体" w:cs="宋体"/>
                <w:b w:val="0"/>
                <w:bCs w:val="0"/>
                <w:color w:val="auto"/>
                <w:sz w:val="24"/>
                <w:szCs w:val="24"/>
                <w:highlight w:val="none"/>
                <w:lang w:eastAsia="zh-CN"/>
              </w:rPr>
              <w:t xml:space="preserve">，提供《中小企业声明函》（加盖电子签章，格式见招标文件第七章《投标文件相关格式》，</w:t>
            </w:r>
            <w:r>
              <w:rPr>
                <w:rFonts w:hint="eastAsia" w:ascii="宋体" w:hAnsi="宋体" w:eastAsia="宋体" w:cs="宋体"/>
                <w:b/>
                <w:bCs/>
                <w:color w:val="auto"/>
                <w:sz w:val="24"/>
                <w:szCs w:val="24"/>
                <w:highlight w:val="none"/>
                <w:lang w:val="en-US" w:eastAsia="zh-CN"/>
              </w:rPr>
              <w:t xml:space="preserve">非必须提供</w:t>
            </w:r>
            <w:r>
              <w:rPr>
                <w:rFonts w:hint="eastAsia" w:ascii="宋体" w:hAnsi="宋体" w:eastAsia="宋体" w:cs="宋体"/>
                <w:b w:val="0"/>
                <w:bCs w:val="0"/>
                <w:color w:val="auto"/>
                <w:sz w:val="24"/>
                <w:szCs w:val="24"/>
                <w:highlight w:val="none"/>
                <w:lang w:eastAsia="zh-CN"/>
              </w:rPr>
              <w:t xml:space="preserve">）。</w:t>
            </w:r>
            <w:r/>
          </w:p>
          <w:p>
            <w:pPr>
              <w:jc w:val="both"/>
              <w:keepLines w:val="0"/>
              <w:keepNext w:val="0"/>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注：具体以《政府采购促进中小企业发展管理办法》（财库[2020]46号）和《关于印发中小企业划型标准规定的通知》（工信部联企业[2011]300号）的规定为准。</w:t>
            </w:r>
            <w:r/>
          </w:p>
          <w:p>
            <w:pPr>
              <w:jc w:val="both"/>
              <w:keepLines w:val="0"/>
              <w:keepNext w:val="0"/>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监狱企业</w:t>
            </w:r>
            <w:r>
              <w:rPr>
                <w:rFonts w:hint="eastAsia" w:ascii="宋体" w:hAnsi="宋体" w:eastAsia="宋体" w:cs="宋体"/>
                <w:b w:val="0"/>
                <w:bCs w:val="0"/>
                <w:color w:val="auto"/>
                <w:sz w:val="24"/>
                <w:szCs w:val="24"/>
                <w:highlight w:val="none"/>
                <w:lang w:val="en-US" w:eastAsia="zh-CN"/>
              </w:rPr>
              <w:t xml:space="preserve">制造</w:t>
            </w:r>
            <w:r>
              <w:rPr>
                <w:rFonts w:hint="eastAsia" w:ascii="宋体" w:hAnsi="宋体" w:eastAsia="宋体" w:cs="宋体"/>
                <w:b w:val="0"/>
                <w:bCs w:val="0"/>
                <w:color w:val="auto"/>
                <w:sz w:val="24"/>
                <w:szCs w:val="24"/>
                <w:highlight w:val="none"/>
                <w:lang w:eastAsia="zh-CN"/>
              </w:rPr>
              <w:t xml:space="preserve">的，提供省级以上监狱管理局、戒毒管理局（含新疆生产建设兵团）出具的属于监狱企业的证明文件原件的扫描件。</w:t>
            </w:r>
            <w:r/>
          </w:p>
          <w:p>
            <w:pPr>
              <w:jc w:val="both"/>
              <w:keepLines w:val="0"/>
              <w:keepNext w:val="0"/>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注：</w:t>
            </w:r>
            <w:r>
              <w:rPr>
                <w:rFonts w:hint="eastAsia" w:ascii="宋体" w:hAnsi="宋体" w:eastAsia="宋体" w:cs="宋体"/>
                <w:b w:val="0"/>
                <w:bCs w:val="0"/>
                <w:color w:val="auto"/>
                <w:sz w:val="24"/>
                <w:szCs w:val="24"/>
                <w:highlight w:val="none"/>
                <w:lang w:eastAsia="zh-CN"/>
              </w:rPr>
              <w:t xml:space="preserve">具体以《财政部司法部关于政府采购支持监狱企业发展有关问题的通知》（财库〔2014〕68号）的规定为准。</w:t>
            </w:r>
            <w:r/>
          </w:p>
          <w:p>
            <w:pPr>
              <w:numPr>
                <w:ilvl w:val="0"/>
                <w:numId w:val="3"/>
              </w:numPr>
              <w:jc w:val="both"/>
              <w:keepLines w:val="0"/>
              <w:keepNext w:val="0"/>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享受政府采购支持政策的残疾人福利性单位的，提供《残疾人福利性单位声明函》（加盖电子签章，格式见招标文件第七章《投标文件相关格式》）。</w:t>
            </w:r>
            <w:r/>
          </w:p>
          <w:p>
            <w:pPr>
              <w:numPr>
                <w:ilvl w:val="0"/>
                <w:numId w:val="0"/>
              </w:numPr>
              <w:jc w:val="both"/>
              <w:keepLines w:val="0"/>
              <w:keepNext w:val="0"/>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享受政府采购支持政策的残疾人福利性单位应当同时满足以下条件：</w:t>
            </w:r>
            <w:r/>
          </w:p>
          <w:p>
            <w:pPr>
              <w:jc w:val="both"/>
              <w:keepLines w:val="0"/>
              <w:keepNext w:val="0"/>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①安置的残疾人占本单位在职职工人数的比例不低于25%（含25%），并且安置的残疾人人数不少于10人（含10人）；</w:t>
            </w:r>
            <w:r/>
          </w:p>
          <w:p>
            <w:pPr>
              <w:jc w:val="both"/>
              <w:keepLines w:val="0"/>
              <w:keepNext w:val="0"/>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②依法与安置的每位残疾人签订了一年以上（含一年）的劳动合同或服务协议；</w:t>
            </w:r>
            <w:r/>
          </w:p>
          <w:p>
            <w:pPr>
              <w:jc w:val="both"/>
              <w:keepLines w:val="0"/>
              <w:keepNext w:val="0"/>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③为安置的每位残疾人按月足额缴纳了基本养老保险、基本医疗保险、失业保险、工伤保险和生育保险等社会保险费；</w:t>
            </w:r>
            <w:r/>
          </w:p>
          <w:p>
            <w:pPr>
              <w:jc w:val="both"/>
              <w:keepLines w:val="0"/>
              <w:keepNext w:val="0"/>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④通过银行等金融机构向安置的每位残疾人，按月支付了不低于单位所在区县适用的经省级人民政府批准的月最低工资标准的工资；</w:t>
            </w:r>
            <w:r/>
          </w:p>
          <w:p>
            <w:pPr>
              <w:jc w:val="both"/>
              <w:keepLines w:val="0"/>
              <w:keepNext w:val="0"/>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⑤提供本单位制造的货物、承担的工程或者服务（以下简称产品），或者提供其他残疾人福利性单位制造的货物（不包括使用非残疾人福利性单位注册商标的货物）。</w:t>
            </w:r>
            <w:r/>
          </w:p>
          <w:p>
            <w:pPr>
              <w:jc w:val="both"/>
              <w:keepLines w:val="0"/>
              <w:keepNext w:val="0"/>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keepLines w:val="0"/>
              <w:keepNext w:val="0"/>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具体以《三部门联合发布关于促进残疾人就业政府采购政策的通知》（财库〔2017〕141号）规定为准。</w:t>
            </w:r>
            <w:r/>
          </w:p>
          <w:p>
            <w:pPr>
              <w:jc w:val="both"/>
              <w:keepLines w:val="0"/>
              <w:keepNext w:val="0"/>
              <w:pageBreakBefore w:val="0"/>
              <w:spacing w:after="0"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w:t>
            </w:r>
            <w:r/>
          </w:p>
          <w:p>
            <w:pPr>
              <w:jc w:val="both"/>
              <w:keepLines w:val="0"/>
              <w:keepNext w:val="0"/>
              <w:pageBreakBefore w:val="0"/>
              <w:spacing w:after="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1.投标人应对以上文件的合法性、真实性负责。</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1105"/>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(十三)2</w:t>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商务条件见：</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一、本文件第四章《评标标准》中《评分细则》。</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二、本文件第三章《投标资料表》中(十二)1和(十二)2。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交货和提供服务的时间：见本文件第五章 《拟签订的合同文本》及本文件第六章《采购需求》。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widowControl w:val="off"/>
              <w:rPr>
                <w:rFonts w:hint="eastAsia" w:ascii="宋体" w:hAnsi="宋体" w:eastAsia="宋体" w:cs="宋体"/>
                <w:color w:val="auto"/>
                <w:highlight w:val="none"/>
                <w:lang w:eastAsia="zh-CN"/>
              </w:rPr>
            </w:pPr>
            <w:r>
              <w:rPr>
                <w:rFonts w:hint="eastAsia" w:ascii="宋体" w:hAnsi="宋体" w:eastAsia="宋体" w:cs="宋体"/>
                <w:b/>
                <w:bCs/>
                <w:color w:val="auto"/>
                <w:sz w:val="24"/>
                <w:szCs w:val="24"/>
                <w:highlight w:val="none"/>
                <w:lang w:eastAsia="zh-CN"/>
              </w:rPr>
              <w:t xml:space="preserve">本项目不接受超过</w:t>
            </w:r>
            <w:r>
              <w:rPr>
                <w:rFonts w:hint="eastAsia" w:ascii="宋体" w:hAnsi="宋体" w:eastAsia="宋体" w:cs="宋体"/>
                <w:b/>
                <w:bCs/>
                <w:color w:val="auto"/>
                <w:sz w:val="24"/>
                <w:szCs w:val="24"/>
                <w:highlight w:val="none"/>
                <w:u w:val="single"/>
                <w:lang w:val="en-US" w:eastAsia="zh-CN"/>
              </w:rPr>
              <w:t xml:space="preserve"> 130 </w:t>
            </w:r>
            <w:r>
              <w:rPr>
                <w:rFonts w:hint="eastAsia" w:ascii="宋体" w:hAnsi="宋体" w:eastAsia="宋体" w:cs="宋体"/>
                <w:b/>
                <w:bCs/>
                <w:color w:val="auto"/>
                <w:sz w:val="24"/>
                <w:szCs w:val="24"/>
                <w:highlight w:val="none"/>
                <w:u w:val="none"/>
                <w:lang w:eastAsia="zh-CN"/>
              </w:rPr>
              <w:t xml:space="preserve">万</w:t>
            </w:r>
            <w:r>
              <w:rPr>
                <w:rFonts w:hint="eastAsia" w:ascii="宋体" w:hAnsi="宋体" w:eastAsia="宋体" w:cs="宋体"/>
                <w:b/>
                <w:bCs/>
                <w:color w:val="auto"/>
                <w:sz w:val="24"/>
                <w:szCs w:val="24"/>
                <w:highlight w:val="none"/>
                <w:lang w:eastAsia="zh-CN"/>
              </w:rPr>
              <w:t xml:space="preserve">元人民币（采购项目预算金额）的投标报价</w:t>
            </w:r>
            <w:r>
              <w:rPr>
                <w:rFonts w:hint="eastAsia" w:ascii="宋体" w:hAnsi="宋体" w:eastAsia="宋体" w:cs="宋体"/>
                <w:b w:val="0"/>
                <w:bCs w:val="0"/>
                <w:color w:val="auto"/>
                <w:sz w:val="24"/>
                <w:szCs w:val="24"/>
                <w:highlight w:val="none"/>
                <w:lang w:eastAsia="zh-CN"/>
              </w:rPr>
              <w:t xml:space="preserve">，报价包括产品价格、运费、维修费、配件费、保险、培训、售后服务、招标代理费、投标人的利润、税金等全部费用，采购人不再支付报价以外的任何费用。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以人民币报价。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要求：</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投标人应当通过“苏采云”系统提交数据电文形式的投标文件（即电子投标）。</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特别说明：通过“苏采云”系统提交政府采购客户端工具导出加密的投标文件（后缀名为zip）。</w:t>
            </w:r>
            <w:r>
              <w:rPr>
                <w:rFonts w:hint="eastAsia" w:ascii="宋体" w:hAnsi="宋体" w:eastAsia="宋体" w:cs="宋体"/>
                <w:b/>
                <w:bCs/>
                <w:color w:val="auto"/>
                <w:sz w:val="24"/>
                <w:szCs w:val="24"/>
                <w:highlight w:val="none"/>
                <w:lang w:eastAsia="zh-CN"/>
              </w:rPr>
              <w:t xml:space="preserve">投标文件不得超过150M！</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说明：本项目采用线上投标，即供应商投标文件从政府采购客户端工具制作通过“苏采云”系统提交，未提供线上投标文件的，投标无效。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线上投标文件的密封、签署、盖章要求：</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一、投标文件的密封（加密）要求：</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二、投标文件的签署要求：见招标文件第七章《投标文件相关格式》。</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三、投标文件的盖章要求：见招标文件第三章《投标资料表》和招标文件第七章《投标文件相关格式》。投标人须通过“苏采云”系统提供的政府采购客户端工具（使用“CA数字证书”）加盖电子签章。</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说明：投标人应用CA数字证书以及自备的能够正常运行及登录“苏采云”系统的电脑，在达到开标时间后，使用CA数字证书解密各自投标文件。</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投标人未按规定加密的投标文件，“苏采云”系统应当拒收并提示。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投标文件的提交与接收： </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1.投标截止时间：</w:t>
            </w:r>
            <w:r>
              <w:rPr>
                <w:rFonts w:hint="eastAsia" w:ascii="宋体" w:hAnsi="宋体" w:eastAsia="宋体" w:cs="宋体"/>
                <w:color w:val="ff0000"/>
                <w:sz w:val="24"/>
                <w:szCs w:val="24"/>
                <w:highlight w:val="none"/>
                <w:lang w:eastAsia="zh-CN"/>
              </w:rPr>
              <w:t xml:space="preserve">202</w:t>
            </w:r>
            <w:r>
              <w:rPr>
                <w:rFonts w:hint="eastAsia" w:ascii="宋体" w:hAnsi="宋体" w:eastAsia="宋体" w:cs="宋体"/>
                <w:color w:val="ff0000"/>
                <w:sz w:val="24"/>
                <w:szCs w:val="24"/>
                <w:highlight w:val="none"/>
                <w:lang w:val="en-US" w:eastAsia="zh-CN"/>
              </w:rPr>
              <w:t xml:space="preserve">6</w:t>
            </w:r>
            <w:r>
              <w:rPr>
                <w:rFonts w:hint="eastAsia" w:ascii="宋体" w:hAnsi="宋体" w:eastAsia="宋体" w:cs="宋体"/>
                <w:color w:val="ff0000"/>
                <w:sz w:val="24"/>
                <w:szCs w:val="24"/>
                <w:highlight w:val="none"/>
                <w:lang w:eastAsia="zh-CN"/>
              </w:rPr>
              <w:t xml:space="preserve">年</w:t>
            </w:r>
            <w:r>
              <w:rPr>
                <w:rFonts w:hint="eastAsia" w:ascii="宋体" w:hAnsi="宋体" w:eastAsia="宋体" w:cs="宋体"/>
                <w:color w:val="ff0000"/>
                <w:sz w:val="24"/>
                <w:szCs w:val="24"/>
                <w:highlight w:val="none"/>
                <w:u w:val="single"/>
                <w:lang w:val="en-US" w:eastAsia="zh-CN"/>
              </w:rPr>
              <w:t xml:space="preserve">  5  </w:t>
            </w:r>
            <w:r>
              <w:rPr>
                <w:rFonts w:hint="eastAsia" w:ascii="宋体" w:hAnsi="宋体" w:eastAsia="宋体" w:cs="宋体"/>
                <w:color w:val="ff0000"/>
                <w:sz w:val="24"/>
                <w:szCs w:val="24"/>
                <w:highlight w:val="none"/>
                <w:lang w:eastAsia="zh-CN"/>
              </w:rPr>
              <w:t xml:space="preserve">月</w:t>
            </w:r>
            <w:r>
              <w:rPr>
                <w:rFonts w:hint="eastAsia" w:ascii="宋体" w:hAnsi="宋体" w:eastAsia="宋体" w:cs="宋体"/>
                <w:color w:val="ff0000"/>
                <w:sz w:val="24"/>
                <w:szCs w:val="24"/>
                <w:highlight w:val="none"/>
                <w:u w:val="single"/>
                <w:lang w:val="en-US" w:eastAsia="zh-CN"/>
              </w:rPr>
              <w:t xml:space="preserve">  19 </w:t>
            </w:r>
            <w:r>
              <w:rPr>
                <w:rFonts w:hint="eastAsia" w:ascii="宋体" w:hAnsi="宋体" w:eastAsia="宋体" w:cs="宋体"/>
                <w:color w:val="ff0000"/>
                <w:sz w:val="24"/>
                <w:szCs w:val="24"/>
                <w:highlight w:val="none"/>
                <w:lang w:eastAsia="zh-CN"/>
              </w:rPr>
              <w:t xml:space="preserve">日</w:t>
            </w:r>
            <w:r>
              <w:rPr>
                <w:rFonts w:hint="eastAsia" w:ascii="宋体" w:hAnsi="宋体" w:eastAsia="宋体" w:cs="宋体"/>
                <w:color w:val="auto"/>
                <w:sz w:val="24"/>
                <w:szCs w:val="24"/>
                <w:highlight w:val="none"/>
                <w:lang w:eastAsia="zh-CN"/>
              </w:rPr>
              <w:t xml:space="preserve">北京时间09时30分</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2.投标文件提交地点：投标人应当通过“苏采云”系统提交数据电文形式的投标文件（即电子投标），“苏采云”系统自动接收。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投标人应在达到开标时间后，使用CA数字证书解密各自投标文件。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开标时间及地点：</w:t>
            </w:r>
            <w:r/>
          </w:p>
          <w:p>
            <w:pPr>
              <w:jc w:val="both"/>
              <w:keepLines w:val="0"/>
              <w:keepNext w:val="0"/>
              <w:pageBreakBefore w:val="0"/>
              <w:spacing w:after="0"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b/>
                <w:color w:val="auto"/>
                <w:sz w:val="24"/>
                <w:szCs w:val="24"/>
                <w:highlight w:val="none"/>
                <w:lang w:eastAsia="zh-CN"/>
              </w:rPr>
              <w:t xml:space="preserve">开标时间</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ff0000"/>
                <w:sz w:val="24"/>
                <w:szCs w:val="24"/>
                <w:highlight w:val="none"/>
                <w:lang w:eastAsia="zh-CN"/>
              </w:rPr>
              <w:t xml:space="preserve">202</w:t>
            </w:r>
            <w:r>
              <w:rPr>
                <w:rFonts w:hint="eastAsia" w:ascii="宋体" w:hAnsi="宋体" w:eastAsia="宋体" w:cs="宋体"/>
                <w:b/>
                <w:bCs/>
                <w:color w:val="ff0000"/>
                <w:sz w:val="24"/>
                <w:szCs w:val="24"/>
                <w:highlight w:val="none"/>
                <w:lang w:val="en-US" w:eastAsia="zh-CN"/>
              </w:rPr>
              <w:t xml:space="preserve">6</w:t>
            </w:r>
            <w:r>
              <w:rPr>
                <w:rFonts w:hint="eastAsia" w:ascii="宋体" w:hAnsi="宋体" w:eastAsia="宋体" w:cs="宋体"/>
                <w:b/>
                <w:bCs/>
                <w:color w:val="ff0000"/>
                <w:sz w:val="24"/>
                <w:szCs w:val="24"/>
                <w:highlight w:val="none"/>
                <w:lang w:eastAsia="zh-CN"/>
              </w:rPr>
              <w:t xml:space="preserve">年</w:t>
            </w:r>
            <w:r>
              <w:rPr>
                <w:rFonts w:hint="eastAsia" w:ascii="宋体" w:hAnsi="宋体" w:eastAsia="宋体" w:cs="宋体"/>
                <w:b/>
                <w:bCs/>
                <w:color w:val="ff0000"/>
                <w:sz w:val="24"/>
                <w:szCs w:val="24"/>
                <w:highlight w:val="none"/>
                <w:u w:val="single"/>
                <w:lang w:val="en-US" w:eastAsia="zh-CN"/>
              </w:rPr>
              <w:t xml:space="preserve"> 5  </w:t>
            </w:r>
            <w:r>
              <w:rPr>
                <w:rFonts w:hint="eastAsia" w:ascii="宋体" w:hAnsi="宋体" w:eastAsia="宋体" w:cs="宋体"/>
                <w:b/>
                <w:bCs/>
                <w:color w:val="ff0000"/>
                <w:sz w:val="24"/>
                <w:szCs w:val="24"/>
                <w:highlight w:val="none"/>
                <w:lang w:eastAsia="zh-CN"/>
              </w:rPr>
              <w:t xml:space="preserve">月</w:t>
            </w:r>
            <w:r>
              <w:rPr>
                <w:rFonts w:hint="eastAsia" w:ascii="宋体" w:hAnsi="宋体" w:eastAsia="宋体" w:cs="宋体"/>
                <w:b/>
                <w:bCs/>
                <w:color w:val="ff0000"/>
                <w:sz w:val="24"/>
                <w:szCs w:val="24"/>
                <w:highlight w:val="none"/>
                <w:u w:val="single"/>
                <w:lang w:val="en-US" w:eastAsia="zh-CN"/>
              </w:rPr>
              <w:t xml:space="preserve">  19  </w:t>
            </w:r>
            <w:r>
              <w:rPr>
                <w:rFonts w:hint="eastAsia" w:ascii="宋体" w:hAnsi="宋体" w:eastAsia="宋体" w:cs="宋体"/>
                <w:b/>
                <w:bCs/>
                <w:color w:val="ff0000"/>
                <w:sz w:val="24"/>
                <w:szCs w:val="24"/>
                <w:highlight w:val="none"/>
                <w:lang w:eastAsia="zh-CN"/>
              </w:rPr>
              <w:t xml:space="preserve">日</w:t>
            </w:r>
            <w:r>
              <w:rPr>
                <w:rFonts w:hint="eastAsia" w:ascii="宋体" w:hAnsi="宋体" w:eastAsia="宋体" w:cs="宋体"/>
                <w:b/>
                <w:bCs/>
                <w:color w:val="auto"/>
                <w:sz w:val="24"/>
                <w:szCs w:val="24"/>
                <w:highlight w:val="none"/>
                <w:lang w:eastAsia="zh-CN"/>
              </w:rPr>
              <w:t xml:space="preserve">北京时间09时30分。  </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2.线上地点：“苏采云”系统（网址：http://jszfcg.jsczt.cn/）“开标大厅”或进入徐州政府采购网（网址：https://czj.xz.gov.cn/zfcg/index.html），点击“苏采云”进入系统“开标大厅”。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所有投标人解密（或解密时间）结束后，“苏采云”系统生成开标记录并向社会公众公布，但依法应当保密的除外。</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本项目的评标方法：综合评分法。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(二十八)1</w:t>
            </w:r>
            <w:r/>
          </w:p>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w:t>
            </w:r>
            <w:r>
              <w:rPr>
                <w:rFonts w:hint="eastAsia" w:ascii="宋体" w:hAnsi="宋体" w:eastAsia="宋体" w:cs="宋体"/>
                <w:color w:val="000000"/>
                <w:sz w:val="24"/>
                <w:highlight w:val="none"/>
                <w:lang w:val="en-US" w:eastAsia="zh-CN"/>
              </w:rPr>
              <w:t xml:space="preserve">评标委员会</w:t>
            </w:r>
            <w:r>
              <w:rPr>
                <w:rFonts w:hint="eastAsia" w:ascii="宋体" w:hAnsi="宋体" w:eastAsia="宋体" w:cs="宋体"/>
                <w:color w:val="000000"/>
                <w:sz w:val="24"/>
                <w:highlight w:val="none"/>
              </w:rPr>
              <w:t xml:space="preserve">推荐中标候选投标人数量为3名。</w:t>
            </w:r>
            <w:r>
              <w:rPr>
                <w:rFonts w:hint="eastAsia" w:ascii="宋体" w:hAnsi="宋体" w:eastAsia="宋体" w:cs="宋体"/>
                <w:color w:val="auto"/>
                <w:sz w:val="24"/>
                <w:szCs w:val="24"/>
                <w:highlight w:val="none"/>
                <w:lang w:eastAsia="zh-CN"/>
              </w:rPr>
              <w:t xml:space="preserve">中标候选供应商数量应当根据采购需要确定，但必须按顺序排列中标候选供应商。</w:t>
            </w:r>
            <w:r/>
          </w:p>
          <w:p>
            <w:pPr>
              <w:pStyle w:val="1082"/>
              <w:keepLines w:val="0"/>
              <w:keepNext w:val="0"/>
              <w:pageBreakBefore w:val="0"/>
              <w:spacing w:after="0"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二、采用综合评分法的，按评审后得分由高到低顺序排列。得分相同的，按投标报价由低到高顺序排列。得分且投标报价相同的，按项目实施方案得分顺序排列。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ind w:right="-229"/>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w:t>
            </w:r>
            <w:r/>
          </w:p>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1.评标中需要投标人对投标文件澄清或者说明的，应当通过“苏采云”系统交换数据电文。在评标期间，请投标人保持在线。</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top"/>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top"/>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评标委员会启动异常低价投标审查的情形和具体要求，包括:</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1.评审过程中出现下列情形之一的，评标委员会应当启动异常低价投标审查程序：</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（1）投标报价低于采购项目预算50%的，即投标报价&lt;采购项目预算×50%；</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（2）投标报价低于采购项目最高限价45%的，即投标报价&lt;采购项目最高限价×45%；</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（3）评标委员会认定的投标人报价过低、有可能影响产品质量或者不能诚信履约的其他情形。</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2.启动异常</w:t>
            </w:r>
            <w:r>
              <w:rPr>
                <w:rFonts w:hint="eastAsia" w:ascii="宋体" w:hAnsi="宋体" w:eastAsia="宋体" w:cs="宋体"/>
                <w:color w:val="auto"/>
                <w:sz w:val="24"/>
                <w:szCs w:val="24"/>
                <w:highlight w:val="none"/>
                <w:lang w:eastAsia="zh-CN"/>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keepLines w:val="0"/>
              <w:keepNext w:val="0"/>
              <w:pageBreakBefore w:val="0"/>
              <w:spacing w:after="0" w:line="360"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jc w:val="both"/>
              <w:keepLines w:val="0"/>
              <w:keepNext w:val="0"/>
              <w:pageBreakBefore w:val="0"/>
              <w:spacing w:after="0" w:line="360" w:lineRule="auto"/>
              <w:rPr>
                <w:rFonts w:hint="eastAsia" w:ascii="宋体" w:hAnsi="宋体" w:eastAsia="宋体" w:cs="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相关内容和要求见：《中华人民共和国政府采购法》、《中华人民共和国政府采购法实施条例》、《省财政厅关于推动解决政府采购异常低价问题相关工作的通知》（苏财购〔2025〕62号）及徐财购（2025）17号文。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(三十七)1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采购人与中标、成交供应商应当在中标、成交通知书发出之日起30日内，按照采购文件确定的事项签订政府采购合同。</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ind w:right="-229"/>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履约保证金：具体详见合同条款。</w:t>
            </w:r>
            <w:r/>
          </w:p>
        </w:tc>
      </w:tr>
      <w:tr>
        <w:trPr>
          <w:trHeight w:val="471"/>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供应商在法定质疑期内一次性提出针对同一采购程序环节的质疑。</w:t>
            </w:r>
            <w:r/>
          </w:p>
          <w:p>
            <w:pPr>
              <w:jc w:val="both"/>
              <w:keepLines w:val="0"/>
              <w:keepNext w:val="0"/>
              <w:pageBreakBefore w:val="0"/>
              <w:spacing w:after="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质疑接收人：</w:t>
            </w:r>
            <w:r>
              <w:rPr>
                <w:rFonts w:hint="eastAsia" w:ascii="宋体" w:hAnsi="宋体" w:eastAsia="宋体" w:cs="宋体"/>
                <w:color w:val="auto"/>
                <w:sz w:val="24"/>
                <w:szCs w:val="24"/>
                <w:highlight w:val="none"/>
                <w:lang w:val="en-US" w:eastAsia="zh-CN"/>
              </w:rPr>
              <w:t xml:space="preserve">崔婷婷</w:t>
            </w:r>
            <w:r>
              <w:rPr>
                <w:rFonts w:hint="eastAsia" w:ascii="宋体" w:hAnsi="宋体" w:eastAsia="宋体" w:cs="宋体"/>
                <w:color w:val="auto"/>
                <w:sz w:val="24"/>
                <w:szCs w:val="24"/>
                <w:highlight w:val="none"/>
                <w:lang w:eastAsia="zh-CN"/>
              </w:rPr>
              <w:t xml:space="preserve">  联系电话：</w:t>
            </w:r>
            <w:r>
              <w:rPr>
                <w:rFonts w:hint="eastAsia" w:ascii="宋体" w:hAnsi="宋体" w:eastAsia="宋体" w:cs="宋体"/>
                <w:color w:val="auto"/>
                <w:sz w:val="24"/>
                <w:szCs w:val="24"/>
                <w:highlight w:val="none"/>
                <w:lang w:val="en-US" w:eastAsia="zh-CN"/>
              </w:rPr>
              <w:t xml:space="preserve">15250089534</w:t>
            </w:r>
            <w:r/>
          </w:p>
          <w:p>
            <w:pPr>
              <w:jc w:val="both"/>
              <w:keepLines w:val="0"/>
              <w:keepNext w:val="0"/>
              <w:pageBreakBefore w:val="0"/>
              <w:spacing w:after="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地址：</w:t>
            </w:r>
            <w:r>
              <w:rPr>
                <w:rFonts w:hint="eastAsia" w:ascii="宋体" w:hAnsi="宋体" w:eastAsia="宋体" w:cs="宋体"/>
                <w:color w:val="auto"/>
                <w:sz w:val="24"/>
                <w:highlight w:val="none"/>
                <w:lang w:eastAsia="zh-CN"/>
              </w:rPr>
              <w:t xml:space="preserve">丰县凤城街道为民服务中心5楼综合部</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1" w:type="pct"/>
            <w:vAlign w:val="center"/>
            <w:vMerge w:val="restart"/>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中标人在收到中标通知书时，须向代理机构提供纸质版响应文件一正二副及电子响应文件《开标一览表》和《分项价格表》的数据文件（WORD格式）。</w:t>
            </w:r>
            <w:r/>
          </w:p>
        </w:tc>
      </w:tr>
      <w:tr>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vMerge w:val="continue"/>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特别提醒：文件中如需“法定代表人或授权委托人签字或盖章”，投标人可打印成文档，签字或盖章后再扫描上传，最后再电子签章。</w:t>
            </w:r>
            <w:r/>
          </w:p>
        </w:tc>
      </w:tr>
    </w:tbl>
    <w:p>
      <w:pPr>
        <w:keepLines w:val="0"/>
        <w:keepNext w:val="0"/>
        <w:pageBreakBefore w:val="0"/>
        <w:spacing w:after="0" w:line="360" w:lineRule="auto"/>
        <w:rPr>
          <w:rFonts w:hint="eastAsia" w:ascii="宋体" w:hAnsi="宋体" w:eastAsia="宋体" w:cs="宋体"/>
          <w:color w:val="auto"/>
          <w:sz w:val="24"/>
          <w:szCs w:val="24"/>
          <w:highlight w:val="none"/>
          <w:lang w:eastAsia="zh-CN"/>
        </w:rPr>
        <w:sectPr>
          <w:footnotePr/>
          <w:endnotePr/>
          <w:type w:val="nextPage"/>
          <w:pgSz w:w="11906" w:h="16838" w:orient="portrait"/>
          <w:pgMar w:top="1440" w:right="1701" w:bottom="1440" w:left="1701" w:header="850" w:footer="992" w:gutter="0"/>
          <w:cols w:num="1" w:sep="0" w:space="0" w:equalWidth="1"/>
          <w:docGrid w:linePitch="360"/>
        </w:sectPr>
      </w:pPr>
      <w:r>
        <w:rPr>
          <w:rFonts w:hint="eastAsia" w:ascii="宋体" w:hAnsi="宋体" w:eastAsia="宋体" w:cs="宋体"/>
          <w:color w:val="auto"/>
          <w:sz w:val="24"/>
          <w:szCs w:val="24"/>
          <w:highlight w:val="none"/>
          <w:lang w:eastAsia="zh-CN"/>
        </w:rPr>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附件1：徐州市政府采购业务代理服务费行业指导价格标准</w:t>
      </w:r>
      <w:r/>
    </w:p>
    <w:tbl>
      <w:tblPr>
        <w:tblStyle w:val="792"/>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75"/>
        <w:gridCol w:w="2551"/>
      </w:tblGrid>
      <w:tr>
        <w:trPr>
          <w:tblCellSpacing w:w="0" w:type="dxa"/>
          <w:trHeight w:val="717"/>
        </w:trPr>
        <w:tc>
          <w:tcPr>
            <w:tcW w:w="627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中标或者成交金额</w:t>
            </w:r>
            <w:r/>
          </w:p>
        </w:tc>
        <w:tc>
          <w:tcPr>
            <w:tcW w:w="258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费率</w:t>
            </w:r>
            <w:r/>
          </w:p>
        </w:tc>
      </w:tr>
      <w:tr>
        <w:trPr>
          <w:tblCellSpacing w:w="0" w:type="dxa"/>
          <w:trHeight w:val="240"/>
        </w:trPr>
        <w:tc>
          <w:tcPr>
            <w:tcW w:w="6270" w:type="dxa"/>
            <w:vAlign w:val="center"/>
            <w:textDirection w:val="lrTb"/>
            <w:noWrap w:val="false"/>
          </w:tcPr>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最低收费金额(每个委托项目)</w:t>
            </w:r>
            <w:r/>
          </w:p>
        </w:tc>
        <w:tc>
          <w:tcPr>
            <w:tcW w:w="258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5000元</w:t>
            </w:r>
            <w:r/>
          </w:p>
        </w:tc>
      </w:tr>
      <w:tr>
        <w:trPr>
          <w:tblCellSpacing w:w="0" w:type="dxa"/>
          <w:trHeight w:val="240"/>
        </w:trPr>
        <w:tc>
          <w:tcPr>
            <w:tcW w:w="6270" w:type="dxa"/>
            <w:vAlign w:val="center"/>
            <w:textDirection w:val="lrTb"/>
            <w:noWrap w:val="false"/>
          </w:tcPr>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50万元以下(含50万元)</w:t>
            </w:r>
            <w:r/>
          </w:p>
        </w:tc>
        <w:tc>
          <w:tcPr>
            <w:tcW w:w="258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w:t>
            </w:r>
            <w:r/>
          </w:p>
        </w:tc>
      </w:tr>
      <w:tr>
        <w:trPr>
          <w:tblCellSpacing w:w="0" w:type="dxa"/>
          <w:trHeight w:val="240"/>
        </w:trPr>
        <w:tc>
          <w:tcPr>
            <w:tcW w:w="6270" w:type="dxa"/>
            <w:vAlign w:val="center"/>
            <w:textDirection w:val="lrTb"/>
            <w:noWrap w:val="false"/>
          </w:tcPr>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50-400万元(含400万元)</w:t>
            </w:r>
            <w:r/>
          </w:p>
        </w:tc>
        <w:tc>
          <w:tcPr>
            <w:tcW w:w="258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w:t>
            </w:r>
            <w:r/>
          </w:p>
        </w:tc>
      </w:tr>
      <w:tr>
        <w:trPr>
          <w:tblCellSpacing w:w="0" w:type="dxa"/>
          <w:trHeight w:val="480"/>
        </w:trPr>
        <w:tc>
          <w:tcPr>
            <w:tcW w:w="6270" w:type="dxa"/>
            <w:vAlign w:val="center"/>
            <w:textDirection w:val="lrTb"/>
            <w:noWrap w:val="false"/>
          </w:tcPr>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400-1000万元(含1000万元)</w:t>
            </w:r>
            <w:r/>
          </w:p>
        </w:tc>
        <w:tc>
          <w:tcPr>
            <w:tcW w:w="258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w:t>
            </w:r>
            <w:r/>
          </w:p>
        </w:tc>
      </w:tr>
      <w:tr>
        <w:trPr>
          <w:tblCellSpacing w:w="0" w:type="dxa"/>
          <w:trHeight w:val="480"/>
        </w:trPr>
        <w:tc>
          <w:tcPr>
            <w:tcW w:w="6270" w:type="dxa"/>
            <w:vAlign w:val="center"/>
            <w:textDirection w:val="lrTb"/>
            <w:noWrap w:val="false"/>
          </w:tcPr>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1000-5000万元(含5000万元)</w:t>
            </w:r>
            <w:r/>
          </w:p>
        </w:tc>
        <w:tc>
          <w:tcPr>
            <w:tcW w:w="258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0.8%</w:t>
            </w:r>
            <w:r/>
          </w:p>
        </w:tc>
      </w:tr>
      <w:tr>
        <w:trPr>
          <w:tblCellSpacing w:w="0" w:type="dxa"/>
          <w:trHeight w:val="480"/>
        </w:trPr>
        <w:tc>
          <w:tcPr>
            <w:tcW w:w="6270" w:type="dxa"/>
            <w:vAlign w:val="center"/>
            <w:textDirection w:val="lrTb"/>
            <w:noWrap w:val="false"/>
          </w:tcPr>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5000-1亿元(含1亿元)</w:t>
            </w:r>
            <w:r/>
          </w:p>
        </w:tc>
        <w:tc>
          <w:tcPr>
            <w:tcW w:w="258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0.25%</w:t>
            </w:r>
            <w:r/>
          </w:p>
        </w:tc>
      </w:tr>
      <w:tr>
        <w:trPr>
          <w:tblCellSpacing w:w="0" w:type="dxa"/>
          <w:trHeight w:val="480"/>
        </w:trPr>
        <w:tc>
          <w:tcPr>
            <w:tcW w:w="6270" w:type="dxa"/>
            <w:vAlign w:val="center"/>
            <w:textDirection w:val="lrTb"/>
            <w:noWrap w:val="false"/>
          </w:tcPr>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1-10亿元(含10亿元)</w:t>
            </w:r>
            <w:r/>
          </w:p>
        </w:tc>
        <w:tc>
          <w:tcPr>
            <w:tcW w:w="258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0.05%</w:t>
            </w:r>
            <w:r/>
          </w:p>
        </w:tc>
      </w:tr>
      <w:tr>
        <w:trPr>
          <w:tblCellSpacing w:w="0" w:type="dxa"/>
          <w:trHeight w:val="480"/>
        </w:trPr>
        <w:tc>
          <w:tcPr>
            <w:tcW w:w="6270" w:type="dxa"/>
            <w:vAlign w:val="center"/>
            <w:textDirection w:val="lrTb"/>
            <w:noWrap w:val="false"/>
          </w:tcPr>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10-50亿元(含50亿元)</w:t>
            </w:r>
            <w:r/>
          </w:p>
        </w:tc>
        <w:tc>
          <w:tcPr>
            <w:tcW w:w="258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0.01%</w:t>
            </w:r>
            <w:r/>
          </w:p>
        </w:tc>
      </w:tr>
      <w:tr>
        <w:trPr>
          <w:tblCellSpacing w:w="0" w:type="dxa"/>
          <w:trHeight w:val="480"/>
        </w:trPr>
        <w:tc>
          <w:tcPr>
            <w:tcW w:w="6270" w:type="dxa"/>
            <w:vAlign w:val="center"/>
            <w:textDirection w:val="lrTb"/>
            <w:noWrap w:val="false"/>
          </w:tcPr>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50亿元以上</w:t>
            </w:r>
            <w:r/>
          </w:p>
        </w:tc>
        <w:tc>
          <w:tcPr>
            <w:tcW w:w="258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0.005%</w:t>
            </w:r>
            <w:r/>
          </w:p>
        </w:tc>
      </w:tr>
    </w:tbl>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说明：</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1.按上表计算的收费为代理服务全过程的收费金额。各社会代理机构不再收取采购文件制作售卖费用。</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2.代理服务费按差额定率累进法计算。</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3.代理服务费基准金额（按差额定率累进法计算的）=中标金额（按差额定率累进法计算的） * 费率（%）。</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4.代理服务费应收取金额=代理服务费基准金额（按差额定率累进法计算的）的合计数。</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5.定点类等无金额或事先不能计算出价格总额的项目，按中标（成交）金额100万元计算。</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6.有分包（分标段）的按一个项目计算。</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7.以上价格为协会指导价，双方可根据项目难易程度和优质优价原则协商确定。</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numPr>
          <w:ilvl w:val="0"/>
          <w:numId w:val="0"/>
        </w:numPr>
        <w:ind w:firstLine="420"/>
        <w:jc w:val="center"/>
        <w:keepLines w:val="0"/>
        <w:keepNext w:val="0"/>
        <w:pageBreakBefore w:val="0"/>
        <w:spacing w:after="0" w:line="360" w:lineRule="auto"/>
        <w:rPr>
          <w:rFonts w:hint="eastAsia" w:ascii="宋体" w:hAnsi="宋体" w:eastAsia="宋体" w:cs="宋体"/>
          <w:color w:val="auto"/>
          <w:sz w:val="28"/>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auto"/>
          <w:sz w:val="30"/>
          <w:szCs w:val="30"/>
          <w:highlight w:val="none"/>
          <w:lang w:val="en-US" w:eastAsia="en-US" w:bidi="ar-SA"/>
        </w:rPr>
        <w:t xml:space="preserve">第四章</w:t>
      </w:r>
      <w:r>
        <w:rPr>
          <w:rFonts w:hint="eastAsia" w:ascii="宋体" w:hAnsi="宋体" w:eastAsia="宋体" w:cs="宋体"/>
          <w:b/>
          <w:bCs/>
          <w:color w:val="auto"/>
          <w:sz w:val="30"/>
          <w:szCs w:val="30"/>
          <w:highlight w:val="none"/>
          <w:lang w:val="en-US" w:eastAsia="zh-CN" w:bidi="ar-SA"/>
        </w:rPr>
        <w:t xml:space="preserve"> </w:t>
      </w:r>
      <w:r>
        <w:rPr>
          <w:rFonts w:hint="eastAsia" w:ascii="宋体" w:hAnsi="宋体" w:eastAsia="宋体" w:cs="宋体"/>
          <w:b/>
          <w:color w:val="auto"/>
          <w:sz w:val="28"/>
          <w:szCs w:val="24"/>
          <w:highlight w:val="none"/>
          <w:lang w:eastAsia="zh-CN"/>
        </w:rPr>
        <w:t xml:space="preserve">评分标准</w:t>
      </w:r>
      <w:r/>
    </w:p>
    <w:tbl>
      <w:tblPr>
        <w:tblStyle w:val="792"/>
        <w:tblW w:w="543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1281"/>
        <w:gridCol w:w="7215"/>
      </w:tblGrid>
      <w:tr>
        <w:trPr>
          <w:jc w:val="center"/>
          <w:trHeight w:val="462"/>
        </w:trPr>
        <w:tc>
          <w:tcPr>
            <w:gridSpan w:val="2"/>
            <w:tcW w:w="1197" w:type="pct"/>
            <w:vAlign w:val="center"/>
            <w:textDirection w:val="lrTb"/>
            <w:noWrap w:val="false"/>
          </w:tcPr>
          <w:p>
            <w:pPr>
              <w:ind w:firstLine="0"/>
              <w:jc w:val="center"/>
              <w:spacing w:line="240" w:lineRule="auto"/>
              <w:rPr>
                <w:rFonts w:hint="default" w:ascii="宋体" w:hAnsi="宋体" w:eastAsia="宋体" w:cs="宋体"/>
                <w:b/>
                <w:bCs/>
                <w:sz w:val="21"/>
                <w:szCs w:val="21"/>
              </w:rPr>
            </w:pPr>
            <w:r>
              <w:rPr>
                <w:rFonts w:hint="eastAsia" w:ascii="宋体" w:hAnsi="宋体" w:eastAsia="宋体" w:cs="宋体"/>
                <w:b/>
                <w:bCs/>
                <w:sz w:val="21"/>
                <w:szCs w:val="21"/>
              </w:rPr>
              <w:t xml:space="preserve">评审因素</w:t>
            </w:r>
            <w:r/>
          </w:p>
        </w:tc>
        <w:tc>
          <w:tcPr>
            <w:tcW w:w="3802" w:type="pct"/>
            <w:vAlign w:val="center"/>
            <w:textDirection w:val="lrTb"/>
            <w:noWrap w:val="false"/>
          </w:tcPr>
          <w:p>
            <w:pPr>
              <w:ind w:firstLine="0"/>
              <w:jc w:val="center"/>
              <w:spacing w:line="240" w:lineRule="auto"/>
              <w:rPr>
                <w:rFonts w:hint="default" w:ascii="宋体" w:hAnsi="宋体" w:eastAsia="宋体" w:cs="宋体"/>
                <w:b/>
                <w:bCs/>
                <w:sz w:val="21"/>
                <w:szCs w:val="21"/>
              </w:rPr>
            </w:pPr>
            <w:r>
              <w:rPr>
                <w:rFonts w:hint="eastAsia" w:ascii="宋体" w:hAnsi="宋体" w:eastAsia="宋体" w:cs="宋体"/>
                <w:b/>
                <w:bCs/>
                <w:sz w:val="21"/>
                <w:szCs w:val="21"/>
              </w:rPr>
              <w:t xml:space="preserve">评审因素细化和量化</w:t>
            </w:r>
            <w:r/>
          </w:p>
        </w:tc>
      </w:tr>
      <w:tr>
        <w:trPr>
          <w:jc w:val="center"/>
        </w:trPr>
        <w:tc>
          <w:tcPr>
            <w:tcW w:w="522" w:type="pct"/>
            <w:vAlign w:val="center"/>
            <w:textDirection w:val="lrTb"/>
            <w:noWrap w:val="false"/>
          </w:tcPr>
          <w:p>
            <w:pPr>
              <w:ind w:firstLine="0"/>
              <w:jc w:val="center"/>
              <w:spacing w:line="240" w:lineRule="auto"/>
              <w:rPr>
                <w:rFonts w:hint="default" w:ascii="宋体" w:hAnsi="宋体" w:eastAsia="宋体" w:cs="宋体"/>
                <w:b/>
                <w:bCs/>
                <w:sz w:val="21"/>
                <w:szCs w:val="21"/>
              </w:rPr>
            </w:pPr>
            <w:r>
              <w:rPr>
                <w:rFonts w:hint="eastAsia" w:ascii="宋体" w:hAnsi="宋体" w:eastAsia="宋体" w:cs="宋体"/>
                <w:b/>
                <w:bCs/>
                <w:sz w:val="21"/>
                <w:szCs w:val="21"/>
              </w:rPr>
              <w:t xml:space="preserve">价格部分（30分）</w:t>
            </w:r>
            <w:r/>
          </w:p>
        </w:tc>
        <w:tc>
          <w:tcPr>
            <w:tcW w:w="674" w:type="pct"/>
            <w:vAlign w:val="center"/>
            <w:textDirection w:val="lrTb"/>
            <w:noWrap w:val="false"/>
          </w:tcPr>
          <w:p>
            <w:pPr>
              <w:ind w:firstLine="0"/>
              <w:jc w:val="center"/>
              <w:spacing w:line="240" w:lineRule="auto"/>
              <w:rPr>
                <w:rFonts w:hint="default" w:ascii="宋体" w:hAnsi="宋体" w:eastAsia="宋体" w:cs="宋体"/>
                <w:sz w:val="21"/>
                <w:szCs w:val="21"/>
              </w:rPr>
            </w:pPr>
            <w:r>
              <w:rPr>
                <w:rFonts w:hint="eastAsia" w:ascii="宋体" w:hAnsi="宋体" w:eastAsia="宋体" w:cs="宋体"/>
                <w:sz w:val="21"/>
                <w:szCs w:val="21"/>
              </w:rPr>
              <w:t xml:space="preserve">价格</w:t>
            </w:r>
            <w:r/>
          </w:p>
          <w:p>
            <w:pPr>
              <w:ind w:firstLine="0"/>
              <w:jc w:val="center"/>
              <w:spacing w:line="240" w:lineRule="auto"/>
              <w:rPr>
                <w:rFonts w:hint="default" w:ascii="宋体" w:hAnsi="宋体" w:eastAsia="宋体" w:cs="宋体"/>
                <w:sz w:val="21"/>
                <w:szCs w:val="21"/>
              </w:rPr>
            </w:pPr>
            <w:r>
              <w:rPr>
                <w:rFonts w:hint="eastAsia" w:ascii="宋体" w:hAnsi="宋体" w:eastAsia="宋体" w:cs="宋体"/>
                <w:sz w:val="21"/>
                <w:szCs w:val="21"/>
              </w:rPr>
              <w:t xml:space="preserve">（30分）</w:t>
            </w:r>
            <w:r/>
          </w:p>
        </w:tc>
        <w:tc>
          <w:tcPr>
            <w:tcW w:w="3802" w:type="pct"/>
            <w:vAlign w:val="center"/>
            <w:textDirection w:val="lrTb"/>
            <w:noWrap w:val="false"/>
          </w:tcPr>
          <w:p>
            <w:pPr>
              <w:ind w:left="0" w:right="0" w:firstLine="0"/>
              <w:jc w:val="both"/>
              <w:keepLines w:val="0"/>
              <w:keepNext w:val="0"/>
              <w:spacing w:before="0" w:beforeAutospacing="0" w:after="0" w:afterAutospacing="0" w:line="274" w:lineRule="auto"/>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采用低价优先法计算，即满足采购文件要求且投标报价最低的为评标基准价，其价格得分为满分（30分）。其他投标人的价格得分统一按照公式计算：各投标人价格得分=最低报价（投标人的最低评审价格）÷各投标人评审价格×30。</w:t>
            </w:r>
            <w:r/>
          </w:p>
          <w:p>
            <w:pPr>
              <w:ind w:left="0" w:right="0" w:firstLine="0"/>
              <w:jc w:val="both"/>
              <w:keepLines w:val="0"/>
              <w:keepNext w:val="0"/>
              <w:spacing w:before="0" w:beforeAutospacing="0" w:after="0" w:afterAutospacing="0" w:line="274" w:lineRule="auto"/>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1.供应商提供货物全部为中小微企业或供应商提供货物全部为监狱企业、享受政府采购支持政策的残疾人福利性单位的（以供应商提供的《分项价格表》、《中小企业声明函》、监狱企业证明文件和《残疾人福利性单位声明函》等相关材料为准），给予10%的价格扣除，用扣除后的价格参加评审。该供应商的评审价格=《开标一览表》中的“总价”*（100%-10%）。</w:t>
            </w:r>
            <w:r/>
          </w:p>
          <w:p>
            <w:pPr>
              <w:ind w:left="0" w:right="0" w:firstLine="0"/>
              <w:jc w:val="both"/>
              <w:keepLines w:val="0"/>
              <w:keepNext w:val="0"/>
              <w:spacing w:before="0" w:beforeAutospacing="0" w:after="0" w:afterAutospacing="0" w:line="274" w:lineRule="auto"/>
              <w:widowControl w:val="off"/>
              <w:rPr>
                <w:rFonts w:hint="eastAsia" w:ascii="宋体" w:hAnsi="宋体" w:eastAsia="宋体" w:cs="宋体"/>
                <w:color w:val="000000"/>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2.政府采购活动中既有本国产品又有非本国产品参与竞争的，依法对本国产品给予价格评审优惠，对本国产品的报价给予20%的价格扣除，用扣除后的价格参与评审。</w:t>
            </w:r>
            <w:r/>
          </w:p>
          <w:p>
            <w:pPr>
              <w:ind w:left="0" w:right="0" w:firstLine="0"/>
              <w:jc w:val="both"/>
              <w:keepLines w:val="0"/>
              <w:keepNext w:val="0"/>
              <w:spacing w:before="0" w:beforeAutospacing="0" w:after="0" w:afterAutospacing="0" w:line="274" w:lineRule="auto"/>
              <w:widowControl w:val="off"/>
              <w:rPr>
                <w:rFonts w:hint="eastAsia" w:ascii="宋体" w:hAnsi="宋体" w:eastAsia="宋体" w:cs="宋体"/>
                <w:color w:val="000000"/>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jc w:val="both"/>
              <w:keepLines w:val="0"/>
              <w:keepNext w:val="0"/>
              <w:spacing w:before="0" w:beforeAutospacing="0" w:after="0" w:afterAutospacing="0" w:line="274" w:lineRule="auto"/>
              <w:widowControl w:val="off"/>
              <w:rPr>
                <w:rFonts w:hint="eastAsia" w:ascii="宋体" w:hAnsi="宋体" w:eastAsia="宋体" w:cs="宋体"/>
                <w:color w:val="000000"/>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该投标人的评审价格=《开标一览表》中的“总价”*（100%-20%）</w:t>
            </w:r>
            <w:r/>
          </w:p>
          <w:p>
            <w:pPr>
              <w:ind w:left="0" w:right="0" w:firstLine="0"/>
              <w:jc w:val="both"/>
              <w:keepLines w:val="0"/>
              <w:keepNext w:val="0"/>
              <w:spacing w:before="0" w:beforeAutospacing="0" w:after="0" w:afterAutospacing="0" w:line="274" w:lineRule="auto"/>
              <w:widowControl w:val="off"/>
              <w:rPr>
                <w:rFonts w:hint="eastAsia" w:ascii="宋体" w:hAnsi="宋体" w:eastAsia="宋体" w:cs="宋体"/>
                <w:color w:val="000000"/>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3.上述1.2项评审优惠可同时享受，分别在供应商报价基础上予以扣除，用扣除后的价格参与评审，即该投标人的评审价格=《开标一览表》中的“总价”*（100%-30%）。</w:t>
            </w:r>
            <w:r/>
          </w:p>
          <w:p>
            <w:pPr>
              <w:ind w:left="0" w:right="0" w:firstLine="0"/>
              <w:jc w:val="both"/>
              <w:keepLines w:val="0"/>
              <w:keepNext w:val="0"/>
              <w:spacing w:before="0" w:beforeAutospacing="0" w:after="0" w:afterAutospacing="0" w:line="274" w:lineRule="auto"/>
              <w:widowControl w:val="off"/>
              <w:rPr>
                <w:rFonts w:hint="eastAsia" w:ascii="宋体" w:hAnsi="宋体" w:eastAsia="宋体" w:cs="宋体"/>
                <w:color w:val="000000"/>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享受价格评审优惠不改变最终中标价格，政府采购合同仍按照中标供应商的报价签订。</w:t>
            </w:r>
            <w:r/>
          </w:p>
          <w:p>
            <w:pPr>
              <w:ind w:firstLine="0"/>
              <w:jc w:val="left"/>
              <w:spacing w:line="240" w:lineRule="auto"/>
              <w:rPr>
                <w:rFonts w:hint="default" w:ascii="宋体" w:hAnsi="宋体" w:eastAsia="宋体" w:cs="宋体"/>
                <w:sz w:val="21"/>
                <w:szCs w:val="21"/>
              </w:rPr>
            </w:pPr>
            <w:r>
              <w:rPr>
                <w:rFonts w:hint="eastAsia" w:ascii="宋体" w:hAnsi="宋体" w:eastAsia="宋体" w:cs="宋体"/>
                <w:b/>
                <w:bCs/>
                <w:color w:val="000000"/>
                <w:sz w:val="21"/>
                <w:szCs w:val="21"/>
              </w:rPr>
              <w:t xml:space="preserve">注：得分四舍五入保留小数点后2位。</w:t>
            </w:r>
            <w:r/>
          </w:p>
        </w:tc>
      </w:tr>
      <w:tr>
        <w:trPr>
          <w:jc w:val="center"/>
          <w:trHeight w:val="1165"/>
        </w:trPr>
        <w:tc>
          <w:tcPr>
            <w:tcW w:w="522" w:type="pct"/>
            <w:vAlign w:val="center"/>
            <w:vMerge w:val="restart"/>
            <w:textDirection w:val="lrTb"/>
            <w:noWrap w:val="false"/>
          </w:tcPr>
          <w:p>
            <w:pPr>
              <w:ind w:firstLine="0"/>
              <w:jc w:val="center"/>
              <w:spacing w:line="240" w:lineRule="auto"/>
              <w:rPr>
                <w:rFonts w:hint="default" w:ascii="宋体" w:hAnsi="宋体" w:eastAsia="宋体" w:cs="宋体"/>
                <w:b/>
                <w:bCs/>
                <w:sz w:val="21"/>
                <w:szCs w:val="21"/>
              </w:rPr>
            </w:pPr>
            <w:r>
              <w:rPr>
                <w:rFonts w:hint="eastAsia" w:ascii="宋体" w:hAnsi="宋体" w:eastAsia="宋体" w:cs="宋体"/>
                <w:b/>
                <w:bCs/>
                <w:sz w:val="21"/>
                <w:szCs w:val="21"/>
              </w:rPr>
              <w:t xml:space="preserve">技术部分（54</w:t>
            </w:r>
            <w:r>
              <w:rPr>
                <w:rFonts w:hint="eastAsia" w:ascii="宋体" w:hAnsi="宋体" w:eastAsia="宋体" w:cs="宋体"/>
                <w:b/>
                <w:bCs/>
                <w:sz w:val="21"/>
                <w:szCs w:val="21"/>
              </w:rPr>
              <w:t xml:space="preserve">分）</w:t>
            </w:r>
            <w:r/>
          </w:p>
        </w:tc>
        <w:tc>
          <w:tcPr>
            <w:tcW w:w="674" w:type="pct"/>
            <w:vAlign w:val="center"/>
            <w:textDirection w:val="lrTb"/>
            <w:noWrap w:val="false"/>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项目实施方案</w:t>
            </w:r>
            <w:r/>
          </w:p>
          <w:p>
            <w:pPr>
              <w:ind w:firstLine="0"/>
              <w:jc w:val="center"/>
              <w:spacing w:line="240" w:lineRule="auto"/>
              <w:rPr>
                <w:rFonts w:hint="default" w:ascii="宋体" w:hAnsi="宋体" w:eastAsia="宋体" w:cs="宋体"/>
                <w:sz w:val="21"/>
                <w:szCs w:val="21"/>
              </w:rPr>
            </w:pPr>
            <w:r>
              <w:rPr>
                <w:rFonts w:hint="eastAsia" w:ascii="宋体" w:hAnsi="宋体" w:eastAsia="宋体" w:cs="宋体"/>
                <w:sz w:val="21"/>
                <w:szCs w:val="21"/>
              </w:rPr>
              <w:t xml:space="preserve">（10分）</w:t>
            </w:r>
            <w:r/>
          </w:p>
        </w:tc>
        <w:tc>
          <w:tcPr>
            <w:tcW w:w="3802" w:type="pct"/>
            <w:vAlign w:val="center"/>
            <w:textDirection w:val="lrTb"/>
            <w:noWrap w:val="false"/>
          </w:tcPr>
          <w:p>
            <w:pPr>
              <w:rPr>
                <w:rFonts w:ascii="SimSun" w:hAnsi="SimSun" w:eastAsia="SimSun" w:cs="SimSun"/>
                <w:color w:val="000000"/>
                <w:sz w:val="21"/>
                <w:szCs w:val="21"/>
              </w:rPr>
            </w:pPr>
            <w:r>
              <w:rPr>
                <w:rFonts w:ascii="SimSun" w:hAnsi="SimSun" w:eastAsia="SimSun" w:cs="SimSun"/>
                <w:color w:val="000000"/>
                <w:sz w:val="21"/>
              </w:rPr>
              <w:t xml:space="preserve">针对本项目施工组织计划、质量措施、项目实施进度计划和工期安排、管理力量、技术人员配备情况以及设备使用等提供实施方案:1.施工组织方案2.质量保证方案3.项目实施进度计划及工期安排4.管理力量、技术人员配备5.设备使用；</w:t>
            </w:r>
            <w:r>
              <w:rPr>
                <w:rFonts w:ascii="SimSun" w:hAnsi="SimSun" w:eastAsia="SimSun" w:cs="SimSun"/>
                <w:color w:val="000000"/>
                <w:sz w:val="21"/>
              </w:rPr>
              <w:t xml:space="preserve">方案完整且符合本项目实际情况得10分，其中每缺少一项扣2分，出现方案内容自身表述不一致或对比有缺陷(缺陷是指:存在不适用项目实际情况的情形、凭空编造、内容前后不一致、前后逻辑错误、涉及的规范及标准错误、地点区域错误、内容缺失)的每项扣1分，没有不得分</w:t>
            </w:r>
            <w:r>
              <w:rPr>
                <w:rFonts w:ascii="SimSun" w:hAnsi="SimSun" w:eastAsia="SimSun" w:cs="SimSun"/>
                <w:color w:val="000000"/>
                <w:sz w:val="21"/>
                <w:szCs w:val="21"/>
              </w:rPr>
            </w:r>
            <w:r/>
          </w:p>
        </w:tc>
      </w:tr>
      <w:tr>
        <w:trPr>
          <w:jc w:val="center"/>
          <w:trHeight w:val="187"/>
        </w:trPr>
        <w:tc>
          <w:tcPr>
            <w:tcW w:w="522" w:type="pct"/>
            <w:vAlign w:val="center"/>
            <w:vMerge w:val="continue"/>
            <w:textDirection w:val="lrTb"/>
            <w:noWrap w:val="false"/>
          </w:tcPr>
          <w:p>
            <w:pPr>
              <w:ind w:firstLine="0"/>
              <w:jc w:val="center"/>
              <w:spacing w:line="240" w:lineRule="auto"/>
              <w:rPr>
                <w:rFonts w:hint="default" w:ascii="宋体" w:hAnsi="宋体" w:eastAsia="宋体" w:cs="宋体"/>
                <w:b/>
                <w:bCs/>
                <w:sz w:val="21"/>
                <w:szCs w:val="21"/>
              </w:rPr>
            </w:pPr>
            <w:r>
              <w:rPr>
                <w:rFonts w:hint="default" w:ascii="宋体" w:hAnsi="宋体" w:eastAsia="宋体" w:cs="宋体"/>
                <w:b/>
                <w:bCs/>
                <w:sz w:val="21"/>
                <w:szCs w:val="21"/>
              </w:rPr>
            </w:r>
            <w:r/>
          </w:p>
        </w:tc>
        <w:tc>
          <w:tcPr>
            <w:shd w:val="clear" w:color="auto" w:fill="auto"/>
            <w:tcW w:w="674" w:type="pct"/>
            <w:vAlign w:val="center"/>
            <w:textDirection w:val="lrTb"/>
            <w:noWrap w:val="false"/>
          </w:tcPr>
          <w:p>
            <w:pPr>
              <w:ind w:firstLine="0"/>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所投产品技术指标响应</w:t>
            </w:r>
            <w:r/>
          </w:p>
          <w:p>
            <w:pPr>
              <w:ind w:firstLine="0"/>
              <w:jc w:val="center"/>
              <w:spacing w:line="240" w:lineRule="auto"/>
              <w:rPr>
                <w:rFonts w:hint="eastAsia" w:ascii="宋体" w:hAnsi="宋体" w:eastAsia="宋体" w:cs="宋体"/>
                <w:sz w:val="21"/>
                <w:szCs w:val="21"/>
                <w:lang w:val="en-US" w:eastAsia="zh-CN" w:bidi="ar-SA"/>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20</w:t>
            </w:r>
            <w:r>
              <w:rPr>
                <w:rFonts w:hint="eastAsia" w:ascii="宋体" w:hAnsi="宋体" w:eastAsia="宋体" w:cs="宋体"/>
                <w:bCs/>
                <w:sz w:val="21"/>
                <w:szCs w:val="21"/>
              </w:rPr>
              <w:t xml:space="preserve">分）</w:t>
            </w:r>
            <w:r/>
          </w:p>
        </w:tc>
        <w:tc>
          <w:tcPr>
            <w:shd w:val="clear" w:color="auto" w:fill="auto"/>
            <w:tcW w:w="3802" w:type="pct"/>
            <w:vAlign w:val="center"/>
            <w:textDirection w:val="lrTb"/>
            <w:noWrap w:val="false"/>
          </w:tcPr>
          <w:p>
            <w:pPr>
              <w:ind w:firstLine="0"/>
              <w:jc w:val="left"/>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加▲号的技术参数为重要技术指标，须逐条响应偏离情况，未按要求提供证明材料的视作不满足，有一条不满足的扣2分；其他技术参数为一般技术指标，有一条不满足的扣1分，扣完为止。本项最高得</w:t>
            </w: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分，最低得0分。</w:t>
            </w:r>
            <w:r/>
          </w:p>
        </w:tc>
      </w:tr>
      <w:tr>
        <w:trPr>
          <w:jc w:val="center"/>
          <w:trHeight w:val="187"/>
        </w:trPr>
        <w:tc>
          <w:tcPr>
            <w:tcW w:w="522" w:type="pct"/>
            <w:vAlign w:val="center"/>
            <w:vMerge w:val="continue"/>
            <w:textDirection w:val="lrTb"/>
            <w:noWrap w:val="false"/>
          </w:tcPr>
          <w:p>
            <w:pPr>
              <w:ind w:firstLine="0"/>
              <w:jc w:val="center"/>
              <w:spacing w:line="240" w:lineRule="auto"/>
              <w:rPr>
                <w:rFonts w:hint="default" w:ascii="宋体" w:hAnsi="宋体" w:eastAsia="宋体" w:cs="宋体"/>
                <w:b/>
                <w:bCs/>
                <w:sz w:val="21"/>
                <w:szCs w:val="21"/>
              </w:rPr>
            </w:pPr>
            <w:r>
              <w:rPr>
                <w:rFonts w:hint="default" w:ascii="宋体" w:hAnsi="宋体" w:eastAsia="宋体" w:cs="宋体"/>
                <w:b/>
                <w:bCs/>
                <w:sz w:val="21"/>
                <w:szCs w:val="21"/>
              </w:rPr>
            </w:r>
            <w:r/>
          </w:p>
        </w:tc>
        <w:tc>
          <w:tcPr>
            <w:tcW w:w="674" w:type="pct"/>
            <w:vAlign w:val="center"/>
            <w:textDirection w:val="lrTb"/>
            <w:noWrap w:val="false"/>
          </w:tcPr>
          <w:p>
            <w:pPr>
              <w:ind w:firstLine="0"/>
              <w:jc w:val="center"/>
              <w:spacing w:line="240" w:lineRule="auto"/>
              <w:rPr>
                <w:rFonts w:hint="eastAsia" w:ascii="宋体" w:hAnsi="宋体" w:eastAsia="宋体" w:cs="宋体"/>
                <w:sz w:val="21"/>
                <w:szCs w:val="21"/>
              </w:rPr>
            </w:pPr>
            <w:r>
              <w:rPr>
                <w:rFonts w:hint="eastAsia" w:ascii="宋体" w:hAnsi="宋体" w:eastAsia="宋体" w:cs="宋体"/>
                <w:bCs/>
                <w:color w:val="000000"/>
                <w:sz w:val="21"/>
                <w:szCs w:val="21"/>
                <w:highlight w:val="none"/>
              </w:rPr>
              <w:t xml:space="preserve">运维服务</w:t>
            </w:r>
            <w:r>
              <w:rPr>
                <w:rFonts w:hint="eastAsia" w:ascii="宋体" w:hAnsi="宋体" w:eastAsia="宋体" w:cs="宋体"/>
                <w:color w:val="000000"/>
                <w:sz w:val="21"/>
                <w:szCs w:val="21"/>
                <w:highlight w:val="none"/>
              </w:rPr>
              <w:t xml:space="preserve">方案</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分）</w:t>
            </w:r>
            <w:r/>
          </w:p>
        </w:tc>
        <w:tc>
          <w:tcPr>
            <w:tcW w:w="3802" w:type="pct"/>
            <w:vAlign w:val="center"/>
            <w:textDirection w:val="lrTb"/>
            <w:noWrap w:val="false"/>
          </w:tcPr>
          <w:p>
            <w:pPr>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r>
            <w:r>
              <w:rPr>
                <w:rFonts w:ascii="SimSun" w:hAnsi="SimSun" w:eastAsia="SimSun" w:cs="SimSun"/>
                <w:color w:val="000000"/>
                <w:sz w:val="21"/>
              </w:rPr>
              <w:t xml:space="preserve">针对本项目提供运维服务方案：1.运维服务内容2.运维服务流程3.服务管理规范4.服务响应措施；方案完整且符合本项目实际情况得8分，</w:t>
            </w:r>
            <w:r>
              <w:rPr>
                <w:rFonts w:ascii="SimSun" w:hAnsi="SimSun" w:eastAsia="SimSun" w:cs="SimSun"/>
                <w:color w:val="000000"/>
                <w:sz w:val="21"/>
              </w:rPr>
              <w:t xml:space="preserve">其中每缺少一项扣2分，</w:t>
            </w:r>
            <w:r>
              <w:rPr>
                <w:rFonts w:ascii="SimSun" w:hAnsi="SimSun" w:eastAsia="SimSun" w:cs="SimSun"/>
                <w:color w:val="000000"/>
                <w:sz w:val="21"/>
              </w:rPr>
              <w:t xml:space="preserve">出现方案内容自身表述不一致或对比有缺陷(缺陷是指:存在不适用项目实际情况的情形、凭空编造、内容前后不一致、前后逻辑错误、涉及的规范及标准错误、地点区域错误、内容缺失)的每项扣1分，没有不</w:t>
            </w:r>
            <w:r>
              <w:rPr>
                <w:rFonts w:ascii="SimSun" w:hAnsi="SimSun" w:eastAsia="SimSun" w:cs="SimSun"/>
                <w:color w:val="000000"/>
                <w:sz w:val="21"/>
              </w:rPr>
              <w:t xml:space="preserve">得分</w:t>
            </w:r>
            <w:r>
              <w:rPr>
                <w:rFonts w:hint="eastAsia" w:ascii="宋体" w:hAnsi="宋体" w:eastAsia="宋体" w:cs="宋体"/>
                <w:sz w:val="21"/>
                <w:szCs w:val="21"/>
              </w:rPr>
            </w:r>
            <w:r/>
          </w:p>
        </w:tc>
      </w:tr>
      <w:tr>
        <w:trPr>
          <w:trHeight w:val="187"/>
        </w:trPr>
        <w:tc>
          <w:tcPr>
            <w:tcW w:w="522" w:type="pct"/>
            <w:vAlign w:val="center"/>
            <w:vMerge w:val="continue"/>
            <w:textDirection w:val="lrTb"/>
            <w:noWrap w:val="false"/>
          </w:tcPr>
          <w:p>
            <w:pPr>
              <w:ind w:firstLine="0"/>
              <w:jc w:val="center"/>
              <w:spacing w:line="240" w:lineRule="auto"/>
              <w:rPr>
                <w:rFonts w:hint="default" w:ascii="宋体" w:hAnsi="宋体" w:eastAsia="宋体" w:cs="宋体"/>
                <w:b/>
                <w:bCs/>
                <w:sz w:val="21"/>
                <w:szCs w:val="21"/>
              </w:rPr>
            </w:pPr>
            <w:r>
              <w:rPr>
                <w:rFonts w:hint="default" w:ascii="宋体" w:hAnsi="宋体" w:eastAsia="宋体" w:cs="宋体"/>
                <w:b/>
                <w:bCs/>
                <w:sz w:val="21"/>
                <w:szCs w:val="21"/>
              </w:rPr>
            </w:r>
            <w:r>
              <w:rPr>
                <w:rFonts w:hint="default" w:ascii="宋体" w:hAnsi="宋体" w:eastAsia="宋体" w:cs="宋体"/>
                <w:b/>
                <w:bCs/>
                <w:sz w:val="21"/>
                <w:szCs w:val="21"/>
              </w:rPr>
            </w:r>
            <w:r/>
          </w:p>
        </w:tc>
        <w:tc>
          <w:tcPr>
            <w:tcW w:w="674" w:type="pct"/>
            <w:vAlign w:val="center"/>
            <w:vMerge w:val="restart"/>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故障应急方案（6分）</w:t>
            </w:r>
            <w:r/>
          </w:p>
        </w:tc>
        <w:tc>
          <w:tcPr>
            <w:tcW w:w="3802" w:type="pct"/>
            <w:vAlign w:val="center"/>
            <w:vMerge w:val="restart"/>
            <w:textDirection w:val="lrTb"/>
            <w:noWrap w:val="false"/>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提供使用期间故障应急情况应对措施，包括1.故障处理2.故障应急程序等内容。方案完整且符合本项目实际情况得6分，其中</w:t>
            </w:r>
            <w:r>
              <w:rPr>
                <w:rFonts w:ascii="SimSun" w:hAnsi="SimSun" w:eastAsia="SimSun" w:cs="SimSun"/>
                <w:color w:val="000000"/>
                <w:sz w:val="21"/>
              </w:rPr>
              <w:t xml:space="preserve">每</w:t>
            </w:r>
            <w:r>
              <w:rPr>
                <w:rFonts w:ascii="SimSun" w:hAnsi="SimSun" w:eastAsia="SimSun" w:cs="SimSun"/>
                <w:color w:val="000000"/>
                <w:sz w:val="21"/>
              </w:rPr>
              <w:t xml:space="preserve">缺少一项扣3分，出现方案内容自身表述不一致或对比有缺陷(缺陷是指:存在不适用项目实际情况的情形、凭空编造、内容前后不一致、前后逻辑错误、涉及的规范及标准错误、地点区域错误、内容缺失)的每项扣1.5分，没有不得分。</w:t>
            </w:r>
            <w:r/>
          </w:p>
        </w:tc>
      </w:tr>
      <w:tr>
        <w:trPr>
          <w:jc w:val="center"/>
        </w:trPr>
        <w:tc>
          <w:tcPr>
            <w:tcW w:w="522" w:type="pct"/>
            <w:vMerge w:val="continue"/>
            <w:textDirection w:val="lrTb"/>
            <w:noWrap w:val="false"/>
          </w:tcPr>
          <w:p>
            <w:pPr>
              <w:ind w:firstLine="0"/>
              <w:spacing w:line="240" w:lineRule="auto"/>
              <w:rPr>
                <w:rFonts w:hint="default" w:ascii="宋体" w:hAnsi="宋体" w:eastAsia="宋体" w:cs="宋体"/>
                <w:sz w:val="21"/>
                <w:szCs w:val="21"/>
              </w:rPr>
            </w:pPr>
            <w:r>
              <w:rPr>
                <w:rFonts w:hint="default" w:ascii="宋体" w:hAnsi="宋体" w:eastAsia="宋体" w:cs="宋体"/>
                <w:sz w:val="21"/>
                <w:szCs w:val="21"/>
              </w:rPr>
            </w:r>
            <w:r/>
          </w:p>
        </w:tc>
        <w:tc>
          <w:tcPr>
            <w:tcW w:w="674" w:type="pct"/>
            <w:vAlign w:val="center"/>
            <w:textDirection w:val="lrTb"/>
            <w:noWrap w:val="false"/>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售后服务及培训方案</w:t>
            </w:r>
            <w:r/>
          </w:p>
          <w:p>
            <w:pPr>
              <w:ind w:firstLine="0"/>
              <w:jc w:val="center"/>
              <w:spacing w:line="240" w:lineRule="auto"/>
              <w:rPr>
                <w:rFonts w:hint="default" w:ascii="宋体" w:hAnsi="宋体" w:eastAsia="宋体" w:cs="宋体"/>
                <w:b/>
                <w:sz w:val="21"/>
                <w:szCs w:val="21"/>
              </w:rPr>
            </w:pPr>
            <w:r>
              <w:rPr>
                <w:rFonts w:hint="eastAsia" w:ascii="宋体" w:hAnsi="宋体" w:eastAsia="宋体" w:cs="宋体"/>
                <w:sz w:val="21"/>
                <w:szCs w:val="21"/>
              </w:rPr>
              <w:t xml:space="preserve">（10分）</w:t>
            </w:r>
            <w:r/>
          </w:p>
        </w:tc>
        <w:tc>
          <w:tcPr>
            <w:tcW w:w="3802" w:type="pct"/>
            <w:vAlign w:val="center"/>
            <w:textDirection w:val="lrTb"/>
            <w:noWrap w:val="false"/>
          </w:tcPr>
          <w:p>
            <w:pPr>
              <w:ind w:firstLine="0"/>
              <w:jc w:val="left"/>
              <w:spacing w:line="240" w:lineRule="auto"/>
              <w:rPr>
                <w:rFonts w:hint="default" w:ascii="宋体" w:hAnsi="宋体" w:eastAsia="宋体" w:cs="宋体"/>
                <w:sz w:val="21"/>
                <w:szCs w:val="21"/>
              </w:rPr>
            </w:pPr>
            <w:r>
              <w:rPr>
                <w:rFonts w:hint="default" w:ascii="宋体" w:hAnsi="宋体" w:eastAsia="宋体" w:cs="宋体"/>
                <w:sz w:val="21"/>
                <w:szCs w:val="21"/>
              </w:rPr>
            </w:r>
            <w:r>
              <w:rPr>
                <w:rFonts w:ascii="SimSun" w:hAnsi="SimSun" w:eastAsia="SimSun" w:cs="SimSun"/>
                <w:color w:val="000000"/>
                <w:sz w:val="21"/>
              </w:rPr>
              <w:t xml:space="preserve">针对本项目提供售后服务保障方案:1.售后服务方案2.售后服务流程3.售后服务标准4.售后服务人员安排5.售后应急处理方案；方案完整且符合本项目实际情况得10分，其中每缺少一项扣2分，出现方案内容自身表述不一致或对比有缺陷(缺陷是指:存在不适用项目实际情况的情形、凭空编造、内容前后不一致、前后逻辑错误、涉及的规范及标准错误、地点区域错误、内容缺失)的每项扣1分，没有不得分</w:t>
            </w:r>
            <w:r>
              <w:rPr>
                <w:rFonts w:hint="default" w:ascii="宋体" w:hAnsi="宋体" w:eastAsia="宋体" w:cs="宋体"/>
                <w:sz w:val="21"/>
                <w:szCs w:val="21"/>
              </w:rPr>
            </w:r>
            <w:r/>
          </w:p>
        </w:tc>
      </w:tr>
      <w:tr>
        <w:trPr>
          <w:jc w:val="center"/>
          <w:trHeight w:val="1827"/>
        </w:trPr>
        <w:tc>
          <w:tcPr>
            <w:tcW w:w="522" w:type="pct"/>
            <w:vAlign w:val="center"/>
            <w:vMerge w:val="restart"/>
            <w:textDirection w:val="lrTb"/>
            <w:noWrap w:val="false"/>
          </w:tcPr>
          <w:p>
            <w:pPr>
              <w:ind w:firstLine="0"/>
              <w:jc w:val="center"/>
              <w:spacing w:line="240" w:lineRule="auto"/>
              <w:rPr>
                <w:rFonts w:hint="default" w:ascii="宋体" w:hAnsi="宋体" w:eastAsia="宋体" w:cs="宋体"/>
                <w:sz w:val="21"/>
                <w:szCs w:val="21"/>
              </w:rPr>
            </w:pPr>
            <w:r>
              <w:rPr>
                <w:rFonts w:hint="eastAsia" w:ascii="宋体" w:hAnsi="宋体" w:eastAsia="宋体" w:cs="宋体"/>
                <w:b/>
                <w:bCs/>
                <w:sz w:val="21"/>
                <w:szCs w:val="21"/>
              </w:rPr>
              <w:t xml:space="preserve">商务部分（16</w:t>
            </w:r>
            <w:r>
              <w:rPr>
                <w:rFonts w:hint="eastAsia" w:ascii="宋体" w:hAnsi="宋体" w:eastAsia="宋体" w:cs="宋体"/>
                <w:b/>
                <w:bCs/>
                <w:sz w:val="21"/>
                <w:szCs w:val="21"/>
              </w:rPr>
              <w:t xml:space="preserve">分）</w:t>
            </w:r>
            <w:r/>
          </w:p>
        </w:tc>
        <w:tc>
          <w:tcPr>
            <w:tcW w:w="674" w:type="pct"/>
            <w:vAlign w:val="center"/>
            <w:textDirection w:val="lrTb"/>
            <w:noWrap w:val="false"/>
          </w:tcPr>
          <w:p>
            <w:pPr>
              <w:ind w:firstLine="0"/>
              <w:jc w:val="center"/>
              <w:rPr>
                <w:rFonts w:hint="default" w:ascii="宋体" w:hAnsi="宋体" w:eastAsia="宋体" w:cs="宋体"/>
                <w:sz w:val="21"/>
                <w:szCs w:val="21"/>
              </w:rPr>
            </w:pPr>
            <w:r>
              <w:rPr>
                <w:rFonts w:hint="eastAsia" w:ascii="宋体" w:hAnsi="宋体" w:eastAsia="宋体" w:cs="宋体"/>
                <w:sz w:val="21"/>
                <w:szCs w:val="21"/>
              </w:rPr>
              <w:t xml:space="preserve">投标人评价</w:t>
            </w:r>
            <w:r/>
          </w:p>
          <w:p>
            <w:pPr>
              <w:ind w:firstLine="0"/>
              <w:jc w:val="center"/>
              <w:rPr>
                <w:rFonts w:hint="default"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分）</w:t>
            </w:r>
            <w:r/>
          </w:p>
        </w:tc>
        <w:tc>
          <w:tcPr>
            <w:tcW w:w="3802" w:type="pct"/>
            <w:vAlign w:val="center"/>
            <w:textDirection w:val="lrTb"/>
            <w:noWrap w:val="false"/>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1、投标人具有有效的电子与智能化工程专业承包一级资质得2分，二级资质得1分，不提供不得分。投标人需提供相关文件原件扫描件并加盖电子签章。本项最高2分。</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2、投标人具有信息系统建设和服务能力达到杰出级(CS5)得1分，不提供不得分。投标人需提供相关文件原件扫描件并加盖电子签章。本项最高1分。</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3、投标人具有有效的信息化工程与技术服务能力评价证书得1分。投标人需提供相关文件原件扫描件并加盖电子签章。本项最高1分。</w:t>
            </w:r>
            <w:r/>
          </w:p>
          <w:p>
            <w:pPr>
              <w:numPr>
                <w:ilvl w:val="0"/>
                <w:numId w:val="0"/>
              </w:numPr>
              <w:rPr>
                <w:rFonts w:hint="default" w:ascii="宋体" w:hAnsi="宋体" w:eastAsia="宋体" w:cs="宋体"/>
                <w:sz w:val="21"/>
                <w:szCs w:val="21"/>
              </w:rPr>
            </w:pPr>
            <w:r>
              <w:rPr>
                <w:rFonts w:ascii="SimSun" w:hAnsi="SimSun" w:eastAsia="SimSun" w:cs="SimSun"/>
                <w:color w:val="000000"/>
                <w:sz w:val="21"/>
              </w:rPr>
              <w:t xml:space="preserve">（投标文件中需提供相关材料原件扫描件加盖电子签章，不提供不得分）</w:t>
            </w:r>
            <w:r>
              <w:rPr>
                <w:rFonts w:hint="eastAsia" w:ascii="宋体" w:hAnsi="宋体" w:eastAsia="宋体" w:cs="宋体"/>
                <w:sz w:val="21"/>
                <w:szCs w:val="21"/>
                <w:highlight w:val="none"/>
              </w:rPr>
            </w:r>
            <w:r/>
          </w:p>
        </w:tc>
      </w:tr>
      <w:tr>
        <w:trPr>
          <w:jc w:val="center"/>
          <w:trHeight w:val="686"/>
        </w:trPr>
        <w:tc>
          <w:tcPr>
            <w:tcW w:w="522" w:type="pct"/>
            <w:vAlign w:val="center"/>
            <w:vMerge w:val="continue"/>
            <w:textDirection w:val="lrTb"/>
            <w:noWrap w:val="false"/>
          </w:tcPr>
          <w:p>
            <w:pPr>
              <w:ind w:firstLine="0"/>
              <w:jc w:val="center"/>
              <w:spacing w:line="240" w:lineRule="auto"/>
              <w:rPr>
                <w:rFonts w:hint="default" w:ascii="宋体" w:hAnsi="宋体" w:eastAsia="宋体" w:cs="宋体"/>
                <w:sz w:val="21"/>
                <w:szCs w:val="21"/>
              </w:rPr>
            </w:pPr>
            <w:r>
              <w:rPr>
                <w:rFonts w:hint="default" w:ascii="宋体" w:hAnsi="宋体" w:eastAsia="宋体" w:cs="宋体"/>
                <w:sz w:val="21"/>
                <w:szCs w:val="21"/>
              </w:rPr>
            </w:r>
            <w:r/>
          </w:p>
        </w:tc>
        <w:tc>
          <w:tcPr>
            <w:tcW w:w="674" w:type="pct"/>
            <w:vAlign w:val="center"/>
            <w:textDirection w:val="lrTb"/>
            <w:noWrap w:val="false"/>
          </w:tcPr>
          <w:p>
            <w:pPr>
              <w:ind w:firstLine="0"/>
              <w:jc w:val="center"/>
              <w:spacing w:line="240" w:lineRule="auto"/>
              <w:rPr>
                <w:rFonts w:hint="default" w:ascii="宋体" w:hAnsi="宋体" w:eastAsia="宋体" w:cs="宋体"/>
                <w:sz w:val="21"/>
                <w:szCs w:val="21"/>
              </w:rPr>
            </w:pPr>
            <w:r>
              <w:rPr>
                <w:rFonts w:hint="eastAsia" w:ascii="宋体" w:hAnsi="宋体" w:eastAsia="宋体" w:cs="宋体"/>
                <w:sz w:val="21"/>
                <w:szCs w:val="21"/>
              </w:rPr>
              <w:t xml:space="preserve">项目实施团队评价</w:t>
            </w:r>
            <w:r/>
          </w:p>
          <w:p>
            <w:pPr>
              <w:ind w:firstLine="0"/>
              <w:jc w:val="center"/>
              <w:spacing w:line="240" w:lineRule="auto"/>
              <w:rPr>
                <w:rFonts w:hint="default"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p>
        </w:tc>
        <w:tc>
          <w:tcPr>
            <w:tcW w:w="3802" w:type="pct"/>
            <w:vAlign w:val="center"/>
            <w:textDirection w:val="lrTb"/>
            <w:noWrap w:val="false"/>
          </w:tcPr>
          <w:p>
            <w:pPr>
              <w:ind w:firstLine="0"/>
              <w:jc w:val="left"/>
              <w:spacing w:line="240" w:lineRule="auto"/>
              <w:rPr>
                <w:rFonts w:hint="default" w:ascii="宋体" w:hAnsi="宋体" w:eastAsia="宋体" w:cs="宋体"/>
                <w:sz w:val="21"/>
                <w:szCs w:val="21"/>
              </w:rPr>
            </w:pPr>
            <w:r>
              <w:rPr>
                <w:rFonts w:hint="eastAsia" w:ascii="宋体" w:hAnsi="宋体" w:eastAsia="宋体" w:cs="宋体"/>
                <w:sz w:val="21"/>
                <w:szCs w:val="21"/>
              </w:rPr>
              <w:t xml:space="preserve">投标人拟投入的项目经理、技术负责人及技术团队人员均为自有人员（投标文件中提供投标人开标时间前六个月内任意1个月的社保证明材料原件的扫描件或劳动合同扫描件），且符合下述条件：</w:t>
            </w:r>
            <w:r/>
          </w:p>
          <w:p>
            <w:pPr>
              <w:ind w:firstLine="0"/>
              <w:jc w:val="left"/>
              <w:spacing w:line="240" w:lineRule="auto"/>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（1）投标文件中提供拟派项目经理1名，</w:t>
            </w:r>
            <w:r>
              <w:rPr>
                <w:rFonts w:hint="eastAsia" w:ascii="宋体" w:hAnsi="宋体" w:eastAsia="宋体" w:cs="宋体"/>
                <w:sz w:val="21"/>
                <w:szCs w:val="21"/>
                <w:highlight w:val="none"/>
                <w:lang w:val="en-US" w:eastAsia="zh-CN"/>
              </w:rPr>
              <w:t xml:space="preserve">同时</w:t>
            </w:r>
            <w:r>
              <w:rPr>
                <w:rFonts w:hint="eastAsia" w:ascii="宋体" w:hAnsi="宋体" w:eastAsia="宋体" w:cs="宋体"/>
                <w:sz w:val="21"/>
                <w:szCs w:val="21"/>
                <w:highlight w:val="none"/>
              </w:rPr>
              <w:t xml:space="preserve">具有高级工程师、高级信息系统项目管理师、高级系统规划与管理师、信息系统业务安全服务工程师证书扫描件。</w:t>
            </w:r>
            <w:r>
              <w:rPr>
                <w:rFonts w:hint="eastAsia" w:ascii="宋体" w:hAnsi="宋体" w:eastAsia="宋体" w:cs="宋体"/>
                <w:sz w:val="21"/>
                <w:szCs w:val="21"/>
              </w:rPr>
              <w:t xml:space="preserve">每提供一个证书的得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highlight w:val="none"/>
              </w:rPr>
              <w:t xml:space="preserve">本项最高得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分，最低0分。</w:t>
            </w:r>
            <w:r/>
          </w:p>
          <w:p>
            <w:pPr>
              <w:ind w:firstLine="0"/>
              <w:jc w:val="left"/>
              <w:spacing w:line="240" w:lineRule="auto"/>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（2）投标文件中提供拟派技术负责人1名，</w:t>
            </w:r>
            <w:r>
              <w:rPr>
                <w:rFonts w:hint="eastAsia" w:ascii="宋体" w:hAnsi="宋体" w:eastAsia="宋体" w:cs="宋体"/>
                <w:sz w:val="21"/>
                <w:szCs w:val="21"/>
                <w:highlight w:val="none"/>
                <w:lang w:val="en-US" w:eastAsia="zh-CN"/>
              </w:rPr>
              <w:t xml:space="preserve">同时</w:t>
            </w:r>
            <w:r>
              <w:rPr>
                <w:rFonts w:hint="eastAsia" w:ascii="宋体" w:hAnsi="宋体" w:eastAsia="宋体" w:cs="宋体"/>
                <w:sz w:val="21"/>
                <w:szCs w:val="21"/>
                <w:highlight w:val="none"/>
              </w:rPr>
              <w:t xml:space="preserve">具有高级工程师、</w:t>
            </w:r>
            <w:r>
              <w:rPr>
                <w:rFonts w:hint="eastAsia" w:ascii="宋体" w:hAnsi="宋体" w:eastAsia="宋体" w:cs="宋体"/>
                <w:sz w:val="21"/>
                <w:szCs w:val="21"/>
                <w:highlight w:val="none"/>
                <w:lang w:val="en-US" w:eastAsia="zh-CN"/>
              </w:rPr>
              <w:t xml:space="preserve">IT服务工程师</w:t>
            </w:r>
            <w:r>
              <w:rPr>
                <w:rFonts w:hint="eastAsia" w:ascii="宋体" w:hAnsi="宋体" w:eastAsia="宋体" w:cs="宋体"/>
                <w:sz w:val="21"/>
                <w:szCs w:val="21"/>
                <w:highlight w:val="none"/>
              </w:rPr>
              <w:t xml:space="preserve">、高级信息系统项目管理师、注册信息安全专业人员（CISP）证书。</w:t>
            </w:r>
            <w:r>
              <w:rPr>
                <w:rFonts w:hint="eastAsia" w:ascii="宋体" w:hAnsi="宋体" w:eastAsia="宋体" w:cs="宋体"/>
                <w:sz w:val="21"/>
                <w:szCs w:val="21"/>
              </w:rPr>
              <w:t xml:space="preserve">每提供一个证书的得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highlight w:val="none"/>
              </w:rPr>
              <w:t xml:space="preserve">本项最高得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分，最低0分。</w:t>
            </w:r>
            <w:r/>
          </w:p>
          <w:p>
            <w:pPr>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（3）投标文件中提供技术团队人员（不含项目经理和技术负责人），具有软件设计师证书、数据库系统工程师证书、IT服务工程师证书、网络工程师证书扫描件。每提供一个证书的得</w:t>
            </w:r>
            <w:r>
              <w:rPr>
                <w:rFonts w:hint="eastAsia" w:ascii="宋体" w:hAnsi="宋体" w:eastAsia="宋体" w:cs="宋体"/>
                <w:sz w:val="21"/>
                <w:szCs w:val="21"/>
                <w:lang w:val="en-US" w:eastAsia="zh-CN"/>
              </w:rPr>
              <w:t xml:space="preserve">0.5</w:t>
            </w:r>
            <w:r>
              <w:rPr>
                <w:rFonts w:hint="eastAsia" w:ascii="宋体" w:hAnsi="宋体" w:eastAsia="宋体" w:cs="宋体"/>
                <w:sz w:val="21"/>
                <w:szCs w:val="21"/>
              </w:rPr>
              <w:t xml:space="preserve">分，不提供不得分，本项最高得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分，最低0分。</w:t>
            </w:r>
            <w:r/>
          </w:p>
          <w:p>
            <w:pPr>
              <w:ind w:firstLine="0"/>
              <w:jc w:val="left"/>
              <w:spacing w:line="240" w:lineRule="auto"/>
              <w:rPr>
                <w:rFonts w:hint="default" w:ascii="宋体" w:hAnsi="宋体" w:eastAsia="宋体" w:cs="宋体"/>
                <w:sz w:val="21"/>
                <w:szCs w:val="21"/>
              </w:rPr>
            </w:pPr>
            <w:r>
              <w:rPr>
                <w:rFonts w:hint="eastAsia" w:ascii="宋体" w:hAnsi="宋体" w:eastAsia="宋体" w:cs="宋体"/>
                <w:sz w:val="21"/>
                <w:szCs w:val="21"/>
              </w:rPr>
              <w:t xml:space="preserve">（注：同一人员不能同时兼任不同岗位，同一人员具有多种证书的，只认定为其中一个类别，不重复得分。）</w:t>
            </w:r>
            <w:r/>
          </w:p>
          <w:p>
            <w:pPr>
              <w:ind w:firstLine="0"/>
              <w:jc w:val="left"/>
              <w:spacing w:line="240" w:lineRule="auto"/>
              <w:rPr>
                <w:rFonts w:hint="default" w:ascii="宋体" w:hAnsi="宋体" w:eastAsia="宋体" w:cs="宋体"/>
                <w:sz w:val="21"/>
                <w:szCs w:val="21"/>
              </w:rPr>
            </w:pPr>
            <w:r>
              <w:rPr>
                <w:rFonts w:hint="eastAsia" w:ascii="宋体" w:hAnsi="宋体" w:eastAsia="宋体" w:cs="宋体"/>
                <w:sz w:val="21"/>
                <w:szCs w:val="21"/>
              </w:rPr>
              <w:t xml:space="preserve">上述各项合计最高得</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分，最低得0分</w:t>
            </w:r>
            <w:r/>
          </w:p>
        </w:tc>
      </w:tr>
      <w:tr>
        <w:trPr>
          <w:jc w:val="center"/>
          <w:trHeight w:val="811"/>
        </w:trPr>
        <w:tc>
          <w:tcPr>
            <w:tcW w:w="522" w:type="pct"/>
            <w:vAlign w:val="center"/>
            <w:vMerge w:val="continue"/>
            <w:textDirection w:val="lrTb"/>
            <w:noWrap w:val="false"/>
          </w:tcPr>
          <w:p>
            <w:pPr>
              <w:ind w:firstLine="0"/>
              <w:jc w:val="center"/>
              <w:spacing w:line="240" w:lineRule="auto"/>
              <w:rPr>
                <w:rFonts w:hint="default" w:ascii="宋体" w:hAnsi="宋体" w:eastAsia="宋体" w:cs="宋体"/>
                <w:sz w:val="21"/>
                <w:szCs w:val="21"/>
              </w:rPr>
            </w:pPr>
            <w:r>
              <w:rPr>
                <w:rFonts w:hint="default" w:ascii="宋体" w:hAnsi="宋体" w:eastAsia="宋体" w:cs="宋体"/>
                <w:sz w:val="21"/>
                <w:szCs w:val="21"/>
              </w:rPr>
            </w:r>
            <w:r/>
          </w:p>
        </w:tc>
        <w:tc>
          <w:tcPr>
            <w:tcW w:w="674" w:type="pct"/>
            <w:vAlign w:val="center"/>
            <w:textDirection w:val="lrTb"/>
            <w:noWrap w:val="false"/>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业绩</w:t>
            </w:r>
            <w:r/>
          </w:p>
          <w:p>
            <w:pPr>
              <w:ind w:firstLine="0"/>
              <w:jc w:val="center"/>
              <w:spacing w:line="240" w:lineRule="auto"/>
              <w:rPr>
                <w:rFonts w:hint="default"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p>
        </w:tc>
        <w:tc>
          <w:tcPr>
            <w:tcW w:w="3802" w:type="pct"/>
            <w:vAlign w:val="center"/>
            <w:textDirection w:val="lrTb"/>
            <w:noWrap w:val="false"/>
          </w:tcPr>
          <w:p>
            <w:pPr>
              <w:ind w:firstLine="0"/>
              <w:jc w:val="left"/>
              <w:spacing w:line="240" w:lineRule="auto"/>
              <w:rPr>
                <w:rFonts w:hint="default"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年1月1日以来投标单位具有类似业绩，每提供1份合同得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分，本项最多得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分。（投标文件中提供合同原件扫描加盖公章，否则不得分）</w:t>
            </w:r>
            <w:r/>
          </w:p>
        </w:tc>
      </w:tr>
    </w:tbl>
    <w:p>
      <w:pPr>
        <w:jc w:val="left"/>
        <w:keepLines w:val="0"/>
        <w:keepNext w:val="0"/>
        <w:pageBreakBefore w:val="0"/>
        <w:spacing w:after="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本章说明：本项目采用综合评分法。</w:t>
      </w:r>
      <w:r/>
    </w:p>
    <w:p>
      <w:pPr>
        <w:ind w:left="0" w:firstLine="0"/>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8"/>
        </w:rPr>
      </w:r>
      <w:r/>
    </w:p>
    <w:p>
      <w:pPr>
        <w:keepLines w:val="0"/>
        <w:keepNext w:val="0"/>
        <w:pageBreakBefore w:val="0"/>
        <w:spacing w:after="0" w:line="360" w:lineRule="auto"/>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br w:type="page" w:clear="all"/>
      </w:r>
      <w:r/>
    </w:p>
    <w:p>
      <w:pPr>
        <w:jc w:val="center"/>
        <w:keepLines w:val="0"/>
        <w:keepNext w:val="0"/>
        <w:pageBreakBefore w:val="0"/>
        <w:spacing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8"/>
          <w:szCs w:val="28"/>
          <w:highlight w:val="none"/>
          <w:lang w:eastAsia="zh-CN"/>
        </w:rPr>
        <w:t xml:space="preserve">第五章 拟签订的合同文本</w:t>
      </w:r>
      <w:r/>
    </w:p>
    <w:p>
      <w:pPr>
        <w:keepLines w:val="0"/>
        <w:keepNext w:val="0"/>
        <w:pageBreakBefore w:val="0"/>
        <w:spacing w:after="0" w:line="36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项目编号：       </w:t>
      </w:r>
      <w:r/>
    </w:p>
    <w:p>
      <w:pPr>
        <w:keepLines w:val="0"/>
        <w:keepNext w:val="0"/>
        <w:pageBreakBefore w:val="0"/>
        <w:spacing w:after="0" w:line="36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项目名称： </w:t>
      </w:r>
      <w:r/>
    </w:p>
    <w:p>
      <w:pPr>
        <w:jc w:val="center"/>
        <w:spacing w:after="120"/>
        <w:widowControl w:val="off"/>
        <w:rPr>
          <w:rFonts w:hint="eastAsia" w:ascii="宋体" w:hAnsi="宋体"/>
          <w:sz w:val="52"/>
          <w:szCs w:val="52"/>
        </w:rPr>
      </w:pPr>
      <w:r>
        <w:rPr>
          <w:rFonts w:hint="eastAsia" w:ascii="宋体" w:hAnsi="宋体"/>
          <w:sz w:val="52"/>
          <w:szCs w:val="52"/>
        </w:rPr>
      </w:r>
      <w:r/>
    </w:p>
    <w:p>
      <w:pPr>
        <w:jc w:val="center"/>
        <w:spacing w:after="120"/>
        <w:widowControl w:val="off"/>
        <w:rPr>
          <w:rFonts w:ascii="宋体" w:hAnsi="宋体"/>
          <w:sz w:val="52"/>
          <w:szCs w:val="52"/>
        </w:rPr>
      </w:pPr>
      <w:r>
        <w:rPr>
          <w:rFonts w:hint="eastAsia" w:ascii="宋体" w:hAnsi="宋体"/>
          <w:sz w:val="52"/>
          <w:szCs w:val="52"/>
        </w:rPr>
        <w:t xml:space="preserve">政</w:t>
      </w:r>
      <w:r/>
    </w:p>
    <w:p>
      <w:pPr>
        <w:jc w:val="center"/>
        <w:spacing w:after="120"/>
        <w:widowControl w:val="off"/>
        <w:rPr>
          <w:rFonts w:ascii="宋体" w:hAnsi="宋体"/>
          <w:sz w:val="52"/>
          <w:szCs w:val="52"/>
        </w:rPr>
      </w:pPr>
      <w:r>
        <w:rPr>
          <w:rFonts w:hint="eastAsia" w:ascii="宋体" w:hAnsi="宋体"/>
          <w:sz w:val="52"/>
          <w:szCs w:val="52"/>
        </w:rPr>
        <w:t xml:space="preserve">府</w:t>
      </w:r>
      <w:r/>
    </w:p>
    <w:p>
      <w:pPr>
        <w:jc w:val="center"/>
        <w:spacing w:after="120"/>
        <w:widowControl w:val="off"/>
        <w:rPr>
          <w:rFonts w:ascii="宋体" w:hAnsi="宋体"/>
          <w:sz w:val="52"/>
          <w:szCs w:val="52"/>
        </w:rPr>
      </w:pPr>
      <w:r>
        <w:rPr>
          <w:rFonts w:hint="eastAsia" w:ascii="宋体" w:hAnsi="宋体"/>
          <w:sz w:val="52"/>
          <w:szCs w:val="52"/>
        </w:rPr>
        <w:t xml:space="preserve">采</w:t>
      </w:r>
      <w:r/>
    </w:p>
    <w:p>
      <w:pPr>
        <w:jc w:val="center"/>
        <w:spacing w:after="120"/>
        <w:widowControl w:val="off"/>
        <w:rPr>
          <w:rFonts w:ascii="宋体" w:hAnsi="宋体"/>
          <w:sz w:val="52"/>
          <w:szCs w:val="52"/>
        </w:rPr>
      </w:pPr>
      <w:r>
        <w:rPr>
          <w:rFonts w:hint="eastAsia" w:ascii="宋体" w:hAnsi="宋体"/>
          <w:sz w:val="52"/>
          <w:szCs w:val="52"/>
        </w:rPr>
        <w:t xml:space="preserve">购</w:t>
      </w:r>
      <w:r/>
    </w:p>
    <w:p>
      <w:pPr>
        <w:jc w:val="center"/>
        <w:spacing w:after="120"/>
        <w:widowControl w:val="off"/>
        <w:rPr>
          <w:rFonts w:ascii="宋体" w:hAnsi="宋体"/>
          <w:sz w:val="52"/>
          <w:szCs w:val="52"/>
        </w:rPr>
      </w:pPr>
      <w:r>
        <w:rPr>
          <w:rFonts w:hint="eastAsia" w:ascii="宋体" w:hAnsi="宋体"/>
          <w:sz w:val="52"/>
          <w:szCs w:val="52"/>
        </w:rPr>
        <w:t xml:space="preserve">合</w:t>
      </w:r>
      <w:r/>
    </w:p>
    <w:p>
      <w:pPr>
        <w:jc w:val="center"/>
        <w:spacing w:after="120"/>
        <w:widowControl w:val="off"/>
        <w:rPr>
          <w:rFonts w:hint="eastAsia" w:ascii="宋体" w:hAnsi="宋体"/>
          <w:sz w:val="52"/>
          <w:szCs w:val="52"/>
        </w:rPr>
      </w:pPr>
      <w:r>
        <w:rPr>
          <w:rFonts w:hint="eastAsia" w:ascii="宋体" w:hAnsi="宋体"/>
          <w:sz w:val="52"/>
          <w:szCs w:val="52"/>
        </w:rPr>
        <w:t xml:space="preserve">同</w:t>
      </w:r>
      <w:r/>
    </w:p>
    <w:p>
      <w:pPr>
        <w:keepLines w:val="0"/>
        <w:keepNext w:val="0"/>
        <w:pageBreakBefore w:val="0"/>
        <w:spacing w:after="0" w:line="36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keepLines w:val="0"/>
        <w:keepNext w:val="0"/>
        <w:pageBreakBefore w:val="0"/>
        <w:spacing w:after="0" w:line="36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采购单位：</w:t>
      </w:r>
      <w:r/>
    </w:p>
    <w:p>
      <w:pPr>
        <w:keepLines w:val="0"/>
        <w:keepNext w:val="0"/>
        <w:pageBreakBefore w:val="0"/>
        <w:spacing w:after="0" w:line="36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中标供应商：</w:t>
      </w:r>
      <w:r/>
    </w:p>
    <w:p>
      <w:pPr>
        <w:keepLines w:val="0"/>
        <w:keepNext w:val="0"/>
        <w:pageBreakBefore w:val="0"/>
        <w:spacing w:after="0" w:line="36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签订日期：    年  月  日</w:t>
      </w:r>
      <w:r/>
    </w:p>
    <w:p>
      <w:pPr>
        <w:jc w:val="center"/>
        <w:keepLines w:val="0"/>
        <w:keepNext w:val="0"/>
        <w:pageBreakBefore w:val="0"/>
        <w:spacing w:after="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23"/>
        <w:keepLines w:val="0"/>
        <w:keepNext w:val="0"/>
        <w:pageBreakBefore w:val="0"/>
        <w:spacing w:after="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23"/>
        <w:ind w:left="0" w:right="0"/>
        <w:keepLines w:val="0"/>
        <w:keepNext w:val="0"/>
        <w:pageBreakBefore w:val="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highlight w:val="none"/>
          <w:lang w:eastAsia="zh-CN"/>
        </w:rPr>
        <w:t xml:space="preserve">  </w:t>
      </w:r>
      <w:r>
        <w:rPr>
          <w:rFonts w:hint="eastAsia" w:ascii="宋体" w:hAnsi="宋体" w:eastAsia="宋体" w:cs="宋体"/>
          <w:color w:val="auto"/>
          <w:sz w:val="24"/>
          <w:szCs w:val="24"/>
          <w:highlight w:val="none"/>
          <w:lang w:eastAsia="zh-CN"/>
        </w:rPr>
        <w:t xml:space="preserve">  友情提醒：采购人与中标、成交供应商应当在中标、成交通知书发出之日起三十日内，按照采购文件确定的事项签订政府采购合同。</w:t>
      </w:r>
      <w:r/>
    </w:p>
    <w:p>
      <w:pPr>
        <w:pStyle w:val="823"/>
        <w:ind w:left="0" w:right="0"/>
        <w:keepLines w:val="0"/>
        <w:keepNext w:val="0"/>
        <w:pageBreakBefore w:val="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采购人应当自政府采购合同签订之日起2个工作日内，将政府采购合同在省级以上人民政府财政部门指定的媒体上公告，但政府采购合同中涉及国家秘密、商业秘密的内容除外。</w:t>
      </w:r>
      <w:r/>
    </w:p>
    <w:p>
      <w:pPr>
        <w:pStyle w:val="823"/>
        <w:keepLines w:val="0"/>
        <w:keepNext w:val="0"/>
        <w:pageBreakBefore w:val="0"/>
        <w:spacing w:after="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23"/>
        <w:keepLines w:val="0"/>
        <w:keepNext w:val="0"/>
        <w:pageBreakBefore w:val="0"/>
        <w:spacing w:after="0" w:line="360" w:lineRule="auto"/>
        <w:rPr>
          <w:rFonts w:hint="eastAsia" w:ascii="宋体" w:hAnsi="宋体" w:eastAsia="宋体" w:cs="宋体"/>
          <w:color w:val="auto"/>
          <w:highlight w:val="none"/>
          <w:lang w:eastAsia="zh-CN"/>
        </w:rPr>
        <w:sectPr>
          <w:footnotePr/>
          <w:endnotePr/>
          <w:type w:val="nextPage"/>
          <w:pgSz w:w="11906" w:h="16838" w:orient="portrait"/>
          <w:pgMar w:top="1440" w:right="1701" w:bottom="1440" w:left="1701" w:header="850" w:footer="992" w:gutter="0"/>
          <w:cols w:num="1" w:sep="0" w:space="0" w:equalWidth="1"/>
          <w:docGrid w:linePitch="360"/>
        </w:sectPr>
      </w:pPr>
      <w:r>
        <w:rPr>
          <w:rFonts w:hint="eastAsia" w:ascii="宋体" w:hAnsi="宋体" w:eastAsia="宋体" w:cs="宋体"/>
          <w:color w:val="auto"/>
          <w:highlight w:val="none"/>
          <w:lang w:eastAsia="zh-CN"/>
        </w:rPr>
      </w:r>
      <w:r/>
    </w:p>
    <w:p>
      <w:pPr>
        <w:jc w:val="center"/>
        <w:keepLines w:val="0"/>
        <w:keepNext w:val="0"/>
        <w:pageBreakBefore w:val="0"/>
        <w:spacing w:after="0"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8"/>
          <w:szCs w:val="28"/>
          <w:highlight w:val="none"/>
          <w:lang w:eastAsia="zh-CN"/>
        </w:rPr>
        <w:t xml:space="preserve">合同通用条款</w:t>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目  录</w:t>
      </w:r>
      <w:r/>
    </w:p>
    <w:p>
      <w:pPr>
        <w:jc w:val="cente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第一条    定义</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第二条    合同范围</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第三条    价格</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第四条    支付</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第五条    交货</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第六条    包装和标记</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第七条    技术资料</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第八条    安装</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第九条    验收</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第十条    售后服务和技术培训</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第十一条  索赔</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第十二条  不可抗力</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第十三条  合同的终止</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第十四条  争议的解决</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第十五条  适用法律</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第十六条  权利保证</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第十七条  保密</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第十八条  合同生效及其他</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pStyle w:val="823"/>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pStyle w:val="823"/>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pStyle w:val="823"/>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jc w:val="cente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32"/>
          <w:szCs w:val="32"/>
          <w:highlight w:val="none"/>
          <w:lang w:eastAsia="zh-CN"/>
        </w:rPr>
        <w:t xml:space="preserve">合同通用条款</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第一条  定义</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除本合同上下文中另有规定外，下列各词语定义如下： </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1.1“买方”见《合同专用条款》。</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1.2“卖方”见《合同专用条款》。</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1.3“工作现场”见《合同专用条款》。</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1.4“合同标的”见合同附件4。</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1.5“技术资料”是指与合同标的的安装、试运行、验收、操作以及维修有关的技术指标、规格、图纸和文件。</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1.6“技术培训”是指在合同标的的安装、试运行、验收、操作、维修以及其他方面卖方给予买方的培训。</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1.7“安装”是指有关合同标的、备件和材料的安装工作。</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1.8“试运行”是指为验明合同标的的技术性能，在安装完毕后对合同标的进行的测试。</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1.9“验收”是指根据合同附件2的规定进行的，用以确定合同标的是否达到合同附件2所规定的技术性能的检验，以及合同标的在达到合同附件2 规定的技术性能之后，买方对合同标的的接受。</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1.10“合同货币”见《合同专用条款》。</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1.11“合同价格”见合同附件4。</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1.12“合同生效日”见《合同协议书》（合同附件1）第5条。</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1.13“日”是指日历天数。</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1.14“月”是指日历月数。</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第二条 合同范围</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2.1买方同意从卖方购买、卖方同意向买方出售和提供的合同标的以及相关售后服务、技术培训和技术资料。</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第三条 价格</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3.1 合同总价见《合同专用条款》。</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3.2 合同总价是固定价格。</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第四条 支付</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4.2卖方有义务根据合同的规定向买方支付违约金和/或赔偿金时，买方有权从任何一笔应付款或卖方的履约保证金中予以扣除。</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第五条 交货</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5.1交货期限、批次和交货条件见《合同专用条款》。</w:t>
      </w:r>
      <w:r/>
    </w:p>
    <w:p>
      <w:pPr>
        <w:ind w:firstLine="480"/>
        <w:keepLines w:val="0"/>
        <w:keepNext w:val="0"/>
        <w:pageBreakBefore w:val="0"/>
        <w:spacing w:after="0" w:line="360" w:lineRule="auto"/>
        <w:widowControl w:val="off"/>
        <w:rPr>
          <w:rFonts w:hint="eastAsia" w:ascii="宋体" w:hAnsi="宋体" w:eastAsia="宋体" w:cs="宋体"/>
          <w:strike/>
          <w:color w:val="auto"/>
          <w:sz w:val="24"/>
          <w:highlight w:val="none"/>
          <w:lang w:eastAsia="zh-CN"/>
        </w:rPr>
      </w:pPr>
      <w:r>
        <w:rPr>
          <w:rFonts w:hint="eastAsia" w:ascii="宋体" w:hAnsi="宋体" w:eastAsia="宋体" w:cs="宋体"/>
          <w:color w:val="auto"/>
          <w:sz w:val="24"/>
          <w:highlight w:val="none"/>
          <w:lang w:eastAsia="zh-CN"/>
        </w:rPr>
        <w:t xml:space="preserve">5.2交货地点见《合同专用条款》。</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5.4卖方应按下列规定交付合同标的：</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5.4.1卖方负责将合同标的送至《合同专用条款》规定的交货地点。</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5.4.2买方出具的收据日期是合同标的的实际交货日期。</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5.5如果卖方未能按照合同规定的交货期限交货，卖方应按《合同专用条款》的规定支付违约金或提供其他救济。</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第六条 包装与标记</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6.1除非合同中另有规定，合同标的应保持产品制造企业原包装完好。</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6.2在合同标的的每件包装中都应附有下列单据： </w:t>
      </w:r>
      <w:r/>
    </w:p>
    <w:p>
      <w:pPr>
        <w:ind w:firstLine="480"/>
        <w:keepLines w:val="0"/>
        <w:keepNext w:val="0"/>
        <w:pageBreakBefore w:val="0"/>
        <w:spacing w:after="0" w:line="360" w:lineRule="auto"/>
        <w:widowControl w:val="off"/>
        <w:rPr>
          <w:rFonts w:hint="eastAsia" w:ascii="宋体" w:hAnsi="宋体" w:eastAsia="宋体" w:cs="宋体"/>
          <w:strike/>
          <w:color w:val="auto"/>
          <w:sz w:val="24"/>
          <w:highlight w:val="none"/>
          <w:lang w:eastAsia="zh-CN"/>
        </w:rPr>
      </w:pPr>
      <w:r>
        <w:rPr>
          <w:rFonts w:hint="eastAsia" w:ascii="宋体" w:hAnsi="宋体" w:eastAsia="宋体" w:cs="宋体"/>
          <w:color w:val="auto"/>
          <w:sz w:val="24"/>
          <w:highlight w:val="none"/>
          <w:lang w:eastAsia="zh-CN"/>
        </w:rPr>
        <w:t xml:space="preserve">A. 装箱明细单； </w:t>
      </w:r>
      <w:r/>
    </w:p>
    <w:p>
      <w:pPr>
        <w:ind w:firstLine="480"/>
        <w:keepLines w:val="0"/>
        <w:keepNext w:val="0"/>
        <w:pageBreakBefore w:val="0"/>
        <w:spacing w:after="0" w:line="360" w:lineRule="auto"/>
        <w:widowControl w:val="off"/>
        <w:rPr>
          <w:rFonts w:hint="eastAsia" w:ascii="宋体" w:hAnsi="宋体" w:eastAsia="宋体" w:cs="宋体"/>
          <w:strike/>
          <w:color w:val="auto"/>
          <w:sz w:val="24"/>
          <w:highlight w:val="none"/>
          <w:lang w:eastAsia="zh-CN"/>
        </w:rPr>
      </w:pPr>
      <w:r>
        <w:rPr>
          <w:rFonts w:hint="eastAsia" w:ascii="宋体" w:hAnsi="宋体" w:eastAsia="宋体" w:cs="宋体"/>
          <w:color w:val="auto"/>
          <w:sz w:val="24"/>
          <w:highlight w:val="none"/>
          <w:lang w:eastAsia="zh-CN"/>
        </w:rPr>
        <w:t xml:space="preserve">B. 质量合格证； </w:t>
      </w:r>
      <w:r/>
    </w:p>
    <w:p>
      <w:pPr>
        <w:ind w:firstLine="480"/>
        <w:keepLines w:val="0"/>
        <w:keepNext w:val="0"/>
        <w:pageBreakBefore w:val="0"/>
        <w:spacing w:after="0" w:line="360" w:lineRule="auto"/>
        <w:widowControl w:val="off"/>
        <w:rPr>
          <w:rFonts w:hint="eastAsia" w:ascii="宋体" w:hAnsi="宋体" w:eastAsia="宋体" w:cs="宋体"/>
          <w:strike/>
          <w:color w:val="auto"/>
          <w:sz w:val="24"/>
          <w:highlight w:val="none"/>
          <w:lang w:eastAsia="zh-CN"/>
        </w:rPr>
      </w:pPr>
      <w:r>
        <w:rPr>
          <w:rFonts w:hint="eastAsia" w:ascii="宋体" w:hAnsi="宋体" w:eastAsia="宋体" w:cs="宋体"/>
          <w:color w:val="auto"/>
          <w:sz w:val="24"/>
          <w:highlight w:val="none"/>
          <w:lang w:eastAsia="zh-CN"/>
        </w:rPr>
        <w:t xml:space="preserve">C. 技术资料。</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第七条 技术资料</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7.1 技术资料交付的期限和方式见《合同专用条款》。</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第八条 安装</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8.1 合同标的的安装期限见《合同专用条款》。</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第九条 验收</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9.1合同标的的试运行、验收见《合同专用条款》。</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9.2如果合同附件2所规定的所有技术性能在验收中都已经达到，双方应在验收合格后5日内签署验收书。</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9.3买方派出1-3名技术人员参加项目实施，卖方应积极配合买方派出的1-3名技术人员监督管理。</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第十条 售后服务和技术培训</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10.1售后服务和技术培训见合同附件3。</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第十一条 索赔</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A. 卖方替换不符合合同规定的合同标的。</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B. 按质量低劣的程度、买方受损害的程度及损失的数额对合同标的进行降价。</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C. 拒收合同标的。</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D. 赔偿由卖方违约引起的其他损失。</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第十二条 不可抗力</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第十三条 合同的终止</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A. 卖方在合同规定的交货期限后未能按《合同专用条款》中规定的最终期限交付合同标的和/或技术资料； </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B. 合同标的未能达到合同附件2 规定的技术性能； </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13.2如果一方破产或发生资不抵债的情况,合同另一方有权在任何时候发出书面通知终止合同。此种情况下合同的终止不妨碍或影响行使任何可能的其它救济手段。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13.3如果买方认定卖方在投标或执行合同中有腐败或欺诈行为,买方有权在任何时候发出书面通知终止合同。</w:t>
      </w:r>
      <w:r/>
    </w:p>
    <w:p>
      <w:pPr>
        <w:ind w:left="1" w:firstLine="537"/>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A.“腐败行为”系指在招标、采购和合同执行等过程中，为谋求利益、影响相关人员而提供、给予、接受或索取任何有价物的行为。</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13.4 在买方全部或部分终止合同的情况下，卖方应按《合同专用条款》的规定对买方给予补偿。</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第十四条 争议的解决</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第十五条 适用法律</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15.1 本合同的执行和争议的解决适用中华人民共和国的法律并按中华人民共和国的法律进行解释。</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第十六条  权利保证</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第十七条  保密 </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17.2上述秘密，卖方只能用于本合同，而且只能由卖方相应的人员使用；没有必要接触的卖方人员，不得接触。</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17.3卖方应当采取适当有效的方式保护所获取的上述秘密。</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17.4卖方违反本合同所规定的在保密方面的义务，应按合同总价的20%承担违约金，若违约金不足以弥补买方损失的，卖方应另行据实承担赔偿金。。</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第十八条 合同生效及其他</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18.1 本合同在合同协议书（合同附件1）规定的条件全部满足后生效。</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18.3 合同双方各自承担与本合同有关的应负税费。</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18.5对本合同的任何补充、增添或修改以书面方式进行。</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18.6没有另一方的事先书面同意，合同任何一方不得将合同项下的任何权利和义务转让给第三方。</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18.8合同条款中的标题和边注仅供参考使用，不应视为合同的一部分，也不影响本文的解释。</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18.11合同双方之间的一切联络往来应以书面形式按《合同专用条款》中规定的通讯地址发往合同另一方。有关重要事项的传真应及时用挂号信或快件确认。</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jc w:val="center"/>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br w:type="page" w:clear="all"/>
      </w:r>
      <w:r>
        <w:rPr>
          <w:rFonts w:hint="eastAsia" w:ascii="宋体" w:hAnsi="宋体" w:eastAsia="宋体" w:cs="宋体"/>
          <w:b/>
          <w:bCs/>
          <w:color w:val="auto"/>
          <w:sz w:val="32"/>
          <w:szCs w:val="32"/>
          <w:highlight w:val="none"/>
          <w:lang w:eastAsia="zh-CN"/>
        </w:rPr>
        <w:t xml:space="preserve">合同专用条款</w:t>
      </w:r>
      <w:r/>
    </w:p>
    <w:p>
      <w:pPr>
        <w:ind w:firstLine="480"/>
        <w:jc w:val="both"/>
        <w:keepLines w:val="0"/>
        <w:keepNext w:val="0"/>
        <w:pageBreakBefore w:val="0"/>
        <w:spacing w:after="0"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《合同专用条款》中的条款项号是与《合同通用条款》中的条款项号对应的，其增加的内容和条款，是对《合同通用条款》的补充、修改和完善，如果有矛盾的话，以《合同专用条款》为准。</w:t>
      </w:r>
      <w:r/>
    </w:p>
    <w:p>
      <w:pPr>
        <w:ind w:firstLine="48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依照《中华人民共和国民法典》、《中华人民共和国产品质量法》、等法律法规的相关规定，遵循平等、自愿、公平和诚实信用的原则，双方就设备采购相关事宜达成一致意见，特签订本合同，以明确双方</w:t>
      </w:r>
      <w:r>
        <w:rPr>
          <w:rFonts w:hint="eastAsia" w:ascii="宋体" w:hAnsi="宋体" w:eastAsia="宋体" w:cs="宋体"/>
          <w:color w:val="auto"/>
          <w:sz w:val="24"/>
          <w:szCs w:val="24"/>
          <w:highlight w:val="none"/>
          <w:lang w:eastAsia="zh-CN"/>
        </w:rPr>
        <w:t xml:space="preserve">的权利、义务，确保合同双方共同执行。</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第一条 定义</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1.1 “买方”为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1.2 “卖方”为</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1.3 “工作现场”为</w:t>
      </w:r>
      <w:r>
        <w:rPr>
          <w:rFonts w:hint="eastAsia" w:ascii="宋体" w:hAnsi="宋体" w:eastAsia="宋体" w:cs="宋体"/>
          <w:color w:val="auto"/>
          <w:sz w:val="24"/>
          <w:highlight w:val="none"/>
          <w:u w:val="single"/>
          <w:lang w:eastAsia="zh-CN"/>
        </w:rPr>
        <w:t xml:space="preserve">买方指定地点</w:t>
      </w:r>
      <w:r>
        <w:rPr>
          <w:rFonts w:hint="eastAsia" w:ascii="宋体" w:hAnsi="宋体" w:eastAsia="宋体" w:cs="宋体"/>
          <w:color w:val="auto"/>
          <w:sz w:val="24"/>
          <w:highlight w:val="none"/>
          <w:lang w:eastAsia="zh-CN"/>
        </w:rPr>
        <w:t xml:space="preserve">。</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1.10 “合同货币”即</w:t>
      </w:r>
      <w:r>
        <w:rPr>
          <w:rFonts w:hint="eastAsia" w:ascii="宋体" w:hAnsi="宋体" w:eastAsia="宋体" w:cs="宋体"/>
          <w:color w:val="auto"/>
          <w:sz w:val="24"/>
          <w:highlight w:val="none"/>
          <w:u w:val="single"/>
          <w:lang w:eastAsia="zh-CN"/>
        </w:rPr>
        <w:t xml:space="preserve">人民币</w:t>
      </w:r>
      <w:r>
        <w:rPr>
          <w:rFonts w:hint="eastAsia" w:ascii="宋体" w:hAnsi="宋体" w:eastAsia="宋体" w:cs="宋体"/>
          <w:color w:val="auto"/>
          <w:sz w:val="24"/>
          <w:highlight w:val="none"/>
          <w:lang w:eastAsia="zh-CN"/>
        </w:rPr>
        <w:t xml:space="preserve">。</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第二条 合同范围</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2.1买方同意从卖方购买、卖方同意向买方出售的合同标的</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eastAsia="zh-CN"/>
        </w:rPr>
        <w:t xml:space="preserve">详见合同附件。</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第三条 价格</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3.1合同总价为￥</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大写：人民币</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第四条 支付</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4.1付款方式</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本合同总金额为人民币大写金额</w:t>
      </w:r>
      <w:r>
        <w:rPr>
          <w:rFonts w:hint="eastAsia" w:ascii="宋体" w:hAnsi="宋体" w:eastAsia="宋体" w:cs="宋体"/>
          <w:color w:val="auto"/>
          <w:sz w:val="24"/>
          <w:szCs w:val="24"/>
          <w:highlight w:val="none"/>
          <w:u w:val="single"/>
          <w:lang w:eastAsia="zh-CN"/>
        </w:rPr>
        <w:t xml:space="preserve">        元（小写金额：         元）</w:t>
      </w:r>
      <w:r>
        <w:rPr>
          <w:rFonts w:hint="eastAsia" w:ascii="宋体" w:hAnsi="宋体" w:eastAsia="宋体" w:cs="宋体"/>
          <w:color w:val="auto"/>
          <w:sz w:val="24"/>
          <w:szCs w:val="24"/>
          <w:highlight w:val="none"/>
          <w:lang w:eastAsia="zh-CN"/>
        </w:rPr>
        <w:t xml:space="preserve">，经双方协商一致，选择以下第</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二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种付款方式：</w:t>
      </w:r>
      <w:r/>
    </w:p>
    <w:p>
      <w:pPr>
        <w:pStyle w:val="827"/>
        <w:ind w:firstLine="487"/>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（一）付款方式一：提交预付款保函的</w:t>
      </w:r>
      <w:r/>
    </w:p>
    <w:p>
      <w:pPr>
        <w:pStyle w:val="827"/>
        <w:ind w:firstLine="484"/>
        <w:jc w:val="both"/>
        <w:keepLines w:val="0"/>
        <w:keepNext w:val="0"/>
        <w:pageBreakBefore w:val="0"/>
        <w:spacing w:after="0"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合同价款的</w:t>
      </w:r>
      <w:r>
        <w:rPr>
          <w:rFonts w:hint="eastAsia" w:ascii="宋体" w:hAnsi="宋体" w:eastAsia="宋体" w:cs="宋体"/>
          <w:bCs/>
          <w:color w:val="auto"/>
          <w:sz w:val="24"/>
          <w:szCs w:val="24"/>
          <w:highlight w:val="none"/>
          <w:u w:val="single"/>
          <w:lang w:eastAsia="zh-CN"/>
        </w:rPr>
        <w:t xml:space="preserve">百分之五十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eastAsia="zh-CN"/>
        </w:rPr>
        <w:t xml:space="preserve">50%</w:t>
      </w:r>
      <w:r>
        <w:rPr>
          <w:rFonts w:hint="eastAsia" w:ascii="宋体" w:hAnsi="宋体" w:eastAsia="宋体" w:cs="宋体"/>
          <w:bCs/>
          <w:color w:val="auto"/>
          <w:sz w:val="24"/>
          <w:szCs w:val="24"/>
          <w:highlight w:val="none"/>
          <w:lang w:eastAsia="zh-CN"/>
        </w:rPr>
        <w:t xml:space="preserve">)即￥</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，大写：人民币</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元整，在双方签订合同后10个工作日内</w:t>
      </w:r>
      <w:r>
        <w:rPr>
          <w:rFonts w:hint="eastAsia" w:ascii="宋体" w:hAnsi="宋体" w:eastAsia="宋体" w:cs="宋体"/>
          <w:color w:val="auto"/>
          <w:sz w:val="24"/>
          <w:szCs w:val="24"/>
          <w:highlight w:val="none"/>
          <w:lang w:eastAsia="zh-CN"/>
        </w:rPr>
        <w:t xml:space="preserve">，卖方向买方出具等额预付款保函后，由买方办理政府采购资金结算手续</w:t>
      </w:r>
      <w:r>
        <w:rPr>
          <w:rFonts w:hint="eastAsia" w:ascii="宋体" w:hAnsi="宋体" w:eastAsia="宋体" w:cs="宋体"/>
          <w:bCs/>
          <w:color w:val="auto"/>
          <w:sz w:val="24"/>
          <w:szCs w:val="24"/>
          <w:highlight w:val="none"/>
          <w:lang w:eastAsia="zh-CN"/>
        </w:rPr>
        <w:t xml:space="preserve">支付给卖方。</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合同价款的</w:t>
      </w:r>
      <w:r>
        <w:rPr>
          <w:rFonts w:hint="eastAsia" w:ascii="宋体" w:hAnsi="宋体" w:eastAsia="宋体" w:cs="宋体"/>
          <w:color w:val="auto"/>
          <w:sz w:val="24"/>
          <w:szCs w:val="24"/>
          <w:highlight w:val="none"/>
          <w:u w:val="single"/>
          <w:lang w:eastAsia="zh-CN"/>
        </w:rPr>
        <w:t xml:space="preserve">百分之五十</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u w:val="single"/>
          <w:lang w:eastAsia="zh-CN"/>
        </w:rPr>
        <w:t xml:space="preserve">50</w:t>
      </w:r>
      <w:r>
        <w:rPr>
          <w:rFonts w:hint="eastAsia" w:ascii="宋体" w:hAnsi="宋体" w:eastAsia="宋体" w:cs="宋体"/>
          <w:color w:val="auto"/>
          <w:sz w:val="24"/>
          <w:szCs w:val="24"/>
          <w:highlight w:val="none"/>
          <w:lang w:eastAsia="zh-CN"/>
        </w:rPr>
        <w:t xml:space="preserve">%)即￥</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大写：人民币</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元整，合同标的全部交付并安装完毕验收后</w:t>
      </w:r>
      <w:r>
        <w:rPr>
          <w:rFonts w:hint="eastAsia" w:ascii="宋体" w:hAnsi="宋体" w:eastAsia="宋体" w:cs="宋体"/>
          <w:bCs/>
          <w:color w:val="auto"/>
          <w:sz w:val="24"/>
          <w:szCs w:val="24"/>
          <w:highlight w:val="none"/>
          <w:lang w:eastAsia="zh-CN"/>
        </w:rPr>
        <w:t xml:space="preserve">10个工作日内</w:t>
      </w:r>
      <w:r>
        <w:rPr>
          <w:rFonts w:hint="eastAsia" w:ascii="宋体" w:hAnsi="宋体" w:eastAsia="宋体" w:cs="宋体"/>
          <w:color w:val="auto"/>
          <w:sz w:val="24"/>
          <w:szCs w:val="24"/>
          <w:highlight w:val="none"/>
          <w:lang w:eastAsia="zh-CN"/>
        </w:rPr>
        <w:t xml:space="preserve">，由买方办理政府采购资金结算手续，经审核后支付给卖方。</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卖方需提交的支付文件包括：</w:t>
      </w:r>
      <w:r/>
    </w:p>
    <w:p>
      <w:pPr>
        <w:ind w:firstLine="480"/>
        <w:jc w:val="both"/>
        <w:keepLines w:val="0"/>
        <w:keepNext w:val="0"/>
        <w:pageBreakBefore w:val="0"/>
        <w:spacing w:after="0"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卖方出具的全额正式发票；</w:t>
      </w:r>
      <w:r/>
    </w:p>
    <w:p>
      <w:pPr>
        <w:ind w:firstLine="484"/>
        <w:jc w:val="both"/>
        <w:keepLines w:val="0"/>
        <w:keepNext w:val="0"/>
        <w:pageBreakBefore w:val="0"/>
        <w:spacing w:after="0"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color w:val="auto"/>
          <w:sz w:val="24"/>
          <w:szCs w:val="24"/>
          <w:highlight w:val="none"/>
          <w:lang w:eastAsia="zh-CN"/>
        </w:rPr>
        <w:t xml:space="preserve">付款方式二：不提交预付款保函的</w:t>
      </w:r>
      <w:r/>
    </w:p>
    <w:p>
      <w:pPr>
        <w:pStyle w:val="827"/>
        <w:ind w:firstLine="484"/>
        <w:jc w:val="both"/>
        <w:keepLines w:val="0"/>
        <w:keepNext w:val="0"/>
        <w:pageBreakBefore w:val="0"/>
        <w:spacing w:after="0"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合同价款的</w:t>
      </w:r>
      <w:r>
        <w:rPr>
          <w:rFonts w:hint="eastAsia" w:ascii="宋体" w:hAnsi="宋体" w:eastAsia="宋体" w:cs="宋体"/>
          <w:bCs/>
          <w:color w:val="auto"/>
          <w:sz w:val="24"/>
          <w:szCs w:val="24"/>
          <w:highlight w:val="none"/>
          <w:u w:val="single"/>
          <w:lang w:eastAsia="zh-CN"/>
        </w:rPr>
        <w:t xml:space="preserve">百分之三十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eastAsia="zh-CN"/>
        </w:rPr>
        <w:t xml:space="preserve">30%</w:t>
      </w:r>
      <w:r>
        <w:rPr>
          <w:rFonts w:hint="eastAsia" w:ascii="宋体" w:hAnsi="宋体" w:eastAsia="宋体" w:cs="宋体"/>
          <w:bCs/>
          <w:color w:val="auto"/>
          <w:sz w:val="24"/>
          <w:szCs w:val="24"/>
          <w:highlight w:val="none"/>
          <w:lang w:eastAsia="zh-CN"/>
        </w:rPr>
        <w:t xml:space="preserve">)即￥</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，大写：人民币</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元整，在双方签订合同后</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lang w:eastAsia="zh-CN"/>
        </w:rPr>
        <w:t xml:space="preserve">个工作日内</w:t>
      </w:r>
      <w:r>
        <w:rPr>
          <w:rFonts w:hint="eastAsia" w:ascii="宋体" w:hAnsi="宋体" w:eastAsia="宋体" w:cs="宋体"/>
          <w:color w:val="auto"/>
          <w:sz w:val="24"/>
          <w:szCs w:val="24"/>
          <w:highlight w:val="none"/>
          <w:lang w:eastAsia="zh-CN"/>
        </w:rPr>
        <w:t xml:space="preserve">，办理政府采购资金结算手续支付给卖方。</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合同价款的</w:t>
      </w:r>
      <w:r>
        <w:rPr>
          <w:rFonts w:hint="eastAsia" w:ascii="宋体" w:hAnsi="宋体" w:eastAsia="宋体" w:cs="宋体"/>
          <w:color w:val="auto"/>
          <w:sz w:val="24"/>
          <w:szCs w:val="24"/>
          <w:highlight w:val="none"/>
          <w:u w:val="single"/>
          <w:lang w:eastAsia="zh-CN"/>
        </w:rPr>
        <w:t xml:space="preserve">百分之七十</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single"/>
          <w:lang w:eastAsia="zh-CN"/>
        </w:rPr>
        <w:t xml:space="preserve">70%</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lang w:eastAsia="zh-CN"/>
        </w:rPr>
        <w:t xml:space="preserve">即￥</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，大写：</w:t>
      </w:r>
      <w:r>
        <w:rPr>
          <w:rFonts w:hint="eastAsia" w:ascii="宋体" w:hAnsi="宋体" w:eastAsia="宋体" w:cs="宋体"/>
          <w:bCs/>
          <w:color w:val="auto"/>
          <w:sz w:val="24"/>
          <w:szCs w:val="24"/>
          <w:highlight w:val="none"/>
          <w:lang w:eastAsia="zh-CN"/>
        </w:rPr>
        <w:t xml:space="preserve">人民币</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元，合同标的全部交付并安装完毕</w:t>
      </w:r>
      <w:r>
        <w:rPr>
          <w:rFonts w:hint="eastAsia" w:ascii="宋体" w:hAnsi="宋体" w:eastAsia="宋体" w:cs="宋体"/>
          <w:color w:val="auto"/>
          <w:sz w:val="24"/>
          <w:szCs w:val="24"/>
          <w:highlight w:val="none"/>
          <w:lang w:val="en-US" w:eastAsia="zh-CN"/>
        </w:rPr>
        <w:t xml:space="preserve">验收合格后</w:t>
      </w:r>
      <w:r>
        <w:rPr>
          <w:rFonts w:hint="eastAsia" w:ascii="宋体" w:hAnsi="宋体" w:eastAsia="宋体" w:cs="宋体"/>
          <w:color w:val="auto"/>
          <w:sz w:val="24"/>
          <w:szCs w:val="24"/>
          <w:highlight w:val="none"/>
          <w:lang w:eastAsia="zh-CN"/>
        </w:rPr>
        <w:t xml:space="preserve">15个工作日内，由买方办理政府采购资金结算手续，经审核后支付给卖方。</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卖方需提交的支付文件包括：</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卖方出具的全额正式发票以及其他相关付款材料。</w:t>
      </w:r>
      <w:r/>
    </w:p>
    <w:p>
      <w:pPr>
        <w:pStyle w:val="800"/>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4.2履约保证金</w:t>
      </w:r>
      <w:r/>
    </w:p>
    <w:p>
      <w:pPr>
        <w:pStyle w:val="80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    签订合同前，卖方应向买方支付履约保证金，履约保证金金额为中标金额的百分之</w:t>
      </w:r>
      <w:r>
        <w:rPr>
          <w:rFonts w:hint="eastAsia" w:ascii="宋体" w:hAnsi="宋体" w:eastAsia="宋体" w:cs="宋体"/>
          <w:color w:val="auto"/>
          <w:sz w:val="24"/>
          <w:highlight w:val="none"/>
          <w:u w:val="single"/>
          <w:lang w:eastAsia="zh-CN"/>
        </w:rPr>
        <w:t xml:space="preserve">十</w:t>
      </w:r>
      <w:r>
        <w:rPr>
          <w:rFonts w:hint="eastAsia" w:ascii="宋体" w:hAnsi="宋体" w:eastAsia="宋体" w:cs="宋体"/>
          <w:color w:val="auto"/>
          <w:sz w:val="24"/>
          <w:highlight w:val="none"/>
          <w:lang w:eastAsia="zh-CN"/>
        </w:rPr>
        <w:t xml:space="preserve">（10%）大写：人民币</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元（小写：¥</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元），履约保证金存放期间不计利息。</w:t>
      </w:r>
      <w:r/>
    </w:p>
    <w:p>
      <w:pPr>
        <w:pStyle w:val="800"/>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履约保证金形式：卖方应在收到</w:t>
      </w:r>
      <w:r>
        <w:rPr>
          <w:rFonts w:hint="eastAsia" w:ascii="宋体" w:hAnsi="宋体" w:eastAsia="宋体" w:cs="宋体"/>
          <w:color w:val="auto"/>
          <w:sz w:val="24"/>
          <w:highlight w:val="none"/>
          <w:lang w:val="en-US" w:eastAsia="zh-CN"/>
        </w:rPr>
        <w:t xml:space="preserve">中标</w:t>
      </w:r>
      <w:r>
        <w:rPr>
          <w:rFonts w:hint="eastAsia" w:ascii="宋体" w:hAnsi="宋体" w:eastAsia="宋体" w:cs="宋体"/>
          <w:color w:val="auto"/>
          <w:sz w:val="24"/>
          <w:highlight w:val="none"/>
          <w:lang w:eastAsia="zh-CN"/>
        </w:rPr>
        <w:t xml:space="preserve">通知书后签订合同前，需向买方交纳履约保证金，履约保证金可选择以支票、本票、汇票或金融机构、担保机构出具的保函等非现金形式。</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退还方式：由买方将履约保证金无息退还至卖方账户。</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退还时间：本项目合同标的验收合格</w:t>
      </w:r>
      <w:r>
        <w:rPr>
          <w:rFonts w:hint="eastAsia" w:ascii="宋体" w:hAnsi="宋体" w:eastAsia="宋体" w:cs="宋体"/>
          <w:color w:val="0000ff"/>
          <w:sz w:val="24"/>
          <w:highlight w:val="none"/>
          <w:lang w:eastAsia="zh-CN"/>
        </w:rPr>
        <w:t xml:space="preserve">后2年内</w:t>
      </w:r>
      <w:r>
        <w:rPr>
          <w:rFonts w:hint="eastAsia" w:ascii="宋体" w:hAnsi="宋体" w:eastAsia="宋体" w:cs="宋体"/>
          <w:color w:val="auto"/>
          <w:sz w:val="24"/>
          <w:highlight w:val="none"/>
          <w:lang w:eastAsia="zh-CN"/>
        </w:rPr>
        <w:t xml:space="preserve">一次性无息退还。</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退还条件：本项目合同义务全部履行完毕。</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不予退还的情形：卖方拒绝履行合同义务或履约保证金已经根据合同约定扣完的。</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第五条 交货</w:t>
      </w:r>
      <w:r/>
    </w:p>
    <w:p>
      <w:p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5.1卖方应于合同签订后</w:t>
      </w:r>
      <w:r>
        <w:rPr>
          <w:rFonts w:hint="eastAsia" w:ascii="宋体" w:hAnsi="宋体" w:eastAsia="宋体" w:cs="宋体"/>
          <w:color w:val="auto"/>
          <w:sz w:val="24"/>
          <w:highlight w:val="none"/>
          <w:u w:val="single"/>
          <w:lang w:val="en-US" w:eastAsia="zh-CN"/>
        </w:rPr>
        <w:t xml:space="preserve">30天</w:t>
      </w:r>
      <w:r>
        <w:rPr>
          <w:rFonts w:hint="eastAsia" w:ascii="宋体" w:hAnsi="宋体" w:eastAsia="宋体" w:cs="宋体"/>
          <w:color w:val="auto"/>
          <w:sz w:val="24"/>
          <w:highlight w:val="none"/>
          <w:lang w:eastAsia="zh-CN"/>
        </w:rPr>
        <w:t xml:space="preserve">内，将货物运抵买方指定地点，并</w:t>
      </w:r>
      <w:r>
        <w:rPr>
          <w:rFonts w:hint="eastAsia" w:ascii="宋体" w:hAnsi="宋体" w:eastAsia="宋体" w:cs="宋体"/>
          <w:color w:val="auto"/>
          <w:sz w:val="24"/>
          <w:highlight w:val="none"/>
          <w:lang w:val="en-US" w:eastAsia="zh-CN"/>
        </w:rPr>
        <w:t xml:space="preserve">完成</w:t>
      </w:r>
      <w:r>
        <w:rPr>
          <w:rFonts w:hint="eastAsia" w:ascii="宋体" w:hAnsi="宋体" w:eastAsia="宋体" w:cs="宋体"/>
          <w:color w:val="auto"/>
          <w:sz w:val="24"/>
          <w:highlight w:val="none"/>
          <w:lang w:eastAsia="zh-CN"/>
        </w:rPr>
        <w:t xml:space="preserve">安装</w:t>
      </w:r>
      <w:r>
        <w:rPr>
          <w:rFonts w:hint="eastAsia" w:ascii="宋体" w:hAnsi="宋体" w:eastAsia="宋体" w:cs="宋体"/>
          <w:color w:val="auto"/>
          <w:sz w:val="24"/>
          <w:highlight w:val="none"/>
          <w:lang w:val="en-US" w:eastAsia="zh-CN"/>
        </w:rPr>
        <w:t xml:space="preserve">与</w:t>
      </w:r>
      <w:r>
        <w:rPr>
          <w:rFonts w:hint="eastAsia" w:ascii="宋体" w:hAnsi="宋体" w:eastAsia="宋体" w:cs="宋体"/>
          <w:color w:val="auto"/>
          <w:sz w:val="24"/>
          <w:highlight w:val="none"/>
          <w:lang w:eastAsia="zh-CN"/>
        </w:rPr>
        <w:t xml:space="preserve">调试。</w:t>
      </w:r>
      <w:r/>
    </w:p>
    <w:p>
      <w:p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5.2交货地点为</w:t>
      </w:r>
      <w:r>
        <w:rPr>
          <w:rFonts w:hint="eastAsia" w:ascii="宋体" w:hAnsi="宋体" w:eastAsia="宋体" w:cs="宋体"/>
          <w:color w:val="auto"/>
          <w:sz w:val="24"/>
          <w:highlight w:val="none"/>
          <w:u w:val="single"/>
          <w:lang w:eastAsia="zh-CN"/>
        </w:rPr>
        <w:t xml:space="preserve">买方指定地点</w:t>
      </w:r>
      <w:r>
        <w:rPr>
          <w:rFonts w:hint="eastAsia" w:ascii="宋体" w:hAnsi="宋体" w:eastAsia="宋体" w:cs="宋体"/>
          <w:color w:val="auto"/>
          <w:sz w:val="24"/>
          <w:highlight w:val="none"/>
          <w:lang w:eastAsia="zh-CN"/>
        </w:rPr>
        <w:t xml:space="preserve">。</w:t>
      </w:r>
      <w:r/>
    </w:p>
    <w:p>
      <w:p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5.3卖方应在不迟于合同标的备妥待运前</w:t>
      </w:r>
      <w:r>
        <w:rPr>
          <w:rFonts w:hint="eastAsia" w:ascii="宋体" w:hAnsi="宋体" w:eastAsia="宋体" w:cs="宋体"/>
          <w:color w:val="auto"/>
          <w:sz w:val="24"/>
          <w:highlight w:val="none"/>
          <w:u w:val="single"/>
          <w:lang w:eastAsia="zh-CN"/>
        </w:rPr>
        <w:t xml:space="preserve"> 5 </w:t>
      </w:r>
      <w:r>
        <w:rPr>
          <w:rFonts w:hint="eastAsia" w:ascii="宋体" w:hAnsi="宋体" w:eastAsia="宋体" w:cs="宋体"/>
          <w:color w:val="auto"/>
          <w:sz w:val="24"/>
          <w:highlight w:val="none"/>
          <w:lang w:eastAsia="zh-CN"/>
        </w:rPr>
        <w:t xml:space="preserve">日通知买方。</w:t>
      </w:r>
      <w:r/>
    </w:p>
    <w:p>
      <w:pPr>
        <w:ind w:firstLine="54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5.5</w:t>
      </w:r>
      <w:r>
        <w:rPr>
          <w:rFonts w:hint="eastAsia" w:ascii="宋体" w:hAnsi="宋体" w:eastAsia="宋体" w:cs="宋体"/>
          <w:color w:val="auto"/>
          <w:sz w:val="24"/>
          <w:highlight w:val="none"/>
          <w:lang w:eastAsia="zh-CN"/>
        </w:rPr>
        <w:t xml:space="preserve">如果卖方未能按照合同规定的交货期限交货，卖方应按每天迟交合同标的金额的百分之</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lang w:val="en-US" w:eastAsia="zh-CN"/>
        </w:rPr>
        <w:t xml:space="preserve">1</w:t>
      </w:r>
      <w:r>
        <w:rPr>
          <w:rFonts w:hint="eastAsia" w:ascii="宋体" w:hAnsi="宋体" w:eastAsia="宋体" w:cs="宋体"/>
          <w:color w:val="auto"/>
          <w:sz w:val="24"/>
          <w:highlight w:val="none"/>
          <w:lang w:eastAsia="zh-CN"/>
        </w:rPr>
        <w:t xml:space="preserve">%)的比率支付违约金。违约金的总金额不超过合同总价的百分之</w:t>
      </w:r>
      <w:r>
        <w:rPr>
          <w:rFonts w:hint="eastAsia" w:ascii="宋体" w:hAnsi="宋体" w:eastAsia="宋体" w:cs="宋体"/>
          <w:color w:val="auto"/>
          <w:sz w:val="24"/>
          <w:highlight w:val="none"/>
          <w:u w:val="single"/>
          <w:lang w:eastAsia="zh-CN"/>
        </w:rPr>
        <w:t xml:space="preserve">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lang w:val="en-US" w:eastAsia="zh-CN"/>
        </w:rPr>
        <w:t xml:space="preserve">10</w:t>
      </w:r>
      <w:r>
        <w:rPr>
          <w:rFonts w:hint="eastAsia" w:ascii="宋体" w:hAnsi="宋体" w:eastAsia="宋体" w:cs="宋体"/>
          <w:color w:val="auto"/>
          <w:sz w:val="24"/>
          <w:highlight w:val="none"/>
          <w:lang w:eastAsia="zh-CN"/>
        </w:rPr>
        <w:t xml:space="preserve">%) ，违约金的支付不能免除卖方继续交付相关合同标的的义务。</w:t>
      </w:r>
      <w:r/>
    </w:p>
    <w:p>
      <w:pPr>
        <w:pStyle w:val="806"/>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如果卖方在合同规定的交货期限后十日内仍未能交付全部或部分标的，在不妨碍买方采取其他救济手段的情况下，买方可以向卖方发出书面违约通知从而全部或部分地终止合同。</w:t>
      </w:r>
      <w:r/>
    </w:p>
    <w:p>
      <w:pPr>
        <w:pStyle w:val="806"/>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如果卖方未按照承诺提供售后服务、维保等相关服务的，买方有权委托第三方服务单位进行维修保养，费用由卖方承担。</w:t>
      </w:r>
      <w:r/>
    </w:p>
    <w:p>
      <w:pPr>
        <w:pStyle w:val="80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    第七条 技术资料随合同标的同时交付给买方。</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第八条 安装</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卖方应于合同签订</w:t>
      </w:r>
      <w:r>
        <w:rPr>
          <w:rFonts w:hint="eastAsia" w:ascii="宋体" w:hAnsi="宋体" w:eastAsia="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u w:val="single"/>
          <w:lang w:val="en-US" w:eastAsia="zh-CN"/>
        </w:rPr>
        <w:t xml:space="preserve">30天</w:t>
      </w:r>
      <w:r>
        <w:rPr>
          <w:rFonts w:hint="eastAsia" w:ascii="宋体" w:hAnsi="宋体" w:eastAsia="宋体" w:cs="宋体"/>
          <w:color w:val="auto"/>
          <w:sz w:val="24"/>
          <w:szCs w:val="24"/>
          <w:highlight w:val="none"/>
          <w:lang w:eastAsia="zh-CN"/>
        </w:rPr>
        <w:t xml:space="preserve">内将设备送达供货地点，</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lang w:eastAsia="zh-CN"/>
        </w:rPr>
        <w:t xml:space="preserve">完成设备的安装</w:t>
      </w:r>
      <w:r>
        <w:rPr>
          <w:rFonts w:hint="eastAsia" w:ascii="宋体" w:hAnsi="宋体" w:eastAsia="宋体" w:cs="宋体"/>
          <w:color w:val="auto"/>
          <w:sz w:val="24"/>
          <w:szCs w:val="24"/>
          <w:highlight w:val="none"/>
          <w:lang w:val="en-US" w:eastAsia="zh-CN"/>
        </w:rPr>
        <w:t xml:space="preserve">调试</w:t>
      </w:r>
      <w:r>
        <w:rPr>
          <w:rFonts w:hint="eastAsia" w:ascii="宋体" w:hAnsi="宋体" w:eastAsia="宋体" w:cs="宋体"/>
          <w:color w:val="auto"/>
          <w:sz w:val="24"/>
          <w:szCs w:val="24"/>
          <w:highlight w:val="none"/>
          <w:lang w:eastAsia="zh-CN"/>
        </w:rPr>
        <w:t xml:space="preserve">及培训工作</w:t>
      </w:r>
      <w:r>
        <w:rPr>
          <w:rFonts w:hint="eastAsia" w:ascii="宋体" w:hAnsi="宋体" w:eastAsia="宋体" w:cs="宋体"/>
          <w:color w:val="auto"/>
          <w:sz w:val="24"/>
          <w:szCs w:val="24"/>
          <w:highlight w:val="none"/>
          <w:lang w:eastAsia="zh-CN"/>
        </w:rPr>
        <w:t xml:space="preserve">。</w:t>
      </w:r>
      <w:r/>
    </w:p>
    <w:p>
      <w:pPr>
        <w:ind w:left="502" w:firstLine="6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第九条 验收</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9.1 签订合同后，所有标的出厂需经买方验收后方可发货。</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9.2 合同标的的验收应在卖方的协助下进行。合同标的全部交付并安装完毕后，卖方可向买方书面提出验收要求，买方在接到书面要求后 3 日进行验收。如果验收因卖方原因发生迟延或在其它情况下发生额外费用，买方有权就因迟延发生的损害和损失或任何额外费用请求赔偿。</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第十一条 索赔</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11.1买方有权选择本条款规定的任意或全部救济方式。</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11.2卖方应在收到买方索赔要求后14日内作出书面回复，否则该索赔要求将被视为已被卖方接受。卖方应在买方发出索赔要求后14日内，按照买方选择的救济方法解决索赔事宜。卖方应赔偿因违约给买方造成的损失,包括但不限于因维权产生的律师费、诉讼费、保全费、鉴定费、交通费、诉讼保全担保费等。</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第十二条 不可抗力</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12.3 如果不可抗力事件的影响持续超过20日，合同任何一方均有权发出书面通知终止合同。</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第十三条 合同的终止</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13.1如果卖方有下述违约行为，买方可以全部或部分地终止合同：</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卖方在合同规定的交货期限后</w:t>
      </w:r>
      <w:r>
        <w:rPr>
          <w:rFonts w:hint="eastAsia" w:ascii="宋体" w:hAnsi="宋体" w:eastAsia="宋体" w:cs="宋体"/>
          <w:color w:val="auto"/>
          <w:sz w:val="24"/>
          <w:highlight w:val="none"/>
          <w:u w:val="single"/>
          <w:lang w:eastAsia="zh-CN"/>
        </w:rPr>
        <w:t xml:space="preserve">10</w:t>
      </w:r>
      <w:r>
        <w:rPr>
          <w:rFonts w:hint="eastAsia" w:ascii="宋体" w:hAnsi="宋体" w:eastAsia="宋体" w:cs="宋体"/>
          <w:color w:val="auto"/>
          <w:sz w:val="24"/>
          <w:highlight w:val="none"/>
          <w:lang w:eastAsia="zh-CN"/>
        </w:rPr>
        <w:t xml:space="preserve">日内仍未能交付合同标的和/ 或技术资料；或者卖方未能履行合同项下任何其它义务，并且在收到买方违约通知后</w:t>
      </w:r>
      <w:r>
        <w:rPr>
          <w:rFonts w:hint="eastAsia" w:ascii="宋体" w:hAnsi="宋体" w:eastAsia="宋体" w:cs="宋体"/>
          <w:color w:val="auto"/>
          <w:sz w:val="24"/>
          <w:highlight w:val="none"/>
          <w:u w:val="single"/>
          <w:lang w:eastAsia="zh-CN"/>
        </w:rPr>
        <w:t xml:space="preserve">5</w:t>
      </w:r>
      <w:r>
        <w:rPr>
          <w:rFonts w:hint="eastAsia" w:ascii="宋体" w:hAnsi="宋体" w:eastAsia="宋体" w:cs="宋体"/>
          <w:color w:val="auto"/>
          <w:sz w:val="24"/>
          <w:highlight w:val="none"/>
          <w:lang w:eastAsia="zh-CN"/>
        </w:rPr>
        <w:t xml:space="preserve">日内仍未能对其违约行为作出补救。</w:t>
      </w:r>
      <w:r/>
    </w:p>
    <w:p>
      <w:pPr>
        <w:ind w:firstLine="480"/>
        <w:keepLines w:val="0"/>
        <w:keepNext w:val="0"/>
        <w:pageBreakBefore w:val="0"/>
        <w:spacing w:after="0" w:line="360" w:lineRule="auto"/>
        <w:shd w:val="solid" w:color="ffffff" w:fil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bookmarkStart w:id="2" w:name="_Hlk209627217"/>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24"/>
          <w:highlight w:val="none"/>
          <w:lang w:eastAsia="zh-CN"/>
        </w:rPr>
        <w:t xml:space="preserve">卖方均自愿</w:t>
      </w:r>
      <w:bookmarkEnd w:id="2"/>
      <w:r>
        <w:rPr>
          <w:rFonts w:hint="eastAsia" w:ascii="宋体" w:hAnsi="宋体" w:eastAsia="宋体" w:cs="宋体"/>
          <w:color w:val="auto"/>
          <w:sz w:val="24"/>
          <w:highlight w:val="none"/>
          <w:lang w:eastAsia="zh-CN"/>
        </w:rPr>
        <w:t xml:space="preserve">按有关违约责任条款的约定向买方支付违约金，若给买方造成相应损失的，卖方自愿另行据实赔偿。</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第十四条 争议的解决</w:t>
      </w:r>
      <w:r/>
    </w:p>
    <w:p>
      <w:pPr>
        <w:ind w:firstLine="54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如不能协商一致，合同任何一方有权向买方所在地人民法院提起诉讼。因维权所支出的律师费、鉴定费、公证费、交通费等由违约方承担。 </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第十八条 合同生效及其他</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部分涉及商业秘密，该涉及商业秘密部分不公告。</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18.11 双方送达地址及联系方式</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一方的送达方式和送达地址在发生变更后应当及时书面通知另一方，否则依法邮寄到约定地址均视为已经送达；任何一方拒收均视为已经送达。</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合同双方的法定送达地址： </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买方：</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卖方：</w:t>
      </w:r>
      <w:r/>
    </w:p>
    <w:p>
      <w:pPr>
        <w:ind w:firstLine="48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买方（签章）： </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法定代表人或授权代表(签名)：</w:t>
      </w:r>
      <w:r/>
    </w:p>
    <w:p>
      <w:pPr>
        <w:pStyle w:val="823"/>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联系人：</w:t>
      </w:r>
      <w:r/>
    </w:p>
    <w:p>
      <w:pPr>
        <w:pStyle w:val="823"/>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联系方式：</w:t>
      </w:r>
      <w:r/>
    </w:p>
    <w:p>
      <w:pPr>
        <w:ind w:firstLine="480"/>
        <w:keepLines w:val="0"/>
        <w:keepNext w:val="0"/>
        <w:pageBreakBefore w:val="0"/>
        <w:spacing w:after="0"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lang w:eastAsia="zh-CN"/>
        </w:rPr>
        <w:t xml:space="preserve">签订日期：</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卖方（签章）：</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法定代表人或授权代表(签名)：</w:t>
      </w:r>
      <w:r/>
    </w:p>
    <w:p>
      <w:pPr>
        <w:pStyle w:val="823"/>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联系人：</w:t>
      </w:r>
      <w:r/>
    </w:p>
    <w:p>
      <w:pPr>
        <w:pStyle w:val="823"/>
        <w:ind w:left="0" w:firstLine="480"/>
        <w:keepLines w:val="0"/>
        <w:keepNext w:val="0"/>
        <w:pageBreakBefore w:val="0"/>
        <w:spacing w:after="0"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rPr>
        <w:t xml:space="preserve">联系方式：</w:t>
      </w:r>
      <w:r/>
    </w:p>
    <w:p>
      <w:pPr>
        <w:ind w:firstLine="480"/>
        <w:keepLines w:val="0"/>
        <w:keepNext w:val="0"/>
        <w:pageBreakBefore w:val="0"/>
        <w:spacing w:after="0" w:line="360" w:lineRule="auto"/>
        <w:rPr>
          <w:rFonts w:hint="eastAsia" w:ascii="宋体" w:hAnsi="宋体" w:eastAsia="宋体" w:cs="宋体"/>
          <w:b/>
          <w:bCs/>
          <w:color w:val="auto"/>
          <w:sz w:val="36"/>
          <w:szCs w:val="36"/>
          <w:highlight w:val="none"/>
          <w:lang w:eastAsia="zh-CN"/>
        </w:rPr>
      </w:pPr>
      <w:r>
        <w:rPr>
          <w:rFonts w:hint="eastAsia" w:ascii="宋体" w:hAnsi="宋体" w:eastAsia="宋体" w:cs="宋体"/>
          <w:color w:val="auto"/>
          <w:sz w:val="24"/>
          <w:highlight w:val="none"/>
          <w:lang w:eastAsia="zh-CN"/>
        </w:rPr>
        <w:t xml:space="preserve">签订日期：</w:t>
      </w:r>
      <w:r/>
    </w:p>
    <w:p>
      <w:pPr>
        <w:jc w:val="center"/>
        <w:keepLines w:val="0"/>
        <w:keepNext w:val="0"/>
        <w:pageBreakBefore w:val="0"/>
        <w:spacing w:after="0" w:line="360" w:lineRule="auto"/>
        <w:rPr>
          <w:rFonts w:hint="eastAsia" w:ascii="宋体" w:hAnsi="宋体" w:eastAsia="宋体" w:cs="宋体"/>
          <w:b/>
          <w:bCs/>
          <w:color w:val="auto"/>
          <w:sz w:val="36"/>
          <w:szCs w:val="36"/>
          <w:highlight w:val="none"/>
          <w:lang w:eastAsia="zh-CN"/>
        </w:rPr>
        <w:sectPr>
          <w:footnotePr/>
          <w:endnotePr/>
          <w:type w:val="nextPage"/>
          <w:pgSz w:w="11906" w:h="16838" w:orient="portrait"/>
          <w:pgMar w:top="1440" w:right="1701" w:bottom="1440" w:left="1701" w:header="850" w:footer="992" w:gutter="0"/>
          <w:cols w:num="1" w:sep="0" w:space="0" w:equalWidth="1"/>
          <w:docGrid w:linePitch="360"/>
        </w:sectPr>
      </w:pPr>
      <w:r>
        <w:rPr>
          <w:rFonts w:hint="eastAsia" w:ascii="宋体" w:hAnsi="宋体" w:eastAsia="宋体" w:cs="宋体"/>
          <w:b/>
          <w:bCs/>
          <w:color w:val="auto"/>
          <w:sz w:val="36"/>
          <w:szCs w:val="36"/>
          <w:highlight w:val="none"/>
          <w:lang w:eastAsia="zh-CN"/>
        </w:rPr>
      </w:r>
      <w:r/>
    </w:p>
    <w:p>
      <w:pPr>
        <w:jc w:val="center"/>
        <w:keepLines w:val="0"/>
        <w:keepNext w:val="0"/>
        <w:pageBreakBefore w:val="0"/>
        <w:spacing w:after="0" w:line="360" w:lineRule="auto"/>
        <w:rPr>
          <w:rFonts w:hint="eastAsia" w:ascii="宋体" w:hAnsi="宋体" w:eastAsia="宋体" w:cs="宋体"/>
          <w:color w:val="auto"/>
          <w:sz w:val="40"/>
          <w:szCs w:val="40"/>
          <w:highlight w:val="none"/>
          <w:lang w:eastAsia="zh-CN"/>
        </w:rPr>
      </w:pPr>
      <w:r>
        <w:rPr>
          <w:rFonts w:hint="eastAsia" w:ascii="宋体" w:hAnsi="宋体" w:eastAsia="宋体" w:cs="宋体"/>
          <w:b/>
          <w:bCs/>
          <w:color w:val="auto"/>
          <w:sz w:val="36"/>
          <w:szCs w:val="36"/>
          <w:highlight w:val="none"/>
          <w:lang w:eastAsia="zh-CN"/>
        </w:rPr>
        <w:t xml:space="preserve">合同附件</w:t>
      </w:r>
      <w:r/>
    </w:p>
    <w:p>
      <w:pPr>
        <w:jc w:val="cente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目  录</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合同附件1：合同协议书</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合同附件2：技术规格和技术性能</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要求见招标文件第五章《采购需求》；合同见卖方投标文件。</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合同附件3：售后服务和技术培训</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要求见招标文件第</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lang w:eastAsia="zh-CN"/>
        </w:rPr>
        <w:t xml:space="preserve">章《采购需求》；合同见卖方投标文件。</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合同附件4：供货范围和价格清单</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要求见招标文件第七章《投标文件相关格式》中《开标一览表》和《分项价格表》；合同见卖方投标文件。</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after="0" w:line="360" w:lineRule="auto"/>
        <w:rPr>
          <w:rFonts w:hint="eastAsia" w:ascii="宋体" w:hAnsi="宋体" w:eastAsia="宋体" w:cs="宋体"/>
          <w:color w:val="auto"/>
          <w:sz w:val="24"/>
          <w:highlight w:val="none"/>
          <w:lang w:eastAsia="zh-CN"/>
        </w:rPr>
        <w:sectPr>
          <w:footnotePr/>
          <w:endnotePr/>
          <w:type w:val="nextPage"/>
          <w:pgSz w:w="11906" w:h="16838" w:orient="portrait"/>
          <w:pgMar w:top="1440" w:right="1701" w:bottom="1440" w:left="1701" w:header="850" w:footer="992" w:gutter="0"/>
          <w:cols w:num="1" w:sep="0" w:space="0" w:equalWidth="1"/>
          <w:docGrid w:linePitch="360"/>
        </w:sectPr>
      </w:pPr>
      <w:r>
        <w:rPr>
          <w:rFonts w:hint="eastAsia" w:ascii="宋体" w:hAnsi="宋体" w:eastAsia="宋体" w:cs="宋体"/>
          <w:color w:val="auto"/>
          <w:sz w:val="24"/>
          <w:highlight w:val="none"/>
          <w:lang w:eastAsia="zh-CN"/>
        </w:rPr>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合同附件1：</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jc w:val="cente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合同协议书</w:t>
      </w:r>
      <w:r/>
    </w:p>
    <w:p>
      <w:pPr>
        <w:jc w:val="left"/>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合同编号:____________</w:t>
      </w:r>
      <w:r/>
    </w:p>
    <w:p>
      <w:pPr>
        <w:jc w:val="left"/>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签字日期:____________</w:t>
      </w:r>
      <w:r/>
    </w:p>
    <w:p>
      <w:pPr>
        <w:jc w:val="left"/>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签字地点:____________</w:t>
      </w:r>
      <w:r/>
    </w:p>
    <w:p>
      <w:pPr>
        <w:ind w:firstLine="41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480"/>
        <w:keepLines w:val="0"/>
        <w:keepNext w:val="0"/>
        <w:pageBreakBefore w:val="0"/>
        <w:spacing w:after="0" w:line="360" w:lineRule="auto"/>
        <w:widowControl/>
        <w:rPr>
          <w:rFonts w:hint="eastAsia" w:ascii="宋体" w:hAnsi="宋体" w:eastAsia="宋体" w:cs="宋体"/>
          <w:color w:val="auto"/>
          <w:sz w:val="24"/>
          <w:highlight w:val="none"/>
          <w:lang w:eastAsia="zh-CN"/>
        </w:rPr>
      </w:pPr>
      <w:r>
        <w:rPr>
          <w:rFonts w:ascii="宋体" w:hAnsi="宋体"/>
          <w:sz w:val="24"/>
          <w:szCs w:val="24"/>
          <w:u w:val="single"/>
        </w:rPr>
        <w:t xml:space="preserve">         </w:t>
      </w:r>
      <w:r>
        <w:rPr>
          <w:rFonts w:hint="eastAsia" w:ascii="宋体" w:hAnsi="宋体" w:eastAsia="宋体" w:cs="宋体"/>
          <w:color w:val="auto"/>
          <w:sz w:val="24"/>
          <w:highlight w:val="none"/>
          <w:lang w:eastAsia="zh-CN"/>
        </w:rPr>
        <w:t xml:space="preserve">（买方名称）（以下简称“买方”）已接受</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u w:val="none"/>
          <w:lang w:eastAsia="zh-CN"/>
        </w:rPr>
        <w:t xml:space="preserve">（卖方名称）</w:t>
      </w:r>
      <w:r>
        <w:rPr>
          <w:rFonts w:hint="eastAsia" w:ascii="宋体" w:hAnsi="宋体" w:eastAsia="宋体" w:cs="宋体"/>
          <w:color w:val="auto"/>
          <w:sz w:val="24"/>
          <w:highlight w:val="none"/>
          <w:lang w:eastAsia="zh-CN"/>
        </w:rPr>
        <w:t xml:space="preserve">（以下简称“卖方”）对</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（项目名称）[项目编号</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]的投标。买方和卖方共同达成如下协议。</w:t>
      </w:r>
      <w:r/>
    </w:p>
    <w:p>
      <w:pPr>
        <w:ind w:left="36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1.本合同协议书中的词语和术语的含义与合同条款中定义的相同。</w:t>
      </w:r>
      <w:r/>
    </w:p>
    <w:p>
      <w:pPr>
        <w:ind w:firstLine="36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2.以下文件应构成买方和卖方之间达成的合同，若各文件之间存在含糊不清或互相冲突之处，优先顺序应按下列文件顺序解释。</w:t>
      </w:r>
      <w:r/>
    </w:p>
    <w:p>
      <w:pPr>
        <w:ind w:left="44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 合同协议书</w:t>
      </w:r>
      <w:r/>
    </w:p>
    <w:p>
      <w:pPr>
        <w:ind w:left="44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 中标通知书</w:t>
      </w:r>
      <w:r/>
    </w:p>
    <w:p>
      <w:pPr>
        <w:ind w:left="44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 合同专用条款</w:t>
      </w:r>
      <w:r/>
    </w:p>
    <w:p>
      <w:pPr>
        <w:ind w:left="44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(4) 合同通用条款</w:t>
      </w:r>
      <w:r/>
    </w:p>
    <w:p>
      <w:pPr>
        <w:ind w:left="44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 除合同附件1外的合同附件</w:t>
      </w:r>
      <w:r/>
    </w:p>
    <w:p>
      <w:pPr>
        <w:ind w:left="44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(6) 其他文件</w:t>
      </w:r>
      <w:r/>
    </w:p>
    <w:p>
      <w:pPr>
        <w:pStyle w:val="834"/>
        <w:ind w:firstLine="48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上述文件与招标人的招标文件和中标人的投标文件实质性内容相背离的，应执行招标人的招标文件和中标人的投标文件规定。</w:t>
      </w:r>
      <w:r/>
    </w:p>
    <w:p>
      <w:pPr>
        <w:ind w:firstLine="54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3.考虑到买方将按照本合同向卖方支付合同价款，卖方在此保证全部按照合同的规定向买方提供合同标的、技术资料、售后服务及技术培训。</w:t>
      </w:r>
      <w:r/>
    </w:p>
    <w:p>
      <w:pPr>
        <w:ind w:firstLine="54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4.考虑到卖方将按合同规定提供合同标的、技术资料、售后服务及技术培训，买方在此保证按照合同规定的时间和方式向卖方支付合同价款。</w:t>
      </w:r>
      <w:r/>
    </w:p>
    <w:p>
      <w:pPr>
        <w:ind w:firstLine="48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5.本合同在下列条件全部满足后生效，生效日期以下列条件全部满足的最晚日期为准： </w:t>
      </w:r>
      <w:r/>
    </w:p>
    <w:p>
      <w:pPr>
        <w:ind w:left="440" w:firstLine="12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双方加盖公章或合同专用章；</w:t>
      </w:r>
      <w:r/>
    </w:p>
    <w:p>
      <w:pPr>
        <w:ind w:firstLine="48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6.合同一式</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份，具有同等法律效力，买方</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份，卖方</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份。</w:t>
      </w:r>
      <w:r/>
    </w:p>
    <w:p>
      <w:pPr>
        <w:ind w:firstLine="48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7.本合同其他未尽事宜及与采购文件有矛盾之处，以采购文件[项目编号：</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 xml:space="preserve">]为准。</w:t>
      </w:r>
      <w:r/>
    </w:p>
    <w:p>
      <w:pPr>
        <w:ind w:firstLine="36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买方和卖方由其正式授权代表于上述所写日期和地点签订本合同。</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   买方（签章）：___________________________________  </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   法定代表人或授权代表(签名)： ____________________ </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   开户银行：_______________________________________ </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   银行帐号： ______________________________________</w:t>
      </w:r>
      <w:r/>
    </w:p>
    <w:p>
      <w:pPr>
        <w:ind w:firstLine="336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   卖方（签章）： __________________________________ </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   法定代表人或授权代表(签名)： ____________________ </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   开户银行：_______________________________________ </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   银行帐号：_______________________________________</w:t>
      </w:r>
      <w:r/>
    </w:p>
    <w:p>
      <w:pPr>
        <w:jc w:val="both"/>
        <w:keepLines w:val="0"/>
        <w:keepNext w:val="0"/>
        <w:pageBreakBefore w:val="0"/>
        <w:spacing w:after="0" w:line="360" w:lineRule="auto"/>
        <w:rPr>
          <w:rFonts w:hint="eastAsia" w:ascii="宋体" w:hAnsi="宋体" w:eastAsia="宋体" w:cs="宋体"/>
          <w:color w:val="auto"/>
          <w:highlight w:val="none"/>
          <w:lang w:eastAsia="zh-CN"/>
        </w:rPr>
        <w:sectPr>
          <w:footnotePr/>
          <w:endnotePr/>
          <w:type w:val="nextPage"/>
          <w:pgSz w:w="11906" w:h="16838" w:orient="portrait"/>
          <w:pgMar w:top="1440" w:right="1701" w:bottom="1440" w:left="1701" w:header="850" w:footer="992" w:gutter="0"/>
          <w:cols w:num="1" w:sep="0" w:space="0" w:equalWidth="1"/>
          <w:docGrid w:linePitch="360"/>
        </w:sectPr>
      </w:pPr>
      <w:r>
        <w:rPr>
          <w:rFonts w:hint="eastAsia" w:ascii="宋体" w:hAnsi="宋体" w:eastAsia="宋体" w:cs="宋体"/>
          <w:b/>
          <w:bCs/>
          <w:color w:val="auto"/>
          <w:sz w:val="36"/>
          <w:szCs w:val="36"/>
          <w:highlight w:val="none"/>
          <w:lang w:eastAsia="zh-CN"/>
        </w:rPr>
        <w:t xml:space="preserve">  </w:t>
      </w:r>
      <w:r>
        <w:rPr>
          <w:rFonts w:hint="eastAsia" w:ascii="宋体" w:hAnsi="宋体" w:eastAsia="宋体" w:cs="宋体"/>
          <w:color w:val="auto"/>
          <w:sz w:val="24"/>
          <w:highlight w:val="none"/>
          <w:lang w:eastAsia="zh-CN"/>
        </w:rPr>
        <w:t xml:space="preserve">签订时间：      年   月   日</w:t>
      </w:r>
      <w:r/>
    </w:p>
    <w:p>
      <w:pPr>
        <w:jc w:val="center"/>
        <w:keepLines w:val="0"/>
        <w:keepNext w:val="0"/>
        <w:pageBreakBefore w:val="0"/>
        <w:spacing w:after="0" w:line="360" w:lineRule="auto"/>
        <w:widowControl/>
        <w:rPr>
          <w:rFonts w:hint="eastAsia" w:ascii="宋体" w:hAnsi="宋体" w:eastAsia="宋体" w:cs="宋体"/>
          <w:b/>
          <w:color w:val="auto"/>
          <w:sz w:val="28"/>
          <w:szCs w:val="28"/>
          <w:highlight w:val="none"/>
          <w:lang w:eastAsia="zh-CN"/>
        </w:rPr>
        <w:pBdr>
          <w:top w:val="none" w:color="000000" w:sz="0" w:space="28"/>
          <w:left w:val="none" w:color="000000" w:sz="0" w:space="0"/>
          <w:bottom w:val="none" w:color="000000" w:sz="0" w:space="0"/>
          <w:right w:val="none" w:color="000000" w:sz="0" w:space="0"/>
        </w:pBdr>
        <w:outlineLvl w:val="0"/>
      </w:pPr>
      <w:r>
        <w:rPr>
          <w:rFonts w:hint="eastAsia" w:ascii="宋体" w:hAnsi="宋体" w:eastAsia="宋体" w:cs="宋体"/>
          <w:b/>
          <w:color w:val="auto"/>
          <w:sz w:val="28"/>
          <w:szCs w:val="28"/>
          <w:highlight w:val="none"/>
          <w:lang w:eastAsia="zh-CN"/>
        </w:rPr>
        <w:t xml:space="preserve">第六章  采购需求</w:t>
      </w:r>
      <w:r/>
    </w:p>
    <w:p>
      <w:pPr>
        <w:pStyle w:val="803"/>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bookmarkStart w:id="3" w:name="OLE_LINK16"/>
      <w:r/>
      <w:bookmarkStart w:id="4" w:name="OLE_LINK12"/>
      <w:r>
        <w:rPr>
          <w:rFonts w:hint="eastAsia" w:ascii="宋体" w:hAnsi="宋体" w:eastAsia="宋体" w:cs="宋体"/>
          <w:b/>
          <w:bCs/>
          <w:color w:val="000000"/>
          <w:sz w:val="24"/>
          <w:szCs w:val="24"/>
          <w:highlight w:val="none"/>
        </w:rPr>
        <w:t xml:space="preserve">一、采购标的</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1.采购人：沛县教育局</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沛县歌风中学（树恩校区）二期工程弱电安装项目</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3.采购标的：具体详见本招标文件第六章《采购需求》中“</w:t>
      </w:r>
      <w:r>
        <w:rPr>
          <w:rFonts w:hint="eastAsia" w:ascii="宋体" w:hAnsi="宋体" w:eastAsia="宋体" w:cs="宋体"/>
          <w:b w:val="0"/>
          <w:bCs w:val="0"/>
          <w:color w:val="000000"/>
          <w:sz w:val="24"/>
          <w:highlight w:val="none"/>
          <w:lang w:val="en-US" w:eastAsia="zh-CN"/>
        </w:rPr>
        <w:t xml:space="preserve">采购清单及技术参数规格要求</w:t>
      </w:r>
      <w:r>
        <w:rPr>
          <w:rFonts w:hint="eastAsia" w:ascii="宋体" w:hAnsi="宋体" w:eastAsia="宋体" w:cs="宋体"/>
          <w:color w:val="000000"/>
          <w:sz w:val="24"/>
          <w:szCs w:val="24"/>
          <w:highlight w:val="none"/>
        </w:rPr>
        <w:t xml:space="preserve">”。</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4.本次采购的为非进口产品。</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rPr>
        <w:t xml:space="preserve">本项目</w:t>
      </w:r>
      <w:r>
        <w:rPr>
          <w:rFonts w:hint="eastAsia" w:ascii="宋体" w:hAnsi="宋体" w:eastAsia="宋体" w:cs="宋体"/>
          <w:b/>
          <w:bCs/>
          <w:color w:val="000000"/>
          <w:sz w:val="24"/>
          <w:szCs w:val="24"/>
        </w:rPr>
        <w:t xml:space="preserve">不属于</w:t>
      </w:r>
      <w:r>
        <w:rPr>
          <w:rFonts w:hint="eastAsia" w:ascii="宋体" w:hAnsi="宋体" w:eastAsia="宋体" w:cs="宋体"/>
          <w:color w:val="000000"/>
          <w:sz w:val="24"/>
          <w:szCs w:val="24"/>
        </w:rPr>
        <w:t xml:space="preserve">专门面向中小企业采购的项目</w:t>
      </w:r>
      <w:r>
        <w:rPr>
          <w:rFonts w:hint="eastAsia" w:ascii="宋体" w:hAnsi="宋体" w:eastAsia="宋体" w:cs="宋体"/>
          <w:color w:val="000000"/>
          <w:sz w:val="24"/>
          <w:szCs w:val="24"/>
          <w:highlight w:val="none"/>
        </w:rPr>
        <w:t xml:space="preserve">。</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eastAsia="zh-CN"/>
        </w:rPr>
        <w:t xml:space="preserve">沛县歌风中学（树恩校区）二期工程弱电安装项目</w:t>
      </w:r>
      <w:r>
        <w:rPr>
          <w:rFonts w:hint="eastAsia" w:ascii="宋体" w:hAnsi="宋体" w:eastAsia="宋体" w:cs="宋体"/>
          <w:color w:val="000000"/>
          <w:sz w:val="24"/>
          <w:szCs w:val="24"/>
          <w:highlight w:val="none"/>
        </w:rPr>
        <w:t xml:space="preserve">采购对应的中小企业划分标准所属行业为</w:t>
      </w:r>
      <w:r>
        <w:rPr>
          <w:rFonts w:hint="eastAsia" w:ascii="宋体" w:hAnsi="宋体" w:eastAsia="宋体" w:cs="宋体"/>
          <w:color w:val="000000"/>
          <w:sz w:val="24"/>
          <w:szCs w:val="24"/>
          <w:highlight w:val="none"/>
          <w:u w:val="single"/>
        </w:rPr>
        <w:t xml:space="preserve">工业</w:t>
      </w:r>
      <w:r>
        <w:rPr>
          <w:rFonts w:hint="eastAsia" w:ascii="宋体" w:hAnsi="宋体" w:eastAsia="宋体" w:cs="宋体"/>
          <w:color w:val="000000"/>
          <w:sz w:val="24"/>
          <w:szCs w:val="24"/>
          <w:highlight w:val="none"/>
        </w:rPr>
        <w:t xml:space="preserve">。</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注：中小企业划分标准所属行业以《工业和信息化部、国家统计局、国家发展和改革委员会、财政部关于印发中小企业划型标准规定的通知》（工信部联企业[2011]300号）的规定为准：</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03"/>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二、采购预算 </w:t>
      </w:r>
      <w:r/>
    </w:p>
    <w:p>
      <w:pPr>
        <w:ind w:firstLine="480"/>
        <w:keepLines w:val="0"/>
        <w:keepNext w:val="0"/>
        <w:pageBreakBefore w:val="0"/>
        <w:spacing w:after="0" w:line="360" w:lineRule="auto"/>
        <w:widowControl/>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rPr>
        <w:t xml:space="preserve">本项目不接受超过</w:t>
      </w:r>
      <w:r>
        <w:rPr>
          <w:rFonts w:hint="eastAsia" w:ascii="宋体" w:hAnsi="宋体" w:eastAsia="宋体" w:cs="宋体"/>
          <w:b w:val="0"/>
          <w:bCs w:val="0"/>
          <w:color w:val="auto"/>
          <w:sz w:val="24"/>
          <w:szCs w:val="24"/>
          <w:highlight w:val="none"/>
          <w:u w:val="single"/>
          <w:shd w:val="clear" w:color="auto" w:fill="auto"/>
          <w:lang w:val="en-US" w:eastAsia="zh-CN"/>
        </w:rPr>
        <w:t xml:space="preserve">  130  </w:t>
      </w:r>
      <w:r>
        <w:rPr>
          <w:rFonts w:hint="eastAsia" w:ascii="宋体" w:hAnsi="宋体" w:eastAsia="宋体" w:cs="宋体"/>
          <w:b w:val="0"/>
          <w:bCs w:val="0"/>
          <w:color w:val="auto"/>
          <w:sz w:val="24"/>
          <w:szCs w:val="24"/>
          <w:highlight w:val="none"/>
          <w:shd w:val="clear" w:color="auto" w:fill="auto"/>
        </w:rPr>
        <w:t xml:space="preserve">万元人民币（采购项目预算金额）的投标报价，报价包括产品价格、运费、维修费、配件费、保险、培训、售后服务、招标代理费、投标人的利润、税金等全部费用，采购人不再支付报价以外的任何费用</w:t>
      </w:r>
      <w:r>
        <w:rPr>
          <w:rFonts w:hint="eastAsia" w:ascii="宋体" w:hAnsi="宋体" w:eastAsia="宋体" w:cs="宋体"/>
          <w:b w:val="0"/>
          <w:bCs w:val="0"/>
          <w:color w:val="auto"/>
          <w:sz w:val="24"/>
          <w:szCs w:val="24"/>
          <w:highlight w:val="none"/>
          <w:shd w:val="clear" w:color="auto" w:fill="auto"/>
          <w:lang w:eastAsia="zh-CN"/>
        </w:rPr>
        <w:t xml:space="preserve">。</w:t>
      </w:r>
      <w:r/>
    </w:p>
    <w:p>
      <w:pPr>
        <w:ind w:firstLine="480"/>
        <w:keepLines w:val="0"/>
        <w:keepNext w:val="0"/>
        <w:pageBreakBefore w:val="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szCs w:val="24"/>
          <w:highlight w:val="none"/>
        </w:rPr>
        <w:t xml:space="preserve">三、</w:t>
      </w:r>
      <w:r>
        <w:rPr>
          <w:rFonts w:hint="eastAsia" w:ascii="宋体" w:hAnsi="宋体" w:eastAsia="宋体" w:cs="宋体"/>
          <w:b/>
          <w:bCs/>
          <w:color w:val="000000"/>
          <w:sz w:val="24"/>
          <w:highlight w:val="none"/>
          <w:lang w:val="en-US" w:eastAsia="zh-CN"/>
        </w:rPr>
        <w:t xml:space="preserve">采购清单及技术参数规格要求</w:t>
      </w:r>
      <w:bookmarkEnd w:id="3"/>
      <w:r/>
      <w:bookmarkEnd w:id="4"/>
      <w:r/>
      <w:r/>
    </w:p>
    <w:tbl>
      <w:tblPr>
        <w:tblStyle w:val="792"/>
        <w:tblW w:w="9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0"/>
        <w:gridCol w:w="1455"/>
        <w:gridCol w:w="6161"/>
        <w:gridCol w:w="673"/>
        <w:gridCol w:w="661"/>
      </w:tblGrid>
      <w:tr>
        <w:trPr>
          <w:jc w:val="center"/>
          <w:trHeight w:val="270"/>
        </w:trPr>
        <w:tc>
          <w:tcPr>
            <w:gridSpan w:val="5"/>
            <w:shd w:val="clear" w:color="auto" w:fill="auto"/>
            <w:tcW w:w="96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0"/>
                <w:szCs w:val="20"/>
                <w:u w:val="none"/>
                <w:lang w:val="en-US" w:eastAsia="zh-CN" w:bidi="ar"/>
              </w:rPr>
              <w:t xml:space="preserve">（一）</w:t>
            </w:r>
            <w:r>
              <w:rPr>
                <w:rFonts w:hint="eastAsia" w:ascii="宋体" w:hAnsi="宋体" w:eastAsia="宋体" w:cs="宋体"/>
                <w:b/>
                <w:bCs/>
                <w:i w:val="0"/>
                <w:iCs w:val="0"/>
                <w:color w:val="000000"/>
                <w:sz w:val="22"/>
                <w:szCs w:val="22"/>
                <w:u w:val="none"/>
                <w:lang w:val="en-US" w:eastAsia="zh-CN" w:bidi="ar"/>
              </w:rPr>
              <w:t xml:space="preserve">综合布线校园网</w:t>
            </w:r>
            <w:r/>
          </w:p>
        </w:tc>
      </w:tr>
      <w:tr>
        <w:trPr>
          <w:jc w:val="center"/>
          <w:trHeight w:val="499"/>
        </w:trPr>
        <w:tc>
          <w:tcPr>
            <w:shd w:val="clear" w:color="auto" w:fill="auto"/>
            <w:tcW w:w="650" w:type="dxa"/>
            <w:vAlign w:val="center"/>
            <w:textDirection w:val="lrTb"/>
            <w:noWrap/>
          </w:tcPr>
          <w:p>
            <w:pPr>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45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名称</w:t>
            </w:r>
            <w:r/>
          </w:p>
        </w:tc>
        <w:tc>
          <w:tcPr>
            <w:shd w:val="clear" w:color="auto" w:fill="auto"/>
            <w:tcW w:w="6161" w:type="dxa"/>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参数</w:t>
            </w:r>
            <w:r/>
          </w:p>
        </w:tc>
        <w:tc>
          <w:tcPr>
            <w:shd w:val="clear" w:color="auto" w:fill="auto"/>
            <w:tcW w:w="67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shd w:val="clear" w:color="auto" w:fill="auto"/>
            <w:tcW w:w="66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r>
      <w:tr>
        <w:trPr>
          <w:jc w:val="center"/>
          <w:trHeight w:val="270"/>
        </w:trPr>
        <w:tc>
          <w:tcPr>
            <w:gridSpan w:val="5"/>
            <w:shd w:val="clear" w:color="auto" w:fill="auto"/>
            <w:tcW w:w="9600"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一、机房及核心层设备</w:t>
            </w:r>
            <w:r/>
          </w:p>
        </w:tc>
      </w:tr>
      <w:tr>
        <w:trPr>
          <w:jc w:val="center"/>
          <w:trHeight w:val="4785"/>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OLT主控板</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Style w:val="1122"/>
                <w:lang w:val="en-US" w:eastAsia="zh-CN" w:bidi="ar"/>
              </w:rPr>
              <w:t xml:space="preserve">硬件规格</w:t>
            </w:r>
            <w:r>
              <w:rPr>
                <w:rStyle w:val="1122"/>
                <w:lang w:val="en-US" w:eastAsia="zh-CN" w:bidi="ar"/>
              </w:rPr>
              <w:br/>
            </w:r>
            <w:r>
              <w:rPr>
                <w:rStyle w:val="1123"/>
                <w:rFonts w:eastAsia="宋体"/>
                <w:lang w:val="en-US" w:eastAsia="zh-CN" w:bidi="ar"/>
              </w:rPr>
              <w:t xml:space="preserve">‌</w:t>
            </w:r>
            <w:r>
              <w:rPr>
                <w:rStyle w:val="1122"/>
                <w:lang w:val="en-US" w:eastAsia="zh-CN" w:bidi="ar"/>
              </w:rPr>
              <w:t xml:space="preserve">尺寸</w:t>
            </w:r>
            <w:r>
              <w:rPr>
                <w:rStyle w:val="1123"/>
                <w:rFonts w:eastAsia="宋体"/>
                <w:lang w:val="en-US" w:eastAsia="zh-CN" w:bidi="ar"/>
              </w:rPr>
              <w:t xml:space="preserve">‌</w:t>
            </w:r>
            <w:r>
              <w:rPr>
                <w:rStyle w:val="1122"/>
                <w:lang w:val="en-US" w:eastAsia="zh-CN" w:bidi="ar"/>
              </w:rPr>
              <w:t xml:space="preserve">：490mm（宽）×275.8mm（深）×447.2mm（高）</w:t>
            </w:r>
            <w:r>
              <w:rPr>
                <w:rStyle w:val="1123"/>
                <w:rFonts w:eastAsia="宋体"/>
                <w:lang w:val="en-US" w:eastAsia="zh-CN" w:bidi="ar"/>
              </w:rPr>
              <w:t xml:space="preserve">‌</w:t>
            </w:r>
            <w:r>
              <w:rPr>
                <w:rStyle w:val="1122"/>
                <w:lang w:val="en-US" w:eastAsia="zh-CN" w:bidi="ar"/>
              </w:rPr>
              <w:br/>
            </w:r>
            <w:r>
              <w:rPr>
                <w:rStyle w:val="1123"/>
                <w:rFonts w:eastAsia="宋体"/>
                <w:lang w:val="en-US" w:eastAsia="zh-CN" w:bidi="ar"/>
              </w:rPr>
              <w:t xml:space="preserve">‌</w:t>
            </w:r>
            <w:r>
              <w:rPr>
                <w:rStyle w:val="1122"/>
                <w:lang w:val="en-US" w:eastAsia="zh-CN" w:bidi="ar"/>
              </w:rPr>
              <w:t xml:space="preserve">重量</w:t>
            </w:r>
            <w:r>
              <w:rPr>
                <w:rStyle w:val="1123"/>
                <w:rFonts w:eastAsia="宋体"/>
                <w:lang w:val="en-US" w:eastAsia="zh-CN" w:bidi="ar"/>
              </w:rPr>
              <w:t xml:space="preserve">‌</w:t>
            </w:r>
            <w:r>
              <w:rPr>
                <w:rStyle w:val="1122"/>
                <w:lang w:val="en-US" w:eastAsia="zh-CN" w:bidi="ar"/>
              </w:rPr>
              <w:t xml:space="preserve">：约20kg（具体因配置不同略有差异）</w:t>
            </w:r>
            <w:r>
              <w:rPr>
                <w:rStyle w:val="1123"/>
                <w:rFonts w:eastAsia="宋体"/>
                <w:lang w:val="en-US" w:eastAsia="zh-CN" w:bidi="ar"/>
              </w:rPr>
              <w:t xml:space="preserve">‌</w:t>
            </w:r>
            <w:r>
              <w:rPr>
                <w:rStyle w:val="1122"/>
                <w:lang w:val="en-US" w:eastAsia="zh-CN" w:bidi="ar"/>
              </w:rPr>
              <w:br/>
            </w:r>
            <w:r>
              <w:rPr>
                <w:rStyle w:val="1123"/>
                <w:rFonts w:eastAsia="宋体"/>
                <w:lang w:val="en-US" w:eastAsia="zh-CN" w:bidi="ar"/>
              </w:rPr>
              <w:t xml:space="preserve">‌</w:t>
            </w:r>
            <w:r>
              <w:rPr>
                <w:rStyle w:val="1122"/>
                <w:lang w:val="en-US" w:eastAsia="zh-CN" w:bidi="ar"/>
              </w:rPr>
              <w:t xml:space="preserve">电源</w:t>
            </w:r>
            <w:r>
              <w:rPr>
                <w:rStyle w:val="1123"/>
                <w:rFonts w:eastAsia="宋体"/>
                <w:lang w:val="en-US" w:eastAsia="zh-CN" w:bidi="ar"/>
              </w:rPr>
              <w:t xml:space="preserve">‌</w:t>
            </w:r>
            <w:r>
              <w:rPr>
                <w:rStyle w:val="1122"/>
                <w:lang w:val="en-US" w:eastAsia="zh-CN" w:bidi="ar"/>
              </w:rPr>
              <w:t xml:space="preserve">：支持-48V直流双电源输入，工作电压范围-38.4V至-72V</w:t>
            </w:r>
            <w:r>
              <w:rPr>
                <w:rStyle w:val="1123"/>
                <w:rFonts w:eastAsia="宋体"/>
                <w:lang w:val="en-US" w:eastAsia="zh-CN" w:bidi="ar"/>
              </w:rPr>
              <w:t xml:space="preserve">‌</w:t>
            </w:r>
            <w:r>
              <w:rPr>
                <w:rStyle w:val="1122"/>
                <w:lang w:val="en-US" w:eastAsia="zh-CN" w:bidi="ar"/>
              </w:rPr>
              <w:br/>
            </w:r>
            <w:r>
              <w:rPr>
                <w:rStyle w:val="1123"/>
                <w:rFonts w:eastAsia="宋体"/>
                <w:lang w:val="en-US" w:eastAsia="zh-CN" w:bidi="ar"/>
              </w:rPr>
              <w:t xml:space="preserve">‌</w:t>
            </w:r>
            <w:r>
              <w:rPr>
                <w:rStyle w:val="1122"/>
                <w:lang w:val="en-US" w:eastAsia="zh-CN" w:bidi="ar"/>
              </w:rPr>
              <w:t xml:space="preserve">工作温度</w:t>
            </w:r>
            <w:r>
              <w:rPr>
                <w:rStyle w:val="1123"/>
                <w:rFonts w:eastAsia="宋体"/>
                <w:lang w:val="en-US" w:eastAsia="zh-CN" w:bidi="ar"/>
              </w:rPr>
              <w:t xml:space="preserve">‌</w:t>
            </w:r>
            <w:r>
              <w:rPr>
                <w:rStyle w:val="1122"/>
                <w:lang w:val="en-US" w:eastAsia="zh-CN" w:bidi="ar"/>
              </w:rPr>
              <w:t xml:space="preserve">：-20℃至55℃（部分型号支持-25℃至55℃）</w:t>
            </w:r>
            <w:r>
              <w:rPr>
                <w:rStyle w:val="1123"/>
                <w:rFonts w:eastAsia="宋体"/>
                <w:lang w:val="en-US" w:eastAsia="zh-CN" w:bidi="ar"/>
              </w:rPr>
              <w:t xml:space="preserve">‌</w:t>
            </w:r>
            <w:r>
              <w:rPr>
                <w:rStyle w:val="1122"/>
                <w:lang w:val="en-US" w:eastAsia="zh-CN" w:bidi="ar"/>
              </w:rPr>
              <w:br/>
            </w:r>
            <w:r>
              <w:rPr>
                <w:rStyle w:val="1122"/>
                <w:lang w:val="en-US" w:eastAsia="zh-CN" w:bidi="ar"/>
              </w:rPr>
              <w:t xml:space="preserve">性能参数</w:t>
            </w:r>
            <w:r>
              <w:rPr>
                <w:rStyle w:val="1122"/>
                <w:lang w:val="en-US" w:eastAsia="zh-CN" w:bidi="ar"/>
              </w:rPr>
              <w:br/>
            </w:r>
            <w:r>
              <w:rPr>
                <w:rStyle w:val="1123"/>
                <w:rFonts w:eastAsia="宋体"/>
                <w:lang w:val="en-US" w:eastAsia="zh-CN" w:bidi="ar"/>
              </w:rPr>
              <w:t xml:space="preserve">‌</w:t>
            </w:r>
            <w:r>
              <w:rPr>
                <w:rStyle w:val="1122"/>
                <w:lang w:val="en-US" w:eastAsia="zh-CN" w:bidi="ar"/>
              </w:rPr>
              <w:t xml:space="preserve">背板容量</w:t>
            </w:r>
            <w:r>
              <w:rPr>
                <w:rStyle w:val="1123"/>
                <w:rFonts w:eastAsia="宋体"/>
                <w:lang w:val="en-US" w:eastAsia="zh-CN" w:bidi="ar"/>
              </w:rPr>
              <w:t xml:space="preserve">‌</w:t>
            </w:r>
            <w:r>
              <w:rPr>
                <w:rStyle w:val="1122"/>
                <w:lang w:val="en-US" w:eastAsia="zh-CN" w:bidi="ar"/>
              </w:rPr>
              <w:t xml:space="preserve">：3.2Tbit/s，交换容量960Gbit/s</w:t>
            </w:r>
            <w:r>
              <w:rPr>
                <w:rStyle w:val="1123"/>
                <w:rFonts w:eastAsia="宋体"/>
                <w:lang w:val="en-US" w:eastAsia="zh-CN" w:bidi="ar"/>
              </w:rPr>
              <w:t xml:space="preserve">‌</w:t>
            </w:r>
            <w:r>
              <w:rPr>
                <w:rStyle w:val="1122"/>
                <w:lang w:val="en-US" w:eastAsia="zh-CN" w:bidi="ar"/>
              </w:rPr>
              <w:br/>
            </w:r>
            <w:r>
              <w:rPr>
                <w:rStyle w:val="1123"/>
                <w:rFonts w:eastAsia="宋体"/>
                <w:lang w:val="en-US" w:eastAsia="zh-CN" w:bidi="ar"/>
              </w:rPr>
              <w:t xml:space="preserve">‌</w:t>
            </w:r>
            <w:r>
              <w:rPr>
                <w:rStyle w:val="1122"/>
                <w:lang w:val="en-US" w:eastAsia="zh-CN" w:bidi="ar"/>
              </w:rPr>
              <w:t xml:space="preserve">MAC地址表</w:t>
            </w:r>
            <w:r>
              <w:rPr>
                <w:rStyle w:val="1123"/>
                <w:rFonts w:eastAsia="宋体"/>
                <w:lang w:val="en-US" w:eastAsia="zh-CN" w:bidi="ar"/>
              </w:rPr>
              <w:t xml:space="preserve">‌</w:t>
            </w:r>
            <w:r>
              <w:rPr>
                <w:rStyle w:val="1122"/>
                <w:lang w:val="en-US" w:eastAsia="zh-CN" w:bidi="ar"/>
              </w:rPr>
              <w:t xml:space="preserve">：512K，支持二层/三层线速转发</w:t>
            </w:r>
            <w:r>
              <w:rPr>
                <w:rStyle w:val="1123"/>
                <w:rFonts w:eastAsia="宋体"/>
                <w:lang w:val="en-US" w:eastAsia="zh-CN" w:bidi="ar"/>
              </w:rPr>
              <w:t xml:space="preserve">‌</w:t>
            </w:r>
            <w:r>
              <w:rPr>
                <w:rStyle w:val="1122"/>
                <w:lang w:val="en-US" w:eastAsia="zh-CN" w:bidi="ar"/>
              </w:rPr>
              <w:br/>
            </w:r>
            <w:r>
              <w:rPr>
                <w:rStyle w:val="1123"/>
                <w:rFonts w:eastAsia="宋体"/>
                <w:lang w:val="en-US" w:eastAsia="zh-CN" w:bidi="ar"/>
              </w:rPr>
              <w:t xml:space="preserve">‌</w:t>
            </w:r>
            <w:r>
              <w:rPr>
                <w:rStyle w:val="1122"/>
                <w:lang w:val="en-US" w:eastAsia="zh-CN" w:bidi="ar"/>
              </w:rPr>
              <w:t xml:space="preserve">端口密度</w:t>
            </w:r>
            <w:r>
              <w:rPr>
                <w:rStyle w:val="1123"/>
                <w:rFonts w:eastAsia="宋体"/>
                <w:lang w:val="en-US" w:eastAsia="zh-CN" w:bidi="ar"/>
              </w:rPr>
              <w:t xml:space="preserve">‌</w:t>
            </w:r>
            <w:r>
              <w:rPr>
                <w:rStyle w:val="1122"/>
                <w:lang w:val="en-US" w:eastAsia="zh-CN" w:bidi="ar"/>
              </w:rPr>
              <w:t xml:space="preserve">：单框最大支持768个GE端口，无需额外汇聚交换机</w:t>
            </w:r>
            <w:r>
              <w:rPr>
                <w:rStyle w:val="1123"/>
                <w:rFonts w:eastAsia="宋体"/>
                <w:lang w:val="en-US" w:eastAsia="zh-CN" w:bidi="ar"/>
              </w:rPr>
              <w:t xml:space="preserve">‌</w:t>
            </w:r>
            <w:r>
              <w:rPr>
                <w:rStyle w:val="1122"/>
                <w:lang w:val="en-US" w:eastAsia="zh-CN" w:bidi="ar"/>
              </w:rPr>
              <w:br/>
            </w:r>
            <w:r>
              <w:rPr>
                <w:rStyle w:val="1123"/>
                <w:rFonts w:eastAsia="宋体"/>
                <w:lang w:val="en-US" w:eastAsia="zh-CN" w:bidi="ar"/>
              </w:rPr>
              <w:t xml:space="preserve">‌</w:t>
            </w:r>
            <w:r>
              <w:rPr>
                <w:rStyle w:val="1122"/>
                <w:lang w:val="en-US" w:eastAsia="zh-CN" w:bidi="ar"/>
              </w:rPr>
              <w:t xml:space="preserve">接入能力</w:t>
            </w:r>
            <w:r>
              <w:rPr>
                <w:rStyle w:val="1123"/>
                <w:rFonts w:eastAsia="宋体"/>
                <w:lang w:val="en-US" w:eastAsia="zh-CN" w:bidi="ar"/>
              </w:rPr>
              <w:t xml:space="preserve">‌</w:t>
            </w:r>
            <w:r>
              <w:rPr>
                <w:rStyle w:val="1122"/>
                <w:lang w:val="en-US" w:eastAsia="zh-CN" w:bidi="ar"/>
              </w:rPr>
              <w:t xml:space="preserve">：支持EPON/GPON/10GPON共平台，单框可支持8000组播用户和4000组播频道</w:t>
            </w:r>
            <w:r>
              <w:rPr>
                <w:rStyle w:val="1123"/>
                <w:rFonts w:eastAsia="宋体"/>
                <w:lang w:val="en-US" w:eastAsia="zh-CN" w:bidi="ar"/>
              </w:rPr>
              <w:t xml:space="preserve">‌</w:t>
            </w:r>
            <w:r>
              <w:rPr>
                <w:rStyle w:val="1122"/>
                <w:lang w:val="en-US" w:eastAsia="zh-CN" w:bidi="ar"/>
              </w:rPr>
              <w:br/>
            </w:r>
            <w:r>
              <w:rPr>
                <w:rStyle w:val="1122"/>
                <w:lang w:val="en-US" w:eastAsia="zh-CN" w:bidi="ar"/>
              </w:rPr>
              <w:t xml:space="preserve">功能特性</w:t>
            </w:r>
            <w:r>
              <w:rPr>
                <w:rStyle w:val="1122"/>
                <w:lang w:val="en-US" w:eastAsia="zh-CN" w:bidi="ar"/>
              </w:rPr>
              <w:br/>
            </w:r>
            <w:r>
              <w:rPr>
                <w:rStyle w:val="1123"/>
                <w:rFonts w:eastAsia="宋体"/>
                <w:lang w:val="en-US" w:eastAsia="zh-CN" w:bidi="ar"/>
              </w:rPr>
              <w:t xml:space="preserve">‌</w:t>
            </w:r>
            <w:r>
              <w:rPr>
                <w:rStyle w:val="1122"/>
                <w:lang w:val="en-US" w:eastAsia="zh-CN" w:bidi="ar"/>
              </w:rPr>
              <w:t xml:space="preserve">可靠性</w:t>
            </w:r>
            <w:r>
              <w:rPr>
                <w:rStyle w:val="1123"/>
                <w:rFonts w:eastAsia="宋体"/>
                <w:lang w:val="en-US" w:eastAsia="zh-CN" w:bidi="ar"/>
              </w:rPr>
              <w:t xml:space="preserve">‌</w:t>
            </w:r>
            <w:r>
              <w:rPr>
                <w:rStyle w:val="1122"/>
                <w:lang w:val="en-US" w:eastAsia="zh-CN" w:bidi="ar"/>
              </w:rPr>
              <w:t xml:space="preserve">：支持OLT双机热备份、异地容灾及业务升级不中断</w:t>
            </w:r>
            <w:r>
              <w:rPr>
                <w:rStyle w:val="1123"/>
                <w:rFonts w:eastAsia="宋体"/>
                <w:lang w:val="en-US" w:eastAsia="zh-CN" w:bidi="ar"/>
              </w:rPr>
              <w:t xml:space="preserve">‌</w:t>
            </w:r>
            <w:r>
              <w:rPr>
                <w:rStyle w:val="1122"/>
                <w:lang w:val="en-US" w:eastAsia="zh-CN" w:bidi="ar"/>
              </w:rPr>
              <w:br/>
            </w:r>
            <w:r>
              <w:rPr>
                <w:rStyle w:val="1123"/>
                <w:rFonts w:eastAsia="宋体"/>
                <w:lang w:val="en-US" w:eastAsia="zh-CN" w:bidi="ar"/>
              </w:rPr>
              <w:t xml:space="preserve">‌</w:t>
            </w:r>
            <w:r>
              <w:rPr>
                <w:rStyle w:val="1122"/>
                <w:lang w:val="en-US" w:eastAsia="zh-CN" w:bidi="ar"/>
              </w:rPr>
              <w:t xml:space="preserve">QoS保障</w:t>
            </w:r>
            <w:r>
              <w:rPr>
                <w:rStyle w:val="1123"/>
                <w:rFonts w:eastAsia="宋体"/>
                <w:lang w:val="en-US" w:eastAsia="zh-CN" w:bidi="ar"/>
              </w:rPr>
              <w:t xml:space="preserve">‌</w:t>
            </w:r>
            <w:r>
              <w:rPr>
                <w:rStyle w:val="1122"/>
                <w:lang w:val="en-US" w:eastAsia="zh-CN" w:bidi="ar"/>
              </w:rPr>
              <w:t xml:space="preserve">：层级化高QoS（H-QoS），满足商业客户SLA要求</w:t>
            </w:r>
            <w:r>
              <w:rPr>
                <w:rStyle w:val="1123"/>
                <w:rFonts w:eastAsia="宋体"/>
                <w:lang w:val="en-US" w:eastAsia="zh-CN" w:bidi="ar"/>
              </w:rPr>
              <w:t xml:space="preserve">‌</w:t>
            </w:r>
            <w:r>
              <w:rPr>
                <w:rStyle w:val="1122"/>
                <w:lang w:val="en-US" w:eastAsia="zh-CN" w:bidi="ar"/>
              </w:rPr>
              <w:br/>
            </w:r>
            <w:r>
              <w:rPr>
                <w:rStyle w:val="1123"/>
                <w:rFonts w:eastAsia="宋体"/>
                <w:lang w:val="en-US" w:eastAsia="zh-CN" w:bidi="ar"/>
              </w:rPr>
              <w:t xml:space="preserve">‌</w:t>
            </w:r>
            <w:r>
              <w:rPr>
                <w:rStyle w:val="1122"/>
                <w:lang w:val="en-US" w:eastAsia="zh-CN" w:bidi="ar"/>
              </w:rPr>
              <w:t xml:space="preserve">安全机制</w:t>
            </w:r>
            <w:r>
              <w:rPr>
                <w:rStyle w:val="1123"/>
                <w:rFonts w:eastAsia="宋体"/>
                <w:lang w:val="en-US" w:eastAsia="zh-CN" w:bidi="ar"/>
              </w:rPr>
              <w:t xml:space="preserve">‌</w:t>
            </w:r>
            <w:r>
              <w:rPr>
                <w:rStyle w:val="1122"/>
                <w:lang w:val="en-US" w:eastAsia="zh-CN" w:bidi="ar"/>
              </w:rPr>
              <w:t xml:space="preserve">：支持AES-128加密、MAC/IP绑定、防DoS攻击等</w:t>
            </w:r>
            <w:r>
              <w:rPr>
                <w:rStyle w:val="1123"/>
                <w:rFonts w:eastAsia="宋体"/>
                <w:lang w:val="en-US" w:eastAsia="zh-CN" w:bidi="ar"/>
              </w:rPr>
              <w:t xml:space="preserve">‌</w:t>
            </w:r>
            <w:r>
              <w:rPr>
                <w:rStyle w:val="1122"/>
                <w:lang w:val="en-US" w:eastAsia="zh-CN" w:bidi="ar"/>
              </w:rPr>
              <w:br/>
            </w:r>
            <w:r>
              <w:rPr>
                <w:rStyle w:val="1123"/>
                <w:rFonts w:eastAsia="宋体"/>
                <w:lang w:val="en-US" w:eastAsia="zh-CN" w:bidi="ar"/>
              </w:rPr>
              <w:t xml:space="preserve">‌</w:t>
            </w:r>
            <w:r>
              <w:rPr>
                <w:rStyle w:val="1122"/>
                <w:lang w:val="en-US" w:eastAsia="zh-CN" w:bidi="ar"/>
              </w:rPr>
              <w:t xml:space="preserve">节能设计</w:t>
            </w:r>
            <w:r>
              <w:rPr>
                <w:rStyle w:val="1123"/>
                <w:rFonts w:eastAsia="宋体"/>
                <w:lang w:val="en-US" w:eastAsia="zh-CN" w:bidi="ar"/>
              </w:rPr>
              <w:t xml:space="preserve">‌</w:t>
            </w:r>
            <w:r>
              <w:rPr>
                <w:rStyle w:val="1122"/>
                <w:lang w:val="en-US" w:eastAsia="zh-CN" w:bidi="ar"/>
              </w:rPr>
              <w:t xml:space="preserve">：高密度单板功耗低至55W，支持空闲单板自动下电</w:t>
            </w:r>
            <w:r>
              <w:rPr>
                <w:rStyle w:val="1123"/>
                <w:rFonts w:eastAsia="宋体"/>
                <w:lang w:val="en-US" w:eastAsia="zh-CN" w:bidi="ar"/>
              </w:rPr>
              <w:t xml:space="preserve">‌</w:t>
            </w:r>
            <w:r>
              <w:rPr>
                <w:rStyle w:val="1122"/>
                <w:lang w:val="en-US" w:eastAsia="zh-CN" w:bidi="ar"/>
              </w:rPr>
              <w:br/>
            </w:r>
            <w:r>
              <w:rPr>
                <w:rStyle w:val="1122"/>
                <w:lang w:val="en-US" w:eastAsia="zh-CN" w:bidi="ar"/>
              </w:rPr>
              <w:t xml:space="preserve">典型应用</w:t>
            </w:r>
            <w:r>
              <w:rPr>
                <w:rStyle w:val="1122"/>
                <w:lang w:val="en-US" w:eastAsia="zh-CN" w:bidi="ar"/>
              </w:rPr>
              <w:br/>
            </w:r>
            <w:r>
              <w:rPr>
                <w:rStyle w:val="1123"/>
                <w:rFonts w:eastAsia="宋体"/>
                <w:lang w:val="en-US" w:eastAsia="zh-CN" w:bidi="ar"/>
              </w:rPr>
              <w:t xml:space="preserve">‌</w:t>
            </w:r>
            <w:r>
              <w:rPr>
                <w:rStyle w:val="1122"/>
                <w:lang w:val="en-US" w:eastAsia="zh-CN" w:bidi="ar"/>
              </w:rPr>
              <w:t xml:space="preserve">组网场景</w:t>
            </w:r>
            <w:r>
              <w:rPr>
                <w:rStyle w:val="1123"/>
                <w:rFonts w:eastAsia="宋体"/>
                <w:lang w:val="en-US" w:eastAsia="zh-CN" w:bidi="ar"/>
              </w:rPr>
              <w:t xml:space="preserve">‌</w:t>
            </w:r>
            <w:r>
              <w:rPr>
                <w:rStyle w:val="1122"/>
                <w:lang w:val="en-US" w:eastAsia="zh-CN" w:bidi="ar"/>
              </w:rPr>
              <w:t xml:space="preserve">：适用于FTTH（光纤到户）、FTTB（光纤到楼）、基站传输及企业专线接入</w:t>
            </w:r>
            <w:r>
              <w:rPr>
                <w:rStyle w:val="1123"/>
                <w:rFonts w:eastAsia="宋体"/>
                <w:lang w:val="en-US" w:eastAsia="zh-CN" w:bidi="ar"/>
              </w:rPr>
              <w:t xml:space="preserve">‌</w:t>
            </w:r>
            <w:r>
              <w:rPr>
                <w:rStyle w:val="1122"/>
                <w:lang w:val="en-US" w:eastAsia="zh-CN" w:bidi="ar"/>
              </w:rPr>
              <w:br/>
            </w:r>
            <w:r>
              <w:rPr>
                <w:rStyle w:val="1123"/>
                <w:rFonts w:eastAsia="宋体"/>
                <w:lang w:val="en-US" w:eastAsia="zh-CN" w:bidi="ar"/>
              </w:rPr>
              <w:t xml:space="preserve">‌</w:t>
            </w:r>
            <w:r>
              <w:rPr>
                <w:rStyle w:val="1122"/>
                <w:lang w:val="en-US" w:eastAsia="zh-CN" w:bidi="ar"/>
              </w:rPr>
              <w:t xml:space="preserve">管理方式</w:t>
            </w:r>
            <w:r>
              <w:rPr>
                <w:rStyle w:val="1123"/>
                <w:rFonts w:eastAsia="宋体"/>
                <w:lang w:val="en-US" w:eastAsia="zh-CN" w:bidi="ar"/>
              </w:rPr>
              <w:t xml:space="preserve">‌</w:t>
            </w:r>
            <w:r>
              <w:rPr>
                <w:rStyle w:val="1122"/>
                <w:lang w:val="en-US" w:eastAsia="zh-CN" w:bidi="ar"/>
              </w:rPr>
              <w:t xml:space="preserve">：支持iManager N2000网管系统，实现ONT“零配置”和远程维护</w:t>
            </w:r>
            <w:r>
              <w:rPr>
                <w:rStyle w:val="1123"/>
                <w:rFonts w:eastAsia="宋体"/>
                <w:lang w:val="en-US" w:eastAsia="zh-CN" w:bidi="ar"/>
              </w:rPr>
              <w:t xml:space="preserve">‌</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96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OLT配电单元</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输入输出：支持 4 路直流输入，通常采用 2+2 直流电源互为备份方式；输出为 4 路，每路输出电流最大可达 60A。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安装方式：机架安装。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其他：配备手动复位功能</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r>
      <w:tr>
        <w:trPr>
          <w:jc w:val="center"/>
          <w:trHeight w:val="312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OLT(PON口)</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端口数量：16 个 GPON 端口。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分光比：支持 1:128 分光比。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速率：发射速率为 2.49Gbit/s，接收速率为 1.24Gbit/s。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波长：发射波长为 1490nm，接收波长为 1310nm。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光模块类型：采用 SFP 封装的光模块，如 C + 模块等。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光功率：C + 模块最小输出光功率为 3.00dBm，最大输出光功率为 7.00dBm，最大接收灵敏度为 - 32.00dBm，过载光功率为 - 12.0dBm。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光纤类型：单模。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传输距离：最大可达 20km。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接口类型：SC/PC。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尺寸：22.86mm×237.00mm×395.40mm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最大帧长：2004 字节。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工作温度：-25℃到 + 65℃。</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9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核心交换机</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U高度，6个独立业务槽位，2个独立管理槽位设计。交换容量76.8Tbps/336Tbps，包转发速率8640Mpps/57600Mpps。最大可支持2000台200万高清像素摄像头接入。最大支持4个电源的冗余备份。支持静态路由、链路聚合、端口镜像、ACL等功能。支持交换机自组网，支持APP和云平台远程管理。</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r>
      <w:tr>
        <w:trPr>
          <w:jc w:val="center"/>
          <w:trHeight w:val="144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千M单芯光模块</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传输速率为1.25Gbps；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光纤接口为标准LC；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单模光纤，传输距离可达10、20公里；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多模光纤，传输距离为1公里；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工作环境温度为0～70℃；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安装简便、即插即用。</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4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服务器机柜</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尺寸：600*1000*2055mm，配置：8位APDU一个，固定板3块，风扇部件2组，4只2寸重型脚轮，M6方螺母钉20套，内六角扳手一只</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二、无线光AP</w:t>
            </w:r>
            <w:r/>
          </w:p>
        </w:tc>
      </w:tr>
      <w:tr>
        <w:trPr>
          <w:jc w:val="center"/>
          <w:trHeight w:val="70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ODN</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Style w:val="1122"/>
                <w:lang w:val="en-US" w:eastAsia="zh-CN" w:bidi="ar"/>
              </w:rPr>
              <w:t xml:space="preserve">442mm×220mm×43.6mm</w:t>
            </w:r>
            <w:r>
              <w:rPr>
                <w:rStyle w:val="1122"/>
                <w:lang w:val="en-US" w:eastAsia="zh-CN" w:bidi="ar"/>
              </w:rPr>
              <w:br/>
            </w:r>
            <w:r>
              <w:rPr>
                <w:rStyle w:val="1122"/>
                <w:lang w:val="en-US" w:eastAsia="zh-CN" w:bidi="ar"/>
              </w:rPr>
              <w:t xml:space="preserve">带 IEC 挂耳：482.6mm×220mm×43.6mm</w:t>
            </w:r>
            <w:r>
              <w:rPr>
                <w:rStyle w:val="1122"/>
                <w:lang w:val="en-US" w:eastAsia="zh-CN" w:bidi="ar"/>
              </w:rPr>
              <w:br/>
            </w:r>
            <w:r>
              <w:rPr>
                <w:rStyle w:val="1122"/>
                <w:lang w:val="en-US" w:eastAsia="zh-CN" w:bidi="ar"/>
              </w:rPr>
              <w:t xml:space="preserve">带 ETSI 挂耳：531mm×220mm×43.6mm</w:t>
            </w:r>
            <w:r>
              <w:rPr>
                <w:rStyle w:val="1122"/>
                <w:lang w:val="en-US" w:eastAsia="zh-CN" w:bidi="ar"/>
              </w:rPr>
              <w:br/>
            </w:r>
            <w:r>
              <w:rPr>
                <w:rStyle w:val="1122"/>
                <w:lang w:val="en-US" w:eastAsia="zh-CN" w:bidi="ar"/>
              </w:rPr>
              <w:t xml:space="preserve">满配最大重量 5kg</w:t>
            </w:r>
            <w:r>
              <w:rPr>
                <w:rStyle w:val="1122"/>
                <w:lang w:val="en-US" w:eastAsia="zh-CN" w:bidi="ar"/>
              </w:rPr>
              <w:br/>
            </w:r>
            <w:r>
              <w:rPr>
                <w:rStyle w:val="1122"/>
                <w:lang w:val="en-US" w:eastAsia="zh-CN" w:bidi="ar"/>
              </w:rPr>
              <w:t xml:space="preserve">供电方式： 交流供电（双路备份）</w:t>
            </w:r>
            <w:r>
              <w:rPr>
                <w:rStyle w:val="1122"/>
                <w:lang w:val="en-US" w:eastAsia="zh-CN" w:bidi="ar"/>
              </w:rPr>
              <w:br/>
            </w:r>
            <w:r>
              <w:rPr>
                <w:rStyle w:val="1122"/>
                <w:lang w:val="en-US" w:eastAsia="zh-CN" w:bidi="ar"/>
              </w:rPr>
              <w:t xml:space="preserve">工作电压范围 ：交流供电：100V～240V</w:t>
            </w:r>
            <w:r>
              <w:rPr>
                <w:rStyle w:val="1122"/>
                <w:lang w:val="en-US" w:eastAsia="zh-CN" w:bidi="ar"/>
              </w:rPr>
              <w:br/>
            </w:r>
            <w:r>
              <w:rPr>
                <w:rStyle w:val="1122"/>
                <w:lang w:val="en-US" w:eastAsia="zh-CN" w:bidi="ar"/>
              </w:rPr>
              <w:t xml:space="preserve">额定电压 </w:t>
            </w:r>
            <w:r>
              <w:rPr>
                <w:rStyle w:val="1124"/>
                <w:rFonts w:hint="eastAsia" w:eastAsia="宋体"/>
                <w:lang w:val="en-US" w:eastAsia="zh-CN" w:bidi="ar"/>
              </w:rPr>
              <w:t xml:space="preserve">：</w:t>
            </w:r>
            <w:r>
              <w:rPr>
                <w:rStyle w:val="1122"/>
                <w:lang w:val="en-US" w:eastAsia="zh-CN" w:bidi="ar"/>
              </w:rPr>
              <w:t xml:space="preserve">交流供电：110V/220V</w:t>
            </w:r>
            <w:r>
              <w:rPr>
                <w:rStyle w:val="1122"/>
                <w:lang w:val="en-US" w:eastAsia="zh-CN" w:bidi="ar"/>
              </w:rPr>
              <w:br/>
            </w:r>
            <w:r>
              <w:rPr>
                <w:rStyle w:val="1122"/>
                <w:lang w:val="en-US" w:eastAsia="zh-CN" w:bidi="ar"/>
              </w:rPr>
              <w:t xml:space="preserve">最大输入电流： 交流供电：2.5A</w:t>
            </w:r>
            <w:r>
              <w:rPr>
                <w:rStyle w:val="1122"/>
                <w:lang w:val="en-US" w:eastAsia="zh-CN" w:bidi="ar"/>
              </w:rPr>
              <w:br/>
            </w:r>
            <w:r>
              <w:rPr>
                <w:rStyle w:val="1122"/>
                <w:lang w:val="en-US" w:eastAsia="zh-CN" w:bidi="ar"/>
              </w:rPr>
              <w:t xml:space="preserve">工作环境温度 -40℃ ～ +65℃，最低启动温度为-25°C。</w:t>
            </w:r>
            <w:r>
              <w:rPr>
                <w:rStyle w:val="1122"/>
                <w:lang w:val="en-US" w:eastAsia="zh-CN" w:bidi="ar"/>
              </w:rPr>
              <w:br/>
            </w:r>
            <w:r>
              <w:rPr>
                <w:rStyle w:val="1122"/>
                <w:lang w:val="en-US" w:eastAsia="zh-CN" w:bidi="ar"/>
              </w:rPr>
              <w:t xml:space="preserve">说明</w:t>
            </w:r>
            <w:r>
              <w:rPr>
                <w:rStyle w:val="1122"/>
                <w:lang w:val="en-US" w:eastAsia="zh-CN" w:bidi="ar"/>
              </w:rPr>
              <w:br/>
            </w:r>
            <w:r>
              <w:rPr>
                <w:rStyle w:val="1122"/>
                <w:lang w:val="en-US" w:eastAsia="zh-CN" w:bidi="ar"/>
              </w:rPr>
              <w:t xml:space="preserve">+65℃指业务框进风口的温度。</w:t>
            </w:r>
            <w:r>
              <w:rPr>
                <w:rStyle w:val="1122"/>
                <w:lang w:val="en-US" w:eastAsia="zh-CN" w:bidi="ar"/>
              </w:rPr>
              <w:br/>
            </w:r>
            <w:r>
              <w:rPr>
                <w:rStyle w:val="1122"/>
                <w:lang w:val="en-US" w:eastAsia="zh-CN" w:bidi="ar"/>
              </w:rPr>
              <w:t xml:space="preserve">工作环境湿度 5%RH～95%RH</w:t>
            </w:r>
            <w:r>
              <w:rPr>
                <w:rStyle w:val="1122"/>
                <w:lang w:val="en-US" w:eastAsia="zh-CN" w:bidi="ar"/>
              </w:rPr>
              <w:br/>
            </w:r>
            <w:r>
              <w:rPr>
                <w:rStyle w:val="1122"/>
                <w:lang w:val="en-US" w:eastAsia="zh-CN" w:bidi="ar"/>
              </w:rPr>
              <w:t xml:space="preserve">气压环境 70kPa～106kPa</w:t>
            </w:r>
            <w:r>
              <w:rPr>
                <w:rStyle w:val="1122"/>
                <w:lang w:val="en-US" w:eastAsia="zh-CN" w:bidi="ar"/>
              </w:rPr>
              <w:br/>
            </w:r>
            <w:r>
              <w:rPr>
                <w:rStyle w:val="1122"/>
                <w:lang w:val="en-US" w:eastAsia="zh-CN" w:bidi="ar"/>
              </w:rPr>
              <w:t xml:space="preserve">海拔高度 4000m 以下，空气密度会随海拔变化，从而影响设备散热能力，所以工作环境温度会随海拔变</w:t>
            </w:r>
            <w:r>
              <w:rPr>
                <w:rStyle w:val="1122"/>
                <w:lang w:val="en-US" w:eastAsia="zh-CN" w:bidi="ar"/>
              </w:rPr>
              <w:br/>
            </w:r>
            <w:r>
              <w:rPr>
                <w:rStyle w:val="1122"/>
                <w:lang w:val="en-US" w:eastAsia="zh-CN" w:bidi="ar"/>
              </w:rPr>
              <w:t xml:space="preserve">化。</w:t>
            </w:r>
            <w:r>
              <w:rPr>
                <w:rStyle w:val="1122"/>
                <w:lang w:val="en-US" w:eastAsia="zh-CN" w:bidi="ar"/>
              </w:rPr>
              <w:br/>
            </w:r>
            <w:r>
              <w:rPr>
                <w:rStyle w:val="1122"/>
                <w:lang w:val="en-US" w:eastAsia="zh-CN" w:bidi="ar"/>
              </w:rPr>
              <w:t xml:space="preserve">系统转发容量 95Gbit/s</w:t>
            </w:r>
            <w:r>
              <w:rPr>
                <w:rStyle w:val="1122"/>
                <w:lang w:val="en-US" w:eastAsia="zh-CN" w:bidi="ar"/>
              </w:rPr>
              <w:br/>
            </w:r>
            <w:r>
              <w:rPr>
                <w:rStyle w:val="1122"/>
                <w:lang w:val="en-US" w:eastAsia="zh-CN" w:bidi="ar"/>
              </w:rPr>
              <w:t xml:space="preserve">MAC 地址数 32768</w:t>
            </w:r>
            <w:r>
              <w:rPr>
                <w:rStyle w:val="1122"/>
                <w:lang w:val="en-US" w:eastAsia="zh-CN" w:bidi="ar"/>
              </w:rPr>
              <w:br/>
            </w:r>
            <w:r>
              <w:rPr>
                <w:rStyle w:val="1122"/>
                <w:lang w:val="en-US" w:eastAsia="zh-CN" w:bidi="ar"/>
              </w:rPr>
              <w:t xml:space="preserve">接入 ONT 数 256</w:t>
            </w:r>
            <w:r>
              <w:rPr>
                <w:rStyle w:val="1122"/>
                <w:lang w:val="en-US" w:eastAsia="zh-CN" w:bidi="ar"/>
              </w:rPr>
              <w:br/>
            </w:r>
            <w:r>
              <w:rPr>
                <w:rStyle w:val="1122"/>
                <w:lang w:val="en-US" w:eastAsia="zh-CN" w:bidi="ar"/>
              </w:rPr>
              <w:t xml:space="preserve">IPv4 路由表 8192</w:t>
            </w:r>
            <w:r>
              <w:rPr>
                <w:rStyle w:val="1122"/>
                <w:lang w:val="en-US" w:eastAsia="zh-CN" w:bidi="ar"/>
              </w:rPr>
              <w:br/>
            </w:r>
            <w:r>
              <w:rPr>
                <w:rStyle w:val="1122"/>
                <w:lang w:val="en-US" w:eastAsia="zh-CN" w:bidi="ar"/>
              </w:rPr>
              <w:t xml:space="preserve">IPv6 路由表 4096</w:t>
            </w:r>
            <w:r>
              <w:rPr>
                <w:rStyle w:val="1122"/>
                <w:lang w:val="en-US" w:eastAsia="zh-CN" w:bidi="ar"/>
              </w:rPr>
              <w:br/>
            </w:r>
            <w:r>
              <w:rPr>
                <w:rStyle w:val="1122"/>
                <w:lang w:val="en-US" w:eastAsia="zh-CN" w:bidi="ar"/>
              </w:rPr>
              <w:t xml:space="preserve">内置 DHCP Server 可分配</w:t>
            </w:r>
            <w:r>
              <w:rPr>
                <w:rStyle w:val="1122"/>
                <w:lang w:val="en-US" w:eastAsia="zh-CN" w:bidi="ar"/>
              </w:rPr>
              <w:br/>
            </w:r>
            <w:r>
              <w:rPr>
                <w:rStyle w:val="1122"/>
                <w:lang w:val="en-US" w:eastAsia="zh-CN" w:bidi="ar"/>
              </w:rPr>
              <w:t xml:space="preserve">的 IP 地址数</w:t>
            </w:r>
            <w:r>
              <w:rPr>
                <w:rStyle w:val="1122"/>
                <w:lang w:val="en-US" w:eastAsia="zh-CN" w:bidi="ar"/>
              </w:rPr>
              <w:br/>
            </w:r>
            <w:r>
              <w:rPr>
                <w:rStyle w:val="1122"/>
                <w:lang w:val="en-US" w:eastAsia="zh-CN" w:bidi="ar"/>
              </w:rPr>
              <w:t xml:space="preserve">4096</w:t>
            </w:r>
            <w:r>
              <w:rPr>
                <w:rStyle w:val="1122"/>
                <w:lang w:val="en-US" w:eastAsia="zh-CN" w:bidi="ar"/>
              </w:rPr>
              <w:br/>
            </w:r>
            <w:r>
              <w:rPr>
                <w:rStyle w:val="1122"/>
                <w:lang w:val="en-US" w:eastAsia="zh-CN" w:bidi="ar"/>
              </w:rPr>
              <w:t xml:space="preserve">ARP 表 16384</w:t>
            </w:r>
            <w:r>
              <w:rPr>
                <w:rStyle w:val="1122"/>
                <w:lang w:val="en-US" w:eastAsia="zh-CN" w:bidi="ar"/>
              </w:rPr>
              <w:br/>
            </w:r>
            <w:r>
              <w:rPr>
                <w:rStyle w:val="1122"/>
                <w:lang w:val="en-US" w:eastAsia="zh-CN" w:bidi="ar"/>
              </w:rPr>
              <w:t xml:space="preserve">AP 接入数（每 AP 占用 1</w:t>
            </w:r>
            <w:r>
              <w:rPr>
                <w:rStyle w:val="1122"/>
                <w:lang w:val="en-US" w:eastAsia="zh-CN" w:bidi="ar"/>
              </w:rPr>
              <w:br/>
            </w:r>
            <w:r>
              <w:rPr>
                <w:rStyle w:val="1122"/>
                <w:lang w:val="en-US" w:eastAsia="zh-CN" w:bidi="ar"/>
              </w:rPr>
              <w:t xml:space="preserve">个 ONT 规格）</w:t>
            </w:r>
            <w:r>
              <w:rPr>
                <w:rStyle w:val="1122"/>
                <w:lang w:val="en-US" w:eastAsia="zh-CN" w:bidi="ar"/>
              </w:rPr>
              <w:br/>
            </w:r>
            <w:r>
              <w:rPr>
                <w:rStyle w:val="1122"/>
                <w:lang w:val="en-US" w:eastAsia="zh-CN" w:bidi="ar"/>
              </w:rPr>
              <w:t xml:space="preserve">128</w:t>
            </w:r>
            <w:r>
              <w:rPr>
                <w:rStyle w:val="1122"/>
                <w:lang w:val="en-US" w:eastAsia="zh-CN" w:bidi="ar"/>
              </w:rPr>
              <w:br/>
            </w:r>
            <w:r>
              <w:rPr>
                <w:rStyle w:val="1122"/>
                <w:lang w:val="en-US" w:eastAsia="zh-CN" w:bidi="ar"/>
              </w:rPr>
              <w:t xml:space="preserve">Portal 认证用户数 960</w:t>
            </w:r>
            <w:r>
              <w:rPr>
                <w:rStyle w:val="1122"/>
                <w:lang w:val="en-US" w:eastAsia="zh-CN" w:bidi="ar"/>
              </w:rPr>
              <w:br/>
            </w:r>
            <w:r>
              <w:rPr>
                <w:rStyle w:val="1122"/>
                <w:lang w:val="en-US" w:eastAsia="zh-CN" w:bidi="ar"/>
              </w:rPr>
              <w:t xml:space="preserve">支持的最大 STA 接入数 1024</w:t>
            </w:r>
            <w:r>
              <w:rPr>
                <w:rStyle w:val="1122"/>
                <w:lang w:val="en-US" w:eastAsia="zh-CN" w:bidi="ar"/>
              </w:rPr>
              <w:br/>
            </w:r>
            <w:r>
              <w:rPr>
                <w:rStyle w:val="1122"/>
                <w:lang w:val="en-US" w:eastAsia="zh-CN" w:bidi="ar"/>
              </w:rPr>
              <w:t xml:space="preserve">满负荷误码率 在开启 FEC 条件下，比特差错率（误码率）&lt;10 e-10</w:t>
            </w:r>
            <w:r>
              <w:rPr>
                <w:rStyle w:val="1122"/>
                <w:lang w:val="en-US" w:eastAsia="zh-CN" w:bidi="ar"/>
              </w:rPr>
              <w:br/>
            </w:r>
            <w:r>
              <w:rPr>
                <w:rStyle w:val="1122"/>
                <w:lang w:val="en-US" w:eastAsia="zh-CN" w:bidi="ar"/>
              </w:rPr>
              <w:t xml:space="preserve">上行端口数 4 GE/10GE</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4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分光器</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盒式封装光分路器-2:16。SPL2605可以独自集成于FDT或者FAT中，也可以封装于托盘式分光器SPL9201中用于ODF和FDT中实现分光功能。</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r>
      <w:tr>
        <w:trPr>
          <w:jc w:val="center"/>
          <w:trHeight w:val="4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光AP</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提供4个千兆以太网接口，1个POTS语音接口，1个USB接口，1个2.4G Wi-Fi接口和5G Wi-Fi接口。</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4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室内光纤皮线</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芯数：单芯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光缆尺寸：3.0×2.0mm</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万M光模块</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兆单模光模块,最大传输距离10KM,双纤口,适用LC型接头跳线</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辅材</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国产优质</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施工费</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施工费</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三、综合布线汇聚点设备</w:t>
            </w:r>
            <w:r/>
          </w:p>
        </w:tc>
      </w:tr>
      <w:tr>
        <w:trPr>
          <w:jc w:val="center"/>
          <w:trHeight w:val="995"/>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接入交换机</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整机交换容量：16 Gbps(bit/s)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整机包转发率：12 Mpps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MAC表容量：4K</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产品重量：0.27kg（不含包材）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产品尺寸（宽x深x高）：160mm x 75mm x 24mm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散热方式：自然散热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电源输入：DC电源适配器供电：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额定输入电压：200V~240V AC，50Hz/60Hz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最大输入电压：180V~264V AC，47Hz~63Hz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最大输入电流：0.2A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适配器输出：额定输出电压：5V DC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最大输出电流：1A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整机最大功耗:5W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平均无故障时间（MTBF）:200000小时（约22年）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交换缓存:1.5Mbit</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静电抗扰:空气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放电：8kV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接触放电：6kV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EMC法规:GB/T 9254.1-2021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工作环境温度:0℃~40℃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存储环境温度:-40ºC~70ºC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工作环境湿度:10%RH~90%RH（无凝结）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存储环境湿度:5%RH~95%RH（无凝结）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安装方式:桌面安装、壁挂安装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产品类型:盒式机箱（主机）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千兆电口:≥8 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总电口数：≥8 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转发时延：＜100μs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RoHS：支持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安全法规：GB 4943.1-2022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外壳材质：铁壳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网线类型：CAT5e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电源接口：共模±4kV，差模±4kV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业务接口：共模±4kV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DC电源接头尺寸：外直径: 5.5mm，内直径: 2.1mm，深度: 10mm</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四、综合布线前端设备</w:t>
            </w:r>
            <w:r/>
          </w:p>
        </w:tc>
      </w:tr>
      <w:tr>
        <w:trPr>
          <w:jc w:val="center"/>
          <w:trHeight w:val="9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1：4分光器</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插入损耗：插入损耗最大为 8.0dB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分光比：严格按照 1:4 的比例将输入光信号平均分配到 4 个输出端口，即四个输出端口的光功率比例关系为 1:1:1:1。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工作温度：一般为 - 40℃-85℃。</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72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1：8分光器</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插入损耗： 11.0dB。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工作波段：1310±50nm、1490±20nm、1550±40nm。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工作温度：-40℃-85℃。</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16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ONU</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配置：GPON</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扩展接口：千兆口*4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环境温度：-5℃-+45℃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环境湿度：5%-95%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设备功耗：≤4.5W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供电要求：直流12V/1A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尺寸：130mm*90mm*35mm</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162</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五、线材及相关</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网线</w:t>
            </w:r>
            <w:r/>
          </w:p>
        </w:tc>
        <w:tc>
          <w:tcPr>
            <w:shd w:val="clear" w:color="auto" w:fill="auto"/>
            <w:tcW w:w="616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超五类</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W w:w="616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RVV2*1.0</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光缆</w:t>
            </w:r>
            <w:r/>
          </w:p>
        </w:tc>
        <w:tc>
          <w:tcPr>
            <w:shd w:val="clear" w:color="auto" w:fill="auto"/>
            <w:tcW w:w="616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GYTS-48-B1.3</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2200</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光缆</w:t>
            </w:r>
            <w:r/>
          </w:p>
        </w:tc>
        <w:tc>
          <w:tcPr>
            <w:shd w:val="clear" w:color="auto" w:fill="auto"/>
            <w:tcW w:w="616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GYTS-24-B1.3</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2600</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光缆</w:t>
            </w:r>
            <w:r/>
          </w:p>
        </w:tc>
        <w:tc>
          <w:tcPr>
            <w:shd w:val="clear" w:color="auto" w:fill="auto"/>
            <w:tcW w:w="616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GYTS-12-B1.3</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3600</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4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室内光缆</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芯数：单芯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光缆尺寸：3.0×2.0mm</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盘</w:t>
            </w:r>
            <w:r/>
          </w:p>
        </w:tc>
      </w:tr>
      <w:tr>
        <w:trPr>
          <w:jc w:val="center"/>
          <w:trHeight w:val="96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光纤终端盒</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熔接容量：能熔接 12 芯光纤。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安装方式：壁挂式安装。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防护等级： IP55。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光纤弯曲半径：弯曲半径控制在 40mm 以上。</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96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光纤接入箱</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材质：ABS 塑料，具有轻便的特点。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尺寸： 330×260×120mm。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安装方式：壁挂。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防护等级：室内型一般为 IP55，能防尘防喷水。</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120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W w:w="145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光缆接头包</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容量：48 芯，可容纳 48 根光纤的熔接和存储。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材质：盒体一般采用进口增强塑料或优质工程塑料，强度高，耐腐蚀。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尺寸：高度约 430mm，内径 135mm，大外径 210mm。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密封性能：密封性能良好，盒内气压 100±5kPa，水浸没 15min，无气泡，重复三次仍能保持密封。</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六、施工及辅材</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W w:w="145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室内线材及敷设费</w:t>
            </w:r>
            <w:r/>
          </w:p>
        </w:tc>
        <w:tc>
          <w:tcPr>
            <w:shd w:val="clear" w:color="auto" w:fill="auto"/>
            <w:tcW w:w="616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国产优质</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14400</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W w:w="145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PVC线管</w:t>
            </w:r>
            <w:r/>
          </w:p>
        </w:tc>
        <w:tc>
          <w:tcPr>
            <w:shd w:val="clear" w:color="auto" w:fill="auto"/>
            <w:tcW w:w="616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Φ25</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W w:w="145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光路割接</w:t>
            </w:r>
            <w:r/>
          </w:p>
        </w:tc>
        <w:tc>
          <w:tcPr>
            <w:shd w:val="clear" w:color="auto" w:fill="auto"/>
            <w:tcW w:w="616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原机房光纤链路路割接迁移到新机房内</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W w:w="145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辅材</w:t>
            </w:r>
            <w:r/>
          </w:p>
        </w:tc>
        <w:tc>
          <w:tcPr>
            <w:shd w:val="clear" w:color="auto" w:fill="auto"/>
            <w:tcW w:w="616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国产优质</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r>
      <w:tr>
        <w:trPr>
          <w:jc w:val="center"/>
          <w:trHeight w:val="660"/>
        </w:trPr>
        <w:tc>
          <w:tcPr>
            <w:gridSpan w:val="5"/>
            <w:shd w:val="clear" w:color="auto" w:fill="auto"/>
            <w:tcW w:w="9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0"/>
                <w:szCs w:val="20"/>
                <w:u w:val="none"/>
                <w:lang w:val="en-US" w:eastAsia="zh-CN" w:bidi="ar"/>
              </w:rPr>
              <w:t xml:space="preserve">（二）</w:t>
            </w:r>
            <w:r>
              <w:rPr>
                <w:rFonts w:hint="eastAsia" w:ascii="宋体" w:hAnsi="宋体" w:eastAsia="宋体" w:cs="宋体"/>
                <w:b/>
                <w:bCs/>
                <w:i w:val="0"/>
                <w:iCs w:val="0"/>
                <w:color w:val="000000"/>
                <w:sz w:val="22"/>
                <w:szCs w:val="22"/>
                <w:u w:val="none"/>
                <w:lang w:val="en-US" w:eastAsia="zh-CN" w:bidi="ar"/>
              </w:rPr>
              <w:t xml:space="preserve">视频监控系统</w:t>
            </w:r>
            <w:r/>
          </w:p>
        </w:tc>
      </w:tr>
      <w:tr>
        <w:trPr>
          <w:jc w:val="center"/>
          <w:trHeight w:val="270"/>
        </w:trPr>
        <w:tc>
          <w:tcPr>
            <w:shd w:val="clear" w:color="auto" w:fill="auto"/>
            <w:tcW w:w="6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4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名称</w:t>
            </w:r>
            <w:r/>
          </w:p>
        </w:tc>
        <w:tc>
          <w:tcPr>
            <w:shd w:val="clear" w:color="auto" w:fill="auto"/>
            <w:tcW w:w="616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参数</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一、前端设备</w:t>
            </w:r>
            <w:r/>
          </w:p>
        </w:tc>
      </w:tr>
      <w:tr>
        <w:trPr>
          <w:jc w:val="center"/>
          <w:trHeight w:val="144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高清网络红外室内半球摄像机</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最高分辨率可达200万像素，并在此分辨率下可输出25 fps实时图像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支持移动侦测（支持人形检测）与异常侦测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支持背光补偿，强光抑制，3D数字降噪，数字宽动态，适应不同环境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支持智能补光，实现彩色记录报警事件，可在白光补光/红外补光模式之间切换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1个内置麦克风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符合IP67防尘防水设计，可靠性高</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53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高清网络红外室内枪式摄像机</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最高分辨率可达200万像素，并在此分辨率下可输出25 fps实时图像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支持移动侦测（支持人形检测）与异常侦测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支持背光补偿，强光抑制，3D数字降噪，数字宽动态，适应不同环境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支持智能补光，实现彩色记录报警事件，可在白光补光/红外补光模式之间切换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1个内置麦克风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符合IP67防尘防水设计，可靠性高</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304</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72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球机壁装支架</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压铸纯铝合金材质，表面做喷塑处理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带有安装调试口，便于穿线、接线，及后期维修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采用铝合金精密压铸工艺，强度高，结构可靠</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110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高清网络室外球型摄像机</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1、内置2个镜头，可以输出两路视频图像，1路全景视频图像、1路细节视频图像；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2、内置2颗GPU芯片；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3、视频输出支持2560×1440@25fps，分辨力不小于1400TVL，红外距离可达150米；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4、在彩色模式下，当环境低照度降低至设定阈值，样机可自动开启白光灯补光，在白天、夜晚均可输出彩色视频图像；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5、细节镜头支持23倍光学变倍，最大焦距不小于110mm；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6、支持最低照度可达彩色0.0002Lux，黑白0.0001Lux；</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7、支持水平手控速度不小于160°/S，垂直速度不小于120°/S，云台定位精度为±0.1°；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8、水平旋转范围为360°连续旋转，垂直旋转范围为-15°~90°；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9、▲混合补光功能：具有单白光补光、单红外补光、全彩补光三中补光模式。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10、需具备智能分析抗干扰功能，当篮球、小狗、树叶等非人或车辆目标经过检测区域时，不会触发报警；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11、支持快捷配置功能，可在预览画面开启/关闭“快捷配置”页面，对曝光参数、OSD、智能资源分配模式等参数进行配置，并可一键恢复为默认设置；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12、▲在线升级功能：支持软件版本在线升级。在升级过程中，如发生掉电、掉线等异常情况，当异常情况恢复后，应不影响球机再次升级。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13、▲镜头前盖玻璃加热功能：可对镜头前玻璃进行加热。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14、▲数字变倍功能：最大支持16倍。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以上加“▲”项需提供检验报告证明。</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16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摄像机支架</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外壳材质：SGCC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尺寸：162.6× 83.1 × 72.4 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重量：177 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承重：1.5kg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颜色：海康白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产品执行标准(具体版本号以标签为准)：Q/BFW 067</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369</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455"/>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开关电源</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具备短路保护、过流保护、输出过压保护等多种保护功能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关键参数：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1、输入规格：AC100~240V，50/60Hz，3.5A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2、输出规格： DC12V/30A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3、输出功率：360W Max</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4、接口形式：接线端子</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室外立杆</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3.5米</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r>
      <w:tr>
        <w:trPr>
          <w:jc w:val="center"/>
          <w:trHeight w:val="4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摄像机安装人工及辅材</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国产优质</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369</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二、汇聚点设备</w:t>
            </w:r>
            <w:r/>
          </w:p>
        </w:tc>
      </w:tr>
      <w:tr>
        <w:trPr>
          <w:jc w:val="center"/>
          <w:trHeight w:val="4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室外防水箱</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尺寸：600*500*400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材质：不锈钢</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240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室内机柜</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尺寸：600mm 宽 ×450mm 深 ×635mm 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重量：约 10 千克。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标准：符合 ANSI/EIA RS-310-D、IEC297-2、DIN41491 等标准，兼容 ETSI 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材料：采用 SPCC 优质冷轧钢板制作，方孔条厚度为 1.5mm，其他部分为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表面处理：经过脱脂、酸洗、磷化、静电喷塑处理。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承载能力：静载 60KG。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防护等级：IP20。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安装方式：有壁挂、落地两种可选安装方式，落地安装时可以选配支脚或脚轮。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image</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192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交换机16口</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提供16个千兆PoE电口，2个千兆光口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支持IEEE 802.3at/af</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支持6 KV防浪涌（PoE口）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支持PoE输出功率管理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千兆网络接入设计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线速转发、无阻塞设计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存储转发交换方式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坚固式高强度金属外壳</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216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8口交换机</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提供8个千兆PoE电口，1个千兆电口，1个千兆光口。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支持IEEE 802.3at/af。</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支持6KV防浪涌（PoE口）。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支持PoE输出功率管理。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千兆网络接入设计。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线速转发、无阻塞设计。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存储转发交换方式。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坚固式高强度金属外壳。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无风扇设计，高可靠性。</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144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交换机24口</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24个千兆PoE电口，1个千兆电口，1个千兆光口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交换容量：52Gbps，包转发率：38.69Mpps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符合IEEE802.3af/at供电标准，整机PoE功率230W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PD功率智能检测系统级过载保护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支持6KV防浪涌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支持机架式安装</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144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光模块</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传输速率为1.25Gbps；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光纤接口为标准LC；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单模光纤，传输距离可达10、20公里；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多模光纤，传输距离为1公里；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工作环境温度为0～70℃；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安装简便、即插即用。</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96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理线架</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带盖板，1U高度，支持标准机柜安装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采用封闭式管理跳线，使得安装后的配线机柜更整齐美观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颜色：黑色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优质冷轧钢板材料表面采用粉末涂层，防止氧化，可靠持久</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jc w:val="center"/>
          <w:trHeight w:val="192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光纤跳线</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光纤规格：单模 OS2（9/125 µm），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接口类型： SC-SC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技术规格：插入损耗≤ 0.2dB，回波损耗≥ 50dB@单模；采用双工结构；采用低烟无卤外皮 , 符合 IEC60332-1的 LSZH防火等级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执行标准： ISO/IEC 11801:2002Ed2.0，ANSI/TIA 568C.3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靠近连接器部分采用不同颜色标识 ，以方便识别正确的极性状态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使用寿命：插拔次数≥ 1000次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通过100%专业的3D几何尺寸检测和控制，100%通过工厂测试。</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12口SC光纤配线架</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12芯ODF架SC，含SC适配器及SC单模尾纤</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三、机房设备</w:t>
            </w:r>
            <w:r/>
          </w:p>
        </w:tc>
      </w:tr>
      <w:tr>
        <w:trPr>
          <w:jc w:val="center"/>
          <w:trHeight w:val="720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网络存储设备（存储1个月）</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4U机架式24盘位网络存储设备，搭载64位多核处理器，1+1冗余电源、冗余风扇，实现7×24小时稳定运行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【硬件规格】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处理器：1颗64位多核处理器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系统内存：8GB、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系统盘：1×240GB SSD</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存储接口：24个SATA接口，支持硬盘热插拔，可满配4TB/6TB/8TB/10TB/16TB硬盘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网络接口：2个千兆数据网口，1个千兆管理口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其他接口：1×COM，2×USB2.0，2×USB3.0，1×VGA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整机电源：550W，1+1冗余电源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视频性能：最大支持接入450路（最大接入带宽900Mbps）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回放性能：最大支持45路2Mbps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事件录像：最大支持200路2Mbps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支持视频流直写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▲支持流媒体协议直接存储机制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支持ONVIF、GB/T 28181、RTSP等标准协议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支持VRAID、RAID0、1、5、6、10等多种RAID模式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支持RAID降级可读写(VRAID)，支持全局热备(RAID0、1、5、6、10)，多重保护数据安全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支持RAID即建即用，支持存储空间扩展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支持局部重构，原盘或其克隆盘拔出设备后再插回，未被覆盖数据可快速恢复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支持定时录像、事件录像、手动录像等多种录像方式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支持视频检索功能，按照监控点编号、录像类型、时间组合等条件查询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支持视频回放功能：正序回放、定位回放、倍速回放等功能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支持按需取流功能，未处于录像计划时间内的通道不占用网络带宽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▲支持IP远程备份功能：将用户数据备份到异地的另一合样机中，备份过程中可进行写入与读出功能。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以上加“▲”项需提供检验报告证明。</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576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监控平台服务器</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可同时接入32路网络视音频信号，内置5个硬盘盘位;具有网络视频预览、存储及回放、录像检索、智能侦测、停车场管理、入侵报警应用、在人脸监控、图上监控、事件联动报警等功能。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【授权包含】：基础包、视频监控、门禁管理、可视对讲、出入口车辆放行管理、停车场车辆收费管理、园区人员布控、园区人车智能搜索、视频联网、入侵报警、设备网络管理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【关键规格】：1000路视频，200个门禁，2000户可视对讲，1万人员，16车道，320个防区管理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支持高空抛物、电动车进电梯、电瓶车违规停放、人员离岗、暴露垃圾、打包垃圾、垃圾桶满溢等智能监控报警事件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▲平台系统接口：具有1个HDMI接口、2个RJ45的10/100/1000Mbps自适应以太网口、2个USB2.0接口、2个USB3.0接口、1个DP接口、1路3.5mm音频输入接口、1路3.5mm音频输出接口。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存储系统接口：具有1个HDMI接口、1个VGA接口、2个RJ45的10/100/1000Mbps自适应以太网口、3个USB2.0接口(其中2个为前置)、1个RS232接口、1个RS485接口、内置5个SATA硬盘接口;1路RCA音频输入接口、1路RCA音频输出接口;16路报警输入接口、4路报警输出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▲支持定时录像、报警录像和移动侦测录像等录像模式，不同类型录像以不同颜色进行区。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【存储性能】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接入路数：最大支持接入32路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解码能力：可同时显示输出10路H.265/H.264编码、25fps、1920X1080格式的视频图像。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以上加“▲”项需提供检验报告证明。</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360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时间服务器</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可通过WEB管理对NTP时钟进行配置管理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▲事件源获取模式：支持GPS、北斗P、CDMA四种时间源获取模式。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▲卫星选源模式：支持北斗优先、GPS优先、强制北斗、强制GPS等多种卫星模式选择。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支持双机冗余配置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可通过NTP 模式或BD 模式对待授时设备进行授时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支持多槽位配置，同时支持4槽位板卡互换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超高守时能力，支持铷钟、高稳晶体钟选配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▲输入接口：具有2个BNC（GNSS天线口）、1个RJ45（NTP INP）接口。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▲输出接口：具有4种类型可插拔授时模块板卡，单卡分别支持4个RJ45输出接口、5对RS422/485接口、2个10GE输出接口、4个光口。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精密的校时精度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单NTP卡支持4个NTP 端口，支持端口绑定、双卡绑定功能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支持对监控设备(DVR、NVR、网络摄像机)进行授时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以上加“▲”项需提供检验报告证明。</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16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PDU</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输入线缆：RW1.5mm²*3M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功能模块：电源指示灯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外形尺寸：440*44*44mm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输出插头：10A国标插头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额定电流/电压：10A/250V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输出插孔：8位IEC C13插座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承载功率：Max 2500W</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机柜配电单元</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3U含空开</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jc w:val="center"/>
          <w:trHeight w:val="216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网络跳线</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支持千兆传输速率，游戏稳定不掉线，观影高清不卡顿。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纯铜线芯，紧密双绞架构，增加十字骨架，信号传输稳定可靠，抗干扰性能优良。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采用PVC加厚环保外被，耐磨抗拉，强韧不断裂。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水晶头内部芯片采用三叉结构设计，接触点镀金15um，芯片和线芯接触更稳定，增强信号传导性能，信号衰减更小，传输更稳定；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水晶头采用环保韧性弹片，耐插拔，韧性高，经久耐用。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符合RoHS 2.0 环保认证。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产品性能稳定优越，兼容性强，适用于笔记本、台式机、电视机、路由器、交换机、机顶盒等设备使用。</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r>
      <w:tr>
        <w:trPr>
          <w:jc w:val="center"/>
          <w:trHeight w:val="192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光纤跳线</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光纤规格：单模 OS2（9/125 µm），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接口类型： SC-SC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技术规格：插入损耗≤ 0.2dB，回波损耗≥ 50dB@单模；采用双工结构；采用低烟无卤外皮 , 符合 IEC60332-1的 LSZH防火等级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执行标准： ISO/IEC 11801:2002Ed2.0，ANSI/TIA 568C.3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靠近连接器部分采用不同颜色标识 ，以方便识别正确的极性状态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使用寿命：插拔次数≥ 1000次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通过100%专业的3D几何尺寸检测和控制，100%通过工厂测试。</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四、线材及施工</w:t>
            </w:r>
            <w:r/>
          </w:p>
        </w:tc>
      </w:tr>
      <w:tr>
        <w:trPr>
          <w:jc w:val="center"/>
          <w:trHeight w:val="192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网线</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线缆类别（网线）：CAT 5E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导体直径（网线）：0.5mm 24AWG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导体类型：无氧铜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护套类型：PVC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网线线芯：8芯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使用场景：室内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屏蔽性能：非屏蔽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防火等级：UL CM</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r>
      <w:tr>
        <w:trPr>
          <w:jc w:val="center"/>
          <w:trHeight w:val="56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导体类型：无氧铜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护套类型：PVC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线缆芯数：2芯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线缆类型（电源线）：RVV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屏蔽性能：非屏蔽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标称截面积：1mm2</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w:t>
            </w:r>
            <w:r/>
          </w:p>
        </w:tc>
      </w:tr>
      <w:tr>
        <w:trPr>
          <w:jc w:val="center"/>
          <w:trHeight w:val="16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光缆</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GYTS（金属加强构件、松套层绞填充式、钢-聚乙烯粘结护套通信用室外光缆）光缆的结构是将单模光纤套入由高模量的塑料做成的内填充防水化合物松套管中。缆芯的中心是一根金属加强芯，对于某些芯数的光缆来说，金属加强芯外还可挤包一层聚乙烯（PE）.松套管（和填充绳）围绕中心加强芯绞合成紧凑和圆形的缆芯，缆芯内的缝隙充以阻水化合物。涂塑钢带纵包后挤塑聚乙烯护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衰减：≤0.3dB/km（1550nm），≤0.4dB/km(1310nm)；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贮存、运输、使用温度: -40℃～+70℃</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144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导体类型：无氧铜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护套类型：PVC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线缆芯数：2芯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线缆类型（电源线）：RVV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屏蔽性能：非屏蔽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标称截面积：2.5mm2</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线缆敷设人工费</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线缆敷设人工费</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五、门卫室监控</w:t>
            </w:r>
            <w:r/>
          </w:p>
        </w:tc>
      </w:tr>
      <w:tr>
        <w:trPr>
          <w:jc w:val="center"/>
          <w:trHeight w:val="120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W w:w="145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65寸显示器</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支持3840*2160@60Hz超高清显示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采用超宽视角屏幕（上下左右）178°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3D数字图象降噪处理技术，画质更真实更清晰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内置喇叭及功放，支持3.5 mm音频输入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支持U盘点播，含文本、图片、音频、视频等多种格式多媒体播放</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W w:w="145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显示器吊装支架</w:t>
            </w:r>
            <w:r/>
          </w:p>
        </w:tc>
        <w:tc>
          <w:tcPr>
            <w:shd w:val="clear" w:color="auto" w:fill="auto"/>
            <w:tcW w:w="616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六、辅材</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W w:w="145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辅材</w:t>
            </w:r>
            <w:r/>
          </w:p>
        </w:tc>
        <w:tc>
          <w:tcPr>
            <w:shd w:val="clear" w:color="auto" w:fill="auto"/>
            <w:tcW w:w="616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国产优质</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r>
      <w:tr>
        <w:trPr>
          <w:jc w:val="center"/>
          <w:trHeight w:val="800"/>
        </w:trPr>
        <w:tc>
          <w:tcPr>
            <w:gridSpan w:val="5"/>
            <w:shd w:val="clear" w:color="auto" w:fill="auto"/>
            <w:tcW w:w="96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w:t>
            </w:r>
            <w:r>
              <w:rPr>
                <w:rFonts w:hint="eastAsia" w:ascii="宋体" w:hAnsi="宋体" w:eastAsia="宋体" w:cs="宋体"/>
                <w:b/>
                <w:bCs/>
                <w:i w:val="0"/>
                <w:iCs w:val="0"/>
                <w:color w:val="000000"/>
                <w:sz w:val="22"/>
                <w:szCs w:val="22"/>
                <w:u w:val="none"/>
                <w:lang w:val="en-US" w:eastAsia="zh-CN" w:bidi="ar"/>
              </w:rPr>
              <w:t xml:space="preserve">电子围栏系统</w:t>
            </w:r>
            <w:r/>
          </w:p>
        </w:tc>
      </w:tr>
      <w:tr>
        <w:trPr>
          <w:jc w:val="center"/>
          <w:trHeight w:val="270"/>
        </w:trPr>
        <w:tc>
          <w:tcPr>
            <w:shd w:val="clear" w:color="auto" w:fill="auto"/>
            <w:tcW w:w="6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4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名称</w:t>
            </w:r>
            <w:r/>
          </w:p>
        </w:tc>
        <w:tc>
          <w:tcPr>
            <w:shd w:val="clear" w:color="auto" w:fill="auto"/>
            <w:tcW w:w="616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参数</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一、设备</w:t>
            </w:r>
            <w:r/>
          </w:p>
        </w:tc>
      </w:tr>
      <w:tr>
        <w:trPr>
          <w:jc w:val="center"/>
          <w:trHeight w:val="96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室外声光喇叭</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报警音量: 105dB at 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防护等级：IP54，室外防水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内置水平仪，便于辅助安装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支持关闭报警声音输出，实现声光报警模式和光闪模式切换</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360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电子围栏主机4线双防区</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4.3英寸的液晶显示操作屏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显示每个防区的工作电压值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电压值可无限调控(0.7Kv-6.5Kv)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显示每个防区的工作电流值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防区报警显示图标,可实时监控每个防区情况,一旦报警被触发图标立即闪烁并报警提示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内接式螺丝接线端子台，让高压与脉冲连接更可靠、稳定，安全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提供1个485通信接口，1个RJ45 10/100M自适应以太网口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通过485通讯接口可直接连接网络报警主机可双向控制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多功能继电器控制可编程输出继电器，让脉冲电子围栏可与其他安防系统实现集成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自带地址码定位器，内置的拨码式地址码模块，自带拨码开关，使用多防区时无须另外增、加地址码模块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可输出DC 12V、1A的供电，给外接设备供电，无需接入外供电源，节约成本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可接入外部1对开关量输入集成（例如红外对射等），由脉冲主机输出报警信号，可由网络报警主机统一管理</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16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防水箱</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结构：整体结构采用拼焊结构，牢固、钢性好、牢固可靠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防护等级IP55，保护内部设备不受外界恶劣环境的干扰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机柜采用主体焊接、部分拼装的结构，保证了防护性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采用的是专用户外柜锁，具有良好的防水、防盗性能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环境适应性好，能最大限度地降低设备对环境的要求接地系统安全可靠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机柜底部进出线缆，有效实现防水、防尘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机柜可采用抱杆安装方式，具有防虫、防鼠功效</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96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高压避雷器</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硅橡胶材质，不易损坏，绝缘性好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触头采用不锈钢材质，导电性能好，抗腐蚀性强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额定频率：50HZ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环境温度：-40°C~+40°C</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72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4线中间杆</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用于前端围栏部分，主要支撑合金线；由软性的玻璃纤维制造，防静电、耐腐蚀，柔韧性较好；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间杆平均按5m左右设置一根，其线与线之间的距离也可根据实际情况灵活调整；</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4线中间杆附件包</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中间杆附件包用于前端围栏部分，配套中间杆使用，连接合金线和固定中间杆。</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jc w:val="center"/>
          <w:trHeight w:val="72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终端杆、承立杆</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承力杆用于前端围栏部分，用于中间处，主要支撑合金线，又能起到受力作用；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国标要求承力杆用在防区中间，跟终端杆间距25米左右放置1根；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杆子规格：长度 850mm，孔径 25mm，壁厚 2.0mm（均厚）；</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r>
      <w:tr>
        <w:trPr>
          <w:jc w:val="center"/>
          <w:trHeight w:val="4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终端杆、承立杆附件包</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四线承力杆附件包，提供DS-PF-CLG/AR安装所需要的配套物料；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内含物料：25口径绝缘子*4；铝合金万向底座*1；防雨帽*1；</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合金线</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20#合金线，优良导电率，抗氧化、耐腐蚀,去火功能，多股，每100米一欧姆阻值，</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4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高压导线</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高压绝缘导线；合金线为内芯/高压绝缘层抗脉冲电压&gt;10KV/考虑现场可能有出入口、或围墙不连续处</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4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警示牌</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警示牌；尺寸：100*200MM/采用稀土发光材料制造/在阴雨天气同样可吸光/双面印刷/夜光显示/每10米挂一块</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r>
      <w:tr>
        <w:trPr>
          <w:jc w:val="center"/>
          <w:trHeight w:val="4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接地桩</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电子围栏接地桩；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可用于将电子围栏主机和避雷器的接地；角钢，厚度2mm，长1.5米</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r>
      <w:tr>
        <w:trPr>
          <w:jc w:val="center"/>
          <w:trHeight w:val="16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导体类型：无氧铜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护套类型：PVC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线缆芯数：2芯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线缆类型（电源线）：RVV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屏蔽性能：非屏蔽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标称截面积：2.5mm2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产品执行标准(具体版本号以标签为准)：GB/T 5023.5</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216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网线</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线缆类别（网线）：CAT 5E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导体直径（网线）：0.5mm 24AWG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导体类型：无氧铜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护套类型：PE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网线线芯：8芯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使用场景：室外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屏蔽性能：非屏蔽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防火等级：无阻燃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产品执行标准(具体版本号以标签为准)：GB/T 18015.5</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PVC管材附件</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Φ25</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膨胀螺丝</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8*80</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系统集成费</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系统集成费</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r>
      <w:tr>
        <w:trPr>
          <w:jc w:val="center"/>
          <w:trHeight w:val="640"/>
        </w:trPr>
        <w:tc>
          <w:tcPr>
            <w:gridSpan w:val="5"/>
            <w:shd w:val="clear" w:color="auto" w:fill="auto"/>
            <w:tcW w:w="9600" w:type="dxa"/>
            <w:vAlign w:val="center"/>
            <w:textDirection w:val="lrTb"/>
            <w:noWrap/>
          </w:tcPr>
          <w:p>
            <w:pPr>
              <w:ind w:left="229"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0"/>
                <w:szCs w:val="20"/>
                <w:u w:val="none"/>
                <w:lang w:val="en-US" w:eastAsia="zh-CN" w:bidi="ar"/>
              </w:rPr>
              <w:t xml:space="preserve">（四）</w:t>
            </w:r>
            <w:r>
              <w:rPr>
                <w:rFonts w:hint="eastAsia" w:ascii="宋体" w:hAnsi="宋体" w:eastAsia="宋体" w:cs="宋体"/>
                <w:b/>
                <w:bCs/>
                <w:i w:val="0"/>
                <w:iCs w:val="0"/>
                <w:color w:val="000000"/>
                <w:sz w:val="22"/>
                <w:szCs w:val="22"/>
                <w:u w:val="none"/>
                <w:lang w:val="en-US" w:eastAsia="zh-CN" w:bidi="ar"/>
              </w:rPr>
              <w:t xml:space="preserve">机房系统</w:t>
            </w:r>
            <w:r/>
          </w:p>
        </w:tc>
      </w:tr>
      <w:tr>
        <w:trPr>
          <w:jc w:val="center"/>
          <w:trHeight w:val="270"/>
        </w:trPr>
        <w:tc>
          <w:tcPr>
            <w:shd w:val="clear" w:color="auto" w:fill="auto"/>
            <w:tcW w:w="6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4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名称</w:t>
            </w:r>
            <w:r/>
          </w:p>
        </w:tc>
        <w:tc>
          <w:tcPr>
            <w:shd w:val="clear" w:color="auto" w:fill="auto"/>
            <w:tcW w:w="616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c>
          <w:tcPr>
            <w:shd w:val="clear" w:color="auto" w:fill="auto"/>
            <w:tcW w:w="66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一、机房</w:t>
            </w:r>
            <w:r/>
          </w:p>
        </w:tc>
      </w:tr>
      <w:tr>
        <w:trPr>
          <w:jc w:val="center"/>
          <w:trHeight w:val="270"/>
        </w:trPr>
        <w:tc>
          <w:tcPr>
            <w:shd w:val="clear" w:color="auto" w:fill="auto"/>
            <w:tcW w:w="6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机房电路改造</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含必要的电路改造，接地改造</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jc w:val="center"/>
          <w:trHeight w:val="270"/>
        </w:trPr>
        <w:tc>
          <w:tcPr>
            <w:shd w:val="clear" w:color="auto" w:fill="auto"/>
            <w:tcW w:w="6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暂定米数，从附近总配电箱取电</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二、辅材及施工费</w:t>
            </w:r>
            <w:r/>
          </w:p>
        </w:tc>
      </w:tr>
      <w:tr>
        <w:trPr>
          <w:jc w:val="center"/>
          <w:trHeight w:val="270"/>
        </w:trPr>
        <w:tc>
          <w:tcPr>
            <w:shd w:val="clear" w:color="auto" w:fill="auto"/>
            <w:tcW w:w="6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施工费</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single"/>
              </w:rPr>
              <w:suppressLineNumbers w:val="0"/>
            </w:pPr>
            <w:r>
              <w:rPr>
                <w:rFonts w:hint="eastAsia" w:ascii="宋体" w:hAnsi="宋体" w:eastAsia="宋体" w:cs="宋体"/>
                <w:i w:val="0"/>
                <w:iCs w:val="0"/>
                <w:color w:val="000000"/>
                <w:sz w:val="22"/>
                <w:szCs w:val="22"/>
                <w:u w:val="single"/>
                <w:lang w:val="en-US" w:eastAsia="zh-CN" w:bidi="ar"/>
              </w:rPr>
              <w:t xml:space="preserve">施工费</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jc w:val="center"/>
          <w:trHeight w:val="823"/>
        </w:trPr>
        <w:tc>
          <w:tcPr>
            <w:gridSpan w:val="5"/>
            <w:shd w:val="clear" w:color="auto" w:fill="auto"/>
            <w:tcW w:w="96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（五）</w:t>
            </w:r>
            <w:r>
              <w:rPr>
                <w:rFonts w:hint="eastAsia" w:ascii="宋体" w:hAnsi="宋体" w:eastAsia="宋体" w:cs="宋体"/>
                <w:b/>
                <w:bCs/>
                <w:i w:val="0"/>
                <w:iCs w:val="0"/>
                <w:color w:val="000000"/>
                <w:sz w:val="22"/>
                <w:szCs w:val="22"/>
                <w:u w:val="none"/>
                <w:lang w:val="en-US" w:eastAsia="zh-CN" w:bidi="ar"/>
              </w:rPr>
              <w:t xml:space="preserve">校园广播系统</w:t>
            </w:r>
            <w:r/>
          </w:p>
        </w:tc>
      </w:tr>
      <w:tr>
        <w:trPr>
          <w:jc w:val="center"/>
          <w:trHeight w:val="270"/>
        </w:trPr>
        <w:tc>
          <w:tcPr>
            <w:shd w:val="clear" w:color="auto" w:fill="auto"/>
            <w:tcW w:w="6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4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名称</w:t>
            </w:r>
            <w:r/>
          </w:p>
        </w:tc>
        <w:tc>
          <w:tcPr>
            <w:shd w:val="clear" w:color="auto" w:fill="auto"/>
            <w:tcW w:w="616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参数</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一、教室内设备</w:t>
            </w:r>
            <w:r/>
          </w:p>
        </w:tc>
      </w:tr>
      <w:tr>
        <w:trPr>
          <w:jc w:val="center"/>
          <w:trHeight w:val="552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网络壁挂音响</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1.支持平台或管理机将定时任务下发到设备中，在断网情况下也能播放定时住务音频。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2.设备支持通过Web 端配置定时任务，在无管理机或平台时，也可单独使用。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3.支持检测到本地报警输入时，联动播放音箱内的音频文件。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4.具有红绿双色指示灯，显示设备在线，离线，对讲工作状态。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5.支持Web 进行系统配置、网络配置、系统维护等操作。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6.支持标准 POE 供电（选配）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Web功能支持系统设置（基本信息、时间配置、关于设备）、系统维护（升级维护）、安全管理（安全服务）、用户管理（用户管理）、基本配置（TCP/IP、端口）、高级配置（平台接入）、音量配置、3.5mm/线路配置（开关、输入选择（打开后默认选择线路），开关默认关闭）、可配置 DSP输入源能量检测等级、信息发布（定时任务）、事件联动、网络抓包、帮助手册；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8.音频输入接口：网络音频输入接口*1；3.5mm音频输入接口*1；线路输入接口*1；定压输入*1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9.音频输出接口：模拟音频线路输出接口*1；广播扬声器输出*1；对讲扬声器输出*1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10.广播采样率：8KHz～48KHz；量化位数：16bit</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11.信噪比：≥90dB；灵敏度：90dB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12.频率响应：100Hz-16KHz；音频文件格式：.mp3/.wav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13.物理接口不低于网口*1；RS485*1；报警输入*2；报警输出（继电器）*2；音量调节旋钮*1；复位按钮*1；USB*1；TF卡（内置）*1路；RTC*1路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14.供电：DC 24V供电（自带外置适配器）或标准PoE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15.安装方式：壁挂安装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16.无需另外设备与原网络广播系统及广播主机完美兼容</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二、传输设备</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光纤收发器</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3KM</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汇聚交换机</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8口千兆非网管交换机，8个10/100/1000M自适应电口，非网管，铁壳桌面级</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4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光模块</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 SFP MSA 协议和 IEEE 802.3z 千兆以太网标准，采用可热插拔的标准 SFP 封装，传输速率为 1.25Gbps，通过一根单模光纤传输，最远距离可达 2KM。</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网线跳线</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SC-SC-3M</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r>
      <w:tr>
        <w:trPr>
          <w:jc w:val="center"/>
          <w:trHeight w:val="2585"/>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室外网络音柱</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采用网络音频解码、高性能D类功放及全频喇叭三合一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采用高速工业级处理器，内置NOR Flash+EMMC双存储，支持系统双备份，系统稳定可靠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支持安全启动、用户登录锁定机制及密码复杂度提示，支持安全审计日志事后可追溯，提升系统网络安全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支持通过IP网络（局域网/公网），远程平台批量统一管理+本地WEB单机灵活配置，同时支持本地音频采集播放，适配各类场景应用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支持实时和定时任务、隔天续播，支持150个定时任务，内置1 GB存储空间最多支持1000个wav、mp3音频素材库管理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支持NTP自动校时，系统时间与服务器自动同步，确保多设备播放同步和定时任务准时执行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支持报警输入、布防计划及语音联动，支持TTS语音合成和文本广播，自然流畅的标准男女双声可选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支持ISUP、萤石、ISAPI协议，灵活接入平台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支持广播混音、优先级灵活配置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支持监听与对讲（需搭配一体机或者智慧广播平台使用）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麦克风类型：驻极体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阵列数量：2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频率响应：100 Hz~20 kHz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灵敏度：-42 dBV/Pa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额定功率：60 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扬声器单元：中低音5.25′′ × 2，号角高音1′′ × 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灵敏度（1 m，1 W）：90 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最大声压级（1 m）：106 dBSPL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频率响应：100 Hz~20 kHz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信噪比：85 dB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音频算法：AEC、AGC、ANS、DRC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音频编码及码率：G.711ulaw（64 Kbps）/G.711alaw（64 Kbps）/MP3（128 Kbps）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采样位宽支持16bits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网络协议：IPv4, HTTP, HTTPS , SIP, SSL/TLS , DNS,  NTP, TCP, UDP, IGMP, ICMP, DHCP, ARP, SSH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接口协议（API）：ISAPI, ISUP, SIP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通信方式：支持有线网络通信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-G型号：支持4G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网口：1个RJ45 10 M/100 M自适应以太网口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报警：报警输入 × 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音频输入：Line in × 1，凤凰端子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指示灯：绿灯常亮：设备正常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绿灯闪烁：设备对讲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红灯常亮：设备启动或断网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红灯闪烁：设备升级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复位：支持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电源：AC：100~240 V/1.5 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材质：金属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颜色：白色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产品尺寸：160 mm × 160 mm × 446.8 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包装尺寸：715 mm × 265 mm × 250 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裸机重量：≈5.4 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带包装重量：≈7.1 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工作温度：-30 ℃~55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工作湿度：小于90%（无凝结） </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三、线材辅材</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W w:w="145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RVV2*1.5</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W w:w="145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音响支架及辅材</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国产优质</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网线</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超五类</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W w:w="145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人工及辅材</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人工及辅材</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r>
    </w:tbl>
    <w:p>
      <w:pPr>
        <w:numPr>
          <w:ilvl w:val="0"/>
          <w:numId w:val="0"/>
        </w:numPr>
        <w:jc w:val="both"/>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keepLines w:val="0"/>
        <w:keepNext w:val="0"/>
        <w:pageBreakBefore w:val="0"/>
        <w:spacing w:after="0" w:line="360" w:lineRule="auto"/>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val="0"/>
          <w:color w:val="auto"/>
          <w:sz w:val="24"/>
          <w:szCs w:val="24"/>
          <w:highlight w:val="none"/>
          <w:lang w:eastAsia="zh-CN"/>
        </w:rPr>
        <w:t xml:space="preserve">四、项目实施要求</w:t>
      </w:r>
      <w:r/>
    </w:p>
    <w:p>
      <w:pPr>
        <w:ind w:firstLine="480"/>
        <w:jc w:val="both"/>
        <w:keepLines w:val="0"/>
        <w:keepNext w:val="0"/>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）供货时间、地点和方式</w:t>
      </w:r>
      <w:r/>
    </w:p>
    <w:p>
      <w:pPr>
        <w:ind w:firstLine="480"/>
        <w:jc w:val="both"/>
        <w:keepLines w:val="0"/>
        <w:keepNext w:val="0"/>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24"/>
          <w:szCs w:val="24"/>
          <w:highlight w:val="none"/>
          <w:lang w:eastAsia="zh-CN"/>
        </w:rPr>
        <w:t xml:space="preserve">1.签订合同后</w:t>
      </w:r>
      <w:r>
        <w:rPr>
          <w:rFonts w:hint="eastAsia" w:ascii="宋体" w:hAnsi="宋体" w:eastAsia="宋体" w:cs="宋体"/>
          <w:b w:val="0"/>
          <w:bCs/>
          <w:color w:val="auto"/>
          <w:sz w:val="24"/>
          <w:szCs w:val="24"/>
          <w:highlight w:val="none"/>
          <w:u w:val="single"/>
          <w:lang w:val="en-US" w:eastAsia="zh-CN"/>
        </w:rPr>
        <w:t xml:space="preserve">30天</w:t>
      </w:r>
      <w:r>
        <w:rPr>
          <w:rFonts w:hint="eastAsia" w:ascii="宋体" w:hAnsi="宋体" w:eastAsia="宋体" w:cs="宋体"/>
          <w:b w:val="0"/>
          <w:bCs/>
          <w:color w:val="auto"/>
          <w:sz w:val="24"/>
          <w:szCs w:val="24"/>
          <w:highlight w:val="none"/>
          <w:lang w:eastAsia="zh-CN"/>
        </w:rPr>
        <w:t xml:space="preserve">内，中标人将货物运抵采购人指定地点，并</w:t>
      </w:r>
      <w:r>
        <w:rPr>
          <w:rFonts w:hint="eastAsia" w:ascii="宋体" w:hAnsi="宋体" w:eastAsia="宋体" w:cs="宋体"/>
          <w:b w:val="0"/>
          <w:bCs/>
          <w:color w:val="auto"/>
          <w:sz w:val="24"/>
          <w:szCs w:val="24"/>
          <w:highlight w:val="none"/>
          <w:lang w:val="en-US" w:eastAsia="zh-CN"/>
        </w:rPr>
        <w:t xml:space="preserve">完成</w:t>
      </w:r>
      <w:r>
        <w:rPr>
          <w:rFonts w:hint="eastAsia" w:ascii="宋体" w:hAnsi="宋体" w:eastAsia="宋体" w:cs="宋体"/>
          <w:b w:val="0"/>
          <w:bCs/>
          <w:color w:val="auto"/>
          <w:sz w:val="24"/>
          <w:szCs w:val="24"/>
          <w:highlight w:val="none"/>
          <w:lang w:eastAsia="zh-CN"/>
        </w:rPr>
        <w:t xml:space="preserve">安装调试。</w:t>
      </w:r>
      <w:r/>
    </w:p>
    <w:p>
      <w:pPr>
        <w:ind w:firstLine="480"/>
        <w:jc w:val="both"/>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24"/>
          <w:szCs w:val="24"/>
          <w:highlight w:val="none"/>
          <w:lang w:val="en-US" w:eastAsia="zh-CN"/>
        </w:rPr>
        <w:t xml:space="preserve">2.中标人在交货时应提供货物制造厂商的出厂检验报告、性能检测报告、合格证书、中文安装、使用及维护的相关技术资料（如使用保养说明书、电气原理接线图、安装手册、操作手册、维修手册、设备及随机附件清单、专用工具、两年保修期内使用的易耗品）等。</w:t>
      </w:r>
      <w:r/>
    </w:p>
    <w:p>
      <w:pPr>
        <w:ind w:firstLine="480"/>
        <w:jc w:val="both"/>
        <w:keepLines w:val="0"/>
        <w:keepNext w:val="0"/>
        <w:pageBreakBefore w:val="0"/>
        <w:spacing w:after="0" w:line="360" w:lineRule="auto"/>
        <w:rPr>
          <w:rFonts w:hint="default"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24"/>
          <w:szCs w:val="24"/>
          <w:highlight w:val="none"/>
          <w:lang w:val="en-US" w:eastAsia="zh-CN"/>
        </w:rPr>
        <w:t xml:space="preserve">3.中标人应确保设备的安装调试合格。</w:t>
      </w:r>
      <w:r/>
    </w:p>
    <w:p>
      <w:pPr>
        <w:pStyle w:val="809"/>
        <w:numPr>
          <w:ilvl w:val="0"/>
          <w:numId w:val="0"/>
        </w:numPr>
        <w:ind w:right="1440" w:firstLine="420"/>
        <w:keepLines w:val="0"/>
        <w:keepNext w:val="0"/>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sz w:val="24"/>
          <w:szCs w:val="32"/>
          <w:lang w:eastAsia="zh-CN"/>
        </w:rPr>
        <w:t xml:space="preserve">（</w:t>
      </w:r>
      <w:r>
        <w:rPr>
          <w:rFonts w:hint="eastAsia" w:ascii="宋体" w:hAnsi="宋体" w:eastAsia="宋体" w:cs="宋体"/>
          <w:b w:val="0"/>
          <w:bCs w:val="0"/>
          <w:sz w:val="24"/>
          <w:szCs w:val="32"/>
          <w:lang w:val="en-US" w:eastAsia="zh-CN"/>
        </w:rPr>
        <w:t xml:space="preserve">2</w:t>
      </w:r>
      <w:r>
        <w:rPr>
          <w:rFonts w:hint="eastAsia" w:ascii="宋体" w:hAnsi="宋体" w:eastAsia="宋体" w:cs="宋体"/>
          <w:b w:val="0"/>
          <w:bCs w:val="0"/>
          <w:sz w:val="24"/>
          <w:szCs w:val="32"/>
          <w:lang w:eastAsia="zh-CN"/>
        </w:rPr>
        <w:t xml:space="preserve">）</w:t>
      </w:r>
      <w:r>
        <w:rPr>
          <w:rFonts w:hint="eastAsia" w:ascii="宋体" w:hAnsi="宋体" w:eastAsia="宋体" w:cs="宋体"/>
          <w:b w:val="0"/>
          <w:bCs w:val="0"/>
          <w:color w:val="auto"/>
          <w:sz w:val="24"/>
          <w:szCs w:val="24"/>
          <w:highlight w:val="none"/>
          <w:lang w:eastAsia="zh-CN"/>
        </w:rPr>
        <w:t xml:space="preserve">验收</w:t>
      </w:r>
      <w:r/>
    </w:p>
    <w:p>
      <w:pPr>
        <w:ind w:firstLine="480"/>
        <w:jc w:val="both"/>
        <w:keepLines w:val="0"/>
        <w:keepNext w:val="0"/>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24"/>
          <w:szCs w:val="24"/>
          <w:highlight w:val="none"/>
          <w:lang w:eastAsia="zh-CN"/>
        </w:rPr>
        <w:t xml:space="preserve">1.采购人以采购文件、中标人的响应文件、合同为依据，成立验收小组，负责对项目进行全面的验收，中标人须向采购人提供详细的预验收方案。</w:t>
      </w:r>
      <w:r/>
    </w:p>
    <w:p>
      <w:pPr>
        <w:ind w:firstLine="480"/>
        <w:jc w:val="both"/>
        <w:keepLines w:val="0"/>
        <w:keepNext w:val="0"/>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24"/>
          <w:szCs w:val="24"/>
          <w:highlight w:val="none"/>
          <w:lang w:eastAsia="zh-CN"/>
        </w:rPr>
        <w:t xml:space="preserve">2.采购人按照国家规定标准验收，没有国家标准的按行业标准验收，无行业标准的按地方或企业标准验收，中标人应予以配合。涉及安全、消防、环保等其他需要由质检或行业主管部门验收的项目，采购人须约请相关部门和专家参加项目验收。</w:t>
      </w:r>
      <w:r/>
    </w:p>
    <w:p>
      <w:pPr>
        <w:ind w:firstLine="240"/>
        <w:jc w:val="both"/>
        <w:keepLines w:val="0"/>
        <w:keepNext w:val="0"/>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）质保、维修及售后服务</w:t>
      </w:r>
      <w:r/>
    </w:p>
    <w:p>
      <w:pPr>
        <w:ind w:firstLine="480"/>
        <w:jc w:val="both"/>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24"/>
          <w:szCs w:val="24"/>
          <w:highlight w:val="none"/>
          <w:lang w:val="en-US" w:eastAsia="zh-CN"/>
        </w:rPr>
        <w:t xml:space="preserve">1、质量保证期：自验收合格之日起，免费质保期为2年。保质期内，中标人对故障负责，货物更换、维修所涉及的有关费用及由此引起的相关损失由中标人承担，同时相应延长更换和修补零件的质量保证期。</w:t>
      </w:r>
      <w:r/>
    </w:p>
    <w:p>
      <w:pPr>
        <w:ind w:firstLine="480"/>
        <w:jc w:val="both"/>
        <w:keepLines w:val="0"/>
        <w:keepNext w:val="0"/>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24"/>
          <w:szCs w:val="24"/>
          <w:highlight w:val="none"/>
          <w:lang w:val="en-US" w:eastAsia="zh-CN"/>
        </w:rPr>
        <w:t xml:space="preserve">2、质量保证期内，中标人应在接到服务要求2小时内响应，需要到达现场服务的，应在24小时内到达现场服务。</w:t>
      </w:r>
      <w:r/>
    </w:p>
    <w:p>
      <w:pPr>
        <w:ind w:firstLine="480"/>
        <w:jc w:val="both"/>
        <w:keepLines w:val="0"/>
        <w:keepNext w:val="0"/>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.如标的物使用复杂，中标人必须给予免费培训，直到采购人能够熟练使用为止。</w:t>
      </w:r>
      <w:r/>
    </w:p>
    <w:p>
      <w:pPr>
        <w:ind w:firstLine="240"/>
        <w:jc w:val="both"/>
        <w:keepLines w:val="0"/>
        <w:keepNext w:val="0"/>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）其他要求</w:t>
      </w:r>
      <w:r/>
    </w:p>
    <w:p>
      <w:pPr>
        <w:ind w:firstLine="240"/>
        <w:jc w:val="both"/>
        <w:keepLines w:val="0"/>
        <w:keepNext w:val="0"/>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24"/>
          <w:szCs w:val="24"/>
          <w:highlight w:val="none"/>
          <w:lang w:eastAsia="zh-CN"/>
        </w:rPr>
        <w:t xml:space="preserve">1、验收合格并不免除在质保期内中标人应负的责任。</w:t>
      </w:r>
      <w:r/>
    </w:p>
    <w:p>
      <w:pPr>
        <w:ind w:firstLine="240"/>
        <w:jc w:val="both"/>
        <w:keepLines w:val="0"/>
        <w:keepNext w:val="0"/>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24"/>
          <w:szCs w:val="24"/>
          <w:highlight w:val="none"/>
          <w:lang w:eastAsia="zh-CN"/>
        </w:rPr>
        <w:t xml:space="preserve">2、其它要求见招标文件《拟签订的合同文本》。</w:t>
      </w:r>
      <w:r/>
    </w:p>
    <w:p>
      <w:pPr>
        <w:ind w:firstLine="240"/>
        <w:jc w:val="both"/>
        <w:keepLines w:val="0"/>
        <w:keepNext w:val="0"/>
        <w:pageBreakBefore w:val="0"/>
        <w:spacing w:after="0" w:line="360" w:lineRule="auto"/>
        <w:rPr>
          <w:rFonts w:hint="default"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质量保证要求：中标人必须以书面形式保证提供原产、正宗品牌设备，不得用假冒及伪劣设备替代。</w:t>
      </w:r>
      <w:r/>
    </w:p>
    <w:p>
      <w:pPr>
        <w:jc w:val="center"/>
        <w:keepLines w:val="0"/>
        <w:keepNext w:val="0"/>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24"/>
          <w:szCs w:val="24"/>
          <w:highlight w:val="none"/>
          <w:lang w:eastAsia="zh-CN"/>
        </w:rPr>
      </w:r>
      <w:r/>
    </w:p>
    <w:p>
      <w:pPr>
        <w:jc w:val="center"/>
        <w:keepLines w:val="0"/>
        <w:keepNext w:val="0"/>
        <w:pageBreakBefore w:val="0"/>
        <w:spacing w:after="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4"/>
          <w:szCs w:val="24"/>
          <w:highlight w:val="none"/>
          <w:lang w:eastAsia="zh-CN"/>
        </w:rPr>
      </w:r>
      <w:r/>
    </w:p>
    <w:p>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clear="all"/>
      </w:r>
      <w:r/>
    </w:p>
    <w:p>
      <w:pPr>
        <w:jc w:val="center"/>
        <w:keepLines w:val="0"/>
        <w:keepNext w:val="0"/>
        <w:pageBreakBefore w:val="0"/>
        <w:spacing w:after="0" w:line="360" w:lineRule="auto"/>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8"/>
          <w:szCs w:val="28"/>
          <w:highlight w:val="none"/>
          <w:lang w:eastAsia="zh-CN"/>
        </w:rPr>
        <w:t xml:space="preserve">第七章 投标文件相关格式</w:t>
      </w:r>
      <w:r/>
    </w:p>
    <w:p>
      <w:pPr>
        <w:pStyle w:val="823"/>
        <w:ind w:left="1540" w:right="1540"/>
        <w:keepLines w:val="0"/>
        <w:keepNext w:val="0"/>
        <w:pageBreakBefore w:val="0"/>
        <w:spacing w:after="0" w:line="360" w:lineRule="auto"/>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目录</w:t>
      </w:r>
      <w:r/>
    </w:p>
    <w:p>
      <w:pPr>
        <w:pStyle w:val="823"/>
        <w:ind w:left="1540" w:right="1540"/>
        <w:keepLines w:val="0"/>
        <w:keepNext w:val="0"/>
        <w:pageBreakBefore w:val="0"/>
        <w:spacing w:after="0" w:line="360" w:lineRule="auto"/>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r>
      <w:r/>
    </w:p>
    <w:p>
      <w:pPr>
        <w:ind w:left="770"/>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一、投标函</w:t>
      </w:r>
      <w:r/>
    </w:p>
    <w:p>
      <w:pPr>
        <w:ind w:left="770"/>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二、开标一览表</w:t>
      </w:r>
      <w:r/>
    </w:p>
    <w:p>
      <w:pPr>
        <w:ind w:left="770"/>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三、分项价格表</w:t>
      </w:r>
      <w:r/>
    </w:p>
    <w:p>
      <w:pPr>
        <w:ind w:left="770"/>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四、偏离表</w:t>
      </w:r>
      <w:r/>
    </w:p>
    <w:p>
      <w:pPr>
        <w:ind w:left="770"/>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五、授权委托书</w:t>
      </w:r>
      <w:r/>
    </w:p>
    <w:p>
      <w:pPr>
        <w:ind w:left="770"/>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六、中小企业声明函</w:t>
      </w:r>
      <w:r/>
    </w:p>
    <w:p>
      <w:pPr>
        <w:ind w:left="770"/>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七、残疾人福利性单位声明函（如有）</w:t>
      </w:r>
      <w:r/>
    </w:p>
    <w:p>
      <w:pPr>
        <w:ind w:left="770"/>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八、投标人参加政府采购活动前3年内在经营活动中没有重大违法记录的书面声明</w:t>
      </w:r>
      <w:r/>
    </w:p>
    <w:p>
      <w:pPr>
        <w:ind w:left="770"/>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九、具备履行合同所必需的设备和专业技术能力的书面声明</w:t>
      </w:r>
      <w:r/>
    </w:p>
    <w:p>
      <w:pPr>
        <w:ind w:left="770"/>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 预付款保函支付条款模板</w:t>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一、投标函</w:t>
      </w:r>
      <w:r/>
    </w:p>
    <w:p>
      <w:pPr>
        <w:jc w:val="both"/>
        <w:keepLines w:val="0"/>
        <w:keepNext w:val="0"/>
        <w:pageBreakBefore w:val="0"/>
        <w:spacing w:after="0" w:line="360" w:lineRule="auto"/>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致：</w:t>
      </w:r>
      <w:r>
        <w:rPr>
          <w:rFonts w:hint="eastAsia" w:ascii="宋体" w:hAnsi="宋体" w:eastAsia="宋体" w:cs="宋体"/>
          <w:color w:val="auto"/>
          <w:sz w:val="24"/>
          <w:szCs w:val="24"/>
          <w:highlight w:val="none"/>
          <w:u w:val="single"/>
          <w:lang w:eastAsia="zh-CN"/>
        </w:rPr>
        <w:t xml:space="preserve">沛县教育局 </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根据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沛县歌风中学（树恩校区）二期工程弱电安装项目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项目[项目编号：</w:t>
      </w:r>
      <w:r>
        <w:rPr>
          <w:rFonts w:hint="eastAsia" w:ascii="宋体" w:hAnsi="宋体" w:eastAsia="宋体" w:cs="宋体"/>
          <w:color w:val="auto"/>
          <w:sz w:val="24"/>
          <w:szCs w:val="24"/>
          <w:highlight w:val="none"/>
          <w:u w:val="single"/>
          <w:lang w:eastAsia="zh-CN"/>
        </w:rPr>
        <w:t xml:space="preserve">JSZC-320322-HXXM-G2026-0003</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(姓名)代表我方</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（投标人的名称）全权处理本次投标的有关事宜。</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据此函，投标人承诺并同意如下： </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 投标人唯一投标报价见《开标一览表》。</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 投标人将按招标文件的规定履行合同责任和义务。</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 投标人已详细审查全部招标文件，包括澄清说明。投标人完全理解并同意放弃对这方面有不明及误解的权力。</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 投标有效期为开标之日后90天。</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5.投标人同意提供按照贵方可能要求的与其投标有关的一切数据或资料，完全理解贵方不一定接受最低价的投标或收到的任何投标。</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 投标人同意在授予合同后，按照有关规定支付公证费(如有)。</w:t>
      </w:r>
      <w:r/>
    </w:p>
    <w:p>
      <w:pPr>
        <w:ind w:right="29"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 江苏华徐项目管理有限公司有权将我单位本项目的《开标一览表》和《分项价格表》予以公示，公示的方式由江苏华徐项目管理有限公司确定。</w:t>
      </w:r>
      <w:r/>
    </w:p>
    <w:p>
      <w:pPr>
        <w:ind w:right="29"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 与本次投标有关的一切正式往来信函请寄：</w:t>
      </w:r>
      <w:r/>
    </w:p>
    <w:p>
      <w:pPr>
        <w:ind w:firstLine="12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地址： </w:t>
      </w:r>
      <w:r/>
    </w:p>
    <w:p>
      <w:pPr>
        <w:ind w:firstLine="12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电话：           传真： </w:t>
      </w:r>
      <w:r/>
    </w:p>
    <w:p>
      <w:pPr>
        <w:ind w:firstLine="1134"/>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w:t>
      </w:r>
      <w:bookmarkStart w:id="5" w:name="OLE_LINK34"/>
      <w:r/>
      <w:bookmarkStart w:id="6" w:name="OLE_LINK35"/>
      <w:r>
        <w:rPr>
          <w:rFonts w:hint="eastAsia" w:ascii="宋体" w:hAnsi="宋体" w:eastAsia="宋体" w:cs="宋体"/>
          <w:color w:val="auto"/>
          <w:sz w:val="24"/>
          <w:szCs w:val="24"/>
          <w:highlight w:val="none"/>
          <w:lang w:eastAsia="zh-CN"/>
        </w:rPr>
        <w:t xml:space="preserve">电子签章</w:t>
      </w:r>
      <w:bookmarkEnd w:id="5"/>
      <w:r/>
      <w:bookmarkEnd w:id="6"/>
      <w:r>
        <w:rPr>
          <w:rFonts w:hint="eastAsia" w:ascii="宋体" w:hAnsi="宋体" w:eastAsia="宋体" w:cs="宋体"/>
          <w:color w:val="auto"/>
          <w:sz w:val="24"/>
          <w:szCs w:val="24"/>
          <w:highlight w:val="none"/>
          <w:lang w:eastAsia="zh-CN"/>
        </w:rPr>
        <w:t xml:space="preserve">）</w:t>
      </w:r>
      <w:r/>
    </w:p>
    <w:p>
      <w:pPr>
        <w:ind w:firstLine="1134"/>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投标人法定代表人或其授权代表：（签字或盖章）</w:t>
      </w:r>
      <w:r/>
    </w:p>
    <w:p>
      <w:pPr>
        <w:ind w:firstLine="1134"/>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日</w:t>
      </w:r>
      <w:r/>
    </w:p>
    <w:p>
      <w:pPr>
        <w:jc w:val="center"/>
        <w:keepLines w:val="0"/>
        <w:keepNext w:val="0"/>
        <w:pageBreakBefore w:val="0"/>
        <w:spacing w:after="0"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701" w:bottom="1440" w:left="1701" w:header="850" w:footer="992" w:gutter="0"/>
          <w:cols w:num="1" w:sep="0" w:space="0" w:equalWidth="1"/>
          <w:docGrid w:linePitch="360"/>
        </w:sectPr>
      </w:pPr>
      <w:r>
        <w:rPr>
          <w:rFonts w:hint="eastAsia" w:ascii="宋体" w:hAnsi="宋体" w:eastAsia="宋体" w:cs="宋体"/>
          <w:b/>
          <w:bCs/>
          <w:color w:val="auto"/>
          <w:sz w:val="24"/>
          <w:szCs w:val="24"/>
          <w:highlight w:val="none"/>
          <w:lang w:eastAsia="zh-CN"/>
        </w:rPr>
      </w:r>
      <w:r/>
    </w:p>
    <w:p>
      <w:pPr>
        <w:numPr>
          <w:ilvl w:val="0"/>
          <w:numId w:val="4"/>
        </w:numPr>
        <w:jc w:val="center"/>
        <w:keepLines w:val="0"/>
        <w:keepNext w:val="0"/>
        <w:pageBreakBefore w:val="0"/>
        <w:spacing w:after="0" w:line="360" w:lineRule="auto"/>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eastAsia="zh-CN"/>
        </w:rPr>
        <w:t xml:space="preserve">开标一览表</w:t>
      </w:r>
      <w:r/>
    </w:p>
    <w:p>
      <w:pPr>
        <w:numPr>
          <w:numId w:val="0"/>
        </w:numPr>
        <w:jc w:val="center"/>
        <w:keepLines w:val="0"/>
        <w:keepNext w:val="0"/>
        <w:pageBreakBefore w:val="0"/>
        <w:spacing w:after="0" w:line="360" w:lineRule="auto"/>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eastAsia="zh-CN"/>
        </w:rPr>
      </w:r>
      <w:r/>
    </w:p>
    <w:p>
      <w:pPr>
        <w:numPr>
          <w:numId w:val="0"/>
        </w:numPr>
        <w:jc w:val="center"/>
        <w:keepLines w:val="0"/>
        <w:keepNext w:val="0"/>
        <w:pageBreakBefore w:val="0"/>
        <w:spacing w:after="0" w:line="360" w:lineRule="auto"/>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eastAsia="zh-CN"/>
        </w:rPr>
      </w:r>
      <w:r/>
    </w:p>
    <w:p>
      <w:pPr>
        <w:ind w:firstLine="480"/>
        <w:jc w:val="center"/>
        <w:spacing w:after="0" w:line="360" w:lineRule="auto"/>
        <w:widowControl/>
        <w:rPr>
          <w:rFonts w:ascii="宋体" w:hAnsi="宋体" w:eastAsia="宋体" w:cs="仿宋"/>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2"/>
          <w:szCs w:val="32"/>
          <w:highlight w:val="none"/>
          <w:u w:val="single"/>
          <w:lang w:eastAsia="en-US"/>
        </w:rPr>
        <w:t xml:space="preserve">政府采购客户端工具输入报价自动生成</w:t>
      </w:r>
      <w:r/>
    </w:p>
    <w:p>
      <w:pPr>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 </w:t>
      </w:r>
      <w:r/>
    </w:p>
    <w:p>
      <w:pPr>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 </w:t>
      </w:r>
      <w:r/>
    </w:p>
    <w:p>
      <w:pPr>
        <w:jc w:val="center"/>
        <w:keepLines w:val="0"/>
        <w:keepNext w:val="0"/>
        <w:pageBreakBefore w:val="0"/>
        <w:spacing w:after="0" w:line="360" w:lineRule="auto"/>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701" w:bottom="1440" w:left="1701" w:header="850" w:footer="992" w:gutter="0"/>
          <w:cols w:num="1" w:sep="0" w:space="0" w:equalWidth="1"/>
          <w:docGrid w:linePitch="360"/>
        </w:sectPr>
      </w:pPr>
      <w:r>
        <w:rPr>
          <w:rFonts w:hint="eastAsia" w:ascii="宋体" w:hAnsi="宋体" w:eastAsia="宋体" w:cs="宋体"/>
          <w:b/>
          <w:bCs/>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eastAsia="zh-CN"/>
        </w:rPr>
        <w:t xml:space="preserve">三、分项价格表</w:t>
      </w:r>
      <w:r/>
    </w:p>
    <w:p>
      <w:pPr>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项目名称：沛县歌风中学（树恩校区）二期工程弱电安装项目</w:t>
      </w:r>
      <w:r/>
    </w:p>
    <w:p>
      <w:pPr>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项目编号：JSZC-320322-HXXM-G2026-0003</w:t>
      </w:r>
      <w:r/>
    </w:p>
    <w:p>
      <w:pPr>
        <w:jc w:val="right"/>
        <w:keepLines w:val="0"/>
        <w:keepNext w:val="0"/>
        <w:pageBreakBefore w:val="0"/>
        <w:spacing w:after="0" w:line="24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        货币单位：人民币元</w:t>
      </w:r>
      <w:r/>
    </w:p>
    <w:tbl>
      <w:tblPr>
        <w:tblStyle w:val="792"/>
        <w:tblpPr w:horzAnchor="page" w:tblpX="825" w:vertAnchor="text" w:tblpY="455" w:leftFromText="180" w:topFromText="0" w:rightFromText="180" w:bottomFromText="0"/>
        <w:tblW w:w="10538" w:type="dxa"/>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971"/>
        <w:gridCol w:w="1150"/>
        <w:gridCol w:w="1841"/>
        <w:gridCol w:w="2147"/>
        <w:gridCol w:w="845"/>
        <w:gridCol w:w="614"/>
        <w:gridCol w:w="993"/>
        <w:gridCol w:w="1350"/>
      </w:tblGrid>
      <w:tr>
        <w:trPr>
          <w:trHeight w:val="583"/>
        </w:trPr>
        <w:tc>
          <w:tcPr>
            <w:shd w:val="clear" w:color="auto" w:fill="c0c0c0"/>
            <w:tcMar>
              <w:left w:w="15" w:type="dxa"/>
              <w:top w:w="15" w:type="dxa"/>
              <w:right w:w="15" w:type="dxa"/>
              <w:bottom w:w="0" w:type="dxa"/>
            </w:tcMar>
            <w:tcW w:w="627" w:type="dxa"/>
            <w:vAlign w:val="center"/>
            <w:textDirection w:val="lrTb"/>
            <w:noWrap w:val="false"/>
          </w:tcPr>
          <w:p>
            <w:pPr>
              <w:pStyle w:val="803"/>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shd w:val="clear" w:color="auto" w:fill="c0c0c0"/>
            <w:tcMar>
              <w:left w:w="15" w:type="dxa"/>
              <w:top w:w="15" w:type="dxa"/>
              <w:right w:w="15" w:type="dxa"/>
              <w:bottom w:w="0" w:type="dxa"/>
            </w:tcMar>
            <w:tcW w:w="971" w:type="dxa"/>
            <w:vAlign w:val="center"/>
            <w:textDirection w:val="lrTb"/>
            <w:noWrap w:val="false"/>
          </w:tcPr>
          <w:p>
            <w:pPr>
              <w:pStyle w:val="803"/>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shd w:val="clear" w:color="auto" w:fill="c0c0c0"/>
            <w:tcMar>
              <w:left w:w="15" w:type="dxa"/>
              <w:top w:w="15" w:type="dxa"/>
              <w:right w:w="15" w:type="dxa"/>
              <w:bottom w:w="0" w:type="dxa"/>
            </w:tcMar>
            <w:tcW w:w="1150" w:type="dxa"/>
            <w:vAlign w:val="center"/>
            <w:textDirection w:val="lrTb"/>
            <w:noWrap w:val="false"/>
          </w:tcPr>
          <w:p>
            <w:pPr>
              <w:pStyle w:val="803"/>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tc>
        <w:tc>
          <w:tcPr>
            <w:shd w:val="clear" w:color="auto" w:fill="c0c0c0"/>
            <w:tcMar>
              <w:left w:w="15" w:type="dxa"/>
              <w:top w:w="15" w:type="dxa"/>
              <w:right w:w="15" w:type="dxa"/>
              <w:bottom w:w="0" w:type="dxa"/>
            </w:tcMar>
            <w:tcW w:w="1841" w:type="dxa"/>
            <w:vAlign w:val="center"/>
            <w:textDirection w:val="lrTb"/>
            <w:noWrap w:val="false"/>
          </w:tcPr>
          <w:p>
            <w:pPr>
              <w:pStyle w:val="803"/>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产品制造企业名称（全称）</w:t>
            </w:r>
            <w:r/>
          </w:p>
        </w:tc>
        <w:tc>
          <w:tcPr>
            <w:shd w:val="clear" w:color="auto" w:fill="c0c0c0"/>
            <w:tcMar>
              <w:left w:w="15" w:type="dxa"/>
              <w:top w:w="15" w:type="dxa"/>
              <w:right w:w="15" w:type="dxa"/>
              <w:bottom w:w="0" w:type="dxa"/>
            </w:tcMar>
            <w:tcW w:w="2147" w:type="dxa"/>
            <w:vAlign w:val="center"/>
            <w:textDirection w:val="lrTb"/>
            <w:noWrap w:val="false"/>
          </w:tcPr>
          <w:p>
            <w:pPr>
              <w:pStyle w:val="803"/>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845" w:type="dxa"/>
            <w:vAlign w:val="center"/>
            <w:textDirection w:val="lrTb"/>
            <w:noWrap w:val="false"/>
          </w:tcPr>
          <w:p>
            <w:pPr>
              <w:pStyle w:val="803"/>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shd w:val="clear" w:color="auto" w:fill="c0c0c0"/>
            <w:tcMar>
              <w:left w:w="15" w:type="dxa"/>
              <w:top w:w="15" w:type="dxa"/>
              <w:right w:w="15" w:type="dxa"/>
              <w:bottom w:w="0" w:type="dxa"/>
            </w:tcMar>
            <w:tcW w:w="614" w:type="dxa"/>
            <w:vAlign w:val="center"/>
            <w:textDirection w:val="lrTb"/>
            <w:noWrap w:val="false"/>
          </w:tcPr>
          <w:p>
            <w:pPr>
              <w:pStyle w:val="803"/>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shd w:val="clear" w:color="auto" w:fill="c0c0c0"/>
            <w:tcMar>
              <w:left w:w="15" w:type="dxa"/>
              <w:top w:w="15" w:type="dxa"/>
              <w:right w:w="15" w:type="dxa"/>
              <w:bottom w:w="0" w:type="dxa"/>
            </w:tcMar>
            <w:tcW w:w="993" w:type="dxa"/>
            <w:vAlign w:val="center"/>
            <w:textDirection w:val="lrTb"/>
            <w:noWrap w:val="false"/>
          </w:tcPr>
          <w:p>
            <w:pPr>
              <w:pStyle w:val="803"/>
              <w:jc w:val="both"/>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shd w:val="clear" w:color="auto" w:fill="c0c0c0"/>
            <w:tcMar>
              <w:left w:w="15" w:type="dxa"/>
              <w:top w:w="15" w:type="dxa"/>
              <w:right w:w="15" w:type="dxa"/>
              <w:bottom w:w="0" w:type="dxa"/>
            </w:tcMar>
            <w:tcW w:w="1350" w:type="dxa"/>
            <w:vAlign w:val="center"/>
            <w:textDirection w:val="lrTb"/>
            <w:noWrap w:val="false"/>
          </w:tcPr>
          <w:p>
            <w:pPr>
              <w:pStyle w:val="803"/>
              <w:jc w:val="both"/>
              <w:keepLines w:val="0"/>
              <w:keepNext w:val="0"/>
              <w:pageBreakBefore w:val="0"/>
              <w:spacing w:line="240" w:lineRule="auto"/>
              <w:rPr>
                <w:rFonts w:hint="eastAsia" w:ascii="宋体" w:hAnsi="宋体" w:eastAsia="宋体" w:cs="宋体"/>
                <w:sz w:val="24"/>
                <w:szCs w:val="24"/>
                <w:highlight w:val="none"/>
              </w:rPr>
            </w:pPr>
            <w:r/>
            <w:bookmarkStart w:id="14" w:name="_GoBack"/>
            <w:r/>
            <w:bookmarkEnd w:id="14"/>
            <w:r>
              <w:rPr>
                <w:rFonts w:hint="eastAsia" w:ascii="宋体" w:hAnsi="宋体" w:eastAsia="宋体" w:cs="宋体"/>
                <w:sz w:val="24"/>
                <w:szCs w:val="24"/>
                <w:highlight w:val="none"/>
              </w:rPr>
              <w:t xml:space="preserve">总价</w:t>
            </w:r>
            <w:r/>
          </w:p>
        </w:tc>
      </w:tr>
      <w:tr>
        <w:trPr>
          <w:trHeight w:val="300"/>
        </w:trPr>
        <w:tc>
          <w:tcPr>
            <w:tcMar>
              <w:left w:w="15" w:type="dxa"/>
              <w:top w:w="15" w:type="dxa"/>
              <w:right w:w="15" w:type="dxa"/>
              <w:bottom w:w="0" w:type="dxa"/>
            </w:tcMar>
            <w:tcW w:w="627" w:type="dxa"/>
            <w:vAlign w:val="bottom"/>
            <w:textDirection w:val="lrTb"/>
            <w:noWrap w:val="false"/>
          </w:tcPr>
          <w:p>
            <w:pPr>
              <w:pStyle w:val="803"/>
              <w:ind w:left="0" w:firstLine="0"/>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1"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0"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1" w:type="dxa"/>
            <w:vAlign w:val="top"/>
            <w:textDirection w:val="lrTb"/>
            <w:noWrap w:val="false"/>
          </w:tcPr>
          <w:p>
            <w:pPr>
              <w:pStyle w:val="803"/>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147" w:type="dxa"/>
            <w:vAlign w:val="top"/>
            <w:textDirection w:val="lrTb"/>
            <w:noWrap w:val="false"/>
          </w:tcPr>
          <w:p>
            <w:pPr>
              <w:pStyle w:val="803"/>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845" w:type="dxa"/>
            <w:vAlign w:val="top"/>
            <w:textDirection w:val="lrTb"/>
            <w:noWrap w:val="false"/>
          </w:tcPr>
          <w:p>
            <w:pPr>
              <w:pStyle w:val="803"/>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14"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93"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50"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14"/>
        </w:trPr>
        <w:tc>
          <w:tcPr>
            <w:tcMar>
              <w:left w:w="15" w:type="dxa"/>
              <w:top w:w="15" w:type="dxa"/>
              <w:right w:w="15" w:type="dxa"/>
              <w:bottom w:w="0" w:type="dxa"/>
            </w:tcMar>
            <w:tcW w:w="627" w:type="dxa"/>
            <w:vAlign w:val="bottom"/>
            <w:textDirection w:val="lrTb"/>
            <w:noWrap w:val="false"/>
          </w:tcPr>
          <w:p>
            <w:pPr>
              <w:pStyle w:val="803"/>
              <w:ind w:left="0" w:firstLine="0"/>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1"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0"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1" w:type="dxa"/>
            <w:vAlign w:val="top"/>
            <w:textDirection w:val="lrTb"/>
            <w:noWrap w:val="false"/>
          </w:tcPr>
          <w:p>
            <w:pPr>
              <w:pStyle w:val="803"/>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147" w:type="dxa"/>
            <w:vAlign w:val="top"/>
            <w:textDirection w:val="lrTb"/>
            <w:noWrap w:val="false"/>
          </w:tcPr>
          <w:p>
            <w:pPr>
              <w:pStyle w:val="803"/>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845" w:type="dxa"/>
            <w:vAlign w:val="top"/>
            <w:textDirection w:val="lrTb"/>
            <w:noWrap w:val="false"/>
          </w:tcPr>
          <w:p>
            <w:pPr>
              <w:pStyle w:val="803"/>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14"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93"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50"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14"/>
        </w:trPr>
        <w:tc>
          <w:tcPr>
            <w:tcMar>
              <w:left w:w="15" w:type="dxa"/>
              <w:top w:w="15" w:type="dxa"/>
              <w:right w:w="15" w:type="dxa"/>
              <w:bottom w:w="0" w:type="dxa"/>
            </w:tcMar>
            <w:tcW w:w="627" w:type="dxa"/>
            <w:vAlign w:val="bottom"/>
            <w:textDirection w:val="lrTb"/>
            <w:noWrap w:val="false"/>
          </w:tcPr>
          <w:p>
            <w:pPr>
              <w:pStyle w:val="803"/>
              <w:ind w:left="0" w:firstLine="0"/>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1"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0"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1" w:type="dxa"/>
            <w:vAlign w:val="top"/>
            <w:textDirection w:val="lrTb"/>
            <w:noWrap w:val="false"/>
          </w:tcPr>
          <w:p>
            <w:pPr>
              <w:pStyle w:val="803"/>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147" w:type="dxa"/>
            <w:vAlign w:val="top"/>
            <w:textDirection w:val="lrTb"/>
            <w:noWrap w:val="false"/>
          </w:tcPr>
          <w:p>
            <w:pPr>
              <w:pStyle w:val="803"/>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845" w:type="dxa"/>
            <w:vAlign w:val="top"/>
            <w:textDirection w:val="lrTb"/>
            <w:noWrap w:val="false"/>
          </w:tcPr>
          <w:p>
            <w:pPr>
              <w:pStyle w:val="803"/>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14"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93"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50"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22"/>
        </w:trPr>
        <w:tc>
          <w:tcPr>
            <w:tcMar>
              <w:left w:w="15" w:type="dxa"/>
              <w:top w:w="15" w:type="dxa"/>
              <w:right w:w="15" w:type="dxa"/>
              <w:bottom w:w="0" w:type="dxa"/>
            </w:tcMar>
            <w:tcW w:w="627" w:type="dxa"/>
            <w:vAlign w:val="bottom"/>
            <w:textDirection w:val="lrTb"/>
            <w:noWrap w:val="false"/>
          </w:tcPr>
          <w:p>
            <w:pPr>
              <w:pStyle w:val="803"/>
              <w:ind w:left="0" w:firstLine="0"/>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Mar>
              <w:left w:w="15" w:type="dxa"/>
              <w:top w:w="15" w:type="dxa"/>
              <w:right w:w="15" w:type="dxa"/>
              <w:bottom w:w="0" w:type="dxa"/>
            </w:tcMar>
            <w:tcW w:w="971"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0"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841" w:type="dxa"/>
            <w:vAlign w:val="top"/>
            <w:textDirection w:val="lrTb"/>
            <w:noWrap w:val="false"/>
          </w:tcPr>
          <w:p>
            <w:pPr>
              <w:pStyle w:val="803"/>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47" w:type="dxa"/>
            <w:vAlign w:val="top"/>
            <w:textDirection w:val="lrTb"/>
            <w:noWrap w:val="false"/>
          </w:tcPr>
          <w:p>
            <w:pPr>
              <w:pStyle w:val="803"/>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845" w:type="dxa"/>
            <w:vAlign w:val="top"/>
            <w:textDirection w:val="lrTb"/>
            <w:noWrap w:val="false"/>
          </w:tcPr>
          <w:p>
            <w:pPr>
              <w:pStyle w:val="803"/>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614"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93"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50"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22"/>
        </w:trPr>
        <w:tc>
          <w:tcPr>
            <w:tcMar>
              <w:left w:w="15" w:type="dxa"/>
              <w:top w:w="15" w:type="dxa"/>
              <w:right w:w="15" w:type="dxa"/>
              <w:bottom w:w="0" w:type="dxa"/>
            </w:tcMar>
            <w:tcW w:w="627" w:type="dxa"/>
            <w:vAlign w:val="bottom"/>
            <w:textDirection w:val="lrTb"/>
            <w:noWrap w:val="false"/>
          </w:tcPr>
          <w:p>
            <w:pPr>
              <w:pStyle w:val="803"/>
              <w:ind w:left="0" w:firstLine="0"/>
              <w:jc w:val="center"/>
              <w:keepLines w:val="0"/>
              <w:keepNext w:val="0"/>
              <w:pageBreakBefore w:val="0"/>
              <w:spacing w:line="480" w:lineRule="exact"/>
              <w:rPr>
                <w:rFonts w:hint="default" w:ascii="宋体" w:hAnsi="宋体" w:eastAsia="宋体" w:cs="宋体"/>
                <w:sz w:val="24"/>
                <w:szCs w:val="24"/>
                <w:highlight w:val="none"/>
                <w:lang w:val="en-US" w:eastAsia="zh-CN"/>
              </w:rPr>
            </w:pPr>
            <w:r>
              <w:rPr>
                <w:rFonts w:hint="eastAsia" w:eastAsia="宋体" w:cs="宋体"/>
                <w:sz w:val="24"/>
                <w:szCs w:val="24"/>
                <w:highlight w:val="none"/>
                <w:lang w:val="en-US" w:eastAsia="zh-CN"/>
              </w:rPr>
              <w:t xml:space="preserve">...</w:t>
            </w:r>
            <w:r/>
          </w:p>
        </w:tc>
        <w:tc>
          <w:tcPr>
            <w:tcMar>
              <w:left w:w="15" w:type="dxa"/>
              <w:top w:w="15" w:type="dxa"/>
              <w:right w:w="15" w:type="dxa"/>
              <w:bottom w:w="0" w:type="dxa"/>
            </w:tcMar>
            <w:tcW w:w="971"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0"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841" w:type="dxa"/>
            <w:vAlign w:val="top"/>
            <w:textDirection w:val="lrTb"/>
            <w:noWrap w:val="false"/>
          </w:tcPr>
          <w:p>
            <w:pPr>
              <w:pStyle w:val="803"/>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47" w:type="dxa"/>
            <w:vAlign w:val="top"/>
            <w:textDirection w:val="lrTb"/>
            <w:noWrap w:val="false"/>
          </w:tcPr>
          <w:p>
            <w:pPr>
              <w:pStyle w:val="803"/>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845" w:type="dxa"/>
            <w:vAlign w:val="top"/>
            <w:textDirection w:val="lrTb"/>
            <w:noWrap w:val="false"/>
          </w:tcPr>
          <w:p>
            <w:pPr>
              <w:pStyle w:val="803"/>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614"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93"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50"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22"/>
        </w:trPr>
        <w:tc>
          <w:tcPr>
            <w:tcMar>
              <w:left w:w="15" w:type="dxa"/>
              <w:top w:w="15" w:type="dxa"/>
              <w:right w:w="15" w:type="dxa"/>
              <w:bottom w:w="0" w:type="dxa"/>
            </w:tcMar>
            <w:tcW w:w="627" w:type="dxa"/>
            <w:vAlign w:val="bottom"/>
            <w:textDirection w:val="lrTb"/>
            <w:noWrap w:val="false"/>
          </w:tcPr>
          <w:p>
            <w:pPr>
              <w:pStyle w:val="803"/>
              <w:ind w:left="0" w:firstLine="0"/>
              <w:jc w:val="center"/>
              <w:keepLines w:val="0"/>
              <w:keepNext w:val="0"/>
              <w:pageBreakBefore w:val="0"/>
              <w:spacing w:line="480" w:lineRule="exact"/>
              <w:rPr>
                <w:rFonts w:hint="default" w:ascii="宋体" w:hAnsi="宋体" w:eastAsia="宋体" w:cs="宋体"/>
                <w:sz w:val="24"/>
                <w:szCs w:val="24"/>
                <w:highlight w:val="none"/>
                <w:lang w:val="en-US" w:eastAsia="zh-CN"/>
              </w:rPr>
            </w:pPr>
            <w:r>
              <w:rPr>
                <w:rFonts w:hint="eastAsia" w:eastAsia="宋体" w:cs="宋体"/>
                <w:sz w:val="24"/>
                <w:szCs w:val="24"/>
                <w:highlight w:val="none"/>
                <w:lang w:val="en-US" w:eastAsia="zh-CN"/>
              </w:rPr>
              <w:t xml:space="preserve">...</w:t>
            </w:r>
            <w:r/>
          </w:p>
        </w:tc>
        <w:tc>
          <w:tcPr>
            <w:tcMar>
              <w:left w:w="15" w:type="dxa"/>
              <w:top w:w="15" w:type="dxa"/>
              <w:right w:w="15" w:type="dxa"/>
              <w:bottom w:w="0" w:type="dxa"/>
            </w:tcMar>
            <w:tcW w:w="971"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0"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841" w:type="dxa"/>
            <w:vAlign w:val="top"/>
            <w:textDirection w:val="lrTb"/>
            <w:noWrap w:val="false"/>
          </w:tcPr>
          <w:p>
            <w:pPr>
              <w:pStyle w:val="803"/>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47" w:type="dxa"/>
            <w:vAlign w:val="top"/>
            <w:textDirection w:val="lrTb"/>
            <w:noWrap w:val="false"/>
          </w:tcPr>
          <w:p>
            <w:pPr>
              <w:pStyle w:val="803"/>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845" w:type="dxa"/>
            <w:vAlign w:val="top"/>
            <w:textDirection w:val="lrTb"/>
            <w:noWrap w:val="false"/>
          </w:tcPr>
          <w:p>
            <w:pPr>
              <w:pStyle w:val="803"/>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614"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93"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50"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88"/>
        </w:trPr>
        <w:tc>
          <w:tcPr>
            <w:gridSpan w:val="4"/>
            <w:tcMar>
              <w:left w:w="15" w:type="dxa"/>
              <w:top w:w="15" w:type="dxa"/>
              <w:right w:w="15" w:type="dxa"/>
              <w:bottom w:w="0" w:type="dxa"/>
            </w:tcMar>
            <w:tcW w:w="4589"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tcMar>
              <w:left w:w="15" w:type="dxa"/>
              <w:top w:w="15" w:type="dxa"/>
              <w:right w:w="15" w:type="dxa"/>
              <w:bottom w:w="0" w:type="dxa"/>
            </w:tcMar>
            <w:tcW w:w="2147"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4"/>
            <w:tcMar>
              <w:left w:w="15" w:type="dxa"/>
              <w:top w:w="15" w:type="dxa"/>
              <w:right w:w="15" w:type="dxa"/>
              <w:bottom w:w="0" w:type="dxa"/>
            </w:tcMar>
            <w:tcW w:w="3802" w:type="dxa"/>
            <w:vAlign w:val="bottom"/>
            <w:textDirection w:val="lrTb"/>
            <w:noWrap w:val="false"/>
          </w:tcPr>
          <w:p>
            <w:pPr>
              <w:pStyle w:val="803"/>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823"/>
        <w:ind w:left="0" w:right="1542" w:firstLine="0"/>
        <w:keepLines w:val="0"/>
        <w:keepNext w:val="0"/>
        <w:pageBreakBefore w:val="0"/>
        <w:spacing w:before="181" w:after="0" w:line="36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投标人（电子签章）：</w:t>
      </w:r>
      <w:r/>
    </w:p>
    <w:p>
      <w:pPr>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投标人法定代表人或其授权代表：（签字或盖章）</w:t>
      </w:r>
      <w:r/>
    </w:p>
    <w:p>
      <w:pPr>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日期： 年 月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 xml:space="preserve">日</w:t>
      </w:r>
      <w:r/>
    </w:p>
    <w:p>
      <w:pPr>
        <w:pStyle w:val="806"/>
        <w:ind w:firstLine="560"/>
        <w:keepLines w:val="0"/>
        <w:keepNext w:val="0"/>
        <w:pageBreakBefore w:val="0"/>
        <w:spacing w:line="240" w:lineRule="auto"/>
        <w:rPr>
          <w:rFonts w:ascii="宋体" w:hAnsi="宋体"/>
          <w:sz w:val="24"/>
        </w:rPr>
      </w:pPr>
      <w:r>
        <w:rPr>
          <w:rFonts w:ascii="宋体" w:hAnsi="宋体"/>
          <w:sz w:val="24"/>
        </w:rPr>
        <w:t xml:space="preserve">本款说明：</w:t>
      </w:r>
      <w:r/>
    </w:p>
    <w:p>
      <w:pPr>
        <w:pStyle w:val="806"/>
        <w:ind w:firstLine="560"/>
        <w:keepLines w:val="0"/>
        <w:keepNext w:val="0"/>
        <w:pageBreakBefore w:val="0"/>
        <w:spacing w:line="240" w:lineRule="auto"/>
        <w:rPr>
          <w:rFonts w:ascii="宋体" w:hAnsi="宋体"/>
          <w:sz w:val="24"/>
        </w:rPr>
      </w:pPr>
      <w:r>
        <w:rPr>
          <w:rFonts w:ascii="宋体" w:hAnsi="宋体"/>
          <w:sz w:val="24"/>
        </w:rPr>
        <w:t xml:space="preserve">1.中小微企业的划分具体具体以《政府采购促进中小企业发展暂行办法》（财库 (2020)46号）和《工业和信息化部、国家统计局、国家发展和改革委员会、财政部关于印发中小企业划型标准规定的通知》（工信部联企业[2011]300号）的规定为准。</w:t>
      </w:r>
      <w:r/>
    </w:p>
    <w:p>
      <w:pPr>
        <w:pStyle w:val="806"/>
        <w:ind w:firstLine="560"/>
        <w:keepLines w:val="0"/>
        <w:keepNext w:val="0"/>
        <w:pageBreakBefore w:val="0"/>
        <w:spacing w:line="240" w:lineRule="auto"/>
        <w:rPr>
          <w:rFonts w:ascii="宋体" w:hAnsi="宋体"/>
          <w:sz w:val="24"/>
        </w:rPr>
      </w:pPr>
      <w:r>
        <w:rPr>
          <w:rFonts w:ascii="宋体" w:hAnsi="宋体"/>
          <w:sz w:val="24"/>
        </w:rPr>
        <w:t xml:space="preserve">2.享受政府采购支持政策的残疾人福利性单位应满足的条件以《关于促进残疾人就业政府采购政策的通知》（财库〔2017〕141号）的规定为准。</w:t>
      </w:r>
      <w:r/>
    </w:p>
    <w:p>
      <w:pPr>
        <w:ind w:firstLine="480"/>
        <w:jc w:val="both"/>
        <w:keepLines w:val="0"/>
        <w:keepNext w:val="0"/>
        <w:pageBreakBefore w:val="0"/>
        <w:spacing w:after="0" w:line="240" w:lineRule="auto"/>
        <w:widowControl/>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 xml:space="preserve">注：</w:t>
      </w:r>
      <w:r>
        <w:rPr>
          <w:rFonts w:ascii="宋体" w:hAnsi="宋体"/>
          <w:sz w:val="24"/>
        </w:rPr>
        <w:t xml:space="preserve">①</w:t>
      </w:r>
      <w:r>
        <w:rPr>
          <w:rFonts w:hint="eastAsia" w:ascii="宋体" w:hAnsi="宋体" w:eastAsia="宋体" w:cs="宋体"/>
          <w:i w:val="0"/>
          <w:iCs w:val="0"/>
          <w:color w:val="auto"/>
          <w:sz w:val="24"/>
          <w:szCs w:val="24"/>
          <w:highlight w:val="none"/>
          <w:lang w:eastAsia="zh-CN"/>
        </w:rPr>
        <w:t xml:space="preserve">如果按单价计算的结果与总价不一致，以总价为准。</w:t>
      </w:r>
      <w:r/>
    </w:p>
    <w:p>
      <w:pPr>
        <w:ind w:firstLine="480"/>
        <w:jc w:val="both"/>
        <w:keepLines w:val="0"/>
        <w:keepNext w:val="0"/>
        <w:pageBreakBefore w:val="0"/>
        <w:spacing w:after="0" w:line="240" w:lineRule="auto"/>
        <w:rPr>
          <w:rFonts w:hint="eastAsia" w:ascii="宋体" w:hAnsi="宋体" w:eastAsia="宋体" w:cs="宋体"/>
          <w:i w:val="0"/>
          <w:iCs w:val="0"/>
          <w:color w:val="auto"/>
          <w:sz w:val="24"/>
          <w:szCs w:val="24"/>
          <w:highlight w:val="none"/>
          <w:lang w:eastAsia="zh-CN"/>
        </w:rPr>
      </w:pPr>
      <w:r>
        <w:rPr>
          <w:rFonts w:ascii="宋体" w:hAnsi="宋体"/>
          <w:sz w:val="24"/>
        </w:rPr>
        <w:t xml:space="preserve">②</w:t>
      </w:r>
      <w:r>
        <w:rPr>
          <w:rFonts w:hint="eastAsia" w:ascii="宋体" w:hAnsi="宋体" w:eastAsia="宋体" w:cs="宋体"/>
          <w:i w:val="0"/>
          <w:iCs w:val="0"/>
          <w:color w:val="auto"/>
          <w:sz w:val="24"/>
          <w:szCs w:val="24"/>
          <w:highlight w:val="none"/>
          <w:lang w:eastAsia="zh-CN"/>
        </w:rPr>
        <w:t xml:space="preserve">如果不提供详细分项报价将视为没有实质性响应招标文件。</w:t>
      </w:r>
      <w:r/>
    </w:p>
    <w:p>
      <w:pPr>
        <w:ind w:firstLine="480"/>
        <w:jc w:val="both"/>
        <w:keepLines w:val="0"/>
        <w:keepNext w:val="0"/>
        <w:pageBreakBefore w:val="0"/>
        <w:spacing w:after="0" w:line="240" w:lineRule="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 xml:space="preserve">③供应商对以上数据的真实性负责。</w:t>
      </w:r>
      <w:r/>
    </w:p>
    <w:p>
      <w:pPr>
        <w:ind w:firstLine="480"/>
        <w:keepLines w:val="0"/>
        <w:keepNext w:val="0"/>
        <w:pageBreakBefore w:val="0"/>
        <w:spacing w:after="0" w:line="240" w:lineRule="auto"/>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eastAsia="zh-CN"/>
        </w:rPr>
        <w:t xml:space="preserve">江苏华徐项目管理有限公司有权将以上内容进行公示。</w:t>
      </w:r>
      <w:r/>
    </w:p>
    <w:p>
      <w:pPr>
        <w:jc w:val="center"/>
        <w:keepLines w:val="0"/>
        <w:keepNext w:val="0"/>
        <w:pageBreakBefore w:val="0"/>
        <w:spacing w:after="0" w:line="360" w:lineRule="auto"/>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701" w:bottom="1440" w:left="1701" w:header="850" w:footer="992" w:gutter="0"/>
          <w:cols w:num="1" w:sep="0" w:space="0" w:equalWidth="1"/>
          <w:docGrid w:linePitch="360"/>
        </w:sectPr>
      </w:pPr>
      <w:r>
        <w:rPr>
          <w:rFonts w:hint="eastAsia" w:ascii="宋体" w:hAnsi="宋体" w:eastAsia="宋体" w:cs="宋体"/>
          <w:b/>
          <w:bCs/>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eastAsia="zh-CN"/>
        </w:rPr>
        <w:t xml:space="preserve">四、偏离表</w:t>
      </w:r>
      <w:r/>
    </w:p>
    <w:p>
      <w:pPr>
        <w:ind w:firstLine="600"/>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 </w:t>
      </w:r>
      <w:r/>
    </w:p>
    <w:p>
      <w:pPr>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项目名称：沛县歌风中学（树恩校区）二期工程弱电安装项目</w:t>
      </w:r>
      <w:r/>
    </w:p>
    <w:p>
      <w:pPr>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项目编号：JSZC-320322-HXXM-G2026-0003</w:t>
      </w:r>
      <w:r/>
    </w:p>
    <w:p>
      <w:pPr>
        <w:pStyle w:val="823"/>
        <w:ind w:left="1540" w:right="1540"/>
        <w:keepLines w:val="0"/>
        <w:keepNext w:val="0"/>
        <w:pageBreakBefore w:val="0"/>
        <w:spacing w:after="0"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361"/>
        <w:gridCol w:w="1430"/>
        <w:gridCol w:w="1569"/>
        <w:gridCol w:w="1222"/>
        <w:gridCol w:w="2436"/>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bl>
    <w:p>
      <w:pPr>
        <w:ind w:firstLine="1134"/>
        <w:jc w:val="both"/>
        <w:keepLines w:val="0"/>
        <w:keepNext w:val="0"/>
        <w:pageBreakBefore w:val="0"/>
        <w:spacing w:after="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注：投标人的投标文件中的内容与招标文件（含招标文件的澄清或者修改的内容）的要求不同时，逐条列在偏离表中，否则将认为投标人接受招标文件的要求。</w:t>
      </w:r>
      <w:r/>
    </w:p>
    <w:p>
      <w:pPr>
        <w:pStyle w:val="823"/>
        <w:ind w:left="0" w:right="1540" w:firstLine="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823"/>
        <w:ind w:left="0" w:right="1540" w:firstLine="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投标人（电子签章）：</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投标人法定代表人或其授权代表：（签字或盖章）</w:t>
      </w:r>
      <w:r/>
    </w:p>
    <w:p>
      <w:pPr>
        <w:jc w:val="both"/>
        <w:keepLines w:val="0"/>
        <w:keepNext w:val="0"/>
        <w:pageBreakBefore w:val="0"/>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日期： 年 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日 </w:t>
      </w:r>
      <w:r/>
    </w:p>
    <w:p>
      <w:pPr>
        <w:jc w:val="center"/>
        <w:keepLines w:val="0"/>
        <w:keepNext w:val="0"/>
        <w:pageBreakBefore w:val="0"/>
        <w:spacing w:after="0" w:line="360" w:lineRule="auto"/>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eastAsia="zh-CN"/>
        </w:rPr>
      </w:r>
      <w:r/>
    </w:p>
    <w:p>
      <w:pPr>
        <w:pStyle w:val="800"/>
        <w:rPr>
          <w:rFonts w:hint="eastAsia" w:ascii="宋体" w:hAnsi="宋体" w:eastAsia="宋体" w:cs="宋体"/>
          <w:lang w:eastAsia="zh-CN"/>
        </w:rPr>
      </w:pPr>
      <w:r>
        <w:rPr>
          <w:rFonts w:hint="eastAsia" w:ascii="宋体" w:hAnsi="宋体" w:eastAsia="宋体" w:cs="宋体"/>
          <w:lang w:eastAsia="zh-CN"/>
        </w:rPr>
      </w:r>
      <w:r/>
    </w:p>
    <w:p>
      <w:pPr>
        <w:jc w:val="center"/>
        <w:keepLines w:val="0"/>
        <w:keepNext w:val="0"/>
        <w:pageBreakBefore w:val="0"/>
        <w:spacing w:after="0" w:line="360" w:lineRule="auto"/>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eastAsia="zh-CN"/>
        </w:rPr>
        <w:t xml:space="preserve">五、法定代表人授权书</w:t>
      </w:r>
      <w:r/>
    </w:p>
    <w:p>
      <w:pPr>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 </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委托人：</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地址：</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法定代表人（负责人）：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职务：</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统一社会信用代码：</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受托人：           性别：男（女）</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年龄：</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岁         民族：</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族</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职务：</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身份证号：</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兹委托（    ）全权代表我企业（公司）参与（沛县歌风中学（树恩校区）二期工程弱电安装项目）（项目编号：</w:t>
      </w:r>
      <w:r>
        <w:rPr>
          <w:rFonts w:hint="eastAsia" w:ascii="宋体" w:hAnsi="宋体" w:eastAsia="宋体" w:cs="宋体"/>
          <w:color w:val="auto"/>
          <w:sz w:val="24"/>
          <w:szCs w:val="24"/>
          <w:highlight w:val="none"/>
          <w:lang w:eastAsia="zh-CN"/>
        </w:rPr>
        <w:t xml:space="preserve">JSZC-320322-HXXM-G2026-0003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特此授权委托。</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委托人（</w:t>
      </w:r>
      <w:bookmarkStart w:id="7" w:name="OLE_LINK46"/>
      <w:r/>
      <w:bookmarkStart w:id="8" w:name="OLE_LINK47"/>
      <w:r>
        <w:rPr>
          <w:rFonts w:hint="eastAsia" w:ascii="宋体" w:hAnsi="宋体" w:eastAsia="宋体" w:cs="宋体"/>
          <w:color w:val="auto"/>
          <w:sz w:val="24"/>
          <w:szCs w:val="24"/>
          <w:highlight w:val="none"/>
          <w:lang w:eastAsia="zh-CN"/>
        </w:rPr>
        <w:t xml:space="preserve">盖单位电子签章</w:t>
      </w:r>
      <w:bookmarkEnd w:id="7"/>
      <w:r/>
      <w:bookmarkEnd w:id="8"/>
      <w:r>
        <w:rPr>
          <w:rFonts w:hint="eastAsia" w:ascii="宋体" w:hAnsi="宋体" w:eastAsia="宋体" w:cs="宋体"/>
          <w:color w:val="auto"/>
          <w:sz w:val="24"/>
          <w:szCs w:val="24"/>
          <w:highlight w:val="none"/>
          <w:lang w:eastAsia="zh-CN"/>
        </w:rPr>
        <w:t xml:space="preserve">）：       </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法定代表人（签字或盖章）：</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受托人（签字或盖章）：</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right="600" w:firstLine="615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right="600" w:firstLine="615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年  月  日 </w:t>
      </w:r>
      <w:r/>
    </w:p>
    <w:p>
      <w:pPr>
        <w:jc w:val="center"/>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jc w:val="center"/>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(法定代表人身份证复印件和受托人身份证复印件附后) </w:t>
      </w:r>
      <w:r/>
    </w:p>
    <w:p>
      <w:pPr>
        <w:ind w:firstLine="4470"/>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 </w:t>
      </w:r>
      <w:r/>
    </w:p>
    <w:p>
      <w:pPr>
        <w:jc w:val="center"/>
        <w:keepLines w:val="0"/>
        <w:keepNext w:val="0"/>
        <w:pageBreakBefore w:val="0"/>
        <w:spacing w:after="0" w:line="360" w:lineRule="auto"/>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eastAsia="zh-CN"/>
        </w:rPr>
        <w:t xml:space="preserve">六、中小企业声明函</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项目名称：沛县歌风中学（树恩校区）二期工程弱电安装项目</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lang w:eastAsia="zh-CN"/>
        </w:rPr>
        <w:t xml:space="preserve">JSZC-320322-HXXM-G2026-0003</w:t>
      </w:r>
      <w:r/>
    </w:p>
    <w:p>
      <w:pPr>
        <w:pStyle w:val="846"/>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本公司郑重声明，根据《</w:t>
      </w:r>
      <w:bookmarkStart w:id="9" w:name="OLE_LINK5"/>
      <w:r>
        <w:rPr>
          <w:rFonts w:hint="eastAsia" w:ascii="宋体" w:hAnsi="宋体" w:eastAsia="宋体" w:cs="宋体"/>
          <w:color w:val="auto"/>
          <w:sz w:val="24"/>
          <w:szCs w:val="24"/>
          <w:highlight w:val="none"/>
          <w:lang w:eastAsia="zh-CN"/>
        </w:rPr>
        <w:t xml:space="preserve">政府采购促进中小企业发展管理办法</w:t>
      </w:r>
      <w:bookmarkEnd w:id="9"/>
      <w:r>
        <w:rPr>
          <w:rFonts w:hint="eastAsia" w:ascii="宋体" w:hAnsi="宋体" w:eastAsia="宋体" w:cs="宋体"/>
          <w:color w:val="auto"/>
          <w:sz w:val="24"/>
          <w:szCs w:val="24"/>
          <w:highlight w:val="none"/>
          <w:lang w:eastAsia="zh-CN"/>
        </w:rPr>
        <w:t xml:space="preserve">》（财库 (2020)46号）的规定，本公司参加</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采购活动，</w:t>
      </w:r>
      <w:r>
        <w:rPr>
          <w:rFonts w:hint="eastAsia" w:ascii="宋体" w:hAnsi="宋体" w:eastAsia="宋体" w:cs="宋体"/>
          <w:bCs/>
          <w:color w:val="auto"/>
          <w:sz w:val="24"/>
          <w:szCs w:val="24"/>
          <w:highlight w:val="none"/>
          <w:lang w:eastAsia="zh-CN"/>
        </w:rPr>
        <w:t xml:space="preserve">提供的货物全部由符合政策要求的中小企业制造。</w:t>
      </w:r>
      <w:r>
        <w:rPr>
          <w:rFonts w:hint="eastAsia" w:ascii="宋体" w:hAnsi="宋体" w:eastAsia="宋体" w:cs="宋体"/>
          <w:color w:val="auto"/>
          <w:sz w:val="24"/>
          <w:szCs w:val="24"/>
          <w:highlight w:val="none"/>
          <w:lang w:eastAsia="zh-CN"/>
        </w:rPr>
        <w:t xml:space="preserve">相关企业的具体情况如下：</w:t>
      </w:r>
      <w:r/>
    </w:p>
    <w:p>
      <w:pPr>
        <w:numPr>
          <w:ilvl w:val="0"/>
          <w:numId w:val="5"/>
        </w:numPr>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 xml:space="preserve">；制造商为</w:t>
      </w:r>
      <w:r>
        <w:rPr>
          <w:rFonts w:hint="eastAsia" w:ascii="宋体" w:hAnsi="宋体" w:eastAsia="宋体" w:cs="宋体"/>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 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万元，属于（□中型企业、□小型企业、□微型企业，</w:t>
      </w:r>
      <w:r>
        <w:rPr>
          <w:rFonts w:hint="eastAsia" w:ascii="宋体" w:hAnsi="宋体" w:eastAsia="宋体" w:cs="宋体"/>
          <w:b/>
          <w:bCs/>
          <w:color w:val="auto"/>
          <w:sz w:val="24"/>
          <w:szCs w:val="24"/>
          <w:highlight w:val="none"/>
          <w:lang w:eastAsia="zh-CN"/>
        </w:rPr>
        <w:t xml:space="preserve">请勾选</w:t>
      </w:r>
      <w:r>
        <w:rPr>
          <w:rFonts w:hint="eastAsia" w:ascii="宋体" w:hAnsi="宋体" w:eastAsia="宋体" w:cs="宋体"/>
          <w:color w:val="auto"/>
          <w:sz w:val="24"/>
          <w:szCs w:val="24"/>
          <w:highlight w:val="none"/>
          <w:lang w:eastAsia="zh-CN"/>
        </w:rPr>
        <w:t xml:space="preserve">！）；</w:t>
      </w:r>
      <w:r/>
    </w:p>
    <w:p>
      <w:pPr>
        <w:numPr>
          <w:ilvl w:val="0"/>
          <w:numId w:val="5"/>
        </w:numPr>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 xml:space="preserve">；制造商为</w:t>
      </w:r>
      <w:r>
        <w:rPr>
          <w:rFonts w:hint="eastAsia" w:ascii="宋体" w:hAnsi="宋体" w:eastAsia="宋体" w:cs="宋体"/>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 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万元，属于（□中型企业、□小型企业、□微型企业，</w:t>
      </w:r>
      <w:r>
        <w:rPr>
          <w:rFonts w:hint="eastAsia" w:ascii="宋体" w:hAnsi="宋体" w:eastAsia="宋体" w:cs="宋体"/>
          <w:b/>
          <w:bCs/>
          <w:color w:val="auto"/>
          <w:sz w:val="24"/>
          <w:szCs w:val="24"/>
          <w:highlight w:val="none"/>
          <w:lang w:eastAsia="zh-CN"/>
        </w:rPr>
        <w:t xml:space="preserve">请勾选</w:t>
      </w:r>
      <w:r>
        <w:rPr>
          <w:rFonts w:hint="eastAsia" w:ascii="宋体" w:hAnsi="宋体" w:eastAsia="宋体" w:cs="宋体"/>
          <w:color w:val="auto"/>
          <w:sz w:val="24"/>
          <w:szCs w:val="24"/>
          <w:highlight w:val="none"/>
          <w:lang w:eastAsia="zh-CN"/>
        </w:rPr>
        <w:t xml:space="preserve">！）；</w:t>
      </w:r>
      <w:r/>
    </w:p>
    <w:p>
      <w:pPr>
        <w:pStyle w:val="1078"/>
        <w:ind w:left="0" w:firstLine="964"/>
        <w:keepLines w:val="0"/>
        <w:keepNext w:val="0"/>
        <w:pageBreakBefore w:val="0"/>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p>
    <w:p>
      <w:pPr>
        <w:ind w:firstLine="56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以上企业，不属于大企业的分支机构，不存在控股股东为大企业的情形，也不存在与大企业的负责人为同一人的情形。</w:t>
      </w:r>
      <w:r/>
    </w:p>
    <w:p>
      <w:pPr>
        <w:ind w:firstLine="56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本企业对上述声明内容的真实性负责。如有虚假，将依法承担相应责任。</w:t>
      </w:r>
      <w:r/>
    </w:p>
    <w:p>
      <w:pPr>
        <w:ind w:firstLine="56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560"/>
        <w:jc w:val="right"/>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560"/>
        <w:jc w:val="right"/>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企业名称（供应商名称）；</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（盖单位电子签章）</w:t>
      </w:r>
      <w:r/>
    </w:p>
    <w:p>
      <w:pPr>
        <w:pStyle w:val="797"/>
        <w:ind w:left="0" w:firstLine="576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日期：   年  月  日</w:t>
      </w:r>
      <w:r/>
    </w:p>
    <w:p>
      <w:pPr>
        <w:pStyle w:val="797"/>
        <w:ind w:left="0"/>
        <w:keepLines w:val="0"/>
        <w:keepNext w:val="0"/>
        <w:pageBreakBefore w:val="0"/>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pStyle w:val="797"/>
        <w:ind w:left="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采购标的所属行业：</w:t>
      </w:r>
      <w:r>
        <w:rPr>
          <w:rFonts w:hint="eastAsia" w:ascii="宋体" w:hAnsi="宋体" w:eastAsia="宋体" w:cs="宋体"/>
          <w:b/>
          <w:bCs/>
          <w:color w:val="auto"/>
          <w:sz w:val="24"/>
          <w:szCs w:val="24"/>
          <w:highlight w:val="none"/>
          <w:u w:val="single"/>
          <w:lang w:eastAsia="zh-CN"/>
        </w:rPr>
        <w:t xml:space="preserve">工业</w:t>
      </w:r>
      <w:r>
        <w:rPr>
          <w:rFonts w:hint="eastAsia" w:ascii="宋体" w:hAnsi="宋体" w:eastAsia="宋体" w:cs="宋体"/>
          <w:color w:val="auto"/>
          <w:sz w:val="24"/>
          <w:szCs w:val="24"/>
          <w:highlight w:val="none"/>
          <w:u w:val="single"/>
          <w:lang w:eastAsia="zh-CN"/>
        </w:rPr>
        <w:t xml:space="preserve"> </w:t>
      </w:r>
      <w:r/>
    </w:p>
    <w:p>
      <w:pPr>
        <w:pStyle w:val="803"/>
        <w:ind w:left="1032" w:firstLine="0"/>
        <w:keepLines w:val="0"/>
        <w:keepNext w:val="0"/>
        <w:pageBreakBefore w:val="0"/>
        <w:spacing w:line="360" w:lineRule="auto"/>
        <w:tabs>
          <w:tab w:val="left" w:pos="11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pStyle w:val="860"/>
        <w:numPr>
          <w:ilvl w:val="0"/>
          <w:numId w:val="6"/>
        </w:numPr>
        <w:ind w:firstLine="60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从业人员、营业收入、资产总额填报上一年度数据，无上一年度数据的新成立企业可不填报。</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bookmarkStart w:id="10" w:name="OLE_LINK40"/>
      <w:r/>
      <w:bookmarkStart w:id="11" w:name="OLE_LINK41"/>
      <w:r>
        <w:rPr>
          <w:rFonts w:hint="eastAsia" w:ascii="宋体" w:hAnsi="宋体" w:eastAsia="宋体" w:cs="宋体"/>
          <w:color w:val="auto"/>
          <w:sz w:val="24"/>
          <w:szCs w:val="24"/>
          <w:highlight w:val="none"/>
        </w:rPr>
        <w:t xml:space="preserve">2、“中小企业声明函”查询渠道用微信搜索“中小企业规模类型自测小程序”。</w:t>
      </w:r>
      <w:bookmarkEnd w:id="10"/>
      <w:r/>
      <w:bookmarkEnd w:id="11"/>
      <w:r/>
      <w:r/>
    </w:p>
    <w:p>
      <w:pPr>
        <w:keepLines w:val="0"/>
        <w:keepNext w:val="0"/>
        <w:pageBreakBefore w:val="0"/>
        <w:spacing w:after="0"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lang w:eastAsia="zh-CN"/>
        </w:rPr>
        <mc:AlternateContent>
          <mc:Choice Requires="wpg">
            <w:drawing>
              <wp:inline xmlns:wp="http://schemas.openxmlformats.org/drawingml/2006/wordprocessingDrawing" distT="0" distB="0" distL="0" distR="0">
                <wp:extent cx="2879725" cy="5906135"/>
                <wp:effectExtent l="0" t="0" r="635" b="698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24"/>
                        <a:stretch/>
                      </pic:blipFill>
                      <pic:spPr bwMode="auto">
                        <a:xfrm>
                          <a:off x="0" y="0"/>
                          <a:ext cx="2879725" cy="5906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6.8pt;height:465.0pt;mso-wrap-distance-left:0.0pt;mso-wrap-distance-top:0.0pt;mso-wrap-distance-right:0.0pt;mso-wrap-distance-bottom:0.0pt;" stroked="f">
                <v:path textboxrect="0,0,0,0"/>
                <v:imagedata r:id="rId24" o:title=""/>
              </v:shape>
            </w:pict>
          </mc:Fallback>
        </mc:AlternateContent>
      </w:r>
      <w:r/>
    </w:p>
    <w:p>
      <w:pPr>
        <w:keepLines w:val="0"/>
        <w:keepNext w:val="0"/>
        <w:pageBreakBefore w:val="0"/>
        <w:spacing w:after="0" w:line="360" w:lineRule="auto"/>
        <w:rPr>
          <w:rFonts w:hint="eastAsia" w:ascii="宋体" w:hAnsi="宋体" w:eastAsia="宋体" w:cs="宋体"/>
          <w:b/>
          <w:bCs/>
          <w:color w:val="auto"/>
          <w:sz w:val="28"/>
          <w:szCs w:val="28"/>
          <w:highlight w:val="none"/>
        </w:rPr>
        <w:sectPr>
          <w:footnotePr/>
          <w:endnotePr/>
          <w:type w:val="nextPage"/>
          <w:pgSz w:w="11906" w:h="16838" w:orient="portrait"/>
          <w:pgMar w:top="1440" w:right="1701" w:bottom="1440" w:left="1701" w:header="850"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eastAsia="zh-CN"/>
        </w:rPr>
        <w:t xml:space="preserve">七、</w:t>
      </w:r>
      <w:r>
        <w:rPr>
          <w:rFonts w:hint="eastAsia" w:ascii="宋体" w:hAnsi="宋体" w:eastAsia="宋体" w:cs="宋体"/>
          <w:b/>
          <w:color w:val="auto"/>
          <w:spacing w:val="6"/>
          <w:sz w:val="28"/>
          <w:szCs w:val="28"/>
          <w:highlight w:val="none"/>
          <w:lang w:eastAsia="zh-CN"/>
        </w:rPr>
        <w:t xml:space="preserve">残疾人福利性单位声明函</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项目名称：沛县歌风中学（树恩校区）二期工程弱电安装项目</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lang w:eastAsia="zh-CN"/>
        </w:rPr>
        <w:t xml:space="preserve">JSZC-320322-HXXM-G2026-0003</w:t>
      </w:r>
      <w:r/>
    </w:p>
    <w:p>
      <w:pPr>
        <w:pStyle w:val="803"/>
        <w:ind w:firstLine="584"/>
        <w:keepLines w:val="0"/>
        <w:keepNext w:val="0"/>
        <w:pageBreakBefore w:val="0"/>
        <w:spacing w:line="360" w:lineRule="auto"/>
        <w:tabs>
          <w:tab w:val="left" w:pos="111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〔2017〕141</w:t>
      </w:r>
      <w:r>
        <w:rPr>
          <w:rFonts w:hint="eastAsia" w:ascii="宋体" w:hAnsi="宋体" w:eastAsia="宋体" w:cs="宋体"/>
          <w:color w:val="auto"/>
          <w:spacing w:val="6"/>
          <w:sz w:val="24"/>
          <w:szCs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803"/>
        <w:ind w:left="936" w:firstLine="0"/>
        <w:keepLines w:val="0"/>
        <w:keepNext w:val="0"/>
        <w:pageBreakBefore w:val="0"/>
        <w:spacing w:line="360" w:lineRule="auto"/>
        <w:tabs>
          <w:tab w:val="left" w:pos="111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1134"/>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firstLine="1134"/>
        <w:jc w:val="both"/>
        <w:keepLines w:val="0"/>
        <w:keepNext w:val="0"/>
        <w:pageBreakBefore w:val="0"/>
        <w:spacing w:after="0" w:line="360" w:lineRule="auto"/>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投标人（盖单位电子签章）：</w:t>
      </w:r>
      <w:r/>
    </w:p>
    <w:p>
      <w:pPr>
        <w:ind w:firstLine="1134"/>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投标人法定代表人或其授权代表：（签字或盖章）</w:t>
      </w:r>
      <w:r/>
    </w:p>
    <w:p>
      <w:pPr>
        <w:ind w:firstLine="1134"/>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日期：     年   月   日</w:t>
      </w:r>
      <w:r/>
    </w:p>
    <w:p>
      <w:pPr>
        <w:pStyle w:val="803"/>
        <w:ind w:left="936" w:right="1560" w:firstLine="0"/>
        <w:keepLines w:val="0"/>
        <w:keepNext w:val="0"/>
        <w:pageBreakBefore w:val="0"/>
        <w:spacing w:line="360" w:lineRule="auto"/>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keepLines w:val="0"/>
        <w:keepNext w:val="0"/>
        <w:pageBreakBefore w:val="0"/>
        <w:spacing w:after="0" w:line="360" w:lineRule="auto"/>
        <w:widowControl w:val="off"/>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 xml:space="preserve">注：</w:t>
      </w:r>
      <w:r/>
    </w:p>
    <w:p>
      <w:pPr>
        <w:ind w:firstLine="504"/>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 xml:space="preserve">1.具体以《关于促进残疾人就业政府采购政策的通知》（财库〔2017〕141号）的规定为准。</w:t>
      </w:r>
      <w:r/>
    </w:p>
    <w:p>
      <w:pPr>
        <w:ind w:firstLine="506"/>
        <w:jc w:val="both"/>
        <w:keepLines w:val="0"/>
        <w:keepNext w:val="0"/>
        <w:pageBreakBefore w:val="0"/>
        <w:spacing w:after="0" w:line="360" w:lineRule="auto"/>
        <w:widowControl w:val="off"/>
        <w:rPr>
          <w:rFonts w:hint="eastAsia" w:ascii="宋体" w:hAnsi="宋体" w:eastAsia="宋体" w:cs="宋体"/>
          <w:b/>
          <w:bCs/>
          <w:color w:val="auto"/>
          <w:spacing w:val="6"/>
          <w:sz w:val="24"/>
          <w:szCs w:val="24"/>
          <w:highlight w:val="none"/>
          <w:lang w:eastAsia="zh-CN"/>
        </w:rPr>
      </w:pPr>
      <w:r>
        <w:rPr>
          <w:rFonts w:hint="eastAsia" w:ascii="宋体" w:hAnsi="宋体" w:eastAsia="宋体" w:cs="宋体"/>
          <w:b/>
          <w:bCs/>
          <w:color w:val="auto"/>
          <w:spacing w:val="6"/>
          <w:sz w:val="24"/>
          <w:szCs w:val="24"/>
          <w:highlight w:val="none"/>
          <w:lang w:eastAsia="zh-CN"/>
        </w:rPr>
        <w:t xml:space="preserve">2. 如供应商不属于残疾人福利性单位不需要提供此声明函。</w:t>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br w:type="page" w:clear="all"/>
      </w:r>
      <w:bookmarkStart w:id="12" w:name="_Toc27841_WPSOffice_Level2"/>
      <w:r/>
      <w:bookmarkStart w:id="13" w:name="_Toc12965_WPSOffice_Level2"/>
      <w:r>
        <w:rPr>
          <w:rFonts w:hint="eastAsia" w:ascii="宋体" w:hAnsi="宋体" w:eastAsia="宋体" w:cs="宋体"/>
          <w:b/>
          <w:color w:val="auto"/>
          <w:spacing w:val="6"/>
          <w:sz w:val="28"/>
          <w:szCs w:val="28"/>
          <w:highlight w:val="none"/>
          <w:lang w:eastAsia="zh-CN"/>
        </w:rPr>
        <w:t xml:space="preserve">八、</w:t>
      </w:r>
      <w:bookmarkEnd w:id="12"/>
      <w:r/>
      <w:bookmarkEnd w:id="13"/>
      <w:r>
        <w:rPr>
          <w:rFonts w:hint="eastAsia" w:ascii="宋体" w:hAnsi="宋体" w:eastAsia="宋体" w:cs="宋体"/>
          <w:b/>
          <w:color w:val="auto"/>
          <w:spacing w:val="6"/>
          <w:sz w:val="28"/>
          <w:szCs w:val="28"/>
          <w:highlight w:val="none"/>
          <w:lang w:eastAsia="zh-CN"/>
        </w:rPr>
        <w:t xml:space="preserve">投标人参加政府采购活动前3年内在经营活动中没有重大违法记录的书面声明</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 </w:t>
      </w:r>
      <w:r/>
    </w:p>
    <w:p>
      <w:pPr>
        <w:ind w:firstLine="600"/>
        <w:jc w:val="both"/>
        <w:keepLines w:val="0"/>
        <w:keepNext w:val="0"/>
        <w:pageBreakBefore w:val="0"/>
        <w:spacing w:after="0" w:line="360" w:lineRule="auto"/>
        <w:rPr>
          <w:rFonts w:hint="eastAsia" w:ascii="宋体" w:hAnsi="宋体" w:eastAsia="宋体" w:cs="宋体"/>
          <w:color w:val="auto"/>
          <w:spacing w:val="6"/>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lang w:eastAsia="zh-CN"/>
        </w:rPr>
        <w:t xml:space="preserve">我单位在参加</w:t>
      </w:r>
      <w:r>
        <w:rPr>
          <w:rFonts w:hint="eastAsia" w:ascii="宋体" w:hAnsi="宋体" w:eastAsia="宋体" w:cs="宋体"/>
          <w:color w:val="auto"/>
          <w:spacing w:val="6"/>
          <w:sz w:val="24"/>
          <w:szCs w:val="24"/>
          <w:highlight w:val="none"/>
          <w:u w:val="single"/>
          <w:lang w:eastAsia="zh-CN"/>
        </w:rPr>
        <w:t xml:space="preserve">沛县歌风中学（树恩校区）二期工程弱电安装项目</w:t>
      </w:r>
      <w:r>
        <w:rPr>
          <w:rFonts w:hint="eastAsia" w:ascii="宋体" w:hAnsi="宋体" w:eastAsia="宋体" w:cs="宋体"/>
          <w:color w:val="auto"/>
          <w:spacing w:val="6"/>
          <w:sz w:val="24"/>
          <w:szCs w:val="24"/>
          <w:highlight w:val="none"/>
          <w:lang w:eastAsia="zh-CN"/>
        </w:rPr>
        <w:t xml:space="preserve">（项目编号：</w:t>
      </w:r>
      <w:r>
        <w:rPr>
          <w:rFonts w:hint="eastAsia" w:ascii="宋体" w:hAnsi="宋体" w:eastAsia="宋体" w:cs="宋体"/>
          <w:color w:val="auto"/>
          <w:sz w:val="22"/>
          <w:szCs w:val="22"/>
          <w:highlight w:val="none"/>
          <w:u w:val="single"/>
          <w:lang w:eastAsia="zh-CN"/>
        </w:rPr>
        <w:t xml:space="preserve">JSZC-320322-HXXM-G2026-0003</w:t>
      </w:r>
      <w:r>
        <w:rPr>
          <w:rFonts w:hint="eastAsia" w:ascii="宋体" w:hAnsi="宋体" w:eastAsia="宋体" w:cs="宋体"/>
          <w:color w:val="auto"/>
          <w:spacing w:val="6"/>
          <w:sz w:val="22"/>
          <w:szCs w:val="22"/>
          <w:highlight w:val="none"/>
          <w:u w:val="single"/>
          <w:lang w:val="en-US" w:eastAsia="zh-CN"/>
        </w:rPr>
        <w:t xml:space="preserve"> </w:t>
      </w:r>
      <w:r>
        <w:rPr>
          <w:rFonts w:hint="eastAsia" w:ascii="宋体" w:hAnsi="宋体" w:eastAsia="宋体" w:cs="宋体"/>
          <w:color w:val="auto"/>
          <w:spacing w:val="6"/>
          <w:sz w:val="24"/>
          <w:szCs w:val="24"/>
          <w:highlight w:val="none"/>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600"/>
        <w:keepLines w:val="0"/>
        <w:keepNext w:val="0"/>
        <w:pageBreakBefore w:val="0"/>
        <w:spacing w:after="0" w:line="360" w:lineRule="auto"/>
        <w:rPr>
          <w:rFonts w:hint="eastAsia" w:ascii="宋体" w:hAnsi="宋体" w:eastAsia="宋体" w:cs="宋体"/>
          <w:color w:val="auto"/>
          <w:spacing w:val="6"/>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lang w:eastAsia="zh-CN"/>
        </w:rPr>
        <w:t xml:space="preserve">我单位对上述声明的真实性负责。如有虚假，将依法承担相应责任。</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firstLine="1134"/>
        <w:jc w:val="both"/>
        <w:keepLines w:val="0"/>
        <w:keepNext w:val="0"/>
        <w:pageBreakBefore w:val="0"/>
        <w:spacing w:after="0" w:line="360" w:lineRule="auto"/>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投标人（盖单位电子签章）：</w:t>
      </w:r>
      <w:r/>
    </w:p>
    <w:p>
      <w:pPr>
        <w:ind w:firstLine="1134"/>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投标人法定代表人或其授权代表：（签字或盖章）</w:t>
      </w:r>
      <w:r/>
    </w:p>
    <w:p>
      <w:pPr>
        <w:ind w:firstLine="1134"/>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日期： 年 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日</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firstLine="600"/>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 </w:t>
      </w:r>
      <w:r/>
    </w:p>
    <w:p>
      <w:pPr>
        <w:ind w:firstLine="600"/>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 </w:t>
      </w:r>
      <w:r/>
    </w:p>
    <w:p>
      <w:pPr>
        <w:ind w:firstLine="600"/>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 </w:t>
      </w:r>
      <w:r/>
    </w:p>
    <w:p>
      <w:pPr>
        <w:ind w:firstLine="600"/>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 </w:t>
      </w:r>
      <w:r/>
    </w:p>
    <w:p>
      <w:pPr>
        <w:ind w:firstLine="562"/>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br w:type="page" w:clear="all"/>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eastAsia="zh-CN"/>
        </w:rPr>
        <w:t xml:space="preserve">九、具备履行合同所必需的设备和专业技术能力的书面声明</w:t>
      </w:r>
      <w:r/>
    </w:p>
    <w:p>
      <w:pPr>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项目名称：沛县歌风中学（树恩校区）二期工程弱电安装项目</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项目编号：JSZC-320322-HXXM-G2026-0003</w:t>
      </w:r>
      <w:r/>
    </w:p>
    <w:p>
      <w:pPr>
        <w:pStyle w:val="846"/>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keepLines w:val="0"/>
        <w:keepNext w:val="0"/>
        <w:pageBreakBefore w:val="0"/>
        <w:spacing w:after="0" w:line="360" w:lineRule="auto"/>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投标人郑重声明：投标人具备履行合同（项目名称：沛县歌风中学（树恩校区）二期工程弱电安装项目，项目编号：</w:t>
      </w:r>
      <w:r>
        <w:rPr>
          <w:rFonts w:hint="eastAsia" w:ascii="宋体" w:hAnsi="宋体" w:eastAsia="宋体" w:cs="宋体"/>
          <w:color w:val="auto"/>
          <w:sz w:val="24"/>
          <w:szCs w:val="24"/>
          <w:highlight w:val="none"/>
          <w:lang w:eastAsia="zh-CN"/>
        </w:rPr>
        <w:t xml:space="preserve">JSZC-320322-HXXM-G2026-0003</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4"/>
          <w:szCs w:val="24"/>
          <w:highlight w:val="none"/>
          <w:lang w:eastAsia="zh-CN"/>
        </w:rPr>
        <w:t xml:space="preserve">)所必需的设备和专业技术能力，具体为：</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pStyle w:val="803"/>
        <w:ind w:left="0" w:firstLine="0"/>
        <w:keepLines w:val="0"/>
        <w:keepNext w:val="0"/>
        <w:pageBreakBefore w:val="0"/>
        <w:spacing w:line="360" w:lineRule="auto"/>
        <w:tabs>
          <w:tab w:val="left" w:pos="111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（如有其他证明材料附电子扫描件，加盖电子签章）</w:t>
      </w:r>
      <w:r/>
    </w:p>
    <w:p>
      <w:pPr>
        <w:pStyle w:val="803"/>
        <w:ind w:left="0" w:firstLine="0"/>
        <w:keepLines w:val="0"/>
        <w:keepNext w:val="0"/>
        <w:pageBreakBefore w:val="0"/>
        <w:spacing w:line="360" w:lineRule="auto"/>
        <w:tabs>
          <w:tab w:val="left" w:pos="1110" w:leader="none"/>
        </w:tabs>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格式（投标人可自行拟定）</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特此声明。</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投标人对上述声明的真实性负责。如有虚假，将依法承担相应责任。</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keepLines w:val="0"/>
        <w:keepNext w:val="0"/>
        <w:pageBreakBefore w:val="0"/>
        <w:spacing w:after="0" w:line="360" w:lineRule="auto"/>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投标人（盖单位电子签章）：</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投标人法定代表人或其授权代表：（签字或电子签章）  </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日期：   年  月  日</w:t>
      </w:r>
      <w:r/>
    </w:p>
    <w:p>
      <w:pPr>
        <w:ind w:firstLine="2160"/>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ind w:firstLine="2160"/>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ind w:firstLine="2160"/>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ind w:firstLine="2160"/>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ind w:firstLine="2160"/>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ind w:firstLine="2160"/>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ind w:firstLine="2160"/>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ind w:firstLine="562"/>
        <w:jc w:val="center"/>
        <w:keepLines w:val="0"/>
        <w:keepNext w:val="0"/>
        <w:pageBreakBefore w:val="0"/>
        <w:spacing w:after="0"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十、预付款保函支付条款模板</w:t>
      </w:r>
      <w:r/>
    </w:p>
    <w:p>
      <w:pPr>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符合条件一：提交预付款保函的</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人民币。</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人民币 。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符合条件二：不提交预付款保函的</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人民币。</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人民币。</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1、付款条件一中，出具预付款保函后支付的合同款应当与保函金额一致。</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2、付款条件二中，预付款比例设定应符合《关于做好政府采购支持企业发展有关事项的通知》(苏财购〔2020〕52号)要求。</w:t>
      </w:r>
      <w:r/>
    </w:p>
    <w:p>
      <w:pPr>
        <w:pStyle w:val="837"/>
        <w:keepLines w:val="0"/>
        <w:keepNext w:val="0"/>
        <w:pageBreakBefore w:val="0"/>
        <w:spacing w:after="0" w:line="360" w:lineRule="auto"/>
        <w:rPr>
          <w:rFonts w:hint="eastAsia" w:ascii="宋体" w:hAnsi="宋体" w:eastAsia="宋体" w:cs="宋体"/>
          <w:color w:val="auto"/>
          <w:sz w:val="28"/>
          <w:szCs w:val="28"/>
          <w:highlight w:val="none"/>
          <w:lang w:eastAsia="zh-CN"/>
        </w:rPr>
        <w:sectPr>
          <w:headerReference w:type="default" r:id="rId9"/>
          <w:footerReference w:type="default" r:id="rId13"/>
          <w:footnotePr/>
          <w:endnotePr/>
          <w:type w:val="nextPage"/>
          <w:pgSz w:w="11906" w:h="16838" w:orient="portrait"/>
          <w:pgMar w:top="1440" w:right="1701" w:bottom="1440" w:left="1701" w:header="850" w:footer="992" w:gutter="0"/>
          <w:cols w:num="1" w:sep="0" w:space="0" w:equalWidth="1"/>
          <w:docGrid w:linePitch="360"/>
        </w:sectPr>
      </w:pPr>
      <w:r>
        <w:rPr>
          <w:rFonts w:hint="eastAsia" w:ascii="宋体" w:hAnsi="宋体" w:eastAsia="宋体" w:cs="宋体"/>
          <w:color w:val="auto"/>
          <w:sz w:val="28"/>
          <w:szCs w:val="28"/>
          <w:highlight w:val="none"/>
          <w:lang w:eastAsia="zh-CN"/>
        </w:rPr>
      </w:r>
      <w:r/>
    </w:p>
    <w:p>
      <w:pPr>
        <w:numPr>
          <w:ilvl w:val="0"/>
          <w:numId w:val="0"/>
        </w:num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en-US"/>
        </w:rPr>
        <w:t xml:space="preserve">十一、</w:t>
      </w:r>
      <w:r>
        <w:rPr>
          <w:rFonts w:hint="eastAsia" w:ascii="宋体" w:hAnsi="宋体" w:eastAsia="宋体" w:cs="宋体"/>
          <w:b/>
          <w:bCs/>
          <w:color w:val="auto"/>
          <w:sz w:val="28"/>
          <w:szCs w:val="28"/>
          <w:highlight w:val="none"/>
          <w:lang w:eastAsia="zh-CN"/>
        </w:rPr>
        <w:t xml:space="preserve">关于符合本国产品标准的声明函 </w:t>
      </w:r>
      <w:r/>
    </w:p>
    <w:p>
      <w:pPr>
        <w:pStyle w:val="809"/>
        <w:numPr>
          <w:ilvl w:val="0"/>
          <w:numId w:val="0"/>
        </w:numPr>
        <w:ind w:right="1440"/>
        <w:keepLines w:val="0"/>
        <w:keepNext w:val="0"/>
        <w:pageBreakBefore w:val="0"/>
        <w:spacing w:after="0" w:line="360" w:lineRule="auto"/>
        <w:widowControl w:val="off"/>
        <w:rPr>
          <w:highlight w:val="none"/>
        </w:rPr>
      </w:pPr>
      <w:r>
        <w:rPr>
          <w:highlight w:val="none"/>
        </w:rPr>
      </w:r>
      <w:r/>
    </w:p>
    <w:p>
      <w:pPr>
        <w:ind w:left="0" w:right="0" w:firstLine="420"/>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ascii="宋体" w:hAnsi="宋体" w:eastAsia="宋体" w:cs="宋体"/>
          <w:b/>
          <w:color w:val="000000"/>
          <w:sz w:val="24"/>
          <w:highlight w:val="none"/>
          <w:u w:val="single"/>
        </w:rPr>
        <w:t xml:space="preserve">（ 产品名称 ）</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w:t>
      </w:r>
      <w:r>
        <w:rPr>
          <w:rFonts w:ascii="宋体" w:hAnsi="宋体" w:eastAsia="宋体" w:cs="宋体"/>
          <w:b/>
          <w:color w:val="000000"/>
          <w:sz w:val="24"/>
          <w:highlight w:val="none"/>
          <w:u w:val="single"/>
        </w:rPr>
        <w:t xml:space="preserve">厂名</w:t>
      </w:r>
      <w:r>
        <w:rPr>
          <w:rFonts w:ascii="宋体" w:hAnsi="宋体" w:eastAsia="宋体" w:cs="宋体"/>
          <w:color w:val="000000"/>
          <w:sz w:val="24"/>
          <w:highlight w:val="none"/>
          <w:u w:val="single"/>
        </w:rPr>
        <w:t xml:space="preserve">）</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w:t>
      </w:r>
      <w:r>
        <w:rPr>
          <w:rFonts w:ascii="宋体" w:hAnsi="宋体" w:eastAsia="宋体" w:cs="宋体"/>
          <w:b/>
          <w:color w:val="000000"/>
          <w:sz w:val="24"/>
          <w:highlight w:val="none"/>
          <w:u w:val="single"/>
        </w:rPr>
        <w:t xml:space="preserve">生产厂址</w:t>
      </w:r>
      <w:r>
        <w:rPr>
          <w:rFonts w:ascii="宋体" w:hAnsi="宋体" w:eastAsia="宋体" w:cs="宋体"/>
          <w:color w:val="000000"/>
          <w:sz w:val="24"/>
          <w:highlight w:val="none"/>
          <w:u w:val="single"/>
        </w:rPr>
        <w:t xml:space="preserve">）</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p>
    <w:p>
      <w:pPr>
        <w:ind w:left="0" w:right="0" w:firstLine="420"/>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ascii="宋体" w:hAnsi="宋体" w:eastAsia="宋体" w:cs="宋体"/>
          <w:b/>
          <w:color w:val="000000"/>
          <w:sz w:val="24"/>
          <w:highlight w:val="none"/>
          <w:u w:val="single"/>
        </w:rPr>
        <w:t xml:space="preserve">（产品名称 ）</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w:t>
      </w:r>
      <w:r>
        <w:rPr>
          <w:rFonts w:ascii="宋体" w:hAnsi="宋体" w:eastAsia="宋体" w:cs="宋体"/>
          <w:b/>
          <w:color w:val="000000"/>
          <w:sz w:val="24"/>
          <w:highlight w:val="none"/>
          <w:u w:val="single"/>
        </w:rPr>
        <w:t xml:space="preserve">厂名</w:t>
      </w:r>
      <w:r>
        <w:rPr>
          <w:rFonts w:ascii="宋体" w:hAnsi="宋体" w:eastAsia="宋体" w:cs="宋体"/>
          <w:color w:val="000000"/>
          <w:sz w:val="24"/>
          <w:highlight w:val="none"/>
          <w:u w:val="single"/>
        </w:rPr>
        <w:t xml:space="preserve">）</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w:t>
      </w:r>
      <w:r>
        <w:rPr>
          <w:rFonts w:ascii="宋体" w:hAnsi="宋体" w:eastAsia="宋体" w:cs="宋体"/>
          <w:b/>
          <w:color w:val="000000"/>
          <w:sz w:val="24"/>
          <w:highlight w:val="none"/>
          <w:u w:val="single"/>
        </w:rPr>
        <w:t xml:space="preserve">生产厂址</w:t>
      </w:r>
      <w:r>
        <w:rPr>
          <w:rFonts w:ascii="宋体" w:hAnsi="宋体" w:eastAsia="宋体" w:cs="宋体"/>
          <w:color w:val="000000"/>
          <w:sz w:val="24"/>
          <w:highlight w:val="none"/>
          <w:u w:val="single"/>
        </w:rPr>
        <w:t xml:space="preserve">）</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p>
    <w:p>
      <w:pPr>
        <w:ind w:left="0" w:right="0" w:firstLine="420"/>
        <w:spacing w:before="0" w:after="0" w:line="85" w:lineRule="atLeast"/>
        <w:shd w:val="clear" w:color="ffffff" w:fill="ffffff"/>
        <w:rPr>
          <w:rFonts w:hint="eastAsia"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 </w:t>
      </w:r>
      <w:r/>
    </w:p>
    <w:p>
      <w:pPr>
        <w:ind w:left="0" w:right="0" w:firstLine="420"/>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本公司（单位）对上述声明内容的真实性负责。如有虚假，愿承担相应法律责任。</w:t>
      </w:r>
      <w:r/>
    </w:p>
    <w:p>
      <w:pPr>
        <w:ind w:left="0" w:right="0" w:firstLine="0"/>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公司（单位）名称（电子签章）：　</w:t>
      </w:r>
      <w:r/>
    </w:p>
    <w:p>
      <w:pPr>
        <w:ind w:left="0" w:right="0" w:firstLine="0"/>
        <w:jc w:val="both"/>
        <w:spacing w:before="0" w:after="0" w:line="85" w:lineRule="atLeast"/>
        <w:shd w:val="clear" w:color="ffffff" w:fill="ffff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p>
    <w:p>
      <w:pPr>
        <w:pStyle w:val="809"/>
        <w:ind w:left="0" w:firstLine="0"/>
        <w:rPr>
          <w:rFonts w:ascii="宋体" w:hAnsi="宋体" w:eastAsia="宋体" w:cs="宋体"/>
          <w:color w:val="000000"/>
          <w:sz w:val="24"/>
          <w:highlight w:val="none"/>
        </w:rPr>
      </w:pPr>
      <w:r>
        <w:rPr>
          <w:rFonts w:ascii="宋体" w:hAnsi="宋体" w:eastAsia="宋体" w:cs="宋体"/>
          <w:color w:val="000000"/>
          <w:sz w:val="24"/>
          <w:highlight w:val="none"/>
        </w:rPr>
      </w:r>
      <w:r/>
    </w:p>
    <w:p>
      <w:pPr>
        <w:ind w:left="0" w:right="0" w:firstLine="42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w:t>
      </w:r>
      <w:r/>
    </w:p>
    <w:p>
      <w:pPr>
        <w:ind w:left="0" w:right="0" w:firstLine="42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1.产品如有型号，请在“产品名称”栏一并填写。</w:t>
      </w:r>
      <w:r/>
    </w:p>
    <w:p>
      <w:pPr>
        <w:ind w:left="0" w:right="0" w:firstLine="42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2.生产厂名与厂址应与生产厂营业执照载明的相关信息保持一致。</w:t>
      </w:r>
      <w:r/>
    </w:p>
    <w:p>
      <w:pPr>
        <w:ind w:left="0" w:right="0" w:firstLine="42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3.该产品的中国境内生产的组件成本占比相关要求实施前，“规定比例”栏可不填，下同。</w:t>
      </w:r>
      <w:r/>
    </w:p>
    <w:p>
      <w:pPr>
        <w:ind w:left="0" w:right="0" w:firstLine="42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4.该产品的关键组件要求实施前，“关键组件”栏可不填，下同。</w:t>
      </w:r>
      <w:r/>
    </w:p>
    <w:p>
      <w:pPr>
        <w:ind w:left="0" w:right="0" w:firstLine="42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5.该产品的关键工序要求实施前，“关键工序”栏可不填，下同。</w:t>
      </w:r>
      <w:r/>
    </w:p>
    <w:p>
      <w:pPr>
        <w:ind w:left="0" w:right="0" w:firstLine="42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6.《声明函》中标注“</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”的地方无需填写。</w:t>
      </w:r>
      <w:r/>
    </w:p>
    <w:p>
      <w:pPr>
        <w:rPr>
          <w:rFonts w:hint="eastAsia" w:ascii="宋体" w:hAnsi="宋体" w:eastAsia="宋体" w:cs="宋体"/>
        </w:rPr>
      </w:pPr>
      <w:r>
        <w:rPr>
          <w:rFonts w:hint="eastAsia" w:ascii="宋体" w:hAnsi="宋体" w:eastAsia="宋体" w:cs="宋体"/>
        </w:rPr>
      </w:r>
      <w:r/>
    </w:p>
    <w:p>
      <w:pPr>
        <w:pStyle w:val="797"/>
        <w:rPr>
          <w:rFonts w:hint="eastAsia"/>
          <w:lang w:eastAsia="zh-CN"/>
        </w:rPr>
      </w:pPr>
      <w:r>
        <w:rPr>
          <w:rFonts w:hint="eastAsia"/>
          <w:lang w:eastAsia="zh-CN"/>
        </w:rPr>
      </w:r>
      <w:r/>
    </w:p>
    <w:sectPr>
      <w:footnotePr/>
      <w:endnotePr/>
      <w:type w:val="nextPage"/>
      <w:pgSz w:w="11906" w:h="16838" w:orient="portrait"/>
      <w:pgMar w:top="1440" w:right="1701" w:bottom="1440" w:left="1701"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Cambria">
    <w:panose1 w:val="02040503050406030204"/>
  </w:font>
  <w:font w:name="Courier New">
    <w:panose1 w:val="02070309020205020404"/>
  </w:font>
  <w:font w:name="仿宋">
    <w:panose1 w:val="02010609060101010101"/>
  </w:font>
  <w:font w:name="等线">
    <w:panose1 w:val="02010600030101010101"/>
  </w:font>
  <w:font w:name="Verdana">
    <w:panose1 w:val="020B0604030504040204"/>
  </w:font>
  <w:font w:name="仿宋_GB2312">
    <w:panose1 w:val="02010609060101010101"/>
  </w:font>
  <w:font w:name="黑体">
    <w:panose1 w:val="02010609060101010101"/>
  </w:font>
  <w:font w:name="Calibri">
    <w:panose1 w:val="020F05020202040302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p>
    <w:pPr>
      <w:pStyle w:val="83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p>
    <w:pPr>
      <w:pStyle w:val="921"/>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right"/>
      <w:tabs>
        <w:tab w:val="center" w:pos="4153" w:leader="none"/>
        <w:tab w:val="clear" w:pos="7143" w:leader="none"/>
        <w:tab w:val="right" w:pos="8306" w:leader="none"/>
        <w:tab w:val="clear" w:pos="14287"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17"/>
      <w:isLgl w:val="false"/>
      <w:suff w:val="tab"/>
      <w:lvlText w:val="第%1章"/>
      <w:lvlJc w:val="left"/>
      <w:pPr>
        <w:ind w:left="299"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1089"/>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4"/>
  </w:num>
  <w:num w:numId="5">
    <w:abstractNumId w:val="2"/>
    <w:lvlOverride w:ilvl="0">
      <w:startOverride w:val="1"/>
    </w:lvlOverride>
  </w:num>
  <w:num w:numId="6">
    <w:abstractNumId w:val="0"/>
    <w:lvlOverride w:ilvl="0">
      <w:startOverride w:val="1"/>
    </w:lvlOverride>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default="1">
    <w:name w:val="Normal"/>
    <w:uiPriority w:val="0"/>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782">
    <w:name w:val="Heading 1"/>
    <w:basedOn w:val="781"/>
    <w:next w:val="781"/>
    <w:link w:val="932"/>
    <w:uiPriority w:val="9"/>
    <w:qFormat/>
    <w:pPr>
      <w:keepLines/>
      <w:keepNext/>
      <w:spacing w:before="480"/>
      <w:outlineLvl w:val="0"/>
    </w:pPr>
    <w:rPr>
      <w:rFonts w:ascii="Arial" w:hAnsi="Arial" w:eastAsia="Arial" w:cs="Arial"/>
      <w:sz w:val="40"/>
      <w:szCs w:val="40"/>
    </w:rPr>
  </w:style>
  <w:style w:type="paragraph" w:styleId="783">
    <w:name w:val="Heading 2"/>
    <w:basedOn w:val="781"/>
    <w:next w:val="781"/>
    <w:uiPriority w:val="0"/>
    <w:unhideWhenUsed/>
    <w:qFormat/>
    <w:pPr>
      <w:jc w:val="center"/>
      <w:keepLines/>
      <w:keepNext/>
      <w:spacing w:before="260" w:after="260" w:line="360" w:lineRule="auto"/>
      <w:widowControl w:val="off"/>
      <w:outlineLvl w:val="1"/>
    </w:pPr>
    <w:rPr>
      <w:rFonts w:eastAsia="楷体_GB2312" w:asciiTheme="majorHAnsi" w:hAnsiTheme="majorHAnsi" w:cstheme="majorBidi"/>
      <w:b/>
      <w:bCs/>
      <w:sz w:val="30"/>
      <w:szCs w:val="32"/>
      <w:lang w:eastAsia="zh-CN"/>
    </w:rPr>
  </w:style>
  <w:style w:type="paragraph" w:styleId="784">
    <w:name w:val="Heading 3"/>
    <w:basedOn w:val="781"/>
    <w:next w:val="781"/>
    <w:uiPriority w:val="0"/>
    <w:unhideWhenUsed/>
    <w:qFormat/>
    <w:pPr>
      <w:keepLines/>
      <w:keepNext/>
      <w:spacing w:before="260" w:after="260" w:line="360" w:lineRule="auto"/>
      <w:widowControl w:val="off"/>
      <w:outlineLvl w:val="2"/>
    </w:pPr>
    <w:rPr>
      <w:rFonts w:ascii="Times New Roman" w:hAnsi="Times New Roman" w:eastAsia="楷体_GB2312" w:cs="Times New Roman"/>
      <w:b/>
      <w:bCs/>
      <w:sz w:val="28"/>
      <w:szCs w:val="32"/>
      <w:lang w:eastAsia="zh-CN"/>
    </w:rPr>
  </w:style>
  <w:style w:type="paragraph" w:styleId="785">
    <w:name w:val="Heading 4"/>
    <w:basedOn w:val="781"/>
    <w:next w:val="781"/>
    <w:link w:val="935"/>
    <w:uiPriority w:val="9"/>
    <w:unhideWhenUsed/>
    <w:qFormat/>
    <w:pPr>
      <w:keepLines/>
      <w:keepNext/>
      <w:spacing w:before="320"/>
      <w:outlineLvl w:val="3"/>
    </w:pPr>
    <w:rPr>
      <w:rFonts w:ascii="Arial" w:hAnsi="Arial" w:eastAsia="Arial" w:cs="Arial"/>
      <w:b/>
      <w:bCs/>
      <w:sz w:val="26"/>
      <w:szCs w:val="26"/>
    </w:rPr>
  </w:style>
  <w:style w:type="paragraph" w:styleId="786">
    <w:name w:val="Heading 5"/>
    <w:basedOn w:val="781"/>
    <w:next w:val="781"/>
    <w:link w:val="936"/>
    <w:uiPriority w:val="9"/>
    <w:unhideWhenUsed/>
    <w:qFormat/>
    <w:pPr>
      <w:keepLines/>
      <w:keepNext/>
      <w:spacing w:before="320"/>
      <w:outlineLvl w:val="4"/>
    </w:pPr>
    <w:rPr>
      <w:rFonts w:ascii="Arial" w:hAnsi="Arial" w:eastAsia="Arial" w:cs="Arial"/>
      <w:b/>
      <w:bCs/>
      <w:sz w:val="24"/>
      <w:szCs w:val="24"/>
    </w:rPr>
  </w:style>
  <w:style w:type="paragraph" w:styleId="787">
    <w:name w:val="Heading 6"/>
    <w:basedOn w:val="781"/>
    <w:next w:val="781"/>
    <w:link w:val="937"/>
    <w:uiPriority w:val="9"/>
    <w:unhideWhenUsed/>
    <w:qFormat/>
    <w:pPr>
      <w:keepLines/>
      <w:keepNext/>
      <w:spacing w:before="320"/>
      <w:outlineLvl w:val="5"/>
    </w:pPr>
    <w:rPr>
      <w:rFonts w:ascii="Arial" w:hAnsi="Arial" w:eastAsia="Arial" w:cs="Arial"/>
      <w:b/>
      <w:bCs/>
    </w:rPr>
  </w:style>
  <w:style w:type="paragraph" w:styleId="788">
    <w:name w:val="Heading 7"/>
    <w:basedOn w:val="781"/>
    <w:next w:val="781"/>
    <w:link w:val="938"/>
    <w:uiPriority w:val="9"/>
    <w:unhideWhenUsed/>
    <w:qFormat/>
    <w:pPr>
      <w:keepLines/>
      <w:keepNext/>
      <w:spacing w:before="320"/>
      <w:outlineLvl w:val="6"/>
    </w:pPr>
    <w:rPr>
      <w:rFonts w:ascii="Arial" w:hAnsi="Arial" w:eastAsia="Arial" w:cs="Arial"/>
      <w:b/>
      <w:bCs/>
      <w:i/>
      <w:iCs/>
    </w:rPr>
  </w:style>
  <w:style w:type="paragraph" w:styleId="789">
    <w:name w:val="Heading 8"/>
    <w:basedOn w:val="781"/>
    <w:next w:val="781"/>
    <w:link w:val="939"/>
    <w:uiPriority w:val="9"/>
    <w:unhideWhenUsed/>
    <w:qFormat/>
    <w:pPr>
      <w:keepLines/>
      <w:keepNext/>
      <w:spacing w:before="320"/>
      <w:outlineLvl w:val="7"/>
    </w:pPr>
    <w:rPr>
      <w:rFonts w:ascii="Arial" w:hAnsi="Arial" w:eastAsia="Arial" w:cs="Arial"/>
      <w:i/>
      <w:iCs/>
    </w:rPr>
  </w:style>
  <w:style w:type="paragraph" w:styleId="790">
    <w:name w:val="Heading 9"/>
    <w:basedOn w:val="781"/>
    <w:next w:val="781"/>
    <w:link w:val="940"/>
    <w:uiPriority w:val="9"/>
    <w:unhideWhenUsed/>
    <w:qFormat/>
    <w:pPr>
      <w:keepLines/>
      <w:keepNext/>
      <w:spacing w:before="320"/>
      <w:outlineLvl w:val="8"/>
    </w:pPr>
    <w:rPr>
      <w:rFonts w:ascii="Arial" w:hAnsi="Arial" w:eastAsia="Arial" w:cs="Arial"/>
      <w:i/>
      <w:iCs/>
      <w:sz w:val="21"/>
      <w:szCs w:val="21"/>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name w:val="toc 7"/>
    <w:basedOn w:val="781"/>
    <w:next w:val="781"/>
    <w:uiPriority w:val="39"/>
    <w:unhideWhenUsed/>
    <w:qFormat/>
    <w:pPr>
      <w:ind w:left="1701"/>
      <w:spacing w:after="57"/>
    </w:pPr>
  </w:style>
  <w:style w:type="paragraph" w:styleId="794">
    <w:name w:val="Note Heading"/>
    <w:basedOn w:val="781"/>
    <w:next w:val="781"/>
    <w:uiPriority w:val="0"/>
    <w:qFormat/>
    <w:pPr>
      <w:jc w:val="center"/>
    </w:pPr>
  </w:style>
  <w:style w:type="paragraph" w:styleId="795">
    <w:name w:val="Normal Indent"/>
    <w:basedOn w:val="781"/>
    <w:next w:val="781"/>
    <w:uiPriority w:val="0"/>
    <w:qFormat/>
    <w:pPr>
      <w:ind w:firstLine="420"/>
    </w:pPr>
  </w:style>
  <w:style w:type="paragraph" w:styleId="796">
    <w:name w:val="Caption"/>
    <w:basedOn w:val="781"/>
    <w:next w:val="781"/>
    <w:uiPriority w:val="35"/>
    <w:semiHidden/>
    <w:unhideWhenUsed/>
    <w:qFormat/>
    <w:rPr>
      <w:b/>
      <w:bCs/>
      <w:color w:val="5b9bd5" w:themeColor="accent1"/>
      <w:sz w:val="18"/>
      <w:szCs w:val="18"/>
      <w14:textFill>
        <w14:solidFill>
          <w14:schemeClr w14:val="accent1"/>
        </w14:solidFill>
      </w14:textFill>
    </w:rPr>
  </w:style>
  <w:style w:type="paragraph" w:styleId="797">
    <w:name w:val="index 5"/>
    <w:basedOn w:val="781"/>
    <w:next w:val="781"/>
    <w:uiPriority w:val="0"/>
    <w:qFormat/>
    <w:pPr>
      <w:ind w:left="798"/>
    </w:pPr>
    <w:rPr>
      <w:rFonts w:ascii="Calibri" w:hAnsi="Calibri"/>
      <w:sz w:val="21"/>
    </w:rPr>
  </w:style>
  <w:style w:type="paragraph" w:styleId="798">
    <w:name w:val="Document Map"/>
    <w:basedOn w:val="781"/>
    <w:link w:val="1110"/>
    <w:uiPriority w:val="0"/>
    <w:qFormat/>
    <w:pPr>
      <w:jc w:val="both"/>
      <w:spacing w:after="0" w:line="240" w:lineRule="auto"/>
      <w:widowControl w:val="off"/>
    </w:pPr>
    <w:rPr>
      <w:rFonts w:ascii="宋体" w:hAnsi="Calibri" w:eastAsia="宋体" w:cs="Times New Roman"/>
      <w:sz w:val="18"/>
      <w:szCs w:val="18"/>
      <w:lang w:eastAsia="zh-CN"/>
    </w:rPr>
  </w:style>
  <w:style w:type="paragraph" w:styleId="799">
    <w:name w:val="annotation text"/>
    <w:basedOn w:val="781"/>
    <w:link w:val="1105"/>
    <w:uiPriority w:val="0"/>
    <w:qFormat/>
  </w:style>
  <w:style w:type="paragraph" w:styleId="800">
    <w:name w:val="Body Text"/>
    <w:basedOn w:val="781"/>
    <w:next w:val="801"/>
    <w:link w:val="1107"/>
    <w:uiPriority w:val="99"/>
    <w:qFormat/>
    <w:pPr>
      <w:spacing w:after="120"/>
    </w:pPr>
  </w:style>
  <w:style w:type="paragraph" w:styleId="801" w:customStyle="1">
    <w:name w:val="一级条标题"/>
    <w:basedOn w:val="802"/>
    <w:next w:val="81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2" w:customStyle="1">
    <w:name w:val="章标题"/>
    <w:basedOn w:val="781"/>
    <w:next w:val="803"/>
    <w:uiPriority w:val="0"/>
    <w:qFormat/>
    <w:pPr>
      <w:jc w:val="center"/>
      <w:spacing w:before="158" w:after="153" w:line="1292" w:lineRule="atLeast"/>
    </w:pPr>
    <w:rPr>
      <w:rFonts w:ascii="Arial" w:hAnsi="Calibri" w:eastAsia="黑体" w:cs="黑体"/>
      <w:sz w:val="31"/>
      <w:lang w:bidi="en-US"/>
    </w:rPr>
  </w:style>
  <w:style w:type="paragraph" w:styleId="803" w:customStyle="1">
    <w:name w:val="正文1"/>
    <w:basedOn w:val="804"/>
    <w:next w:val="814"/>
    <w:uiPriority w:val="0"/>
    <w:qFormat/>
    <w:pPr>
      <w:ind w:firstLine="361"/>
      <w:spacing w:line="360" w:lineRule="auto"/>
    </w:pPr>
    <w:rPr>
      <w:rFonts w:ascii="宋体" w:hAnsi="宋体" w:eastAsia="等线"/>
      <w:sz w:val="24"/>
    </w:rPr>
  </w:style>
  <w:style w:type="paragraph" w:styleId="804" w:customStyle="1">
    <w:name w:val="正文111"/>
    <w:next w:val="805"/>
    <w:link w:val="10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5" w:customStyle="1">
    <w:name w:val="正文文本缩进1"/>
    <w:basedOn w:val="806"/>
    <w:next w:val="813"/>
    <w:uiPriority w:val="0"/>
    <w:qFormat/>
    <w:pPr>
      <w:ind w:left="420"/>
      <w:spacing w:after="120"/>
    </w:pPr>
    <w:rPr>
      <w:rFonts w:ascii="Calibri" w:hAnsi="Calibri"/>
    </w:rPr>
  </w:style>
  <w:style w:type="paragraph" w:styleId="806" w:customStyle="1">
    <w:name w:val="正文11"/>
    <w:next w:val="8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7" w:customStyle="1">
    <w:name w:val="目录 11"/>
    <w:basedOn w:val="808"/>
    <w:next w:val="806"/>
    <w:uiPriority w:val="0"/>
    <w:semiHidden/>
    <w:qFormat/>
    <w:pPr>
      <w:ind w:left="1170"/>
      <w:spacing w:line="960" w:lineRule="exact"/>
      <w:tabs>
        <w:tab w:val="right" w:pos="8647" w:leader="dot"/>
      </w:tabs>
    </w:pPr>
  </w:style>
  <w:style w:type="paragraph" w:styleId="808" w:customStyle="1">
    <w:name w:val="正文12"/>
    <w:next w:val="8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customStyle="1">
    <w:name w:val="文本块11"/>
    <w:basedOn w:val="810"/>
    <w:uiPriority w:val="0"/>
    <w:unhideWhenUsed/>
    <w:qFormat/>
    <w:pPr>
      <w:ind w:left="1440" w:right="1440"/>
      <w:spacing w:after="120"/>
    </w:pPr>
  </w:style>
  <w:style w:type="paragraph" w:styleId="810" w:customStyle="1">
    <w:name w:val="正文121"/>
    <w:next w:val="811"/>
    <w:uiPriority w:val="0"/>
    <w:qFormat/>
    <w:pPr>
      <w:jc w:val="both"/>
      <w:widowControl w:val="off"/>
    </w:pPr>
    <w:rPr>
      <w:rFonts w:hint="default" w:ascii="Times New Roman" w:hAnsi="Times New Roman" w:eastAsia="宋体" w:cs="Times New Roman"/>
      <w:sz w:val="21"/>
      <w:szCs w:val="24"/>
    </w:rPr>
  </w:style>
  <w:style w:type="paragraph" w:styleId="811" w:customStyle="1">
    <w:name w:val="正文首行缩进 211"/>
    <w:basedOn w:val="812"/>
    <w:next w:val="810"/>
    <w:uiPriority w:val="0"/>
    <w:qFormat/>
    <w:pPr>
      <w:ind w:firstLine="420"/>
      <w:tabs>
        <w:tab w:val="left" w:pos="0" w:leader="none"/>
        <w:tab w:val="left" w:pos="993" w:leader="none"/>
        <w:tab w:val="left" w:pos="1134" w:leader="none"/>
      </w:tabs>
    </w:pPr>
  </w:style>
  <w:style w:type="paragraph" w:styleId="812" w:customStyle="1">
    <w:name w:val="正文文本缩进111"/>
    <w:basedOn w:val="810"/>
    <w:next w:val="813"/>
    <w:uiPriority w:val="0"/>
    <w:qFormat/>
    <w:pPr>
      <w:ind w:firstLine="538"/>
      <w:jc w:val="left"/>
    </w:pPr>
    <w:rPr>
      <w:sz w:val="28"/>
      <w:lang w:val="en-US" w:eastAsia="en-US"/>
    </w:rPr>
  </w:style>
  <w:style w:type="paragraph" w:styleId="813" w:customStyle="1">
    <w:name w:val="样式 正文文本缩进 + 首行缩进:  2 字符 行距: 1.5 倍行距"/>
    <w:basedOn w:val="805"/>
    <w:uiPriority w:val="0"/>
    <w:qFormat/>
    <w:pPr>
      <w:ind w:firstLine="645"/>
      <w:spacing w:before="156"/>
    </w:pPr>
    <w:rPr>
      <w:sz w:val="28"/>
    </w:rPr>
  </w:style>
  <w:style w:type="paragraph" w:styleId="814" w:customStyle="1">
    <w:name w:val="正文文本1"/>
    <w:basedOn w:val="815"/>
    <w:next w:val="801"/>
    <w:uiPriority w:val="0"/>
    <w:qFormat/>
    <w:pPr>
      <w:spacing w:after="120"/>
    </w:pPr>
    <w:rPr>
      <w:rFonts w:ascii="Calibri" w:hAnsi="Calibri"/>
    </w:rPr>
  </w:style>
  <w:style w:type="paragraph" w:styleId="815" w:customStyle="1">
    <w:name w:val="正文1111"/>
    <w:next w:val="8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6" w:customStyle="1">
    <w:name w:val="标题 21"/>
    <w:basedOn w:val="806"/>
    <w:next w:val="803"/>
    <w:link w:val="951"/>
    <w:uiPriority w:val="9"/>
    <w:unhideWhenUsed/>
    <w:qFormat/>
    <w:pPr>
      <w:keepLines/>
      <w:keepNext/>
      <w:spacing w:before="360"/>
      <w:outlineLvl w:val="1"/>
    </w:pPr>
    <w:rPr>
      <w:rFonts w:ascii="Arial" w:hAnsi="Arial" w:eastAsia="Arial" w:cs="Arial"/>
      <w:sz w:val="34"/>
    </w:rPr>
  </w:style>
  <w:style w:type="paragraph" w:styleId="817" w:customStyle="1">
    <w:name w:val="段"/>
    <w:basedOn w:val="818"/>
    <w:next w:val="803"/>
    <w:uiPriority w:val="0"/>
    <w:qFormat/>
    <w:pPr>
      <w:ind w:firstLine="200"/>
    </w:pPr>
    <w:rPr>
      <w:rFonts w:hint="eastAsia"/>
    </w:rPr>
  </w:style>
  <w:style w:type="paragraph" w:styleId="818" w:customStyle="1">
    <w:name w:val="正文13"/>
    <w:next w:val="8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9" w:customStyle="1">
    <w:name w:val="正文文本缩进11"/>
    <w:basedOn w:val="808"/>
    <w:next w:val="820"/>
    <w:uiPriority w:val="0"/>
    <w:qFormat/>
    <w:pPr>
      <w:ind w:firstLine="301"/>
      <w:spacing w:line="200" w:lineRule="exact"/>
    </w:pPr>
    <w:rPr>
      <w:rFonts w:ascii="宋体" w:hAnsi="Courier New"/>
      <w:spacing w:val="-4"/>
      <w:sz w:val="18"/>
      <w:szCs w:val="20"/>
    </w:rPr>
  </w:style>
  <w:style w:type="paragraph" w:styleId="820" w:customStyle="1">
    <w:name w:val="寄信人地址1"/>
    <w:basedOn w:val="803"/>
    <w:uiPriority w:val="0"/>
    <w:qFormat/>
    <w:rPr>
      <w:rFonts w:ascii="Arial" w:hAnsi="Arial"/>
    </w:rPr>
  </w:style>
  <w:style w:type="paragraph" w:styleId="821">
    <w:name w:val="Body Text Indent"/>
    <w:basedOn w:val="781"/>
    <w:next w:val="822"/>
    <w:uiPriority w:val="0"/>
    <w:qFormat/>
    <w:pPr>
      <w:ind w:left="420"/>
      <w:spacing w:after="120"/>
    </w:pPr>
    <w:rPr>
      <w:rFonts w:ascii="Calibri" w:hAnsi="Calibri"/>
    </w:rPr>
  </w:style>
  <w:style w:type="paragraph" w:styleId="822">
    <w:name w:val="envelope return"/>
    <w:basedOn w:val="781"/>
    <w:uiPriority w:val="0"/>
    <w:qFormat/>
    <w:rPr>
      <w:rFonts w:ascii="Arial" w:hAnsi="Arial"/>
    </w:rPr>
  </w:style>
  <w:style w:type="paragraph" w:styleId="823">
    <w:name w:val="Block Text"/>
    <w:basedOn w:val="781"/>
    <w:uiPriority w:val="0"/>
    <w:unhideWhenUsed/>
    <w:qFormat/>
    <w:pPr>
      <w:ind w:left="1440" w:right="1440"/>
      <w:spacing w:after="120"/>
    </w:pPr>
    <w:rPr>
      <w:rFonts w:ascii="Calibri" w:hAnsi="Calibri"/>
    </w:rPr>
  </w:style>
  <w:style w:type="paragraph" w:styleId="824">
    <w:name w:val="index 4"/>
    <w:basedOn w:val="781"/>
    <w:next w:val="781"/>
    <w:uiPriority w:val="99"/>
    <w:semiHidden/>
    <w:unhideWhenUsed/>
    <w:qFormat/>
    <w:pPr>
      <w:ind w:left="600"/>
    </w:pPr>
  </w:style>
  <w:style w:type="paragraph" w:styleId="825">
    <w:name w:val="toc 5"/>
    <w:basedOn w:val="781"/>
    <w:next w:val="781"/>
    <w:uiPriority w:val="39"/>
    <w:unhideWhenUsed/>
    <w:qFormat/>
    <w:pPr>
      <w:ind w:left="1134"/>
      <w:spacing w:after="57"/>
    </w:pPr>
  </w:style>
  <w:style w:type="paragraph" w:styleId="826">
    <w:name w:val="toc 3"/>
    <w:basedOn w:val="781"/>
    <w:next w:val="781"/>
    <w:uiPriority w:val="39"/>
    <w:unhideWhenUsed/>
    <w:qFormat/>
    <w:pPr>
      <w:ind w:left="567"/>
      <w:spacing w:after="57"/>
    </w:pPr>
  </w:style>
  <w:style w:type="paragraph" w:styleId="827">
    <w:name w:val="Plain Text"/>
    <w:basedOn w:val="781"/>
    <w:uiPriority w:val="0"/>
    <w:qFormat/>
    <w:rPr>
      <w:rFonts w:ascii="宋体" w:hAnsi="Courier New"/>
      <w:szCs w:val="20"/>
    </w:rPr>
  </w:style>
  <w:style w:type="paragraph" w:styleId="828">
    <w:name w:val="toc 8"/>
    <w:basedOn w:val="781"/>
    <w:next w:val="781"/>
    <w:uiPriority w:val="39"/>
    <w:unhideWhenUsed/>
    <w:qFormat/>
    <w:pPr>
      <w:ind w:left="1984"/>
      <w:spacing w:after="57"/>
    </w:pPr>
  </w:style>
  <w:style w:type="paragraph" w:styleId="829">
    <w:name w:val="Body Text Indent 2"/>
    <w:basedOn w:val="781"/>
    <w:link w:val="1104"/>
    <w:uiPriority w:val="99"/>
    <w:semiHidden/>
    <w:unhideWhenUsed/>
    <w:qFormat/>
    <w:pPr>
      <w:ind w:left="420"/>
      <w:spacing w:after="120" w:line="480" w:lineRule="auto"/>
    </w:pPr>
  </w:style>
  <w:style w:type="paragraph" w:styleId="830">
    <w:name w:val="endnote text"/>
    <w:basedOn w:val="781"/>
    <w:link w:val="1075"/>
    <w:uiPriority w:val="99"/>
    <w:semiHidden/>
    <w:unhideWhenUsed/>
    <w:qFormat/>
    <w:pPr>
      <w:spacing w:after="0" w:line="240" w:lineRule="auto"/>
    </w:pPr>
    <w:rPr>
      <w:sz w:val="20"/>
    </w:rPr>
  </w:style>
  <w:style w:type="paragraph" w:styleId="831">
    <w:name w:val="Balloon Text"/>
    <w:basedOn w:val="781"/>
    <w:link w:val="1098"/>
    <w:uiPriority w:val="99"/>
    <w:semiHidden/>
    <w:unhideWhenUsed/>
    <w:qFormat/>
    <w:pPr>
      <w:spacing w:after="0" w:line="240" w:lineRule="auto"/>
    </w:pPr>
    <w:rPr>
      <w:sz w:val="18"/>
      <w:szCs w:val="18"/>
    </w:rPr>
  </w:style>
  <w:style w:type="paragraph" w:styleId="832">
    <w:name w:val="Footer"/>
    <w:basedOn w:val="781"/>
    <w:link w:val="1109"/>
    <w:uiPriority w:val="99"/>
    <w:unhideWhenUsed/>
    <w:qFormat/>
    <w:pPr>
      <w:spacing w:line="240" w:lineRule="auto"/>
      <w:tabs>
        <w:tab w:val="center" w:pos="4153" w:leader="none"/>
        <w:tab w:val="right" w:pos="8306" w:leader="none"/>
      </w:tabs>
    </w:pPr>
    <w:rPr>
      <w:sz w:val="18"/>
      <w:szCs w:val="18"/>
    </w:rPr>
  </w:style>
  <w:style w:type="paragraph" w:styleId="833">
    <w:name w:val="Header"/>
    <w:basedOn w:val="781"/>
    <w:link w:val="1108"/>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834">
    <w:name w:val="toc 1"/>
    <w:basedOn w:val="781"/>
    <w:next w:val="781"/>
    <w:uiPriority w:val="39"/>
    <w:unhideWhenUsed/>
    <w:qFormat/>
    <w:pPr>
      <w:spacing w:after="57"/>
    </w:pPr>
  </w:style>
  <w:style w:type="paragraph" w:styleId="835">
    <w:name w:val="toc 4"/>
    <w:basedOn w:val="781"/>
    <w:next w:val="781"/>
    <w:uiPriority w:val="39"/>
    <w:unhideWhenUsed/>
    <w:qFormat/>
    <w:pPr>
      <w:ind w:left="850"/>
      <w:spacing w:after="57"/>
    </w:pPr>
  </w:style>
  <w:style w:type="paragraph" w:styleId="836">
    <w:name w:val="Subtitle"/>
    <w:basedOn w:val="781"/>
    <w:next w:val="781"/>
    <w:link w:val="960"/>
    <w:uiPriority w:val="11"/>
    <w:qFormat/>
    <w:pPr>
      <w:spacing w:before="200"/>
    </w:pPr>
    <w:rPr>
      <w:sz w:val="24"/>
      <w:szCs w:val="24"/>
    </w:rPr>
  </w:style>
  <w:style w:type="paragraph" w:styleId="837">
    <w:name w:val="footnote text"/>
    <w:basedOn w:val="781"/>
    <w:next w:val="797"/>
    <w:link w:val="1074"/>
    <w:uiPriority w:val="99"/>
    <w:semiHidden/>
    <w:unhideWhenUsed/>
    <w:qFormat/>
    <w:pPr>
      <w:spacing w:after="40" w:line="240" w:lineRule="auto"/>
    </w:pPr>
    <w:rPr>
      <w:sz w:val="18"/>
    </w:rPr>
  </w:style>
  <w:style w:type="paragraph" w:styleId="838">
    <w:name w:val="toc 6"/>
    <w:basedOn w:val="781"/>
    <w:next w:val="781"/>
    <w:uiPriority w:val="39"/>
    <w:unhideWhenUsed/>
    <w:qFormat/>
    <w:pPr>
      <w:ind w:left="1417"/>
      <w:spacing w:after="57"/>
    </w:pPr>
  </w:style>
  <w:style w:type="paragraph" w:styleId="839">
    <w:name w:val="table of figures"/>
    <w:basedOn w:val="781"/>
    <w:next w:val="781"/>
    <w:uiPriority w:val="99"/>
    <w:unhideWhenUsed/>
    <w:qFormat/>
    <w:pPr>
      <w:spacing w:after="0"/>
    </w:pPr>
  </w:style>
  <w:style w:type="paragraph" w:styleId="840">
    <w:name w:val="toc 2"/>
    <w:basedOn w:val="781"/>
    <w:next w:val="781"/>
    <w:uiPriority w:val="39"/>
    <w:unhideWhenUsed/>
    <w:qFormat/>
    <w:pPr>
      <w:ind w:left="283"/>
      <w:spacing w:after="57"/>
    </w:pPr>
  </w:style>
  <w:style w:type="paragraph" w:styleId="841">
    <w:name w:val="toc 9"/>
    <w:basedOn w:val="781"/>
    <w:next w:val="781"/>
    <w:uiPriority w:val="39"/>
    <w:unhideWhenUsed/>
    <w:qFormat/>
    <w:pPr>
      <w:ind w:left="2268"/>
      <w:spacing w:after="57"/>
    </w:pPr>
  </w:style>
  <w:style w:type="paragraph" w:styleId="842">
    <w:name w:val="Body Text 2"/>
    <w:basedOn w:val="781"/>
    <w:uiPriority w:val="0"/>
    <w:qFormat/>
    <w:pPr>
      <w:jc w:val="center"/>
      <w:spacing w:line="0" w:lineRule="atLeast"/>
    </w:pPr>
    <w:rPr>
      <w:rFonts w:ascii="黑体" w:eastAsia="黑体"/>
    </w:rPr>
  </w:style>
  <w:style w:type="paragraph" w:styleId="843">
    <w:name w:val="Normal (Web)"/>
    <w:basedOn w:val="781"/>
    <w:uiPriority w:val="99"/>
    <w:unhideWhenUsed/>
    <w:qFormat/>
    <w:pPr>
      <w:spacing w:beforeAutospacing="1" w:after="0" w:afterAutospacing="1"/>
    </w:pPr>
    <w:rPr>
      <w:rFonts w:cs="Times New Roman"/>
      <w:sz w:val="24"/>
      <w:lang w:eastAsia="zh-CN"/>
    </w:rPr>
  </w:style>
  <w:style w:type="paragraph" w:styleId="844">
    <w:name w:val="Title"/>
    <w:basedOn w:val="781"/>
    <w:next w:val="781"/>
    <w:link w:val="959"/>
    <w:uiPriority w:val="10"/>
    <w:qFormat/>
    <w:pPr>
      <w:contextualSpacing/>
      <w:spacing w:before="300"/>
    </w:pPr>
    <w:rPr>
      <w:sz w:val="48"/>
      <w:szCs w:val="48"/>
    </w:rPr>
  </w:style>
  <w:style w:type="paragraph" w:styleId="845">
    <w:name w:val="annotation subject"/>
    <w:basedOn w:val="799"/>
    <w:next w:val="799"/>
    <w:link w:val="1106"/>
    <w:uiPriority w:val="99"/>
    <w:semiHidden/>
    <w:unhideWhenUsed/>
    <w:qFormat/>
    <w:rPr>
      <w:b/>
      <w:bCs/>
    </w:rPr>
  </w:style>
  <w:style w:type="paragraph" w:styleId="846">
    <w:name w:val="Body Text First Indent"/>
    <w:basedOn w:val="781"/>
    <w:next w:val="847"/>
    <w:uiPriority w:val="99"/>
    <w:unhideWhenUsed/>
    <w:qFormat/>
    <w:pPr>
      <w:ind w:firstLine="420"/>
    </w:pPr>
  </w:style>
  <w:style w:type="paragraph" w:styleId="847">
    <w:name w:val="Body Text First Indent 2"/>
    <w:basedOn w:val="821"/>
    <w:next w:val="781"/>
    <w:uiPriority w:val="0"/>
    <w:qFormat/>
    <w:pPr>
      <w:ind w:left="0" w:firstLine="420"/>
      <w:spacing w:after="0" w:line="360" w:lineRule="auto"/>
    </w:pPr>
    <w:rPr>
      <w:rFonts w:ascii="宋体" w:hAnsi="宋体" w:eastAsia="宋体" w:cs="Times New Roman"/>
      <w:sz w:val="20"/>
      <w:szCs w:val="20"/>
    </w:rPr>
  </w:style>
  <w:style w:type="table" w:styleId="848">
    <w:name w:val="Table Grid"/>
    <w:basedOn w:val="79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9">
    <w:name w:val="endnote reference"/>
    <w:uiPriority w:val="99"/>
    <w:semiHidden/>
    <w:unhideWhenUsed/>
    <w:qFormat/>
    <w:rPr>
      <w:vertAlign w:val="superscript"/>
    </w:rPr>
  </w:style>
  <w:style w:type="character" w:styleId="850">
    <w:name w:val="page number"/>
    <w:uiPriority w:val="0"/>
    <w:qFormat/>
  </w:style>
  <w:style w:type="character" w:styleId="851">
    <w:name w:val="Hyperlink"/>
    <w:uiPriority w:val="99"/>
    <w:unhideWhenUsed/>
    <w:qFormat/>
    <w:rPr>
      <w:color w:val="0563c1" w:themeColor="hyperlink"/>
      <w:u w:val="single"/>
      <w14:textFill>
        <w14:solidFill>
          <w14:schemeClr w14:val="hlink"/>
        </w14:solidFill>
      </w14:textFill>
    </w:rPr>
  </w:style>
  <w:style w:type="character" w:styleId="852">
    <w:name w:val="annotation reference"/>
    <w:basedOn w:val="791"/>
    <w:uiPriority w:val="99"/>
    <w:semiHidden/>
    <w:unhideWhenUsed/>
    <w:qFormat/>
    <w:rPr>
      <w:sz w:val="21"/>
      <w:szCs w:val="21"/>
    </w:rPr>
  </w:style>
  <w:style w:type="character" w:styleId="853">
    <w:name w:val="footnote reference"/>
    <w:uiPriority w:val="99"/>
    <w:unhideWhenUsed/>
    <w:qFormat/>
    <w:rPr>
      <w:vertAlign w:val="superscript"/>
    </w:rPr>
  </w:style>
  <w:style w:type="paragraph" w:styleId="854" w:customStyle="1">
    <w:name w:val="无间隔1"/>
    <w:uiPriority w:val="0"/>
    <w:qFormat/>
    <w:rPr>
      <w:rFonts w:hint="default" w:ascii="Times New Roman" w:hAnsi="Times New Roman" w:eastAsia="宋体" w:cs="Times New Roman"/>
      <w:sz w:val="22"/>
      <w:szCs w:val="22"/>
      <w:lang w:val="en-US" w:eastAsia="en-US" w:bidi="ar-SA"/>
    </w:rPr>
  </w:style>
  <w:style w:type="paragraph" w:styleId="855" w:customStyle="1">
    <w:name w:val="正文首行缩进1"/>
    <w:basedOn w:val="856"/>
    <w:next w:val="857"/>
    <w:uiPriority w:val="0"/>
    <w:qFormat/>
    <w:pPr>
      <w:ind w:firstLine="420"/>
      <w:widowControl w:val="off"/>
    </w:pPr>
    <w:rPr>
      <w:sz w:val="21"/>
    </w:rPr>
  </w:style>
  <w:style w:type="paragraph" w:styleId="856" w:customStyle="1">
    <w:name w:val="正文文本11"/>
    <w:basedOn w:val="781"/>
    <w:next w:val="801"/>
    <w:uiPriority w:val="99"/>
    <w:unhideWhenUsed/>
    <w:qFormat/>
    <w:pPr>
      <w:spacing w:after="120"/>
    </w:pPr>
    <w:rPr>
      <w:szCs w:val="24"/>
    </w:rPr>
  </w:style>
  <w:style w:type="paragraph" w:styleId="857" w:customStyle="1">
    <w:name w:val="正文首行缩进 21"/>
    <w:basedOn w:val="805"/>
    <w:next w:val="804"/>
    <w:uiPriority w:val="0"/>
    <w:qFormat/>
    <w:pPr>
      <w:ind w:firstLine="420"/>
    </w:pPr>
    <w:rPr>
      <w:rFonts w:ascii="Times New Roman" w:hAnsi="Times New Roman"/>
      <w:sz w:val="24"/>
    </w:rPr>
  </w:style>
  <w:style w:type="paragraph" w:styleId="858" w:customStyle="1">
    <w:name w:val="信息标题1"/>
    <w:basedOn w:val="781"/>
    <w:next w:val="859"/>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59" w:customStyle="1">
    <w:name w:val="正文文本12"/>
    <w:basedOn w:val="781"/>
    <w:next w:val="781"/>
    <w:uiPriority w:val="99"/>
    <w:qFormat/>
    <w:pPr>
      <w:spacing w:after="120"/>
    </w:pPr>
  </w:style>
  <w:style w:type="paragraph" w:styleId="860" w:customStyle="1">
    <w:name w:val="脚注文本1"/>
    <w:basedOn w:val="803"/>
    <w:next w:val="861"/>
    <w:uiPriority w:val="0"/>
    <w:qFormat/>
    <w:rPr>
      <w:rFonts w:eastAsia="Times New Roman"/>
      <w:sz w:val="18"/>
      <w:szCs w:val="18"/>
    </w:rPr>
  </w:style>
  <w:style w:type="paragraph" w:styleId="861" w:customStyle="1">
    <w:name w:val="索引 51"/>
    <w:basedOn w:val="804"/>
    <w:next w:val="803"/>
    <w:uiPriority w:val="0"/>
    <w:qFormat/>
    <w:pPr>
      <w:ind w:left="798"/>
    </w:pPr>
    <w:rPr>
      <w:rFonts w:ascii="Calibri" w:hAnsi="Calibri"/>
    </w:rPr>
  </w:style>
  <w:style w:type="paragraph" w:styleId="862" w:customStyle="1">
    <w:name w:val="正文文本111"/>
    <w:basedOn w:val="781"/>
    <w:next w:val="808"/>
    <w:uiPriority w:val="0"/>
    <w:qFormat/>
    <w:rPr>
      <w:rFonts w:ascii="楷体_GB2312" w:hAnsi="Arial" w:eastAsia="楷体_GB2312"/>
      <w:sz w:val="28"/>
      <w:szCs w:val="28"/>
      <w:lang w:eastAsia="en-US"/>
    </w:rPr>
  </w:style>
  <w:style w:type="paragraph" w:styleId="863" w:customStyle="1">
    <w:name w:val="文本块111"/>
    <w:basedOn w:val="781"/>
    <w:next w:val="781"/>
    <w:uiPriority w:val="6"/>
    <w:unhideWhenUsed/>
    <w:qFormat/>
    <w:pPr>
      <w:ind w:left="1440" w:right="1440"/>
      <w:spacing w:after="120"/>
    </w:pPr>
  </w:style>
  <w:style w:type="table" w:styleId="864" w:customStyle="1">
    <w:name w:val="Plain Table 1"/>
    <w:basedOn w:val="7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2"/>
    <w:basedOn w:val="7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3"/>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Plain Table 4"/>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Plain Table 5"/>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Grid Table 1 Light"/>
    <w:basedOn w:val="7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2"/>
    <w:basedOn w:val="7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Grid Table 3"/>
    <w:basedOn w:val="7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4"/>
    <w:basedOn w:val="7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5 Dark"/>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6 Colorful"/>
    <w:basedOn w:val="7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7 Colorful"/>
    <w:basedOn w:val="7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1 Light"/>
    <w:basedOn w:val="7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2"/>
    <w:basedOn w:val="7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3"/>
    <w:basedOn w:val="7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w:basedOn w:val="7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5 Dark"/>
    <w:basedOn w:val="7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w:basedOn w:val="79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7 Colorful"/>
    <w:basedOn w:val="79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3" w:customStyle="1">
    <w:name w:val="TOC Heading"/>
    <w:uiPriority w:val="39"/>
    <w:unhideWhenUsed/>
    <w:qFormat/>
    <w:rPr>
      <w:rFonts w:hint="default" w:ascii="Times New Roman" w:hAnsi="Times New Roman" w:eastAsia="宋体" w:cs="Times New Roman"/>
    </w:rPr>
  </w:style>
  <w:style w:type="table" w:styleId="884" w:customStyle="1">
    <w:name w:val="无格式表格 11"/>
    <w:basedOn w:val="7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无格式表格 21"/>
    <w:basedOn w:val="79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无格式表格 31"/>
    <w:basedOn w:val="7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customStyle="1">
    <w:name w:val="无格式表格 41"/>
    <w:basedOn w:val="7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customStyle="1">
    <w:name w:val="无格式表格 51"/>
    <w:basedOn w:val="7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9" w:customStyle="1">
    <w:name w:val="网格表 1 浅色1"/>
    <w:basedOn w:val="79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0" w:customStyle="1">
    <w:name w:val="网格表 21"/>
    <w:basedOn w:val="7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网格表 31"/>
    <w:basedOn w:val="7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网格表 41"/>
    <w:basedOn w:val="79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customStyle="1">
    <w:name w:val="网格表 5 深色1"/>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4" w:customStyle="1">
    <w:name w:val="网格表 6 彩色1"/>
    <w:basedOn w:val="79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5" w:customStyle="1">
    <w:name w:val="网格表 7 彩色1"/>
    <w:basedOn w:val="79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清单表 1 浅色1"/>
    <w:basedOn w:val="79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customStyle="1">
    <w:name w:val="清单表 21"/>
    <w:basedOn w:val="79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8" w:customStyle="1">
    <w:name w:val="清单表 31"/>
    <w:basedOn w:val="7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清单表 41"/>
    <w:basedOn w:val="7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清单表 5 深色1"/>
    <w:basedOn w:val="79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清单表 6 彩色1"/>
    <w:basedOn w:val="79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2" w:customStyle="1">
    <w:name w:val="清单表 7 彩色1"/>
    <w:basedOn w:val="79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3" w:customStyle="1">
    <w:name w:val="TOC 标题1"/>
    <w:uiPriority w:val="39"/>
    <w:unhideWhenUsed/>
    <w:qFormat/>
    <w:rPr>
      <w:rFonts w:hint="default" w:ascii="Times New Roman" w:hAnsi="Times New Roman" w:eastAsia="宋体" w:cs="Times New Roman"/>
      <w:lang w:val="en-US" w:eastAsia="zh-CN" w:bidi="ar-SA"/>
    </w:rPr>
  </w:style>
  <w:style w:type="character" w:styleId="904" w:customStyle="1">
    <w:name w:val="Heading 1 Char"/>
    <w:basedOn w:val="791"/>
    <w:uiPriority w:val="9"/>
    <w:qFormat/>
    <w:rPr>
      <w:rFonts w:ascii="Arial" w:hAnsi="Arial" w:eastAsia="Arial" w:cs="Arial"/>
      <w:sz w:val="40"/>
      <w:szCs w:val="40"/>
    </w:rPr>
  </w:style>
  <w:style w:type="character" w:styleId="905" w:customStyle="1">
    <w:name w:val="Heading 4 Char"/>
    <w:basedOn w:val="791"/>
    <w:uiPriority w:val="9"/>
    <w:qFormat/>
    <w:rPr>
      <w:rFonts w:ascii="Arial" w:hAnsi="Arial" w:eastAsia="Arial" w:cs="Arial"/>
      <w:b/>
      <w:bCs/>
      <w:sz w:val="26"/>
      <w:szCs w:val="26"/>
    </w:rPr>
  </w:style>
  <w:style w:type="character" w:styleId="906" w:customStyle="1">
    <w:name w:val="Heading 5 Char"/>
    <w:basedOn w:val="791"/>
    <w:uiPriority w:val="9"/>
    <w:qFormat/>
    <w:rPr>
      <w:rFonts w:ascii="Arial" w:hAnsi="Arial" w:eastAsia="Arial" w:cs="Arial"/>
      <w:b/>
      <w:bCs/>
      <w:sz w:val="24"/>
      <w:szCs w:val="24"/>
    </w:rPr>
  </w:style>
  <w:style w:type="character" w:styleId="907" w:customStyle="1">
    <w:name w:val="Heading 6 Char"/>
    <w:basedOn w:val="791"/>
    <w:uiPriority w:val="9"/>
    <w:qFormat/>
    <w:rPr>
      <w:rFonts w:ascii="Arial" w:hAnsi="Arial" w:eastAsia="Arial" w:cs="Arial"/>
      <w:b/>
      <w:bCs/>
      <w:sz w:val="22"/>
      <w:szCs w:val="22"/>
    </w:rPr>
  </w:style>
  <w:style w:type="character" w:styleId="908" w:customStyle="1">
    <w:name w:val="Heading 7 Char"/>
    <w:basedOn w:val="791"/>
    <w:uiPriority w:val="9"/>
    <w:qFormat/>
    <w:rPr>
      <w:rFonts w:ascii="Arial" w:hAnsi="Arial" w:eastAsia="Arial" w:cs="Arial"/>
      <w:b/>
      <w:bCs/>
      <w:i/>
      <w:iCs/>
      <w:sz w:val="22"/>
      <w:szCs w:val="22"/>
    </w:rPr>
  </w:style>
  <w:style w:type="character" w:styleId="909" w:customStyle="1">
    <w:name w:val="Heading 8 Char"/>
    <w:basedOn w:val="791"/>
    <w:uiPriority w:val="9"/>
    <w:qFormat/>
    <w:rPr>
      <w:rFonts w:ascii="Arial" w:hAnsi="Arial" w:eastAsia="Arial" w:cs="Arial"/>
      <w:i/>
      <w:iCs/>
      <w:sz w:val="22"/>
      <w:szCs w:val="22"/>
    </w:rPr>
  </w:style>
  <w:style w:type="character" w:styleId="910" w:customStyle="1">
    <w:name w:val="Heading 9 Char"/>
    <w:basedOn w:val="791"/>
    <w:uiPriority w:val="9"/>
    <w:qFormat/>
    <w:rPr>
      <w:rFonts w:ascii="Arial" w:hAnsi="Arial" w:eastAsia="Arial" w:cs="Arial"/>
      <w:i/>
      <w:iCs/>
      <w:sz w:val="21"/>
      <w:szCs w:val="21"/>
    </w:rPr>
  </w:style>
  <w:style w:type="paragraph" w:styleId="911" w:customStyle="1">
    <w:name w:val="TOC 标题115"/>
    <w:uiPriority w:val="39"/>
    <w:unhideWhenUsed/>
    <w:qFormat/>
    <w:rPr>
      <w:rFonts w:hint="default" w:ascii="Times New Roman" w:hAnsi="Times New Roman" w:eastAsia="宋体" w:cs="Times New Roman"/>
      <w:lang w:val="en-US" w:eastAsia="zh-CN" w:bidi="ar-SA"/>
    </w:rPr>
  </w:style>
  <w:style w:type="paragraph" w:styleId="912" w:customStyle="1">
    <w:name w:val="标题 11"/>
    <w:basedOn w:val="781"/>
    <w:next w:val="781"/>
    <w:link w:val="950"/>
    <w:uiPriority w:val="9"/>
    <w:qFormat/>
    <w:pPr>
      <w:keepLines/>
      <w:keepNext/>
      <w:spacing w:before="480"/>
      <w:outlineLvl w:val="0"/>
    </w:pPr>
    <w:rPr>
      <w:rFonts w:ascii="Arial" w:hAnsi="Arial" w:eastAsia="Arial" w:cs="Arial"/>
      <w:sz w:val="40"/>
      <w:szCs w:val="40"/>
    </w:rPr>
  </w:style>
  <w:style w:type="paragraph" w:styleId="913" w:customStyle="1">
    <w:name w:val="标题 31"/>
    <w:basedOn w:val="781"/>
    <w:next w:val="781"/>
    <w:link w:val="952"/>
    <w:uiPriority w:val="9"/>
    <w:unhideWhenUsed/>
    <w:qFormat/>
    <w:pPr>
      <w:keepLines/>
      <w:keepNext/>
      <w:spacing w:before="320"/>
      <w:outlineLvl w:val="2"/>
    </w:pPr>
    <w:rPr>
      <w:rFonts w:ascii="Arial" w:hAnsi="Arial" w:eastAsia="Arial" w:cs="Arial"/>
      <w:sz w:val="30"/>
      <w:szCs w:val="30"/>
    </w:rPr>
  </w:style>
  <w:style w:type="paragraph" w:styleId="914" w:customStyle="1">
    <w:name w:val="标题 41"/>
    <w:basedOn w:val="781"/>
    <w:next w:val="781"/>
    <w:link w:val="953"/>
    <w:uiPriority w:val="9"/>
    <w:unhideWhenUsed/>
    <w:qFormat/>
    <w:pPr>
      <w:keepLines/>
      <w:keepNext/>
      <w:spacing w:before="320"/>
      <w:outlineLvl w:val="3"/>
    </w:pPr>
    <w:rPr>
      <w:rFonts w:ascii="Arial" w:hAnsi="Arial" w:eastAsia="Arial" w:cs="Arial"/>
      <w:b/>
      <w:bCs/>
      <w:sz w:val="26"/>
      <w:szCs w:val="26"/>
    </w:rPr>
  </w:style>
  <w:style w:type="paragraph" w:styleId="915" w:customStyle="1">
    <w:name w:val="标题 51"/>
    <w:basedOn w:val="781"/>
    <w:next w:val="781"/>
    <w:link w:val="954"/>
    <w:uiPriority w:val="9"/>
    <w:unhideWhenUsed/>
    <w:qFormat/>
    <w:pPr>
      <w:keepLines/>
      <w:keepNext/>
      <w:spacing w:before="320"/>
      <w:outlineLvl w:val="4"/>
    </w:pPr>
    <w:rPr>
      <w:rFonts w:ascii="Arial" w:hAnsi="Arial" w:eastAsia="Arial" w:cs="Arial"/>
      <w:b/>
      <w:bCs/>
      <w:sz w:val="24"/>
      <w:szCs w:val="24"/>
    </w:rPr>
  </w:style>
  <w:style w:type="paragraph" w:styleId="916" w:customStyle="1">
    <w:name w:val="标题 61"/>
    <w:basedOn w:val="781"/>
    <w:next w:val="781"/>
    <w:link w:val="955"/>
    <w:uiPriority w:val="9"/>
    <w:unhideWhenUsed/>
    <w:qFormat/>
    <w:pPr>
      <w:keepLines/>
      <w:keepNext/>
      <w:spacing w:before="320"/>
      <w:outlineLvl w:val="5"/>
    </w:pPr>
    <w:rPr>
      <w:rFonts w:ascii="Arial" w:hAnsi="Arial" w:eastAsia="Arial" w:cs="Arial"/>
      <w:b/>
      <w:bCs/>
    </w:rPr>
  </w:style>
  <w:style w:type="paragraph" w:styleId="917" w:customStyle="1">
    <w:name w:val="标题 71"/>
    <w:basedOn w:val="781"/>
    <w:next w:val="781"/>
    <w:link w:val="956"/>
    <w:uiPriority w:val="9"/>
    <w:unhideWhenUsed/>
    <w:qFormat/>
    <w:pPr>
      <w:keepLines/>
      <w:keepNext/>
      <w:spacing w:before="320"/>
      <w:outlineLvl w:val="6"/>
    </w:pPr>
    <w:rPr>
      <w:rFonts w:ascii="Arial" w:hAnsi="Arial" w:eastAsia="Arial" w:cs="Arial"/>
      <w:b/>
      <w:bCs/>
      <w:i/>
      <w:iCs/>
    </w:rPr>
  </w:style>
  <w:style w:type="paragraph" w:styleId="918" w:customStyle="1">
    <w:name w:val="标题 81"/>
    <w:basedOn w:val="781"/>
    <w:next w:val="781"/>
    <w:link w:val="957"/>
    <w:uiPriority w:val="9"/>
    <w:unhideWhenUsed/>
    <w:qFormat/>
    <w:pPr>
      <w:keepLines/>
      <w:keepNext/>
      <w:spacing w:before="320"/>
      <w:outlineLvl w:val="7"/>
    </w:pPr>
    <w:rPr>
      <w:rFonts w:ascii="Arial" w:hAnsi="Arial" w:eastAsia="Arial" w:cs="Arial"/>
      <w:i/>
      <w:iCs/>
    </w:rPr>
  </w:style>
  <w:style w:type="paragraph" w:styleId="919" w:customStyle="1">
    <w:name w:val="标题 91"/>
    <w:basedOn w:val="781"/>
    <w:next w:val="781"/>
    <w:link w:val="958"/>
    <w:uiPriority w:val="9"/>
    <w:unhideWhenUsed/>
    <w:qFormat/>
    <w:pPr>
      <w:keepLines/>
      <w:keepNext/>
      <w:spacing w:before="320"/>
      <w:outlineLvl w:val="8"/>
    </w:pPr>
    <w:rPr>
      <w:rFonts w:ascii="Arial" w:hAnsi="Arial" w:eastAsia="Arial" w:cs="Arial"/>
      <w:i/>
      <w:iCs/>
      <w:sz w:val="21"/>
      <w:szCs w:val="21"/>
    </w:rPr>
  </w:style>
  <w:style w:type="paragraph" w:styleId="920" w:customStyle="1">
    <w:name w:val="TOC 标题114"/>
    <w:uiPriority w:val="39"/>
    <w:unhideWhenUsed/>
    <w:qFormat/>
    <w:rPr>
      <w:rFonts w:hint="default" w:ascii="Times New Roman" w:hAnsi="Times New Roman" w:eastAsia="宋体" w:cs="Times New Roman"/>
      <w:lang w:val="en-US" w:eastAsia="zh-CN" w:bidi="ar-SA"/>
    </w:rPr>
  </w:style>
  <w:style w:type="paragraph" w:styleId="921" w:customStyle="1">
    <w:name w:val="页脚1"/>
    <w:basedOn w:val="781"/>
    <w:link w:val="967"/>
    <w:uiPriority w:val="99"/>
    <w:unhideWhenUsed/>
    <w:qFormat/>
    <w:pPr>
      <w:spacing w:after="0" w:line="240" w:lineRule="auto"/>
      <w:tabs>
        <w:tab w:val="center" w:pos="7143" w:leader="none"/>
        <w:tab w:val="right" w:pos="14287" w:leader="none"/>
      </w:tabs>
    </w:pPr>
  </w:style>
  <w:style w:type="paragraph" w:styleId="922" w:customStyle="1">
    <w:name w:val="题注1"/>
    <w:basedOn w:val="781"/>
    <w:next w:val="781"/>
    <w:uiPriority w:val="35"/>
    <w:semiHidden/>
    <w:unhideWhenUsed/>
    <w:qFormat/>
    <w:rPr>
      <w:b/>
      <w:bCs/>
      <w:color w:val="5b9bd5" w:themeColor="accent1"/>
      <w:sz w:val="18"/>
      <w:szCs w:val="18"/>
      <w14:textFill>
        <w14:solidFill>
          <w14:schemeClr w14:val="accent1"/>
        </w14:solidFill>
      </w14:textFill>
    </w:rPr>
  </w:style>
  <w:style w:type="paragraph" w:styleId="923" w:customStyle="1">
    <w:name w:val="页眉1"/>
    <w:basedOn w:val="781"/>
    <w:link w:val="965"/>
    <w:uiPriority w:val="99"/>
    <w:unhideWhenUsed/>
    <w:qFormat/>
    <w:pPr>
      <w:spacing w:after="0" w:line="240" w:lineRule="auto"/>
      <w:tabs>
        <w:tab w:val="center" w:pos="7143" w:leader="none"/>
        <w:tab w:val="right" w:pos="14287" w:leader="none"/>
      </w:tabs>
    </w:pPr>
  </w:style>
  <w:style w:type="paragraph" w:styleId="924" w:customStyle="1">
    <w:name w:val="_Style 2"/>
    <w:basedOn w:val="781"/>
    <w:next w:val="781"/>
    <w:uiPriority w:val="0"/>
    <w:qFormat/>
    <w:pPr>
      <w:ind w:firstLine="420"/>
    </w:pPr>
  </w:style>
  <w:style w:type="paragraph" w:styleId="925" w:customStyle="1">
    <w:name w:val="TOC 标题113"/>
    <w:uiPriority w:val="39"/>
    <w:unhideWhenUsed/>
    <w:qFormat/>
    <w:rPr>
      <w:rFonts w:hint="default" w:ascii="Times New Roman" w:hAnsi="Times New Roman" w:eastAsia="宋体" w:cs="Times New Roman"/>
      <w:lang w:val="en-US" w:eastAsia="zh-CN" w:bidi="ar-SA"/>
    </w:rPr>
  </w:style>
  <w:style w:type="paragraph" w:styleId="926" w:customStyle="1">
    <w:name w:val="TOC 标题112"/>
    <w:uiPriority w:val="39"/>
    <w:unhideWhenUsed/>
    <w:qFormat/>
    <w:rPr>
      <w:rFonts w:hint="default" w:ascii="Times New Roman" w:hAnsi="Times New Roman" w:eastAsia="宋体" w:cs="Times New Roman"/>
      <w:lang w:val="en-US" w:eastAsia="zh-CN" w:bidi="ar-SA"/>
    </w:rPr>
  </w:style>
  <w:style w:type="paragraph" w:styleId="927" w:customStyle="1">
    <w:name w:val="文本块1"/>
    <w:basedOn w:val="803"/>
    <w:uiPriority w:val="0"/>
    <w:qFormat/>
    <w:pPr>
      <w:ind w:left="256" w:right="6" w:firstLine="624"/>
    </w:pPr>
    <w:rPr>
      <w:rFonts w:eastAsia="仿宋_GB2312"/>
      <w:sz w:val="28"/>
    </w:rPr>
  </w:style>
  <w:style w:type="paragraph" w:styleId="928" w:customStyle="1">
    <w:name w:val="标题 211"/>
    <w:basedOn w:val="808"/>
    <w:next w:val="815"/>
    <w:uiPriority w:val="0"/>
    <w:qFormat/>
    <w:pPr>
      <w:keepLines/>
      <w:keepNext/>
      <w:spacing w:before="260" w:after="260" w:line="416" w:lineRule="auto"/>
      <w:outlineLvl w:val="1"/>
    </w:pPr>
    <w:rPr>
      <w:rFonts w:ascii="Cambria" w:hAnsi="Cambria"/>
      <w:b/>
      <w:bCs/>
      <w:sz w:val="32"/>
      <w:szCs w:val="32"/>
    </w:rPr>
  </w:style>
  <w:style w:type="paragraph" w:styleId="929" w:customStyle="1">
    <w:name w:val="首行缩进"/>
    <w:basedOn w:val="803"/>
    <w:uiPriority w:val="0"/>
    <w:qFormat/>
    <w:pPr>
      <w:ind w:firstLine="480"/>
    </w:pPr>
    <w:rPr>
      <w:sz w:val="20"/>
      <w:szCs w:val="20"/>
      <w:lang w:val="zh-CN"/>
    </w:rPr>
  </w:style>
  <w:style w:type="paragraph" w:styleId="930" w:customStyle="1">
    <w:name w:val="正文缩进1"/>
    <w:basedOn w:val="803"/>
    <w:uiPriority w:val="0"/>
    <w:qFormat/>
    <w:pPr>
      <w:ind w:firstLine="420"/>
    </w:pPr>
    <w:rPr>
      <w:rFonts w:ascii="Calibri" w:hAnsi="Calibri"/>
      <w:sz w:val="21"/>
    </w:rPr>
  </w:style>
  <w:style w:type="paragraph" w:styleId="931" w:customStyle="1">
    <w:name w:val="标题 4111"/>
    <w:basedOn w:val="806"/>
    <w:next w:val="806"/>
    <w:uiPriority w:val="0"/>
    <w:qFormat/>
    <w:pPr>
      <w:keepLines/>
      <w:keepNext/>
      <w:spacing w:before="280" w:after="290" w:line="376" w:lineRule="auto"/>
      <w:outlineLvl w:val="3"/>
    </w:pPr>
    <w:rPr>
      <w:rFonts w:ascii="Cambria" w:hAnsi="Cambria"/>
      <w:b/>
      <w:bCs/>
      <w:sz w:val="28"/>
      <w:szCs w:val="28"/>
    </w:rPr>
  </w:style>
  <w:style w:type="character" w:styleId="932" w:customStyle="1">
    <w:name w:val="标题 1 字符"/>
    <w:basedOn w:val="791"/>
    <w:link w:val="782"/>
    <w:uiPriority w:val="9"/>
    <w:qFormat/>
    <w:rPr>
      <w:rFonts w:ascii="Arial" w:hAnsi="Arial" w:eastAsia="Arial" w:cs="Arial"/>
      <w:sz w:val="40"/>
      <w:szCs w:val="40"/>
    </w:rPr>
  </w:style>
  <w:style w:type="character" w:styleId="933" w:customStyle="1">
    <w:name w:val="Heading 2 Char"/>
    <w:basedOn w:val="791"/>
    <w:uiPriority w:val="9"/>
    <w:qFormat/>
    <w:rPr>
      <w:rFonts w:ascii="Arial" w:hAnsi="Arial" w:eastAsia="Arial" w:cs="Arial"/>
      <w:sz w:val="34"/>
    </w:rPr>
  </w:style>
  <w:style w:type="character" w:styleId="934" w:customStyle="1">
    <w:name w:val="Heading 3 Char"/>
    <w:basedOn w:val="791"/>
    <w:uiPriority w:val="9"/>
    <w:qFormat/>
    <w:rPr>
      <w:rFonts w:ascii="Arial" w:hAnsi="Arial" w:eastAsia="Arial" w:cs="Arial"/>
      <w:sz w:val="30"/>
      <w:szCs w:val="30"/>
    </w:rPr>
  </w:style>
  <w:style w:type="character" w:styleId="935" w:customStyle="1">
    <w:name w:val="标题 4 字符"/>
    <w:basedOn w:val="791"/>
    <w:link w:val="785"/>
    <w:uiPriority w:val="9"/>
    <w:qFormat/>
    <w:rPr>
      <w:rFonts w:ascii="Arial" w:hAnsi="Arial" w:eastAsia="Arial" w:cs="Arial"/>
      <w:b/>
      <w:bCs/>
      <w:sz w:val="26"/>
      <w:szCs w:val="26"/>
    </w:rPr>
  </w:style>
  <w:style w:type="character" w:styleId="936" w:customStyle="1">
    <w:name w:val="标题 5 字符"/>
    <w:basedOn w:val="791"/>
    <w:link w:val="786"/>
    <w:uiPriority w:val="9"/>
    <w:qFormat/>
    <w:rPr>
      <w:rFonts w:ascii="Arial" w:hAnsi="Arial" w:eastAsia="Arial" w:cs="Arial"/>
      <w:b/>
      <w:bCs/>
      <w:sz w:val="24"/>
      <w:szCs w:val="24"/>
    </w:rPr>
  </w:style>
  <w:style w:type="character" w:styleId="937" w:customStyle="1">
    <w:name w:val="标题 6 字符"/>
    <w:basedOn w:val="791"/>
    <w:link w:val="787"/>
    <w:uiPriority w:val="9"/>
    <w:qFormat/>
    <w:rPr>
      <w:rFonts w:ascii="Arial" w:hAnsi="Arial" w:eastAsia="Arial" w:cs="Arial"/>
      <w:b/>
      <w:bCs/>
      <w:sz w:val="22"/>
      <w:szCs w:val="22"/>
    </w:rPr>
  </w:style>
  <w:style w:type="character" w:styleId="938" w:customStyle="1">
    <w:name w:val="标题 7 字符"/>
    <w:basedOn w:val="791"/>
    <w:link w:val="788"/>
    <w:uiPriority w:val="9"/>
    <w:qFormat/>
    <w:rPr>
      <w:rFonts w:ascii="Arial" w:hAnsi="Arial" w:eastAsia="Arial" w:cs="Arial"/>
      <w:b/>
      <w:bCs/>
      <w:i/>
      <w:iCs/>
      <w:sz w:val="22"/>
      <w:szCs w:val="22"/>
    </w:rPr>
  </w:style>
  <w:style w:type="character" w:styleId="939" w:customStyle="1">
    <w:name w:val="标题 8 字符"/>
    <w:basedOn w:val="791"/>
    <w:link w:val="789"/>
    <w:uiPriority w:val="9"/>
    <w:qFormat/>
    <w:rPr>
      <w:rFonts w:ascii="Arial" w:hAnsi="Arial" w:eastAsia="Arial" w:cs="Arial"/>
      <w:i/>
      <w:iCs/>
      <w:sz w:val="22"/>
      <w:szCs w:val="22"/>
    </w:rPr>
  </w:style>
  <w:style w:type="character" w:styleId="940" w:customStyle="1">
    <w:name w:val="标题 9 字符"/>
    <w:basedOn w:val="791"/>
    <w:link w:val="790"/>
    <w:uiPriority w:val="9"/>
    <w:qFormat/>
    <w:rPr>
      <w:rFonts w:ascii="Arial" w:hAnsi="Arial" w:eastAsia="Arial" w:cs="Arial"/>
      <w:i/>
      <w:iCs/>
      <w:sz w:val="21"/>
      <w:szCs w:val="21"/>
    </w:rPr>
  </w:style>
  <w:style w:type="character" w:styleId="941" w:customStyle="1">
    <w:name w:val="Title Char"/>
    <w:basedOn w:val="791"/>
    <w:uiPriority w:val="10"/>
    <w:qFormat/>
    <w:rPr>
      <w:sz w:val="48"/>
      <w:szCs w:val="48"/>
    </w:rPr>
  </w:style>
  <w:style w:type="character" w:styleId="942" w:customStyle="1">
    <w:name w:val="Subtitle Char"/>
    <w:basedOn w:val="791"/>
    <w:uiPriority w:val="11"/>
    <w:qFormat/>
    <w:rPr>
      <w:sz w:val="24"/>
      <w:szCs w:val="24"/>
    </w:rPr>
  </w:style>
  <w:style w:type="character" w:styleId="943" w:customStyle="1">
    <w:name w:val="Quote Char"/>
    <w:uiPriority w:val="29"/>
    <w:qFormat/>
    <w:rPr>
      <w:i/>
    </w:rPr>
  </w:style>
  <w:style w:type="character" w:styleId="944" w:customStyle="1">
    <w:name w:val="Intense Quote Char"/>
    <w:uiPriority w:val="0"/>
    <w:qFormat/>
    <w:rPr>
      <w:i/>
    </w:rPr>
  </w:style>
  <w:style w:type="character" w:styleId="945" w:customStyle="1">
    <w:name w:val="Header Char"/>
    <w:basedOn w:val="791"/>
    <w:uiPriority w:val="99"/>
    <w:qFormat/>
  </w:style>
  <w:style w:type="character" w:styleId="946" w:customStyle="1">
    <w:name w:val="Caption Char"/>
    <w:uiPriority w:val="99"/>
    <w:qFormat/>
  </w:style>
  <w:style w:type="character" w:styleId="947" w:customStyle="1">
    <w:name w:val="Footnote Text Char"/>
    <w:uiPriority w:val="99"/>
    <w:qFormat/>
    <w:rPr>
      <w:sz w:val="18"/>
    </w:rPr>
  </w:style>
  <w:style w:type="character" w:styleId="948" w:customStyle="1">
    <w:name w:val="Endnote Text Char"/>
    <w:uiPriority w:val="99"/>
    <w:qFormat/>
    <w:rPr>
      <w:sz w:val="20"/>
    </w:rPr>
  </w:style>
  <w:style w:type="paragraph" w:styleId="949" w:customStyle="1">
    <w:name w:val="TOC 标题111"/>
    <w:uiPriority w:val="39"/>
    <w:unhideWhenUsed/>
    <w:qFormat/>
    <w:rPr>
      <w:rFonts w:hint="default" w:asciiTheme="minorHAnsi" w:hAnsiTheme="minorHAnsi" w:eastAsiaTheme="minorEastAsia" w:cstheme="minorBidi"/>
      <w:lang w:val="en-US" w:eastAsia="zh-CN" w:bidi="ar-SA"/>
    </w:rPr>
  </w:style>
  <w:style w:type="character" w:styleId="950" w:customStyle="1">
    <w:name w:val="标题 1 Char"/>
    <w:link w:val="912"/>
    <w:uiPriority w:val="9"/>
    <w:qFormat/>
    <w:rPr>
      <w:rFonts w:ascii="Arial" w:hAnsi="Arial" w:eastAsia="Arial" w:cs="Arial"/>
      <w:sz w:val="40"/>
      <w:szCs w:val="40"/>
    </w:rPr>
  </w:style>
  <w:style w:type="character" w:styleId="951" w:customStyle="1">
    <w:name w:val="标题 2 Char"/>
    <w:link w:val="816"/>
    <w:uiPriority w:val="0"/>
    <w:qFormat/>
    <w:rPr>
      <w:rFonts w:ascii="Arial" w:hAnsi="Arial" w:eastAsia="Arial" w:cs="Arial"/>
      <w:sz w:val="34"/>
    </w:rPr>
  </w:style>
  <w:style w:type="character" w:styleId="952" w:customStyle="1">
    <w:name w:val="标题 3 Char"/>
    <w:link w:val="913"/>
    <w:uiPriority w:val="0"/>
    <w:qFormat/>
    <w:rPr>
      <w:rFonts w:ascii="Arial" w:hAnsi="Arial" w:eastAsia="Arial" w:cs="Arial"/>
      <w:sz w:val="30"/>
      <w:szCs w:val="30"/>
    </w:rPr>
  </w:style>
  <w:style w:type="character" w:styleId="953" w:customStyle="1">
    <w:name w:val="标题 4 Char"/>
    <w:link w:val="914"/>
    <w:uiPriority w:val="9"/>
    <w:qFormat/>
    <w:rPr>
      <w:rFonts w:ascii="Arial" w:hAnsi="Arial" w:eastAsia="Arial" w:cs="Arial"/>
      <w:b/>
      <w:bCs/>
      <w:sz w:val="26"/>
      <w:szCs w:val="26"/>
    </w:rPr>
  </w:style>
  <w:style w:type="character" w:styleId="954" w:customStyle="1">
    <w:name w:val="标题 5 Char"/>
    <w:link w:val="915"/>
    <w:uiPriority w:val="9"/>
    <w:qFormat/>
    <w:rPr>
      <w:rFonts w:ascii="Arial" w:hAnsi="Arial" w:eastAsia="Arial" w:cs="Arial"/>
      <w:b/>
      <w:bCs/>
      <w:sz w:val="24"/>
      <w:szCs w:val="24"/>
    </w:rPr>
  </w:style>
  <w:style w:type="character" w:styleId="955" w:customStyle="1">
    <w:name w:val="标题 6 Char"/>
    <w:link w:val="916"/>
    <w:uiPriority w:val="9"/>
    <w:qFormat/>
    <w:rPr>
      <w:rFonts w:ascii="Arial" w:hAnsi="Arial" w:eastAsia="Arial" w:cs="Arial"/>
      <w:b/>
      <w:bCs/>
      <w:sz w:val="22"/>
      <w:szCs w:val="22"/>
    </w:rPr>
  </w:style>
  <w:style w:type="character" w:styleId="956" w:customStyle="1">
    <w:name w:val="标题 7 Char"/>
    <w:link w:val="917"/>
    <w:uiPriority w:val="9"/>
    <w:qFormat/>
    <w:rPr>
      <w:rFonts w:ascii="Arial" w:hAnsi="Arial" w:eastAsia="Arial" w:cs="Arial"/>
      <w:b/>
      <w:bCs/>
      <w:i/>
      <w:iCs/>
      <w:sz w:val="22"/>
      <w:szCs w:val="22"/>
    </w:rPr>
  </w:style>
  <w:style w:type="character" w:styleId="957" w:customStyle="1">
    <w:name w:val="标题 8 Char"/>
    <w:link w:val="918"/>
    <w:uiPriority w:val="9"/>
    <w:qFormat/>
    <w:rPr>
      <w:rFonts w:ascii="Arial" w:hAnsi="Arial" w:eastAsia="Arial" w:cs="Arial"/>
      <w:i/>
      <w:iCs/>
      <w:sz w:val="22"/>
      <w:szCs w:val="22"/>
    </w:rPr>
  </w:style>
  <w:style w:type="character" w:styleId="958" w:customStyle="1">
    <w:name w:val="标题 9 Char"/>
    <w:link w:val="919"/>
    <w:uiPriority w:val="9"/>
    <w:qFormat/>
    <w:rPr>
      <w:rFonts w:ascii="Arial" w:hAnsi="Arial" w:eastAsia="Arial" w:cs="Arial"/>
      <w:i/>
      <w:iCs/>
      <w:sz w:val="21"/>
      <w:szCs w:val="21"/>
    </w:rPr>
  </w:style>
  <w:style w:type="character" w:styleId="959" w:customStyle="1">
    <w:name w:val="标题 字符"/>
    <w:link w:val="844"/>
    <w:uiPriority w:val="10"/>
    <w:qFormat/>
    <w:rPr>
      <w:sz w:val="48"/>
      <w:szCs w:val="48"/>
    </w:rPr>
  </w:style>
  <w:style w:type="character" w:styleId="960" w:customStyle="1">
    <w:name w:val="副标题 字符"/>
    <w:link w:val="836"/>
    <w:uiPriority w:val="11"/>
    <w:qFormat/>
    <w:rPr>
      <w:sz w:val="24"/>
      <w:szCs w:val="24"/>
    </w:rPr>
  </w:style>
  <w:style w:type="paragraph" w:styleId="961">
    <w:name w:val="Quote"/>
    <w:basedOn w:val="781"/>
    <w:next w:val="781"/>
    <w:link w:val="962"/>
    <w:uiPriority w:val="29"/>
    <w:qFormat/>
    <w:pPr>
      <w:ind w:left="720" w:right="720"/>
    </w:pPr>
    <w:rPr>
      <w:i/>
    </w:rPr>
  </w:style>
  <w:style w:type="character" w:styleId="962" w:customStyle="1">
    <w:name w:val="引用 字符"/>
    <w:link w:val="961"/>
    <w:uiPriority w:val="29"/>
    <w:qFormat/>
    <w:rPr>
      <w:i/>
    </w:rPr>
  </w:style>
  <w:style w:type="paragraph" w:styleId="963">
    <w:name w:val="Intense Quote"/>
    <w:basedOn w:val="781"/>
    <w:next w:val="781"/>
    <w:link w:val="9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4" w:customStyle="1">
    <w:name w:val="明显引用 字符"/>
    <w:link w:val="963"/>
    <w:uiPriority w:val="30"/>
    <w:qFormat/>
    <w:rPr>
      <w:i/>
    </w:rPr>
  </w:style>
  <w:style w:type="character" w:styleId="965" w:customStyle="1">
    <w:name w:val="页眉 Char"/>
    <w:link w:val="923"/>
    <w:uiPriority w:val="99"/>
    <w:qFormat/>
  </w:style>
  <w:style w:type="character" w:styleId="966" w:customStyle="1">
    <w:name w:val="Footer Char"/>
    <w:uiPriority w:val="99"/>
    <w:qFormat/>
  </w:style>
  <w:style w:type="character" w:styleId="967" w:customStyle="1">
    <w:name w:val="页脚 Char"/>
    <w:link w:val="921"/>
    <w:uiPriority w:val="99"/>
    <w:qFormat/>
  </w:style>
  <w:style w:type="table" w:styleId="968" w:customStyle="1">
    <w:name w:val="Table Grid Light"/>
    <w:basedOn w:val="7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69" w:customStyle="1">
    <w:name w:val="Grid Table 1 Light - Accent 1"/>
    <w:basedOn w:val="79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2"/>
    <w:basedOn w:val="79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3"/>
    <w:basedOn w:val="79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4"/>
    <w:basedOn w:val="79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5"/>
    <w:basedOn w:val="79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6"/>
    <w:basedOn w:val="79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75" w:customStyle="1">
    <w:name w:val="Grid Table 2 - Accent 1"/>
    <w:basedOn w:val="79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76" w:customStyle="1">
    <w:name w:val="Grid Table 2 - Accent 2"/>
    <w:basedOn w:val="79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77" w:customStyle="1">
    <w:name w:val="Grid Table 2 - Accent 3"/>
    <w:basedOn w:val="79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78" w:customStyle="1">
    <w:name w:val="Grid Table 2 - Accent 4"/>
    <w:basedOn w:val="79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79" w:customStyle="1">
    <w:name w:val="Grid Table 2 - Accent 5"/>
    <w:basedOn w:val="79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80" w:customStyle="1">
    <w:name w:val="Grid Table 2 - Accent 6"/>
    <w:basedOn w:val="79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81" w:customStyle="1">
    <w:name w:val="Grid Table 3 - Accent 1"/>
    <w:basedOn w:val="79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2"/>
    <w:basedOn w:val="79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3"/>
    <w:basedOn w:val="79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4"/>
    <w:basedOn w:val="79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5"/>
    <w:basedOn w:val="79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6"/>
    <w:basedOn w:val="79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4 - Accent 1"/>
    <w:basedOn w:val="79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88" w:customStyle="1">
    <w:name w:val="Grid Table 4 - Accent 2"/>
    <w:basedOn w:val="79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89" w:customStyle="1">
    <w:name w:val="Grid Table 4 - Accent 3"/>
    <w:basedOn w:val="79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90" w:customStyle="1">
    <w:name w:val="Grid Table 4 - Accent 4"/>
    <w:basedOn w:val="79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91" w:customStyle="1">
    <w:name w:val="Grid Table 4 - Accent 5"/>
    <w:basedOn w:val="79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92" w:customStyle="1">
    <w:name w:val="Grid Table 4 - Accent 6"/>
    <w:basedOn w:val="79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93" w:customStyle="1">
    <w:name w:val="Grid Table 5 Dark- Accent 1"/>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94" w:customStyle="1">
    <w:name w:val="Grid Table 5 Dark - Accent 2"/>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95" w:customStyle="1">
    <w:name w:val="Grid Table 5 Dark - Accent 3"/>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96" w:customStyle="1">
    <w:name w:val="Grid Table 5 Dark- Accent 4"/>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97" w:customStyle="1">
    <w:name w:val="Grid Table 5 Dark - Accent 5"/>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98" w:customStyle="1">
    <w:name w:val="Grid Table 5 Dark - Accent 6"/>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99" w:customStyle="1">
    <w:name w:val="Grid Table 6 Colorful - Accent 1"/>
    <w:basedOn w:val="79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00" w:customStyle="1">
    <w:name w:val="Grid Table 6 Colorful - Accent 2"/>
    <w:basedOn w:val="79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01" w:customStyle="1">
    <w:name w:val="Grid Table 6 Colorful - Accent 3"/>
    <w:basedOn w:val="79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02" w:customStyle="1">
    <w:name w:val="Grid Table 6 Colorful - Accent 4"/>
    <w:basedOn w:val="79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03" w:customStyle="1">
    <w:name w:val="Grid Table 6 Colorful - Accent 5"/>
    <w:basedOn w:val="79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04" w:customStyle="1">
    <w:name w:val="Grid Table 6 Colorful - Accent 6"/>
    <w:basedOn w:val="79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05" w:customStyle="1">
    <w:name w:val="Grid Table 7 Colorful - Accent 1"/>
    <w:basedOn w:val="79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06" w:customStyle="1">
    <w:name w:val="Grid Table 7 Colorful - Accent 2"/>
    <w:basedOn w:val="79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7" w:customStyle="1">
    <w:name w:val="Grid Table 7 Colorful - Accent 3"/>
    <w:basedOn w:val="79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08" w:customStyle="1">
    <w:name w:val="Grid Table 7 Colorful - Accent 4"/>
    <w:basedOn w:val="79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9" w:customStyle="1">
    <w:name w:val="Grid Table 7 Colorful - Accent 5"/>
    <w:basedOn w:val="79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10" w:customStyle="1">
    <w:name w:val="Grid Table 7 Colorful - Accent 6"/>
    <w:basedOn w:val="79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11" w:customStyle="1">
    <w:name w:val="List Table 1 Light - Accent 1"/>
    <w:basedOn w:val="79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12" w:customStyle="1">
    <w:name w:val="List Table 1 Light - Accent 2"/>
    <w:basedOn w:val="79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13" w:customStyle="1">
    <w:name w:val="List Table 1 Light - Accent 3"/>
    <w:basedOn w:val="79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14" w:customStyle="1">
    <w:name w:val="List Table 1 Light - Accent 4"/>
    <w:basedOn w:val="79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15" w:customStyle="1">
    <w:name w:val="List Table 1 Light - Accent 5"/>
    <w:basedOn w:val="79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16" w:customStyle="1">
    <w:name w:val="List Table 1 Light - Accent 6"/>
    <w:basedOn w:val="79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17" w:customStyle="1">
    <w:name w:val="List Table 2 - Accent 1"/>
    <w:basedOn w:val="79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18" w:customStyle="1">
    <w:name w:val="List Table 2 - Accent 2"/>
    <w:basedOn w:val="79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19" w:customStyle="1">
    <w:name w:val="List Table 2 - Accent 3"/>
    <w:basedOn w:val="79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20" w:customStyle="1">
    <w:name w:val="List Table 2 - Accent 4"/>
    <w:basedOn w:val="79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21" w:customStyle="1">
    <w:name w:val="List Table 2 - Accent 5"/>
    <w:basedOn w:val="79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22" w:customStyle="1">
    <w:name w:val="List Table 2 - Accent 6"/>
    <w:basedOn w:val="79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23" w:customStyle="1">
    <w:name w:val="List Table 3 - Accent 1"/>
    <w:basedOn w:val="79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4" w:customStyle="1">
    <w:name w:val="List Table 3 - Accent 2"/>
    <w:basedOn w:val="79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25" w:customStyle="1">
    <w:name w:val="List Table 3 - Accent 3"/>
    <w:basedOn w:val="79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26" w:customStyle="1">
    <w:name w:val="List Table 3 - Accent 4"/>
    <w:basedOn w:val="79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27" w:customStyle="1">
    <w:name w:val="List Table 3 - Accent 5"/>
    <w:basedOn w:val="79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28" w:customStyle="1">
    <w:name w:val="List Table 3 - Accent 6"/>
    <w:basedOn w:val="79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29" w:customStyle="1">
    <w:name w:val="List Table 4 - Accent 1"/>
    <w:basedOn w:val="79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30" w:customStyle="1">
    <w:name w:val="List Table 4 - Accent 2"/>
    <w:basedOn w:val="79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31" w:customStyle="1">
    <w:name w:val="List Table 4 - Accent 3"/>
    <w:basedOn w:val="79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32" w:customStyle="1">
    <w:name w:val="List Table 4 - Accent 4"/>
    <w:basedOn w:val="79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33" w:customStyle="1">
    <w:name w:val="List Table 4 - Accent 5"/>
    <w:basedOn w:val="79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34" w:customStyle="1">
    <w:name w:val="List Table 4 - Accent 6"/>
    <w:basedOn w:val="79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35" w:customStyle="1">
    <w:name w:val="List Table 5 Dark - Accent 1"/>
    <w:basedOn w:val="79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2"/>
    <w:basedOn w:val="79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3"/>
    <w:basedOn w:val="79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4"/>
    <w:basedOn w:val="79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5"/>
    <w:basedOn w:val="79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6"/>
    <w:basedOn w:val="79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6 Colorful - Accent 1"/>
    <w:basedOn w:val="79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42" w:customStyle="1">
    <w:name w:val="List Table 6 Colorful - Accent 2"/>
    <w:basedOn w:val="79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43" w:customStyle="1">
    <w:name w:val="List Table 6 Colorful - Accent 3"/>
    <w:basedOn w:val="79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44" w:customStyle="1">
    <w:name w:val="List Table 6 Colorful - Accent 4"/>
    <w:basedOn w:val="79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45" w:customStyle="1">
    <w:name w:val="List Table 6 Colorful - Accent 5"/>
    <w:basedOn w:val="79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46" w:customStyle="1">
    <w:name w:val="List Table 6 Colorful - Accent 6"/>
    <w:basedOn w:val="79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47" w:customStyle="1">
    <w:name w:val="List Table 7 Colorful - Accent 1"/>
    <w:basedOn w:val="79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48" w:customStyle="1">
    <w:name w:val="List Table 7 Colorful - Accent 2"/>
    <w:basedOn w:val="79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9" w:customStyle="1">
    <w:name w:val="List Table 7 Colorful - Accent 3"/>
    <w:basedOn w:val="79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50" w:customStyle="1">
    <w:name w:val="List Table 7 Colorful - Accent 4"/>
    <w:basedOn w:val="79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1" w:customStyle="1">
    <w:name w:val="List Table 7 Colorful - Accent 5"/>
    <w:basedOn w:val="79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52" w:customStyle="1">
    <w:name w:val="List Table 7 Colorful - Accent 6"/>
    <w:basedOn w:val="79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53" w:customStyle="1">
    <w:name w:val="Lined - Accent"/>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4" w:customStyle="1">
    <w:name w:val="Lined - Accent 1"/>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5" w:customStyle="1">
    <w:name w:val="Lined - Accent 2"/>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6" w:customStyle="1">
    <w:name w:val="Lined - Accent 3"/>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7" w:customStyle="1">
    <w:name w:val="Lined - Accent 4"/>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8" w:customStyle="1">
    <w:name w:val="Lined - Accent 5"/>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9" w:customStyle="1">
    <w:name w:val="Lined - Accent 6"/>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0" w:customStyle="1">
    <w:name w:val="Bordered &amp; Lined - Accent"/>
    <w:basedOn w:val="79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1" w:customStyle="1">
    <w:name w:val="Bordered &amp; Lined - Accent 1"/>
    <w:basedOn w:val="79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62" w:customStyle="1">
    <w:name w:val="Bordered &amp; Lined - Accent 2"/>
    <w:basedOn w:val="79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3" w:customStyle="1">
    <w:name w:val="Bordered &amp; Lined - Accent 3"/>
    <w:basedOn w:val="79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4" w:customStyle="1">
    <w:name w:val="Bordered &amp; Lined - Accent 4"/>
    <w:basedOn w:val="79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5" w:customStyle="1">
    <w:name w:val="Bordered &amp; Lined - Accent 5"/>
    <w:basedOn w:val="79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6" w:customStyle="1">
    <w:name w:val="Bordered &amp; Lined - Accent 6"/>
    <w:basedOn w:val="79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7" w:customStyle="1">
    <w:name w:val="Bordered"/>
    <w:basedOn w:val="79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8" w:customStyle="1">
    <w:name w:val="Bordered - Accent 1"/>
    <w:basedOn w:val="79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69" w:customStyle="1">
    <w:name w:val="Bordered - Accent 2"/>
    <w:basedOn w:val="79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70" w:customStyle="1">
    <w:name w:val="Bordered - Accent 3"/>
    <w:basedOn w:val="79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71" w:customStyle="1">
    <w:name w:val="Bordered - Accent 4"/>
    <w:basedOn w:val="79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72" w:customStyle="1">
    <w:name w:val="Bordered - Accent 5"/>
    <w:basedOn w:val="79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73" w:customStyle="1">
    <w:name w:val="Bordered - Accent 6"/>
    <w:basedOn w:val="79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74" w:customStyle="1">
    <w:name w:val="脚注文本 字符"/>
    <w:link w:val="837"/>
    <w:uiPriority w:val="99"/>
    <w:qFormat/>
    <w:rPr>
      <w:sz w:val="18"/>
    </w:rPr>
  </w:style>
  <w:style w:type="character" w:styleId="1075" w:customStyle="1">
    <w:name w:val="尾注文本 字符"/>
    <w:link w:val="830"/>
    <w:uiPriority w:val="99"/>
    <w:qFormat/>
    <w:rPr>
      <w:sz w:val="20"/>
    </w:rPr>
  </w:style>
  <w:style w:type="paragraph" w:styleId="1076" w:customStyle="1">
    <w:name w:val="TOC 标题1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1077">
    <w:name w:val="No Spacing"/>
    <w:basedOn w:val="781"/>
    <w:uiPriority w:val="1"/>
    <w:qFormat/>
    <w:pPr>
      <w:spacing w:after="0" w:line="240" w:lineRule="auto"/>
    </w:pPr>
  </w:style>
  <w:style w:type="paragraph" w:styleId="1078">
    <w:name w:val="List Paragraph"/>
    <w:basedOn w:val="781"/>
    <w:uiPriority w:val="34"/>
    <w:qFormat/>
    <w:pPr>
      <w:contextualSpacing/>
      <w:ind w:left="720"/>
    </w:pPr>
  </w:style>
  <w:style w:type="paragraph" w:styleId="1079" w:customStyle="1">
    <w:name w:val="普通(网站)1"/>
    <w:basedOn w:val="803"/>
    <w:uiPriority w:val="0"/>
    <w:qFormat/>
    <w:pPr>
      <w:spacing w:before="100" w:beforeAutospacing="1" w:after="100" w:afterAutospacing="1"/>
    </w:pPr>
  </w:style>
  <w:style w:type="paragraph" w:styleId="1080" w:customStyle="1">
    <w:name w:val="正文（缩进）"/>
    <w:basedOn w:val="781"/>
    <w:uiPriority w:val="0"/>
    <w:unhideWhenUsed/>
    <w:qFormat/>
    <w:pPr>
      <w:jc w:val="both"/>
      <w:spacing w:line="240" w:lineRule="auto"/>
    </w:pPr>
    <w:rPr>
      <w:rFonts w:hint="eastAsia" w:ascii="宋体" w:eastAsia="宋体" w:cs="Times New Roman"/>
      <w:sz w:val="21"/>
      <w:szCs w:val="21"/>
    </w:rPr>
  </w:style>
  <w:style w:type="character" w:styleId="1081" w:customStyle="1">
    <w:name w:val="NormalCharacter"/>
    <w:uiPriority w:val="0"/>
    <w:qFormat/>
    <w:rPr>
      <w:rFonts w:hint="default" w:ascii="Times New Roman" w:hAnsi="Times New Roman" w:eastAsia="宋体" w:cs="Times New Roman"/>
      <w:sz w:val="21"/>
      <w:szCs w:val="24"/>
      <w:lang w:val="en-US" w:eastAsia="zh-CN" w:bidi="ar-SA"/>
    </w:rPr>
  </w:style>
  <w:style w:type="paragraph" w:styleId="1082" w:customStyle="1">
    <w:name w:val="Table Paragraph"/>
    <w:basedOn w:val="781"/>
    <w:uiPriority w:val="1"/>
    <w:qFormat/>
    <w:rPr>
      <w:rFonts w:ascii="仿宋" w:hAnsi="仿宋" w:eastAsia="仿宋" w:cs="仿宋"/>
      <w:lang w:val="zh-CN" w:eastAsia="zh-CN" w:bidi="zh-CN"/>
    </w:rPr>
  </w:style>
  <w:style w:type="paragraph" w:styleId="1083" w:customStyle="1">
    <w:name w:val="页脚11"/>
    <w:basedOn w:val="804"/>
    <w:uiPriority w:val="0"/>
    <w:qFormat/>
    <w:pPr>
      <w:jc w:val="left"/>
      <w:tabs>
        <w:tab w:val="center" w:pos="4153" w:leader="none"/>
        <w:tab w:val="right" w:pos="8306" w:leader="none"/>
      </w:tabs>
    </w:pPr>
    <w:rPr>
      <w:sz w:val="18"/>
      <w:szCs w:val="18"/>
    </w:rPr>
  </w:style>
  <w:style w:type="character" w:styleId="1084" w:customStyle="1">
    <w:name w:val="font01"/>
    <w:basedOn w:val="1085"/>
    <w:uiPriority w:val="0"/>
    <w:qFormat/>
    <w:rPr>
      <w:rFonts w:ascii="等线" w:hAnsi="等线" w:eastAsia="等线"/>
      <w:color w:val="000000"/>
      <w:sz w:val="24"/>
      <w:szCs w:val="24"/>
      <w:u w:val="none"/>
    </w:rPr>
  </w:style>
  <w:style w:type="character" w:styleId="1085" w:customStyle="1">
    <w:name w:val="默认段落字体1"/>
    <w:uiPriority w:val="0"/>
    <w:qFormat/>
    <w:rPr>
      <w:rFonts w:ascii="Times New Roman" w:hAnsi="Times New Roman" w:eastAsia="宋体"/>
    </w:rPr>
  </w:style>
  <w:style w:type="character" w:styleId="1086" w:customStyle="1">
    <w:name w:val="font21"/>
    <w:basedOn w:val="1085"/>
    <w:link w:val="804"/>
    <w:uiPriority w:val="0"/>
    <w:qFormat/>
    <w:rPr>
      <w:rFonts w:ascii="等线" w:hAnsi="等线" w:eastAsia="等线"/>
      <w:b/>
      <w:color w:val="000000"/>
      <w:sz w:val="24"/>
      <w:szCs w:val="24"/>
      <w:u w:val="none"/>
    </w:rPr>
  </w:style>
  <w:style w:type="paragraph" w:styleId="1087" w:customStyle="1">
    <w:name w:val="脚注文本11"/>
    <w:basedOn w:val="804"/>
    <w:next w:val="1088"/>
    <w:uiPriority w:val="0"/>
    <w:qFormat/>
    <w:rPr>
      <w:b/>
      <w:bCs/>
      <w:sz w:val="24"/>
      <w:szCs w:val="28"/>
    </w:rPr>
  </w:style>
  <w:style w:type="paragraph" w:styleId="1088" w:customStyle="1">
    <w:name w:val="索引 511"/>
    <w:basedOn w:val="804"/>
    <w:next w:val="781"/>
    <w:uiPriority w:val="0"/>
    <w:qFormat/>
    <w:pPr>
      <w:ind w:left="798"/>
      <w:jc w:val="left"/>
    </w:pPr>
    <w:rPr>
      <w:rFonts w:ascii="Calibri" w:hAnsi="Calibri" w:eastAsia="Times New Roman"/>
      <w:sz w:val="24"/>
    </w:rPr>
  </w:style>
  <w:style w:type="paragraph" w:styleId="1089" w:customStyle="1">
    <w:name w:val="标题 411"/>
    <w:basedOn w:val="804"/>
    <w:next w:val="804"/>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1090" w:customStyle="1">
    <w:name w:val="正文 New"/>
    <w:uiPriority w:val="0"/>
    <w:qFormat/>
    <w:pPr>
      <w:jc w:val="both"/>
      <w:spacing w:after="200" w:line="276" w:lineRule="auto"/>
      <w:widowControl w:val="off"/>
    </w:pPr>
    <w:rPr>
      <w:rFonts w:hint="default" w:ascii="Times New Roman" w:hAnsi="Times New Roman" w:eastAsia="宋体" w:cs="Times New Roman"/>
      <w:sz w:val="24"/>
      <w:szCs w:val="24"/>
      <w:lang w:val="en-US" w:eastAsia="en-US" w:bidi="en-US"/>
    </w:rPr>
  </w:style>
  <w:style w:type="paragraph" w:styleId="1091" w:customStyle="1">
    <w:name w:val="普通(网站)11"/>
    <w:basedOn w:val="804"/>
    <w:uiPriority w:val="0"/>
    <w:qFormat/>
    <w:pPr>
      <w:jc w:val="left"/>
      <w:spacing w:before="100" w:beforeAutospacing="1" w:after="100" w:afterAutospacing="1"/>
      <w:widowControl/>
    </w:pPr>
    <w:rPr>
      <w:rFonts w:ascii="宋体" w:hAnsi="宋体"/>
      <w:sz w:val="24"/>
      <w:szCs w:val="20"/>
    </w:rPr>
  </w:style>
  <w:style w:type="paragraph" w:styleId="1092" w:customStyle="1">
    <w:name w:val="列出段落1"/>
    <w:basedOn w:val="804"/>
    <w:uiPriority w:val="0"/>
    <w:qFormat/>
    <w:pPr>
      <w:ind w:firstLine="420"/>
    </w:pPr>
    <w:rPr>
      <w:rFonts w:ascii="Calibri" w:hAnsi="Calibri"/>
      <w:sz w:val="22"/>
      <w:szCs w:val="22"/>
    </w:rPr>
  </w:style>
  <w:style w:type="paragraph" w:styleId="1093"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094" w:customStyle="1">
    <w:name w:val="标题1"/>
    <w:basedOn w:val="803"/>
    <w:next w:val="803"/>
    <w:uiPriority w:val="0"/>
    <w:qFormat/>
    <w:pPr>
      <w:contextualSpacing/>
      <w:spacing w:before="300"/>
    </w:pPr>
    <w:rPr>
      <w:sz w:val="48"/>
      <w:szCs w:val="48"/>
    </w:rPr>
  </w:style>
  <w:style w:type="paragraph" w:styleId="1095" w:customStyle="1">
    <w:name w:val="彩色列表 - 着色 11"/>
    <w:basedOn w:val="781"/>
    <w:uiPriority w:val="0"/>
    <w:qFormat/>
    <w:pPr>
      <w:ind w:firstLine="420"/>
    </w:pPr>
    <w:rPr>
      <w:rFonts w:ascii="Times New Roman" w:hAnsi="Times New Roman" w:eastAsia="宋体" w:cs="Times New Roman"/>
      <w:sz w:val="24"/>
      <w:szCs w:val="24"/>
    </w:rPr>
  </w:style>
  <w:style w:type="paragraph" w:styleId="1096" w:customStyle="1">
    <w:name w:val="DAS正文"/>
    <w:basedOn w:val="781"/>
    <w:uiPriority w:val="0"/>
    <w:qFormat/>
    <w:pPr>
      <w:ind w:right="181" w:firstLine="480"/>
      <w:jc w:val="both"/>
      <w:spacing w:after="0" w:line="360" w:lineRule="auto"/>
    </w:pPr>
    <w:rPr>
      <w:rFonts w:ascii="Verdana" w:hAnsi="Verdana" w:eastAsia="宋体" w:cs="Times New Roman"/>
      <w:sz w:val="24"/>
      <w:szCs w:val="24"/>
    </w:rPr>
  </w:style>
  <w:style w:type="paragraph" w:styleId="1097" w:customStyle="1">
    <w:name w:val="正文1112"/>
    <w:next w:val="803"/>
    <w:uiPriority w:val="0"/>
    <w:qFormat/>
    <w:rPr>
      <w:rFonts w:hint="default" w:ascii="Times New Roman" w:hAnsi="Times New Roman" w:eastAsia="宋体" w:cs="Times New Roman"/>
      <w:lang w:val="en-US" w:eastAsia="zh-CN" w:bidi="ar-SA"/>
    </w:rPr>
  </w:style>
  <w:style w:type="character" w:styleId="1098" w:customStyle="1">
    <w:name w:val="批注框文本 字符"/>
    <w:basedOn w:val="791"/>
    <w:link w:val="831"/>
    <w:uiPriority w:val="99"/>
    <w:semiHidden/>
    <w:qFormat/>
    <w:rPr>
      <w:rFonts w:asciiTheme="minorHAnsi" w:hAnsiTheme="minorHAnsi" w:eastAsiaTheme="minorHAnsi" w:cstheme="minorBidi"/>
      <w:sz w:val="18"/>
      <w:szCs w:val="18"/>
      <w:lang w:eastAsia="en-US"/>
    </w:rPr>
  </w:style>
  <w:style w:type="paragraph" w:styleId="1099" w:customStyle="1">
    <w:name w:val="列出段落2"/>
    <w:basedOn w:val="781"/>
    <w:uiPriority w:val="0"/>
    <w:qFormat/>
    <w:pPr>
      <w:ind w:firstLine="420"/>
    </w:pPr>
    <w:rPr>
      <w:rFonts w:ascii="Calibri" w:hAnsi="Calibri"/>
    </w:rPr>
  </w:style>
  <w:style w:type="paragraph" w:styleId="1100" w:customStyle="1">
    <w:name w:val="Default"/>
    <w:uiPriority w:val="0"/>
    <w:qFormat/>
    <w:pPr>
      <w:widowControl w:val="off"/>
    </w:pPr>
    <w:rPr>
      <w:rFonts w:hint="default" w:ascii="宋体" w:hAnsi="Times New Roman" w:eastAsia="宋体" w:cs="Times New Roman"/>
      <w:color w:val="000000"/>
      <w:sz w:val="24"/>
      <w:lang w:val="en-US" w:eastAsia="zh-CN" w:bidi="ar-SA"/>
    </w:rPr>
  </w:style>
  <w:style w:type="paragraph" w:styleId="1101" w:customStyle="1">
    <w:name w:val="03 正文"/>
    <w:basedOn w:val="781"/>
    <w:uiPriority w:val="0"/>
    <w:qFormat/>
    <w:pPr>
      <w:ind w:firstLine="420"/>
      <w:spacing w:line="500" w:lineRule="atLeast"/>
    </w:pPr>
    <w:rPr>
      <w:rFonts w:eastAsia="宋体"/>
      <w:sz w:val="21"/>
      <w:szCs w:val="24"/>
      <w:lang w:val="zh-CN" w:eastAsia="zh-CN"/>
    </w:rPr>
  </w:style>
  <w:style w:type="table" w:styleId="1102" w:customStyle="1">
    <w:name w:val="Table Normal"/>
    <w:uiPriority w:val="0"/>
    <w:semiHidden/>
    <w:unhideWhenUsed/>
    <w:qFormat/>
    <w:tblPr>
      <w:tblCellMar>
        <w:left w:w="0" w:type="dxa"/>
        <w:top w:w="0" w:type="dxa"/>
        <w:right w:w="0" w:type="dxa"/>
        <w:bottom w:w="0" w:type="dxa"/>
      </w:tblCellMar>
    </w:tblPr>
  </w:style>
  <w:style w:type="paragraph" w:styleId="1103" w:customStyle="1">
    <w:name w:val="正文2"/>
    <w:uiPriority w:val="0"/>
    <w:qFormat/>
    <w:pPr>
      <w:jc w:val="both"/>
      <w:widowControl w:val="off"/>
    </w:pPr>
    <w:rPr>
      <w:rFonts w:hint="default" w:ascii="Times New Roman" w:hAnsi="Times New Roman" w:eastAsia="Times New Roman" w:cs="Times New Roman"/>
      <w:lang w:val="en-US" w:eastAsia="zh-CN" w:bidi="ar-SA"/>
    </w:rPr>
  </w:style>
  <w:style w:type="character" w:styleId="1104" w:customStyle="1">
    <w:name w:val="正文文本缩进 2 字符"/>
    <w:basedOn w:val="791"/>
    <w:link w:val="829"/>
    <w:uiPriority w:val="99"/>
    <w:semiHidden/>
    <w:qFormat/>
    <w:rPr>
      <w:rFonts w:asciiTheme="minorHAnsi" w:hAnsiTheme="minorHAnsi" w:eastAsiaTheme="minorHAnsi" w:cstheme="minorBidi"/>
      <w:sz w:val="22"/>
      <w:szCs w:val="22"/>
      <w:lang w:eastAsia="en-US"/>
    </w:rPr>
  </w:style>
  <w:style w:type="character" w:styleId="1105" w:customStyle="1">
    <w:name w:val="批注文字 字符"/>
    <w:basedOn w:val="791"/>
    <w:link w:val="799"/>
    <w:uiPriority w:val="0"/>
    <w:qFormat/>
    <w:rPr>
      <w:rFonts w:asciiTheme="minorHAnsi" w:hAnsiTheme="minorHAnsi" w:eastAsiaTheme="minorHAnsi" w:cstheme="minorBidi"/>
      <w:sz w:val="22"/>
      <w:szCs w:val="22"/>
      <w:lang w:eastAsia="en-US"/>
    </w:rPr>
  </w:style>
  <w:style w:type="character" w:styleId="1106" w:customStyle="1">
    <w:name w:val="批注主题 字符"/>
    <w:basedOn w:val="1105"/>
    <w:link w:val="845"/>
    <w:uiPriority w:val="0"/>
    <w:qFormat/>
    <w:rPr>
      <w:rFonts w:asciiTheme="minorHAnsi" w:hAnsiTheme="minorHAnsi" w:eastAsiaTheme="minorHAnsi" w:cstheme="minorBidi"/>
      <w:sz w:val="22"/>
      <w:szCs w:val="22"/>
      <w:lang w:eastAsia="en-US"/>
    </w:rPr>
  </w:style>
  <w:style w:type="character" w:styleId="1107" w:customStyle="1">
    <w:name w:val="正文文本 字符"/>
    <w:basedOn w:val="791"/>
    <w:link w:val="800"/>
    <w:uiPriority w:val="99"/>
    <w:qFormat/>
    <w:rPr>
      <w:rFonts w:asciiTheme="minorHAnsi" w:hAnsiTheme="minorHAnsi" w:eastAsiaTheme="minorHAnsi" w:cstheme="minorBidi"/>
      <w:sz w:val="22"/>
      <w:szCs w:val="22"/>
      <w:lang w:eastAsia="en-US"/>
    </w:rPr>
  </w:style>
  <w:style w:type="character" w:styleId="1108" w:customStyle="1">
    <w:name w:val="页眉 字符"/>
    <w:basedOn w:val="791"/>
    <w:link w:val="833"/>
    <w:uiPriority w:val="99"/>
    <w:qFormat/>
    <w:rPr>
      <w:rFonts w:asciiTheme="minorHAnsi" w:hAnsiTheme="minorHAnsi" w:eastAsiaTheme="minorHAnsi" w:cstheme="minorBidi"/>
      <w:sz w:val="18"/>
      <w:szCs w:val="18"/>
      <w:lang w:eastAsia="en-US"/>
    </w:rPr>
  </w:style>
  <w:style w:type="character" w:styleId="1109" w:customStyle="1">
    <w:name w:val="页脚 字符"/>
    <w:basedOn w:val="791"/>
    <w:link w:val="832"/>
    <w:uiPriority w:val="99"/>
    <w:qFormat/>
    <w:rPr>
      <w:rFonts w:asciiTheme="minorHAnsi" w:hAnsiTheme="minorHAnsi" w:eastAsiaTheme="minorHAnsi" w:cstheme="minorBidi"/>
      <w:sz w:val="18"/>
      <w:szCs w:val="18"/>
      <w:lang w:eastAsia="en-US"/>
    </w:rPr>
  </w:style>
  <w:style w:type="character" w:styleId="1110" w:customStyle="1">
    <w:name w:val="文档结构图 字符"/>
    <w:basedOn w:val="791"/>
    <w:link w:val="798"/>
    <w:uiPriority w:val="0"/>
    <w:qFormat/>
    <w:rPr>
      <w:rFonts w:ascii="宋体" w:hAnsi="Calibri"/>
      <w:sz w:val="18"/>
      <w:szCs w:val="18"/>
    </w:rPr>
  </w:style>
  <w:style w:type="paragraph" w:styleId="1111" w:customStyle="1">
    <w:name w:val="Table Text"/>
    <w:basedOn w:val="781"/>
    <w:uiPriority w:val="0"/>
    <w:semiHidden/>
    <w:qFormat/>
    <w:pPr>
      <w:spacing w:after="0" w:line="240" w:lineRule="auto"/>
    </w:pPr>
    <w:rPr>
      <w:rFonts w:ascii="宋体" w:hAnsi="宋体" w:eastAsia="宋体" w:cs="宋体"/>
      <w:color w:val="000000"/>
      <w:sz w:val="24"/>
      <w:szCs w:val="24"/>
    </w:rPr>
  </w:style>
  <w:style w:type="character" w:styleId="1112" w:customStyle="1">
    <w:name w:val="标题 2 Char1"/>
    <w:basedOn w:val="791"/>
    <w:uiPriority w:val="9"/>
    <w:semiHidden/>
    <w:qFormat/>
    <w:rPr>
      <w:rFonts w:asciiTheme="majorHAnsi" w:hAnsiTheme="majorHAnsi" w:eastAsiaTheme="majorEastAsia" w:cstheme="majorBidi"/>
      <w:b/>
      <w:bCs/>
      <w:sz w:val="32"/>
      <w:szCs w:val="32"/>
      <w:lang w:eastAsia="en-US"/>
    </w:rPr>
  </w:style>
  <w:style w:type="character" w:styleId="1113" w:customStyle="1">
    <w:name w:val="标题 3 Char1"/>
    <w:basedOn w:val="791"/>
    <w:uiPriority w:val="9"/>
    <w:semiHidden/>
    <w:qFormat/>
    <w:rPr>
      <w:rFonts w:asciiTheme="minorHAnsi" w:hAnsiTheme="minorHAnsi" w:eastAsiaTheme="minorHAnsi" w:cstheme="minorBidi"/>
      <w:b/>
      <w:bCs/>
      <w:sz w:val="32"/>
      <w:szCs w:val="32"/>
      <w:lang w:eastAsia="en-US"/>
    </w:rPr>
  </w:style>
  <w:style w:type="table" w:styleId="1114" w:customStyle="1">
    <w:name w:val="网格型1"/>
    <w:basedOn w:val="79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15" w:customStyle="1">
    <w:name w:val="修订1"/>
    <w:hidden/>
    <w:uiPriority w:val="99"/>
    <w:semiHidden/>
    <w:qFormat/>
    <w:rPr>
      <w:rFonts w:hint="default" w:asciiTheme="minorHAnsi" w:hAnsiTheme="minorHAnsi" w:eastAsiaTheme="minorHAnsi" w:cstheme="minorBidi"/>
      <w:sz w:val="22"/>
      <w:szCs w:val="22"/>
      <w:lang w:val="en-US" w:eastAsia="en-US" w:bidi="ar-SA"/>
    </w:rPr>
  </w:style>
  <w:style w:type="character" w:styleId="1116" w:customStyle="1">
    <w:name w:val="wyg1"/>
    <w:uiPriority w:val="6"/>
    <w:qFormat/>
    <w:rPr>
      <w:rFonts w:ascii="Times New Roman" w:hAnsi="Times New Roman" w:eastAsia="宋体" w:cs="Times New Roman"/>
      <w:lang w:val="en-US" w:eastAsia="zh-CN" w:bidi="ar-SA"/>
    </w:rPr>
  </w:style>
  <w:style w:type="paragraph" w:styleId="1117" w:customStyle="1">
    <w:name w:val="样式1"/>
    <w:basedOn w:val="781"/>
    <w:uiPriority w:val="0"/>
    <w:qFormat/>
    <w:pPr>
      <w:numPr>
        <w:ilvl w:val="0"/>
        <w:numId w:val="1"/>
      </w:numPr>
      <w:tabs>
        <w:tab w:val="left" w:pos="1110" w:leader="none"/>
      </w:tabs>
    </w:pPr>
    <w:rPr>
      <w:rFonts w:ascii="宋体" w:hAnsi="宋体"/>
      <w:szCs w:val="21"/>
    </w:rPr>
  </w:style>
  <w:style w:type="paragraph" w:styleId="1118" w:customStyle="1">
    <w:name w:val="Plain Text1"/>
    <w:basedOn w:val="781"/>
    <w:uiPriority w:val="0"/>
    <w:qFormat/>
    <w:rPr>
      <w:rFonts w:ascii="宋体" w:hAnsi="宋体" w:eastAsia="楷体_GB2312"/>
      <w:sz w:val="26"/>
    </w:rPr>
  </w:style>
  <w:style w:type="paragraph" w:styleId="1119" w:customStyle="1">
    <w:name w:val="纯文本11"/>
    <w:basedOn w:val="781"/>
    <w:uiPriority w:val="0"/>
    <w:qFormat/>
    <w:rPr>
      <w:rFonts w:ascii="宋体" w:hAnsi="Courier New"/>
    </w:rPr>
  </w:style>
  <w:style w:type="paragraph" w:styleId="1120" w:customStyle="1">
    <w:name w:val="列表段落"/>
    <w:basedOn w:val="808"/>
    <w:uiPriority w:val="0"/>
    <w:qFormat/>
    <w:pPr>
      <w:ind w:firstLine="420"/>
    </w:pPr>
  </w:style>
  <w:style w:type="paragraph" w:styleId="1121" w:customStyle="1">
    <w:name w:val="正文112"/>
    <w:next w:val="78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22" w:customStyle="1">
    <w:name w:val="font41"/>
    <w:basedOn w:val="791"/>
    <w:uiPriority w:val="0"/>
    <w:qFormat/>
    <w:rPr>
      <w:rFonts w:hint="eastAsia" w:ascii="宋体" w:hAnsi="宋体" w:eastAsia="宋体" w:cs="宋体"/>
      <w:color w:val="000000"/>
      <w:sz w:val="20"/>
      <w:szCs w:val="20"/>
      <w:u w:val="none"/>
    </w:rPr>
  </w:style>
  <w:style w:type="character" w:styleId="1123" w:customStyle="1">
    <w:name w:val="font111"/>
    <w:basedOn w:val="791"/>
    <w:uiPriority w:val="0"/>
    <w:qFormat/>
    <w:rPr>
      <w:rFonts w:hint="default" w:ascii="Times New Roman" w:hAnsi="Times New Roman" w:cs="Times New Roman"/>
      <w:color w:val="000000"/>
      <w:sz w:val="20"/>
      <w:szCs w:val="20"/>
      <w:u w:val="none"/>
    </w:rPr>
  </w:style>
  <w:style w:type="character" w:styleId="1124" w:customStyle="1">
    <w:name w:val="font122"/>
    <w:basedOn w:val="791"/>
    <w:uiPriority w:val="0"/>
    <w:qFormat/>
    <w:rPr>
      <w:rFonts w:ascii="Symbol" w:hAnsi="Symbol" w:cs="Symbol"/>
      <w:color w:val="000000"/>
      <w:sz w:val="20"/>
      <w:szCs w:val="20"/>
      <w:u w:val="none"/>
    </w:rPr>
  </w:style>
  <w:style w:type="numbering" w:styleId="1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 Id="rId18" Type="http://schemas.openxmlformats.org/officeDocument/2006/relationships/customXml" Target="../customXml/item5.xml" /><Relationship Id="rId19" Type="http://schemas.openxmlformats.org/officeDocument/2006/relationships/customXml" Target="../customXml/item6.xml" /><Relationship Id="rId20" Type="http://schemas.openxmlformats.org/officeDocument/2006/relationships/customXml" Target="../customXml/item7.xml" /><Relationship Id="rId21" Type="http://schemas.openxmlformats.org/officeDocument/2006/relationships/customXml" Target="../customXml/item8.xml" /><Relationship Id="rId22" Type="http://schemas.openxmlformats.org/officeDocument/2006/relationships/customXml" Target="../customXml/item9.xml" /><Relationship Id="rId23" Type="http://schemas.openxmlformats.org/officeDocument/2006/relationships/image" Target="media/image1.png"/><Relationship Id="rId2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_rels/item9.xml.rels><?xml version="1.0" encoding="UTF-8" standalone="yes"?><Relationships xmlns="http://schemas.openxmlformats.org/package/2006/relationships"><Relationship Id="rId1" Type="http://schemas.openxmlformats.org/officeDocument/2006/relationships/customXmlProps" Target="itemProps9.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w:settings xmlns:w="http://schemas.openxmlformats.org/wordprocessingml/2006/main">
  <w:SpecialFormsHighlight w:val="c9c8ff"/>
</w:settings>
</file>

<file path=customXml/item6.xml><?xml version="1.0" encoding="utf-8"?>
<w:settings xmlns:w="http://schemas.openxmlformats.org/wordprocessingml/2006/main">
  <w:SpecialFormsHighlight w:val="c9c8ff"/>
</w:setting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8.xml><?xml version="1.0" encoding="utf-8"?>
<w:settings xmlns:w="http://schemas.openxmlformats.org/wordprocessingml/2006/main">
  <w:SpecialFormsHighlight w:val="c9c8ff"/>
</w:settings>
</file>

<file path=customXml/item9.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5D0AEA6B-E499-4EEF-98A3-AFBB261C493E}"/>
</file>

<file path=customXml/itemProps6.xml><?xml version="1.0" encoding="utf-8"?>
<ds:datastoreItem xmlns:ds="http://schemas.openxmlformats.org/officeDocument/2006/customXml" ds:itemID="{5D0AEA6B-E499-4EEF-98A3-AFBB261C493E}"/>
</file>

<file path=customXml/itemProps7.xml><?xml version="1.0" encoding="utf-8"?>
<ds:datastoreItem xmlns:ds="http://schemas.openxmlformats.org/officeDocument/2006/customXml" ds:itemID="{A3DB8E9D-1074-418D-BC86-0DBA9877D3BD}"/>
</file>

<file path=customXml/itemProps8.xml><?xml version="1.0" encoding="utf-8"?>
<ds:datastoreItem xmlns:ds="http://schemas.openxmlformats.org/officeDocument/2006/customXml" ds:itemID="{5D0AEA6B-E499-4EEF-98A3-AFBB261C493E}"/>
</file>

<file path=customXml/itemProps9.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SysCeo.com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刘贝贝</cp:lastModifiedBy>
  <cp:revision>1009</cp:revision>
  <dcterms:created xsi:type="dcterms:W3CDTF">2025-06-22T08:00:00Z</dcterms:created>
  <dcterms:modified xsi:type="dcterms:W3CDTF">2026-04-23T03:22:59Z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30CA9F8826244B229E4969748ADE2C56_13</vt:lpwstr>
  </property>
  <property fmtid="{D5CDD505-2E9C-101B-9397-08002B2CF9AE}" pid="4" name="KSOTemplateDocerSaveRecord">
    <vt:lpwstr>eyJoZGlkIjoiNWYwZDMwN2NiMWM5YTYyYzU5ZmRiZmU2NTM5ZjBiYjQiLCJ1c2VySWQiOiIxNDY2OTUxNjQ5In0=</vt:lpwstr>
  </property>
</Properties>
</file>