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如有建议或意见，请以书面形式并加盖公章、注明联系人、联系方式，于202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5</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日17:00之前送至我单位，逾期不受理（如邮寄，202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5</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7</w:t>
      </w:r>
      <w:bookmarkStart w:id="6" w:name="_GoBack"/>
      <w:bookmarkEnd w:id="6"/>
      <w:r>
        <w:rPr>
          <w:rFonts w:hint="eastAsia" w:ascii="宋体" w:hAnsi="宋体" w:eastAsia="宋体" w:cs="宋体"/>
          <w:color w:val="auto"/>
          <w:sz w:val="28"/>
          <w:szCs w:val="28"/>
        </w:rPr>
        <w:t>日17:00之后到达本公司的邮件将不再受理）。</w:t>
      </w:r>
    </w:p>
    <w:p>
      <w:pPr>
        <w:rPr>
          <w:rFonts w:hint="eastAsia" w:ascii="宋体" w:hAnsi="宋体" w:cs="宋体"/>
          <w:b/>
          <w:bCs/>
          <w:color w:val="auto"/>
          <w:sz w:val="30"/>
          <w:szCs w:val="44"/>
        </w:rPr>
      </w:pPr>
      <w:r>
        <w:rPr>
          <w:rFonts w:hint="eastAsia" w:ascii="宋体" w:hAnsi="宋体" w:cs="宋体"/>
          <w:b/>
          <w:bCs/>
          <w:color w:val="auto"/>
          <w:sz w:val="30"/>
          <w:szCs w:val="44"/>
        </w:rPr>
        <w:br w:type="page"/>
      </w:r>
    </w:p>
    <w:p>
      <w:pPr>
        <w:jc w:val="center"/>
        <w:rPr>
          <w:rFonts w:hint="eastAsia" w:ascii="宋体" w:hAnsi="宋体" w:cs="宋体"/>
          <w:color w:val="auto"/>
        </w:rPr>
      </w:pPr>
      <w:r>
        <w:rPr>
          <w:rFonts w:hint="eastAsia" w:ascii="宋体" w:hAnsi="宋体" w:cs="宋体"/>
          <w:b/>
          <w:bCs/>
          <w:color w:val="auto"/>
          <w:sz w:val="30"/>
          <w:szCs w:val="44"/>
        </w:rPr>
        <w:t>采购需求</w:t>
      </w:r>
    </w:p>
    <w:p>
      <w:pPr>
        <w:pageBreakBefore w:val="0"/>
        <w:widowControl w:val="0"/>
        <w:kinsoku/>
        <w:wordWrap/>
        <w:overflowPunct/>
        <w:topLinePunct w:val="0"/>
        <w:autoSpaceDE/>
        <w:autoSpaceDN/>
        <w:bidi w:val="0"/>
        <w:snapToGrid/>
        <w:spacing w:line="400" w:lineRule="exact"/>
        <w:ind w:firstLine="56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rPr>
        <w:t>一、</w:t>
      </w:r>
      <w:r>
        <w:rPr>
          <w:rFonts w:hint="eastAsia" w:ascii="宋体" w:hAnsi="宋体" w:eastAsia="宋体" w:cs="宋体"/>
          <w:b/>
          <w:bCs/>
          <w:color w:val="auto"/>
          <w:sz w:val="28"/>
          <w:szCs w:val="28"/>
          <w:lang w:val="en-US" w:eastAsia="zh-CN"/>
        </w:rPr>
        <w:t>说明</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1、本项目不接受超过1002.8万元人民币（预算金额）的投标报价。</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2、此项目属于专门面向中小企业采购的项目</w:t>
      </w:r>
      <w:r>
        <w:rPr>
          <w:rFonts w:hint="eastAsia" w:ascii="宋体" w:hAnsi="宋体" w:cs="宋体"/>
          <w:color w:val="auto"/>
          <w:sz w:val="28"/>
          <w:szCs w:val="28"/>
          <w:lang w:val="en-US" w:eastAsia="zh-CN"/>
        </w:rPr>
        <w:t>，供应商应为中小微企业、监狱企业、残疾人福利性单位。</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3、本项目对应的中小企业划分标准所属行业为（其他未列明行业）。</w:t>
      </w:r>
    </w:p>
    <w:p>
      <w:pPr>
        <w:pageBreakBefore w:val="0"/>
        <w:widowControl w:val="0"/>
        <w:kinsoku/>
        <w:wordWrap/>
        <w:overflowPunct/>
        <w:topLinePunct w:val="0"/>
        <w:autoSpaceDE/>
        <w:autoSpaceDN/>
        <w:bidi w:val="0"/>
        <w:snapToGrid/>
        <w:spacing w:line="400" w:lineRule="exact"/>
        <w:ind w:firstLine="560" w:firstLineChars="2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注：从业人员300人以下的为中小微型企业。其中，从业人员100人及以上的为中型企业；从业人员10人及以上的为小型企业；从业人员10人以下的为微型企业。</w:t>
      </w:r>
      <w:r>
        <w:rPr>
          <w:rFonts w:hint="eastAsia" w:ascii="宋体" w:hAnsi="宋体" w:eastAsia="宋体" w:cs="宋体"/>
          <w:color w:val="auto"/>
          <w:sz w:val="28"/>
          <w:szCs w:val="28"/>
          <w:lang w:val="en-US" w:eastAsia="zh-CN"/>
        </w:rPr>
        <w:br w:type="textWrapping"/>
      </w:r>
      <w:r>
        <w:rPr>
          <w:rFonts w:hint="eastAsia" w:ascii="宋体" w:hAnsi="宋体" w:eastAsia="宋体" w:cs="宋体"/>
          <w:color w:val="auto"/>
          <w:sz w:val="28"/>
          <w:szCs w:val="28"/>
          <w:lang w:val="en-US" w:eastAsia="zh-CN"/>
        </w:rPr>
        <w:t xml:space="preserve">    4、评标委员会启动异常低价投标审查的情形和具体要求，包括:</w:t>
      </w:r>
    </w:p>
    <w:p>
      <w:pPr>
        <w:pageBreakBefore w:val="0"/>
        <w:widowControl w:val="0"/>
        <w:kinsoku/>
        <w:wordWrap/>
        <w:overflowPunct/>
        <w:topLinePunct w:val="0"/>
        <w:autoSpaceDE/>
        <w:autoSpaceDN/>
        <w:bidi w:val="0"/>
        <w:snapToGrid/>
        <w:spacing w:line="400" w:lineRule="exact"/>
        <w:ind w:firstLine="560" w:firstLineChars="2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（1）评审过程中出现下列情形之一的，评标委员会应当启动异常低价投标审查程序：</w:t>
      </w:r>
    </w:p>
    <w:p>
      <w:pPr>
        <w:pageBreakBefore w:val="0"/>
        <w:widowControl w:val="0"/>
        <w:kinsoku/>
        <w:wordWrap/>
        <w:overflowPunct/>
        <w:topLinePunct w:val="0"/>
        <w:autoSpaceDE/>
        <w:autoSpaceDN/>
        <w:bidi w:val="0"/>
        <w:snapToGrid/>
        <w:spacing w:line="400" w:lineRule="exact"/>
        <w:ind w:firstLine="560" w:firstLineChars="2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1）投标报价低于采购项目预算50%的，即投标报价&lt;采购项目预算×50%；</w:t>
      </w:r>
    </w:p>
    <w:p>
      <w:pPr>
        <w:pageBreakBefore w:val="0"/>
        <w:widowControl w:val="0"/>
        <w:kinsoku/>
        <w:wordWrap/>
        <w:overflowPunct/>
        <w:topLinePunct w:val="0"/>
        <w:autoSpaceDE/>
        <w:autoSpaceDN/>
        <w:bidi w:val="0"/>
        <w:snapToGrid/>
        <w:spacing w:line="400" w:lineRule="exact"/>
        <w:ind w:firstLine="560" w:firstLineChars="2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2）投标报价低于采购项目最高限价45%的，即投标报价&lt;采购项目最高限价×45%；</w:t>
      </w:r>
    </w:p>
    <w:p>
      <w:pPr>
        <w:pageBreakBefore w:val="0"/>
        <w:widowControl w:val="0"/>
        <w:kinsoku/>
        <w:wordWrap/>
        <w:overflowPunct/>
        <w:topLinePunct w:val="0"/>
        <w:autoSpaceDE/>
        <w:autoSpaceDN/>
        <w:bidi w:val="0"/>
        <w:snapToGrid/>
        <w:spacing w:line="400" w:lineRule="exact"/>
        <w:ind w:firstLine="560" w:firstLineChars="2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3）评标委员会认定的投标人报价过低、有可能影响产品质量或者不能诚信履约的其他情形。</w:t>
      </w:r>
    </w:p>
    <w:p>
      <w:pPr>
        <w:pageBreakBefore w:val="0"/>
        <w:widowControl w:val="0"/>
        <w:kinsoku/>
        <w:wordWrap/>
        <w:overflowPunct/>
        <w:topLinePunct w:val="0"/>
        <w:autoSpaceDE/>
        <w:autoSpaceDN/>
        <w:bidi w:val="0"/>
        <w:snapToGrid/>
        <w:spacing w:line="400" w:lineRule="exact"/>
        <w:ind w:firstLine="560" w:firstLineChars="2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启动异常低价投标审查后，评标委员会应当通过“苏采云”系统要求相关投标人在合理的时间内，提供项目具体成本测算等与报价合理性相关的书面说明及相关证明材料，对投标价格作出解释，由评标委员会结合同类产品在主要电商平台的价格、该行业当地薪资水平等情况，依据专业经验对投标人报价合理性进行判断。投标人说明应当采用通过“苏采云”系统（使用“CA数字证书”,加盖电子签章）形式。投标人不提供书面说明、证明材料，或者提供的书面说明、证明材料不能证明其报价合理性的，评标委员会应当将其作为无效投标处理。审查相关情况应当在评标报告中进行记录。</w:t>
      </w:r>
    </w:p>
    <w:p>
      <w:pPr>
        <w:spacing w:line="520" w:lineRule="exact"/>
        <w:ind w:firstLine="562"/>
        <w:outlineLvl w:val="0"/>
        <w:rPr>
          <w:rFonts w:ascii="仿宋" w:hAnsi="仿宋" w:eastAsia="仿宋" w:cs="仿宋"/>
          <w:b/>
          <w:color w:val="auto"/>
          <w:sz w:val="28"/>
          <w:szCs w:val="28"/>
        </w:rPr>
      </w:pPr>
      <w:r>
        <w:rPr>
          <w:rFonts w:hint="eastAsia" w:ascii="宋体" w:hAnsi="宋体" w:eastAsia="宋体" w:cs="宋体"/>
          <w:b/>
          <w:bCs/>
          <w:color w:val="auto"/>
          <w:sz w:val="28"/>
          <w:szCs w:val="28"/>
        </w:rPr>
        <w:t>二、项目名称：</w:t>
      </w:r>
      <w:r>
        <w:rPr>
          <w:rFonts w:hint="eastAsia" w:ascii="宋体" w:hAnsi="宋体" w:cs="宋体"/>
          <w:color w:val="auto"/>
          <w:sz w:val="28"/>
          <w:szCs w:val="28"/>
          <w:lang w:val="en-US" w:eastAsia="zh-CN"/>
        </w:rPr>
        <w:t>高架快速路养护项目（2026GJXY-1）</w:t>
      </w:r>
    </w:p>
    <w:p>
      <w:pPr>
        <w:spacing w:line="520" w:lineRule="exact"/>
        <w:ind w:firstLine="562"/>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三、项目概况</w:t>
      </w:r>
      <w:bookmarkStart w:id="0" w:name="2_7"/>
      <w:bookmarkEnd w:id="0"/>
      <w:bookmarkStart w:id="1" w:name="2_8"/>
      <w:bookmarkEnd w:id="1"/>
      <w:bookmarkStart w:id="2" w:name="sub8901138_2_7"/>
      <w:bookmarkEnd w:id="2"/>
      <w:bookmarkStart w:id="3" w:name="sub8901138_2_8"/>
      <w:bookmarkEnd w:id="3"/>
      <w:bookmarkStart w:id="4" w:name="_Toc382917506"/>
      <w:r>
        <w:rPr>
          <w:rFonts w:hint="eastAsia" w:ascii="宋体" w:hAnsi="宋体" w:eastAsia="宋体" w:cs="宋体"/>
          <w:b/>
          <w:bCs/>
          <w:color w:val="auto"/>
          <w:sz w:val="28"/>
          <w:szCs w:val="28"/>
        </w:rPr>
        <w:t>、养护范围及内容：</w:t>
      </w:r>
    </w:p>
    <w:p>
      <w:pPr>
        <w:pStyle w:val="21"/>
        <w:keepNext w:val="0"/>
        <w:keepLines w:val="0"/>
        <w:pageBreakBefore w:val="0"/>
        <w:widowControl w:val="0"/>
        <w:kinsoku/>
        <w:wordWrap/>
        <w:overflowPunct/>
        <w:topLinePunct w:val="0"/>
        <w:autoSpaceDE/>
        <w:autoSpaceDN/>
        <w:bidi w:val="0"/>
        <w:adjustRightInd/>
        <w:snapToGrid/>
        <w:ind w:left="0" w:leftChars="0" w:right="454" w:firstLine="560" w:firstLineChars="200"/>
        <w:textAlignment w:val="auto"/>
        <w:rPr>
          <w:rFonts w:hint="eastAsia" w:ascii="宋体" w:hAnsi="宋体" w:eastAsia="宋体" w:cs="宋体"/>
          <w:bCs/>
          <w:color w:val="auto"/>
          <w:sz w:val="28"/>
          <w:szCs w:val="28"/>
        </w:rPr>
      </w:pPr>
      <w:r>
        <w:rPr>
          <w:rFonts w:hint="eastAsia" w:ascii="宋体" w:hAnsi="宋体" w:eastAsia="宋体" w:cs="宋体"/>
          <w:bCs/>
          <w:color w:val="auto"/>
          <w:sz w:val="28"/>
          <w:szCs w:val="28"/>
        </w:rPr>
        <w:t>1、项目概况</w:t>
      </w:r>
      <w:r>
        <w:rPr>
          <w:rFonts w:hint="eastAsia" w:ascii="宋体" w:hAnsi="宋体" w:eastAsia="宋体" w:cs="宋体"/>
          <w:b/>
          <w:color w:val="auto"/>
          <w:sz w:val="28"/>
          <w:szCs w:val="28"/>
        </w:rPr>
        <w:t>：</w:t>
      </w:r>
      <w:r>
        <w:rPr>
          <w:rFonts w:hint="eastAsia" w:ascii="宋体" w:hAnsi="宋体" w:eastAsia="宋体" w:cs="宋体"/>
          <w:color w:val="auto"/>
          <w:sz w:val="28"/>
          <w:szCs w:val="28"/>
        </w:rPr>
        <w:t>本项目包含三环东、西、北、南路，大学路（泉山区段）、徐韩（鼓楼区段</w:t>
      </w:r>
      <w:r>
        <w:rPr>
          <w:rFonts w:hint="eastAsia" w:ascii="宋体" w:hAnsi="宋体" w:eastAsia="宋体" w:cs="宋体"/>
          <w:bCs/>
          <w:color w:val="auto"/>
          <w:sz w:val="28"/>
          <w:szCs w:val="28"/>
        </w:rPr>
        <w:t>）和城东（云龙区段）高架快速路，总面积153.2万平方米；另徐丰高架涉铁段648米，面积2.2万平方米。</w:t>
      </w:r>
    </w:p>
    <w:p>
      <w:pPr>
        <w:keepNext w:val="0"/>
        <w:keepLines w:val="0"/>
        <w:pageBreakBefore w:val="0"/>
        <w:spacing w:line="440" w:lineRule="exact"/>
        <w:ind w:firstLine="480"/>
        <w:rPr>
          <w:rFonts w:hint="default" w:ascii="宋体" w:hAnsi="宋体" w:eastAsia="宋体" w:cs="宋体"/>
          <w:color w:val="auto"/>
          <w:sz w:val="28"/>
          <w:szCs w:val="28"/>
          <w:lang w:val="en-US" w:eastAsia="zh-CN" w:bidi="ar-SA"/>
        </w:rPr>
      </w:pPr>
      <w:r>
        <w:rPr>
          <w:rFonts w:hint="eastAsia" w:ascii="宋体" w:hAnsi="宋体" w:eastAsia="宋体" w:cs="宋体"/>
          <w:color w:val="auto"/>
          <w:sz w:val="28"/>
          <w:szCs w:val="28"/>
          <w:lang w:val="en-US" w:eastAsia="zh-CN" w:bidi="ar-SA"/>
        </w:rPr>
        <w:t>其中：</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（1）</w:t>
      </w:r>
      <w:r>
        <w:rPr>
          <w:rFonts w:hint="eastAsia" w:ascii="宋体" w:hAnsi="宋体" w:eastAsia="宋体" w:cs="宋体"/>
          <w:color w:val="auto"/>
          <w:sz w:val="28"/>
          <w:szCs w:val="28"/>
          <w:lang w:val="en-US" w:eastAsia="zh-CN" w:bidi="ar-SA"/>
        </w:rPr>
        <w:t>三环东路高架快速路长14.</w:t>
      </w:r>
      <w:r>
        <w:rPr>
          <w:rFonts w:hint="eastAsia" w:ascii="宋体" w:hAnsi="宋体" w:cs="宋体"/>
          <w:color w:val="auto"/>
          <w:sz w:val="28"/>
          <w:szCs w:val="28"/>
          <w:lang w:val="en-US" w:eastAsia="zh-CN" w:bidi="ar-SA"/>
        </w:rPr>
        <w:t>81</w:t>
      </w:r>
      <w:r>
        <w:rPr>
          <w:rFonts w:hint="eastAsia" w:ascii="宋体" w:hAnsi="宋体" w:eastAsia="宋体" w:cs="宋体"/>
          <w:color w:val="auto"/>
          <w:sz w:val="28"/>
          <w:szCs w:val="28"/>
          <w:lang w:val="en-US" w:eastAsia="zh-CN" w:bidi="ar-SA"/>
        </w:rPr>
        <w:t>公里，其中高架桥11.5公里，面积39.6万平方米。服务期限2026年11月22日起 。</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（2）</w:t>
      </w:r>
      <w:r>
        <w:rPr>
          <w:rFonts w:hint="eastAsia" w:ascii="宋体" w:hAnsi="宋体" w:eastAsia="宋体" w:cs="宋体"/>
          <w:color w:val="auto"/>
          <w:sz w:val="28"/>
          <w:szCs w:val="28"/>
          <w:lang w:val="en-US" w:eastAsia="zh-CN" w:bidi="ar-SA"/>
        </w:rPr>
        <w:t>三环西路高架快速路全长9.635公里，面积31.5万平方米。服务期限2026年7月1日起 。</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（3）</w:t>
      </w:r>
      <w:r>
        <w:rPr>
          <w:rFonts w:hint="eastAsia" w:ascii="宋体" w:hAnsi="宋体" w:eastAsia="宋体" w:cs="宋体"/>
          <w:color w:val="auto"/>
          <w:sz w:val="28"/>
          <w:szCs w:val="28"/>
          <w:lang w:val="en-US" w:eastAsia="zh-CN" w:bidi="ar-SA"/>
        </w:rPr>
        <w:t>三环北路高架快速路全长10.099公里，面积36.9万平方米。服务期限2026年7月1日起 。</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（4）</w:t>
      </w:r>
      <w:r>
        <w:rPr>
          <w:rFonts w:hint="eastAsia" w:ascii="宋体" w:hAnsi="宋体" w:eastAsia="宋体" w:cs="宋体"/>
          <w:color w:val="auto"/>
          <w:sz w:val="28"/>
          <w:szCs w:val="28"/>
          <w:lang w:val="en-US" w:eastAsia="zh-CN" w:bidi="ar-SA"/>
        </w:rPr>
        <w:t>三环南路快速路长11.7公里，另含御景路781米，全长12.499公里，其中快速路高架桥6.2公里，面积24.2万平方米。服务期限2026年8月7日起 。</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（5）</w:t>
      </w:r>
      <w:r>
        <w:rPr>
          <w:rFonts w:hint="eastAsia" w:ascii="宋体" w:hAnsi="宋体" w:eastAsia="宋体" w:cs="宋体"/>
          <w:color w:val="auto"/>
          <w:sz w:val="28"/>
          <w:szCs w:val="28"/>
          <w:lang w:val="en-US" w:eastAsia="zh-CN" w:bidi="ar-SA"/>
        </w:rPr>
        <w:t>大学路（泉山区段），全长1.135公里，面积3.5万平方米。服务期限2026年7月1日起 。</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（6）</w:t>
      </w:r>
      <w:r>
        <w:rPr>
          <w:rFonts w:hint="eastAsia" w:ascii="宋体" w:hAnsi="宋体" w:eastAsia="宋体" w:cs="宋体"/>
          <w:color w:val="auto"/>
          <w:sz w:val="28"/>
          <w:szCs w:val="28"/>
          <w:lang w:val="en-US" w:eastAsia="zh-CN" w:bidi="ar-SA"/>
        </w:rPr>
        <w:t>徐韩高架快速路（鼓楼区段）面积4.5万平方米。服务期限2026年8月7日起 。</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（7）</w:t>
      </w:r>
      <w:r>
        <w:rPr>
          <w:rFonts w:hint="eastAsia" w:ascii="宋体" w:hAnsi="宋体" w:eastAsia="宋体" w:cs="宋体"/>
          <w:color w:val="auto"/>
          <w:sz w:val="28"/>
          <w:szCs w:val="28"/>
          <w:lang w:val="en-US" w:eastAsia="zh-CN" w:bidi="ar-SA"/>
        </w:rPr>
        <w:t>城东大道快速路（云龙区段）全长3.638公里，面积13万平方米。服务期限2026年7月1日起 。</w:t>
      </w:r>
    </w:p>
    <w:p>
      <w:pPr>
        <w:keepNext w:val="0"/>
        <w:keepLines w:val="0"/>
        <w:pageBreakBefore w:val="0"/>
        <w:spacing w:line="440" w:lineRule="exact"/>
        <w:ind w:firstLine="480"/>
        <w:rPr>
          <w:rFonts w:hint="eastAsia" w:ascii="宋体" w:hAnsi="宋体" w:eastAsia="宋体" w:cs="宋体"/>
          <w:color w:val="auto"/>
          <w:sz w:val="28"/>
          <w:szCs w:val="28"/>
          <w:lang w:val="en-US" w:eastAsia="zh-CN" w:bidi="ar-SA"/>
        </w:rPr>
      </w:pPr>
      <w:r>
        <w:rPr>
          <w:rFonts w:hint="eastAsia" w:ascii="宋体" w:hAnsi="宋体" w:cs="宋体"/>
          <w:color w:val="auto"/>
          <w:sz w:val="28"/>
          <w:szCs w:val="28"/>
          <w:lang w:val="en-US" w:eastAsia="zh-CN" w:bidi="ar-SA"/>
        </w:rPr>
        <w:t>（8）</w:t>
      </w:r>
      <w:r>
        <w:rPr>
          <w:rFonts w:hint="eastAsia" w:ascii="宋体" w:hAnsi="宋体" w:eastAsia="宋体" w:cs="宋体"/>
          <w:color w:val="auto"/>
          <w:sz w:val="28"/>
          <w:szCs w:val="28"/>
          <w:lang w:val="en-US" w:eastAsia="zh-CN" w:bidi="ar-SA"/>
        </w:rPr>
        <w:t>徐丰高架快速路先期涉铁段高架桥梁长648米，面积2.2万平方米。服务期限合同签订之日起。</w:t>
      </w:r>
    </w:p>
    <w:p>
      <w:pPr>
        <w:pStyle w:val="21"/>
        <w:keepNext w:val="0"/>
        <w:keepLines w:val="0"/>
        <w:pageBreakBefore w:val="0"/>
        <w:widowControl w:val="0"/>
        <w:kinsoku/>
        <w:wordWrap/>
        <w:overflowPunct/>
        <w:topLinePunct w:val="0"/>
        <w:autoSpaceDE/>
        <w:autoSpaceDN/>
        <w:bidi w:val="0"/>
        <w:adjustRightInd/>
        <w:snapToGrid/>
        <w:ind w:left="0" w:leftChars="0" w:right="454"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养护范围（包括不限于）：主体工程有高架桥主线和匝道桥梁、地面快速路、地道（主线下穿地道、被交地道、人行过街地道）、挡墙等。附属设施有：声屏障、集水井、落水管、防眩板、预留桥梁隔离墩、封堵墙、装饰、引道限高门架、桥联（墩铭）牌、防爬网、路缘石、防撞护栏（包括砼、波形梁、拦索护栏等）、防撞墩、轮廓标、沉降钉、沉降观测点等设施。</w:t>
      </w:r>
    </w:p>
    <w:p>
      <w:pPr>
        <w:pStyle w:val="21"/>
        <w:keepNext w:val="0"/>
        <w:keepLines w:val="0"/>
        <w:pageBreakBefore w:val="0"/>
        <w:widowControl w:val="0"/>
        <w:kinsoku/>
        <w:wordWrap/>
        <w:overflowPunct/>
        <w:topLinePunct w:val="0"/>
        <w:autoSpaceDE/>
        <w:autoSpaceDN/>
        <w:bidi w:val="0"/>
        <w:adjustRightInd/>
        <w:snapToGrid/>
        <w:ind w:left="0" w:leftChars="0" w:right="454"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3、养护内容：日常巡查、预防养护、日常养护、应急处置、档案管理等。</w:t>
      </w:r>
    </w:p>
    <w:p>
      <w:pPr>
        <w:keepNext w:val="0"/>
        <w:keepLines w:val="0"/>
        <w:pageBreakBefore w:val="0"/>
        <w:numPr>
          <w:ilvl w:val="0"/>
          <w:numId w:val="0"/>
        </w:numPr>
        <w:spacing w:line="440" w:lineRule="exact"/>
        <w:ind w:firstLine="562" w:firstLineChars="200"/>
        <w:rPr>
          <w:rFonts w:hint="eastAsia" w:ascii="宋体" w:hAnsi="宋体" w:eastAsia="宋体" w:cs="宋体"/>
          <w:b w:val="0"/>
          <w:bCs/>
          <w:color w:val="auto"/>
          <w:sz w:val="28"/>
          <w:szCs w:val="28"/>
        </w:rPr>
      </w:pPr>
      <w:r>
        <w:rPr>
          <w:rFonts w:hint="eastAsia" w:ascii="宋体" w:hAnsi="宋体" w:eastAsia="宋体" w:cs="宋体"/>
          <w:b/>
          <w:bCs/>
          <w:color w:val="auto"/>
          <w:sz w:val="28"/>
          <w:szCs w:val="28"/>
        </w:rPr>
        <w:t>四、项目</w:t>
      </w:r>
      <w:r>
        <w:rPr>
          <w:rFonts w:hint="eastAsia" w:ascii="宋体" w:hAnsi="宋体" w:eastAsia="宋体" w:cs="宋体"/>
          <w:b/>
          <w:color w:val="auto"/>
          <w:sz w:val="28"/>
          <w:szCs w:val="28"/>
        </w:rPr>
        <w:t>养护期限：</w:t>
      </w:r>
      <w:r>
        <w:rPr>
          <w:rFonts w:hint="eastAsia" w:ascii="宋体" w:hAnsi="宋体" w:eastAsia="宋体" w:cs="宋体"/>
          <w:color w:val="auto"/>
          <w:sz w:val="28"/>
          <w:szCs w:val="28"/>
          <w:lang w:val="en-US" w:eastAsia="zh-CN" w:bidi="ar-SA"/>
        </w:rPr>
        <w:t>以上项目服务期限均于2027年9月30日到期，合同期限0.86-1.25年。</w:t>
      </w:r>
      <w:bookmarkEnd w:id="4"/>
    </w:p>
    <w:p>
      <w:pPr>
        <w:spacing w:line="520" w:lineRule="exact"/>
        <w:ind w:firstLine="482"/>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五、以上招标范围、内容，采购人保留对其作出部分调整或收回的权利，但养护期限内费用不变。项目实施过程中涉及到的各类许可手续等由中标人自行向有关部门申请。</w:t>
      </w:r>
    </w:p>
    <w:p>
      <w:pPr>
        <w:spacing w:line="520" w:lineRule="exact"/>
        <w:ind w:firstLine="482"/>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六、养护作业要求</w:t>
      </w:r>
    </w:p>
    <w:p>
      <w:pPr>
        <w:spacing w:line="520" w:lineRule="exact"/>
        <w:ind w:firstLine="482"/>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（一）养护总体要求</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1、保持高架快速路</w:t>
      </w:r>
      <w:r>
        <w:rPr>
          <w:rFonts w:hint="eastAsia" w:ascii="宋体" w:hAnsi="宋体" w:eastAsia="宋体" w:cs="宋体"/>
          <w:color w:val="auto"/>
          <w:sz w:val="28"/>
          <w:szCs w:val="28"/>
          <w:lang w:val="zh-CN"/>
        </w:rPr>
        <w:t>安全畅通、经济高效、整洁优美。</w:t>
      </w:r>
      <w:r>
        <w:rPr>
          <w:rFonts w:hint="eastAsia" w:ascii="宋体" w:hAnsi="宋体" w:eastAsia="宋体" w:cs="宋体"/>
          <w:color w:val="auto"/>
          <w:sz w:val="28"/>
          <w:szCs w:val="28"/>
        </w:rPr>
        <w:t xml:space="preserve">高架道路路面平整，结构稳定，设施安全，排水畅通，附属设施齐全，雨后2小时无积水，雨后24小时无坑塘，接缝无漏水，钢结构漆面完好无锈蚀和严重锈斑。 </w:t>
      </w:r>
    </w:p>
    <w:p>
      <w:pPr>
        <w:spacing w:line="520" w:lineRule="exact"/>
        <w:ind w:firstLine="480"/>
        <w:rPr>
          <w:rFonts w:hint="eastAsia" w:ascii="宋体" w:hAnsi="宋体" w:eastAsia="宋体" w:cs="宋体"/>
          <w:b/>
          <w:color w:val="auto"/>
          <w:sz w:val="28"/>
          <w:szCs w:val="28"/>
        </w:rPr>
      </w:pPr>
      <w:r>
        <w:rPr>
          <w:rFonts w:hint="eastAsia" w:ascii="宋体" w:hAnsi="宋体" w:eastAsia="宋体" w:cs="宋体"/>
          <w:color w:val="auto"/>
          <w:sz w:val="28"/>
          <w:szCs w:val="28"/>
        </w:rPr>
        <w:t>2、养护档案：养护档案资料完整。</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3、养护作业时配套实施可靠的安全保护措施。达到文明、快速、环保的施工要求。</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4、合理配置养护机械和设备，积极推广机械化养护作业，保障养护质量，提高养护效率。</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5、积极推广“四新”技术。</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6、积极提倡预防性养护。</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7、作业人员定期接受相关技能培训，并满足相关规范中对从业资质或技术等级的要求。</w:t>
      </w:r>
    </w:p>
    <w:p>
      <w:pPr>
        <w:keepNext w:val="0"/>
        <w:keepLines w:val="0"/>
        <w:pageBreakBefore w:val="0"/>
        <w:kinsoku/>
        <w:wordWrap/>
        <w:overflowPunct/>
        <w:topLinePunct w:val="0"/>
        <w:autoSpaceDE/>
        <w:autoSpaceDN/>
        <w:bidi w:val="0"/>
        <w:adjustRightInd/>
        <w:snapToGrid/>
        <w:spacing w:line="440" w:lineRule="exact"/>
        <w:ind w:firstLine="482"/>
        <w:textAlignment w:val="auto"/>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（二）日常巡查</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日常巡查为每日巡查路（桥）面、地道及沿线附属设施1次，桥下、人行通道1次。巡查控制车速不高于40公里/小时，以目测为主。按照合同附件5填写《日常巡查表》，提供Gps巡查轨迹。</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日常巡查内容：</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桥路连接处是否异常；</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桥面铺装及路面有无明显裂缝、坑塘、拥包、车辙及杂草；</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伸缩装置是否跳车、破损、挤死、杂物堵塞;</w:t>
      </w:r>
    </w:p>
    <w:p>
      <w:pPr>
        <w:pStyle w:val="9"/>
        <w:keepNext w:val="0"/>
        <w:keepLines w:val="0"/>
        <w:pageBreakBefore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护栏、声障屏、防眩板、标志标牌等附属设施等有无明显缺损；</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集水井及落水管是否堵塞、缺损；</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桥梁是否存在异常的振动、摆动和声响；</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桥梁线形是否存在明显异常；</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桥梁是否有沉降、漏水点、松散混凝土等易坠落物、落水管破损。</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（三）小修保养</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1、一般规定</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 xml:space="preserve">   对检查中发现的病害应制定相应的养护维修方案并及时处治。</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路面的养护维修</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2、沥青混凝土出现泛油、拥包、裂缝、波浪、坑槽、车辙等病害时，应及时处理。</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3、排水系统应满足排水要求保持完好和畅通，有损坏时应及时维修或更换。</w:t>
      </w:r>
    </w:p>
    <w:p>
      <w:pPr>
        <w:pStyle w:val="21"/>
        <w:keepNext w:val="0"/>
        <w:keepLines w:val="0"/>
        <w:pageBreakBefore w:val="0"/>
        <w:kinsoku/>
        <w:wordWrap/>
        <w:overflowPunct/>
        <w:topLinePunct w:val="0"/>
        <w:autoSpaceDE/>
        <w:autoSpaceDN/>
        <w:bidi w:val="0"/>
        <w:adjustRightInd/>
        <w:snapToGrid/>
        <w:spacing w:line="440" w:lineRule="exact"/>
        <w:ind w:left="0" w:firstLine="5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4、护栏、声屏障、防眩板、标志标牌各构件应牢固并保持完好状态，有损坏时应及时维修或更换；钢护栏及护栏上的外露钢构件每年涂装1遍。</w:t>
      </w:r>
    </w:p>
    <w:p>
      <w:pPr>
        <w:pStyle w:val="21"/>
        <w:keepNext w:val="0"/>
        <w:keepLines w:val="0"/>
        <w:pageBreakBefore w:val="0"/>
        <w:kinsoku/>
        <w:wordWrap/>
        <w:overflowPunct/>
        <w:topLinePunct w:val="0"/>
        <w:autoSpaceDE/>
        <w:autoSpaceDN/>
        <w:bidi w:val="0"/>
        <w:adjustRightInd/>
        <w:snapToGrid/>
        <w:spacing w:line="440" w:lineRule="exact"/>
        <w:ind w:left="0" w:firstLine="5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5、伸缩装置应平整、直顺、无漏水，锚固区混凝土应完好；经常清理伸缩缝缝内积土、垃圾等杂物；止水带损坏后应及时更换；伸缩装置、锚固区有破损应及时修复。</w:t>
      </w:r>
    </w:p>
    <w:p>
      <w:pPr>
        <w:pStyle w:val="21"/>
        <w:keepNext w:val="0"/>
        <w:keepLines w:val="0"/>
        <w:pageBreakBefore w:val="0"/>
        <w:kinsoku/>
        <w:wordWrap/>
        <w:overflowPunct/>
        <w:topLinePunct w:val="0"/>
        <w:autoSpaceDE/>
        <w:autoSpaceDN/>
        <w:bidi w:val="0"/>
        <w:adjustRightInd/>
        <w:snapToGrid/>
        <w:spacing w:line="440" w:lineRule="exact"/>
        <w:ind w:left="0" w:firstLine="5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6、桥梁上部结构的养护与维修：梁板开裂根据裂缝宽度分别采取封缝或压浆处治；梁板的表观缺陷应予维修。箱室内保持干燥无积水、通风良好；梁体水侵蚀应采取必要的截水措施。</w:t>
      </w:r>
    </w:p>
    <w:p>
      <w:pPr>
        <w:pStyle w:val="21"/>
        <w:keepNext w:val="0"/>
        <w:keepLines w:val="0"/>
        <w:pageBreakBefore w:val="0"/>
        <w:kinsoku/>
        <w:wordWrap/>
        <w:overflowPunct/>
        <w:topLinePunct w:val="0"/>
        <w:autoSpaceDE/>
        <w:autoSpaceDN/>
        <w:bidi w:val="0"/>
        <w:adjustRightInd/>
        <w:snapToGrid/>
        <w:spacing w:line="440" w:lineRule="exact"/>
        <w:ind w:left="0" w:firstLine="5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7、钢结构应定期涂装防锈，油漆失效区域应及时除锈补漆。</w:t>
      </w:r>
    </w:p>
    <w:p>
      <w:pPr>
        <w:pStyle w:val="21"/>
        <w:keepNext w:val="0"/>
        <w:keepLines w:val="0"/>
        <w:pageBreakBefore w:val="0"/>
        <w:kinsoku/>
        <w:wordWrap/>
        <w:overflowPunct/>
        <w:topLinePunct w:val="0"/>
        <w:autoSpaceDE/>
        <w:autoSpaceDN/>
        <w:bidi w:val="0"/>
        <w:adjustRightInd/>
        <w:snapToGrid/>
        <w:spacing w:line="440" w:lineRule="exact"/>
        <w:ind w:left="0" w:firstLine="5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8、及时清除桥梁墩台表面的青苔。杂草。灌木和污物；混凝土墩台表面存在侵蚀剥落、蜂窝、麻面、露筋及钢筋锈蚀等缺陷时，应及时修复。</w:t>
      </w:r>
    </w:p>
    <w:p>
      <w:pPr>
        <w:pStyle w:val="21"/>
        <w:keepNext w:val="0"/>
        <w:keepLines w:val="0"/>
        <w:pageBreakBefore w:val="0"/>
        <w:kinsoku/>
        <w:wordWrap/>
        <w:overflowPunct/>
        <w:topLinePunct w:val="0"/>
        <w:autoSpaceDE/>
        <w:autoSpaceDN/>
        <w:bidi w:val="0"/>
        <w:adjustRightInd/>
        <w:snapToGrid/>
        <w:spacing w:line="440" w:lineRule="exact"/>
        <w:ind w:left="0" w:firstLine="5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9、保持支座各组件完整、清洁、有效，防止积水、积雪结冰，并及时清除支座周围的垃圾，保证支座正常工作；支座外露钢构件应涂漆防腐；</w:t>
      </w:r>
    </w:p>
    <w:p>
      <w:pPr>
        <w:pStyle w:val="21"/>
        <w:keepNext w:val="0"/>
        <w:keepLines w:val="0"/>
        <w:pageBreakBefore w:val="0"/>
        <w:kinsoku/>
        <w:wordWrap/>
        <w:overflowPunct/>
        <w:topLinePunct w:val="0"/>
        <w:autoSpaceDE/>
        <w:autoSpaceDN/>
        <w:bidi w:val="0"/>
        <w:adjustRightInd/>
        <w:snapToGrid/>
        <w:spacing w:line="440" w:lineRule="exact"/>
        <w:ind w:left="0" w:firstLine="56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10、桥梁永久观测点应保持完好。</w:t>
      </w:r>
    </w:p>
    <w:p>
      <w:pPr>
        <w:pStyle w:val="9"/>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（四）养护作业安全</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1、一般规定。</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桥梁养护工程作业，必须按照现行《公路养护安全作业规程》（JTG H30）的要求实施，中标人人员养护作业期间，必须遵守有关规定，规范化施工，并服从路政、公安管理人员的指挥。中标人应建立、健全安全生产责任制度。</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养护作业必须保证交通正常通行，中标人做好安全组织管理、自备安全标志、安全设施、夜间照明器具，组织安全协调，保证作业安全。作业过程中如导致道路损坏或其他损失，一切责任由中标人承担。实行养护施工作业报批制度，凡需进行养护作业的项目，由中标人提出安全预案，自行办理审批、备案手续，组织交通管制。批复后方可施工，并按要求做好路上的安全保障措施。</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1.1养护作业现场设置明显标志并采取必要的安全措施，确保行车及作业人员的安全。</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1.2作业现场采取有效防护措施，严防坠落物和飞溅物对行人及车辆造成危害。</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1.3高架道路在实施半封闭交通作业时，不得单独封闭中间车道。</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2、人员安全管理</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2.1中标人应配备至少一名专职安全员及封道人员；</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2.2养护人员规范着装，不得随意进出作业控制区，不得随意变更或扩大控制区；</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2.3养护人员应定期接受安全教育和技术培训。</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3、养护维修安全设施</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3.1各类标志应完好、醒目，其材料、颜色、规格及施用符合国标规定。</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3.2养护车辆采用醒目的黄色面漆，并配备黄色施工警告灯。</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3.3封道作业分为半封闭和全封闭交通作业，交通标志设置应符合相关规定。</w:t>
      </w:r>
    </w:p>
    <w:p>
      <w:pPr>
        <w:keepNext w:val="0"/>
        <w:keepLines w:val="0"/>
        <w:pageBreakBefore w:val="0"/>
        <w:kinsoku/>
        <w:wordWrap/>
        <w:overflowPunct/>
        <w:topLinePunct w:val="0"/>
        <w:autoSpaceDE/>
        <w:autoSpaceDN/>
        <w:bidi w:val="0"/>
        <w:adjustRightInd/>
        <w:snapToGrid/>
        <w:spacing w:line="440" w:lineRule="exact"/>
        <w:ind w:firstLine="482"/>
        <w:textAlignment w:val="auto"/>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（四）应急处置</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针对高架道路发生车辆相撞、倾覆等突发事件并造成高架设施损坏的，制定《高架交通突发事件应急处置预案》，根据高架交通突发事件应急预案，配合交警道路封挡及疏通，根据受损情况制定修复计划。冬季桥梁边缘渗水结冰，形成冰凌影响桥下车辆、行人通行安全的，制定《清冰凌应急处置预案》，发现结冰或接报后1小时内抵达现场，力争4小时排除该处安全隐患。如暴雪持续结冰、桥梁结冰会启动24小时轮班作业，以“边结冰边清除”为原则，无明确时间终点，直至风险解除。夏季做好桥面排水保障道路通畅，制定《防汛抢险应急处置预案》，接到气象通知，安排巡查，日间巡查频率不小于1次/日，强降雨或连续降雨期间夜间巡查频率不小于1次/日，及时疏通积水，完善排水设施，做到雨停路通。</w:t>
      </w:r>
    </w:p>
    <w:p>
      <w:pPr>
        <w:keepNext w:val="0"/>
        <w:keepLines w:val="0"/>
        <w:pageBreakBefore w:val="0"/>
        <w:kinsoku/>
        <w:wordWrap/>
        <w:overflowPunct/>
        <w:topLinePunct w:val="0"/>
        <w:autoSpaceDE/>
        <w:autoSpaceDN/>
        <w:bidi w:val="0"/>
        <w:adjustRightInd/>
        <w:snapToGrid/>
        <w:spacing w:line="440" w:lineRule="exact"/>
        <w:ind w:firstLine="482"/>
        <w:textAlignment w:val="auto"/>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（五）资料管理</w:t>
      </w:r>
    </w:p>
    <w:p>
      <w:pPr>
        <w:keepNext w:val="0"/>
        <w:keepLines w:val="0"/>
        <w:pageBreakBefore w:val="0"/>
        <w:kinsoku/>
        <w:wordWrap/>
        <w:overflowPunct/>
        <w:topLinePunct w:val="0"/>
        <w:autoSpaceDE/>
        <w:autoSpaceDN/>
        <w:bidi w:val="0"/>
        <w:adjustRightInd/>
        <w:snapToGrid/>
        <w:spacing w:line="440" w:lineRule="exact"/>
        <w:ind w:firstLine="480"/>
        <w:textAlignment w:val="auto"/>
        <w:outlineLvl w:val="0"/>
        <w:rPr>
          <w:rFonts w:hint="eastAsia" w:ascii="宋体" w:hAnsi="宋体" w:eastAsia="宋体" w:cs="宋体"/>
          <w:color w:val="auto"/>
          <w:sz w:val="28"/>
          <w:szCs w:val="28"/>
        </w:rPr>
      </w:pPr>
      <w:r>
        <w:rPr>
          <w:rFonts w:hint="eastAsia" w:ascii="宋体" w:hAnsi="宋体" w:eastAsia="宋体" w:cs="宋体"/>
          <w:color w:val="auto"/>
          <w:sz w:val="28"/>
          <w:szCs w:val="28"/>
        </w:rPr>
        <w:t>积极做好各种资料的记录、收集、整理、归档工作，以保证各种资料的准确、完整、有序，提供必需的内业资料。主要内容：包括维修作业、计量支付、图表等资料。要求承包单位设置专门的档案室、专业的内业资料管理员，按基础档案、巡查资料、作业计划、维修作业资料、计量支付资料等分类按日期汇总归档。资料采用实体文档和电子文档两种形式分别保管。</w:t>
      </w:r>
    </w:p>
    <w:p>
      <w:pPr>
        <w:spacing w:line="520" w:lineRule="exact"/>
        <w:ind w:firstLine="482"/>
        <w:outlineLvl w:val="0"/>
        <w:rPr>
          <w:rFonts w:hint="eastAsia" w:ascii="宋体" w:hAnsi="宋体" w:eastAsia="宋体" w:cs="宋体"/>
          <w:color w:val="auto"/>
          <w:sz w:val="28"/>
          <w:szCs w:val="28"/>
        </w:rPr>
      </w:pPr>
      <w:r>
        <w:rPr>
          <w:rFonts w:hint="eastAsia" w:ascii="宋体" w:hAnsi="宋体" w:eastAsia="宋体" w:cs="宋体"/>
          <w:b/>
          <w:color w:val="auto"/>
          <w:sz w:val="28"/>
          <w:szCs w:val="28"/>
        </w:rPr>
        <w:t>（六）</w:t>
      </w:r>
      <w:r>
        <w:rPr>
          <w:rFonts w:hint="eastAsia" w:ascii="宋体" w:hAnsi="宋体" w:eastAsia="宋体" w:cs="宋体"/>
          <w:color w:val="auto"/>
          <w:sz w:val="28"/>
          <w:szCs w:val="28"/>
        </w:rPr>
        <w:t>投标人根据以上养护作业内容与要求编制本项目实施方案，实施方案由以下部分组成（包含但不限于）：</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1、投标人的情况简介（应包括有关投标人的成立情况、注册和经营地点、基地、人员、装备、承包类似项目养护维修历史与业绩等简介）。</w:t>
      </w:r>
    </w:p>
    <w:p>
      <w:pPr>
        <w:spacing w:line="520" w:lineRule="exact"/>
        <w:ind w:firstLine="480"/>
        <w:outlineLvl w:val="0"/>
        <w:rPr>
          <w:rFonts w:hint="eastAsia" w:ascii="宋体" w:hAnsi="宋体" w:eastAsia="宋体" w:cs="宋体"/>
          <w:color w:val="auto"/>
          <w:sz w:val="28"/>
          <w:szCs w:val="28"/>
        </w:rPr>
      </w:pPr>
      <w:bookmarkStart w:id="5" w:name="OLE_LINK3"/>
      <w:r>
        <w:rPr>
          <w:rFonts w:hint="eastAsia" w:ascii="宋体" w:hAnsi="宋体" w:eastAsia="宋体" w:cs="宋体"/>
          <w:color w:val="auto"/>
          <w:sz w:val="28"/>
          <w:szCs w:val="28"/>
        </w:rPr>
        <w:t>2、拟投入本项目的项目经理及投入本项目的技术力量（包括项目实施人员一览表）和劳动力及技术力量配备。</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3、拟投入本项目的设备、种类、数量、性能及车辆牌照信息。</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4、投标文件编制综合说明，对本项目的理解。</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5、日常巡查与养护（运行）的养护维修技术方案设计及作业计划。根据现场踏勘情况，对照养护（运行）技术规范，确定保证快速路及附属设施完好的措施和技术手段，维修养护技术手段，养护（运行）组织计划等。投标人不应把作业法、操作规程、规范要求抄入技术方案（当采用新工艺、新技术或有特殊要求的情况除外）。</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6、管理质量保证技术措施。包括保证质量的技术、服务、管理保证措施。</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7、养护期间交通组织措施。</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8、安全、文明、环保、扬尘污染防控等保证措施。</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9、应急预案及应急设备配置。各类特殊情况（防汛防台、冰、雪、雾等突发事件以及紧急情况）下的应急预案、应急准备和处置措施。</w:t>
      </w:r>
      <w:bookmarkEnd w:id="5"/>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10、其他需说明的问题或需采取的技术措施。</w:t>
      </w:r>
    </w:p>
    <w:p>
      <w:pPr>
        <w:spacing w:line="520" w:lineRule="exact"/>
        <w:ind w:firstLine="482"/>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七、人员配备要求（本条为实质性响应指标，如有任何一项不满足或负偏离则视为无效投标）</w:t>
      </w:r>
    </w:p>
    <w:p>
      <w:pPr>
        <w:spacing w:line="520" w:lineRule="exact"/>
        <w:ind w:firstLine="482"/>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1、人数最低配备要求（下表中人员应分别由不同人担任）</w:t>
      </w:r>
    </w:p>
    <w:tbl>
      <w:tblPr>
        <w:tblStyle w:val="22"/>
        <w:tblW w:w="10258" w:type="dxa"/>
        <w:tblInd w:w="-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921"/>
        <w:gridCol w:w="6938"/>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47" w:type="dxa"/>
            <w:vAlign w:val="center"/>
          </w:tcPr>
          <w:p>
            <w:pPr>
              <w:spacing w:line="520" w:lineRule="exact"/>
              <w:jc w:val="center"/>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名称</w:t>
            </w:r>
          </w:p>
        </w:tc>
        <w:tc>
          <w:tcPr>
            <w:tcW w:w="921" w:type="dxa"/>
            <w:vAlign w:val="center"/>
          </w:tcPr>
          <w:p>
            <w:pPr>
              <w:spacing w:line="520" w:lineRule="exact"/>
              <w:jc w:val="center"/>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数量</w:t>
            </w:r>
          </w:p>
        </w:tc>
        <w:tc>
          <w:tcPr>
            <w:tcW w:w="6938" w:type="dxa"/>
            <w:vAlign w:val="center"/>
          </w:tcPr>
          <w:p>
            <w:pPr>
              <w:spacing w:line="520" w:lineRule="exact"/>
              <w:jc w:val="center"/>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要求</w:t>
            </w:r>
          </w:p>
        </w:tc>
        <w:tc>
          <w:tcPr>
            <w:tcW w:w="952" w:type="dxa"/>
            <w:vAlign w:val="center"/>
          </w:tcPr>
          <w:p>
            <w:pPr>
              <w:spacing w:line="520" w:lineRule="exact"/>
              <w:jc w:val="center"/>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1" w:hRule="atLeast"/>
        </w:trPr>
        <w:tc>
          <w:tcPr>
            <w:tcW w:w="1447" w:type="dxa"/>
            <w:vAlign w:val="center"/>
          </w:tcPr>
          <w:p>
            <w:pPr>
              <w:spacing w:line="520" w:lineRule="exact"/>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项目经理</w:t>
            </w:r>
          </w:p>
        </w:tc>
        <w:tc>
          <w:tcPr>
            <w:tcW w:w="921" w:type="dxa"/>
            <w:vAlign w:val="center"/>
          </w:tcPr>
          <w:p>
            <w:pPr>
              <w:spacing w:line="520" w:lineRule="exact"/>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6938" w:type="dxa"/>
            <w:vAlign w:val="center"/>
          </w:tcPr>
          <w:p>
            <w:pPr>
              <w:spacing w:line="520" w:lineRule="exact"/>
              <w:jc w:val="left"/>
              <w:outlineLvl w:val="0"/>
              <w:rPr>
                <w:rFonts w:hint="eastAsia" w:ascii="宋体" w:hAnsi="宋体" w:eastAsia="宋体" w:cs="宋体"/>
                <w:color w:val="auto"/>
                <w:sz w:val="28"/>
                <w:szCs w:val="28"/>
              </w:rPr>
            </w:pPr>
            <w:r>
              <w:rPr>
                <w:rFonts w:hint="eastAsia" w:ascii="宋体" w:hAnsi="宋体" w:eastAsia="宋体" w:cs="宋体"/>
                <w:color w:val="auto"/>
                <w:sz w:val="28"/>
                <w:szCs w:val="28"/>
              </w:rPr>
              <w:t>近三年担任过一级及以上等级公路或高架日常养护的项目经理（含项目副经理）或技术负责人，交通类中级及以上职称，且持二级及以上注册建造师证（公路或市政专业）。投标文件中提供项目经理的中级及以上职称证书扫描件、二级及以上注册建造师证证书扫描件</w:t>
            </w:r>
            <w:r>
              <w:rPr>
                <w:rFonts w:hint="eastAsia" w:ascii="宋体" w:hAnsi="宋体" w:eastAsia="宋体" w:cs="宋体"/>
                <w:b/>
                <w:bCs/>
                <w:color w:val="auto"/>
                <w:sz w:val="28"/>
                <w:szCs w:val="28"/>
              </w:rPr>
              <w:t>。</w:t>
            </w:r>
          </w:p>
        </w:tc>
        <w:tc>
          <w:tcPr>
            <w:tcW w:w="952" w:type="dxa"/>
            <w:vAlign w:val="center"/>
          </w:tcPr>
          <w:p>
            <w:pPr>
              <w:spacing w:line="520" w:lineRule="exact"/>
              <w:jc w:val="center"/>
              <w:outlineLvl w:val="0"/>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trPr>
        <w:tc>
          <w:tcPr>
            <w:tcW w:w="1447" w:type="dxa"/>
            <w:vAlign w:val="center"/>
          </w:tcPr>
          <w:p>
            <w:pPr>
              <w:spacing w:line="520" w:lineRule="exact"/>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技术负责人</w:t>
            </w:r>
          </w:p>
        </w:tc>
        <w:tc>
          <w:tcPr>
            <w:tcW w:w="921" w:type="dxa"/>
            <w:vAlign w:val="center"/>
          </w:tcPr>
          <w:p>
            <w:pPr>
              <w:spacing w:line="520" w:lineRule="exact"/>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6938" w:type="dxa"/>
            <w:vAlign w:val="center"/>
          </w:tcPr>
          <w:p>
            <w:pPr>
              <w:spacing w:line="520" w:lineRule="exact"/>
              <w:rPr>
                <w:rFonts w:hint="eastAsia" w:ascii="宋体" w:hAnsi="宋体" w:eastAsia="宋体" w:cs="宋体"/>
                <w:color w:val="auto"/>
                <w:sz w:val="28"/>
                <w:szCs w:val="28"/>
              </w:rPr>
            </w:pPr>
            <w:r>
              <w:rPr>
                <w:rFonts w:hint="eastAsia" w:ascii="宋体" w:hAnsi="宋体" w:eastAsia="宋体" w:cs="宋体"/>
                <w:color w:val="auto"/>
                <w:sz w:val="28"/>
                <w:szCs w:val="28"/>
              </w:rPr>
              <w:t>具有五年以上一级及以上等级公路或高架日常养护经历，交通类中级及以上职称。投标文件中提供技术负责人的中级及以上职称证书扫描件。</w:t>
            </w:r>
          </w:p>
        </w:tc>
        <w:tc>
          <w:tcPr>
            <w:tcW w:w="952" w:type="dxa"/>
            <w:vAlign w:val="center"/>
          </w:tcPr>
          <w:p>
            <w:pPr>
              <w:spacing w:line="520" w:lineRule="exact"/>
              <w:jc w:val="center"/>
              <w:outlineLvl w:val="0"/>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447" w:type="dxa"/>
            <w:vAlign w:val="center"/>
          </w:tcPr>
          <w:p>
            <w:pPr>
              <w:spacing w:line="520" w:lineRule="exact"/>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专职安全员</w:t>
            </w:r>
          </w:p>
        </w:tc>
        <w:tc>
          <w:tcPr>
            <w:tcW w:w="921" w:type="dxa"/>
            <w:vAlign w:val="center"/>
          </w:tcPr>
          <w:p>
            <w:pPr>
              <w:spacing w:line="520" w:lineRule="exact"/>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6938" w:type="dxa"/>
            <w:vAlign w:val="center"/>
          </w:tcPr>
          <w:p>
            <w:pPr>
              <w:spacing w:line="520" w:lineRule="exact"/>
              <w:jc w:val="left"/>
              <w:outlineLvl w:val="0"/>
              <w:rPr>
                <w:rFonts w:hint="eastAsia" w:ascii="宋体" w:hAnsi="宋体" w:eastAsia="宋体" w:cs="宋体"/>
                <w:color w:val="auto"/>
                <w:sz w:val="28"/>
                <w:szCs w:val="28"/>
              </w:rPr>
            </w:pPr>
            <w:r>
              <w:rPr>
                <w:rFonts w:hint="eastAsia" w:ascii="宋体" w:hAnsi="宋体" w:eastAsia="宋体" w:cs="宋体"/>
                <w:color w:val="auto"/>
                <w:sz w:val="28"/>
                <w:szCs w:val="28"/>
              </w:rPr>
              <w:t>持安全C证。投标文件中提供专职安全员的安全C证证书扫描件。</w:t>
            </w:r>
          </w:p>
        </w:tc>
        <w:tc>
          <w:tcPr>
            <w:tcW w:w="952" w:type="dxa"/>
            <w:vAlign w:val="center"/>
          </w:tcPr>
          <w:p>
            <w:pPr>
              <w:spacing w:line="520" w:lineRule="exact"/>
              <w:jc w:val="center"/>
              <w:outlineLvl w:val="0"/>
              <w:rPr>
                <w:rFonts w:hint="eastAsia" w:ascii="宋体" w:hAnsi="宋体" w:eastAsia="宋体" w:cs="宋体"/>
                <w:color w:val="auto"/>
                <w:sz w:val="28"/>
                <w:szCs w:val="28"/>
              </w:rPr>
            </w:pPr>
          </w:p>
        </w:tc>
      </w:tr>
    </w:tbl>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2、工作人员应穿戴统一服装，配有明显标识。</w:t>
      </w:r>
    </w:p>
    <w:p>
      <w:pPr>
        <w:spacing w:line="520" w:lineRule="exact"/>
        <w:ind w:firstLine="480"/>
        <w:rPr>
          <w:rFonts w:hint="eastAsia" w:ascii="宋体" w:hAnsi="宋体" w:eastAsia="宋体" w:cs="宋体"/>
          <w:color w:val="auto"/>
          <w:sz w:val="28"/>
          <w:szCs w:val="28"/>
        </w:rPr>
      </w:pPr>
      <w:r>
        <w:rPr>
          <w:rFonts w:hint="eastAsia" w:ascii="宋体" w:hAnsi="宋体" w:eastAsia="宋体" w:cs="宋体"/>
          <w:color w:val="auto"/>
          <w:sz w:val="28"/>
          <w:szCs w:val="28"/>
        </w:rPr>
        <w:t>3、项目部组织机构健全，主要管理人员常驻现场。项目经理与技术负责人必须常驻现场（每月不少于22天）。</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4、</w:t>
      </w:r>
      <w:r>
        <w:rPr>
          <w:rFonts w:hint="eastAsia" w:ascii="宋体" w:hAnsi="宋体" w:eastAsia="宋体" w:cs="宋体"/>
          <w:b/>
          <w:bCs/>
          <w:color w:val="auto"/>
          <w:sz w:val="28"/>
          <w:szCs w:val="28"/>
        </w:rPr>
        <w:t>投标文件中提供上述人员简历表、主要项目经验以及人员身份证扫描件</w:t>
      </w:r>
      <w:r>
        <w:rPr>
          <w:rFonts w:hint="eastAsia" w:ascii="宋体" w:hAnsi="宋体" w:eastAsia="宋体" w:cs="宋体"/>
          <w:color w:val="auto"/>
          <w:sz w:val="28"/>
          <w:szCs w:val="28"/>
        </w:rPr>
        <w:t>。</w:t>
      </w:r>
    </w:p>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5、如无充分理由项目部主要管理人员不得中途更换，确需更换的须以书面形式征得</w:t>
      </w:r>
      <w:r>
        <w:rPr>
          <w:rFonts w:hint="eastAsia" w:ascii="宋体" w:hAnsi="宋体" w:cs="宋体"/>
          <w:color w:val="auto"/>
          <w:sz w:val="28"/>
          <w:szCs w:val="28"/>
          <w:lang w:val="en-US" w:eastAsia="zh-CN"/>
        </w:rPr>
        <w:t>采购人</w:t>
      </w:r>
      <w:r>
        <w:rPr>
          <w:rFonts w:hint="eastAsia" w:ascii="宋体" w:hAnsi="宋体" w:eastAsia="宋体" w:cs="宋体"/>
          <w:color w:val="auto"/>
          <w:sz w:val="28"/>
          <w:szCs w:val="28"/>
        </w:rPr>
        <w:t>同意。如因中标人的人力、能力不足致使项目不能按计划完成时，采购人可要求中标人增加或替换为满足</w:t>
      </w:r>
      <w:r>
        <w:rPr>
          <w:rFonts w:hint="eastAsia" w:ascii="宋体" w:hAnsi="宋体" w:cs="宋体"/>
          <w:color w:val="auto"/>
          <w:sz w:val="28"/>
          <w:szCs w:val="28"/>
          <w:lang w:val="en-US" w:eastAsia="zh-CN"/>
        </w:rPr>
        <w:t>采购人</w:t>
      </w:r>
      <w:r>
        <w:rPr>
          <w:rFonts w:hint="eastAsia" w:ascii="宋体" w:hAnsi="宋体" w:eastAsia="宋体" w:cs="宋体"/>
          <w:color w:val="auto"/>
          <w:sz w:val="28"/>
          <w:szCs w:val="28"/>
        </w:rPr>
        <w:t>要求的工作人员，中标人不得拒绝。</w:t>
      </w:r>
    </w:p>
    <w:p>
      <w:pPr>
        <w:spacing w:line="520" w:lineRule="exact"/>
        <w:ind w:firstLine="482"/>
        <w:outlineLvl w:val="0"/>
        <w:rPr>
          <w:rFonts w:hint="eastAsia" w:ascii="宋体" w:hAnsi="宋体" w:eastAsia="宋体" w:cs="宋体"/>
          <w:b/>
          <w:bCs/>
          <w:color w:val="auto"/>
          <w:sz w:val="28"/>
          <w:szCs w:val="28"/>
        </w:rPr>
      </w:pPr>
      <w:r>
        <w:rPr>
          <w:rFonts w:hint="eastAsia" w:ascii="宋体" w:hAnsi="宋体" w:eastAsia="宋体" w:cs="宋体"/>
          <w:b/>
          <w:bCs/>
          <w:color w:val="auto"/>
          <w:sz w:val="28"/>
          <w:szCs w:val="28"/>
        </w:rPr>
        <w:t>6、投标人必须在投标文件中承诺：如中标，对本项目所配备的工作人员不低于上述要求。投标文件中无承诺的为无效投标。（格式自拟）</w:t>
      </w:r>
    </w:p>
    <w:p>
      <w:pPr>
        <w:spacing w:line="520" w:lineRule="exact"/>
        <w:ind w:firstLine="482"/>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八、养护设备配置要求（本条为实质性响应指标，如有任何一项不满足或负偏离则视为无效投标）</w:t>
      </w:r>
    </w:p>
    <w:p>
      <w:pPr>
        <w:spacing w:line="520" w:lineRule="exact"/>
        <w:ind w:firstLine="482"/>
        <w:outlineLvl w:val="0"/>
        <w:rPr>
          <w:rFonts w:hint="eastAsia" w:ascii="宋体" w:hAnsi="宋体" w:eastAsia="宋体" w:cs="宋体"/>
          <w:color w:val="auto"/>
          <w:sz w:val="28"/>
          <w:szCs w:val="28"/>
        </w:rPr>
      </w:pPr>
      <w:r>
        <w:rPr>
          <w:rFonts w:hint="eastAsia" w:ascii="宋体" w:hAnsi="宋体" w:eastAsia="宋体" w:cs="宋体"/>
          <w:b/>
          <w:bCs/>
          <w:color w:val="auto"/>
          <w:sz w:val="28"/>
          <w:szCs w:val="28"/>
        </w:rPr>
        <w:t>1、设备最低配置要求</w:t>
      </w:r>
    </w:p>
    <w:tbl>
      <w:tblPr>
        <w:tblStyle w:val="22"/>
        <w:tblW w:w="9620" w:type="dxa"/>
        <w:tblInd w:w="-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0"/>
        <w:gridCol w:w="1980"/>
        <w:gridCol w:w="4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45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机械设备名称</w:t>
            </w:r>
          </w:p>
        </w:tc>
        <w:tc>
          <w:tcPr>
            <w:tcW w:w="198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设备数量</w:t>
            </w:r>
          </w:p>
        </w:tc>
        <w:tc>
          <w:tcPr>
            <w:tcW w:w="419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45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高空作业车</w:t>
            </w:r>
          </w:p>
        </w:tc>
        <w:tc>
          <w:tcPr>
            <w:tcW w:w="198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419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举升高度不小于15米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45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沥青路面综合养护车</w:t>
            </w:r>
          </w:p>
        </w:tc>
        <w:tc>
          <w:tcPr>
            <w:tcW w:w="198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4190" w:type="dxa"/>
            <w:vAlign w:val="center"/>
          </w:tcPr>
          <w:p>
            <w:pPr>
              <w:spacing w:line="520" w:lineRule="exact"/>
              <w:ind w:firstLine="480"/>
              <w:jc w:val="center"/>
              <w:outlineLvl w:val="0"/>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45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防撞缓冲警示作业车</w:t>
            </w:r>
          </w:p>
        </w:tc>
        <w:tc>
          <w:tcPr>
            <w:tcW w:w="198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4190" w:type="dxa"/>
            <w:vAlign w:val="center"/>
          </w:tcPr>
          <w:p>
            <w:pPr>
              <w:spacing w:line="520" w:lineRule="exact"/>
              <w:ind w:firstLine="480"/>
              <w:jc w:val="center"/>
              <w:outlineLvl w:val="0"/>
              <w:rPr>
                <w:rFonts w:hint="eastAsia" w:ascii="宋体" w:hAnsi="宋体" w:eastAsia="宋体" w:cs="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450" w:type="dxa"/>
            <w:shd w:val="clear" w:color="auto" w:fill="auto"/>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巡查车</w:t>
            </w:r>
          </w:p>
        </w:tc>
        <w:tc>
          <w:tcPr>
            <w:tcW w:w="1980" w:type="dxa"/>
            <w:shd w:val="clear" w:color="auto" w:fill="auto"/>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4190" w:type="dxa"/>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统一标识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450" w:type="dxa"/>
            <w:shd w:val="clear" w:color="auto" w:fill="auto"/>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笔记本电脑</w:t>
            </w:r>
          </w:p>
        </w:tc>
        <w:tc>
          <w:tcPr>
            <w:tcW w:w="1980" w:type="dxa"/>
            <w:shd w:val="clear" w:color="auto" w:fill="auto"/>
            <w:vAlign w:val="center"/>
          </w:tcPr>
          <w:p>
            <w:pPr>
              <w:spacing w:line="520" w:lineRule="exact"/>
              <w:ind w:firstLine="480"/>
              <w:jc w:val="center"/>
              <w:outlineLvl w:val="0"/>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4190" w:type="dxa"/>
            <w:vAlign w:val="center"/>
          </w:tcPr>
          <w:p>
            <w:pPr>
              <w:spacing w:line="520" w:lineRule="exact"/>
              <w:ind w:firstLine="480"/>
              <w:jc w:val="center"/>
              <w:outlineLvl w:val="0"/>
              <w:rPr>
                <w:rFonts w:hint="eastAsia" w:ascii="宋体" w:hAnsi="宋体" w:eastAsia="宋体" w:cs="宋体"/>
                <w:color w:val="auto"/>
                <w:sz w:val="28"/>
                <w:szCs w:val="28"/>
              </w:rPr>
            </w:pPr>
          </w:p>
        </w:tc>
      </w:tr>
    </w:tbl>
    <w:p>
      <w:pPr>
        <w:spacing w:line="520" w:lineRule="exact"/>
        <w:ind w:firstLine="480"/>
        <w:outlineLvl w:val="0"/>
        <w:rPr>
          <w:rFonts w:hint="eastAsia" w:ascii="宋体" w:hAnsi="宋体" w:eastAsia="宋体" w:cs="宋体"/>
          <w:color w:val="auto"/>
          <w:sz w:val="28"/>
          <w:szCs w:val="28"/>
        </w:rPr>
      </w:pPr>
      <w:r>
        <w:rPr>
          <w:rFonts w:hint="eastAsia" w:ascii="宋体" w:hAnsi="宋体" w:eastAsia="宋体" w:cs="宋体"/>
          <w:color w:val="auto"/>
          <w:sz w:val="28"/>
          <w:szCs w:val="28"/>
        </w:rPr>
        <w:t>2、本项目所配置的设备不得同时用于其他同类项目。</w:t>
      </w:r>
    </w:p>
    <w:p>
      <w:pPr>
        <w:spacing w:line="520" w:lineRule="exact"/>
        <w:ind w:firstLine="480"/>
        <w:outlineLvl w:val="0"/>
        <w:rPr>
          <w:rFonts w:hint="eastAsia" w:ascii="宋体" w:hAnsi="宋体" w:eastAsia="宋体" w:cs="宋体"/>
          <w:b/>
          <w:bCs/>
          <w:color w:val="auto"/>
          <w:sz w:val="28"/>
          <w:szCs w:val="28"/>
        </w:rPr>
      </w:pPr>
      <w:r>
        <w:rPr>
          <w:rFonts w:hint="eastAsia" w:ascii="宋体" w:hAnsi="宋体" w:eastAsia="宋体" w:cs="宋体"/>
          <w:color w:val="auto"/>
          <w:sz w:val="28"/>
          <w:szCs w:val="28"/>
        </w:rPr>
        <w:t>3、投标文件中提供设备发票扫描件或租赁合同扫描件</w:t>
      </w:r>
      <w:r>
        <w:rPr>
          <w:rFonts w:hint="eastAsia" w:ascii="宋体" w:hAnsi="宋体" w:eastAsia="宋体" w:cs="宋体"/>
          <w:b/>
          <w:bCs/>
          <w:color w:val="auto"/>
          <w:sz w:val="28"/>
          <w:szCs w:val="28"/>
        </w:rPr>
        <w:t>。</w:t>
      </w:r>
    </w:p>
    <w:p>
      <w:pPr>
        <w:spacing w:line="520" w:lineRule="exact"/>
        <w:ind w:firstLine="482"/>
        <w:outlineLvl w:val="0"/>
        <w:rPr>
          <w:rFonts w:hint="eastAsia" w:ascii="宋体" w:hAnsi="宋体" w:eastAsia="宋体" w:cs="宋体"/>
          <w:color w:val="auto"/>
          <w:sz w:val="28"/>
          <w:szCs w:val="28"/>
        </w:rPr>
      </w:pPr>
      <w:r>
        <w:rPr>
          <w:rFonts w:hint="eastAsia" w:ascii="宋体" w:hAnsi="宋体" w:eastAsia="宋体" w:cs="宋体"/>
          <w:b/>
          <w:bCs/>
          <w:color w:val="auto"/>
          <w:sz w:val="28"/>
          <w:szCs w:val="28"/>
        </w:rPr>
        <w:t>4、投标人必须在投标文件中承诺：如中标，对本项目所配置的养护设备不低于上述要求。投标文件中无承诺的为无效投标。（格式自拟）</w:t>
      </w:r>
    </w:p>
    <w:p>
      <w:pPr>
        <w:spacing w:line="520" w:lineRule="exact"/>
        <w:ind w:firstLine="482"/>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九、其他说明：</w:t>
      </w:r>
    </w:p>
    <w:p>
      <w:pPr>
        <w:spacing w:line="520" w:lineRule="exact"/>
        <w:ind w:firstLine="480"/>
        <w:outlineLvl w:val="0"/>
        <w:rPr>
          <w:rFonts w:hint="eastAsia" w:ascii="宋体" w:hAnsi="宋体" w:eastAsia="宋体" w:cs="宋体"/>
          <w:b/>
          <w:color w:val="auto"/>
          <w:sz w:val="28"/>
          <w:szCs w:val="28"/>
        </w:rPr>
      </w:pPr>
      <w:r>
        <w:rPr>
          <w:rFonts w:hint="eastAsia" w:ascii="宋体" w:hAnsi="宋体" w:eastAsia="宋体" w:cs="宋体"/>
          <w:color w:val="auto"/>
          <w:sz w:val="28"/>
          <w:szCs w:val="28"/>
        </w:rPr>
        <w:t>材料、综合费用以及人工单价等报价依据：交通部《公路工程预算定额》、《公路工程概预算编制办法》、《公路工程机械台班费用定额》；江苏省《公路养护工程预算编制办法及定额》、《徐州工程造价信息》（以上定额仅供参考）。</w:t>
      </w:r>
    </w:p>
    <w:p>
      <w:pPr>
        <w:spacing w:line="520" w:lineRule="exact"/>
        <w:ind w:firstLine="482"/>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十、其他要求</w:t>
      </w:r>
    </w:p>
    <w:p>
      <w:pPr>
        <w:keepNext w:val="0"/>
        <w:keepLines w:val="0"/>
        <w:pageBreakBefore w:val="0"/>
        <w:widowControl w:val="0"/>
        <w:kinsoku/>
        <w:wordWrap/>
        <w:overflowPunct/>
        <w:topLinePunct w:val="0"/>
        <w:autoSpaceDE/>
        <w:autoSpaceDN/>
        <w:bidi w:val="0"/>
        <w:adjustRightInd/>
        <w:snapToGrid/>
        <w:spacing w:line="200" w:lineRule="atLeast"/>
        <w:textAlignment w:val="auto"/>
        <w:rPr>
          <w:color w:val="auto"/>
        </w:rPr>
      </w:pPr>
      <w:r>
        <w:rPr>
          <w:rFonts w:hint="eastAsia" w:ascii="宋体" w:hAnsi="宋体" w:eastAsia="宋体" w:cs="宋体"/>
          <w:b w:val="0"/>
          <w:bCs w:val="0"/>
          <w:color w:val="auto"/>
          <w:sz w:val="28"/>
          <w:szCs w:val="28"/>
          <w:lang w:val="en-US" w:eastAsia="zh-CN" w:bidi="ar-SA"/>
        </w:rPr>
        <w:t>见招标文件第五章《拟签订的合同文本》。</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C49A3"/>
    <w:rsid w:val="13923875"/>
    <w:rsid w:val="3B337E46"/>
    <w:rsid w:val="409E33DB"/>
    <w:rsid w:val="481E60AD"/>
    <w:rsid w:val="4B7B0F89"/>
    <w:rsid w:val="50DE5B7C"/>
    <w:rsid w:val="59FB5EC9"/>
    <w:rsid w:val="5F436FE4"/>
    <w:rsid w:val="60636E92"/>
    <w:rsid w:val="700A50B3"/>
    <w:rsid w:val="73891D5B"/>
    <w:rsid w:val="7E234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文本块11"/>
    <w:basedOn w:val="3"/>
    <w:qFormat/>
    <w:uiPriority w:val="0"/>
    <w:pPr>
      <w:ind w:left="256" w:right="6" w:firstLine="624"/>
    </w:pPr>
    <w:rPr>
      <w:rFonts w:ascii="Arial" w:hAnsi="Arial" w:eastAsia="仿宋"/>
      <w:sz w:val="28"/>
    </w:rPr>
  </w:style>
  <w:style w:type="paragraph" w:customStyle="1" w:styleId="3">
    <w:name w:val="正文12"/>
    <w:next w:val="4"/>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4">
    <w:name w:val="正文文本111"/>
    <w:basedOn w:val="3"/>
    <w:next w:val="3"/>
    <w:qFormat/>
    <w:uiPriority w:val="0"/>
  </w:style>
  <w:style w:type="paragraph" w:styleId="6">
    <w:name w:val="Body Text"/>
    <w:basedOn w:val="1"/>
    <w:next w:val="7"/>
    <w:qFormat/>
    <w:uiPriority w:val="0"/>
    <w:pPr>
      <w:spacing w:after="120"/>
    </w:pPr>
  </w:style>
  <w:style w:type="paragraph" w:customStyle="1" w:styleId="7">
    <w:name w:val="一级条标题"/>
    <w:basedOn w:val="8"/>
    <w:next w:val="9"/>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8">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9">
    <w:name w:val="段"/>
    <w:basedOn w:val="10"/>
    <w:next w:val="1"/>
    <w:qFormat/>
    <w:uiPriority w:val="0"/>
    <w:pPr>
      <w:widowControl/>
      <w:ind w:firstLine="200"/>
    </w:pPr>
    <w:rPr>
      <w:rFonts w:hint="eastAsia" w:ascii="宋体"/>
      <w:szCs w:val="20"/>
    </w:rPr>
  </w:style>
  <w:style w:type="paragraph" w:customStyle="1" w:styleId="10">
    <w:name w:val="正文1"/>
    <w:basedOn w:val="11"/>
    <w:next w:val="2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1">
    <w:name w:val="正文111"/>
    <w:next w:val="1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
    <w:name w:val="正文首行缩进1"/>
    <w:basedOn w:val="13"/>
    <w:next w:val="17"/>
    <w:qFormat/>
    <w:uiPriority w:val="0"/>
    <w:pPr>
      <w:ind w:firstLine="420"/>
    </w:pPr>
    <w:rPr>
      <w:rFonts w:ascii="仿宋_GB2312" w:hAnsi="Times New Roman" w:eastAsia="仿宋_GB2312"/>
      <w:sz w:val="30"/>
      <w:szCs w:val="30"/>
    </w:rPr>
  </w:style>
  <w:style w:type="paragraph" w:customStyle="1" w:styleId="13">
    <w:name w:val="正文文本11"/>
    <w:basedOn w:val="14"/>
    <w:next w:val="15"/>
    <w:qFormat/>
    <w:uiPriority w:val="0"/>
    <w:pPr>
      <w:spacing w:after="120"/>
    </w:pPr>
  </w:style>
  <w:style w:type="paragraph" w:customStyle="1" w:styleId="14">
    <w:name w:val="正文112"/>
    <w:next w:val="1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5">
    <w:name w:val="正文11"/>
    <w:next w:val="16"/>
    <w:qFormat/>
    <w:uiPriority w:val="0"/>
    <w:pPr>
      <w:jc w:val="both"/>
    </w:pPr>
    <w:rPr>
      <w:rFonts w:hint="default" w:ascii="Times New Roman" w:hAnsi="Times New Roman" w:eastAsia="宋体" w:cs="Times New Roman"/>
      <w:lang w:val="en-US" w:eastAsia="zh-CN" w:bidi="ar-SA"/>
    </w:rPr>
  </w:style>
  <w:style w:type="paragraph" w:customStyle="1" w:styleId="16">
    <w:name w:val="标题 211"/>
    <w:basedOn w:val="15"/>
    <w:next w:val="15"/>
    <w:qFormat/>
    <w:uiPriority w:val="0"/>
    <w:pPr>
      <w:keepNext/>
      <w:keepLines/>
      <w:spacing w:before="260" w:after="260" w:line="416" w:lineRule="auto"/>
      <w:outlineLvl w:val="1"/>
    </w:pPr>
    <w:rPr>
      <w:rFonts w:ascii="Calibri Light" w:hAnsi="Calibri Light"/>
      <w:bCs/>
      <w:sz w:val="32"/>
      <w:szCs w:val="32"/>
    </w:rPr>
  </w:style>
  <w:style w:type="paragraph" w:customStyle="1" w:styleId="17">
    <w:name w:val="正文首行缩进 21"/>
    <w:basedOn w:val="18"/>
    <w:next w:val="11"/>
    <w:qFormat/>
    <w:uiPriority w:val="0"/>
    <w:pPr>
      <w:ind w:firstLine="420"/>
    </w:pPr>
    <w:rPr>
      <w:rFonts w:ascii="Times New Roman" w:hAnsi="Times New Roman"/>
    </w:rPr>
  </w:style>
  <w:style w:type="paragraph" w:customStyle="1" w:styleId="18">
    <w:name w:val="正文文本缩进1"/>
    <w:basedOn w:val="1"/>
    <w:next w:val="19"/>
    <w:qFormat/>
    <w:uiPriority w:val="99"/>
    <w:pPr>
      <w:spacing w:after="120"/>
      <w:ind w:left="420"/>
    </w:pPr>
    <w:rPr>
      <w:rFonts w:ascii="Calibri" w:hAnsi="Calibri"/>
    </w:rPr>
  </w:style>
  <w:style w:type="paragraph" w:customStyle="1" w:styleId="19">
    <w:name w:val="寄信人地址1"/>
    <w:basedOn w:val="1"/>
    <w:qFormat/>
    <w:uiPriority w:val="0"/>
    <w:rPr>
      <w:rFonts w:ascii="Arial" w:hAnsi="Arial"/>
    </w:rPr>
  </w:style>
  <w:style w:type="paragraph" w:customStyle="1" w:styleId="20">
    <w:name w:val="目录 11"/>
    <w:basedOn w:val="3"/>
    <w:next w:val="10"/>
    <w:qFormat/>
    <w:uiPriority w:val="39"/>
  </w:style>
  <w:style w:type="paragraph" w:styleId="21">
    <w:name w:val="Block Text"/>
    <w:basedOn w:val="1"/>
    <w:qFormat/>
    <w:uiPriority w:val="0"/>
    <w:pPr>
      <w:ind w:left="567" w:right="454" w:firstLine="498"/>
    </w:pPr>
    <w:rPr>
      <w:rFonts w:ascii="仿宋_GB2312" w:eastAsia="仿宋_GB2312"/>
      <w:sz w:val="30"/>
    </w:rPr>
  </w:style>
  <w:style w:type="table" w:styleId="23">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5">
    <w:name w:val="标题 111"/>
    <w:basedOn w:val="1"/>
    <w:next w:val="1"/>
    <w:qFormat/>
    <w:uiPriority w:val="9"/>
    <w:pPr>
      <w:keepNext/>
      <w:keepLines/>
      <w:spacing w:line="578" w:lineRule="auto"/>
      <w:jc w:val="center"/>
      <w:outlineLvl w:val="0"/>
    </w:pPr>
    <w:rPr>
      <w:rFonts w:eastAsia="新宋体"/>
      <w:b/>
      <w:bCs/>
      <w:sz w:val="30"/>
      <w:szCs w:val="44"/>
    </w:rPr>
  </w:style>
  <w:style w:type="paragraph" w:customStyle="1" w:styleId="26">
    <w:name w:val="正文文本1"/>
    <w:basedOn w:val="1"/>
    <w:qFormat/>
    <w:uiPriority w:val="0"/>
    <w:pPr>
      <w:spacing w:after="120"/>
    </w:pPr>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2025-01-09T01:45:00Z</dcterms:created>
  <dc:creator>Administrator</dc:creator>
  <cp:lastModifiedBy>       J.</cp:lastModifiedBy>
  <dcterms:modified xsi:type="dcterms:W3CDTF">2026-04-29T06:13:54Z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598A79BA465A4E06BF0C32D99D92C58E</vt:lpwstr>
  </property>
</Properties>
</file>