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7F8E0D">
      <w:pPr>
        <w:pStyle w:val="8"/>
        <w:keepNext w:val="0"/>
        <w:keepLines w:val="0"/>
        <w:widowControl/>
        <w:suppressLineNumbers w:val="0"/>
        <w:spacing w:before="0" w:beforeAutospacing="1" w:after="0" w:afterAutospacing="1" w:line="27" w:lineRule="atLeast"/>
        <w:ind w:left="0" w:right="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 xml:space="preserve">附件： </w:t>
      </w:r>
    </w:p>
    <w:p w14:paraId="4BEA6B9C">
      <w:pPr>
        <w:pStyle w:val="8"/>
        <w:keepNext w:val="0"/>
        <w:keepLines w:val="0"/>
        <w:widowControl/>
        <w:suppressLineNumbers w:val="0"/>
        <w:spacing w:before="0" w:beforeAutospacing="1" w:after="0" w:afterAutospacing="1" w:line="27" w:lineRule="atLeast"/>
        <w:ind w:left="0" w:right="0" w:firstLine="560" w:firstLineChars="200"/>
        <w:rPr>
          <w:rFonts w:hint="eastAsia" w:ascii="宋体" w:hAnsi="宋体" w:eastAsia="宋体" w:cs="宋体"/>
          <w:color w:val="000000" w:themeColor="text1"/>
          <w:sz w:val="28"/>
          <w:szCs w:val="28"/>
          <w:highlight w:val="none"/>
          <w14:textFill>
            <w14:solidFill>
              <w14:schemeClr w14:val="tx1"/>
            </w14:solidFill>
          </w14:textFill>
        </w:rPr>
      </w:pPr>
      <w:r>
        <w:rPr>
          <w:rFonts w:hint="eastAsia" w:ascii="宋体" w:hAnsi="宋体" w:eastAsia="宋体" w:cs="宋体"/>
          <w:color w:val="000000" w:themeColor="text1"/>
          <w:sz w:val="28"/>
          <w:szCs w:val="28"/>
          <w:highlight w:val="none"/>
          <w14:textFill>
            <w14:solidFill>
              <w14:schemeClr w14:val="tx1"/>
            </w14:solidFill>
          </w14:textFill>
        </w:rPr>
        <w:t>如有建议或意见，请以书面形式并加盖公章、注明联系人、联系方式，于20</w:t>
      </w:r>
      <w:r>
        <w:rPr>
          <w:rFonts w:hint="eastAsia" w:ascii="宋体" w:hAnsi="宋体" w:eastAsia="宋体" w:cs="宋体"/>
          <w:color w:val="000000" w:themeColor="text1"/>
          <w:sz w:val="28"/>
          <w:szCs w:val="28"/>
          <w:highlight w:val="none"/>
          <w:lang w:val="en-US" w:eastAsia="zh-CN"/>
          <w14:textFill>
            <w14:solidFill>
              <w14:schemeClr w14:val="tx1"/>
            </w14:solidFill>
          </w14:textFill>
        </w:rPr>
        <w:t>2</w:t>
      </w:r>
      <w:r>
        <w:rPr>
          <w:rFonts w:hint="eastAsia" w:ascii="宋体" w:hAnsi="宋体" w:cs="宋体"/>
          <w:color w:val="000000" w:themeColor="text1"/>
          <w:sz w:val="28"/>
          <w:szCs w:val="28"/>
          <w:highlight w:val="none"/>
          <w:lang w:val="en-US" w:eastAsia="zh-CN"/>
          <w14:textFill>
            <w14:solidFill>
              <w14:schemeClr w14:val="tx1"/>
            </w14:solidFill>
          </w14:textFill>
        </w:rPr>
        <w:t>6</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cs="宋体"/>
          <w:color w:val="000000" w:themeColor="text1"/>
          <w:sz w:val="28"/>
          <w:szCs w:val="28"/>
          <w:highlight w:val="none"/>
          <w:lang w:val="en-US" w:eastAsia="zh-CN"/>
          <w14:textFill>
            <w14:solidFill>
              <w14:schemeClr w14:val="tx1"/>
            </w14:solidFill>
          </w14:textFill>
        </w:rPr>
        <w:t>4</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cs="宋体"/>
          <w:color w:val="000000" w:themeColor="text1"/>
          <w:sz w:val="28"/>
          <w:szCs w:val="28"/>
          <w:highlight w:val="none"/>
          <w:lang w:val="en-US" w:eastAsia="zh-CN"/>
          <w14:textFill>
            <w14:solidFill>
              <w14:schemeClr w14:val="tx1"/>
            </w14:solidFill>
          </w14:textFill>
        </w:rPr>
        <w:t>13</w:t>
      </w:r>
      <w:r>
        <w:rPr>
          <w:rFonts w:hint="eastAsia" w:ascii="宋体" w:hAnsi="宋体" w:eastAsia="宋体" w:cs="宋体"/>
          <w:color w:val="000000" w:themeColor="text1"/>
          <w:sz w:val="28"/>
          <w:szCs w:val="28"/>
          <w:highlight w:val="none"/>
          <w14:textFill>
            <w14:solidFill>
              <w14:schemeClr w14:val="tx1"/>
            </w14:solidFill>
          </w14:textFill>
        </w:rPr>
        <w:t>日</w:t>
      </w:r>
      <w:r>
        <w:rPr>
          <w:rFonts w:hint="eastAsia" w:ascii="宋体" w:hAnsi="宋体" w:eastAsia="宋体" w:cs="宋体"/>
          <w:color w:val="000000" w:themeColor="text1"/>
          <w:sz w:val="28"/>
          <w:szCs w:val="28"/>
          <w:highlight w:val="none"/>
          <w:lang w:val="en-US" w:eastAsia="zh-CN"/>
          <w14:textFill>
            <w14:solidFill>
              <w14:schemeClr w14:val="tx1"/>
            </w14:solidFill>
          </w14:textFill>
        </w:rPr>
        <w:t>17</w:t>
      </w: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00</w:t>
      </w:r>
      <w:r>
        <w:rPr>
          <w:rFonts w:hint="eastAsia" w:ascii="宋体" w:hAnsi="宋体" w:eastAsia="宋体" w:cs="宋体"/>
          <w:color w:val="000000" w:themeColor="text1"/>
          <w:sz w:val="28"/>
          <w:szCs w:val="28"/>
          <w:highlight w:val="none"/>
          <w14:textFill>
            <w14:solidFill>
              <w14:schemeClr w14:val="tx1"/>
            </w14:solidFill>
          </w14:textFill>
        </w:rPr>
        <w:t>之前送至我单位，逾期不受理（如邮寄，20</w:t>
      </w:r>
      <w:r>
        <w:rPr>
          <w:rFonts w:hint="eastAsia" w:ascii="宋体" w:hAnsi="宋体" w:eastAsia="宋体" w:cs="宋体"/>
          <w:color w:val="000000" w:themeColor="text1"/>
          <w:sz w:val="28"/>
          <w:szCs w:val="28"/>
          <w:highlight w:val="none"/>
          <w:lang w:val="en-US" w:eastAsia="zh-CN"/>
          <w14:textFill>
            <w14:solidFill>
              <w14:schemeClr w14:val="tx1"/>
            </w14:solidFill>
          </w14:textFill>
        </w:rPr>
        <w:t>2</w:t>
      </w:r>
      <w:r>
        <w:rPr>
          <w:rFonts w:hint="eastAsia" w:ascii="宋体" w:hAnsi="宋体" w:cs="宋体"/>
          <w:color w:val="000000" w:themeColor="text1"/>
          <w:sz w:val="28"/>
          <w:szCs w:val="28"/>
          <w:highlight w:val="none"/>
          <w:lang w:val="en-US" w:eastAsia="zh-CN"/>
          <w14:textFill>
            <w14:solidFill>
              <w14:schemeClr w14:val="tx1"/>
            </w14:solidFill>
          </w14:textFill>
        </w:rPr>
        <w:t>6</w:t>
      </w:r>
      <w:r>
        <w:rPr>
          <w:rFonts w:hint="eastAsia" w:ascii="宋体" w:hAnsi="宋体" w:eastAsia="宋体" w:cs="宋体"/>
          <w:color w:val="000000" w:themeColor="text1"/>
          <w:sz w:val="28"/>
          <w:szCs w:val="28"/>
          <w:highlight w:val="none"/>
          <w14:textFill>
            <w14:solidFill>
              <w14:schemeClr w14:val="tx1"/>
            </w14:solidFill>
          </w14:textFill>
        </w:rPr>
        <w:t>年</w:t>
      </w:r>
      <w:r>
        <w:rPr>
          <w:rFonts w:hint="eastAsia" w:ascii="宋体" w:hAnsi="宋体" w:cs="宋体"/>
          <w:color w:val="000000" w:themeColor="text1"/>
          <w:sz w:val="28"/>
          <w:szCs w:val="28"/>
          <w:highlight w:val="none"/>
          <w:lang w:val="en-US" w:eastAsia="zh-CN"/>
          <w14:textFill>
            <w14:solidFill>
              <w14:schemeClr w14:val="tx1"/>
            </w14:solidFill>
          </w14:textFill>
        </w:rPr>
        <w:t>4</w:t>
      </w:r>
      <w:r>
        <w:rPr>
          <w:rFonts w:hint="eastAsia" w:ascii="宋体" w:hAnsi="宋体" w:eastAsia="宋体" w:cs="宋体"/>
          <w:color w:val="000000" w:themeColor="text1"/>
          <w:sz w:val="28"/>
          <w:szCs w:val="28"/>
          <w:highlight w:val="none"/>
          <w14:textFill>
            <w14:solidFill>
              <w14:schemeClr w14:val="tx1"/>
            </w14:solidFill>
          </w14:textFill>
        </w:rPr>
        <w:t>月</w:t>
      </w:r>
      <w:r>
        <w:rPr>
          <w:rFonts w:hint="eastAsia" w:ascii="宋体" w:hAnsi="宋体" w:cs="宋体"/>
          <w:color w:val="000000" w:themeColor="text1"/>
          <w:sz w:val="28"/>
          <w:szCs w:val="28"/>
          <w:highlight w:val="none"/>
          <w:lang w:val="en-US" w:eastAsia="zh-CN"/>
          <w14:textFill>
            <w14:solidFill>
              <w14:schemeClr w14:val="tx1"/>
            </w14:solidFill>
          </w14:textFill>
        </w:rPr>
        <w:t>13</w:t>
      </w:r>
      <w:r>
        <w:rPr>
          <w:rFonts w:hint="eastAsia" w:ascii="宋体" w:hAnsi="宋体" w:eastAsia="宋体" w:cs="宋体"/>
          <w:color w:val="000000" w:themeColor="text1"/>
          <w:sz w:val="28"/>
          <w:szCs w:val="28"/>
          <w:highlight w:val="none"/>
          <w14:textFill>
            <w14:solidFill>
              <w14:schemeClr w14:val="tx1"/>
            </w14:solidFill>
          </w14:textFill>
        </w:rPr>
        <w:t>日</w:t>
      </w:r>
      <w:r>
        <w:rPr>
          <w:rFonts w:hint="eastAsia" w:ascii="宋体" w:hAnsi="宋体" w:eastAsia="宋体" w:cs="宋体"/>
          <w:color w:val="000000" w:themeColor="text1"/>
          <w:sz w:val="28"/>
          <w:szCs w:val="28"/>
          <w:highlight w:val="none"/>
          <w:lang w:val="en-US" w:eastAsia="zh-CN"/>
          <w14:textFill>
            <w14:solidFill>
              <w14:schemeClr w14:val="tx1"/>
            </w14:solidFill>
          </w14:textFill>
        </w:rPr>
        <w:t>17</w:t>
      </w:r>
      <w:r>
        <w:rPr>
          <w:rFonts w:hint="eastAsia" w:ascii="宋体" w:hAnsi="宋体" w:eastAsia="宋体" w:cs="宋体"/>
          <w:color w:val="000000" w:themeColor="text1"/>
          <w:sz w:val="28"/>
          <w:szCs w:val="28"/>
          <w:highlight w:val="none"/>
          <w14:textFill>
            <w14:solidFill>
              <w14:schemeClr w14:val="tx1"/>
            </w14:solidFill>
          </w14:textFill>
        </w:rPr>
        <w:t>:</w:t>
      </w:r>
      <w:r>
        <w:rPr>
          <w:rFonts w:hint="eastAsia" w:ascii="宋体" w:hAnsi="宋体" w:eastAsia="宋体" w:cs="宋体"/>
          <w:color w:val="000000" w:themeColor="text1"/>
          <w:sz w:val="28"/>
          <w:szCs w:val="28"/>
          <w:highlight w:val="none"/>
          <w:lang w:val="en-US" w:eastAsia="zh-CN"/>
          <w14:textFill>
            <w14:solidFill>
              <w14:schemeClr w14:val="tx1"/>
            </w14:solidFill>
          </w14:textFill>
        </w:rPr>
        <w:t>0</w:t>
      </w:r>
      <w:r>
        <w:rPr>
          <w:rFonts w:hint="eastAsia" w:ascii="宋体" w:hAnsi="宋体" w:eastAsia="宋体" w:cs="宋体"/>
          <w:color w:val="000000" w:themeColor="text1"/>
          <w:sz w:val="28"/>
          <w:szCs w:val="28"/>
          <w:highlight w:val="none"/>
          <w14:textFill>
            <w14:solidFill>
              <w14:schemeClr w14:val="tx1"/>
            </w14:solidFill>
          </w14:textFill>
        </w:rPr>
        <w:t xml:space="preserve">0之后到达本公司的邮件将不再受理。） </w:t>
      </w:r>
    </w:p>
    <w:p w14:paraId="414D33E6">
      <w:pPr>
        <w:widowControl/>
        <w:spacing w:before="480" w:beforeAutospacing="0" w:after="200" w:afterAutospacing="0" w:line="240" w:lineRule="auto"/>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采购需求</w:t>
      </w:r>
    </w:p>
    <w:p w14:paraId="344C1CDD">
      <w:pPr>
        <w:widowControl w:val="0"/>
        <w:spacing w:line="500" w:lineRule="exact"/>
        <w:jc w:val="both"/>
        <w:rPr>
          <w:rFonts w:hint="eastAsia" w:ascii="宋体" w:hAnsi="宋体" w:eastAsia="宋体" w:cs="宋体"/>
          <w:b/>
          <w:bCs/>
          <w:color w:val="000000"/>
          <w:sz w:val="28"/>
          <w:szCs w:val="28"/>
          <w:lang w:val="en-US" w:eastAsia="zh-CN" w:bidi="ar-SA"/>
        </w:rPr>
      </w:pPr>
      <w:r>
        <w:rPr>
          <w:rFonts w:hint="eastAsia" w:ascii="宋体" w:hAnsi="宋体" w:eastAsia="宋体" w:cs="宋体"/>
          <w:b/>
          <w:bCs/>
          <w:color w:val="000000"/>
          <w:sz w:val="28"/>
          <w:szCs w:val="28"/>
          <w:lang w:val="en-US" w:eastAsia="zh-CN" w:bidi="ar-SA"/>
        </w:rPr>
        <w:t>一、项目基本情况</w:t>
      </w:r>
    </w:p>
    <w:p w14:paraId="6F0764B9">
      <w:pPr>
        <w:widowControl w:val="0"/>
        <w:spacing w:line="500" w:lineRule="exact"/>
        <w:ind w:firstLine="480"/>
        <w:jc w:val="both"/>
        <w:rPr>
          <w:rFonts w:hint="eastAsia" w:ascii="宋体" w:hAnsi="宋体" w:eastAsia="宋体" w:cs="宋体"/>
          <w:bCs/>
          <w:color w:val="000000"/>
          <w:sz w:val="28"/>
          <w:szCs w:val="28"/>
          <w:u w:val="none"/>
          <w:lang w:val="en-US" w:eastAsia="zh-CN" w:bidi="ar-SA"/>
        </w:rPr>
      </w:pPr>
      <w:r>
        <w:rPr>
          <w:rFonts w:hint="eastAsia" w:ascii="宋体" w:hAnsi="宋体" w:eastAsia="宋体" w:cs="宋体"/>
          <w:bCs/>
          <w:color w:val="000000"/>
          <w:sz w:val="28"/>
          <w:szCs w:val="28"/>
          <w:lang w:val="en-US" w:eastAsia="zh-CN" w:bidi="ar-SA"/>
        </w:rPr>
        <w:t>1.项目名称：</w:t>
      </w:r>
      <w:r>
        <w:rPr>
          <w:rFonts w:hint="eastAsia" w:ascii="宋体" w:hAnsi="宋体" w:eastAsia="宋体" w:cs="Times New Roman"/>
          <w:sz w:val="28"/>
          <w:szCs w:val="28"/>
          <w:u w:val="none"/>
          <w:lang w:val="en-US" w:eastAsia="zh-CN" w:bidi="ar-SA"/>
        </w:rPr>
        <w:t>2026年沛县国有建设用地地籍数据汇交项目。</w:t>
      </w:r>
    </w:p>
    <w:p w14:paraId="7B3C9BFF">
      <w:pPr>
        <w:widowControl w:val="0"/>
        <w:spacing w:line="500" w:lineRule="exact"/>
        <w:ind w:firstLine="480"/>
        <w:jc w:val="both"/>
        <w:rPr>
          <w:rFonts w:hint="default" w:ascii="宋体" w:hAnsi="宋体" w:eastAsia="宋体" w:cs="宋体"/>
          <w:bCs/>
          <w:color w:val="000000"/>
          <w:sz w:val="28"/>
          <w:szCs w:val="28"/>
          <w:lang w:val="en-US" w:eastAsia="zh-CN" w:bidi="ar-SA"/>
        </w:rPr>
      </w:pPr>
      <w:r>
        <w:rPr>
          <w:rFonts w:hint="eastAsia" w:ascii="宋体" w:hAnsi="宋体" w:eastAsia="宋体" w:cs="宋体"/>
          <w:bCs/>
          <w:color w:val="000000"/>
          <w:sz w:val="28"/>
          <w:szCs w:val="28"/>
          <w:lang w:val="en-US" w:eastAsia="zh-CN" w:bidi="ar-SA"/>
        </w:rPr>
        <w:t>2.预算金额及最高限价：</w:t>
      </w:r>
      <w:r>
        <w:rPr>
          <w:rFonts w:hint="eastAsia" w:ascii="宋体" w:hAnsi="宋体" w:eastAsia="宋体" w:cs="宋体"/>
          <w:sz w:val="28"/>
          <w:szCs w:val="28"/>
          <w:lang w:val="en-US" w:eastAsia="zh-CN"/>
        </w:rPr>
        <w:t>100万元</w:t>
      </w:r>
      <w:r>
        <w:rPr>
          <w:rFonts w:hint="eastAsia" w:ascii="宋体" w:hAnsi="宋体" w:eastAsia="宋体" w:cs="宋体"/>
          <w:bCs/>
          <w:color w:val="000000"/>
          <w:sz w:val="28"/>
          <w:szCs w:val="28"/>
          <w:lang w:val="en-US" w:eastAsia="zh-CN" w:bidi="ar-SA"/>
        </w:rPr>
        <w:t>。报价包括完成本项目所有工作内容和提供完整的方案编制及后续服务所需的调查费、劳务费、咨询费、会务费、管理费、资料收集、专家论证、成果验收、利润、税金、保险等与此有关的一切费用，采购人不再支付报价以外的任何费用。</w:t>
      </w:r>
    </w:p>
    <w:p w14:paraId="1B997824">
      <w:pPr>
        <w:widowControl w:val="0"/>
        <w:spacing w:line="500" w:lineRule="exact"/>
        <w:ind w:firstLine="480"/>
        <w:jc w:val="both"/>
        <w:rPr>
          <w:rFonts w:ascii="宋体" w:hAnsi="宋体" w:eastAsia="宋体" w:cs="宋体"/>
          <w:sz w:val="28"/>
          <w:szCs w:val="28"/>
          <w:lang w:val="en-US" w:eastAsia="zh-CN" w:bidi="ar-SA"/>
        </w:rPr>
      </w:pPr>
      <w:r>
        <w:rPr>
          <w:rFonts w:hint="eastAsia" w:ascii="宋体" w:hAnsi="宋体" w:eastAsia="宋体" w:cs="宋体"/>
          <w:bCs/>
          <w:sz w:val="28"/>
          <w:szCs w:val="28"/>
          <w:lang w:val="en-US" w:eastAsia="zh-CN" w:bidi="ar-SA"/>
        </w:rPr>
        <w:t>3、合同履行期限：</w:t>
      </w:r>
      <w:bookmarkStart w:id="0" w:name="_Hlk211420511"/>
      <w:r>
        <w:rPr>
          <w:rFonts w:hint="eastAsia" w:ascii="宋体" w:hAnsi="宋体" w:eastAsia="宋体" w:cs="宋体"/>
          <w:bCs/>
          <w:sz w:val="28"/>
          <w:szCs w:val="28"/>
          <w:lang w:val="en-US" w:eastAsia="zh-CN" w:bidi="ar-SA"/>
        </w:rPr>
        <w:t>自合同签订之日起至202</w:t>
      </w:r>
      <w:r>
        <w:rPr>
          <w:rFonts w:ascii="宋体" w:hAnsi="宋体" w:eastAsia="宋体" w:cs="宋体"/>
          <w:bCs/>
          <w:sz w:val="28"/>
          <w:szCs w:val="28"/>
          <w:lang w:val="en-US" w:eastAsia="zh-CN" w:bidi="ar-SA"/>
        </w:rPr>
        <w:t>6</w:t>
      </w:r>
      <w:r>
        <w:rPr>
          <w:rFonts w:hint="eastAsia" w:ascii="宋体" w:hAnsi="宋体" w:eastAsia="宋体" w:cs="宋体"/>
          <w:bCs/>
          <w:sz w:val="28"/>
          <w:szCs w:val="28"/>
          <w:lang w:val="en-US" w:eastAsia="zh-CN" w:bidi="ar-SA"/>
        </w:rPr>
        <w:t>年12月底。</w:t>
      </w:r>
      <w:r>
        <w:rPr>
          <w:rFonts w:hint="eastAsia" w:ascii="宋体" w:hAnsi="宋体" w:eastAsia="宋体" w:cs="宋体"/>
          <w:sz w:val="28"/>
          <w:szCs w:val="28"/>
          <w:lang w:val="en-US" w:eastAsia="zh-CN" w:bidi="ar-SA"/>
        </w:rPr>
        <w:t>（如上级工作要求调整，以上级要求时间为准）</w:t>
      </w:r>
      <w:bookmarkEnd w:id="0"/>
    </w:p>
    <w:p w14:paraId="69A2B340">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4、服务地点：采购人指定地点</w:t>
      </w:r>
    </w:p>
    <w:p w14:paraId="21C3849B">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二、项目概况</w:t>
      </w:r>
    </w:p>
    <w:p w14:paraId="64C2E66E">
      <w:pPr>
        <w:spacing w:line="360" w:lineRule="auto"/>
        <w:ind w:firstLine="480"/>
        <w:rPr>
          <w:rFonts w:hint="default" w:ascii="宋体" w:hAnsi="宋体" w:eastAsia="宋体" w:cs="宋体"/>
          <w:bCs/>
          <w:kern w:val="2"/>
          <w:sz w:val="28"/>
          <w:szCs w:val="28"/>
        </w:rPr>
      </w:pPr>
      <w:r>
        <w:rPr>
          <w:rFonts w:hint="eastAsia" w:ascii="宋体" w:hAnsi="宋体" w:eastAsia="宋体" w:cs="宋体"/>
          <w:bCs/>
          <w:kern w:val="2"/>
          <w:sz w:val="28"/>
          <w:szCs w:val="28"/>
        </w:rPr>
        <w:t>根据《自然资源部办公厅关于加快编制地籍图的通知》（自然资办函〔2024〕1481号）、《江苏省自然资源厅关于印发关于深化开展地籍调查和地籍图编制工作的实施方案》（苏自然资函〔2024〕868号）以及《关于加快地籍成果入库汇交工作的函》（自然资登记函〔2025〕32号）等文件要求，完成沛县国有建设用地地籍数据的汇交工作。</w:t>
      </w:r>
    </w:p>
    <w:p w14:paraId="240EE5AD">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三、工作内容及要求</w:t>
      </w:r>
    </w:p>
    <w:p w14:paraId="6A8DDDE9">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2"/>
          <w:lang w:val="en-US" w:eastAsia="zh-CN" w:bidi="ar-SA"/>
        </w:rPr>
        <w:t>1.地籍数据成果分析</w:t>
      </w:r>
    </w:p>
    <w:p w14:paraId="5F871919">
      <w:pPr>
        <w:widowControl w:val="0"/>
        <w:spacing w:line="480" w:lineRule="exact"/>
        <w:ind w:firstLine="560" w:firstLineChars="200"/>
        <w:jc w:val="both"/>
        <w:rPr>
          <w:rFonts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按照国家、省相关标准规范，对沛县国有建设用地地籍数据汇交及地籍图编制所需数据成果进行分析及标准化处理，构建工作底图。</w:t>
      </w:r>
    </w:p>
    <w:p w14:paraId="5CDAABAC">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2"/>
          <w:lang w:val="en-US" w:eastAsia="zh-CN" w:bidi="ar-SA"/>
        </w:rPr>
        <w:t>2.地籍数据成果整理</w:t>
      </w:r>
    </w:p>
    <w:p w14:paraId="4BF8CC49">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2"/>
          <w:lang w:val="en-US" w:eastAsia="zh-CN" w:bidi="ar-SA"/>
        </w:rPr>
        <w:t>（</w:t>
      </w:r>
      <w:r>
        <w:rPr>
          <w:rFonts w:hint="eastAsia" w:ascii="Times New Roman" w:hAnsi="Times New Roman" w:eastAsia="宋体" w:cs="Times New Roman"/>
          <w:kern w:val="2"/>
          <w:sz w:val="28"/>
          <w:szCs w:val="22"/>
          <w:lang w:val="en-US" w:eastAsia="zh-CN" w:bidi="ar-SA"/>
        </w:rPr>
        <w:t>1</w:t>
      </w:r>
      <w:r>
        <w:rPr>
          <w:rFonts w:ascii="Times New Roman" w:hAnsi="Times New Roman" w:eastAsia="宋体" w:cs="Times New Roman"/>
          <w:kern w:val="2"/>
          <w:sz w:val="28"/>
          <w:szCs w:val="22"/>
          <w:lang w:val="en-US" w:eastAsia="zh-CN" w:bidi="ar-SA"/>
        </w:rPr>
        <w:t>）国有建设用地使用权宗地数据清洗分层</w:t>
      </w:r>
    </w:p>
    <w:p w14:paraId="22C1EE74">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2"/>
          <w:lang w:val="en-US" w:eastAsia="zh-CN" w:bidi="ar-SA"/>
        </w:rPr>
        <w:t>梳理、清洗现有不动产权籍库中的国有调查成果，根据图形数据和登记属性的关联，清洗整合形成已调查已登记数据、已调查未登记数据，标记已登记缺图形数据，并对各类数据开展检查。</w:t>
      </w:r>
    </w:p>
    <w:p w14:paraId="04E59B21">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①系统梳理沛县汇交过的集体土地所有权、集体建设用地使用权、宅基地数据使用的地籍区地籍子区数据，并与本地权籍库中的地籍区地籍子区对比，整理形成一套统一的地籍区地籍子区数据。同时，</w:t>
      </w:r>
      <w:r>
        <w:rPr>
          <w:rFonts w:ascii="Times New Roman" w:hAnsi="Times New Roman" w:eastAsia="宋体" w:cs="Times New Roman"/>
          <w:kern w:val="2"/>
          <w:sz w:val="28"/>
          <w:szCs w:val="22"/>
          <w:lang w:val="en-US" w:eastAsia="zh-CN" w:bidi="ar-SA"/>
        </w:rPr>
        <w:t>对行政区、地籍区、地籍子区数据开展数据拓扑检查、属性检查，对存在拓扑问题的图形进行修正，对字段内容不全的进行完善补充，确保空间关系清晰、内容完整。</w:t>
      </w:r>
    </w:p>
    <w:p w14:paraId="777D034C">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②</w:t>
      </w:r>
      <w:r>
        <w:rPr>
          <w:rFonts w:ascii="Times New Roman" w:hAnsi="Times New Roman" w:eastAsia="宋体" w:cs="Times New Roman"/>
          <w:kern w:val="2"/>
          <w:sz w:val="28"/>
          <w:szCs w:val="22"/>
          <w:lang w:val="en-US" w:eastAsia="zh-CN" w:bidi="ar-SA"/>
        </w:rPr>
        <w:t>基于《地籍数据库第1部分</w:t>
      </w:r>
      <w:r>
        <w:rPr>
          <w:rFonts w:hint="eastAsia" w:ascii="Times New Roman" w:hAnsi="Times New Roman" w:eastAsia="宋体" w:cs="Times New Roman"/>
          <w:kern w:val="2"/>
          <w:sz w:val="28"/>
          <w:szCs w:val="22"/>
          <w:lang w:val="en-US" w:eastAsia="zh-CN" w:bidi="ar-SA"/>
        </w:rPr>
        <w:t>：不动产</w:t>
      </w:r>
      <w:r>
        <w:rPr>
          <w:rFonts w:ascii="Times New Roman" w:hAnsi="Times New Roman" w:eastAsia="宋体" w:cs="Times New Roman"/>
          <w:kern w:val="2"/>
          <w:sz w:val="28"/>
          <w:szCs w:val="22"/>
          <w:lang w:val="en-US" w:eastAsia="zh-CN" w:bidi="ar-SA"/>
        </w:rPr>
        <w:t>》标准和《地籍数据汇交要求（试行）》，构建国有建设用地使用权宗地已调查已登记和已调查未登记图层。</w:t>
      </w:r>
    </w:p>
    <w:p w14:paraId="11F4714D">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③</w:t>
      </w:r>
      <w:r>
        <w:rPr>
          <w:rFonts w:ascii="Times New Roman" w:hAnsi="Times New Roman" w:eastAsia="宋体" w:cs="Times New Roman"/>
          <w:kern w:val="2"/>
          <w:sz w:val="28"/>
          <w:szCs w:val="22"/>
          <w:lang w:val="en-US" w:eastAsia="zh-CN" w:bidi="ar-SA"/>
        </w:rPr>
        <w:t>从现有不动产地籍数据库中抽取各类型宗地图层，开展数据梳理。对重复无效数据进行清理，对存在拓扑重叠的数据，有登记档案且有CGCS2000坐标成果的依据登记档案开展校对修正，无登记档案或登记档案无CGCS2000坐标成果的形成问题宗地清单；对已登记缺失调查成果的国有建设用地，根据土地征收、登记信息等资料补充完善</w:t>
      </w:r>
      <w:r>
        <w:rPr>
          <w:rFonts w:hint="eastAsia" w:ascii="Times New Roman" w:hAnsi="Times New Roman" w:eastAsia="宋体" w:cs="Times New Roman"/>
          <w:kern w:val="2"/>
          <w:sz w:val="28"/>
          <w:szCs w:val="22"/>
          <w:lang w:val="en-US" w:eastAsia="zh-CN" w:bidi="ar-SA"/>
        </w:rPr>
        <w:t>调查</w:t>
      </w:r>
      <w:r>
        <w:rPr>
          <w:rFonts w:ascii="Times New Roman" w:hAnsi="Times New Roman" w:eastAsia="宋体" w:cs="Times New Roman"/>
          <w:kern w:val="2"/>
          <w:sz w:val="28"/>
          <w:szCs w:val="22"/>
          <w:lang w:val="en-US" w:eastAsia="zh-CN" w:bidi="ar-SA"/>
        </w:rPr>
        <w:t>层。</w:t>
      </w:r>
    </w:p>
    <w:p w14:paraId="69AB3FA8">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（2）</w:t>
      </w:r>
      <w:r>
        <w:rPr>
          <w:rFonts w:ascii="Times New Roman" w:hAnsi="Times New Roman" w:eastAsia="宋体" w:cs="Times New Roman"/>
          <w:kern w:val="2"/>
          <w:sz w:val="28"/>
          <w:szCs w:val="22"/>
          <w:lang w:val="en-US" w:eastAsia="zh-CN" w:bidi="ar-SA"/>
        </w:rPr>
        <w:t>补充</w:t>
      </w:r>
      <w:r>
        <w:rPr>
          <w:rFonts w:hint="eastAsia" w:ascii="Times New Roman" w:hAnsi="Times New Roman" w:eastAsia="宋体" w:cs="Times New Roman"/>
          <w:kern w:val="2"/>
          <w:sz w:val="28"/>
          <w:szCs w:val="22"/>
          <w:lang w:val="en-US" w:eastAsia="zh-CN" w:bidi="ar-SA"/>
        </w:rPr>
        <w:t>自然幢和宗地图形</w:t>
      </w:r>
    </w:p>
    <w:p w14:paraId="69B60212">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针对已登记缺失宗地图形的数据，采取内业整理的工作思路，逐个核实土地档案和历史图层，整理关联关系，并将登记数据与权籍库中已有图形建立关联关系；针对幢图形缺失的数据，根据坐落、影像、地形图、登记档案材料等内容，从基础地理房屋图层和天地图中提取数据，并完善属性信息，构建自然幢。</w:t>
      </w:r>
    </w:p>
    <w:p w14:paraId="067A57EA">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2"/>
          <w:lang w:val="en-US" w:eastAsia="zh-CN" w:bidi="ar-SA"/>
        </w:rPr>
        <w:t>3.</w:t>
      </w:r>
      <w:r>
        <w:rPr>
          <w:rFonts w:hint="eastAsia" w:ascii="Times New Roman" w:hAnsi="Times New Roman" w:eastAsia="宋体" w:cs="Times New Roman"/>
          <w:kern w:val="2"/>
          <w:sz w:val="28"/>
          <w:szCs w:val="22"/>
          <w:lang w:val="en-US" w:eastAsia="zh-CN" w:bidi="ar-SA"/>
        </w:rPr>
        <w:t xml:space="preserve"> 地籍数据成果质检与汇交</w:t>
      </w:r>
    </w:p>
    <w:p w14:paraId="1E8B6AA6">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hint="eastAsia" w:ascii="Times New Roman" w:hAnsi="Times New Roman" w:eastAsia="宋体" w:cs="Times New Roman"/>
          <w:kern w:val="2"/>
          <w:sz w:val="28"/>
          <w:szCs w:val="22"/>
          <w:lang w:val="en-US" w:eastAsia="zh-CN" w:bidi="ar-SA"/>
        </w:rPr>
        <w:t>使用省、部级质检软件对沛县国有地籍数据汇交包进行质检，针对质检发现的逻辑错误、空间拓扑问题、属性缺失等问题逐一整改，整改完成后按省厅要求，完成数据汇交。</w:t>
      </w:r>
    </w:p>
    <w:p w14:paraId="65873672">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2"/>
          <w:lang w:val="en-US" w:eastAsia="zh-CN" w:bidi="ar-SA"/>
        </w:rPr>
        <w:t>4.</w:t>
      </w:r>
      <w:r>
        <w:rPr>
          <w:rFonts w:hint="eastAsia" w:ascii="Times New Roman" w:hAnsi="Times New Roman" w:eastAsia="宋体" w:cs="Times New Roman"/>
          <w:kern w:val="2"/>
          <w:sz w:val="28"/>
          <w:szCs w:val="22"/>
          <w:lang w:val="en-US" w:eastAsia="zh-CN" w:bidi="ar-SA"/>
        </w:rPr>
        <w:t xml:space="preserve"> 地籍</w:t>
      </w:r>
      <w:r>
        <w:rPr>
          <w:rFonts w:ascii="Times New Roman" w:hAnsi="Times New Roman" w:eastAsia="宋体" w:cs="Times New Roman"/>
          <w:kern w:val="2"/>
          <w:sz w:val="28"/>
          <w:szCs w:val="22"/>
          <w:lang w:val="en-US" w:eastAsia="zh-CN" w:bidi="ar-SA"/>
        </w:rPr>
        <w:t>数据成果入库</w:t>
      </w:r>
    </w:p>
    <w:p w14:paraId="0F40B2F2">
      <w:pPr>
        <w:widowControl w:val="0"/>
        <w:spacing w:line="480" w:lineRule="exact"/>
        <w:ind w:firstLine="480"/>
        <w:jc w:val="both"/>
        <w:rPr>
          <w:rFonts w:ascii="Times New Roman" w:hAnsi="Times New Roman" w:eastAsia="宋体" w:cs="Times New Roman"/>
          <w:kern w:val="2"/>
          <w:sz w:val="28"/>
          <w:szCs w:val="22"/>
          <w:lang w:val="en-US" w:eastAsia="zh-CN" w:bidi="ar-SA"/>
        </w:rPr>
      </w:pPr>
      <w:r>
        <w:rPr>
          <w:rFonts w:ascii="Times New Roman" w:hAnsi="Times New Roman" w:eastAsia="宋体" w:cs="Times New Roman"/>
          <w:kern w:val="2"/>
          <w:sz w:val="28"/>
          <w:szCs w:val="22"/>
          <w:lang w:val="en-US" w:eastAsia="zh-CN" w:bidi="ar-SA"/>
        </w:rPr>
        <w:t>将完成清洗整合的各类数据成果按照地籍数据库标准要求进行数据入库：1）将地籍区、地籍子区、各级行政区等基础地理信息要素加载到地籍数据库中；2）将完成清洗整合、补充调查的国有建设用地使用权、自然幢等地籍调查成果导入地籍数据库中</w:t>
      </w:r>
      <w:r>
        <w:rPr>
          <w:rFonts w:hint="eastAsia" w:ascii="Times New Roman" w:hAnsi="Times New Roman" w:eastAsia="宋体" w:cs="Times New Roman"/>
          <w:kern w:val="2"/>
          <w:sz w:val="28"/>
          <w:szCs w:val="22"/>
          <w:lang w:val="en-US" w:eastAsia="zh-CN" w:bidi="ar-SA"/>
        </w:rPr>
        <w:t>；</w:t>
      </w:r>
      <w:r>
        <w:rPr>
          <w:rFonts w:ascii="Times New Roman" w:hAnsi="Times New Roman" w:eastAsia="宋体" w:cs="Times New Roman"/>
          <w:kern w:val="2"/>
          <w:sz w:val="28"/>
          <w:szCs w:val="22"/>
          <w:lang w:val="en-US" w:eastAsia="zh-CN" w:bidi="ar-SA"/>
        </w:rPr>
        <w:t>3）对</w:t>
      </w:r>
      <w:r>
        <w:rPr>
          <w:rFonts w:hint="eastAsia" w:ascii="Times New Roman" w:hAnsi="Times New Roman" w:eastAsia="宋体" w:cs="Times New Roman"/>
          <w:kern w:val="2"/>
          <w:sz w:val="28"/>
          <w:szCs w:val="22"/>
          <w:lang w:val="en-US" w:eastAsia="zh-CN" w:bidi="ar-SA"/>
        </w:rPr>
        <w:t>补充</w:t>
      </w:r>
      <w:r>
        <w:rPr>
          <w:rFonts w:ascii="Times New Roman" w:hAnsi="Times New Roman" w:eastAsia="宋体" w:cs="Times New Roman"/>
          <w:kern w:val="2"/>
          <w:sz w:val="28"/>
          <w:szCs w:val="22"/>
          <w:lang w:val="en-US" w:eastAsia="zh-CN" w:bidi="ar-SA"/>
        </w:rPr>
        <w:t>的宗地图形数据导入地籍数据库中，利用单独图层进行管理。</w:t>
      </w:r>
    </w:p>
    <w:p w14:paraId="401DA73C">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四、技术要求</w:t>
      </w:r>
    </w:p>
    <w:p w14:paraId="4CA580E9">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为保证本项目建设的科学性、规范性和实用性，技术设计需要严格遵照国家局的相关指导性控制文件以及国家和行业颁布的相关技术标准和规范：</w:t>
      </w:r>
    </w:p>
    <w:tbl>
      <w:tblPr>
        <w:tblStyle w:val="9"/>
        <w:tblW w:w="552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3"/>
        <w:gridCol w:w="29"/>
        <w:gridCol w:w="5650"/>
        <w:gridCol w:w="3008"/>
      </w:tblGrid>
      <w:tr w14:paraId="20703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 w:hRule="atLeast"/>
          <w:tblHeader/>
          <w:jc w:val="center"/>
        </w:trPr>
        <w:tc>
          <w:tcPr>
            <w:tcW w:w="704" w:type="dxa"/>
            <w:shd w:val="clear" w:color="auto" w:fill="D9D9D9"/>
            <w:vAlign w:val="center"/>
          </w:tcPr>
          <w:p w14:paraId="044F5BDD">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序号</w:t>
            </w:r>
          </w:p>
        </w:tc>
        <w:tc>
          <w:tcPr>
            <w:tcW w:w="5528" w:type="dxa"/>
            <w:gridSpan w:val="2"/>
            <w:shd w:val="clear" w:color="auto" w:fill="D9D9D9"/>
            <w:vAlign w:val="center"/>
          </w:tcPr>
          <w:p w14:paraId="7383F25E">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标    准    名    称</w:t>
            </w:r>
          </w:p>
        </w:tc>
        <w:tc>
          <w:tcPr>
            <w:tcW w:w="2928" w:type="dxa"/>
            <w:shd w:val="clear" w:color="auto" w:fill="D9D9D9"/>
            <w:vAlign w:val="center"/>
          </w:tcPr>
          <w:p w14:paraId="27F5EC1F">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标准版本号</w:t>
            </w:r>
          </w:p>
        </w:tc>
      </w:tr>
      <w:tr w14:paraId="464EA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04" w:type="dxa"/>
            <w:vAlign w:val="center"/>
          </w:tcPr>
          <w:p w14:paraId="0B2276EF">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w:t>
            </w:r>
          </w:p>
        </w:tc>
        <w:tc>
          <w:tcPr>
            <w:tcW w:w="5528" w:type="dxa"/>
            <w:gridSpan w:val="2"/>
            <w:vAlign w:val="center"/>
          </w:tcPr>
          <w:p w14:paraId="44396080">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地籍调查规程</w:t>
            </w:r>
          </w:p>
        </w:tc>
        <w:tc>
          <w:tcPr>
            <w:tcW w:w="2928" w:type="dxa"/>
            <w:vAlign w:val="center"/>
          </w:tcPr>
          <w:p w14:paraId="6837F8BF">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42547-2023</w:t>
            </w:r>
          </w:p>
        </w:tc>
      </w:tr>
      <w:tr w14:paraId="595B2E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5267CA3D">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2</w:t>
            </w:r>
          </w:p>
        </w:tc>
        <w:tc>
          <w:tcPr>
            <w:tcW w:w="5500" w:type="dxa"/>
            <w:tcBorders>
              <w:top w:val="single" w:color="000000" w:sz="4" w:space="0"/>
              <w:left w:val="single" w:color="000000" w:sz="4" w:space="0"/>
              <w:bottom w:val="single" w:color="000000" w:sz="4" w:space="0"/>
              <w:right w:val="single" w:color="000000" w:sz="4" w:space="0"/>
            </w:tcBorders>
            <w:vAlign w:val="center"/>
          </w:tcPr>
          <w:p w14:paraId="72C659B4">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土地利用现状分类</w:t>
            </w:r>
          </w:p>
        </w:tc>
        <w:tc>
          <w:tcPr>
            <w:tcW w:w="2928" w:type="dxa"/>
            <w:tcBorders>
              <w:top w:val="single" w:color="000000" w:sz="4" w:space="0"/>
              <w:left w:val="single" w:color="000000" w:sz="4" w:space="0"/>
              <w:bottom w:val="single" w:color="000000" w:sz="4" w:space="0"/>
              <w:right w:val="single" w:color="000000" w:sz="4" w:space="0"/>
            </w:tcBorders>
            <w:vAlign w:val="center"/>
          </w:tcPr>
          <w:p w14:paraId="3E6C3C89">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21010-2017</w:t>
            </w:r>
          </w:p>
        </w:tc>
      </w:tr>
      <w:tr w14:paraId="19A50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1A088A50">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3</w:t>
            </w:r>
          </w:p>
        </w:tc>
        <w:tc>
          <w:tcPr>
            <w:tcW w:w="5500" w:type="dxa"/>
            <w:tcBorders>
              <w:top w:val="single" w:color="000000" w:sz="4" w:space="0"/>
              <w:left w:val="single" w:color="000000" w:sz="4" w:space="0"/>
              <w:bottom w:val="single" w:color="000000" w:sz="4" w:space="0"/>
              <w:right w:val="single" w:color="000000" w:sz="4" w:space="0"/>
            </w:tcBorders>
            <w:vAlign w:val="center"/>
          </w:tcPr>
          <w:p w14:paraId="54AED77C">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不动产单元设定与代码编制规则</w:t>
            </w:r>
          </w:p>
        </w:tc>
        <w:tc>
          <w:tcPr>
            <w:tcW w:w="2928" w:type="dxa"/>
            <w:tcBorders>
              <w:top w:val="single" w:color="000000" w:sz="4" w:space="0"/>
              <w:left w:val="single" w:color="000000" w:sz="4" w:space="0"/>
              <w:bottom w:val="single" w:color="000000" w:sz="4" w:space="0"/>
              <w:right w:val="single" w:color="000000" w:sz="4" w:space="0"/>
            </w:tcBorders>
            <w:vAlign w:val="center"/>
          </w:tcPr>
          <w:p w14:paraId="528D8145">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37346-2019</w:t>
            </w:r>
          </w:p>
        </w:tc>
      </w:tr>
      <w:tr w14:paraId="11042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6B7DD5AD">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4</w:t>
            </w:r>
          </w:p>
        </w:tc>
        <w:tc>
          <w:tcPr>
            <w:tcW w:w="5500" w:type="dxa"/>
            <w:tcBorders>
              <w:top w:val="single" w:color="000000" w:sz="4" w:space="0"/>
              <w:left w:val="single" w:color="000000" w:sz="4" w:space="0"/>
              <w:bottom w:val="single" w:color="000000" w:sz="4" w:space="0"/>
              <w:right w:val="single" w:color="000000" w:sz="4" w:space="0"/>
            </w:tcBorders>
            <w:vAlign w:val="center"/>
          </w:tcPr>
          <w:p w14:paraId="557B3DB7">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中华人民共和国行政区划代码</w:t>
            </w:r>
          </w:p>
        </w:tc>
        <w:tc>
          <w:tcPr>
            <w:tcW w:w="2928" w:type="dxa"/>
            <w:tcBorders>
              <w:top w:val="single" w:color="000000" w:sz="4" w:space="0"/>
              <w:left w:val="single" w:color="000000" w:sz="4" w:space="0"/>
              <w:bottom w:val="single" w:color="000000" w:sz="4" w:space="0"/>
              <w:right w:val="single" w:color="000000" w:sz="4" w:space="0"/>
            </w:tcBorders>
            <w:vAlign w:val="center"/>
          </w:tcPr>
          <w:p w14:paraId="73FB76A9">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2260-2007</w:t>
            </w:r>
          </w:p>
        </w:tc>
      </w:tr>
      <w:tr w14:paraId="15C3D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6691078A">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5</w:t>
            </w:r>
          </w:p>
        </w:tc>
        <w:tc>
          <w:tcPr>
            <w:tcW w:w="5500" w:type="dxa"/>
            <w:tcBorders>
              <w:top w:val="single" w:color="000000" w:sz="4" w:space="0"/>
              <w:left w:val="single" w:color="000000" w:sz="4" w:space="0"/>
              <w:bottom w:val="single" w:color="000000" w:sz="4" w:space="0"/>
              <w:right w:val="single" w:color="000000" w:sz="4" w:space="0"/>
            </w:tcBorders>
            <w:vAlign w:val="center"/>
          </w:tcPr>
          <w:p w14:paraId="64DB2C12">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信息分类和编码的基本原则与方法</w:t>
            </w:r>
          </w:p>
        </w:tc>
        <w:tc>
          <w:tcPr>
            <w:tcW w:w="2928" w:type="dxa"/>
            <w:tcBorders>
              <w:top w:val="single" w:color="000000" w:sz="4" w:space="0"/>
              <w:left w:val="single" w:color="000000" w:sz="4" w:space="0"/>
              <w:bottom w:val="single" w:color="000000" w:sz="4" w:space="0"/>
              <w:right w:val="single" w:color="000000" w:sz="4" w:space="0"/>
            </w:tcBorders>
            <w:vAlign w:val="center"/>
          </w:tcPr>
          <w:p w14:paraId="4736A0CE">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7027-2002</w:t>
            </w:r>
          </w:p>
        </w:tc>
      </w:tr>
      <w:tr w14:paraId="5C26A6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155F1665">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6</w:t>
            </w:r>
          </w:p>
        </w:tc>
        <w:tc>
          <w:tcPr>
            <w:tcW w:w="5500" w:type="dxa"/>
            <w:tcBorders>
              <w:top w:val="single" w:color="000000" w:sz="4" w:space="0"/>
              <w:left w:val="single" w:color="000000" w:sz="4" w:space="0"/>
              <w:bottom w:val="single" w:color="000000" w:sz="4" w:space="0"/>
              <w:right w:val="single" w:color="000000" w:sz="4" w:space="0"/>
            </w:tcBorders>
            <w:vAlign w:val="center"/>
          </w:tcPr>
          <w:p w14:paraId="7BEACF98">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信息安全技术 政府部门信息安全管理基本要求</w:t>
            </w:r>
          </w:p>
        </w:tc>
        <w:tc>
          <w:tcPr>
            <w:tcW w:w="2928" w:type="dxa"/>
            <w:tcBorders>
              <w:top w:val="single" w:color="000000" w:sz="4" w:space="0"/>
              <w:left w:val="single" w:color="000000" w:sz="4" w:space="0"/>
              <w:bottom w:val="single" w:color="000000" w:sz="4" w:space="0"/>
              <w:right w:val="single" w:color="000000" w:sz="4" w:space="0"/>
            </w:tcBorders>
            <w:vAlign w:val="center"/>
          </w:tcPr>
          <w:p w14:paraId="7A2AEF2E">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29245-2012</w:t>
            </w:r>
          </w:p>
        </w:tc>
      </w:tr>
      <w:tr w14:paraId="46770E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51C9BC04">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7</w:t>
            </w:r>
          </w:p>
        </w:tc>
        <w:tc>
          <w:tcPr>
            <w:tcW w:w="5500" w:type="dxa"/>
            <w:tcBorders>
              <w:top w:val="single" w:color="000000" w:sz="4" w:space="0"/>
              <w:left w:val="single" w:color="000000" w:sz="4" w:space="0"/>
              <w:bottom w:val="single" w:color="000000" w:sz="4" w:space="0"/>
              <w:right w:val="single" w:color="000000" w:sz="4" w:space="0"/>
            </w:tcBorders>
            <w:vAlign w:val="center"/>
          </w:tcPr>
          <w:p w14:paraId="433ECB0E">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国家基本比例尺地图图式 第1部分：1∶500 1∶1000  1∶2000地形图图式</w:t>
            </w:r>
          </w:p>
        </w:tc>
        <w:tc>
          <w:tcPr>
            <w:tcW w:w="2928" w:type="dxa"/>
            <w:tcBorders>
              <w:top w:val="single" w:color="000000" w:sz="4" w:space="0"/>
              <w:left w:val="single" w:color="000000" w:sz="4" w:space="0"/>
              <w:bottom w:val="single" w:color="000000" w:sz="4" w:space="0"/>
              <w:right w:val="single" w:color="000000" w:sz="4" w:space="0"/>
            </w:tcBorders>
            <w:vAlign w:val="center"/>
          </w:tcPr>
          <w:p w14:paraId="5B00BD9D">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20257.1-2017</w:t>
            </w:r>
          </w:p>
        </w:tc>
      </w:tr>
      <w:tr w14:paraId="5A117E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6077BFE6">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8</w:t>
            </w:r>
          </w:p>
        </w:tc>
        <w:tc>
          <w:tcPr>
            <w:tcW w:w="5500" w:type="dxa"/>
            <w:tcBorders>
              <w:top w:val="single" w:color="000000" w:sz="4" w:space="0"/>
              <w:left w:val="single" w:color="000000" w:sz="4" w:space="0"/>
              <w:bottom w:val="single" w:color="000000" w:sz="4" w:space="0"/>
              <w:right w:val="single" w:color="000000" w:sz="4" w:space="0"/>
            </w:tcBorders>
            <w:vAlign w:val="center"/>
          </w:tcPr>
          <w:p w14:paraId="6D09BCDC">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测绘成果质量检查与验收</w:t>
            </w:r>
          </w:p>
        </w:tc>
        <w:tc>
          <w:tcPr>
            <w:tcW w:w="2928" w:type="dxa"/>
            <w:tcBorders>
              <w:top w:val="single" w:color="000000" w:sz="4" w:space="0"/>
              <w:left w:val="single" w:color="000000" w:sz="4" w:space="0"/>
              <w:bottom w:val="single" w:color="000000" w:sz="4" w:space="0"/>
              <w:right w:val="single" w:color="000000" w:sz="4" w:space="0"/>
            </w:tcBorders>
            <w:vAlign w:val="center"/>
          </w:tcPr>
          <w:p w14:paraId="299F29C0">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GB/T 24356-2023</w:t>
            </w:r>
          </w:p>
        </w:tc>
      </w:tr>
      <w:tr w14:paraId="439D3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6C3DF05B">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9</w:t>
            </w:r>
          </w:p>
        </w:tc>
        <w:tc>
          <w:tcPr>
            <w:tcW w:w="5500" w:type="dxa"/>
            <w:tcBorders>
              <w:top w:val="single" w:color="000000" w:sz="4" w:space="0"/>
              <w:left w:val="single" w:color="000000" w:sz="4" w:space="0"/>
              <w:bottom w:val="single" w:color="000000" w:sz="4" w:space="0"/>
              <w:right w:val="single" w:color="000000" w:sz="4" w:space="0"/>
            </w:tcBorders>
            <w:vAlign w:val="center"/>
          </w:tcPr>
          <w:p w14:paraId="1F3AB2BF">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不动产登记数据库标准</w:t>
            </w:r>
          </w:p>
        </w:tc>
        <w:tc>
          <w:tcPr>
            <w:tcW w:w="2928" w:type="dxa"/>
            <w:tcBorders>
              <w:top w:val="single" w:color="000000" w:sz="4" w:space="0"/>
              <w:left w:val="single" w:color="000000" w:sz="4" w:space="0"/>
              <w:bottom w:val="single" w:color="000000" w:sz="4" w:space="0"/>
              <w:right w:val="single" w:color="000000" w:sz="4" w:space="0"/>
            </w:tcBorders>
            <w:vAlign w:val="center"/>
          </w:tcPr>
          <w:p w14:paraId="29E7FB37">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TD/T 1066-2021</w:t>
            </w:r>
          </w:p>
        </w:tc>
      </w:tr>
      <w:tr w14:paraId="493FB0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027F25CE">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10</w:t>
            </w:r>
          </w:p>
        </w:tc>
        <w:tc>
          <w:tcPr>
            <w:tcW w:w="5500" w:type="dxa"/>
            <w:tcBorders>
              <w:top w:val="single" w:color="000000" w:sz="4" w:space="0"/>
              <w:left w:val="single" w:color="000000" w:sz="4" w:space="0"/>
              <w:bottom w:val="single" w:color="000000" w:sz="4" w:space="0"/>
              <w:right w:val="single" w:color="000000" w:sz="4" w:space="0"/>
            </w:tcBorders>
            <w:vAlign w:val="center"/>
          </w:tcPr>
          <w:p w14:paraId="62D9EF74">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不动产登记数据整合建库技术规范</w:t>
            </w:r>
          </w:p>
        </w:tc>
        <w:tc>
          <w:tcPr>
            <w:tcW w:w="2928" w:type="dxa"/>
            <w:tcBorders>
              <w:top w:val="single" w:color="000000" w:sz="4" w:space="0"/>
              <w:left w:val="single" w:color="000000" w:sz="4" w:space="0"/>
              <w:bottom w:val="single" w:color="000000" w:sz="4" w:space="0"/>
              <w:right w:val="single" w:color="000000" w:sz="4" w:space="0"/>
            </w:tcBorders>
            <w:vAlign w:val="center"/>
          </w:tcPr>
          <w:p w14:paraId="5DC42802">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TD/T 1067-2021</w:t>
            </w:r>
          </w:p>
        </w:tc>
      </w:tr>
      <w:tr w14:paraId="78C5B8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32" w:type="dxa"/>
            <w:gridSpan w:val="2"/>
            <w:tcBorders>
              <w:top w:val="single" w:color="000000" w:sz="4" w:space="0"/>
              <w:left w:val="single" w:color="000000" w:sz="4" w:space="0"/>
              <w:bottom w:val="single" w:color="000000" w:sz="4" w:space="0"/>
              <w:right w:val="single" w:color="000000" w:sz="4" w:space="0"/>
            </w:tcBorders>
            <w:vAlign w:val="center"/>
          </w:tcPr>
          <w:p w14:paraId="2B693EBA">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11</w:t>
            </w:r>
          </w:p>
        </w:tc>
        <w:tc>
          <w:tcPr>
            <w:tcW w:w="5500" w:type="dxa"/>
            <w:tcBorders>
              <w:top w:val="single" w:color="000000" w:sz="4" w:space="0"/>
              <w:left w:val="single" w:color="000000" w:sz="4" w:space="0"/>
              <w:bottom w:val="single" w:color="000000" w:sz="4" w:space="0"/>
              <w:right w:val="single" w:color="000000" w:sz="4" w:space="0"/>
            </w:tcBorders>
            <w:vAlign w:val="center"/>
          </w:tcPr>
          <w:p w14:paraId="7F983EA8">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地籍数据库 第1部分：不动产</w:t>
            </w:r>
          </w:p>
        </w:tc>
        <w:tc>
          <w:tcPr>
            <w:tcW w:w="2928" w:type="dxa"/>
            <w:tcBorders>
              <w:top w:val="single" w:color="000000" w:sz="4" w:space="0"/>
              <w:left w:val="single" w:color="000000" w:sz="4" w:space="0"/>
              <w:bottom w:val="single" w:color="000000" w:sz="4" w:space="0"/>
              <w:right w:val="single" w:color="000000" w:sz="4" w:space="0"/>
            </w:tcBorders>
            <w:vAlign w:val="center"/>
          </w:tcPr>
          <w:p w14:paraId="0EA8B21D">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TD/T 1015.1-2024</w:t>
            </w:r>
          </w:p>
        </w:tc>
      </w:tr>
      <w:tr w14:paraId="0080D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04" w:type="dxa"/>
            <w:vAlign w:val="center"/>
          </w:tcPr>
          <w:p w14:paraId="54405E9F">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12</w:t>
            </w:r>
          </w:p>
        </w:tc>
        <w:tc>
          <w:tcPr>
            <w:tcW w:w="5528" w:type="dxa"/>
            <w:gridSpan w:val="2"/>
            <w:vAlign w:val="center"/>
          </w:tcPr>
          <w:p w14:paraId="447AE8E1">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国土空间用途管制数据规范</w:t>
            </w:r>
          </w:p>
        </w:tc>
        <w:tc>
          <w:tcPr>
            <w:tcW w:w="2928" w:type="dxa"/>
            <w:vAlign w:val="center"/>
          </w:tcPr>
          <w:p w14:paraId="3A44E7E4">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TD/T 1084-2023</w:t>
            </w:r>
          </w:p>
        </w:tc>
      </w:tr>
      <w:tr w14:paraId="5B7DC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04" w:type="dxa"/>
            <w:vAlign w:val="center"/>
          </w:tcPr>
          <w:p w14:paraId="6A7AA731">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13</w:t>
            </w:r>
          </w:p>
        </w:tc>
        <w:tc>
          <w:tcPr>
            <w:tcW w:w="5528" w:type="dxa"/>
            <w:gridSpan w:val="2"/>
            <w:vAlign w:val="center"/>
          </w:tcPr>
          <w:p w14:paraId="7E6CF238">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地籍图编制技术规范</w:t>
            </w:r>
          </w:p>
        </w:tc>
        <w:tc>
          <w:tcPr>
            <w:tcW w:w="2928" w:type="dxa"/>
            <w:vAlign w:val="center"/>
          </w:tcPr>
          <w:p w14:paraId="34953778">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试行</w:t>
            </w:r>
          </w:p>
        </w:tc>
      </w:tr>
      <w:tr w14:paraId="0C04D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04" w:type="dxa"/>
            <w:vAlign w:val="center"/>
          </w:tcPr>
          <w:p w14:paraId="03CC0E59">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14</w:t>
            </w:r>
          </w:p>
        </w:tc>
        <w:tc>
          <w:tcPr>
            <w:tcW w:w="5528" w:type="dxa"/>
            <w:gridSpan w:val="2"/>
            <w:vAlign w:val="center"/>
          </w:tcPr>
          <w:p w14:paraId="464F0FC6">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地籍数据汇交要求</w:t>
            </w:r>
          </w:p>
        </w:tc>
        <w:tc>
          <w:tcPr>
            <w:tcW w:w="2928" w:type="dxa"/>
            <w:vAlign w:val="center"/>
          </w:tcPr>
          <w:p w14:paraId="621CF58C">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试行</w:t>
            </w:r>
          </w:p>
        </w:tc>
      </w:tr>
      <w:tr w14:paraId="6A97B2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704" w:type="dxa"/>
            <w:vAlign w:val="center"/>
          </w:tcPr>
          <w:p w14:paraId="30648741">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15</w:t>
            </w:r>
          </w:p>
        </w:tc>
        <w:tc>
          <w:tcPr>
            <w:tcW w:w="5528" w:type="dxa"/>
            <w:gridSpan w:val="2"/>
            <w:vAlign w:val="center"/>
          </w:tcPr>
          <w:p w14:paraId="1BA586BB">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自然资源部关于进一步做好地籍调查工作的通知</w:t>
            </w:r>
          </w:p>
        </w:tc>
        <w:tc>
          <w:tcPr>
            <w:tcW w:w="2928" w:type="dxa"/>
            <w:vAlign w:val="center"/>
          </w:tcPr>
          <w:p w14:paraId="382E7DAA">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自然资发〔2023〕195号</w:t>
            </w:r>
          </w:p>
        </w:tc>
      </w:tr>
      <w:tr w14:paraId="65446C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704" w:type="dxa"/>
            <w:vAlign w:val="center"/>
          </w:tcPr>
          <w:p w14:paraId="58A41CD7">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16</w:t>
            </w:r>
          </w:p>
        </w:tc>
        <w:tc>
          <w:tcPr>
            <w:tcW w:w="5528" w:type="dxa"/>
            <w:gridSpan w:val="2"/>
            <w:vAlign w:val="center"/>
          </w:tcPr>
          <w:p w14:paraId="2AF354E0">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自然资源部办公厅关于加快编制地籍图的通知</w:t>
            </w:r>
          </w:p>
        </w:tc>
        <w:tc>
          <w:tcPr>
            <w:tcW w:w="2928" w:type="dxa"/>
            <w:vAlign w:val="center"/>
          </w:tcPr>
          <w:p w14:paraId="540BD703">
            <w:pPr>
              <w:spacing w:line="240" w:lineRule="auto"/>
              <w:rPr>
                <w:rFonts w:hint="default" w:ascii="宋体" w:hAnsi="宋体" w:eastAsia="宋体" w:cs="宋体"/>
                <w:bCs/>
                <w:kern w:val="2"/>
                <w:sz w:val="28"/>
                <w:szCs w:val="28"/>
              </w:rPr>
            </w:pPr>
            <w:r>
              <w:rPr>
                <w:rFonts w:hint="eastAsia" w:ascii="宋体" w:hAnsi="宋体" w:eastAsia="宋体" w:cs="宋体"/>
                <w:bCs/>
                <w:kern w:val="2"/>
                <w:sz w:val="28"/>
                <w:szCs w:val="28"/>
              </w:rPr>
              <w:t>自然资办函〔2024〕1481号</w:t>
            </w:r>
          </w:p>
        </w:tc>
      </w:tr>
      <w:tr w14:paraId="25706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04" w:type="dxa"/>
            <w:vAlign w:val="center"/>
          </w:tcPr>
          <w:p w14:paraId="0D005F60">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17</w:t>
            </w:r>
          </w:p>
        </w:tc>
        <w:tc>
          <w:tcPr>
            <w:tcW w:w="5528" w:type="dxa"/>
            <w:gridSpan w:val="2"/>
            <w:vAlign w:val="center"/>
          </w:tcPr>
          <w:p w14:paraId="6257AE2E">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关于深化开展地籍调查和地籍图编制工作的实施方案的通知</w:t>
            </w:r>
          </w:p>
        </w:tc>
        <w:tc>
          <w:tcPr>
            <w:tcW w:w="2928" w:type="dxa"/>
            <w:vAlign w:val="center"/>
          </w:tcPr>
          <w:p w14:paraId="58C1FF6A">
            <w:pPr>
              <w:spacing w:line="240" w:lineRule="auto"/>
              <w:rPr>
                <w:rFonts w:hint="default" w:ascii="宋体" w:hAnsi="宋体" w:eastAsia="宋体" w:cs="宋体"/>
                <w:bCs/>
                <w:kern w:val="2"/>
                <w:sz w:val="28"/>
                <w:szCs w:val="28"/>
              </w:rPr>
            </w:pPr>
            <w:r>
              <w:rPr>
                <w:rFonts w:hint="eastAsia" w:ascii="宋体" w:hAnsi="宋体" w:eastAsia="宋体" w:cs="宋体"/>
                <w:bCs/>
                <w:kern w:val="2"/>
                <w:sz w:val="28"/>
                <w:szCs w:val="28"/>
              </w:rPr>
              <w:t>苏自然资函〔2024〕868号</w:t>
            </w:r>
          </w:p>
        </w:tc>
      </w:tr>
      <w:tr w14:paraId="7F44CC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04" w:type="dxa"/>
            <w:vAlign w:val="center"/>
          </w:tcPr>
          <w:p w14:paraId="63BEA2BA">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18</w:t>
            </w:r>
          </w:p>
        </w:tc>
        <w:tc>
          <w:tcPr>
            <w:tcW w:w="5528" w:type="dxa"/>
            <w:gridSpan w:val="2"/>
            <w:vAlign w:val="center"/>
          </w:tcPr>
          <w:p w14:paraId="237597C2">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关于加快地籍成果入库汇交工作的函</w:t>
            </w:r>
          </w:p>
        </w:tc>
        <w:tc>
          <w:tcPr>
            <w:tcW w:w="2928" w:type="dxa"/>
            <w:vAlign w:val="center"/>
          </w:tcPr>
          <w:p w14:paraId="714BAD50">
            <w:pPr>
              <w:spacing w:line="240" w:lineRule="auto"/>
              <w:rPr>
                <w:rFonts w:hint="default" w:ascii="宋体" w:hAnsi="宋体" w:eastAsia="宋体" w:cs="宋体"/>
                <w:bCs/>
                <w:kern w:val="2"/>
                <w:sz w:val="28"/>
                <w:szCs w:val="28"/>
              </w:rPr>
            </w:pPr>
            <w:r>
              <w:rPr>
                <w:rFonts w:hint="eastAsia" w:ascii="宋体" w:hAnsi="宋体" w:eastAsia="宋体" w:cs="宋体"/>
                <w:bCs/>
                <w:kern w:val="2"/>
                <w:sz w:val="28"/>
                <w:szCs w:val="28"/>
              </w:rPr>
              <w:t>自然资登记函〔2025〕32号</w:t>
            </w:r>
          </w:p>
        </w:tc>
      </w:tr>
      <w:tr w14:paraId="3FE70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 w:hRule="atLeast"/>
          <w:jc w:val="center"/>
        </w:trPr>
        <w:tc>
          <w:tcPr>
            <w:tcW w:w="704" w:type="dxa"/>
            <w:vAlign w:val="center"/>
          </w:tcPr>
          <w:p w14:paraId="0D78507D">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19</w:t>
            </w:r>
          </w:p>
        </w:tc>
        <w:tc>
          <w:tcPr>
            <w:tcW w:w="5528" w:type="dxa"/>
            <w:gridSpan w:val="2"/>
            <w:vAlign w:val="center"/>
          </w:tcPr>
          <w:p w14:paraId="5BB491C4">
            <w:pPr>
              <w:spacing w:line="240" w:lineRule="auto"/>
              <w:jc w:val="left"/>
              <w:rPr>
                <w:rFonts w:hint="default" w:ascii="宋体" w:hAnsi="宋体" w:eastAsia="宋体" w:cs="宋体"/>
                <w:bCs/>
                <w:kern w:val="2"/>
                <w:sz w:val="28"/>
                <w:szCs w:val="28"/>
              </w:rPr>
            </w:pPr>
            <w:r>
              <w:rPr>
                <w:rFonts w:hint="eastAsia" w:ascii="宋体" w:hAnsi="宋体" w:eastAsia="宋体" w:cs="宋体"/>
                <w:bCs/>
                <w:kern w:val="2"/>
                <w:sz w:val="28"/>
                <w:szCs w:val="28"/>
              </w:rPr>
              <w:t>自然资源部办公厅关于印发《地籍数据库建设工作方案》的通知</w:t>
            </w:r>
          </w:p>
        </w:tc>
        <w:tc>
          <w:tcPr>
            <w:tcW w:w="2928" w:type="dxa"/>
            <w:vAlign w:val="center"/>
          </w:tcPr>
          <w:p w14:paraId="3948FB8C">
            <w:pPr>
              <w:spacing w:line="240" w:lineRule="auto"/>
              <w:rPr>
                <w:rFonts w:hint="default" w:ascii="宋体" w:hAnsi="宋体" w:eastAsia="宋体" w:cs="宋体"/>
                <w:bCs/>
                <w:kern w:val="2"/>
                <w:sz w:val="28"/>
                <w:szCs w:val="28"/>
              </w:rPr>
            </w:pPr>
            <w:r>
              <w:rPr>
                <w:rFonts w:hint="eastAsia" w:ascii="宋体" w:hAnsi="宋体" w:eastAsia="宋体" w:cs="宋体"/>
                <w:bCs/>
                <w:kern w:val="2"/>
                <w:sz w:val="28"/>
                <w:szCs w:val="28"/>
              </w:rPr>
              <w:t>自然资办函〔2025〕1010号</w:t>
            </w:r>
          </w:p>
        </w:tc>
      </w:tr>
    </w:tbl>
    <w:p w14:paraId="1C0D0122">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五、项目成果要求</w:t>
      </w:r>
    </w:p>
    <w:p w14:paraId="39F13C02">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1.数据库成果</w:t>
      </w:r>
    </w:p>
    <w:p w14:paraId="7697FD94">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沛县国有地籍数据库。</w:t>
      </w:r>
    </w:p>
    <w:p w14:paraId="3FE80356">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2.文档成果</w:t>
      </w:r>
    </w:p>
    <w:p w14:paraId="42D4DBB9">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（1）沛县2026年国有建设用地地籍数据汇交项目技术方案；</w:t>
      </w:r>
    </w:p>
    <w:p w14:paraId="7AFE2E1B">
      <w:pPr>
        <w:spacing w:line="360" w:lineRule="auto"/>
        <w:ind w:firstLine="480"/>
        <w:jc w:val="left"/>
        <w:rPr>
          <w:rFonts w:hint="default" w:ascii="宋体" w:hAnsi="宋体" w:eastAsia="宋体" w:cs="宋体"/>
          <w:bCs/>
          <w:kern w:val="2"/>
          <w:sz w:val="28"/>
          <w:szCs w:val="28"/>
        </w:rPr>
      </w:pPr>
      <w:r>
        <w:rPr>
          <w:rFonts w:hint="eastAsia" w:ascii="宋体" w:hAnsi="宋体" w:eastAsia="宋体" w:cs="宋体"/>
          <w:bCs/>
          <w:kern w:val="2"/>
          <w:sz w:val="28"/>
          <w:szCs w:val="28"/>
        </w:rPr>
        <w:t>（2）沛县2026年国有建设用地地籍数据汇交工作总结报告。</w:t>
      </w:r>
    </w:p>
    <w:p w14:paraId="043BC337">
      <w:pPr>
        <w:spacing w:line="360" w:lineRule="auto"/>
        <w:ind w:firstLine="482"/>
        <w:jc w:val="left"/>
        <w:rPr>
          <w:rFonts w:hint="default" w:ascii="宋体" w:hAnsi="宋体" w:eastAsia="宋体" w:cs="宋体"/>
          <w:b/>
          <w:kern w:val="2"/>
          <w:sz w:val="28"/>
          <w:szCs w:val="28"/>
        </w:rPr>
      </w:pPr>
      <w:r>
        <w:rPr>
          <w:rFonts w:hint="eastAsia" w:ascii="宋体" w:hAnsi="宋体" w:eastAsia="宋体" w:cs="宋体"/>
          <w:b/>
          <w:kern w:val="2"/>
          <w:sz w:val="28"/>
          <w:szCs w:val="28"/>
        </w:rPr>
        <w:t>六、其他要求</w:t>
      </w:r>
    </w:p>
    <w:p w14:paraId="03BCBCC5">
      <w:pPr>
        <w:spacing w:line="360" w:lineRule="auto"/>
        <w:ind w:firstLine="480"/>
        <w:rPr>
          <w:rFonts w:hint="default" w:ascii="宋体" w:hAnsi="宋体" w:eastAsia="宋体" w:cs="宋体"/>
          <w:bCs/>
          <w:kern w:val="2"/>
          <w:sz w:val="28"/>
          <w:szCs w:val="28"/>
        </w:rPr>
      </w:pPr>
      <w:r>
        <w:rPr>
          <w:rFonts w:hint="default" w:ascii="宋体" w:hAnsi="宋体" w:eastAsia="宋体" w:cs="宋体"/>
          <w:bCs/>
          <w:kern w:val="2"/>
          <w:sz w:val="28"/>
          <w:szCs w:val="28"/>
        </w:rPr>
        <w:t>1.</w:t>
      </w:r>
      <w:r>
        <w:rPr>
          <w:rFonts w:hint="eastAsia" w:ascii="宋体" w:hAnsi="宋体" w:eastAsia="宋体" w:cs="宋体"/>
          <w:bCs/>
          <w:kern w:val="2"/>
          <w:sz w:val="28"/>
          <w:szCs w:val="28"/>
        </w:rPr>
        <w:t>为规范和促进本项目的正常实施和推进，需有序高效、安全稳定、常态化运行，中标人要有明晰的组织机构，成立独立的项目组，项目实施人员齐全，配备经验丰富的专职项目负责人、核心技术团队及技术支持团队，岗位职责明确，能高标准的实施项目管理，确保项目顺利完成。根据采购人要求，中标人提供驻场技术支持服务。</w:t>
      </w:r>
    </w:p>
    <w:p w14:paraId="7AA29659">
      <w:pPr>
        <w:spacing w:line="360" w:lineRule="auto"/>
        <w:ind w:firstLine="480"/>
        <w:rPr>
          <w:rFonts w:hint="default" w:ascii="宋体" w:hAnsi="宋体" w:eastAsia="宋体" w:cs="宋体"/>
          <w:bCs/>
          <w:kern w:val="2"/>
          <w:sz w:val="28"/>
          <w:szCs w:val="28"/>
        </w:rPr>
      </w:pPr>
      <w:r>
        <w:rPr>
          <w:rFonts w:hint="default" w:ascii="宋体" w:hAnsi="宋体" w:eastAsia="宋体" w:cs="宋体"/>
          <w:bCs/>
          <w:kern w:val="2"/>
          <w:sz w:val="28"/>
          <w:szCs w:val="28"/>
        </w:rPr>
        <w:t>2.</w:t>
      </w:r>
      <w:r>
        <w:rPr>
          <w:rFonts w:hint="eastAsia" w:ascii="宋体" w:hAnsi="宋体" w:eastAsia="宋体" w:cs="宋体"/>
          <w:bCs/>
          <w:kern w:val="2"/>
          <w:sz w:val="28"/>
          <w:szCs w:val="28"/>
        </w:rPr>
        <w:t>中标人在中标后应在规定的时间内，按质按量完成全部工作，所需的全部费用都包含在报价中。</w:t>
      </w:r>
    </w:p>
    <w:p w14:paraId="4A6ECACB">
      <w:pPr>
        <w:spacing w:line="360" w:lineRule="auto"/>
        <w:ind w:firstLine="480"/>
        <w:rPr>
          <w:rFonts w:hint="default" w:ascii="宋体" w:hAnsi="宋体" w:eastAsia="宋体" w:cs="宋体"/>
          <w:bCs/>
          <w:kern w:val="2"/>
          <w:sz w:val="28"/>
          <w:szCs w:val="28"/>
        </w:rPr>
      </w:pPr>
      <w:r>
        <w:rPr>
          <w:rFonts w:hint="default" w:ascii="宋体" w:hAnsi="宋体" w:eastAsia="宋体" w:cs="宋体"/>
          <w:bCs/>
          <w:kern w:val="2"/>
          <w:sz w:val="28"/>
          <w:szCs w:val="28"/>
        </w:rPr>
        <w:t>3.</w:t>
      </w:r>
      <w:r>
        <w:rPr>
          <w:rFonts w:hint="eastAsia" w:ascii="宋体" w:hAnsi="宋体" w:eastAsia="宋体" w:cs="宋体"/>
          <w:bCs/>
          <w:kern w:val="2"/>
          <w:sz w:val="28"/>
          <w:szCs w:val="28"/>
        </w:rPr>
        <w:t>中标人应当按照国家有关规定，妥善保管好所有工作底稿及相关材料，并做好归档管理工作，以备查用。</w:t>
      </w:r>
    </w:p>
    <w:p w14:paraId="1766AE55">
      <w:pPr>
        <w:spacing w:line="360" w:lineRule="auto"/>
        <w:ind w:firstLine="480"/>
        <w:rPr>
          <w:rFonts w:hint="default" w:ascii="宋体" w:hAnsi="宋体" w:eastAsia="宋体" w:cs="宋体"/>
          <w:bCs/>
          <w:kern w:val="2"/>
          <w:sz w:val="28"/>
          <w:szCs w:val="28"/>
        </w:rPr>
      </w:pPr>
      <w:r>
        <w:rPr>
          <w:rFonts w:hint="default" w:ascii="宋体" w:hAnsi="宋体" w:eastAsia="宋体" w:cs="宋体"/>
          <w:bCs/>
          <w:kern w:val="2"/>
          <w:sz w:val="28"/>
          <w:szCs w:val="28"/>
        </w:rPr>
        <w:t>4.</w:t>
      </w:r>
      <w:r>
        <w:rPr>
          <w:rFonts w:hint="eastAsia" w:ascii="宋体" w:hAnsi="宋体" w:eastAsia="宋体" w:cs="宋体"/>
          <w:bCs/>
          <w:kern w:val="2"/>
          <w:sz w:val="28"/>
          <w:szCs w:val="28"/>
        </w:rPr>
        <w:t>中标人必须开展安全作业，应保尽保。如果发生交通、作业质量缺陷或安全措施不全等造成财产损失和人员伤亡等事故的，其责任概由中标人承担，采购人不承担任何责任。</w:t>
      </w:r>
    </w:p>
    <w:p w14:paraId="593AAB86">
      <w:pPr>
        <w:spacing w:line="360" w:lineRule="auto"/>
        <w:ind w:firstLine="480"/>
        <w:rPr>
          <w:rFonts w:hint="default" w:ascii="宋体" w:hAnsi="宋体" w:eastAsia="宋体" w:cs="宋体"/>
          <w:bCs/>
          <w:kern w:val="2"/>
          <w:sz w:val="28"/>
          <w:szCs w:val="28"/>
        </w:rPr>
      </w:pPr>
      <w:r>
        <w:rPr>
          <w:rFonts w:hint="default" w:ascii="宋体" w:hAnsi="宋体" w:eastAsia="宋体" w:cs="宋体"/>
          <w:bCs/>
          <w:kern w:val="2"/>
          <w:sz w:val="28"/>
          <w:szCs w:val="28"/>
        </w:rPr>
        <w:t>5.</w:t>
      </w:r>
      <w:r>
        <w:rPr>
          <w:rFonts w:hint="eastAsia" w:ascii="宋体" w:hAnsi="宋体" w:eastAsia="宋体" w:cs="宋体"/>
          <w:bCs/>
          <w:kern w:val="2"/>
          <w:sz w:val="28"/>
          <w:szCs w:val="28"/>
        </w:rPr>
        <w:t>中标人必须按照国家规定的方法进行相关工作，并对提交成果负责。在服务过程中如遇到国家相关标准、行业标准、地方标准或者其他标准、规范发生修改、变化的，以最新要求为准。</w:t>
      </w:r>
    </w:p>
    <w:p w14:paraId="3AD319CF">
      <w:pPr>
        <w:widowControl w:val="0"/>
        <w:spacing w:line="480" w:lineRule="exact"/>
        <w:ind w:firstLine="560" w:firstLineChars="200"/>
        <w:jc w:val="both"/>
        <w:rPr>
          <w:rFonts w:hint="eastAsia" w:ascii="宋体" w:hAnsi="宋体" w:eastAsia="宋体" w:cs="宋体"/>
          <w:kern w:val="2"/>
          <w:sz w:val="28"/>
          <w:szCs w:val="28"/>
          <w:lang w:val="en-US" w:eastAsia="zh-CN" w:bidi="ar-SA"/>
        </w:rPr>
      </w:pPr>
      <w:r>
        <w:rPr>
          <w:rFonts w:ascii="宋体" w:hAnsi="宋体" w:eastAsia="宋体" w:cs="宋体"/>
          <w:kern w:val="2"/>
          <w:sz w:val="28"/>
          <w:szCs w:val="28"/>
          <w:lang w:val="en-US" w:eastAsia="zh-CN" w:bidi="ar-SA"/>
        </w:rPr>
        <w:t>6.</w:t>
      </w:r>
      <w:r>
        <w:rPr>
          <w:rFonts w:hint="eastAsia" w:ascii="宋体" w:hAnsi="宋体" w:eastAsia="宋体" w:cs="宋体"/>
          <w:kern w:val="2"/>
          <w:sz w:val="28"/>
          <w:szCs w:val="28"/>
          <w:lang w:val="en-US" w:eastAsia="zh-CN" w:bidi="ar-SA"/>
        </w:rPr>
        <w:t>如因成果质量问题导致被部、省厅通报，招标方将根据影响程度对中标人进行处罚。</w:t>
      </w:r>
    </w:p>
    <w:p w14:paraId="6EE096C4">
      <w:pPr>
        <w:spacing w:line="360" w:lineRule="auto"/>
        <w:ind w:firstLine="562"/>
        <w:rPr>
          <w:rFonts w:hint="eastAsia" w:ascii="宋体" w:hAnsi="宋体" w:cs="宋体"/>
          <w:color w:val="auto"/>
          <w:sz w:val="28"/>
          <w:szCs w:val="28"/>
          <w:highlight w:val="none"/>
        </w:rPr>
      </w:pPr>
    </w:p>
    <w:p w14:paraId="72B6BF25">
      <w:pPr>
        <w:numPr>
          <w:ilvl w:val="0"/>
          <w:numId w:val="0"/>
        </w:numPr>
        <w:spacing w:line="440" w:lineRule="exact"/>
        <w:rPr>
          <w:rFonts w:hint="eastAsia" w:ascii="宋体" w:hAnsi="宋体" w:cs="宋体"/>
          <w:color w:val="0070C0"/>
          <w:sz w:val="28"/>
          <w:szCs w:val="28"/>
          <w:highlight w:val="none"/>
          <w:lang w:val="en-US" w:eastAsia="zh-CN"/>
        </w:rPr>
      </w:pPr>
      <w:bookmarkStart w:id="1" w:name="_GoBack"/>
      <w:bookmarkEnd w:id="1"/>
    </w:p>
    <w:p w14:paraId="7C74623D">
      <w:pPr>
        <w:numPr>
          <w:ilvl w:val="0"/>
          <w:numId w:val="0"/>
        </w:numPr>
        <w:spacing w:line="440" w:lineRule="exact"/>
        <w:rPr>
          <w:rFonts w:hint="eastAsia" w:ascii="宋体" w:hAnsi="宋体" w:cs="宋体"/>
          <w:color w:val="auto"/>
          <w:sz w:val="28"/>
          <w:szCs w:val="28"/>
          <w:highlight w:val="none"/>
          <w:lang w:val="en-US" w:eastAsia="zh-CN"/>
        </w:rPr>
      </w:pPr>
      <w:r>
        <w:rPr>
          <w:rFonts w:hint="eastAsia" w:ascii="宋体" w:hAnsi="宋体" w:cs="宋体"/>
          <w:color w:val="0070C0"/>
          <w:sz w:val="28"/>
          <w:szCs w:val="28"/>
          <w:highlight w:val="none"/>
          <w:lang w:val="en-US" w:eastAsia="zh-CN"/>
        </w:rPr>
        <w:t>本项目资格条件如下：</w:t>
      </w:r>
    </w:p>
    <w:p w14:paraId="1A6F62FB">
      <w:pPr>
        <w:widowControl/>
        <w:spacing w:line="400" w:lineRule="exact"/>
        <w:ind w:right="28"/>
        <w:jc w:val="left"/>
        <w:rPr>
          <w:rFonts w:hint="eastAsia" w:ascii="宋体" w:hAnsi="宋体" w:cs="宋体"/>
          <w:bCs/>
          <w:color w:val="auto"/>
          <w:sz w:val="28"/>
          <w:szCs w:val="28"/>
          <w:highlight w:val="none"/>
          <w:lang w:val="en-US" w:eastAsia="zh-CN"/>
        </w:rPr>
      </w:pPr>
      <w:r>
        <w:rPr>
          <w:rFonts w:hint="eastAsia" w:ascii="宋体" w:hAnsi="宋体" w:cs="宋体"/>
          <w:bCs/>
          <w:color w:val="auto"/>
          <w:sz w:val="28"/>
          <w:szCs w:val="28"/>
          <w:highlight w:val="none"/>
          <w:lang w:val="en-US" w:eastAsia="zh-CN"/>
        </w:rPr>
        <w:t>1～6项必须提供，否则响应无效。联合体投标的指联合体各方成员）</w:t>
      </w:r>
    </w:p>
    <w:p w14:paraId="177A778C">
      <w:pPr>
        <w:widowControl/>
        <w:spacing w:line="400" w:lineRule="exact"/>
        <w:ind w:right="28"/>
        <w:jc w:val="left"/>
        <w:rPr>
          <w:rFonts w:hint="eastAsia" w:ascii="宋体" w:hAnsi="宋体" w:cs="宋体"/>
          <w:bCs/>
          <w:color w:val="auto"/>
          <w:sz w:val="28"/>
          <w:szCs w:val="28"/>
          <w:highlight w:val="none"/>
          <w:lang w:val="en-US" w:eastAsia="zh-CN"/>
        </w:rPr>
      </w:pPr>
      <w:r>
        <w:rPr>
          <w:rFonts w:hint="eastAsia" w:ascii="宋体" w:hAnsi="宋体" w:cs="宋体"/>
          <w:bCs/>
          <w:color w:val="auto"/>
          <w:sz w:val="28"/>
          <w:szCs w:val="28"/>
          <w:highlight w:val="none"/>
          <w:lang w:val="en-US" w:eastAsia="zh-CN"/>
        </w:rPr>
        <w:t>1.投标人合法有效的法人或者其他组织的营业执照等证明文件，自然人的身份证明。以上证明文件提供原件的扫描件；</w:t>
      </w:r>
    </w:p>
    <w:p w14:paraId="09100870">
      <w:pPr>
        <w:widowControl/>
        <w:spacing w:line="400" w:lineRule="exact"/>
        <w:ind w:right="28"/>
        <w:jc w:val="left"/>
        <w:rPr>
          <w:rFonts w:hint="eastAsia" w:ascii="宋体" w:hAnsi="宋体" w:cs="宋体"/>
          <w:bCs/>
          <w:color w:val="auto"/>
          <w:sz w:val="28"/>
          <w:szCs w:val="28"/>
          <w:highlight w:val="none"/>
          <w:lang w:val="en-US" w:eastAsia="zh-CN"/>
        </w:rPr>
      </w:pPr>
      <w:r>
        <w:rPr>
          <w:rFonts w:hint="eastAsia" w:ascii="宋体" w:hAnsi="宋体" w:cs="宋体"/>
          <w:bCs/>
          <w:color w:val="auto"/>
          <w:sz w:val="28"/>
          <w:szCs w:val="28"/>
          <w:highlight w:val="none"/>
          <w:lang w:val="en-US" w:eastAsia="zh-CN"/>
        </w:rPr>
        <w:t>2.财务状况报告，至少提供：供应商的“首次响应文件提交的截止时间”前6个月内任何1月（不含“首次响应文件提交的截止时间”当月）的资产负债表的扫描件1份；供应商的“首次响应文件提交的截止时间”前6个月内任何1月（不含“首次响应文件提交的截止时间”当月）的利润表月报表的扫描件1份；或提供2025年度财务报告应包括审计报告正文、资产负债表、现金流量表、利润表）。</w:t>
      </w:r>
    </w:p>
    <w:p w14:paraId="63FF88C1">
      <w:pPr>
        <w:widowControl/>
        <w:spacing w:line="400" w:lineRule="exact"/>
        <w:ind w:right="28"/>
        <w:jc w:val="left"/>
        <w:rPr>
          <w:rFonts w:hint="eastAsia" w:ascii="宋体" w:hAnsi="宋体" w:cs="宋体"/>
          <w:bCs/>
          <w:color w:val="auto"/>
          <w:sz w:val="28"/>
          <w:szCs w:val="28"/>
          <w:highlight w:val="none"/>
          <w:lang w:val="en-US" w:eastAsia="zh-CN"/>
        </w:rPr>
      </w:pPr>
      <w:r>
        <w:rPr>
          <w:rFonts w:hint="eastAsia" w:ascii="宋体" w:hAnsi="宋体" w:cs="宋体"/>
          <w:bCs/>
          <w:color w:val="auto"/>
          <w:sz w:val="28"/>
          <w:szCs w:val="28"/>
          <w:highlight w:val="none"/>
          <w:lang w:val="en-US" w:eastAsia="zh-CN"/>
        </w:rPr>
        <w:t>3.供应商的“首次响应文件提交的截止时间”前6个月内任意1月的依法缴纳税收和社会保障资金的相关材料的扫描件（依法免税或不需要缴纳社会保障资金的供应商,应提供相应文件证明其依法免税或不需要缴纳社会保障资金)。</w:t>
      </w:r>
    </w:p>
    <w:p w14:paraId="13CAAD45">
      <w:pPr>
        <w:widowControl/>
        <w:spacing w:line="400" w:lineRule="exact"/>
        <w:ind w:right="28"/>
        <w:jc w:val="left"/>
        <w:rPr>
          <w:rFonts w:hint="eastAsia" w:ascii="宋体" w:hAnsi="宋体" w:cs="宋体"/>
          <w:bCs/>
          <w:color w:val="auto"/>
          <w:sz w:val="28"/>
          <w:szCs w:val="28"/>
          <w:highlight w:val="none"/>
          <w:lang w:val="en-US" w:eastAsia="zh-CN"/>
        </w:rPr>
      </w:pPr>
      <w:r>
        <w:rPr>
          <w:rFonts w:hint="eastAsia" w:ascii="宋体" w:hAnsi="宋体" w:cs="宋体"/>
          <w:bCs/>
          <w:color w:val="auto"/>
          <w:sz w:val="28"/>
          <w:szCs w:val="28"/>
          <w:highlight w:val="none"/>
          <w:lang w:val="en-US" w:eastAsia="zh-CN"/>
        </w:rPr>
        <w:t>4.具备履行合同所必需的设备和专业技术能力的书面声明。响应文件中提供《具备履行合同所必需的设备和专业技术能力的书面声明》（加盖电子签章，格式见《磋商文件》附件）；</w:t>
      </w:r>
    </w:p>
    <w:p w14:paraId="626D3FE3">
      <w:pPr>
        <w:widowControl/>
        <w:spacing w:line="400" w:lineRule="exact"/>
        <w:ind w:right="28"/>
        <w:jc w:val="left"/>
        <w:rPr>
          <w:rFonts w:hint="eastAsia" w:ascii="宋体" w:hAnsi="宋体" w:cs="宋体"/>
          <w:bCs/>
          <w:color w:val="auto"/>
          <w:sz w:val="28"/>
          <w:szCs w:val="28"/>
          <w:highlight w:val="none"/>
          <w:lang w:val="en-US" w:eastAsia="zh-CN"/>
        </w:rPr>
      </w:pPr>
      <w:r>
        <w:rPr>
          <w:rFonts w:hint="eastAsia" w:ascii="宋体" w:hAnsi="宋体" w:cs="宋体"/>
          <w:bCs/>
          <w:color w:val="auto"/>
          <w:sz w:val="28"/>
          <w:szCs w:val="28"/>
          <w:highlight w:val="none"/>
          <w:lang w:val="en-US" w:eastAsia="zh-CN"/>
        </w:rPr>
        <w:t>5.供应商参加政府采购活动前3年内在经营活动中没有重大违法记录的书面声明（加盖电子签章，格式见《磋商文件》附件）；</w:t>
      </w:r>
    </w:p>
    <w:p w14:paraId="033507E0">
      <w:pPr>
        <w:widowControl/>
        <w:spacing w:line="400" w:lineRule="exact"/>
        <w:ind w:right="28"/>
        <w:jc w:val="left"/>
        <w:rPr>
          <w:rFonts w:hint="eastAsia" w:ascii="宋体" w:hAnsi="宋体" w:cs="宋体"/>
          <w:bCs/>
          <w:color w:val="auto"/>
          <w:sz w:val="28"/>
          <w:szCs w:val="28"/>
          <w:highlight w:val="none"/>
          <w:lang w:val="en-US" w:eastAsia="zh-CN"/>
        </w:rPr>
      </w:pPr>
      <w:r>
        <w:rPr>
          <w:rFonts w:hint="eastAsia" w:ascii="宋体" w:hAnsi="宋体" w:cs="宋体"/>
          <w:bCs/>
          <w:color w:val="auto"/>
          <w:sz w:val="28"/>
          <w:szCs w:val="28"/>
          <w:highlight w:val="none"/>
          <w:lang w:val="en-US" w:eastAsia="zh-CN"/>
        </w:rPr>
        <w:t>6.本项目属于专门面向中小微企业采购的项目（《中小企业声明函》必须提供，否则投标将被拒绝）</w:t>
      </w:r>
    </w:p>
    <w:p w14:paraId="5D4A06C9">
      <w:pPr>
        <w:widowControl/>
        <w:spacing w:line="400" w:lineRule="exact"/>
        <w:ind w:right="28"/>
        <w:jc w:val="left"/>
        <w:rPr>
          <w:rFonts w:hint="eastAsia" w:ascii="宋体" w:hAnsi="宋体" w:cs="宋体"/>
          <w:bCs/>
          <w:color w:val="auto"/>
          <w:sz w:val="28"/>
          <w:szCs w:val="28"/>
          <w:highlight w:val="none"/>
        </w:rPr>
      </w:pPr>
      <w:r>
        <w:rPr>
          <w:rFonts w:hint="eastAsia" w:ascii="宋体" w:hAnsi="宋体" w:cs="宋体"/>
          <w:bCs/>
          <w:color w:val="auto"/>
          <w:sz w:val="28"/>
          <w:szCs w:val="28"/>
          <w:highlight w:val="none"/>
          <w:lang w:val="en-US" w:eastAsia="zh-CN"/>
        </w:rPr>
        <w:t>7.本项目的特定资格条件：具有合法有效的甲级测绘资质。</w:t>
      </w:r>
    </w:p>
    <w:p w14:paraId="5B38E98E">
      <w:pPr>
        <w:widowControl/>
        <w:spacing w:line="400" w:lineRule="exact"/>
        <w:ind w:right="28"/>
        <w:jc w:val="left"/>
        <w:rPr>
          <w:rFonts w:hint="eastAsia" w:ascii="宋体" w:hAnsi="宋体" w:eastAsia="宋体" w:cs="宋体"/>
          <w:bCs/>
          <w:color w:val="auto"/>
          <w:sz w:val="28"/>
          <w:szCs w:val="28"/>
          <w:highlight w:val="none"/>
          <w:lang w:val="en-US" w:eastAsia="zh-CN"/>
        </w:rPr>
      </w:pPr>
    </w:p>
    <w:p w14:paraId="4CD96A5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747CB6"/>
    <w:rsid w:val="1D2B0E97"/>
    <w:rsid w:val="1D487978"/>
    <w:rsid w:val="1D5C7D63"/>
    <w:rsid w:val="212B18F6"/>
    <w:rsid w:val="2A397B9F"/>
    <w:rsid w:val="3540228A"/>
    <w:rsid w:val="371A04D9"/>
    <w:rsid w:val="3986639D"/>
    <w:rsid w:val="42490979"/>
    <w:rsid w:val="43AF569F"/>
    <w:rsid w:val="44376490"/>
    <w:rsid w:val="4B756A92"/>
    <w:rsid w:val="5C9D604B"/>
    <w:rsid w:val="66205CAE"/>
    <w:rsid w:val="666E15A9"/>
    <w:rsid w:val="68CF075D"/>
    <w:rsid w:val="75461D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imes New Roman" w:hAnsi="Times New Roman" w:eastAsia="宋体" w:cs="Times New Roman"/>
      <w:sz w:val="21"/>
      <w:szCs w:val="24"/>
      <w:lang w:val="en-US" w:eastAsia="zh-CN" w:bidi="ar-SA"/>
    </w:rPr>
  </w:style>
  <w:style w:type="character" w:default="1" w:styleId="11">
    <w:name w:val="Default Paragraph Font"/>
    <w:semiHidden/>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5"/>
    <w:basedOn w:val="1"/>
    <w:next w:val="1"/>
    <w:qFormat/>
    <w:uiPriority w:val="0"/>
    <w:pPr>
      <w:ind w:left="798"/>
      <w:jc w:val="left"/>
    </w:pPr>
    <w:rPr>
      <w:rFonts w:ascii="Calibri" w:hAnsi="Calibri"/>
    </w:rPr>
  </w:style>
  <w:style w:type="paragraph" w:styleId="3">
    <w:name w:val="Body Text"/>
    <w:basedOn w:val="1"/>
    <w:next w:val="4"/>
    <w:qFormat/>
    <w:uiPriority w:val="99"/>
    <w:pPr>
      <w:spacing w:after="120"/>
    </w:pPr>
    <w:rPr>
      <w:rFonts w:ascii="Calibri" w:hAnsi="Calibri"/>
    </w:rPr>
  </w:style>
  <w:style w:type="paragraph" w:styleId="4">
    <w:name w:val="Body Text First Indent"/>
    <w:basedOn w:val="3"/>
    <w:next w:val="5"/>
    <w:qFormat/>
    <w:uiPriority w:val="0"/>
    <w:pPr>
      <w:ind w:firstLine="420"/>
    </w:pPr>
  </w:style>
  <w:style w:type="paragraph" w:styleId="5">
    <w:name w:val="Body Text First Indent 2"/>
    <w:basedOn w:val="6"/>
    <w:qFormat/>
    <w:uiPriority w:val="0"/>
    <w:pPr>
      <w:spacing w:line="360" w:lineRule="auto"/>
      <w:ind w:firstLine="420"/>
    </w:pPr>
    <w:rPr>
      <w:color w:val="000000"/>
      <w:sz w:val="20"/>
    </w:rPr>
  </w:style>
  <w:style w:type="paragraph" w:styleId="6">
    <w:name w:val="Body Text Indent"/>
    <w:basedOn w:val="1"/>
    <w:qFormat/>
    <w:uiPriority w:val="0"/>
    <w:pPr>
      <w:spacing w:after="120"/>
      <w:ind w:left="420"/>
    </w:pPr>
    <w:rPr>
      <w:rFonts w:ascii="Calibri" w:hAnsi="Calibri"/>
    </w:rPr>
  </w:style>
  <w:style w:type="paragraph" w:styleId="7">
    <w:name w:val="footnote text"/>
    <w:basedOn w:val="1"/>
    <w:next w:val="2"/>
    <w:qFormat/>
    <w:uiPriority w:val="0"/>
    <w:pPr>
      <w:jc w:val="left"/>
    </w:pPr>
    <w:rPr>
      <w:rFonts w:ascii="宋体" w:eastAsia="Times New Roman"/>
      <w:sz w:val="18"/>
      <w:szCs w:val="18"/>
    </w:rPr>
  </w:style>
  <w:style w:type="paragraph" w:styleId="8">
    <w:name w:val="Normal (Web)"/>
    <w:basedOn w:val="1"/>
    <w:qFormat/>
    <w:uiPriority w:val="0"/>
    <w:rPr>
      <w:sz w:val="24"/>
    </w:rPr>
  </w:style>
  <w:style w:type="table" w:styleId="10">
    <w:name w:val="Table Grid"/>
    <w:basedOn w:val="9"/>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目录 11"/>
    <w:basedOn w:val="13"/>
    <w:next w:val="15"/>
    <w:qFormat/>
    <w:uiPriority w:val="0"/>
    <w:pPr>
      <w:widowControl/>
      <w:spacing w:before="120" w:after="120"/>
      <w:jc w:val="left"/>
    </w:pPr>
    <w:rPr>
      <w:rFonts w:ascii="Calibri" w:hAnsi="Calibri" w:cs="Calibri"/>
      <w:b/>
      <w:bCs/>
      <w:caps/>
      <w:sz w:val="20"/>
      <w:szCs w:val="20"/>
    </w:rPr>
  </w:style>
  <w:style w:type="paragraph" w:customStyle="1" w:styleId="13">
    <w:name w:val="正文12"/>
    <w:next w:val="14"/>
    <w:qFormat/>
    <w:uiPriority w:val="0"/>
    <w:rPr>
      <w:rFonts w:hint="default" w:ascii="Times New Roman" w:hAnsi="Times New Roman" w:eastAsia="宋体" w:cs="Times New Roman"/>
      <w:lang w:val="en-US" w:eastAsia="zh-CN" w:bidi="ar-SA"/>
    </w:rPr>
  </w:style>
  <w:style w:type="paragraph" w:customStyle="1" w:styleId="14">
    <w:name w:val="文本块11"/>
    <w:basedOn w:val="1"/>
    <w:unhideWhenUsed/>
    <w:qFormat/>
    <w:uiPriority w:val="0"/>
    <w:pPr>
      <w:spacing w:after="120"/>
      <w:ind w:left="1440" w:right="1440"/>
    </w:pPr>
  </w:style>
  <w:style w:type="paragraph" w:customStyle="1" w:styleId="15">
    <w:name w:val="正文11"/>
    <w:next w:val="12"/>
    <w:qFormat/>
    <w:uiPriority w:val="0"/>
    <w:pPr>
      <w:jc w:val="both"/>
    </w:pPr>
    <w:rPr>
      <w:rFonts w:hint="default" w:ascii="Times New Roman" w:hAnsi="Times New Roman" w:eastAsia="宋体" w:cs="Times New Roman"/>
      <w:lang w:val="en-US" w:eastAsia="zh-CN" w:bidi="ar-SA"/>
    </w:rPr>
  </w:style>
  <w:style w:type="paragraph" w:customStyle="1" w:styleId="16">
    <w:name w:val="脚注文本1"/>
    <w:basedOn w:val="17"/>
    <w:next w:val="18"/>
    <w:qFormat/>
    <w:uiPriority w:val="0"/>
    <w:rPr>
      <w:rFonts w:eastAsia="Times New Roman"/>
      <w:sz w:val="18"/>
      <w:szCs w:val="18"/>
    </w:rPr>
  </w:style>
  <w:style w:type="paragraph" w:customStyle="1" w:styleId="17">
    <w:name w:val="正文1111"/>
    <w:next w:val="14"/>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8">
    <w:name w:val="索引 51"/>
    <w:basedOn w:val="19"/>
    <w:next w:val="19"/>
    <w:qFormat/>
    <w:uiPriority w:val="0"/>
    <w:pPr>
      <w:ind w:left="798"/>
    </w:pPr>
    <w:rPr>
      <w:rFonts w:ascii="Calibri" w:hAnsi="Calibri"/>
    </w:rPr>
  </w:style>
  <w:style w:type="paragraph" w:customStyle="1" w:styleId="19">
    <w:name w:val="正文1"/>
    <w:basedOn w:val="15"/>
    <w:next w:val="12"/>
    <w:qFormat/>
    <w:uiPriority w:val="0"/>
  </w:style>
  <w:style w:type="paragraph" w:customStyle="1" w:styleId="20">
    <w:name w:val="正文111"/>
    <w:next w:val="2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1">
    <w:name w:val="正文文本1"/>
    <w:basedOn w:val="15"/>
    <w:next w:val="19"/>
    <w:qFormat/>
    <w:uiPriority w:val="0"/>
    <w:pPr>
      <w:spacing w:after="120"/>
    </w:pPr>
    <w:rPr>
      <w:rFonts w:ascii="Calibri" w:hAnsi="Calibri"/>
    </w:rPr>
  </w:style>
  <w:style w:type="paragraph" w:customStyle="1" w:styleId="22">
    <w:name w:val="一级条标题"/>
    <w:basedOn w:val="23"/>
    <w:next w:val="28"/>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23">
    <w:name w:val="章标题"/>
    <w:basedOn w:val="24"/>
    <w:next w:val="1"/>
    <w:qFormat/>
    <w:uiPriority w:val="0"/>
    <w:pPr>
      <w:tabs>
        <w:tab w:val="left" w:pos="810"/>
        <w:tab w:val="left" w:pos="1265"/>
      </w:tabs>
      <w:spacing w:before="50" w:after="50"/>
      <w:ind w:left="810" w:hanging="810"/>
      <w:jc w:val="both"/>
      <w:outlineLvl w:val="1"/>
    </w:pPr>
    <w:rPr>
      <w:rFonts w:hint="default" w:ascii="黑体" w:hAnsi="Times New Roman" w:eastAsia="黑体" w:cs="Times New Roman"/>
      <w:sz w:val="21"/>
      <w:szCs w:val="22"/>
      <w:lang w:val="en-US" w:eastAsia="zh-CN" w:bidi="ar-SA"/>
    </w:rPr>
  </w:style>
  <w:style w:type="paragraph" w:customStyle="1" w:styleId="24">
    <w:name w:val="正文112"/>
    <w:next w:val="25"/>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25">
    <w:name w:val="正文首行缩进 21"/>
    <w:basedOn w:val="26"/>
    <w:next w:val="15"/>
    <w:qFormat/>
    <w:uiPriority w:val="0"/>
    <w:pPr>
      <w:ind w:firstLine="420"/>
    </w:pPr>
    <w:rPr>
      <w:rFonts w:ascii="Times New Roman" w:hAnsi="Times New Roman"/>
    </w:rPr>
  </w:style>
  <w:style w:type="paragraph" w:customStyle="1" w:styleId="26">
    <w:name w:val="正文文本缩进1"/>
    <w:basedOn w:val="15"/>
    <w:next w:val="27"/>
    <w:qFormat/>
    <w:uiPriority w:val="99"/>
    <w:pPr>
      <w:spacing w:after="120"/>
      <w:ind w:left="420"/>
    </w:pPr>
    <w:rPr>
      <w:rFonts w:ascii="Calibri" w:hAnsi="Calibri"/>
    </w:rPr>
  </w:style>
  <w:style w:type="paragraph" w:customStyle="1" w:styleId="27">
    <w:name w:val="寄信人地址1"/>
    <w:basedOn w:val="1"/>
    <w:qFormat/>
    <w:uiPriority w:val="0"/>
    <w:rPr>
      <w:rFonts w:ascii="Arial" w:hAnsi="Arial"/>
    </w:rPr>
  </w:style>
  <w:style w:type="paragraph" w:customStyle="1" w:styleId="28">
    <w:name w:val="段"/>
    <w:basedOn w:val="1"/>
    <w:next w:val="1"/>
    <w:qFormat/>
    <w:uiPriority w:val="0"/>
    <w:pPr>
      <w:widowControl/>
      <w:ind w:firstLine="200"/>
    </w:pPr>
    <w:rPr>
      <w:rFonts w:hint="eastAsia" w:ascii="宋体"/>
      <w:szCs w:val="20"/>
    </w:rPr>
  </w:style>
  <w:style w:type="paragraph" w:customStyle="1" w:styleId="29">
    <w:name w:val="正文首行缩进1"/>
    <w:basedOn w:val="21"/>
    <w:next w:val="25"/>
    <w:qFormat/>
    <w:uiPriority w:val="0"/>
    <w:pPr>
      <w:ind w:firstLine="420"/>
    </w:pPr>
    <w:rPr>
      <w:rFonts w:ascii="仿宋_GB2312" w:eastAsia="仿宋_GB2312"/>
      <w:sz w:val="30"/>
      <w:szCs w:val="30"/>
    </w:rPr>
  </w:style>
  <w:style w:type="paragraph" w:styleId="30">
    <w:name w:val="List Paragraph"/>
    <w:basedOn w:val="1"/>
    <w:qFormat/>
    <w:uiPriority w:val="1"/>
    <w:pPr>
      <w:ind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3939</Words>
  <Characters>4559</Characters>
  <Lines>0</Lines>
  <Paragraphs>0</Paragraphs>
  <TotalTime>0</TotalTime>
  <ScaleCrop>false</ScaleCrop>
  <LinksUpToDate>false</LinksUpToDate>
  <CharactersWithSpaces>4666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2022-01-12T02:43:00Z</dcterms:created>
  <dc:creator>Administrator</dc:creator>
  <cp:lastModifiedBy>徐州辰拓</cp:lastModifiedBy>
  <dcterms:modified xsi:type="dcterms:W3CDTF">2026-04-02T09:22:00Z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2AF368DCCFB44CFB8897D7F85EC74E22</vt:lpwstr>
  </property>
  <property fmtid="{D5CDD505-2E9C-101B-9397-08002B2CF9AE}" pid="4" name="KSOTemplateDocerSaveRecord">
    <vt:lpwstr>eyJoZGlkIjoiMWIxODljNTcxZjU1MjUwZmRmYjgyNDJjY2EzZjNjOGMiLCJ1c2VySWQiOiIxMzg0NTY4NjY4In0=</vt:lpwstr>
  </property>
</Properties>
</file>