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E6C19">
      <w:pPr>
        <w:jc w:val="center"/>
        <w:rPr>
          <w:rFonts w:hint="eastAsia" w:ascii="宋体" w:hAnsi="宋体" w:cs="宋体"/>
          <w:b/>
          <w:bCs/>
          <w:color w:val="auto"/>
          <w:sz w:val="28"/>
          <w:szCs w:val="28"/>
          <w:highlight w:val="none"/>
        </w:rPr>
      </w:pPr>
    </w:p>
    <w:p w14:paraId="7C9DE563">
      <w:pPr>
        <w:jc w:val="center"/>
        <w:rPr>
          <w:rFonts w:hint="eastAsia" w:ascii="宋体" w:hAnsi="宋体" w:cs="宋体"/>
          <w:b/>
          <w:bCs/>
          <w:color w:val="auto"/>
          <w:sz w:val="28"/>
          <w:szCs w:val="28"/>
          <w:highlight w:val="none"/>
        </w:rPr>
      </w:pPr>
      <w:r>
        <w:rPr>
          <w:rFonts w:hint="eastAsia" w:ascii="宋体" w:hAnsi="宋体" w:cs="宋体"/>
          <w:b w:val="0"/>
          <w:bCs w:val="0"/>
          <w:color w:val="auto"/>
          <w:sz w:val="28"/>
          <w:szCs w:val="28"/>
          <w:highlight w:val="none"/>
        </w:rPr>
        <w:t>如有建议或意见，请以书面形式并加盖公章、注明联系人、联系方式，于202</w:t>
      </w:r>
      <w:r>
        <w:rPr>
          <w:rFonts w:hint="eastAsia" w:ascii="宋体" w:hAnsi="宋体" w:cs="宋体"/>
          <w:b w:val="0"/>
          <w:bCs w:val="0"/>
          <w:color w:val="auto"/>
          <w:sz w:val="28"/>
          <w:szCs w:val="28"/>
          <w:highlight w:val="none"/>
          <w:lang w:val="en-US" w:eastAsia="zh-CN"/>
        </w:rPr>
        <w:t>6</w:t>
      </w:r>
      <w:r>
        <w:rPr>
          <w:rFonts w:hint="eastAsia" w:ascii="宋体" w:hAnsi="宋体" w:cs="宋体"/>
          <w:b w:val="0"/>
          <w:bCs w:val="0"/>
          <w:color w:val="auto"/>
          <w:sz w:val="28"/>
          <w:szCs w:val="28"/>
          <w:highlight w:val="none"/>
        </w:rPr>
        <w:t>年</w:t>
      </w:r>
      <w:r>
        <w:rPr>
          <w:rFonts w:hint="eastAsia" w:ascii="宋体" w:hAnsi="宋体" w:cs="宋体"/>
          <w:b w:val="0"/>
          <w:bCs w:val="0"/>
          <w:color w:val="auto"/>
          <w:sz w:val="28"/>
          <w:szCs w:val="28"/>
          <w:highlight w:val="none"/>
          <w:lang w:val="en-US" w:eastAsia="zh-CN"/>
        </w:rPr>
        <w:t>4</w:t>
      </w:r>
      <w:r>
        <w:rPr>
          <w:rFonts w:hint="eastAsia" w:ascii="宋体" w:hAnsi="宋体" w:cs="宋体"/>
          <w:b w:val="0"/>
          <w:bCs w:val="0"/>
          <w:color w:val="auto"/>
          <w:sz w:val="28"/>
          <w:szCs w:val="28"/>
          <w:highlight w:val="none"/>
        </w:rPr>
        <w:t>月</w:t>
      </w:r>
      <w:r>
        <w:rPr>
          <w:rFonts w:hint="eastAsia" w:ascii="宋体" w:hAnsi="宋体" w:cs="宋体"/>
          <w:b w:val="0"/>
          <w:bCs w:val="0"/>
          <w:color w:val="auto"/>
          <w:sz w:val="28"/>
          <w:szCs w:val="28"/>
          <w:highlight w:val="none"/>
          <w:lang w:val="en-US" w:eastAsia="zh-CN"/>
        </w:rPr>
        <w:t>17</w:t>
      </w:r>
      <w:r>
        <w:rPr>
          <w:rFonts w:hint="eastAsia" w:ascii="宋体" w:hAnsi="宋体" w:cs="宋体"/>
          <w:b w:val="0"/>
          <w:bCs w:val="0"/>
          <w:color w:val="auto"/>
          <w:sz w:val="28"/>
          <w:szCs w:val="28"/>
          <w:highlight w:val="none"/>
        </w:rPr>
        <w:t>日17:00之前送至我单位，逾期不受理（如邮寄，202</w:t>
      </w:r>
      <w:r>
        <w:rPr>
          <w:rFonts w:hint="eastAsia" w:ascii="宋体" w:hAnsi="宋体" w:cs="宋体"/>
          <w:b w:val="0"/>
          <w:bCs w:val="0"/>
          <w:color w:val="auto"/>
          <w:sz w:val="28"/>
          <w:szCs w:val="28"/>
          <w:highlight w:val="none"/>
          <w:lang w:val="en-US" w:eastAsia="zh-CN"/>
        </w:rPr>
        <w:t>6</w:t>
      </w:r>
      <w:r>
        <w:rPr>
          <w:rFonts w:hint="eastAsia" w:ascii="宋体" w:hAnsi="宋体" w:cs="宋体"/>
          <w:b w:val="0"/>
          <w:bCs w:val="0"/>
          <w:color w:val="auto"/>
          <w:sz w:val="28"/>
          <w:szCs w:val="28"/>
          <w:highlight w:val="none"/>
        </w:rPr>
        <w:t>年</w:t>
      </w:r>
      <w:r>
        <w:rPr>
          <w:rFonts w:hint="eastAsia" w:ascii="宋体" w:hAnsi="宋体" w:cs="宋体"/>
          <w:b w:val="0"/>
          <w:bCs w:val="0"/>
          <w:color w:val="auto"/>
          <w:sz w:val="28"/>
          <w:szCs w:val="28"/>
          <w:highlight w:val="none"/>
          <w:lang w:val="en-US" w:eastAsia="zh-CN"/>
        </w:rPr>
        <w:t>4</w:t>
      </w:r>
      <w:r>
        <w:rPr>
          <w:rFonts w:hint="eastAsia" w:ascii="宋体" w:hAnsi="宋体" w:cs="宋体"/>
          <w:b w:val="0"/>
          <w:bCs w:val="0"/>
          <w:color w:val="auto"/>
          <w:sz w:val="28"/>
          <w:szCs w:val="28"/>
          <w:highlight w:val="none"/>
        </w:rPr>
        <w:t>月</w:t>
      </w:r>
      <w:r>
        <w:rPr>
          <w:rFonts w:hint="eastAsia" w:ascii="宋体" w:hAnsi="宋体" w:cs="宋体"/>
          <w:b w:val="0"/>
          <w:bCs w:val="0"/>
          <w:color w:val="auto"/>
          <w:sz w:val="28"/>
          <w:szCs w:val="28"/>
          <w:highlight w:val="none"/>
          <w:lang w:val="en-US" w:eastAsia="zh-CN"/>
        </w:rPr>
        <w:t>17</w:t>
      </w:r>
      <w:r>
        <w:rPr>
          <w:rFonts w:hint="eastAsia" w:ascii="宋体" w:hAnsi="宋体" w:cs="宋体"/>
          <w:b w:val="0"/>
          <w:bCs w:val="0"/>
          <w:color w:val="auto"/>
          <w:sz w:val="28"/>
          <w:szCs w:val="28"/>
          <w:highlight w:val="none"/>
        </w:rPr>
        <w:t>日17:00之后到达本公司的邮件将不再受理）</w:t>
      </w:r>
    </w:p>
    <w:p w14:paraId="0AB950F7">
      <w:pPr>
        <w:jc w:val="center"/>
        <w:rPr>
          <w:rFonts w:hint="eastAsia" w:ascii="宋体" w:hAnsi="宋体" w:cs="宋体"/>
          <w:b/>
          <w:bCs/>
          <w:color w:val="auto"/>
          <w:sz w:val="28"/>
          <w:szCs w:val="28"/>
          <w:highlight w:val="none"/>
        </w:rPr>
      </w:pPr>
    </w:p>
    <w:p w14:paraId="4832840F">
      <w:pPr>
        <w:jc w:val="center"/>
        <w:rPr>
          <w:rFonts w:hint="eastAsia" w:ascii="宋体" w:hAnsi="宋体" w:cs="宋体"/>
          <w:b/>
          <w:bCs/>
          <w:color w:val="auto"/>
          <w:sz w:val="28"/>
          <w:szCs w:val="28"/>
          <w:highlight w:val="none"/>
        </w:rPr>
      </w:pPr>
      <w:bookmarkStart w:id="1" w:name="_GoBack"/>
      <w:bookmarkEnd w:id="1"/>
    </w:p>
    <w:p w14:paraId="536A1F62">
      <w:pPr>
        <w:jc w:val="center"/>
        <w:rPr>
          <w:rFonts w:hint="eastAsia" w:ascii="宋体" w:hAnsi="宋体" w:cs="宋体"/>
          <w:b/>
          <w:bCs/>
          <w:color w:val="auto"/>
          <w:sz w:val="28"/>
          <w:szCs w:val="28"/>
          <w:highlight w:val="none"/>
        </w:rPr>
      </w:pPr>
    </w:p>
    <w:p w14:paraId="05D71F57">
      <w:pPr>
        <w:jc w:val="center"/>
        <w:rPr>
          <w:rFonts w:hint="eastAsia" w:ascii="宋体" w:hAnsi="宋体" w:cs="宋体"/>
          <w:b/>
          <w:bCs/>
          <w:color w:val="auto"/>
          <w:sz w:val="28"/>
          <w:szCs w:val="28"/>
          <w:highlight w:val="none"/>
        </w:rPr>
      </w:pPr>
    </w:p>
    <w:p w14:paraId="1909E5E5">
      <w:pPr>
        <w:jc w:val="center"/>
        <w:rPr>
          <w:rFonts w:hint="eastAsia" w:ascii="宋体" w:hAnsi="宋体" w:cs="宋体"/>
          <w:b/>
          <w:bCs/>
          <w:color w:val="auto"/>
          <w:sz w:val="28"/>
          <w:szCs w:val="28"/>
          <w:highlight w:val="none"/>
        </w:rPr>
      </w:pPr>
    </w:p>
    <w:p w14:paraId="09A7368C">
      <w:pPr>
        <w:jc w:val="center"/>
        <w:rPr>
          <w:rFonts w:hint="eastAsia" w:ascii="宋体" w:hAnsi="宋体" w:cs="宋体"/>
          <w:b/>
          <w:bCs/>
          <w:color w:val="auto"/>
          <w:sz w:val="28"/>
          <w:szCs w:val="28"/>
          <w:highlight w:val="none"/>
        </w:rPr>
      </w:pPr>
    </w:p>
    <w:p w14:paraId="474DF050">
      <w:pPr>
        <w:jc w:val="center"/>
        <w:rPr>
          <w:rFonts w:hint="eastAsia" w:ascii="宋体" w:hAnsi="宋体" w:cs="宋体"/>
          <w:b/>
          <w:bCs/>
          <w:color w:val="auto"/>
          <w:sz w:val="28"/>
          <w:szCs w:val="28"/>
          <w:highlight w:val="none"/>
        </w:rPr>
      </w:pPr>
    </w:p>
    <w:p w14:paraId="64A4C4B0">
      <w:pPr>
        <w:jc w:val="center"/>
        <w:rPr>
          <w:rFonts w:hint="eastAsia" w:ascii="宋体" w:hAnsi="宋体" w:cs="宋体"/>
          <w:b/>
          <w:bCs/>
          <w:color w:val="auto"/>
          <w:sz w:val="28"/>
          <w:szCs w:val="28"/>
          <w:highlight w:val="none"/>
        </w:rPr>
      </w:pPr>
    </w:p>
    <w:p w14:paraId="764B427E">
      <w:pPr>
        <w:jc w:val="center"/>
        <w:rPr>
          <w:rFonts w:hint="eastAsia" w:ascii="宋体" w:hAnsi="宋体" w:cs="宋体"/>
          <w:b/>
          <w:bCs/>
          <w:color w:val="auto"/>
          <w:sz w:val="28"/>
          <w:szCs w:val="28"/>
          <w:highlight w:val="none"/>
        </w:rPr>
      </w:pPr>
    </w:p>
    <w:p w14:paraId="5B0110B4">
      <w:pPr>
        <w:jc w:val="center"/>
        <w:rPr>
          <w:rFonts w:hint="eastAsia" w:ascii="宋体" w:hAnsi="宋体" w:cs="宋体"/>
          <w:b/>
          <w:bCs/>
          <w:color w:val="auto"/>
          <w:sz w:val="28"/>
          <w:szCs w:val="28"/>
          <w:highlight w:val="none"/>
        </w:rPr>
      </w:pPr>
    </w:p>
    <w:p w14:paraId="58C455E8">
      <w:pPr>
        <w:jc w:val="center"/>
        <w:rPr>
          <w:rFonts w:hint="eastAsia" w:ascii="宋体" w:hAnsi="宋体" w:cs="宋体"/>
          <w:b/>
          <w:bCs/>
          <w:color w:val="auto"/>
          <w:sz w:val="28"/>
          <w:szCs w:val="28"/>
          <w:highlight w:val="none"/>
        </w:rPr>
      </w:pPr>
    </w:p>
    <w:p w14:paraId="3CAA3D27">
      <w:pPr>
        <w:jc w:val="center"/>
        <w:rPr>
          <w:rFonts w:hint="eastAsia" w:ascii="宋体" w:hAnsi="宋体" w:cs="宋体"/>
          <w:b/>
          <w:bCs/>
          <w:color w:val="auto"/>
          <w:sz w:val="28"/>
          <w:szCs w:val="28"/>
          <w:highlight w:val="none"/>
        </w:rPr>
      </w:pPr>
    </w:p>
    <w:p w14:paraId="731CEF09">
      <w:pPr>
        <w:jc w:val="center"/>
        <w:rPr>
          <w:rFonts w:hint="eastAsia" w:ascii="宋体" w:hAnsi="宋体" w:cs="宋体"/>
          <w:b/>
          <w:bCs/>
          <w:color w:val="auto"/>
          <w:sz w:val="28"/>
          <w:szCs w:val="28"/>
          <w:highlight w:val="none"/>
        </w:rPr>
      </w:pPr>
    </w:p>
    <w:p w14:paraId="369C63EE">
      <w:pPr>
        <w:jc w:val="center"/>
        <w:rPr>
          <w:rFonts w:hint="eastAsia" w:ascii="宋体" w:hAnsi="宋体" w:cs="宋体"/>
          <w:b/>
          <w:bCs/>
          <w:color w:val="auto"/>
          <w:sz w:val="28"/>
          <w:szCs w:val="28"/>
          <w:highlight w:val="none"/>
        </w:rPr>
      </w:pPr>
    </w:p>
    <w:p w14:paraId="1CDA7219">
      <w:pPr>
        <w:jc w:val="center"/>
        <w:rPr>
          <w:rFonts w:hint="eastAsia" w:ascii="宋体" w:hAnsi="宋体" w:cs="宋体"/>
          <w:b/>
          <w:bCs/>
          <w:color w:val="auto"/>
          <w:sz w:val="28"/>
          <w:szCs w:val="28"/>
          <w:highlight w:val="none"/>
        </w:rPr>
      </w:pPr>
    </w:p>
    <w:p w14:paraId="07D76020">
      <w:pPr>
        <w:jc w:val="center"/>
        <w:rPr>
          <w:rFonts w:hint="eastAsia" w:ascii="宋体" w:hAnsi="宋体" w:cs="宋体"/>
          <w:b/>
          <w:bCs/>
          <w:color w:val="auto"/>
          <w:sz w:val="28"/>
          <w:szCs w:val="28"/>
          <w:highlight w:val="none"/>
        </w:rPr>
      </w:pPr>
    </w:p>
    <w:p w14:paraId="3AB86D6A">
      <w:pPr>
        <w:jc w:val="center"/>
        <w:rPr>
          <w:rFonts w:hint="eastAsia" w:ascii="宋体" w:hAnsi="宋体" w:cs="宋体"/>
          <w:b/>
          <w:bCs/>
          <w:color w:val="auto"/>
          <w:sz w:val="28"/>
          <w:szCs w:val="28"/>
          <w:highlight w:val="none"/>
        </w:rPr>
      </w:pPr>
    </w:p>
    <w:p w14:paraId="5C470BB2">
      <w:pPr>
        <w:jc w:val="center"/>
        <w:rPr>
          <w:rFonts w:hint="eastAsia" w:ascii="宋体" w:hAnsi="宋体" w:cs="宋体"/>
          <w:b/>
          <w:bCs/>
          <w:color w:val="auto"/>
          <w:sz w:val="28"/>
          <w:szCs w:val="28"/>
          <w:highlight w:val="none"/>
        </w:rPr>
      </w:pPr>
    </w:p>
    <w:p w14:paraId="32802D2D">
      <w:pPr>
        <w:jc w:val="center"/>
        <w:rPr>
          <w:rFonts w:ascii="宋体" w:hAnsi="宋体" w:cs="宋体"/>
          <w:b/>
          <w:bCs/>
          <w:color w:val="auto"/>
          <w:sz w:val="24"/>
          <w:highlight w:val="none"/>
        </w:rPr>
      </w:pPr>
      <w:r>
        <w:rPr>
          <w:rFonts w:hint="eastAsia" w:ascii="宋体" w:hAnsi="宋体" w:cs="宋体"/>
          <w:b/>
          <w:bCs/>
          <w:color w:val="auto"/>
          <w:sz w:val="28"/>
          <w:szCs w:val="28"/>
          <w:highlight w:val="none"/>
        </w:rPr>
        <w:t>采购需求</w:t>
      </w:r>
      <w:bookmarkStart w:id="0" w:name="_Toc80122298"/>
      <w:bookmarkEnd w:id="0"/>
    </w:p>
    <w:p w14:paraId="0F664DEF">
      <w:pPr>
        <w:numPr>
          <w:ilvl w:val="0"/>
          <w:numId w:val="0"/>
        </w:numPr>
        <w:ind w:firstLine="482"/>
        <w:jc w:val="left"/>
        <w:rPr>
          <w:rFonts w:hint="eastAsia" w:ascii="宋体" w:hAnsi="宋体" w:cs="宋体"/>
          <w:b/>
          <w:color w:val="auto"/>
          <w:sz w:val="24"/>
          <w:highlight w:val="none"/>
          <w:lang w:val="en-US" w:eastAsia="zh-CN"/>
        </w:rPr>
      </w:pPr>
    </w:p>
    <w:p w14:paraId="2AD016AD">
      <w:pPr>
        <w:widowControl/>
        <w:spacing w:line="360" w:lineRule="auto"/>
        <w:ind w:firstLine="240"/>
        <w:rPr>
          <w:rFonts w:hint="eastAsia" w:ascii="宋体" w:hAnsi="宋体" w:eastAsia="宋体" w:cs="宋体"/>
          <w:b/>
          <w:bCs/>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b/>
          <w:bCs/>
          <w:sz w:val="24"/>
          <w:szCs w:val="24"/>
          <w:highlight w:val="none"/>
        </w:rPr>
        <w:t>一、本项目不接受超过</w:t>
      </w:r>
      <w:r>
        <w:rPr>
          <w:rFonts w:hint="eastAsia" w:ascii="宋体" w:hAnsi="宋体" w:eastAsia="宋体" w:cs="宋体"/>
          <w:b/>
          <w:bCs/>
          <w:sz w:val="24"/>
          <w:szCs w:val="24"/>
          <w:highlight w:val="none"/>
          <w:u w:val="single"/>
          <w:lang w:val="en-US" w:eastAsia="zh-CN"/>
        </w:rPr>
        <w:t>191.32</w:t>
      </w:r>
      <w:r>
        <w:rPr>
          <w:rFonts w:hint="eastAsia" w:ascii="宋体" w:hAnsi="宋体" w:eastAsia="宋体" w:cs="宋体"/>
          <w:b/>
          <w:bCs/>
          <w:sz w:val="24"/>
          <w:szCs w:val="24"/>
          <w:highlight w:val="none"/>
        </w:rPr>
        <w:t>万元（采购项目预算金额）的报价。</w:t>
      </w:r>
    </w:p>
    <w:p w14:paraId="779452AA">
      <w:pPr>
        <w:widowControl/>
        <w:tabs>
          <w:tab w:val="left" w:pos="321"/>
        </w:tabs>
        <w:spacing w:line="400" w:lineRule="exact"/>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报价应包括符合采购需求和施工场地所需的所有费用，含材料费、人工费、设备租赁及使用费、安全文明施工费、税费等。甲方不再支付报价以外的任何费用。</w:t>
      </w:r>
    </w:p>
    <w:p w14:paraId="5EB055C2">
      <w:pPr>
        <w:widowControl/>
        <w:spacing w:line="360" w:lineRule="auto"/>
        <w:ind w:firstLine="482"/>
        <w:rPr>
          <w:rFonts w:hint="default" w:ascii="宋体" w:hAnsi="宋体" w:eastAsia="宋体" w:cs="宋体"/>
          <w:sz w:val="24"/>
          <w:szCs w:val="24"/>
          <w:highlight w:val="none"/>
          <w:lang w:val="en-US" w:eastAsia="zh-CN"/>
        </w:rPr>
      </w:pPr>
      <w:r>
        <w:rPr>
          <w:rFonts w:hint="eastAsia" w:ascii="宋体" w:hAnsi="宋体" w:eastAsia="宋体" w:cs="宋体"/>
          <w:b/>
          <w:sz w:val="24"/>
          <w:szCs w:val="24"/>
          <w:highlight w:val="none"/>
        </w:rPr>
        <w:t>二、项目名称：</w:t>
      </w:r>
      <w:r>
        <w:rPr>
          <w:rFonts w:hint="eastAsia" w:ascii="宋体" w:hAnsi="宋体" w:eastAsia="宋体" w:cs="宋体"/>
          <w:color w:val="auto"/>
          <w:sz w:val="24"/>
          <w:szCs w:val="24"/>
          <w:highlight w:val="none"/>
          <w:lang w:val="en-US" w:eastAsia="zh-CN" w:bidi="ar-SA"/>
        </w:rPr>
        <w:t>高新路西、纬一路北地块考古调查、勘探项目</w:t>
      </w:r>
      <w:r>
        <w:rPr>
          <w:rFonts w:hint="eastAsia" w:ascii="宋体" w:hAnsi="宋体" w:eastAsia="宋体" w:cs="宋体"/>
          <w:color w:val="auto"/>
          <w:sz w:val="24"/>
          <w:szCs w:val="24"/>
          <w:highlight w:val="none"/>
          <w:lang w:eastAsia="zh-CN"/>
        </w:rPr>
        <w:t>。</w:t>
      </w:r>
    </w:p>
    <w:p w14:paraId="278C9394">
      <w:pPr>
        <w:widowControl/>
        <w:spacing w:line="360" w:lineRule="auto"/>
        <w:ind w:firstLine="482"/>
        <w:rPr>
          <w:rFonts w:hint="eastAsia" w:ascii="宋体" w:hAnsi="宋体" w:eastAsia="宋体" w:cs="宋体"/>
          <w:color w:val="auto"/>
          <w:sz w:val="24"/>
          <w:szCs w:val="24"/>
          <w:highlight w:val="none"/>
          <w:shd w:val="clear" w:color="auto"/>
        </w:rPr>
      </w:pPr>
      <w:r>
        <w:rPr>
          <w:rFonts w:hint="eastAsia" w:ascii="宋体" w:hAnsi="宋体" w:eastAsia="宋体" w:cs="宋体"/>
          <w:b/>
          <w:bCs/>
          <w:sz w:val="24"/>
          <w:szCs w:val="24"/>
          <w:highlight w:val="none"/>
        </w:rPr>
        <w:t>三、合同履行期限：</w:t>
      </w:r>
      <w:r>
        <w:rPr>
          <w:rFonts w:hint="eastAsia" w:ascii="宋体" w:hAnsi="宋体" w:eastAsia="宋体" w:cs="宋体"/>
          <w:color w:val="auto"/>
          <w:sz w:val="24"/>
          <w:szCs w:val="24"/>
          <w:highlight w:val="none"/>
          <w:shd w:val="clear" w:color="auto"/>
        </w:rPr>
        <w:t>自签订合同进场之日起</w:t>
      </w:r>
      <w:r>
        <w:rPr>
          <w:rFonts w:hint="eastAsia" w:ascii="宋体" w:hAnsi="宋体" w:eastAsia="宋体" w:cs="宋体"/>
          <w:color w:val="auto"/>
          <w:sz w:val="24"/>
          <w:szCs w:val="24"/>
          <w:highlight w:val="none"/>
          <w:shd w:val="clear" w:color="auto"/>
          <w:lang w:val="en-US" w:eastAsia="zh-CN"/>
        </w:rPr>
        <w:t>60</w:t>
      </w:r>
      <w:r>
        <w:rPr>
          <w:rFonts w:hint="eastAsia" w:ascii="宋体" w:hAnsi="宋体" w:eastAsia="宋体" w:cs="宋体"/>
          <w:color w:val="auto"/>
          <w:sz w:val="24"/>
          <w:szCs w:val="24"/>
          <w:highlight w:val="none"/>
          <w:shd w:val="clear" w:color="auto"/>
        </w:rPr>
        <w:t>个</w:t>
      </w:r>
      <w:r>
        <w:rPr>
          <w:rFonts w:hint="eastAsia" w:ascii="宋体" w:hAnsi="宋体" w:eastAsia="宋体" w:cs="宋体"/>
          <w:color w:val="auto"/>
          <w:sz w:val="24"/>
          <w:szCs w:val="24"/>
          <w:highlight w:val="none"/>
          <w:shd w:val="clear" w:color="auto"/>
          <w:lang w:val="en-US" w:eastAsia="zh-CN"/>
        </w:rPr>
        <w:t>晴好</w:t>
      </w:r>
      <w:r>
        <w:rPr>
          <w:rFonts w:hint="eastAsia" w:ascii="宋体" w:hAnsi="宋体" w:eastAsia="宋体" w:cs="宋体"/>
          <w:color w:val="auto"/>
          <w:sz w:val="24"/>
          <w:szCs w:val="24"/>
          <w:highlight w:val="none"/>
          <w:shd w:val="clear" w:color="auto"/>
        </w:rPr>
        <w:t>工作日内完成所有工作。</w:t>
      </w:r>
    </w:p>
    <w:p w14:paraId="20BF876B">
      <w:pPr>
        <w:widowControl/>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四、项目概况：</w:t>
      </w:r>
    </w:p>
    <w:p w14:paraId="08A8E76E">
      <w:pPr>
        <w:widowControl w:val="0"/>
        <w:spacing w:line="360" w:lineRule="auto"/>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徐州经济技术开发区位于徐州市东部，毗邻黄河故道，该考古调查、勘探区域属于典型的黄泛淤积区，主体位于黄河故道的弯道北侧，淤积深度较厚。地形以平原为主，山地次之。</w:t>
      </w:r>
    </w:p>
    <w:p w14:paraId="2EFC4BF7">
      <w:pPr>
        <w:widowControl/>
        <w:spacing w:line="360" w:lineRule="auto"/>
        <w:ind w:firstLine="48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eastAsia="zh-CN"/>
        </w:rPr>
        <w:t>根据《关于进一步做好可能存在地下文物区域考古前置工作的通知》(苏文旅发〔</w:t>
      </w:r>
      <w:r>
        <w:rPr>
          <w:rFonts w:hint="eastAsia" w:ascii="宋体" w:hAnsi="宋体" w:eastAsia="宋体" w:cs="宋体"/>
          <w:bCs/>
          <w:sz w:val="24"/>
          <w:szCs w:val="24"/>
          <w:highlight w:val="none"/>
          <w:lang w:val="en-US" w:eastAsia="zh-CN"/>
        </w:rPr>
        <w:t>2025</w:t>
      </w:r>
      <w:r>
        <w:rPr>
          <w:rFonts w:hint="eastAsia" w:ascii="宋体" w:hAnsi="宋体" w:eastAsia="宋体" w:cs="宋体"/>
          <w:bCs/>
          <w:sz w:val="24"/>
          <w:szCs w:val="24"/>
          <w:highlight w:val="none"/>
          <w:lang w:eastAsia="zh-CN"/>
        </w:rPr>
        <w:t>〕66号)要求，宣传部对</w:t>
      </w:r>
      <w:r>
        <w:rPr>
          <w:rFonts w:hint="eastAsia" w:ascii="宋体" w:hAnsi="宋体" w:eastAsia="宋体" w:cs="宋体"/>
          <w:color w:val="auto"/>
          <w:sz w:val="24"/>
          <w:szCs w:val="24"/>
          <w:highlight w:val="none"/>
          <w:lang w:val="en-US" w:eastAsia="zh-CN" w:bidi="ar-SA"/>
        </w:rPr>
        <w:t>高新路西、纬一路北</w:t>
      </w:r>
      <w:r>
        <w:rPr>
          <w:rFonts w:hint="eastAsia" w:ascii="宋体" w:hAnsi="宋体" w:eastAsia="宋体" w:cs="宋体"/>
          <w:color w:val="auto"/>
          <w:sz w:val="24"/>
          <w:szCs w:val="24"/>
          <w:highlight w:val="none"/>
          <w:lang w:eastAsia="zh-CN"/>
        </w:rPr>
        <w:t>地块</w:t>
      </w:r>
      <w:r>
        <w:rPr>
          <w:rFonts w:hint="eastAsia" w:ascii="宋体" w:hAnsi="宋体" w:eastAsia="宋体" w:cs="宋体"/>
          <w:bCs/>
          <w:sz w:val="24"/>
          <w:szCs w:val="24"/>
          <w:highlight w:val="none"/>
          <w:lang w:eastAsia="zh-CN"/>
        </w:rPr>
        <w:t>开展考古前置工作，考古调查、勘探土地面积</w:t>
      </w:r>
      <w:r>
        <w:rPr>
          <w:rFonts w:hint="eastAsia" w:hAnsi="宋体" w:eastAsia="宋体" w:cs="宋体"/>
          <w:bCs/>
          <w:color w:val="auto"/>
          <w:sz w:val="24"/>
          <w:szCs w:val="24"/>
          <w:highlight w:val="none"/>
          <w:u w:val="none"/>
          <w:lang w:val="en-US" w:eastAsia="zh-CN"/>
        </w:rPr>
        <w:t>318880.8</w:t>
      </w:r>
      <w:r>
        <w:rPr>
          <w:rFonts w:hint="eastAsia" w:hAnsi="宋体" w:eastAsia="宋体" w:cs="宋体"/>
          <w:bCs/>
          <w:sz w:val="24"/>
          <w:szCs w:val="24"/>
          <w:highlight w:val="none"/>
          <w:u w:val="none"/>
          <w:lang w:val="en-US" w:eastAsia="zh-CN"/>
        </w:rPr>
        <w:t>平方米</w:t>
      </w:r>
      <w:r>
        <w:rPr>
          <w:rFonts w:hint="eastAsia" w:ascii="宋体" w:hAnsi="宋体" w:eastAsia="宋体" w:cs="宋体"/>
          <w:bCs/>
          <w:sz w:val="24"/>
          <w:szCs w:val="24"/>
          <w:highlight w:val="none"/>
          <w:lang w:eastAsia="zh-CN"/>
        </w:rPr>
        <w:t>。</w:t>
      </w:r>
    </w:p>
    <w:tbl>
      <w:tblPr>
        <w:tblStyle w:val="7"/>
        <w:tblW w:w="8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2706"/>
        <w:gridCol w:w="1118"/>
        <w:gridCol w:w="2516"/>
      </w:tblGrid>
      <w:tr w14:paraId="183E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2" w:type="dxa"/>
            <w:tcBorders>
              <w:top w:val="single" w:color="auto" w:sz="4" w:space="0"/>
              <w:left w:val="single" w:color="auto" w:sz="4" w:space="0"/>
              <w:bottom w:val="single" w:color="auto" w:sz="4" w:space="0"/>
              <w:right w:val="single" w:color="auto" w:sz="4" w:space="0"/>
            </w:tcBorders>
            <w:noWrap w:val="0"/>
            <w:vAlign w:val="bottom"/>
          </w:tcPr>
          <w:p w14:paraId="548A055F">
            <w:pPr>
              <w:spacing w:line="400" w:lineRule="exact"/>
              <w:jc w:val="center"/>
              <w:rPr>
                <w:rFonts w:hint="eastAsia" w:ascii="宋体" w:hAnsi="宋体" w:eastAsia="宋体"/>
                <w:b/>
                <w:sz w:val="24"/>
                <w:szCs w:val="24"/>
                <w:highlight w:val="none"/>
              </w:rPr>
            </w:pPr>
            <w:r>
              <w:rPr>
                <w:rFonts w:hint="eastAsia" w:ascii="宋体" w:hAnsi="宋体" w:eastAsia="宋体"/>
                <w:b/>
                <w:sz w:val="24"/>
                <w:szCs w:val="24"/>
                <w:highlight w:val="none"/>
              </w:rPr>
              <w:t>地点</w:t>
            </w:r>
          </w:p>
        </w:tc>
        <w:tc>
          <w:tcPr>
            <w:tcW w:w="2706" w:type="dxa"/>
            <w:tcBorders>
              <w:top w:val="single" w:color="auto" w:sz="4" w:space="0"/>
              <w:left w:val="single" w:color="auto" w:sz="4" w:space="0"/>
              <w:bottom w:val="single" w:color="auto" w:sz="4" w:space="0"/>
              <w:right w:val="single" w:color="auto" w:sz="4" w:space="0"/>
            </w:tcBorders>
            <w:noWrap w:val="0"/>
            <w:vAlign w:val="bottom"/>
          </w:tcPr>
          <w:p w14:paraId="5811BFB0">
            <w:pPr>
              <w:spacing w:line="400" w:lineRule="exact"/>
              <w:jc w:val="center"/>
              <w:rPr>
                <w:rFonts w:hint="eastAsia" w:ascii="宋体" w:hAnsi="宋体" w:eastAsia="宋体"/>
                <w:b/>
                <w:sz w:val="24"/>
                <w:szCs w:val="24"/>
                <w:highlight w:val="none"/>
              </w:rPr>
            </w:pPr>
            <w:r>
              <w:rPr>
                <w:rFonts w:hint="eastAsia" w:ascii="宋体" w:hAnsi="宋体" w:eastAsia="宋体"/>
                <w:b/>
                <w:sz w:val="24"/>
                <w:szCs w:val="24"/>
                <w:highlight w:val="none"/>
              </w:rPr>
              <w:t>位置</w:t>
            </w:r>
          </w:p>
        </w:tc>
        <w:tc>
          <w:tcPr>
            <w:tcW w:w="1118" w:type="dxa"/>
            <w:tcBorders>
              <w:top w:val="single" w:color="auto" w:sz="4" w:space="0"/>
              <w:left w:val="single" w:color="auto" w:sz="4" w:space="0"/>
              <w:bottom w:val="single" w:color="auto" w:sz="4" w:space="0"/>
              <w:right w:val="single" w:color="auto" w:sz="4" w:space="0"/>
            </w:tcBorders>
            <w:noWrap w:val="0"/>
            <w:vAlign w:val="bottom"/>
          </w:tcPr>
          <w:p w14:paraId="42E69D45">
            <w:pPr>
              <w:spacing w:line="400" w:lineRule="exact"/>
              <w:jc w:val="center"/>
              <w:rPr>
                <w:rFonts w:hint="eastAsia" w:ascii="宋体" w:hAnsi="宋体" w:eastAsia="宋体"/>
                <w:b/>
                <w:sz w:val="24"/>
                <w:szCs w:val="24"/>
                <w:highlight w:val="none"/>
                <w:lang w:eastAsia="zh-CN"/>
              </w:rPr>
            </w:pPr>
            <w:r>
              <w:rPr>
                <w:rFonts w:hint="eastAsia" w:ascii="宋体" w:hAnsi="宋体" w:eastAsia="宋体"/>
                <w:b/>
                <w:sz w:val="24"/>
                <w:szCs w:val="24"/>
                <w:highlight w:val="none"/>
                <w:lang w:val="en-US" w:eastAsia="zh-CN"/>
              </w:rPr>
              <w:t>平方米</w:t>
            </w:r>
          </w:p>
        </w:tc>
        <w:tc>
          <w:tcPr>
            <w:tcW w:w="2516" w:type="dxa"/>
            <w:tcBorders>
              <w:top w:val="single" w:color="auto" w:sz="4" w:space="0"/>
              <w:left w:val="single" w:color="auto" w:sz="4" w:space="0"/>
              <w:bottom w:val="single" w:color="auto" w:sz="4" w:space="0"/>
              <w:right w:val="single" w:color="auto" w:sz="4" w:space="0"/>
            </w:tcBorders>
            <w:noWrap w:val="0"/>
            <w:vAlign w:val="bottom"/>
          </w:tcPr>
          <w:p w14:paraId="2C6F7429">
            <w:pPr>
              <w:spacing w:line="400" w:lineRule="exact"/>
              <w:jc w:val="center"/>
              <w:rPr>
                <w:rFonts w:hint="eastAsia" w:ascii="宋体" w:hAnsi="宋体" w:eastAsia="宋体"/>
                <w:b/>
                <w:sz w:val="24"/>
                <w:szCs w:val="24"/>
                <w:highlight w:val="none"/>
              </w:rPr>
            </w:pPr>
            <w:r>
              <w:rPr>
                <w:rFonts w:hint="eastAsia" w:ascii="宋体" w:hAnsi="宋体" w:eastAsia="宋体"/>
                <w:b/>
                <w:sz w:val="24"/>
                <w:szCs w:val="24"/>
                <w:highlight w:val="none"/>
              </w:rPr>
              <w:t>目前情况</w:t>
            </w:r>
          </w:p>
        </w:tc>
      </w:tr>
      <w:tr w14:paraId="104F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2" w:type="dxa"/>
            <w:tcBorders>
              <w:top w:val="single" w:color="auto" w:sz="4" w:space="0"/>
              <w:left w:val="single" w:color="auto" w:sz="4" w:space="0"/>
              <w:bottom w:val="single" w:color="auto" w:sz="4" w:space="0"/>
              <w:right w:val="single" w:color="auto" w:sz="4" w:space="0"/>
            </w:tcBorders>
            <w:noWrap w:val="0"/>
            <w:vAlign w:val="bottom"/>
          </w:tcPr>
          <w:p w14:paraId="722F0745">
            <w:pPr>
              <w:spacing w:line="400" w:lineRule="exact"/>
              <w:jc w:val="center"/>
              <w:rPr>
                <w:rFonts w:hint="eastAsia" w:ascii="宋体" w:hAnsi="宋体" w:eastAsia="宋体" w:cs="宋体"/>
                <w:bCs/>
                <w:sz w:val="24"/>
                <w:szCs w:val="24"/>
                <w:highlight w:val="none"/>
              </w:rPr>
            </w:pPr>
            <w:r>
              <w:rPr>
                <w:rFonts w:hint="eastAsia" w:ascii="宋体" w:hAnsi="宋体" w:eastAsia="宋体" w:cs="宋体"/>
                <w:color w:val="auto"/>
                <w:sz w:val="24"/>
                <w:szCs w:val="24"/>
                <w:highlight w:val="none"/>
                <w:lang w:val="en-US" w:eastAsia="zh-CN" w:bidi="ar-SA"/>
              </w:rPr>
              <w:t>高新路西、纬一路北</w:t>
            </w:r>
            <w:r>
              <w:rPr>
                <w:rFonts w:hint="eastAsia" w:ascii="宋体" w:hAnsi="宋体" w:eastAsia="宋体" w:cs="宋体"/>
                <w:color w:val="auto"/>
                <w:sz w:val="24"/>
                <w:szCs w:val="24"/>
                <w:highlight w:val="none"/>
                <w:lang w:eastAsia="zh-CN"/>
              </w:rPr>
              <w:t>地块</w:t>
            </w:r>
          </w:p>
        </w:tc>
        <w:tc>
          <w:tcPr>
            <w:tcW w:w="2706" w:type="dxa"/>
            <w:tcBorders>
              <w:top w:val="single" w:color="auto" w:sz="4" w:space="0"/>
              <w:left w:val="single" w:color="auto" w:sz="4" w:space="0"/>
              <w:bottom w:val="single" w:color="auto" w:sz="4" w:space="0"/>
              <w:right w:val="single" w:color="auto" w:sz="4" w:space="0"/>
            </w:tcBorders>
            <w:noWrap w:val="0"/>
            <w:vAlign w:val="bottom"/>
          </w:tcPr>
          <w:p w14:paraId="7E493578">
            <w:pPr>
              <w:widowControl/>
              <w:spacing w:line="400" w:lineRule="exact"/>
              <w:ind w:left="240" w:hanging="240"/>
              <w:jc w:val="both"/>
              <w:rPr>
                <w:rFonts w:hint="eastAsia" w:ascii="宋体" w:hAnsi="宋体" w:eastAsia="宋体" w:cs="宋体"/>
                <w:bCs/>
                <w:sz w:val="24"/>
                <w:szCs w:val="24"/>
                <w:highlight w:val="none"/>
                <w:lang w:eastAsia="zh-CN"/>
              </w:rPr>
            </w:pPr>
            <w:r>
              <w:rPr>
                <w:rFonts w:hint="default" w:ascii="宋体" w:hAnsi="宋体" w:eastAsia="宋体" w:cs="宋体"/>
                <w:color w:val="auto"/>
                <w:sz w:val="24"/>
                <w:szCs w:val="24"/>
                <w:highlight w:val="none"/>
                <w:lang w:val="en-US" w:eastAsia="zh-CN" w:bidi="ar-SA"/>
              </w:rPr>
              <w:t>东至高新路，西至经二路，南至大纬一路，北至纬零路</w:t>
            </w:r>
          </w:p>
        </w:tc>
        <w:tc>
          <w:tcPr>
            <w:tcW w:w="1118" w:type="dxa"/>
            <w:tcBorders>
              <w:top w:val="single" w:color="auto" w:sz="4" w:space="0"/>
              <w:left w:val="single" w:color="auto" w:sz="4" w:space="0"/>
              <w:bottom w:val="single" w:color="auto" w:sz="4" w:space="0"/>
              <w:right w:val="single" w:color="auto" w:sz="4" w:space="0"/>
            </w:tcBorders>
            <w:noWrap w:val="0"/>
            <w:vAlign w:val="bottom"/>
          </w:tcPr>
          <w:p w14:paraId="5BDBC64D">
            <w:pPr>
              <w:spacing w:line="400" w:lineRule="exact"/>
              <w:jc w:val="center"/>
              <w:rPr>
                <w:rFonts w:hint="default" w:ascii="宋体" w:hAnsi="宋体" w:eastAsia="宋体" w:cs="宋体"/>
                <w:bCs/>
                <w:sz w:val="24"/>
                <w:szCs w:val="24"/>
                <w:highlight w:val="none"/>
                <w:lang w:val="en-US" w:eastAsia="zh-CN"/>
              </w:rPr>
            </w:pPr>
            <w:r>
              <w:rPr>
                <w:rFonts w:hint="eastAsia" w:hAnsi="宋体" w:eastAsia="宋体" w:cs="宋体"/>
                <w:bCs/>
                <w:color w:val="auto"/>
                <w:sz w:val="24"/>
                <w:szCs w:val="24"/>
                <w:highlight w:val="none"/>
                <w:u w:val="none"/>
                <w:lang w:val="en-US" w:eastAsia="zh-CN"/>
              </w:rPr>
              <w:t>318880.8</w:t>
            </w:r>
          </w:p>
        </w:tc>
        <w:tc>
          <w:tcPr>
            <w:tcW w:w="2516" w:type="dxa"/>
            <w:tcBorders>
              <w:top w:val="single" w:color="auto" w:sz="4" w:space="0"/>
              <w:left w:val="single" w:color="auto" w:sz="4" w:space="0"/>
              <w:bottom w:val="single" w:color="auto" w:sz="4" w:space="0"/>
              <w:right w:val="single" w:color="auto" w:sz="4" w:space="0"/>
            </w:tcBorders>
            <w:noWrap w:val="0"/>
            <w:vAlign w:val="bottom"/>
          </w:tcPr>
          <w:p w14:paraId="62ADE7F6">
            <w:pPr>
              <w:spacing w:line="400" w:lineRule="exact"/>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基本农田</w:t>
            </w:r>
          </w:p>
        </w:tc>
      </w:tr>
      <w:tr w14:paraId="26BC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2" w:type="dxa"/>
            <w:tcBorders>
              <w:top w:val="single" w:color="auto" w:sz="4" w:space="0"/>
              <w:left w:val="single" w:color="auto" w:sz="4" w:space="0"/>
              <w:bottom w:val="single" w:color="auto" w:sz="4" w:space="0"/>
              <w:right w:val="single" w:color="auto" w:sz="4" w:space="0"/>
            </w:tcBorders>
            <w:noWrap w:val="0"/>
            <w:vAlign w:val="center"/>
          </w:tcPr>
          <w:p w14:paraId="25021C7D">
            <w:pPr>
              <w:widowControl/>
              <w:spacing w:line="400" w:lineRule="exact"/>
              <w:jc w:val="center"/>
              <w:rPr>
                <w:rFonts w:hint="default" w:eastAsia="宋体"/>
                <w:sz w:val="24"/>
                <w:szCs w:val="24"/>
                <w:highlight w:val="none"/>
              </w:rPr>
            </w:pPr>
          </w:p>
        </w:tc>
        <w:tc>
          <w:tcPr>
            <w:tcW w:w="2706" w:type="dxa"/>
            <w:tcBorders>
              <w:top w:val="single" w:color="auto" w:sz="4" w:space="0"/>
              <w:left w:val="single" w:color="auto" w:sz="4" w:space="0"/>
              <w:bottom w:val="single" w:color="auto" w:sz="4" w:space="0"/>
              <w:right w:val="single" w:color="auto" w:sz="4" w:space="0"/>
            </w:tcBorders>
            <w:noWrap w:val="0"/>
            <w:vAlign w:val="center"/>
          </w:tcPr>
          <w:p w14:paraId="58AEC5BF">
            <w:pPr>
              <w:widowControl/>
              <w:spacing w:line="400" w:lineRule="exact"/>
              <w:jc w:val="center"/>
              <w:rPr>
                <w:rFonts w:hint="default" w:eastAsia="宋体"/>
                <w:sz w:val="24"/>
                <w:szCs w:val="24"/>
                <w:highlight w:val="none"/>
              </w:rPr>
            </w:pPr>
            <w:r>
              <w:rPr>
                <w:rFonts w:hint="eastAsia" w:ascii="宋体" w:hAnsi="宋体" w:eastAsia="宋体" w:cs="宋体"/>
                <w:color w:val="000000"/>
                <w:sz w:val="24"/>
                <w:szCs w:val="24"/>
                <w:highlight w:val="none"/>
                <w:u w:val="none"/>
              </w:rPr>
              <w:t>合计</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5C9E0CA">
            <w:pPr>
              <w:widowControl/>
              <w:spacing w:line="400" w:lineRule="exact"/>
              <w:jc w:val="center"/>
              <w:rPr>
                <w:rFonts w:hint="default" w:ascii="宋体" w:hAnsi="宋体" w:eastAsia="宋体" w:cs="宋体"/>
                <w:color w:val="000000"/>
                <w:sz w:val="24"/>
                <w:szCs w:val="24"/>
                <w:highlight w:val="none"/>
                <w:lang w:val="en-US" w:eastAsia="zh-CN"/>
              </w:rPr>
            </w:pPr>
            <w:r>
              <w:rPr>
                <w:rFonts w:hint="eastAsia" w:hAnsi="宋体" w:eastAsia="宋体" w:cs="宋体"/>
                <w:bCs/>
                <w:color w:val="auto"/>
                <w:sz w:val="24"/>
                <w:szCs w:val="24"/>
                <w:highlight w:val="none"/>
                <w:u w:val="none"/>
                <w:lang w:val="en-US" w:eastAsia="zh-CN"/>
              </w:rPr>
              <w:t>318880.8</w:t>
            </w:r>
          </w:p>
        </w:tc>
        <w:tc>
          <w:tcPr>
            <w:tcW w:w="2516" w:type="dxa"/>
            <w:tcBorders>
              <w:top w:val="single" w:color="auto" w:sz="4" w:space="0"/>
              <w:left w:val="single" w:color="auto" w:sz="4" w:space="0"/>
              <w:bottom w:val="single" w:color="auto" w:sz="4" w:space="0"/>
              <w:right w:val="single" w:color="auto" w:sz="4" w:space="0"/>
            </w:tcBorders>
            <w:noWrap w:val="0"/>
            <w:vAlign w:val="center"/>
          </w:tcPr>
          <w:p w14:paraId="7502EA67">
            <w:pPr>
              <w:widowControl/>
              <w:spacing w:line="400" w:lineRule="exact"/>
              <w:jc w:val="center"/>
              <w:rPr>
                <w:rFonts w:hint="eastAsia" w:ascii="宋体" w:hAnsi="宋体" w:eastAsia="宋体" w:cs="宋体"/>
                <w:color w:val="000000"/>
                <w:sz w:val="24"/>
                <w:szCs w:val="24"/>
                <w:highlight w:val="none"/>
              </w:rPr>
            </w:pPr>
          </w:p>
        </w:tc>
      </w:tr>
    </w:tbl>
    <w:p w14:paraId="7C54D141">
      <w:pPr>
        <w:widowControl/>
        <w:spacing w:line="360" w:lineRule="auto"/>
        <w:rPr>
          <w:rFonts w:hint="eastAsia" w:ascii="宋体" w:hAnsi="宋体" w:eastAsia="宋体" w:cs="宋体"/>
          <w:b/>
          <w:bCs/>
          <w:sz w:val="24"/>
          <w:szCs w:val="24"/>
          <w:highlight w:val="none"/>
        </w:rPr>
      </w:pPr>
    </w:p>
    <w:p w14:paraId="5F53B8BF">
      <w:pPr>
        <w:widowControl/>
        <w:spacing w:line="360" w:lineRule="auto"/>
        <w:rPr>
          <w:rFonts w:hint="eastAsia" w:ascii="宋体" w:hAnsi="宋体" w:eastAsia="宋体"/>
          <w:b/>
          <w:sz w:val="24"/>
          <w:szCs w:val="24"/>
          <w:highlight w:val="none"/>
        </w:rPr>
      </w:pPr>
    </w:p>
    <w:p w14:paraId="71F1D038">
      <w:pPr>
        <w:widowControl/>
        <w:spacing w:line="360" w:lineRule="auto"/>
        <w:ind w:firstLine="482"/>
        <w:rPr>
          <w:rFonts w:hint="eastAsia" w:ascii="宋体" w:hAnsi="宋体" w:eastAsia="宋体"/>
          <w:b/>
          <w:sz w:val="24"/>
          <w:szCs w:val="24"/>
          <w:highlight w:val="none"/>
        </w:rPr>
      </w:pPr>
    </w:p>
    <w:p w14:paraId="2B0B0631">
      <w:pPr>
        <w:widowControl/>
        <w:spacing w:line="360" w:lineRule="auto"/>
        <w:ind w:firstLine="482"/>
        <w:rPr>
          <w:rFonts w:hint="eastAsia" w:ascii="宋体" w:hAnsi="宋体" w:eastAsia="宋体"/>
          <w:b/>
          <w:sz w:val="24"/>
          <w:szCs w:val="24"/>
          <w:highlight w:val="none"/>
        </w:rPr>
      </w:pPr>
    </w:p>
    <w:p w14:paraId="10F3D0B0">
      <w:pPr>
        <w:widowControl/>
        <w:spacing w:line="360" w:lineRule="auto"/>
        <w:jc w:val="both"/>
        <w:rPr>
          <w:rFonts w:hint="eastAsia" w:ascii="宋体" w:hAnsi="宋体" w:eastAsia="宋体"/>
          <w:b/>
          <w:sz w:val="24"/>
          <w:szCs w:val="24"/>
          <w:highlight w:val="none"/>
        </w:rPr>
      </w:pPr>
      <w:r>
        <w:rPr>
          <w:rFonts w:eastAsia="宋体"/>
          <w:szCs w:val="24"/>
        </w:rPr>
        <w:drawing>
          <wp:inline distT="0" distB="0" distL="114300" distR="114300">
            <wp:extent cx="5125720" cy="3836035"/>
            <wp:effectExtent l="0" t="0" r="1778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125720" cy="3836035"/>
                    </a:xfrm>
                    <a:prstGeom prst="rect">
                      <a:avLst/>
                    </a:prstGeom>
                    <a:noFill/>
                    <a:ln>
                      <a:noFill/>
                    </a:ln>
                  </pic:spPr>
                </pic:pic>
              </a:graphicData>
            </a:graphic>
          </wp:inline>
        </w:drawing>
      </w:r>
    </w:p>
    <w:p w14:paraId="61E5E53F">
      <w:pPr>
        <w:widowControl/>
        <w:spacing w:line="360" w:lineRule="auto"/>
        <w:ind w:firstLine="482"/>
        <w:rPr>
          <w:rFonts w:hint="eastAsia" w:ascii="宋体" w:hAnsi="宋体" w:eastAsia="宋体"/>
          <w:b/>
          <w:sz w:val="24"/>
          <w:szCs w:val="24"/>
          <w:highlight w:val="none"/>
        </w:rPr>
      </w:pPr>
    </w:p>
    <w:p w14:paraId="1734A8A9">
      <w:pPr>
        <w:widowControl/>
        <w:spacing w:line="360" w:lineRule="auto"/>
        <w:ind w:firstLine="482"/>
        <w:rPr>
          <w:rFonts w:hint="eastAsia" w:ascii="宋体" w:hAnsi="宋体" w:eastAsia="宋体"/>
          <w:b/>
          <w:sz w:val="24"/>
          <w:szCs w:val="24"/>
          <w:highlight w:val="none"/>
        </w:rPr>
      </w:pPr>
      <w:r>
        <w:rPr>
          <w:rFonts w:ascii="宋体" w:hAnsi="宋体" w:eastAsia="宋体"/>
          <w:b/>
          <w:sz w:val="24"/>
          <w:szCs w:val="24"/>
          <w:highlight w:val="none"/>
        </w:rPr>
        <w:t>五、服务内容</w:t>
      </w:r>
    </w:p>
    <w:tbl>
      <w:tblPr>
        <w:tblStyle w:val="7"/>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2162"/>
        <w:gridCol w:w="4063"/>
      </w:tblGrid>
      <w:tr w14:paraId="1219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Borders>
              <w:top w:val="single" w:color="auto" w:sz="4" w:space="0"/>
              <w:left w:val="single" w:color="auto" w:sz="4" w:space="0"/>
              <w:bottom w:val="single" w:color="auto" w:sz="4" w:space="0"/>
              <w:right w:val="single" w:color="auto" w:sz="4" w:space="0"/>
            </w:tcBorders>
            <w:noWrap w:val="0"/>
          </w:tcPr>
          <w:p w14:paraId="79A1732B">
            <w:pPr>
              <w:spacing w:line="360" w:lineRule="auto"/>
              <w:ind w:firstLine="482"/>
              <w:rPr>
                <w:rFonts w:hint="eastAsia" w:ascii="宋体" w:hAnsi="宋体" w:eastAsia="宋体"/>
                <w:b/>
                <w:sz w:val="24"/>
                <w:szCs w:val="24"/>
                <w:highlight w:val="none"/>
              </w:rPr>
            </w:pPr>
            <w:r>
              <w:rPr>
                <w:rFonts w:ascii="宋体" w:hAnsi="宋体" w:eastAsia="宋体"/>
                <w:b/>
                <w:sz w:val="24"/>
                <w:szCs w:val="24"/>
                <w:highlight w:val="none"/>
              </w:rPr>
              <w:t>采购内容</w:t>
            </w:r>
          </w:p>
        </w:tc>
        <w:tc>
          <w:tcPr>
            <w:tcW w:w="2162" w:type="dxa"/>
            <w:tcBorders>
              <w:top w:val="single" w:color="auto" w:sz="4" w:space="0"/>
              <w:left w:val="single" w:color="auto" w:sz="4" w:space="0"/>
              <w:bottom w:val="single" w:color="auto" w:sz="4" w:space="0"/>
              <w:right w:val="single" w:color="auto" w:sz="4" w:space="0"/>
            </w:tcBorders>
            <w:noWrap w:val="0"/>
          </w:tcPr>
          <w:p w14:paraId="4479FCD9">
            <w:pPr>
              <w:spacing w:line="360" w:lineRule="auto"/>
              <w:ind w:firstLine="723"/>
              <w:rPr>
                <w:rFonts w:hint="eastAsia" w:ascii="宋体" w:hAnsi="宋体" w:eastAsia="宋体"/>
                <w:b/>
                <w:sz w:val="24"/>
                <w:szCs w:val="24"/>
                <w:highlight w:val="none"/>
              </w:rPr>
            </w:pPr>
            <w:r>
              <w:rPr>
                <w:rFonts w:ascii="宋体" w:hAnsi="宋体" w:eastAsia="宋体"/>
                <w:b/>
                <w:sz w:val="24"/>
                <w:szCs w:val="24"/>
                <w:highlight w:val="none"/>
              </w:rPr>
              <w:t>面积</w:t>
            </w:r>
          </w:p>
        </w:tc>
        <w:tc>
          <w:tcPr>
            <w:tcW w:w="4063" w:type="dxa"/>
            <w:tcBorders>
              <w:top w:val="single" w:color="auto" w:sz="4" w:space="0"/>
              <w:left w:val="single" w:color="auto" w:sz="4" w:space="0"/>
              <w:bottom w:val="single" w:color="auto" w:sz="4" w:space="0"/>
              <w:right w:val="single" w:color="auto" w:sz="4" w:space="0"/>
            </w:tcBorders>
            <w:noWrap w:val="0"/>
          </w:tcPr>
          <w:p w14:paraId="0D558C80">
            <w:pPr>
              <w:spacing w:line="360" w:lineRule="auto"/>
              <w:ind w:firstLine="1446"/>
              <w:rPr>
                <w:rFonts w:hint="eastAsia" w:ascii="宋体" w:hAnsi="宋体" w:eastAsia="宋体"/>
                <w:b/>
                <w:sz w:val="24"/>
                <w:szCs w:val="24"/>
                <w:highlight w:val="none"/>
              </w:rPr>
            </w:pPr>
            <w:r>
              <w:rPr>
                <w:rFonts w:ascii="宋体" w:hAnsi="宋体" w:eastAsia="宋体"/>
                <w:b/>
                <w:sz w:val="24"/>
                <w:szCs w:val="24"/>
                <w:highlight w:val="none"/>
              </w:rPr>
              <w:t>服务要求</w:t>
            </w:r>
          </w:p>
        </w:tc>
      </w:tr>
      <w:tr w14:paraId="4705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6" w:hRule="atLeast"/>
        </w:trPr>
        <w:tc>
          <w:tcPr>
            <w:tcW w:w="2305" w:type="dxa"/>
            <w:tcBorders>
              <w:top w:val="single" w:color="auto" w:sz="4" w:space="0"/>
              <w:left w:val="single" w:color="auto" w:sz="4" w:space="0"/>
              <w:bottom w:val="single" w:color="auto" w:sz="4" w:space="0"/>
              <w:right w:val="single" w:color="auto" w:sz="4" w:space="0"/>
            </w:tcBorders>
            <w:noWrap w:val="0"/>
            <w:vAlign w:val="center"/>
          </w:tcPr>
          <w:p w14:paraId="080B35E7">
            <w:pPr>
              <w:spacing w:line="400" w:lineRule="exact"/>
              <w:jc w:val="center"/>
              <w:rPr>
                <w:rFonts w:hint="default" w:ascii="宋体" w:hAnsi="宋体" w:eastAsia="宋体" w:cs="宋体"/>
                <w:bCs/>
                <w:sz w:val="24"/>
                <w:szCs w:val="24"/>
                <w:highlight w:val="none"/>
                <w:lang w:val="en-US"/>
              </w:rPr>
            </w:pPr>
            <w:r>
              <w:rPr>
                <w:rFonts w:hint="eastAsia" w:ascii="宋体" w:hAnsi="宋体" w:eastAsia="宋体" w:cs="宋体"/>
                <w:color w:val="auto"/>
                <w:sz w:val="24"/>
                <w:szCs w:val="24"/>
                <w:highlight w:val="none"/>
                <w:lang w:val="en-US" w:eastAsia="zh-CN" w:bidi="ar-SA"/>
              </w:rPr>
              <w:t>高新路西、纬一路北</w:t>
            </w:r>
            <w:r>
              <w:rPr>
                <w:rFonts w:hint="eastAsia" w:ascii="宋体" w:hAnsi="宋体" w:eastAsia="宋体" w:cs="宋体"/>
                <w:color w:val="auto"/>
                <w:sz w:val="24"/>
                <w:szCs w:val="24"/>
                <w:highlight w:val="none"/>
                <w:lang w:eastAsia="zh-CN"/>
              </w:rPr>
              <w:t>地块</w:t>
            </w:r>
            <w:r>
              <w:rPr>
                <w:rFonts w:hint="eastAsia" w:ascii="宋体" w:hAnsi="宋体" w:eastAsia="宋体" w:cs="宋体"/>
                <w:color w:val="auto"/>
                <w:sz w:val="24"/>
                <w:szCs w:val="24"/>
                <w:highlight w:val="none"/>
                <w:lang w:val="en-US" w:eastAsia="zh-CN"/>
              </w:rPr>
              <w:t>考古调查、勘探项目</w:t>
            </w:r>
          </w:p>
          <w:p w14:paraId="2E30DB78">
            <w:pPr>
              <w:spacing w:line="360" w:lineRule="auto"/>
              <w:jc w:val="center"/>
              <w:rPr>
                <w:rFonts w:hint="eastAsia" w:ascii="宋体" w:hAnsi="宋体" w:eastAsia="宋体"/>
                <w:b/>
                <w:sz w:val="24"/>
                <w:szCs w:val="24"/>
                <w:highlight w:val="none"/>
              </w:rPr>
            </w:pPr>
            <w:r>
              <w:rPr>
                <w:rFonts w:hint="eastAsia" w:ascii="宋体" w:hAnsi="宋体" w:eastAsia="宋体"/>
                <w:sz w:val="24"/>
                <w:szCs w:val="24"/>
                <w:highlight w:val="none"/>
              </w:rPr>
              <w:t>（共1个地块）</w:t>
            </w:r>
          </w:p>
        </w:tc>
        <w:tc>
          <w:tcPr>
            <w:tcW w:w="2162" w:type="dxa"/>
            <w:tcBorders>
              <w:top w:val="single" w:color="auto" w:sz="4" w:space="0"/>
              <w:left w:val="single" w:color="auto" w:sz="4" w:space="0"/>
              <w:bottom w:val="single" w:color="auto" w:sz="4" w:space="0"/>
              <w:right w:val="single" w:color="auto" w:sz="4" w:space="0"/>
            </w:tcBorders>
            <w:noWrap w:val="0"/>
            <w:vAlign w:val="center"/>
          </w:tcPr>
          <w:p w14:paraId="06796AA8">
            <w:pPr>
              <w:widowControl/>
              <w:spacing w:line="360" w:lineRule="auto"/>
              <w:ind w:left="240" w:hanging="240"/>
              <w:jc w:val="center"/>
              <w:rPr>
                <w:rFonts w:hint="eastAsia" w:ascii="宋体" w:hAnsi="宋体" w:eastAsia="宋体"/>
                <w:color w:val="464646"/>
                <w:sz w:val="24"/>
                <w:szCs w:val="24"/>
                <w:highlight w:val="none"/>
              </w:rPr>
            </w:pPr>
            <w:r>
              <w:rPr>
                <w:rFonts w:hint="eastAsia" w:ascii="宋体" w:hAnsi="宋体" w:eastAsia="宋体"/>
                <w:color w:val="464646"/>
                <w:sz w:val="24"/>
                <w:szCs w:val="24"/>
                <w:highlight w:val="none"/>
              </w:rPr>
              <w:t>调查</w:t>
            </w:r>
            <w:r>
              <w:rPr>
                <w:rFonts w:ascii="宋体" w:hAnsi="宋体" w:eastAsia="宋体"/>
                <w:color w:val="464646"/>
                <w:sz w:val="24"/>
                <w:szCs w:val="24"/>
                <w:highlight w:val="none"/>
              </w:rPr>
              <w:t>勘探面积约</w:t>
            </w:r>
          </w:p>
          <w:p w14:paraId="1BFD4E7C">
            <w:pPr>
              <w:widowControl/>
              <w:spacing w:line="360" w:lineRule="auto"/>
              <w:ind w:left="240" w:hanging="240"/>
              <w:jc w:val="center"/>
              <w:rPr>
                <w:rFonts w:hint="default" w:ascii="宋体" w:hAnsi="宋体" w:eastAsia="宋体"/>
                <w:b/>
                <w:sz w:val="24"/>
                <w:szCs w:val="24"/>
                <w:highlight w:val="none"/>
                <w:lang w:val="en-US"/>
              </w:rPr>
            </w:pPr>
            <w:r>
              <w:rPr>
                <w:rFonts w:hint="eastAsia" w:hAnsi="宋体" w:eastAsia="宋体" w:cs="宋体"/>
                <w:bCs/>
                <w:color w:val="auto"/>
                <w:sz w:val="24"/>
                <w:szCs w:val="24"/>
                <w:highlight w:val="none"/>
                <w:u w:val="none"/>
                <w:lang w:val="en-US" w:eastAsia="zh-CN"/>
              </w:rPr>
              <w:t>318880.8</w:t>
            </w:r>
            <w:r>
              <w:rPr>
                <w:rFonts w:hint="eastAsia" w:hAnsi="宋体" w:eastAsia="宋体" w:cs="宋体"/>
                <w:bCs/>
                <w:sz w:val="24"/>
                <w:szCs w:val="24"/>
                <w:highlight w:val="none"/>
                <w:u w:val="none"/>
                <w:lang w:val="en-US" w:eastAsia="zh-CN"/>
              </w:rPr>
              <w:t>平方米</w:t>
            </w:r>
          </w:p>
        </w:tc>
        <w:tc>
          <w:tcPr>
            <w:tcW w:w="4063" w:type="dxa"/>
            <w:tcBorders>
              <w:top w:val="single" w:color="auto" w:sz="4" w:space="0"/>
              <w:left w:val="single" w:color="auto" w:sz="4" w:space="0"/>
              <w:bottom w:val="single" w:color="auto" w:sz="4" w:space="0"/>
              <w:right w:val="single" w:color="auto" w:sz="4" w:space="0"/>
            </w:tcBorders>
            <w:noWrap w:val="0"/>
          </w:tcPr>
          <w:p w14:paraId="1D38A546">
            <w:pPr>
              <w:spacing w:line="400" w:lineRule="exact"/>
              <w:rPr>
                <w:rFonts w:hint="eastAsia" w:ascii="宋体" w:hAnsi="宋体" w:eastAsia="宋体"/>
                <w:b/>
                <w:sz w:val="24"/>
                <w:szCs w:val="24"/>
                <w:highlight w:val="none"/>
              </w:rPr>
            </w:pPr>
            <w:r>
              <w:rPr>
                <w:rFonts w:hint="eastAsia" w:ascii="宋体" w:hAnsi="宋体" w:eastAsia="宋体"/>
                <w:sz w:val="24"/>
                <w:szCs w:val="24"/>
                <w:highlight w:val="none"/>
              </w:rPr>
              <w:t>通过科学的考古调查、勘探工作，对</w:t>
            </w:r>
            <w:r>
              <w:rPr>
                <w:rFonts w:hint="eastAsia" w:ascii="宋体" w:hAnsi="宋体" w:eastAsia="宋体" w:cs="宋体"/>
                <w:color w:val="auto"/>
                <w:sz w:val="24"/>
                <w:szCs w:val="24"/>
                <w:highlight w:val="none"/>
                <w:lang w:val="en-US" w:eastAsia="zh-CN" w:bidi="ar-SA"/>
              </w:rPr>
              <w:t>高新路西、纬一路北</w:t>
            </w:r>
            <w:r>
              <w:rPr>
                <w:rFonts w:hint="eastAsia" w:ascii="宋体" w:hAnsi="宋体" w:eastAsia="宋体" w:cs="宋体"/>
                <w:color w:val="auto"/>
                <w:sz w:val="24"/>
                <w:szCs w:val="24"/>
                <w:highlight w:val="none"/>
                <w:lang w:eastAsia="zh-CN"/>
              </w:rPr>
              <w:t>地块</w:t>
            </w:r>
            <w:r>
              <w:rPr>
                <w:rFonts w:hint="eastAsia" w:ascii="宋体" w:hAnsi="宋体" w:eastAsia="宋体"/>
                <w:sz w:val="24"/>
                <w:szCs w:val="24"/>
                <w:highlight w:val="none"/>
                <w:lang w:eastAsia="zh-CN"/>
              </w:rPr>
              <w:t>考古调查、勘探项目</w:t>
            </w:r>
            <w:r>
              <w:rPr>
                <w:rFonts w:hint="eastAsia" w:ascii="宋体" w:hAnsi="宋体" w:eastAsia="宋体"/>
                <w:sz w:val="24"/>
                <w:szCs w:val="24"/>
                <w:highlight w:val="none"/>
              </w:rPr>
              <w:t>，其中，</w:t>
            </w:r>
            <w:r>
              <w:rPr>
                <w:rFonts w:ascii="宋体" w:hAnsi="宋体" w:eastAsia="宋体"/>
                <w:sz w:val="24"/>
                <w:szCs w:val="24"/>
                <w:highlight w:val="none"/>
              </w:rPr>
              <w:t>普探布点间距为梅花孔1-2米布设，加点位置偏差小于10厘米，深度地表至生土层。对勘探中发现的重要遗迹</w:t>
            </w:r>
            <w:r>
              <w:rPr>
                <w:rFonts w:hint="eastAsia" w:ascii="宋体" w:hAnsi="宋体" w:eastAsia="宋体"/>
                <w:sz w:val="24"/>
                <w:szCs w:val="24"/>
                <w:highlight w:val="none"/>
              </w:rPr>
              <w:t>、遗物</w:t>
            </w:r>
            <w:r>
              <w:rPr>
                <w:rFonts w:ascii="宋体" w:hAnsi="宋体" w:eastAsia="宋体"/>
                <w:sz w:val="24"/>
                <w:szCs w:val="24"/>
                <w:highlight w:val="none"/>
              </w:rPr>
              <w:t>应布设“十”</w:t>
            </w:r>
            <w:r>
              <w:rPr>
                <w:rFonts w:hint="eastAsia" w:ascii="宋体" w:hAnsi="宋体" w:eastAsia="宋体"/>
                <w:sz w:val="24"/>
                <w:szCs w:val="24"/>
                <w:highlight w:val="none"/>
              </w:rPr>
              <w:t>或“井”</w:t>
            </w:r>
            <w:r>
              <w:rPr>
                <w:rFonts w:ascii="宋体" w:hAnsi="宋体" w:eastAsia="宋体"/>
                <w:sz w:val="24"/>
                <w:szCs w:val="24"/>
                <w:highlight w:val="none"/>
              </w:rPr>
              <w:t>字形排孔，进行重点卡探。勘探对象为其他地形的，酌情布孔。提供详细的记录（文字、图纸、影像）、总结）。</w:t>
            </w:r>
          </w:p>
        </w:tc>
      </w:tr>
    </w:tbl>
    <w:p w14:paraId="13CE6F8C">
      <w:pPr>
        <w:widowControl/>
        <w:spacing w:line="400" w:lineRule="exact"/>
        <w:ind w:firstLine="482"/>
        <w:rPr>
          <w:rFonts w:hint="eastAsia" w:ascii="宋体" w:hAnsi="宋体" w:eastAsia="宋体" w:cs="宋体"/>
          <w:b/>
          <w:sz w:val="24"/>
          <w:szCs w:val="24"/>
          <w:highlight w:val="none"/>
        </w:rPr>
      </w:pPr>
      <w:r>
        <w:rPr>
          <w:rFonts w:hint="eastAsia" w:ascii="宋体" w:hAnsi="宋体" w:eastAsia="宋体" w:cs="宋体"/>
          <w:b/>
          <w:bCs/>
          <w:sz w:val="24"/>
          <w:szCs w:val="24"/>
          <w:highlight w:val="none"/>
        </w:rPr>
        <w:t>六、勘探服务要求</w:t>
      </w:r>
    </w:p>
    <w:p w14:paraId="4B9D6FD9">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1.勘探工作必须按照国家文物局颁布的《田野考古工作规程》(WW/T0075-2015)、《考古勘探工作规程(试行)》进行，所有的勘探成果需科学规范、精确记录。</w:t>
      </w:r>
    </w:p>
    <w:p w14:paraId="0EF42A5B">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2.勘探人员在不违反安全操作规范的前提下须服从并配合甲方安排，所有勘探工作应在甲方的统一指导安排下进行，如不服从甲方要求，造成的一切损失由乙方承担。</w:t>
      </w:r>
    </w:p>
    <w:p w14:paraId="504AE013">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3.现场勘探所需工具及设备由乙方自行配备，甲方不提供。</w:t>
      </w:r>
    </w:p>
    <w:p w14:paraId="015392DB">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4.勘探工作发现的遗迹必须用RTK进行测量地理坐标点，并进行精确标注。</w:t>
      </w:r>
    </w:p>
    <w:p w14:paraId="47B472FA">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5.单个项目的勘探工作结束后，必须提供勘探资料纸质本和电子版各一份，记录内容包括：勘探单元日记、探孔记录、勘探单元记录、遗迹单位记录：绘图内容包括：勘探单元位置图、勘探单元遗迹分布图、勘探单元堆积总剖面图、遗迹单位平剖面等、出土典型遗物图等。表格登记内容包括：遗迹单位登记表、测绘图登记表、影响资料登记表、采样登记表、勘探单元归档登记表等。并对提取土样进行编号、登记、拍照。</w:t>
      </w:r>
    </w:p>
    <w:p w14:paraId="7AFF75B2">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6.乙方应遵守甲方的保密规定，不得擅自向第三方报料，介绍工地情况，不得私自保管和泄露考古资料，所有的工作成果及报告须严格保密。</w:t>
      </w:r>
    </w:p>
    <w:p w14:paraId="48374220">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7.勘探服务人员应熟悉《中华人民共和国文物保护法》的有关规定，不得私留截留、保管、倒卖工地上出土的古代文物和标本，一经发现，甲方有权终止合同，并依法追究当事人及连带投标人法律责任。</w:t>
      </w:r>
    </w:p>
    <w:p w14:paraId="60D721D3">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8.乙方需设有固定服务电话，以便及时了解甲方的考古勘探需求，乙方应在接到采购人通知起，2小时之内回复，在5个工作日内根据甲方所下达的考古任务及考古时间要求，自行组织相关人员进场。</w:t>
      </w:r>
    </w:p>
    <w:p w14:paraId="43535C67">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9.勘探工作任务由甲方统筹安排，在不违背法律法规的前提下，乙方须无条件服务采购人安排。</w:t>
      </w:r>
    </w:p>
    <w:p w14:paraId="37F398C1">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10.项目在90个工作日内完成；若遇不可抗拒因素 (雨雪、重要考古发现、政府有权部门的要求等)，工期顺延。考古勘探工作结束后7个工作日内，乙方应当将工作报告提交给甲方，工作报告包括但不限于以下内容:项目名称、项目负责人、勘探范围图、勘探过程描述、地层遗迹描述、主要收获(价值初判)、遗迹定位测量图、工作过程照片、相关建议等。</w:t>
      </w:r>
    </w:p>
    <w:p w14:paraId="2F296A50">
      <w:pPr>
        <w:widowControl w:val="0"/>
        <w:spacing w:line="400" w:lineRule="exact"/>
        <w:ind w:firstLine="482"/>
        <w:jc w:val="both"/>
        <w:rPr>
          <w:rFonts w:hint="eastAsia" w:ascii="宋体" w:hAnsi="宋体" w:eastAsia="宋体" w:cs="宋体"/>
          <w:b/>
          <w:sz w:val="24"/>
          <w:szCs w:val="24"/>
          <w:highlight w:val="none"/>
          <w:lang w:val="en-US" w:eastAsia="zh-CN" w:bidi="ar-SA"/>
        </w:rPr>
      </w:pPr>
      <w:r>
        <w:rPr>
          <w:rFonts w:hint="eastAsia" w:ascii="宋体" w:hAnsi="宋体" w:eastAsia="宋体" w:cs="宋体"/>
          <w:b/>
          <w:sz w:val="24"/>
          <w:szCs w:val="24"/>
          <w:highlight w:val="none"/>
          <w:lang w:val="en-US" w:eastAsia="zh-CN" w:bidi="ar-SA"/>
        </w:rPr>
        <w:t>七、技术队要求</w:t>
      </w:r>
    </w:p>
    <w:p w14:paraId="7C311D4B">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1.为了满足项目的要求及强度，乙方需提供受过专业训练的人员，详细列出用于本项目的负责人、各层次的专业技术人员、服务人员的名单。为了方便实施本项目，乙方应明确一名项目主要负责人以及 1-2 名联系人。</w:t>
      </w:r>
    </w:p>
    <w:p w14:paraId="7A1199BF">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2.现场环境的管理，每次考古工作当天工作结束后，现场不能留有勘探人员垃圾，保证现场人走场清。</w:t>
      </w:r>
    </w:p>
    <w:p w14:paraId="5F3B354A">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3.乙方所安排的工作人员必须经过专业培训，同时应提前告知所有现场工作人员注意事项,如由勘探人员所引起的事故,乙方应承担所有责任，同时甲方保留追究其相关责任的权利。</w:t>
      </w:r>
    </w:p>
    <w:p w14:paraId="74423CDC">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4.乙方须组织及协调现场人员，维持现场秩序，保证工作有条不紊的进行，同时应对现场工作人员及其他第三方人员人身安全负责。</w:t>
      </w:r>
    </w:p>
    <w:p w14:paraId="545A0B70">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5.乙方在项目实施过程中应做到制度上墙，人员工作时应配戴安全帽和必要的安全防护措施。每次考古项目至少设置一名安全员，挂牌上岗。如勘探人员因违规操作发生事故,或将地下管线损坏，由乙方自行处理并承担由此造成的所有损失和费用。对考古工作中出现的高危项目，投标人应向甲方说明，并要求采取合理的保护措施，确保人员安全。在安全条件和措施不到位的情况下，乙方有权拒绝施工。</w:t>
      </w:r>
    </w:p>
    <w:p w14:paraId="46571527">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6.乙方对其项目的人员、物资、场地等安全负全部责任。</w:t>
      </w:r>
    </w:p>
    <w:p w14:paraId="2F65FA56">
      <w:pPr>
        <w:widowControl w:val="0"/>
        <w:spacing w:line="400" w:lineRule="exact"/>
        <w:ind w:firstLine="482"/>
        <w:jc w:val="both"/>
        <w:rPr>
          <w:rFonts w:hint="eastAsia" w:ascii="宋体" w:hAnsi="宋体" w:eastAsia="宋体" w:cs="宋体"/>
          <w:b/>
          <w:sz w:val="24"/>
          <w:szCs w:val="24"/>
          <w:highlight w:val="none"/>
          <w:lang w:val="en-US" w:eastAsia="zh-CN" w:bidi="ar-SA"/>
        </w:rPr>
      </w:pPr>
      <w:r>
        <w:rPr>
          <w:rFonts w:hint="eastAsia" w:ascii="宋体" w:hAnsi="宋体" w:eastAsia="宋体" w:cs="宋体"/>
          <w:b/>
          <w:sz w:val="24"/>
          <w:szCs w:val="24"/>
          <w:highlight w:val="none"/>
          <w:lang w:val="en-US" w:eastAsia="zh-CN" w:bidi="ar-SA"/>
        </w:rPr>
        <w:t>八、验收需求：</w:t>
      </w:r>
    </w:p>
    <w:p w14:paraId="26E5FA94">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根据江苏省文化和旅游厅《江苏省基本建设工程考古工作管理办法（试行）》文件要求，考古工作结束后，由省文物局组织专家对考古结果予以验收，并出具相关意见。</w:t>
      </w:r>
    </w:p>
    <w:p w14:paraId="04CF1991">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乙方在单个考古勘探服务项目验收后7日内，应向甲方提供《考古勘探工作报告》纸质版2份和配套电子资料1份。</w:t>
      </w:r>
    </w:p>
    <w:p w14:paraId="4670E002">
      <w:pPr>
        <w:widowControl w:val="0"/>
        <w:spacing w:line="400" w:lineRule="exact"/>
        <w:ind w:firstLine="482"/>
        <w:jc w:val="both"/>
        <w:rPr>
          <w:rFonts w:hint="eastAsia" w:ascii="宋体" w:hAnsi="宋体" w:eastAsia="宋体" w:cs="宋体"/>
          <w:b/>
          <w:sz w:val="24"/>
          <w:szCs w:val="24"/>
          <w:highlight w:val="none"/>
          <w:lang w:val="en-US" w:eastAsia="zh-CN" w:bidi="ar-SA"/>
        </w:rPr>
      </w:pPr>
      <w:r>
        <w:rPr>
          <w:rFonts w:hint="eastAsia" w:ascii="宋体" w:hAnsi="宋体" w:eastAsia="宋体" w:cs="宋体"/>
          <w:b/>
          <w:sz w:val="24"/>
          <w:szCs w:val="24"/>
          <w:highlight w:val="none"/>
          <w:lang w:val="en-US" w:eastAsia="zh-CN" w:bidi="ar-SA"/>
        </w:rPr>
        <w:t>九、项目特别说明：</w:t>
      </w:r>
    </w:p>
    <w:p w14:paraId="1632A77C">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1.实施地点:甲方指定地点。</w:t>
      </w:r>
    </w:p>
    <w:p w14:paraId="788391D0">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2.本项目采用费用包干方式，乙方在项目实施中出现任何遗漏或事故均应自行负责，甲方不再支付任何费用。</w:t>
      </w:r>
    </w:p>
    <w:p w14:paraId="690B4081">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3.乙方在踏勘现场，踏勘期间发生的意外自负，有关费用自理。</w:t>
      </w:r>
    </w:p>
    <w:p w14:paraId="738F6392">
      <w:pPr>
        <w:widowControl w:val="0"/>
        <w:spacing w:line="400" w:lineRule="exact"/>
        <w:ind w:firstLine="482"/>
        <w:jc w:val="both"/>
        <w:rPr>
          <w:rFonts w:hint="eastAsia" w:ascii="宋体" w:hAnsi="宋体" w:eastAsia="宋体" w:cs="宋体"/>
          <w:b/>
          <w:sz w:val="24"/>
          <w:szCs w:val="24"/>
          <w:highlight w:val="none"/>
          <w:lang w:val="en-US" w:eastAsia="zh-CN" w:bidi="ar-SA"/>
        </w:rPr>
      </w:pPr>
      <w:r>
        <w:rPr>
          <w:rFonts w:hint="eastAsia" w:ascii="宋体" w:hAnsi="宋体" w:eastAsia="宋体" w:cs="宋体"/>
          <w:b/>
          <w:sz w:val="24"/>
          <w:szCs w:val="24"/>
          <w:highlight w:val="none"/>
          <w:lang w:val="en-US" w:eastAsia="zh-CN" w:bidi="ar-SA"/>
        </w:rPr>
        <w:t>十、其他要求</w:t>
      </w:r>
    </w:p>
    <w:p w14:paraId="620D57E6">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1.乙方出现以下行为之一时，甲方有权单方面中止与乙方的合作，并以书面形式通知乙方：</w:t>
      </w:r>
    </w:p>
    <w:p w14:paraId="121EC25C">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2.未按合同约定投入合格的、足够的劳务人员，或者未经甲方同意擅自更换项目负责人，或者项目负责人较长时间不到工地现场履行职责。</w:t>
      </w:r>
    </w:p>
    <w:p w14:paraId="75AFDB6C">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3.未达到前文所述的工作要求。</w:t>
      </w:r>
    </w:p>
    <w:p w14:paraId="10A97D4E">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4.在项目实施过程中，如甲方发现乙方的劳务人员没有依时完成合约规定任务或服务质量达不到要求的，乙方须无条件更换劳务人员，经甲方三次提出书面整改意见后仍无改进的。</w:t>
      </w:r>
    </w:p>
    <w:p w14:paraId="7683731F">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5.在项目实施过程中，如乙方3次单项验收不合格或不能按要求进行整改或整改后仍不能达到要求的。</w:t>
      </w:r>
    </w:p>
    <w:p w14:paraId="008F8842">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6.在项目实施过程中，如乙方发生重大业务失误、安全生产责任事故或者违法违纪事件的。</w:t>
      </w:r>
    </w:p>
    <w:p w14:paraId="70CE2C01">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7.如勘察人员与用地单位相互串通勾结，刻意隐瞒或误报考古发现、遗迹遗址的，一经发现，立即终止合同，并依法追究当事人法律责任。</w:t>
      </w:r>
    </w:p>
    <w:p w14:paraId="7C1B6DCD">
      <w:pPr>
        <w:widowControl w:val="0"/>
        <w:spacing w:line="400" w:lineRule="exact"/>
        <w:ind w:firstLine="480"/>
        <w:jc w:val="both"/>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8.甲方对以上采购内容有微调的权利。</w:t>
      </w:r>
    </w:p>
    <w:p w14:paraId="6143C51E">
      <w:pPr>
        <w:numPr>
          <w:ilvl w:val="0"/>
          <w:numId w:val="0"/>
        </w:numPr>
        <w:ind w:firstLine="482"/>
        <w:jc w:val="left"/>
        <w:rPr>
          <w:rFonts w:hint="eastAsia" w:ascii="宋体" w:hAnsi="宋体" w:eastAsia="宋体" w:cs="宋体"/>
          <w:spacing w:val="-4"/>
          <w:sz w:val="24"/>
          <w:szCs w:val="24"/>
          <w:lang w:val="en-US" w:eastAsia="zh-CN"/>
        </w:rPr>
      </w:pPr>
    </w:p>
    <w:p w14:paraId="25053E79">
      <w:pPr>
        <w:jc w:val="left"/>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0EF0">
    <w:pPr>
      <w:pStyle w:val="3"/>
      <w:spacing w:line="52"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xZWYwOWIwNDdjNmU3MWFjMTMwYWZlMDk5ZTA5N2MifQ=="/>
  </w:docVars>
  <w:rsids>
    <w:rsidRoot w:val="00000000"/>
    <w:rsid w:val="0AEE7D8B"/>
    <w:rsid w:val="0B3E2968"/>
    <w:rsid w:val="13386F35"/>
    <w:rsid w:val="141965DA"/>
    <w:rsid w:val="14EA0FB0"/>
    <w:rsid w:val="15F365FC"/>
    <w:rsid w:val="29606D8E"/>
    <w:rsid w:val="31417DD9"/>
    <w:rsid w:val="36460CA8"/>
    <w:rsid w:val="399D0D9F"/>
    <w:rsid w:val="3F1955BD"/>
    <w:rsid w:val="47A35E9C"/>
    <w:rsid w:val="50356578"/>
    <w:rsid w:val="51E44261"/>
    <w:rsid w:val="57BF275F"/>
    <w:rsid w:val="649268FD"/>
    <w:rsid w:val="6CA573AE"/>
    <w:rsid w:val="6F9E734A"/>
    <w:rsid w:val="76FC1F3D"/>
    <w:rsid w:val="77071BC4"/>
    <w:rsid w:val="77A9057F"/>
    <w:rsid w:val="7B4F2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szCs w:val="21"/>
      <w:lang w:val="en-US" w:eastAsia="zh-CN" w:bidi="ar-SA"/>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Body Text Indent"/>
    <w:basedOn w:val="1"/>
    <w:next w:val="5"/>
    <w:autoRedefine/>
    <w:qFormat/>
    <w:uiPriority w:val="0"/>
    <w:pPr>
      <w:spacing w:after="120"/>
      <w:ind w:left="420"/>
    </w:pPr>
  </w:style>
  <w:style w:type="paragraph" w:styleId="5">
    <w:name w:val="envelope return"/>
    <w:basedOn w:val="1"/>
    <w:autoRedefine/>
    <w:qFormat/>
    <w:uiPriority w:val="0"/>
    <w:rPr>
      <w:rFonts w:ascii="Arial" w:hAnsi="Arial"/>
    </w:rPr>
  </w:style>
  <w:style w:type="paragraph" w:styleId="6">
    <w:name w:val="Title"/>
    <w:basedOn w:val="1"/>
    <w:next w:val="4"/>
    <w:autoRedefine/>
    <w:qFormat/>
    <w:uiPriority w:val="10"/>
    <w:pPr>
      <w:spacing w:before="300" w:after="200"/>
      <w:contextualSpacing/>
    </w:pPr>
    <w:rPr>
      <w:sz w:val="48"/>
      <w:szCs w:val="48"/>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Table Text"/>
    <w:basedOn w:val="1"/>
    <w:autoRedefine/>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2579</Words>
  <Characters>2683</Characters>
  <Lines>0</Lines>
  <Paragraphs>0</Paragraphs>
  <TotalTime>1</TotalTime>
  <ScaleCrop>false</ScaleCrop>
  <LinksUpToDate>false</LinksUpToDate>
  <CharactersWithSpaces>2687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2023-04-10T08:26:00Z</dcterms:created>
  <dc:creator>Administrator</dc:creator>
  <cp:lastModifiedBy>X、</cp:lastModifiedBy>
  <cp:lastPrinted>2024-05-10T02:02:00Z</cp:lastPrinted>
  <dcterms:modified xsi:type="dcterms:W3CDTF">2026-04-14T01:18:10Z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BCDB228B5B0B48C197864021D898E860_13</vt:lpwstr>
  </property>
  <property fmtid="{D5CDD505-2E9C-101B-9397-08002B2CF9AE}" pid="4" name="KSOTemplateDocerSaveRecord">
    <vt:lpwstr>eyJoZGlkIjoiNzYxZWYwOWIwNDdjNmU3MWFjMTMwYWZlMDk5ZTA5N2MiLCJ1c2VySWQiOiI0NDY5NTUwMTIifQ==</vt:lpwstr>
  </property>
</Properties>
</file>