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E2C83"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rPr>
          <w:rFonts w:hint="default" w:ascii="仿宋_GB2312" w:hAnsi="仿宋" w:eastAsia="仿宋_GB2312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  <w:lang w:val="en-US" w:eastAsia="zh-CN" w:bidi="ar-SA"/>
        </w:rPr>
        <w:t>如有建议或意见，请以书面形式并加盖公章、注明联系人、联系方式，于</w:t>
      </w:r>
      <w:r>
        <w:rPr>
          <w:rFonts w:hint="eastAsia" w:ascii="仿宋_GB2312" w:hAnsi="仿宋" w:eastAsia="仿宋_GB2312" w:cs="宋体"/>
          <w:kern w:val="0"/>
          <w:sz w:val="24"/>
          <w:szCs w:val="24"/>
          <w:lang w:val="en-US" w:eastAsia="zh-CN" w:bidi="ar-SA"/>
        </w:rPr>
        <w:t>2026年04月17日</w:t>
      </w:r>
      <w:r>
        <w:rPr>
          <w:rFonts w:hint="default" w:ascii="仿宋_GB2312" w:hAnsi="仿宋" w:eastAsia="仿宋_GB2312" w:cs="宋体"/>
          <w:kern w:val="0"/>
          <w:sz w:val="24"/>
          <w:szCs w:val="24"/>
          <w:lang w:val="en-US" w:eastAsia="zh-CN" w:bidi="ar-SA"/>
        </w:rPr>
        <w:t>17:00之前送至我单位，逾期不受理（如邮寄，</w:t>
      </w:r>
      <w:r>
        <w:rPr>
          <w:rFonts w:hint="default" w:ascii="仿宋_GB2312" w:hAnsi="仿宋" w:eastAsia="仿宋_GB2312" w:cs="宋体"/>
          <w:kern w:val="0"/>
          <w:sz w:val="24"/>
          <w:szCs w:val="24"/>
          <w:lang w:val="en-US" w:eastAsia="zh-CN" w:bidi="ar-SA"/>
        </w:rPr>
        <w:t>2026年</w:t>
      </w:r>
      <w:r>
        <w:rPr>
          <w:rFonts w:hint="eastAsia" w:ascii="仿宋_GB2312" w:hAnsi="仿宋" w:eastAsia="仿宋_GB2312" w:cs="宋体"/>
          <w:kern w:val="0"/>
          <w:sz w:val="24"/>
          <w:szCs w:val="24"/>
          <w:lang w:val="en-US" w:eastAsia="zh-CN" w:bidi="ar-SA"/>
        </w:rPr>
        <w:t>04月17日</w:t>
      </w:r>
      <w:r>
        <w:rPr>
          <w:rFonts w:hint="default" w:ascii="仿宋_GB2312" w:hAnsi="仿宋" w:eastAsia="仿宋_GB2312" w:cs="宋体"/>
          <w:kern w:val="0"/>
          <w:sz w:val="24"/>
          <w:szCs w:val="24"/>
          <w:lang w:val="en-US" w:eastAsia="zh-CN" w:bidi="ar-SA"/>
        </w:rPr>
        <w:t>17:00之后到达本单位的邮件将不再受理）。</w:t>
      </w:r>
      <w:bookmarkStart w:id="0" w:name="_GoBack"/>
      <w:bookmarkEnd w:id="0"/>
    </w:p>
    <w:p w14:paraId="4FA6561D">
      <w:pPr>
        <w:widowControl/>
        <w:adjustRightInd w:val="0"/>
        <w:snapToGrid w:val="0"/>
        <w:spacing w:line="360" w:lineRule="auto"/>
        <w:jc w:val="center"/>
        <w:rPr>
          <w:rFonts w:hint="eastAsia" w:ascii="仿宋_GB2312" w:hAnsi="仿宋" w:eastAsia="仿宋_GB2312" w:cs="宋体"/>
          <w:b/>
          <w:bCs/>
          <w:kern w:val="0"/>
          <w:sz w:val="40"/>
          <w:szCs w:val="40"/>
        </w:rPr>
      </w:pPr>
    </w:p>
    <w:p w14:paraId="278E3896">
      <w:pPr>
        <w:widowControl/>
        <w:adjustRightInd w:val="0"/>
        <w:snapToGrid w:val="0"/>
        <w:spacing w:line="360" w:lineRule="auto"/>
        <w:jc w:val="center"/>
        <w:rPr>
          <w:rFonts w:ascii="仿宋_GB2312" w:hAnsi="仿宋" w:eastAsia="仿宋_GB2312" w:cs="宋体"/>
          <w:b/>
          <w:bCs/>
          <w:kern w:val="0"/>
          <w:sz w:val="40"/>
          <w:szCs w:val="40"/>
        </w:rPr>
      </w:pPr>
      <w:r>
        <w:rPr>
          <w:rFonts w:hint="eastAsia" w:ascii="仿宋_GB2312" w:hAnsi="仿宋" w:eastAsia="仿宋_GB2312" w:cs="宋体"/>
          <w:b/>
          <w:bCs/>
          <w:kern w:val="0"/>
          <w:sz w:val="40"/>
          <w:szCs w:val="40"/>
        </w:rPr>
        <w:t>服务需求</w:t>
      </w:r>
    </w:p>
    <w:p w14:paraId="1491FD1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一、项目概况</w:t>
      </w:r>
    </w:p>
    <w:p w14:paraId="3C97A5C5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为全力争取中央财政支持实施城市更新行动定额补助资金，依据财政部、住房城乡建设部关于城市更新示范工作、中央财政支持城市更新行动相关文件精神（参照财办建〔2024〕24 号、财办建〔2025〕11号文件要求），对标全国第一批、第二批中央财政支持城市更新行动获批城市成熟经验，采购第三方专业咨询机构，提供全流程、全链条、全周期的实施方案编制等咨询服务。</w:t>
      </w:r>
    </w:p>
    <w:p w14:paraId="16474938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二、总体服务要求</w:t>
      </w:r>
    </w:p>
    <w:p w14:paraId="1E397CE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政策合规性：严格遵循国家、省、市关于城市更新行动、中央财政资金管理、绩效评价、项目储备、建设管理等法律法规、政策文件及技术规范，所有成果与工作流程必须符合财政部、住建部最新申报与考核要求。</w:t>
      </w:r>
    </w:p>
    <w:p w14:paraId="04B2B4F2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案例对标性：深度对标第一批、第二批获批城市，借鉴项目包装逻辑、资金使用方式、评审应答要点，规避常见问题。</w:t>
      </w:r>
    </w:p>
    <w:p w14:paraId="76A6F99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落地实操性：坚持问题导向、目标导向、结果导向，方案需可申报、可评审、可落地、可考核，满足资金申报、评审答辩、项目实施需求。</w:t>
      </w:r>
    </w:p>
    <w:p w14:paraId="168287C3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全过程服务：提供从前期调研、方案编制、材料汇编、评审答辩的技术支撑，配合招标人完成多轮修改、汇报等工作。</w:t>
      </w:r>
    </w:p>
    <w:p w14:paraId="275CED14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成果规范性：成果格式、内容结构、数据口径、绩效指标须满足2026年度申报要求，做到内容完整、依据充分、数据真实、文本规范、逻辑严谨。</w:t>
      </w:r>
    </w:p>
    <w:p w14:paraId="002C39F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三、主要服务内容</w:t>
      </w:r>
    </w:p>
    <w:p w14:paraId="6AF70E42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（一）前期调研与现状评估</w:t>
      </w:r>
    </w:p>
    <w:p w14:paraId="4693688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全面收集城市更新基础底数，涵盖老旧小区、老旧厂区、老旧街区、城中村、地下管网、市政基础设施、公共服务设施、历史文化保护等领域现状、短板与问题。</w:t>
      </w:r>
    </w:p>
    <w:p w14:paraId="3710FBF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开展现场踏勘、部门座谈、资料核查，形成城市更新现状评估，明确民生痛点、安全隐患、功能短板、实施条件。</w:t>
      </w:r>
    </w:p>
    <w:p w14:paraId="4FDF70C3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对照中央财政支持重点，筛选、论证、梳理符合支持范围的储备项目清单，确保项目合规、精准、可实施。</w:t>
      </w:r>
    </w:p>
    <w:p w14:paraId="73FDE28A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（二）核心实施方案编制</w:t>
      </w:r>
    </w:p>
    <w:p w14:paraId="185F778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参照国家申报要求及获批城市经验，编制《徐州市实施城市更新行动工作方案》，核心内容包括：</w:t>
      </w:r>
    </w:p>
    <w:p w14:paraId="0F575BF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（1）项目基本情况：城市概况、更新范围、实施主体、实施周期（3年）、中央财政支持预期。</w:t>
      </w:r>
    </w:p>
    <w:p w14:paraId="314EA3C4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（2）现状问题与需求分析：突出地下管网老化、市政设施短板、老旧片区宜居性差、机制不健全等核心问题。</w:t>
      </w:r>
    </w:p>
    <w:p w14:paraId="3210A96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（3）总体思路与目标：指导思想、基本原则、总体目标（定性+定量）、更新策略。</w:t>
      </w:r>
    </w:p>
    <w:p w14:paraId="54E504C3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4）重点建设任务：包括但不限于市政基础设施补短板（道路、照明、停车、垃圾分类、综合杆箱等）、老旧片区（小区、厂区、街区）更新改造、历史文化保护与风貌提升、存量资产盘活利用、城市更新机制建设（项目储备、资金筹措、用地保障、审批提速）；</w:t>
      </w:r>
    </w:p>
    <w:p w14:paraId="464308F0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（5）项目清单与建设内容：明确项目名称、建设内容、规模、标准、建设时序、责任主体。</w:t>
      </w:r>
    </w:p>
    <w:p w14:paraId="139FC33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（6）资金筹措方案：总投资估算、中央财政补助、地方财政资金、社会资本等资金来源与筹措、分担机制，资金使用计划与合规使用说明等。</w:t>
      </w:r>
    </w:p>
    <w:p w14:paraId="6198832A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（7）实施路径与保障措施：组织领导、政策保障、用地保障、建设管理、运营维护、风险防控、监督考核等。</w:t>
      </w:r>
    </w:p>
    <w:p w14:paraId="7775707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（8）绩效目标体系：严格按照2026年度申报通知要求，设置产出指标、效益指标、满意度指标。</w:t>
      </w:r>
    </w:p>
    <w:p w14:paraId="503F129C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以上内容最终以2026年度国家发布的申报通知要求为标准。</w:t>
      </w:r>
    </w:p>
    <w:p w14:paraId="3DABB8DC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（三）申报材料全流程组织</w:t>
      </w:r>
    </w:p>
    <w:p w14:paraId="725EC0D8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编制申报工作方案、竞争性评审答辩材料（PPT及脚本），配合完成现场答辩。汇编全套佐证材料，形成规范完整的申报材料包。协助完成材料上报、沟通对接，按要求修改完善申报材料。</w:t>
      </w:r>
    </w:p>
    <w:p w14:paraId="2B0FD600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（四）其他配套服务</w:t>
      </w:r>
    </w:p>
    <w:p w14:paraId="1E501B7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配合完成宣传材料、汇报材料、信息报送等工作。</w:t>
      </w:r>
    </w:p>
    <w:p w14:paraId="13F90792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四、成果要求</w:t>
      </w:r>
    </w:p>
    <w:p w14:paraId="7478F07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1、《徐州市实施城市更新行动工作方案》及相关附件、申报过程材料（包括答辩材料、佐证材料等）</w:t>
      </w:r>
    </w:p>
    <w:p w14:paraId="50DFDC2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2、格式要求：纸质版（正本1份、副本6份）；电子版（PDF+可编辑Word），光盘存储。</w:t>
      </w:r>
    </w:p>
    <w:p w14:paraId="1DA3FD41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3、质量要求：符合2026年度国家申报要求，内容完整、数据准确、逻辑清晰、格式规范。</w:t>
      </w:r>
    </w:p>
    <w:p w14:paraId="5F57E2B6">
      <w:pPr>
        <w:jc w:val="both"/>
        <w:rPr>
          <w:rFonts w:hint="eastAsia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A37B0"/>
    <w:rsid w:val="19F2285C"/>
    <w:rsid w:val="28EA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1466</Words>
  <Characters>1494</Characters>
  <Lines>0</Lines>
  <Paragraphs>0</Paragraphs>
  <TotalTime>0</TotalTime>
  <ScaleCrop>false</ScaleCrop>
  <LinksUpToDate>false</LinksUpToDate>
  <CharactersWithSpaces>1495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2026-04-15T06:09:00Z</dcterms:created>
  <dc:creator>Nana</dc:creator>
  <cp:lastModifiedBy>Nana</cp:lastModifiedBy>
  <dcterms:modified xsi:type="dcterms:W3CDTF">2026-04-15T07:53:28Z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698CB5F0048C42568D925DDD4C9B8579_11</vt:lpwstr>
  </property>
  <property fmtid="{D5CDD505-2E9C-101B-9397-08002B2CF9AE}" pid="4" name="KSOTemplateDocerSaveRecord">
    <vt:lpwstr>eyJoZGlkIjoiODFlMWU2NzY3M2I2MmI5MTdjNTdlY2U4NDRjODkzNjgiLCJ1c2VySWQiOiI2NTMwMzkwODUifQ==</vt:lpwstr>
  </property>
</Properties>
</file>