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eastAsia="宋体" w:cs="宋体"/>
          <w:b/>
          <w:color w:val="auto"/>
          <w:spacing w:val="76"/>
          <w:sz w:val="96"/>
          <w:szCs w:val="96"/>
          <w:highlight w:val="none"/>
        </w:rPr>
      </w:pPr>
      <w:r>
        <w:rPr>
          <w:rFonts w:hint="eastAsia" w:ascii="宋体" w:hAnsi="宋体" w:eastAsia="宋体" w:cs="宋体"/>
          <w:b/>
          <w:color w:val="auto"/>
          <w:spacing w:val="76"/>
          <w:sz w:val="96"/>
          <w:szCs w:val="96"/>
          <w:highlight w:val="none"/>
        </w:rPr>
      </w:r>
      <w:r/>
    </w:p>
    <w:p>
      <w:pPr>
        <w:jc w:val="center"/>
        <w:spacing w:line="360" w:lineRule="auto"/>
        <w:rPr>
          <w:rFonts w:hint="eastAsia" w:ascii="宋体" w:hAnsi="宋体" w:eastAsia="宋体" w:cs="宋体"/>
          <w:b/>
          <w:color w:val="auto"/>
          <w:spacing w:val="76"/>
          <w:sz w:val="96"/>
          <w:szCs w:val="96"/>
          <w:highlight w:val="none"/>
        </w:rPr>
      </w:pPr>
      <w:r>
        <w:rPr>
          <w:rFonts w:hint="eastAsia" w:ascii="宋体" w:hAnsi="宋体" w:eastAsia="宋体" w:cs="宋体"/>
          <w:b/>
          <w:color w:val="auto"/>
          <w:spacing w:val="76"/>
          <w:sz w:val="96"/>
          <w:szCs w:val="96"/>
          <w:highlight w:val="none"/>
        </w:rPr>
        <w:t xml:space="preserve">竞争性磋商文件</w:t>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r>
      <w:r/>
    </w:p>
    <w:p>
      <w:pPr>
        <w:ind w:left="12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徐州市邳州检察院卫生间及防水改造项目</w:t>
      </w:r>
      <w:r/>
    </w:p>
    <w:p>
      <w:pPr>
        <w:ind w:left="1200"/>
        <w:spacing w:line="360" w:lineRule="auto"/>
        <w:rPr>
          <w:rFonts w:hint="eastAsia" w:ascii="宋体" w:hAnsi="宋体" w:eastAsia="宋体" w:cs="宋体"/>
          <w:color w:val="0000ff"/>
          <w:sz w:val="30"/>
          <w:szCs w:val="30"/>
          <w:highlight w:val="none"/>
          <w:lang w:eastAsia="zh-CN"/>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JSZC-320382-YHGL-C2026-0001</w:t>
      </w:r>
      <w:r/>
    </w:p>
    <w:p>
      <w:pPr>
        <w:ind w:firstLine="12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eastAsia="宋体" w:cs="宋体"/>
          <w:color w:val="auto"/>
          <w:sz w:val="30"/>
          <w:szCs w:val="30"/>
          <w:highlight w:val="none"/>
          <w:lang w:eastAsia="zh-CN"/>
        </w:rPr>
        <w:t xml:space="preserve">邳州市人民检察院 </w:t>
      </w:r>
      <w:r/>
    </w:p>
    <w:p>
      <w:pPr>
        <w:ind w:firstLine="12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招标代理机构：</w:t>
      </w:r>
      <w:r>
        <w:rPr>
          <w:rFonts w:hint="eastAsia" w:ascii="宋体" w:hAnsi="宋体" w:eastAsia="宋体" w:cs="宋体"/>
          <w:color w:val="auto"/>
          <w:sz w:val="30"/>
          <w:szCs w:val="30"/>
          <w:highlight w:val="none"/>
          <w:lang w:eastAsia="zh-CN"/>
        </w:rPr>
        <w:t xml:space="preserve">徐州瀛海工程管理咨询有限公司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四</w:t>
      </w:r>
      <w:r>
        <w:rPr>
          <w:rFonts w:hint="eastAsia" w:ascii="宋体" w:hAnsi="宋体" w:eastAsia="宋体" w:cs="宋体"/>
          <w:color w:val="auto"/>
          <w:sz w:val="32"/>
          <w:szCs w:val="32"/>
          <w:highlight w:val="none"/>
        </w:rPr>
        <w:t xml:space="preserve">月</w:t>
      </w:r>
      <w:r/>
    </w:p>
    <w:p>
      <w:pPr>
        <w:pStyle w:val="809"/>
        <w:spacing w:line="0" w:lineRule="atLeast"/>
        <w:rPr>
          <w:rFonts w:hint="eastAsia" w:ascii="宋体" w:hAnsi="宋体" w:eastAsia="宋体" w:cs="宋体"/>
          <w:b/>
          <w:color w:val="auto"/>
          <w:sz w:val="36"/>
          <w:highlight w:val="none"/>
        </w:rPr>
        <w:sectPr>
          <w:headerReference w:type="default" r:id="rId9"/>
          <w:footerReference w:type="first" r:id="rId11"/>
          <w:footnotePr/>
          <w:endnotePr/>
          <w:type w:val="nextPage"/>
          <w:pgSz w:w="11906" w:h="16838" w:orient="portrait"/>
          <w:pgMar w:top="1202" w:right="1106" w:bottom="1191" w:left="1162" w:header="0" w:footer="0" w:gutter="0"/>
          <w:pgNumType w:start="1"/>
          <w:cols w:num="1" w:sep="0" w:space="0" w:equalWidth="1"/>
          <w:docGrid w:linePitch="360"/>
        </w:sectPr>
      </w:pPr>
      <w:r>
        <w:rPr>
          <w:rFonts w:hint="eastAsia" w:ascii="宋体" w:hAnsi="宋体" w:eastAsia="宋体" w:cs="宋体"/>
          <w:b/>
          <w:color w:val="auto"/>
          <w:sz w:val="36"/>
          <w:highlight w:val="none"/>
        </w:rPr>
      </w:r>
      <w:r/>
    </w:p>
    <w:p>
      <w:pPr>
        <w:pStyle w:val="809"/>
        <w:jc w:val="center"/>
        <w:spacing w:line="0" w:lineRule="atLeast"/>
        <w:rPr>
          <w:rFonts w:hint="eastAsia" w:ascii="宋体" w:hAnsi="宋体" w:eastAsia="宋体" w:cs="宋体"/>
          <w:color w:val="auto"/>
          <w:sz w:val="24"/>
          <w:highlight w:val="none"/>
        </w:rPr>
      </w:pPr>
      <w:r>
        <w:rPr>
          <w:rFonts w:hint="eastAsia" w:ascii="宋体" w:hAnsi="宋体" w:eastAsia="宋体" w:cs="宋体"/>
          <w:b/>
          <w:color w:val="auto"/>
          <w:sz w:val="36"/>
          <w:highlight w:val="none"/>
        </w:rPr>
        <w:t xml:space="preserve">竞争性磋商文件</w:t>
      </w:r>
      <w:r/>
    </w:p>
    <w:p>
      <w:pPr>
        <w:pStyle w:val="809"/>
        <w:jc w:val="center"/>
        <w:spacing w:line="520" w:lineRule="exact"/>
        <w:rPr>
          <w:rStyle w:val="1032"/>
          <w:rFonts w:hint="eastAsia" w:ascii="宋体" w:hAnsi="宋体" w:eastAsia="宋体" w:cs="宋体"/>
          <w:color w:val="auto"/>
          <w:sz w:val="24"/>
          <w:szCs w:val="20"/>
          <w:highlight w:val="none"/>
          <w:lang w:eastAsia="zh-CN"/>
        </w:rPr>
      </w:pPr>
      <w:r>
        <w:rPr>
          <w:rStyle w:val="1032"/>
          <w:rFonts w:hint="eastAsia" w:ascii="宋体" w:hAnsi="宋体" w:eastAsia="宋体" w:cs="宋体"/>
          <w:color w:val="auto"/>
          <w:sz w:val="24"/>
          <w:szCs w:val="20"/>
          <w:highlight w:val="none"/>
        </w:rPr>
        <w:t xml:space="preserve">项目编号：</w:t>
      </w:r>
      <w:r>
        <w:rPr>
          <w:rFonts w:hint="eastAsia" w:ascii="宋体" w:hAnsi="宋体" w:eastAsia="宋体" w:cs="宋体"/>
          <w:color w:val="auto"/>
          <w:sz w:val="24"/>
          <w:highlight w:val="none"/>
          <w:lang w:eastAsia="zh-CN"/>
        </w:rPr>
        <w:t xml:space="preserve">JSZC-320382-YHGL-C2026-0001</w:t>
      </w:r>
      <w:r/>
    </w:p>
    <w:p>
      <w:pPr>
        <w:pStyle w:val="809"/>
        <w:spacing w:line="360" w:lineRule="auto"/>
        <w:tabs>
          <w:tab w:val="left" w:pos="324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809"/>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p>
    <w:p>
      <w:pPr>
        <w:pStyle w:val="809"/>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徐州市邳州检察院卫生间及防水改造项目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pStyle w:val="809"/>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项目说明</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  </w:t>
      </w:r>
      <w:r>
        <w:rPr>
          <w:rFonts w:hint="eastAsia" w:ascii="宋体" w:hAnsi="宋体" w:eastAsia="宋体" w:cs="宋体"/>
          <w:color w:val="auto"/>
          <w:sz w:val="24"/>
          <w:highlight w:val="none"/>
          <w:lang w:eastAsia="zh-CN"/>
        </w:rPr>
        <w:t xml:space="preserve">邳州市人民检察院 </w:t>
      </w:r>
      <w:r/>
    </w:p>
    <w:p>
      <w:pPr>
        <w:pStyle w:val="809"/>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eastAsia="宋体" w:cs="宋体"/>
          <w:color w:val="auto"/>
          <w:sz w:val="24"/>
          <w:highlight w:val="none"/>
          <w:lang w:eastAsia="zh-CN"/>
        </w:rPr>
        <w:t xml:space="preserve">徐州市邳州检察院卫生间及防水改造项目</w:t>
      </w:r>
      <w:r/>
    </w:p>
    <w:p>
      <w:pPr>
        <w:pStyle w:val="809"/>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eastAsia="宋体" w:cs="宋体"/>
          <w:color w:val="auto"/>
          <w:sz w:val="24"/>
          <w:highlight w:val="none"/>
          <w:lang w:eastAsia="zh-CN"/>
        </w:rPr>
        <w:t xml:space="preserve">JSZC-320382-YHGL-C2026-0001</w:t>
      </w:r>
      <w:r/>
    </w:p>
    <w:p>
      <w:pPr>
        <w:pStyle w:val="809"/>
        <w:ind w:firstLine="49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pStyle w:val="809"/>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六、供应商资格条件：见本项目竞争性磋商公告。</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九、合同条款：见《磋商文件》附件6、《合同条款》。</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认为必要时可重新进行竞争性磋商采购或采取其它方式采购。</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pStyle w:val="809"/>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9"/>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磋商保证金</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pStyle w:val="809"/>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响应文件</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pStyle w:val="80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pStyle w:val="80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0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w:t>
      </w:r>
      <w:r>
        <w:rPr>
          <w:rFonts w:hint="eastAsia" w:ascii="宋体" w:hAnsi="宋体" w:eastAsia="宋体" w:cs="宋体"/>
          <w:color w:val="auto"/>
          <w:sz w:val="24"/>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09"/>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“苏采云”系统使用要求：</w:t>
      </w:r>
      <w:r/>
    </w:p>
    <w:p>
      <w:pPr>
        <w:pStyle w:val="809"/>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1、使用谷歌浏览器参与不见面开标及磋商环节。</w:t>
      </w:r>
      <w:r/>
    </w:p>
    <w:p>
      <w:pPr>
        <w:pStyle w:val="809"/>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2、电脑需提前准备好麦克风、音响，摄像头，提前检查保证能够正常使用。</w:t>
      </w:r>
      <w:r/>
    </w:p>
    <w:p>
      <w:pPr>
        <w:pStyle w:val="809"/>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3、操作系统至少win7以上，建议使用win10操作系统。</w:t>
      </w:r>
      <w:r/>
    </w:p>
    <w:p>
      <w:pPr>
        <w:pStyle w:val="80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（二）首次响应文件提交的截止时间：202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4月15日</w:t>
      </w:r>
      <w:r>
        <w:rPr>
          <w:rFonts w:hint="eastAsia" w:ascii="宋体" w:hAnsi="宋体" w:eastAsia="宋体" w:cs="宋体"/>
          <w:color w:val="auto"/>
          <w:sz w:val="24"/>
          <w:highlight w:val="none"/>
        </w:rPr>
        <w:t xml:space="preserve">9:30，在截止时间后提交的首次响应文件为无效文件，将被拒收。</w:t>
      </w:r>
      <w:r/>
    </w:p>
    <w:p>
      <w:pPr>
        <w:pStyle w:val="809"/>
        <w:ind w:left="49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（三）首次响应文件提交时间、地点：</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1、提交时间</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首次响应文件提交的截止时间（202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4月15日</w:t>
      </w:r>
      <w:r>
        <w:rPr>
          <w:rFonts w:hint="eastAsia" w:ascii="宋体" w:hAnsi="宋体" w:eastAsia="宋体" w:cs="宋体"/>
          <w:color w:val="auto"/>
          <w:sz w:val="24"/>
          <w:highlight w:val="none"/>
        </w:rPr>
        <w:t xml:space="preserve">9:30）前。</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2、提交地点：</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（四）首次响应文件开启时间：202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4月15日</w:t>
      </w:r>
      <w:r>
        <w:rPr>
          <w:rFonts w:hint="eastAsia" w:ascii="宋体" w:hAnsi="宋体" w:eastAsia="宋体" w:cs="宋体"/>
          <w:color w:val="auto"/>
          <w:sz w:val="24"/>
          <w:highlight w:val="none"/>
        </w:rPr>
        <w:t xml:space="preserve">9:30。</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（五）首次响应文件开启地点：</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（七）不接受不按要求加盖公章（电子签章）的首次响应文件。电子签章相关要求见“苏采云”系统。</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（十）相关说明: 供应商在“苏采云”系统中提交首次响应文件的时间即为数据电文（响应文件，下同）的发送时间和接收时间。</w:t>
      </w:r>
      <w:r/>
    </w:p>
    <w:p>
      <w:pPr>
        <w:pStyle w:val="809"/>
        <w:ind w:left="497"/>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十三、响应文件编制要求</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请按照以下要求（包括但不限于以下要求）制作：</w:t>
      </w:r>
      <w:r/>
    </w:p>
    <w:p>
      <w:pPr>
        <w:pStyle w:val="813"/>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（一）基本目录</w:t>
      </w:r>
      <w:r/>
    </w:p>
    <w:p>
      <w:pPr>
        <w:pStyle w:val="813"/>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1、《磋商报价表》</w:t>
      </w:r>
      <w:r>
        <w:rPr>
          <w:rFonts w:hint="eastAsia" w:ascii="宋体" w:hAnsi="宋体" w:eastAsia="宋体" w:cs="宋体"/>
          <w:color w:val="auto"/>
          <w:sz w:val="24"/>
        </w:rPr>
        <w:t xml:space="preserve">（加盖电子签章，政府采购客户端工具输入报价自动生成</w:t>
      </w:r>
      <w:r>
        <w:rPr>
          <w:rFonts w:hint="eastAsia" w:ascii="宋体" w:hAnsi="宋体" w:eastAsia="宋体" w:cs="宋体"/>
          <w:color w:val="auto"/>
          <w:sz w:val="24"/>
          <w:lang w:eastAsia="zh-CN"/>
        </w:rPr>
        <w:t xml:space="preserve">）；</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、所报产品的环境标志产品认证证书原件的扫描件（如有）；</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所报产品属于《环境标志产品政府采购品目清单》（由财政部生态环境部印发）范围的，响应文件中提供（如有）所报产品的国家确定的认证机构出具的、处于有效期之内（即“首次响应文件开启时间”当天在有效期之内）的环境标志产品认证证书原件的扫描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（2）环境标志产品认证证书是否符合要求，采购人评审时查询中国政府采购网（www.ccgp.gov.cn）相关内容后确定。</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w:t>
      </w:r>
      <w:r>
        <w:rPr>
          <w:rFonts w:hint="eastAsia" w:ascii="宋体" w:hAnsi="宋体" w:eastAsia="宋体" w:cs="宋体"/>
          <w:bCs/>
          <w:color w:val="auto"/>
          <w:sz w:val="24"/>
        </w:rPr>
        <w:t xml:space="preserve">、所报产品的节能产品认证证书原件的扫描件（如有）；</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所报产品属于《节能产品政府采购品目清单》（由财政部发展改革委印发）范围的，响应文件中提供（如有）所报产品的国家确定的认证机构出具的、处于有效期之内（即“首次响应文件开启时间”当天在有效期之内）的节能产品认证证书原件的扫描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（2）节能产品认证证书是否符合要求，采购人评审时查询中国政府采购网（www.ccgp.gov.cn）相关内容后确定。</w:t>
      </w:r>
      <w:r/>
    </w:p>
    <w:p>
      <w:pPr>
        <w:ind w:firstLine="480"/>
        <w:spacing w:line="360" w:lineRule="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4</w:t>
      </w:r>
      <w:r>
        <w:rPr>
          <w:rFonts w:hint="eastAsia" w:ascii="宋体" w:hAnsi="宋体" w:eastAsia="宋体" w:cs="宋体"/>
          <w:b w:val="0"/>
          <w:bCs/>
          <w:color w:val="auto"/>
          <w:sz w:val="24"/>
        </w:rPr>
        <w:t xml:space="preserve">、供应商认为需要提供的其他资料（如有）。</w:t>
      </w:r>
      <w:r/>
    </w:p>
    <w:p>
      <w:pPr>
        <w:ind w:firstLine="241"/>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（二）资格条件（1～</w:t>
      </w:r>
      <w:r>
        <w:rPr>
          <w:rFonts w:hint="eastAsia" w:ascii="宋体" w:hAnsi="宋体" w:eastAsia="宋体" w:cs="宋体"/>
          <w:b/>
          <w:color w:val="auto"/>
          <w:sz w:val="24"/>
          <w:lang w:val="en-US" w:eastAsia="zh-CN"/>
        </w:rPr>
        <w:t xml:space="preserve">7</w:t>
      </w:r>
      <w:r>
        <w:rPr>
          <w:rFonts w:hint="eastAsia" w:ascii="宋体" w:hAnsi="宋体" w:eastAsia="宋体" w:cs="宋体"/>
          <w:b/>
          <w:color w:val="auto"/>
          <w:sz w:val="24"/>
        </w:rPr>
        <w:t xml:space="preserve">项必须提供，否则响应无效）</w:t>
      </w:r>
      <w:r/>
    </w:p>
    <w:p>
      <w:pPr>
        <w:ind w:left="0" w:right="0" w:firstLine="482"/>
        <w:keepLines w:val="0"/>
        <w:keepNext w:val="0"/>
        <w:pageBreakBefore w:val="0"/>
        <w:spacing w:line="440" w:lineRule="exact"/>
        <w:widowControl/>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1、</w:t>
      </w:r>
      <w:r>
        <w:rPr>
          <w:rFonts w:ascii="宋体" w:hAnsi="宋体" w:eastAsia="宋体" w:cs="宋体"/>
          <w:b w:val="0"/>
          <w:bCs w:val="0"/>
          <w:color w:val="auto"/>
          <w:sz w:val="24"/>
          <w:highlight w:val="none"/>
        </w:rPr>
        <w:t xml:space="preserve">具有独立承担民事责任的能力：</w:t>
      </w:r>
      <w:r>
        <w:rPr>
          <w:rFonts w:hint="eastAsia" w:ascii="宋体" w:hAnsi="宋体" w:eastAsia="宋体" w:cs="宋体"/>
          <w:b w:val="0"/>
          <w:bCs w:val="0"/>
          <w:color w:val="auto"/>
          <w:sz w:val="24"/>
          <w:highlight w:val="none"/>
          <w:lang w:eastAsia="zh-CN"/>
        </w:rPr>
        <w:t xml:space="preserve">供应商合法有效的法人营业执照(或事业单位法人证书)或其他组织应提供合法证明文件的原件扫描件(加盖电子签章)</w:t>
      </w:r>
      <w:r>
        <w:rPr>
          <w:rFonts w:hint="eastAsia" w:ascii="宋体" w:hAnsi="宋体" w:eastAsia="宋体" w:cs="宋体"/>
          <w:b w:val="0"/>
          <w:bCs w:val="0"/>
          <w:color w:val="auto"/>
          <w:sz w:val="24"/>
          <w:highlight w:val="none"/>
        </w:rPr>
        <w:t xml:space="preserve">；</w:t>
      </w:r>
      <w:r/>
    </w:p>
    <w:p>
      <w:pPr>
        <w:ind w:left="0" w:right="0" w:firstLine="482"/>
        <w:keepLines w:val="0"/>
        <w:keepNext w:val="0"/>
        <w:pageBreakBefore w:val="0"/>
        <w:spacing w:line="440" w:lineRule="exact"/>
        <w:widowControl/>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2、具有履行合同所必需的设备和专业技术能力：即提供具备履行合同所必需的设备和专业技术能力的书面声明及证明材料(加盖电子签章，格式见《磋商文件》附件)；</w:t>
      </w:r>
      <w:r/>
    </w:p>
    <w:p>
      <w:pPr>
        <w:ind w:left="0" w:right="0" w:firstLine="482"/>
        <w:keepLines w:val="0"/>
        <w:keepNext w:val="0"/>
        <w:pageBreakBefore w:val="0"/>
        <w:spacing w:line="440" w:lineRule="exact"/>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3、具有良好的商业信誉和健全的财务会计制度，财务状况报告至少提供：</w:t>
      </w:r>
      <w:r/>
    </w:p>
    <w:p>
      <w:pPr>
        <w:ind w:right="0"/>
        <w:keepLines w:val="0"/>
        <w:keepNext w:val="0"/>
        <w:pageBreakBefore w:val="0"/>
        <w:spacing w:line="440" w:lineRule="exact"/>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供应商的“首次响应文件提交的截止时间”前6个月内任何1月（不含“首次响应文件提交的截止时间”当月）的资产负债表和利润表月报表的扫描件各1份加盖电子签章；或供应商基本开户银行出具的有效的资信证明；或财政部门认可的政府采购专业担保机构出具的有效的担保函；或合法有效的经第三方机构审计的上年度财务审计报告（应包括审计报告正文、资产负债表、现金流量表、利润表）。</w:t>
      </w:r>
      <w:r/>
    </w:p>
    <w:p>
      <w:pPr>
        <w:ind w:left="0" w:right="0" w:firstLine="482"/>
        <w:keepLines w:val="0"/>
        <w:keepNext w:val="0"/>
        <w:pageBreakBefore w:val="0"/>
        <w:spacing w:line="440" w:lineRule="exact"/>
        <w:widowControl/>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具有依法缴纳税收和社会保障资金的良好记录，至少提供：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ind w:left="0" w:right="0" w:firstLine="482"/>
        <w:keepLines w:val="0"/>
        <w:keepNext w:val="0"/>
        <w:pageBreakBefore w:val="0"/>
        <w:spacing w:line="440" w:lineRule="exact"/>
        <w:widowControl/>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5、供应商参加政府采购活动前3年内在经营活动中没有重大违法记录的书面声明(加盖电子签章，格式见《磋商文件》附件)；</w:t>
      </w:r>
      <w:r/>
    </w:p>
    <w:p>
      <w:pPr>
        <w:ind w:left="0" w:right="0" w:firstLine="482"/>
        <w:keepLines w:val="0"/>
        <w:keepNext w:val="0"/>
        <w:pageBreakBefore w:val="0"/>
        <w:spacing w:line="440" w:lineRule="exact"/>
        <w:widowControl/>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rPr>
        <w:t xml:space="preserve">、</w:t>
      </w:r>
      <w:r>
        <w:rPr>
          <w:rFonts w:hint="eastAsia" w:ascii="宋体" w:hAnsi="宋体" w:eastAsia="宋体" w:cs="宋体"/>
          <w:b w:val="0"/>
          <w:bCs w:val="0"/>
          <w:color w:val="auto"/>
          <w:sz w:val="24"/>
          <w:highlight w:val="none"/>
        </w:rPr>
        <w:t xml:space="preserve">供</w:t>
      </w:r>
      <w:r>
        <w:rPr>
          <w:rFonts w:hint="eastAsia" w:ascii="宋体" w:hAnsi="宋体" w:eastAsia="宋体" w:cs="宋体"/>
          <w:color w:val="auto"/>
          <w:sz w:val="24"/>
          <w:highlight w:val="none"/>
        </w:rPr>
        <w:t xml:space="preserve">应商为中小企业（含中型、小型、微型企业，下同）的，提供《中小</w:t>
      </w:r>
      <w:r>
        <w:rPr>
          <w:rFonts w:hint="eastAsia" w:ascii="宋体" w:hAnsi="宋体" w:eastAsia="宋体" w:cs="宋体"/>
          <w:b w:val="0"/>
          <w:bCs w:val="0"/>
          <w:color w:val="auto"/>
          <w:sz w:val="24"/>
          <w:highlight w:val="none"/>
        </w:rPr>
        <w:t xml:space="preserve">企业声明函》（加盖电子签章，填写完整。格式见《磋商文件》附件）。</w:t>
      </w:r>
      <w:r/>
    </w:p>
    <w:p>
      <w:pPr>
        <w:ind w:left="0" w:right="0" w:firstLine="482"/>
        <w:keepLines w:val="0"/>
        <w:keepNext w:val="0"/>
        <w:pageBreakBefore w:val="0"/>
        <w:spacing w:line="440" w:lineRule="exact"/>
        <w:widowControl/>
        <w:rPr>
          <w:rFonts w:hint="eastAsia"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注：中小微企业，应当同时符合以下条件：</w:t>
      </w:r>
      <w:r/>
    </w:p>
    <w:p>
      <w:pPr>
        <w:ind w:left="0" w:right="0" w:firstLine="482"/>
        <w:keepLines w:val="0"/>
        <w:keepNext w:val="0"/>
        <w:pageBreakBefore w:val="0"/>
        <w:spacing w:line="440" w:lineRule="exac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rPr>
        <w:t xml:space="preserve">中小企业需满足的条件具体以《政府采购促进中小企业发展管理办法》（财库﹝2020﹞46 号）和《工业和信息化部、国家</w:t>
      </w:r>
      <w:r>
        <w:rPr>
          <w:rFonts w:hint="eastAsia" w:ascii="宋体" w:hAnsi="宋体" w:eastAsia="宋体" w:cs="宋体"/>
          <w:color w:val="auto"/>
          <w:sz w:val="24"/>
          <w:highlight w:val="none"/>
        </w:rPr>
        <w:t xml:space="preserve">统计局、国家发展和改革委员会、财政部关于印发中小企业划型标准规定的通知》（工信部联企业[2011]300号）的规定为准。</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numPr>
          <w:ilvl w:val="0"/>
          <w:numId w:val="0"/>
        </w:numPr>
        <w:ind w:right="-334"/>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7、</w:t>
      </w:r>
      <w:r>
        <w:rPr>
          <w:rFonts w:ascii="宋体" w:hAnsi="宋体" w:eastAsia="宋体" w:cs="宋体"/>
          <w:b/>
          <w:color w:val="auto"/>
          <w:sz w:val="24"/>
          <w:highlight w:val="none"/>
        </w:rPr>
        <w:t xml:space="preserve">本项目特定资格要求：提供以下资料的原件扫描件，加盖电子签章</w:t>
      </w:r>
      <w:r/>
    </w:p>
    <w:p>
      <w:pPr>
        <w:numPr>
          <w:ilvl w:val="0"/>
          <w:numId w:val="0"/>
        </w:numPr>
        <w:ind w:right="-334"/>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① 提供供应商</w:t>
      </w:r>
      <w:r>
        <w:rPr>
          <w:rFonts w:hint="eastAsia" w:ascii="宋体" w:hAnsi="宋体" w:eastAsia="宋体" w:cs="宋体"/>
          <w:bCs/>
          <w:color w:val="auto"/>
          <w:sz w:val="24"/>
          <w:highlight w:val="none"/>
          <w:lang w:val="en-US" w:eastAsia="zh-CN"/>
        </w:rPr>
        <w:t xml:space="preserve">有效的</w:t>
      </w:r>
      <w:r>
        <w:rPr>
          <w:rFonts w:hint="eastAsia" w:ascii="宋体" w:hAnsi="宋体" w:eastAsia="宋体" w:cs="宋体"/>
          <w:b/>
          <w:sz w:val="24"/>
        </w:rPr>
        <w:t xml:space="preserve">建筑工程施工总承包叁级(含)以上资质</w:t>
      </w:r>
      <w:r>
        <w:rPr>
          <w:rFonts w:hint="eastAsia" w:ascii="宋体" w:hAnsi="宋体" w:eastAsia="宋体" w:cs="宋体"/>
          <w:bCs/>
          <w:color w:val="auto"/>
          <w:sz w:val="24"/>
          <w:highlight w:val="none"/>
          <w:lang w:val="en-US" w:eastAsia="zh-CN"/>
        </w:rPr>
        <w:t xml:space="preserve">证书；</w:t>
      </w:r>
      <w:r/>
    </w:p>
    <w:p>
      <w:pPr>
        <w:ind w:right="-33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② </w:t>
      </w:r>
      <w:r>
        <w:rPr>
          <w:rFonts w:hint="eastAsia" w:ascii="宋体" w:hAnsi="宋体" w:eastAsia="宋体" w:cs="宋体"/>
          <w:bCs/>
          <w:color w:val="auto"/>
          <w:sz w:val="24"/>
          <w:highlight w:val="none"/>
        </w:rPr>
        <w:t xml:space="preserve">提供供应商拟选派项目负责人（注册建造师）具备</w:t>
      </w:r>
      <w:r>
        <w:rPr>
          <w:rFonts w:hint="eastAsia" w:ascii="宋体" w:hAnsi="宋体" w:eastAsia="宋体" w:cs="宋体"/>
          <w:bCs/>
          <w:color w:val="auto"/>
          <w:sz w:val="24"/>
          <w:highlight w:val="none"/>
          <w:lang w:val="en-US" w:eastAsia="zh-CN"/>
        </w:rPr>
        <w:t xml:space="preserve">有效的</w:t>
      </w:r>
      <w:r>
        <w:rPr>
          <w:rFonts w:hint="eastAsia" w:ascii="宋体" w:hAnsi="宋体" w:eastAsia="宋体" w:cs="宋体"/>
          <w:b/>
          <w:sz w:val="24"/>
        </w:rPr>
        <w:t xml:space="preserve">建筑工程专业贰级（含）以上注册建造师</w:t>
      </w:r>
      <w:r>
        <w:rPr>
          <w:rFonts w:hint="eastAsia" w:ascii="宋体" w:hAnsi="宋体" w:eastAsia="宋体" w:cs="宋体"/>
          <w:bCs/>
          <w:color w:val="auto"/>
          <w:sz w:val="24"/>
          <w:highlight w:val="none"/>
        </w:rPr>
        <w:t xml:space="preserve">证书；并取得</w:t>
      </w:r>
      <w:r>
        <w:rPr>
          <w:rFonts w:hint="eastAsia" w:ascii="宋体" w:hAnsi="宋体" w:eastAsia="宋体" w:cs="宋体"/>
          <w:bCs/>
          <w:color w:val="auto"/>
          <w:sz w:val="24"/>
          <w:highlight w:val="none"/>
          <w:lang w:val="en-US" w:eastAsia="zh-CN"/>
        </w:rPr>
        <w:t xml:space="preserve">有效的</w:t>
      </w:r>
      <w:r>
        <w:rPr>
          <w:rFonts w:hint="eastAsia" w:ascii="宋体" w:hAnsi="宋体" w:eastAsia="宋体" w:cs="宋体"/>
          <w:bCs/>
          <w:color w:val="auto"/>
          <w:sz w:val="24"/>
          <w:highlight w:val="none"/>
        </w:rPr>
        <w:t xml:space="preserve">《建筑施工企业项目负责人安全生产考核合格证书》（B证）；</w:t>
      </w:r>
      <w:r/>
    </w:p>
    <w:p>
      <w:pPr>
        <w:ind w:right="-33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③</w:t>
      </w:r>
      <w:r>
        <w:rPr>
          <w:rFonts w:hint="eastAsia" w:ascii="宋体" w:hAnsi="宋体" w:eastAsia="宋体" w:cs="宋体"/>
          <w:bCs/>
          <w:color w:val="auto"/>
          <w:sz w:val="24"/>
          <w:highlight w:val="none"/>
        </w:rPr>
        <w:t xml:space="preserve"> 供应商具备安全生产条件，取得</w:t>
      </w:r>
      <w:r>
        <w:rPr>
          <w:rFonts w:hint="eastAsia" w:ascii="宋体" w:hAnsi="宋体" w:eastAsia="宋体" w:cs="宋体"/>
          <w:bCs/>
          <w:color w:val="auto"/>
          <w:sz w:val="24"/>
          <w:highlight w:val="none"/>
          <w:lang w:val="en-US" w:eastAsia="zh-CN"/>
        </w:rPr>
        <w:t xml:space="preserve">有效的</w:t>
      </w:r>
      <w:r>
        <w:rPr>
          <w:rFonts w:hint="eastAsia" w:ascii="宋体" w:hAnsi="宋体" w:eastAsia="宋体" w:cs="宋体"/>
          <w:bCs/>
          <w:color w:val="auto"/>
          <w:sz w:val="24"/>
          <w:highlight w:val="none"/>
        </w:rPr>
        <w:t xml:space="preserve">《安全生产许可证》；</w:t>
      </w:r>
      <w:r/>
    </w:p>
    <w:p>
      <w:pPr>
        <w:ind w:right="-334"/>
        <w:spacing w:line="360" w:lineRule="auto"/>
        <w:rPr>
          <w:rFonts w:hint="eastAsia" w:eastAsia="宋体"/>
          <w:b/>
          <w:bCs w:val="0"/>
          <w:lang w:val="en-US" w:eastAsia="zh-CN"/>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④</w:t>
      </w:r>
      <w:r>
        <w:rPr>
          <w:rFonts w:hint="eastAsia" w:ascii="宋体" w:hAnsi="宋体" w:eastAsia="宋体" w:cs="宋体"/>
          <w:bCs/>
          <w:color w:val="auto"/>
          <w:sz w:val="24"/>
          <w:highlight w:val="none"/>
        </w:rPr>
        <w:t xml:space="preserve">供应商拟选派项目负责人（注册建造师）无在建工程，</w:t>
      </w:r>
      <w:r>
        <w:rPr>
          <w:rFonts w:hint="eastAsia" w:ascii="宋体" w:hAnsi="宋体" w:eastAsia="宋体" w:cs="宋体"/>
          <w:b/>
          <w:bCs w:val="0"/>
          <w:color w:val="auto"/>
          <w:sz w:val="24"/>
          <w:highlight w:val="none"/>
        </w:rPr>
        <w:t xml:space="preserve">响应文件中提供证明材料或承诺书（格式自拟）。</w:t>
      </w:r>
      <w:r/>
    </w:p>
    <w:p>
      <w:pPr>
        <w:pStyle w:val="813"/>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（三）符合条件</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必须提供，否则</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1.《磋商报价表》（首次报价表加盖电子签章，格式见《磋商文件》附件）；</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2.《分项价格表》（加盖电子签章，格式见《磋商文件》附件）；</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3.《承诺书》（加盖电子签章，格式见《磋商文件》附件）；</w:t>
      </w:r>
      <w:r/>
    </w:p>
    <w:p>
      <w:pPr>
        <w:pStyle w:val="809"/>
        <w:ind w:firstLine="480"/>
        <w:spacing w:line="360" w:lineRule="auto"/>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.《授权委托书》（加盖电子签章，格式见《磋商文件》附件）；</w:t>
      </w:r>
      <w:r/>
    </w:p>
    <w:p>
      <w:pPr>
        <w:pStyle w:val="82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.《偏离表》（加盖电子签章，格式见《磋商文件》附件）</w:t>
      </w:r>
      <w:r>
        <w:rPr>
          <w:rFonts w:hint="eastAsia" w:ascii="宋体" w:hAnsi="宋体" w:eastAsia="宋体" w:cs="宋体"/>
          <w:color w:val="auto"/>
          <w:sz w:val="24"/>
          <w:szCs w:val="24"/>
          <w:highlight w:val="none"/>
        </w:rPr>
        <w:t xml:space="preserve">。</w:t>
      </w:r>
      <w:r/>
    </w:p>
    <w:p>
      <w:pPr>
        <w:pStyle w:val="809"/>
        <w:ind w:left="49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1、报价部分，要求见《磋商文件》附件1、《评分细则》）；</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2、商务部分，要求见《磋商文件》附件1、《评分细则》）；</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3、技术部分，要求见《磋商文件》附件1、《评分细则》）；</w:t>
      </w:r>
      <w:r/>
    </w:p>
    <w:p>
      <w:pPr>
        <w:pStyle w:val="809"/>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4、评分细则中评分得分需提供的相关证明文件原件扫描件或供应商认为需要提供的其他资料原件扫描件。</w:t>
      </w:r>
      <w:r/>
    </w:p>
    <w:p>
      <w:pPr>
        <w:pStyle w:val="809"/>
        <w:ind w:left="49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（五）价格折扣文件格式</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1.企业报价折扣证明</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sz w:val="24"/>
          <w:highlight w:val="none"/>
        </w:rPr>
        <w:t xml:space="preserve">无。</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（六）提交的首次响应文件的加密、签署、盖章要求：</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1、加密要求：</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2、签署要求：特别提醒：竞争性磋商文件中如需“被授权代表签字或盖章”，供应商可打印成文档，签字或盖章后再扫描上传，最后再电子签章。见《磋商文件》第九章附件中相关格式要求。</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09"/>
        <w:ind w:firstLine="241"/>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（七）通过“苏采云”系统提交政府采购客户端工具导出加密的响应文件（后缀名为zip）。响应文件不得超过150M！（具体以系统要求为准）</w:t>
      </w:r>
      <w:r/>
    </w:p>
    <w:p>
      <w:pPr>
        <w:pStyle w:val="813"/>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1、供应商应当按照《磋商文件》的要求编制响应文件，并对其提交的响应文件的真实性、合法性承担法律责任。</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2、采购人索取成交供应商的响应文件，须在双方签订政府采购合同后，由采购代理机构提供给采购人。</w:t>
      </w:r>
      <w:r/>
    </w:p>
    <w:p>
      <w:pPr>
        <w:pStyle w:val="80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磋商相关说明</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十四、磋商相关说明</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(一)磋商要求</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供应商可通过CA数字证书，在首次响应文件开启时间后，使用CA数字证书在规定时间内解密各自响应文件。</w:t>
      </w:r>
      <w:r/>
    </w:p>
    <w:p>
      <w:pPr>
        <w:pStyle w:val="809"/>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4.磋商顺序按照电子标书解密先后时间进行，解密时间相同的，不分先后顺序。</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5.磋商方式：</w:t>
      </w:r>
      <w:r>
        <w:rPr>
          <w:rFonts w:hint="eastAsia" w:ascii="宋体" w:hAnsi="宋体" w:eastAsia="宋体" w:cs="宋体"/>
          <w:b/>
          <w:bCs/>
          <w:color w:val="auto"/>
          <w:sz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6.未在规定时间内进行答疑澄清的，视同放弃澄清。</w:t>
      </w:r>
      <w:r/>
    </w:p>
    <w:p>
      <w:pPr>
        <w:pStyle w:val="809"/>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7.未在规定时间内进行报价的，视为响应无效。</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8.被邀请参与磋商的供应商如未按上述磋商要求执行，视同放弃磋商的权利。</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（二）评审程序</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技术部分优劣（得分高低）顺序推荐。</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13"/>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 查询及使用供应商信用记录</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1.由采购人查询信用信息。</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2.查询渠道包括：</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“诚信江苏”网（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"http://www.jiangsu.gov.cn/jsxy/index.htm"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www.jiangsu.gov.cn/jsxy/index.htm</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或“信用江苏”网（http://credit.jiangsu.gov.cn/）；</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(4)“诚信徐州”网（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"http://www.xuzhoucredit.gov.cn/"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http://www.xuzhoucredit.gov.cn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或“信用徐州”网（www.xuzhoucredit.gov.cn/）。</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3.截止时点（查询环节）：首次响应文件开启后资格审查结束前。</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4.信用信息查询记录和证据留存的具体方式：</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5.信用信息的使用规则：</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6.信用评价结果查询：见《磋商文件》附件1.《评分细则》。</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十五、评审方法和评审标准</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2.评审标准：详见《磋商文件》附件《评分细则》</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十六、有下列情形之一的，其响应无效：</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1、电子响应文件未按规定期限提交的；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2、电子响应文件未按磋商文件要求签章的；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3、供应商未在规定时间内解密电子响应文件的；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4、供应商的法定代表人授权代表，无法定代表人授权委托书的；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7、响应文件未按磋商文件规定的格式、内容、要求填写的；没有在系统指定位置上传对应文件、材料的；</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8、响应文件含有采购人不能接受的附加条件的；</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9、响应文件内容不符合磋商文件中规定的其它实质性要求的；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10、法律法规和磋商文件规定的其它无效情形。</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80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确定成交供应商及合同签订等</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二十、签订合同前，成交供应商必须向采购人提交其投标文件中所有扫描件的原件，采购人核查无误后，签订合同。如成交供应商不能在采购人规定的时间内向采购人提供原件，将被采购人视为放弃中标资格。</w:t>
      </w:r>
      <w:r/>
    </w:p>
    <w:p>
      <w:pPr>
        <w:pStyle w:val="80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磋商文件的澄清或者修改</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二十一、《磋商文件》的澄清或者修改</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80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询问和质疑</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二十二、询问和质疑</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9"/>
        <w:ind w:left="497"/>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eastAsia="zh-CN"/>
        </w:rPr>
        <w:t xml:space="preserve">王飞</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18796422718</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徐州市云龙区庆丰路以西绿地世纪城七期办公楼1-519</w:t>
      </w:r>
      <w:r>
        <w:rPr>
          <w:rFonts w:hint="eastAsia" w:ascii="宋体" w:hAnsi="宋体" w:eastAsia="宋体" w:cs="宋体"/>
          <w:color w:val="auto"/>
          <w:sz w:val="24"/>
          <w:highlight w:val="none"/>
        </w:rPr>
        <w:t xml:space="preserve">。</w:t>
      </w:r>
      <w:r/>
    </w:p>
    <w:p>
      <w:pPr>
        <w:jc w:val="center"/>
        <w:spacing w:before="0" w:beforeAutospacing="0" w:after="0" w:afterAutospacing="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第八章 联系方式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spacing w:line="360" w:lineRule="auto"/>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 xml:space="preserve">名称：邳州市人民检察院</w:t>
      </w:r>
      <w:r/>
    </w:p>
    <w:p>
      <w:pPr>
        <w:spacing w:line="360" w:lineRule="auto"/>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地址：</w:t>
      </w:r>
      <w:r>
        <w:rPr>
          <w:rFonts w:hint="eastAsia" w:ascii="宋体" w:hAnsi="宋体" w:eastAsia="宋体" w:cs="宋体"/>
          <w:color w:val="auto"/>
          <w:sz w:val="24"/>
          <w:szCs w:val="24"/>
          <w:lang w:eastAsia="zh-CN" w:bidi="ar"/>
        </w:rPr>
        <w:t xml:space="preserve">徐州市邳州市运平路5号</w:t>
      </w:r>
      <w:r>
        <w:rPr>
          <w:rFonts w:hint="eastAsia" w:ascii="宋体" w:hAnsi="宋体" w:eastAsia="宋体" w:cs="宋体"/>
          <w:color w:val="auto"/>
          <w:sz w:val="24"/>
          <w:szCs w:val="24"/>
          <w:lang w:eastAsia="zh-CN" w:bidi="ar"/>
        </w:rPr>
        <w:br/>
      </w:r>
      <w:r>
        <w:rPr>
          <w:rFonts w:hint="eastAsia" w:ascii="宋体" w:hAnsi="宋体" w:eastAsia="宋体" w:cs="宋体"/>
          <w:color w:val="auto"/>
          <w:sz w:val="24"/>
          <w:szCs w:val="24"/>
          <w:lang w:eastAsia="zh-CN" w:bidi="ar"/>
        </w:rPr>
        <w:t xml:space="preserve">联系方式：</w:t>
      </w:r>
      <w:r>
        <w:rPr>
          <w:rFonts w:hint="eastAsia" w:ascii="宋体" w:hAnsi="宋体" w:eastAsia="宋体" w:cs="宋体"/>
          <w:color w:val="auto"/>
          <w:sz w:val="24"/>
          <w:szCs w:val="24"/>
          <w:lang w:val="en-US" w:eastAsia="zh-CN" w:bidi="ar"/>
        </w:rPr>
        <w:t xml:space="preserve">谭勇 18352226950</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徐州瀛海工程管理咨询有限公司</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徐州市云龙区庆丰路以西绿地世纪城七期办公楼1-519</w:t>
      </w:r>
      <w:r>
        <w:rPr>
          <w:rFonts w:hint="eastAsia" w:ascii="宋体" w:hAnsi="宋体" w:eastAsia="宋体" w:cs="宋体"/>
          <w:color w:val="auto"/>
          <w:sz w:val="24"/>
          <w:szCs w:val="24"/>
        </w:rPr>
        <w:t xml:space="preserve"> </w:t>
      </w:r>
      <w:r/>
    </w:p>
    <w:p>
      <w:pP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王飞 </w:t>
      </w:r>
      <w:r>
        <w:rPr>
          <w:rFonts w:hint="eastAsia" w:ascii="宋体" w:hAnsi="宋体" w:eastAsia="宋体" w:cs="宋体"/>
          <w:color w:val="auto"/>
          <w:sz w:val="24"/>
          <w:highlight w:val="none"/>
          <w:lang w:val="en-US" w:eastAsia="zh-CN"/>
        </w:rPr>
        <w:t xml:space="preserve">18796422718</w:t>
      </w:r>
      <w:r/>
    </w:p>
    <w:p>
      <w:pPr>
        <w:pStyle w:val="81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章 附件</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二十三、附件：附后。</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4、《分项价格表》</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7、《承诺书》</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8、《授权委托书》</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9、《中小企业声明函》《中小企业规模类型自测小程序》</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10、《残疾人福利性单位声明函》</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11、《供应商参加政府采购活动前3年内在经营活动中没有重大违法记录的书面声明》</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12、《具备履行合同所必需的设备和专业技术能力的书面声明》</w:t>
      </w:r>
      <w:r/>
    </w:p>
    <w:p>
      <w:pPr>
        <w:pStyle w:val="809"/>
        <w:ind w:left="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13、《代理服务收费标准》</w:t>
      </w:r>
      <w:r/>
    </w:p>
    <w:p>
      <w:pPr>
        <w:pStyle w:val="809"/>
        <w:ind w:left="497"/>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14、《预付款保函支付条款模板》</w:t>
      </w:r>
      <w:r/>
    </w:p>
    <w:p>
      <w:pPr>
        <w:pStyle w:val="809"/>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firstLine="632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r/>
    </w:p>
    <w:p>
      <w:pPr>
        <w:pStyle w:val="809"/>
        <w:ind w:firstLine="46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3"/>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4"/>
          <w:szCs w:val="24"/>
          <w:highlight w:val="none"/>
        </w:rPr>
        <w:t xml:space="preserve">评分细则</w:t>
      </w:r>
      <w:r/>
    </w:p>
    <w:tbl>
      <w:tblPr>
        <w:tblStyle w:val="755"/>
        <w:tblpPr w:horzAnchor="page" w:tblpX="1189" w:vertAnchor="text" w:tblpY="495" w:leftFromText="180" w:topFromText="0" w:rightFromText="180" w:bottomFromText="0"/>
        <w:tblW w:w="9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725"/>
        <w:gridCol w:w="7177"/>
      </w:tblGrid>
      <w:tr>
        <w:trPr>
          <w:trHeight w:val="482"/>
        </w:trPr>
        <w:tc>
          <w:tcPr>
            <w:gridSpan w:val="2"/>
            <w:tcMar>
              <w:left w:w="108" w:type="dxa"/>
              <w:top w:w="0" w:type="dxa"/>
              <w:right w:w="108" w:type="dxa"/>
              <w:bottom w:w="0" w:type="dxa"/>
            </w:tcMar>
            <w:tcW w:w="2571" w:type="dxa"/>
            <w:vAlign w:val="center"/>
            <w:textDirection w:val="lrTb"/>
            <w:noWrap w:val="false"/>
          </w:tcPr>
          <w:p>
            <w:pPr>
              <w:contextualSpacing/>
              <w:jc w:val="center"/>
              <w:spacing w:line="264" w:lineRule="auto"/>
              <w:rPr>
                <w:rFonts w:hint="eastAsia" w:ascii="宋体" w:hAnsi="宋体" w:eastAsia="宋体" w:cs="宋体"/>
                <w:bCs/>
                <w:color w:val="auto"/>
                <w:sz w:val="24"/>
              </w:rPr>
            </w:pPr>
            <w:r>
              <w:rPr>
                <w:rFonts w:hint="eastAsia" w:ascii="宋体" w:hAnsi="宋体" w:eastAsia="宋体" w:cs="宋体"/>
                <w:bCs/>
                <w:color w:val="auto"/>
                <w:sz w:val="24"/>
              </w:rPr>
              <w:t xml:space="preserve">项目及分值</w:t>
            </w:r>
            <w:r/>
          </w:p>
        </w:tc>
        <w:tc>
          <w:tcPr>
            <w:tcMar>
              <w:left w:w="108" w:type="dxa"/>
              <w:top w:w="0" w:type="dxa"/>
              <w:right w:w="108" w:type="dxa"/>
              <w:bottom w:w="0" w:type="dxa"/>
            </w:tcMar>
            <w:tcW w:w="7177" w:type="dxa"/>
            <w:vAlign w:val="center"/>
            <w:textDirection w:val="lrTb"/>
            <w:noWrap w:val="false"/>
          </w:tcPr>
          <w:p>
            <w:pPr>
              <w:contextualSpacing/>
              <w:jc w:val="center"/>
              <w:spacing w:line="264" w:lineRule="auto"/>
              <w:rPr>
                <w:rFonts w:hint="eastAsia" w:ascii="宋体" w:hAnsi="宋体" w:eastAsia="宋体" w:cs="宋体"/>
                <w:bCs/>
                <w:color w:val="auto"/>
                <w:sz w:val="24"/>
              </w:rPr>
            </w:pPr>
            <w:r>
              <w:rPr>
                <w:rFonts w:hint="eastAsia" w:ascii="宋体" w:hAnsi="宋体" w:eastAsia="宋体" w:cs="宋体"/>
                <w:bCs/>
                <w:color w:val="auto"/>
                <w:sz w:val="24"/>
              </w:rPr>
              <w:t xml:space="preserve">评分细则</w:t>
            </w:r>
            <w:r/>
          </w:p>
        </w:tc>
      </w:tr>
      <w:tr>
        <w:trPr>
          <w:trHeight w:val="1056"/>
        </w:trPr>
        <w:tc>
          <w:tcPr>
            <w:gridSpan w:val="2"/>
            <w:tcMar>
              <w:left w:w="108" w:type="dxa"/>
              <w:top w:w="0" w:type="dxa"/>
              <w:right w:w="108" w:type="dxa"/>
              <w:bottom w:w="0" w:type="dxa"/>
            </w:tcMar>
            <w:tcW w:w="2571" w:type="dxa"/>
            <w:vAlign w:val="center"/>
            <w:textDirection w:val="lrTb"/>
            <w:noWrap w:val="false"/>
          </w:tcPr>
          <w:p>
            <w:pPr>
              <w:contextualSpacing/>
              <w:jc w:val="center"/>
              <w:spacing w:line="264" w:lineRule="auto"/>
              <w:rPr>
                <w:rFonts w:hint="eastAsia" w:ascii="宋体" w:hAnsi="宋体" w:eastAsia="宋体" w:cs="宋体"/>
                <w:color w:val="auto"/>
                <w:sz w:val="24"/>
              </w:rPr>
            </w:pPr>
            <w:r>
              <w:rPr>
                <w:rFonts w:hint="eastAsia" w:ascii="宋体" w:hAnsi="宋体" w:eastAsia="宋体" w:cs="宋体"/>
                <w:color w:val="auto"/>
                <w:sz w:val="24"/>
              </w:rPr>
              <w:t xml:space="preserve">投标报价</w:t>
            </w:r>
            <w:r/>
          </w:p>
          <w:p>
            <w:pPr>
              <w:contextualSpacing/>
              <w:jc w:val="center"/>
              <w:spacing w:line="264" w:lineRule="auto"/>
              <w:rPr>
                <w:rFonts w:hint="eastAsia" w:ascii="宋体" w:hAnsi="宋体" w:eastAsia="宋体" w:cs="宋体"/>
                <w:bCs/>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分）</w:t>
            </w:r>
            <w:r/>
          </w:p>
        </w:tc>
        <w:tc>
          <w:tcPr>
            <w:tcMar>
              <w:left w:w="108" w:type="dxa"/>
              <w:top w:w="0" w:type="dxa"/>
              <w:right w:w="108" w:type="dxa"/>
              <w:bottom w:w="0" w:type="dxa"/>
            </w:tcMar>
            <w:tcW w:w="7177" w:type="dxa"/>
            <w:vAlign w:val="center"/>
            <w:textDirection w:val="lrTb"/>
            <w:noWrap w:val="false"/>
          </w:tcPr>
          <w:p>
            <w:pPr>
              <w:pStyle w:val="811"/>
              <w:ind w:left="38" w:right="-108"/>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contextualSpacing/>
              <w:spacing w:line="264" w:lineRule="auto"/>
              <w:rPr>
                <w:rFonts w:hint="eastAsia" w:ascii="宋体" w:hAnsi="宋体" w:eastAsia="宋体" w:cs="宋体"/>
                <w:bCs/>
                <w:color w:val="auto"/>
                <w:sz w:val="24"/>
              </w:rPr>
            </w:pPr>
            <w:r>
              <w:rPr>
                <w:rFonts w:hint="eastAsia" w:ascii="宋体" w:hAnsi="宋体" w:eastAsia="宋体" w:cs="宋体"/>
                <w:color w:val="auto"/>
                <w:sz w:val="24"/>
                <w:highlight w:val="none"/>
              </w:rPr>
              <w:t xml:space="preserve">各磋商供应商价格得分=最低磋商价格（即磋商供应商中的最低评审价格）÷各磋商供应商评审价格×</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w:t>
            </w:r>
            <w:r/>
          </w:p>
        </w:tc>
      </w:tr>
      <w:tr>
        <w:trPr>
          <w:trHeight w:val="895"/>
        </w:trPr>
        <w:tc>
          <w:tcPr>
            <w:gridSpan w:val="2"/>
            <w:tcMar>
              <w:left w:w="108" w:type="dxa"/>
              <w:top w:w="0" w:type="dxa"/>
              <w:right w:w="108" w:type="dxa"/>
              <w:bottom w:w="0" w:type="dxa"/>
            </w:tcMar>
            <w:tcW w:w="25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类似业绩</w:t>
            </w:r>
            <w:r/>
          </w:p>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（4分）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b/>
                <w:bCs/>
                <w:color w:val="auto"/>
                <w:sz w:val="24"/>
                <w:highlight w:val="none"/>
                <w:lang w:val="en-US" w:eastAsia="zh-CN" w:bidi="ar-SA"/>
              </w:rPr>
            </w:pPr>
            <w:r>
              <w:rPr>
                <w:rFonts w:hint="eastAsia" w:ascii="宋体" w:hAnsi="宋体" w:eastAsia="宋体" w:cs="宋体"/>
                <w:color w:val="auto"/>
                <w:sz w:val="24"/>
                <w:highlight w:val="none"/>
              </w:rPr>
              <w:t xml:space="preserve">供应商自202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月1日以来供应商承担过和本项目同类业绩证明的每有一个得2分，本项目最高得4分。</w:t>
            </w:r>
            <w:r>
              <w:rPr>
                <w:rFonts w:hint="eastAsia" w:ascii="宋体" w:hAnsi="宋体" w:eastAsia="宋体" w:cs="宋体"/>
                <w:b/>
                <w:bCs/>
                <w:color w:val="auto"/>
                <w:sz w:val="24"/>
                <w:highlight w:val="none"/>
              </w:rPr>
              <w:t xml:space="preserve">注：提供中标通知书及合同原件扫描件并加盖公章，未提供的不得分。时间以合同签订时间为准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二者须同时具备。</w:t>
            </w:r>
            <w:r/>
          </w:p>
        </w:tc>
      </w:tr>
      <w:tr>
        <w:trPr>
          <w:trHeight w:val="895"/>
        </w:trPr>
        <w:tc>
          <w:tcPr>
            <w:gridSpan w:val="2"/>
            <w:tcMar>
              <w:left w:w="108" w:type="dxa"/>
              <w:top w:w="0" w:type="dxa"/>
              <w:right w:w="108" w:type="dxa"/>
              <w:bottom w:w="0" w:type="dxa"/>
            </w:tcMar>
            <w:tcW w:w="2571"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人员配置</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供应商拟选派项目负责人（注册建造师）具备高级职称得4分，具备中级职称得2分。未提供不得分。</w:t>
            </w:r>
            <w:r/>
          </w:p>
          <w:p>
            <w:pPr>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rPr>
              <w:t xml:space="preserve">注：人员需提供职称证书及在本单位连续近3个月（2025年12月-2026年2月）的社会保险，并加盖公章。 </w:t>
            </w:r>
            <w:r/>
          </w:p>
        </w:tc>
      </w:tr>
      <w:tr>
        <w:trPr>
          <w:trHeight w:val="567"/>
        </w:trPr>
        <w:tc>
          <w:tcPr>
            <w:tcMar>
              <w:left w:w="108" w:type="dxa"/>
              <w:top w:w="0" w:type="dxa"/>
              <w:right w:w="108" w:type="dxa"/>
              <w:bottom w:w="0" w:type="dxa"/>
            </w:tcMar>
            <w:tcW w:w="846" w:type="dxa"/>
            <w:vAlign w:val="center"/>
            <w:vMerge w:val="restart"/>
            <w:textDirection w:val="lrTb"/>
            <w:noWrap w:val="false"/>
          </w:tcPr>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p>
            <w:pPr>
              <w:contextualSpacing/>
              <w:jc w:val="center"/>
              <w:spacing w:line="264"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TW" w:eastAsia="zh-TW" w:bidi="ar-SA"/>
              </w:rPr>
              <w:t xml:space="preserve">服务方案</w:t>
            </w:r>
            <w:r>
              <w:rPr>
                <w:rFonts w:hint="eastAsia" w:ascii="宋体" w:hAnsi="宋体" w:eastAsia="宋体" w:cs="宋体"/>
                <w:color w:val="auto"/>
                <w:sz w:val="24"/>
                <w:szCs w:val="24"/>
                <w:highlight w:val="none"/>
                <w:lang w:val="en-US" w:eastAsia="zh-CN" w:bidi="ar-SA"/>
              </w:rPr>
              <w:t xml:space="preserve">（72分）</w:t>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1.施工总体设想（15分）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对项目部组成、主要技术人员、机械配置、劳动力配置及保障措施方案内容的全面性、可行性、针对性进行评价。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全面性（5分）：全面具体详实得5分；全面得4分；不全面得2分。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可行性（5分）：符合实际切实可行得5分；较切实可行得4分；可行性欠缺得2分。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针对性（5分）：针对性强得5分；针对性较强得4分；针对性不强得2分。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未提供的得0分。本项最高得15分，最低得0分。</w:t>
            </w:r>
            <w:r/>
          </w:p>
        </w:tc>
      </w:tr>
      <w:tr>
        <w:trPr>
          <w:trHeight w:val="1549"/>
        </w:trPr>
        <w:tc>
          <w:tcPr>
            <w:tcMar>
              <w:left w:w="108" w:type="dxa"/>
              <w:top w:w="0" w:type="dxa"/>
              <w:right w:w="108" w:type="dxa"/>
              <w:bottom w:w="0" w:type="dxa"/>
            </w:tcMar>
            <w:tcW w:w="846" w:type="dxa"/>
            <w:vAlign w:val="center"/>
            <w:vMerge w:val="continue"/>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2.施工方案及总体组织部署</w:t>
            </w:r>
            <w:r/>
          </w:p>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（15分）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全面性（5分）：全面具体详实得5分；全面得4分；不全面得2分。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可行性（5分）：符合实际切实可行得5分；较切实可行得4分；可行性欠缺得2分。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针对性（5分）：针对性强得5分；针对性较强得4分；针对性不强得2分。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未提供的得0分。本项最高得15分，最低得0分。</w:t>
            </w:r>
            <w:r/>
          </w:p>
        </w:tc>
      </w:tr>
      <w:tr>
        <w:trPr>
          <w:trHeight w:val="137"/>
        </w:trPr>
        <w:tc>
          <w:tcPr>
            <w:tcMar>
              <w:left w:w="108" w:type="dxa"/>
              <w:top w:w="0" w:type="dxa"/>
              <w:right w:w="108" w:type="dxa"/>
              <w:bottom w:w="0" w:type="dxa"/>
            </w:tcMar>
            <w:tcW w:w="846" w:type="dxa"/>
            <w:vAlign w:val="center"/>
            <w:vMerge w:val="continue"/>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3.安全文明施工保证措施</w:t>
            </w:r>
            <w:r/>
          </w:p>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（10分）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全面性（4分）：全面具体详实得4分；全面得3分；不全面得1分。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trHeight w:val="377"/>
        </w:trPr>
        <w:tc>
          <w:tcPr>
            <w:tcMar>
              <w:left w:w="108" w:type="dxa"/>
              <w:top w:w="0" w:type="dxa"/>
              <w:right w:w="108" w:type="dxa"/>
              <w:bottom w:w="0" w:type="dxa"/>
            </w:tcMar>
            <w:tcW w:w="846" w:type="dxa"/>
            <w:vAlign w:val="center"/>
            <w:vMerge w:val="continue"/>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4.工程形象进度计划安排及保证措施（10分）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全面性（4分）：全面具体详实得4分；全面得3分；不全面得1分。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trHeight w:val="567"/>
        </w:trPr>
        <w:tc>
          <w:tcPr>
            <w:tcMar>
              <w:left w:w="108" w:type="dxa"/>
              <w:top w:w="0" w:type="dxa"/>
              <w:right w:w="108" w:type="dxa"/>
              <w:bottom w:w="0" w:type="dxa"/>
            </w:tcMar>
            <w:tcW w:w="846" w:type="dxa"/>
            <w:vAlign w:val="center"/>
            <w:vMerge w:val="continue"/>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tcMar>
              <w:left w:w="108" w:type="dxa"/>
              <w:top w:w="0" w:type="dxa"/>
              <w:right w:w="108" w:type="dxa"/>
              <w:bottom w:w="0" w:type="dxa"/>
            </w:tcMar>
            <w:tcW w:w="1725" w:type="dxa"/>
            <w:vAlign w:val="center"/>
            <w:textDirection w:val="lrTb"/>
            <w:noWrap w:val="false"/>
          </w:tcPr>
          <w:p>
            <w:pPr>
              <w:jc w:val="cente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5.施工质量保证措施及目标（10分）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全面性（4分）：全面具体详实得4分；全面得3分；不全面得1分。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未提供的得0分。本项最高得10分，最低得0分。</w:t>
            </w:r>
            <w:r/>
          </w:p>
        </w:tc>
      </w:tr>
      <w:tr>
        <w:trPr>
          <w:trHeight w:val="1499"/>
        </w:trPr>
        <w:tc>
          <w:tcPr>
            <w:tcMar>
              <w:left w:w="108" w:type="dxa"/>
              <w:top w:w="0" w:type="dxa"/>
              <w:right w:w="108" w:type="dxa"/>
              <w:bottom w:w="0" w:type="dxa"/>
            </w:tcMar>
            <w:tcW w:w="846" w:type="dxa"/>
            <w:vAlign w:val="center"/>
            <w:textDirection w:val="lrTb"/>
            <w:noWrap w:val="false"/>
          </w:tcPr>
          <w:p>
            <w:pPr>
              <w:contextualSpacing/>
              <w:spacing w:line="264" w:lineRule="auto"/>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zh-TW" w:eastAsia="zh-TW" w:bidi="ar-SA"/>
              </w:rPr>
            </w:r>
            <w:r/>
          </w:p>
        </w:tc>
        <w:tc>
          <w:tcPr>
            <w:shd w:val="clear" w:color="auto" w:fill="auto"/>
            <w:tcMar>
              <w:left w:w="108" w:type="dxa"/>
              <w:top w:w="0" w:type="dxa"/>
              <w:right w:w="108" w:type="dxa"/>
              <w:bottom w:w="0" w:type="dxa"/>
            </w:tcMar>
            <w:tcW w:w="1725" w:type="dxa"/>
            <w:vAlign w:val="center"/>
            <w:textDirection w:val="lrTb"/>
            <w:noWrap w:val="false"/>
          </w:tcPr>
          <w:p>
            <w:pPr>
              <w:pStyle w:val="1057"/>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质保期服务方案（1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tc>
        <w:tc>
          <w:tcPr>
            <w:shd w:val="clear" w:color="auto" w:fill="auto"/>
            <w:tcMar>
              <w:left w:w="108" w:type="dxa"/>
              <w:top w:w="0" w:type="dxa"/>
              <w:right w:w="108" w:type="dxa"/>
              <w:bottom w:w="0" w:type="dxa"/>
            </w:tcMar>
            <w:tcW w:w="7177"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全面性（4分）：全面具体详实得4分；全面得3分；不全面得2分。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可行性（4分）：符合实际切实可行得4分；较切实可行得3分；可行性欠缺得1分。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针对性（4分）：针对性强得4分；针对性较强得3分；针对性不强得1分。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未提供的得0分。本项最高得12分，最低得0分。</w:t>
            </w:r>
            <w:r/>
          </w:p>
        </w:tc>
      </w:tr>
    </w:tbl>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本章说明：本项目采用综合评分法。供应商技术部分得分取所有评委的平均值，分值计算结果保留两位小数。</w:t>
      </w:r>
      <w:r/>
    </w:p>
    <w:p>
      <w:pPr>
        <w:pStyle w:val="80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pStyle w:val="809"/>
        <w:jc w:val="center"/>
        <w:rPr>
          <w:rFonts w:hint="eastAsia" w:ascii="宋体" w:hAnsi="宋体" w:eastAsia="宋体" w:cs="宋体"/>
          <w:color w:val="auto"/>
          <w:sz w:val="24"/>
          <w:highlight w:val="none"/>
        </w:rPr>
      </w:pPr>
      <w:r>
        <w:rPr>
          <w:rFonts w:hint="eastAsia" w:ascii="宋体" w:hAnsi="宋体" w:eastAsia="宋体" w:cs="宋体"/>
          <w:b/>
          <w:bCs/>
          <w:color w:val="auto"/>
          <w:sz w:val="28"/>
          <w:highlight w:val="none"/>
        </w:rPr>
        <w:t xml:space="preserve">2、项目要求（采购需求）</w:t>
      </w:r>
      <w:r/>
    </w:p>
    <w:p>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一、说明</w:t>
      </w:r>
      <w:r/>
    </w:p>
    <w:p>
      <w:pPr>
        <w:pStyle w:val="811"/>
        <w:ind w:firstLine="420"/>
        <w:spacing w:line="360" w:lineRule="auto"/>
        <w:rPr>
          <w:rFonts w:hint="eastAsia" w:ascii="宋体" w:hAnsi="宋体" w:eastAsia="宋体" w:cs="宋体"/>
          <w:color w:val="auto"/>
          <w:sz w:val="24"/>
          <w:szCs w:val="20"/>
          <w:lang w:val="en-US" w:eastAsia="zh-CN" w:bidi="ar-SA"/>
        </w:rPr>
      </w:pPr>
      <w:r>
        <w:rPr>
          <w:rFonts w:hint="eastAsia" w:ascii="宋体" w:hAnsi="宋体" w:eastAsia="宋体" w:cs="宋体"/>
          <w:color w:val="auto"/>
          <w:sz w:val="24"/>
          <w:szCs w:val="20"/>
          <w:lang w:val="en-US" w:eastAsia="zh-CN" w:bidi="ar-SA"/>
        </w:rPr>
        <w:t xml:space="preserve">1、采购项目名称：徐州市邳州检察院卫生间及防水改造项目</w:t>
      </w:r>
      <w:r/>
    </w:p>
    <w:p>
      <w:pPr>
        <w:pStyle w:val="811"/>
        <w:ind w:firstLine="420"/>
        <w:spacing w:line="360" w:lineRule="auto"/>
        <w:rPr>
          <w:rFonts w:hint="eastAsia" w:ascii="宋体" w:hAnsi="宋体" w:eastAsia="宋体" w:cs="宋体"/>
          <w:color w:val="000000" w:themeColor="text1"/>
          <w:sz w:val="24"/>
          <w:szCs w:val="20"/>
          <w:lang w:val="en-US" w:eastAsia="zh-CN" w:bidi="ar-SA"/>
          <w14:textFill>
            <w14:solidFill>
              <w14:schemeClr w14:val="tx1"/>
            </w14:solidFill>
          </w14:textFill>
        </w:rPr>
      </w:pPr>
      <w:r>
        <w:rPr>
          <w:rFonts w:hint="eastAsia" w:ascii="宋体" w:hAnsi="宋体" w:eastAsia="宋体" w:cs="宋体"/>
          <w:color w:val="auto"/>
          <w:sz w:val="24"/>
          <w:szCs w:val="20"/>
          <w:lang w:val="en-US" w:eastAsia="zh-CN" w:bidi="ar-SA"/>
        </w:rPr>
        <w:t xml:space="preserve">2、项目概况：邳州</w:t>
      </w:r>
      <w:r>
        <w:rPr>
          <w:rFonts w:hint="eastAsia" w:ascii="宋体" w:hAnsi="宋体" w:cs="宋体"/>
          <w:color w:val="auto"/>
          <w:sz w:val="24"/>
          <w:szCs w:val="20"/>
          <w:lang w:val="en-US" w:eastAsia="zh-CN" w:bidi="ar-SA"/>
        </w:rPr>
        <w:t xml:space="preserve">市人民</w:t>
      </w:r>
      <w:r>
        <w:rPr>
          <w:rFonts w:hint="eastAsia" w:ascii="宋体" w:hAnsi="宋体" w:eastAsia="宋体" w:cs="宋体"/>
          <w:color w:val="auto"/>
          <w:sz w:val="24"/>
          <w:szCs w:val="20"/>
          <w:lang w:val="en-US" w:eastAsia="zh-CN" w:bidi="ar-SA"/>
        </w:rPr>
        <w:t xml:space="preserve">检察院主办公楼卫生间、外墙及屋面防水改造、食</w:t>
      </w:r>
      <w:r>
        <w:rPr>
          <w:rFonts w:hint="eastAsia" w:ascii="宋体" w:hAnsi="宋体" w:eastAsia="宋体" w:cs="宋体"/>
          <w:color w:val="000000" w:themeColor="text1"/>
          <w:sz w:val="24"/>
          <w:szCs w:val="20"/>
          <w:lang w:val="en-US" w:eastAsia="zh-CN" w:bidi="ar-SA"/>
          <w14:textFill>
            <w14:solidFill>
              <w14:schemeClr w14:val="tx1"/>
            </w14:solidFill>
          </w14:textFill>
        </w:rPr>
        <w:t xml:space="preserve">堂防水改造</w:t>
      </w:r>
      <w:r>
        <w:rPr>
          <w:rFonts w:hint="eastAsia" w:ascii="宋体" w:hAnsi="宋体" w:cs="宋体"/>
          <w:color w:val="000000" w:themeColor="text1"/>
          <w:sz w:val="24"/>
          <w:szCs w:val="20"/>
          <w:lang w:val="en-US" w:eastAsia="zh-CN" w:bidi="ar-SA"/>
          <w14:textFill>
            <w14:solidFill>
              <w14:schemeClr w14:val="tx1"/>
            </w14:solidFill>
          </w14:textFill>
        </w:rPr>
        <w:t xml:space="preserve">等</w:t>
      </w:r>
      <w:r>
        <w:rPr>
          <w:rFonts w:hint="eastAsia" w:ascii="宋体" w:hAnsi="宋体" w:eastAsia="宋体" w:cs="宋体"/>
          <w:color w:val="000000" w:themeColor="text1"/>
          <w:sz w:val="24"/>
          <w:szCs w:val="20"/>
          <w:lang w:val="en-US" w:eastAsia="zh-CN" w:bidi="ar-SA"/>
          <w14:textFill>
            <w14:solidFill>
              <w14:schemeClr w14:val="tx1"/>
            </w14:solidFill>
          </w14:textFill>
        </w:rPr>
        <w:t xml:space="preserve">。</w:t>
      </w:r>
      <w:r/>
    </w:p>
    <w:p>
      <w:pPr>
        <w:pStyle w:val="811"/>
        <w:ind w:firstLine="420"/>
        <w:spacing w:line="360" w:lineRule="auto"/>
        <w:rPr>
          <w:rFonts w:hint="eastAsia" w:ascii="宋体" w:hAnsi="宋体" w:eastAsia="宋体" w:cs="宋体"/>
          <w:color w:val="000000" w:themeColor="text1"/>
          <w:sz w:val="24"/>
          <w:szCs w:val="20"/>
          <w:lang w:val="en-US" w:eastAsia="zh-CN" w:bidi="ar-SA"/>
          <w14:textFill>
            <w14:solidFill>
              <w14:schemeClr w14:val="tx1"/>
            </w14:solidFill>
          </w14:textFill>
        </w:rPr>
      </w:pPr>
      <w:r>
        <w:rPr>
          <w:rFonts w:hint="eastAsia" w:ascii="宋体" w:hAnsi="宋体" w:eastAsia="宋体" w:cs="宋体"/>
          <w:color w:val="000000" w:themeColor="text1"/>
          <w:sz w:val="24"/>
          <w:szCs w:val="20"/>
          <w:lang w:val="en-US" w:eastAsia="zh-CN" w:bidi="ar-SA"/>
          <w14:textFill>
            <w14:solidFill>
              <w14:schemeClr w14:val="tx1"/>
            </w14:solidFill>
          </w14:textFill>
        </w:rPr>
        <w:t xml:space="preserve">3、本项目采购预算金额为1261372.28元。报价包含项目完成所需全部费用，采购人不再支付报价以外的任何费用。</w:t>
      </w:r>
      <w:r/>
    </w:p>
    <w:p>
      <w:pPr>
        <w:pStyle w:val="811"/>
        <w:ind w:firstLine="420"/>
        <w:spacing w:line="360" w:lineRule="auto"/>
        <w:rPr>
          <w:rFonts w:hint="eastAsia" w:ascii="宋体" w:hAnsi="宋体" w:eastAsia="宋体" w:cs="宋体"/>
          <w:color w:val="000000" w:themeColor="text1"/>
          <w:sz w:val="24"/>
          <w:szCs w:val="20"/>
          <w:lang w:val="en-US" w:eastAsia="zh-CN" w:bidi="ar-SA"/>
          <w14:textFill>
            <w14:solidFill>
              <w14:schemeClr w14:val="tx1"/>
            </w14:solidFill>
          </w14:textFill>
        </w:rPr>
      </w:pPr>
      <w:r>
        <w:rPr>
          <w:rFonts w:hint="eastAsia" w:ascii="宋体" w:hAnsi="宋体" w:eastAsia="宋体" w:cs="宋体"/>
          <w:color w:val="000000" w:themeColor="text1"/>
          <w:sz w:val="24"/>
          <w:szCs w:val="20"/>
          <w:lang w:val="en-US" w:eastAsia="zh-CN" w:bidi="ar-SA"/>
          <w14:textFill>
            <w14:solidFill>
              <w14:schemeClr w14:val="tx1"/>
            </w14:solidFill>
          </w14:textFill>
        </w:rPr>
        <w:t xml:space="preserve">4、工期：</w:t>
      </w:r>
      <w:r>
        <w:rPr>
          <w:rFonts w:hint="eastAsia" w:ascii="宋体" w:hAnsi="宋体" w:cs="宋体"/>
          <w:color w:val="000000" w:themeColor="text1"/>
          <w:sz w:val="24"/>
          <w:szCs w:val="20"/>
          <w:lang w:val="en-US" w:eastAsia="zh-CN" w:bidi="ar-SA"/>
          <w14:textFill>
            <w14:solidFill>
              <w14:schemeClr w14:val="tx1"/>
            </w14:solidFill>
          </w14:textFill>
        </w:rPr>
        <w:t xml:space="preserve">120</w:t>
      </w:r>
      <w:r>
        <w:rPr>
          <w:rFonts w:hint="eastAsia" w:ascii="宋体" w:hAnsi="宋体" w:eastAsia="宋体" w:cs="宋体"/>
          <w:color w:val="000000" w:themeColor="text1"/>
          <w:sz w:val="24"/>
          <w:szCs w:val="20"/>
          <w:lang w:val="en-US" w:eastAsia="zh-CN" w:bidi="ar-SA"/>
          <w14:textFill>
            <w14:solidFill>
              <w14:schemeClr w14:val="tx1"/>
            </w14:solidFill>
          </w14:textFill>
        </w:rPr>
        <w:t xml:space="preserve"> 日历天。</w:t>
      </w:r>
      <w:r/>
    </w:p>
    <w:p>
      <w:pPr>
        <w:pStyle w:val="811"/>
        <w:ind w:firstLine="42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0"/>
          <w:lang w:val="en-US" w:eastAsia="zh-CN" w:bidi="ar-SA"/>
        </w:rPr>
        <w:t xml:space="preserve">5、工程质量：合格，同时须符合现行最新的国家有关标准、规范及其他适用于本工程的技术标准、规范。</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、承包方式：包工包料，不得分包与转包。</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lang w:eastAsia="zh-CN"/>
        </w:rPr>
        <w:t xml:space="preserve">、现场踏勘：自行踏勘现场，要求供应商自行对项目现场和周围环境进行实地踏勘；成交后不得以未踏勘现场或不了解现场为由提出任何增加费用的要求。</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说明：</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（1）供应商对施工现场进行踏勘，以获取编制响应文件所需的现场信息资料。</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（2）供应商对本磋商文件所作出的理解、推论和解释由其自己负责。</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（3）由于现场踏勘没有进行或者不详细所导致的一切问题均由供应商自行负责。</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（4）供应商应承担现场踏勘的责任和风险，现场踏勘费用由供应商自己承担。</w:t>
      </w:r>
      <w:r/>
    </w:p>
    <w:p>
      <w:pPr>
        <w:pStyle w:val="808"/>
        <w:ind w:firstLine="480"/>
        <w:keepLines w:val="0"/>
        <w:keepNext w:val="0"/>
        <w:pageBreakBefore w:val="0"/>
        <w:spacing w:after="0" w:line="360" w:lineRule="auto"/>
        <w:widowControl w:val="off"/>
        <w:rPr>
          <w:rFonts w:hint="eastAsia" w:ascii="宋体" w:hAnsi="宋体" w:eastAsia="宋体" w:cs="宋体"/>
          <w:color w:val="auto"/>
          <w:sz w:val="24"/>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lang w:eastAsia="zh-CN"/>
        </w:rPr>
        <w:t xml:space="preserve">。</w:t>
      </w:r>
      <w:r/>
    </w:p>
    <w:p>
      <w:pP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auto"/>
          <w:sz w:val="24"/>
          <w:lang w:val="en-US" w:eastAsia="zh-CN"/>
        </w:rPr>
        <w:t xml:space="preserve">二</w:t>
      </w:r>
      <w:r>
        <w:rPr>
          <w:rFonts w:hint="eastAsia" w:ascii="宋体" w:hAnsi="宋体" w:eastAsia="宋体" w:cs="宋体"/>
          <w:b w:val="0"/>
          <w:bCs w:val="0"/>
          <w:color w:val="auto"/>
          <w:sz w:val="24"/>
        </w:rPr>
        <w:t xml:space="preserve">、工程量清单</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1、本工程执行现行国家标准《建设工程工程量清单计价规范》（GB50500-2013）；《房屋建筑与装饰工程工程量计算规范》(GB50854-2013）；《通用安装工程工程量计算规范》(GB50856-2013）；</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2、2014年《江苏省建筑与装饰工程计价定额》；2014年《江苏省安装工程计价定额》；2009年《江苏修缮建筑定额》；2009年《江苏修缮安装定额》等；</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3、2014年《江苏省建设工程费用定额》及苏建价(2016)154号文件关于建筑业实施营改增后江苏省建设工程计价依据调整的通知；</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4、人工费执行[2025]273号文件；</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5、材料价格按2025年12月徐州市造价信息发布的指导价，无指导价的材料价格按市场价计算。</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三、实施政府采购异常低价审查的有关要求：</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1.评审过程中出现下列情形之一的，评审委员会应当启动异常低价投标（响应）审查程序：</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1.1投标（响应）报价低于采购项目预算50%的，即投标(响应)报价&lt;采购项目预算×50%；</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1.3评审委员会认定的供应商报价过低、有可能影响产品质量或者不能诚信履约的其他情形。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2.启动异常低价投标（响应）审查后，评审委员会应当通过“苏采云”系统</w:t>
      </w:r>
      <w:r>
        <w:rPr>
          <w:rFonts w:hint="eastAsia" w:ascii="宋体" w:hAnsi="宋体" w:eastAsia="宋体" w:cs="宋体"/>
          <w:color w:val="000000"/>
          <w:sz w:val="24"/>
          <w:szCs w:val="24"/>
        </w:rPr>
        <w:t xml:space="preserve">要求相关供应商在规定的合理回复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说明应当采用通过“苏采云”系统（使用“CA数字证书”,加盖电子签章）形式。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、其他要求：</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1、不低于2年免费质保；</w:t>
      </w:r>
      <w:r/>
    </w:p>
    <w:p>
      <w:pPr>
        <w:ind w:left="0"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2、接到故障通知后1小时响应、12小时到达现场服务以及故障应急处理方案。</w:t>
      </w:r>
      <w:r/>
    </w:p>
    <w:p>
      <w:pPr>
        <w:numPr>
          <w:ilvl w:val="0"/>
          <w:numId w:val="0"/>
        </w:numPr>
        <w:ind w:right="0" w:firstLine="480"/>
        <w:jc w:val="both"/>
        <w:keepLines w:val="0"/>
        <w:keepNext w:val="0"/>
        <w:pageBreakBefore w:val="0"/>
        <w:spacing w:line="44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3、详</w:t>
      </w:r>
      <w:r>
        <w:rPr>
          <w:rFonts w:hint="eastAsia" w:ascii="宋体" w:hAnsi="宋体" w:eastAsia="宋体" w:cs="宋体"/>
          <w:color w:val="000000"/>
          <w:sz w:val="24"/>
          <w:szCs w:val="24"/>
        </w:rPr>
        <w:t xml:space="preserve">见《磋商文件》附件：《拟签订的合同文本》、《工程量清单》</w:t>
      </w:r>
      <w:r>
        <w:rPr>
          <w:rFonts w:hint="eastAsia" w:ascii="宋体" w:hAnsi="宋体" w:eastAsia="宋体" w:cs="宋体"/>
          <w:color w:val="000000"/>
          <w:sz w:val="24"/>
          <w:szCs w:val="24"/>
          <w:lang w:val="en-US" w:eastAsia="zh-CN"/>
        </w:rPr>
        <w:t xml:space="preserve">及图纸要求</w:t>
      </w:r>
      <w:r>
        <w:rPr>
          <w:rFonts w:hint="eastAsia" w:ascii="宋体" w:hAnsi="宋体" w:eastAsia="宋体" w:cs="宋体"/>
          <w:color w:val="000000"/>
          <w:sz w:val="24"/>
          <w:szCs w:val="24"/>
        </w:rPr>
        <w:t xml:space="preserve">。</w:t>
      </w:r>
      <w:r/>
    </w:p>
    <w:p>
      <w:pPr>
        <w:pStyle w:val="811"/>
        <w:ind w:firstLine="420"/>
        <w:jc w:val="both"/>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五</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图纸获取方式</w:t>
      </w:r>
      <w:r/>
    </w:p>
    <w:p>
      <w:pPr>
        <w:ind w:left="0" w:right="0" w:firstLine="480"/>
        <w:jc w:val="both"/>
        <w:keepLines w:val="0"/>
        <w:keepNext w:val="0"/>
        <w:pageBreakBefore w:val="0"/>
        <w:spacing w:line="440" w:lineRule="exact"/>
        <w:widowControl/>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因系统原因，电子版图纸无法上传到“徐州政府采购网”。电子版图纸领取方法：发送供应商的营业执照复印件及联系人、联系方式和项目名称至邮箱：</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"mailto:3108822198@qq.com。"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lang w:val="en-US" w:eastAsia="zh-CN"/>
        </w:rPr>
        <w:t xml:space="preserve">627536017@qq.com</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王飞</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18796422718</w:t>
      </w:r>
      <w:r>
        <w:rPr>
          <w:rFonts w:hint="eastAsia" w:ascii="宋体" w:hAnsi="宋体" w:eastAsia="宋体" w:cs="宋体"/>
          <w:color w:val="000000"/>
          <w:sz w:val="24"/>
          <w:szCs w:val="24"/>
        </w:rPr>
        <w:t xml:space="preserve">。</w:t>
      </w:r>
      <w:r/>
    </w:p>
    <w:p>
      <w:pPr>
        <w:pStyle w:val="809"/>
        <w:jc w:val="center"/>
        <w:pageBreakBefore/>
        <w:spacing w:line="0" w:lineRule="atLeas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3、磋商</w:t>
      </w:r>
      <w:r>
        <w:rPr>
          <w:rFonts w:hint="eastAsia" w:ascii="宋体" w:hAnsi="宋体" w:eastAsia="宋体" w:cs="宋体"/>
          <w:b/>
          <w:bCs/>
          <w:color w:val="auto"/>
          <w:sz w:val="28"/>
          <w:szCs w:val="28"/>
          <w:highlight w:val="none"/>
        </w:rPr>
        <w:t xml:space="preserve">报价表</w:t>
      </w:r>
      <w:r/>
    </w:p>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pStyle w:val="8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5"/>
        <w:gridCol w:w="2143"/>
        <w:gridCol w:w="2612"/>
      </w:tblGrid>
      <w:tr>
        <w:trPr>
          <w:trHeight w:val="8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2"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8"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rHeight w:val="12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2" w:type="dxa"/>
            <w:vAlign w:val="center"/>
            <w:textDirection w:val="lrTb"/>
            <w:noWrap/>
          </w:tcPr>
          <w:p>
            <w:pPr>
              <w:jc w:val="center"/>
              <w:spacing w:before="22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徐州市邳州检察院卫生间及防水改造项目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8"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11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12"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4" w:type="dxa"/>
            <w:vAlign w:val="center"/>
            <w:textDirection w:val="lrTb"/>
            <w:noWrap/>
          </w:tcPr>
          <w:p>
            <w:pPr>
              <w:jc w:val="center"/>
              <w:spacing w:before="2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53"/>
        <w:ind w:right="191" w:firstLine="470"/>
        <w:spacing w:line="520" w:lineRule="exact"/>
        <w:tabs>
          <w:tab w:val="left" w:pos="739" w:leader="none"/>
        </w:tabs>
        <w:rPr>
          <w:rFonts w:hint="eastAsia" w:ascii="宋体" w:hAnsi="宋体" w:eastAsia="宋体" w:cs="宋体"/>
          <w:color w:val="auto"/>
          <w:sz w:val="24"/>
          <w:highlight w:val="none"/>
          <w:lang w:val="en-US" w:bidi="ar-SA"/>
        </w:rPr>
      </w:pPr>
      <w:r>
        <w:rPr>
          <w:rFonts w:hint="eastAsia" w:ascii="宋体" w:hAnsi="宋体" w:eastAsia="宋体" w:cs="宋体"/>
          <w:color w:val="auto"/>
          <w:sz w:val="24"/>
          <w:highlight w:val="none"/>
          <w:lang w:val="en-US" w:bidi="ar-SA"/>
        </w:rPr>
      </w:r>
      <w:r/>
    </w:p>
    <w:p>
      <w:pPr>
        <w:pStyle w:val="811"/>
        <w:jc w:val="left"/>
        <w:spacing w:line="288" w:lineRule="auto"/>
        <w:rPr>
          <w:rStyle w:val="1032"/>
          <w:rFonts w:hint="eastAsia" w:ascii="宋体" w:hAnsi="宋体" w:eastAsia="宋体" w:cs="宋体"/>
          <w:color w:val="auto"/>
          <w:sz w:val="24"/>
          <w:highlight w:val="none"/>
        </w:rPr>
      </w:pPr>
      <w:r>
        <w:rPr>
          <w:rStyle w:val="1032"/>
          <w:rFonts w:hint="eastAsia" w:ascii="宋体" w:hAnsi="宋体" w:eastAsia="宋体" w:cs="宋体"/>
          <w:color w:val="auto"/>
          <w:sz w:val="24"/>
          <w:highlight w:val="none"/>
        </w:rPr>
        <w:t xml:space="preserve">报价说明：</w:t>
      </w:r>
      <w:r/>
    </w:p>
    <w:p>
      <w:pPr>
        <w:pStyle w:val="811"/>
        <w:ind w:firstLine="480"/>
        <w:jc w:val="left"/>
        <w:spacing w:line="288" w:lineRule="auto"/>
        <w:rPr>
          <w:rStyle w:val="1032"/>
          <w:rFonts w:hint="eastAsia" w:ascii="宋体" w:hAnsi="宋体" w:eastAsia="宋体" w:cs="宋体"/>
          <w:color w:val="auto"/>
          <w:sz w:val="24"/>
          <w:highlight w:val="none"/>
        </w:rPr>
      </w:pPr>
      <w:r>
        <w:rPr>
          <w:rStyle w:val="1032"/>
          <w:rFonts w:hint="eastAsia" w:ascii="宋体" w:hAnsi="宋体" w:eastAsia="宋体" w:cs="宋体"/>
          <w:color w:val="auto"/>
          <w:sz w:val="24"/>
          <w:highlight w:val="none"/>
        </w:rPr>
        <w:t xml:space="preserve">1、报价包括完成项目的所有费用。采购人不再支付报价以外的任何费用。</w:t>
      </w:r>
      <w:r/>
    </w:p>
    <w:p>
      <w:pPr>
        <w:pStyle w:val="811"/>
        <w:ind w:firstLine="480"/>
        <w:jc w:val="left"/>
        <w:spacing w:line="288" w:lineRule="auto"/>
        <w:rPr>
          <w:rStyle w:val="1032"/>
          <w:rFonts w:hint="eastAsia" w:ascii="宋体" w:hAnsi="宋体" w:eastAsia="宋体" w:cs="宋体"/>
          <w:color w:val="auto"/>
          <w:sz w:val="24"/>
          <w:highlight w:val="none"/>
        </w:rPr>
      </w:pPr>
      <w:r>
        <w:rPr>
          <w:rStyle w:val="1032"/>
          <w:rFonts w:hint="eastAsia" w:ascii="宋体" w:hAnsi="宋体" w:eastAsia="宋体" w:cs="宋体"/>
          <w:color w:val="auto"/>
          <w:sz w:val="24"/>
          <w:highlight w:val="none"/>
        </w:rPr>
        <w:t xml:space="preserve">2、报价以总价为准，大小写不一致以大写为准；</w:t>
      </w:r>
      <w:r/>
    </w:p>
    <w:p>
      <w:pPr>
        <w:pStyle w:val="811"/>
        <w:ind w:firstLine="480"/>
        <w:jc w:val="left"/>
        <w:spacing w:line="288" w:lineRule="auto"/>
        <w:rPr>
          <w:rStyle w:val="1032"/>
          <w:rFonts w:hint="eastAsia" w:ascii="宋体" w:hAnsi="宋体" w:eastAsia="宋体" w:cs="宋体"/>
          <w:color w:val="auto"/>
          <w:sz w:val="24"/>
          <w:highlight w:val="none"/>
        </w:rPr>
      </w:pPr>
      <w:r>
        <w:rPr>
          <w:rStyle w:val="1032"/>
          <w:rFonts w:hint="eastAsia" w:ascii="宋体" w:hAnsi="宋体" w:eastAsia="宋体" w:cs="宋体"/>
          <w:color w:val="auto"/>
          <w:sz w:val="24"/>
          <w:highlight w:val="none"/>
        </w:rPr>
        <w:t xml:space="preserve">3、偏离说明：详见《偏离表》；</w:t>
      </w:r>
      <w:r/>
    </w:p>
    <w:p>
      <w:pPr>
        <w:pStyle w:val="8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20"/>
        <w:jc w:val="both"/>
        <w:spacing w:line="113"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rPr>
        <w:t xml:space="preserve">电子签章</w:t>
      </w:r>
      <w:r>
        <w:rPr>
          <w:rFonts w:hint="eastAsia" w:ascii="宋体" w:hAnsi="宋体" w:eastAsia="宋体" w:cs="宋体"/>
          <w:color w:val="auto"/>
          <w:sz w:val="24"/>
          <w:szCs w:val="24"/>
          <w:highlight w:val="none"/>
        </w:rPr>
        <w:t xml:space="preserve">）：</w:t>
      </w:r>
      <w:r/>
    </w:p>
    <w:p>
      <w:pPr>
        <w:pStyle w:val="809"/>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09"/>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09"/>
        <w:ind w:right="29"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pStyle w:val="81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9"/>
        <w:spacing w:line="360" w:lineRule="auto"/>
        <w:rPr>
          <w:rFonts w:hint="eastAsia" w:ascii="宋体" w:hAnsi="宋体" w:eastAsia="宋体" w:cs="宋体"/>
          <w:color w:val="000000"/>
          <w:sz w:val="28"/>
          <w:szCs w:val="28"/>
        </w:rPr>
        <w:sectPr>
          <w:footnotePr/>
          <w:endnotePr/>
          <w:type w:val="nextPage"/>
          <w:pgSz w:w="11906" w:h="16838" w:orient="portrait"/>
          <w:pgMar w:top="1134" w:right="1701" w:bottom="1134" w:left="1701" w:header="851" w:footer="992" w:gutter="0"/>
          <w:cols w:num="1" w:sep="0" w:space="1701" w:equalWidth="1"/>
          <w:docGrid w:linePitch="360"/>
          <w:titlePg/>
        </w:sectPr>
      </w:pPr>
      <w:r>
        <w:rPr>
          <w:rFonts w:hint="eastAsia" w:ascii="宋体" w:hAnsi="宋体" w:eastAsia="宋体" w:cs="宋体"/>
          <w:b/>
          <w:color w:val="auto"/>
          <w:sz w:val="24"/>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809"/>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4、分项价格表</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09"/>
        <w:ind w:left="4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徐州市邳州检察院卫生间及防水改造项目</w:t>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4"/>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根据本项目采购需求自拟格式</w:t>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09"/>
        <w:numPr>
          <w:ilvl w:val="0"/>
          <w:numId w:val="4"/>
        </w:numPr>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中小微企业的划分具体以《政府采购促进中小企业发展管理办法》财库〔2020〕 46 号和《工业和信息化部、国家统计局、国家发展和改革委员会、财政部关于 印发中小企业划型标准规定的通知》（工信部联企业[2011]300 号）的规定为准。 </w:t>
      </w:r>
      <w:r/>
    </w:p>
    <w:p>
      <w:pPr>
        <w:pStyle w:val="809"/>
        <w:numPr>
          <w:ilvl w:val="0"/>
          <w:numId w:val="4"/>
        </w:numPr>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享受政府采购支持政策的残疾人福利性单位应满足的条件以《关于促进残疾人 就业政府采购政策的通知》（财库〔2017〕141 号）的规定为准。 </w:t>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3．供应商为“小型”或“微型”或“监狱企业”、“残疾人福利性单位”的， 须算出“小型和微型和监狱企业和残疾人福利性单位” 总价合计”。</w:t>
      </w:r>
      <w:r/>
    </w:p>
    <w:p>
      <w:pPr>
        <w:pStyle w:val="80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注：1．如果不提供《分项价格表》将视为没有实质性响应。 </w:t>
      </w:r>
      <w:r/>
    </w:p>
    <w:p>
      <w:pPr>
        <w:pStyle w:val="809"/>
        <w:ind w:firstLine="84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响应供应商对以上数据的真实性负责</w:t>
      </w:r>
      <w:r/>
    </w:p>
    <w:p>
      <w:pPr>
        <w:pStyle w:val="809"/>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徐州瀛海工程管理咨询有限公司</w:t>
      </w:r>
      <w:r>
        <w:rPr>
          <w:rFonts w:hint="eastAsia" w:ascii="宋体" w:hAnsi="宋体" w:eastAsia="宋体" w:cs="宋体"/>
          <w:b/>
          <w:bCs/>
          <w:color w:val="auto"/>
          <w:sz w:val="24"/>
          <w:highlight w:val="none"/>
        </w:rPr>
        <w:t xml:space="preserve">有权将以上内容进行公示。</w:t>
      </w:r>
      <w:r/>
    </w:p>
    <w:p>
      <w:pPr>
        <w:pStyle w:val="809"/>
        <w:ind w:left="479"/>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9"/>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5、偏离表</w:t>
      </w:r>
      <w:r/>
    </w:p>
    <w:p>
      <w:pPr>
        <w:pStyle w:val="809"/>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（首次报价）</w:t>
      </w:r>
      <w:r/>
    </w:p>
    <w:p>
      <w:pPr>
        <w:pStyle w:val="809"/>
        <w:ind w:left="47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09"/>
        <w:ind w:left="479"/>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徐州市邳州检察院卫生间及防水改造项目</w:t>
      </w:r>
      <w:r/>
    </w:p>
    <w:tbl>
      <w:tblPr>
        <w:tblStyle w:val="755"/>
        <w:tblW w:w="8695" w:type="dxa"/>
        <w:tblInd w:w="-3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739"/>
        <w:gridCol w:w="3671"/>
        <w:gridCol w:w="1510"/>
        <w:gridCol w:w="1228"/>
        <w:gridCol w:w="769"/>
      </w:tblGrid>
      <w:tr>
        <w:trPr>
          <w:trHeight w:val="41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09"/>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66"/>
        </w:trPr>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vAlign w:val="center"/>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pStyle w:val="809"/>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7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3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671"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0"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8"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pStyle w:val="80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0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09"/>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09"/>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09"/>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09"/>
        <w:jc w:val="center"/>
        <w:spacing w:line="3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809"/>
        <w:jc w:val="center"/>
        <w:spacing w:line="6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6、拟签订的合同文本</w:t>
      </w:r>
      <w:r/>
    </w:p>
    <w:p>
      <w:pPr>
        <w:pStyle w:val="809"/>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de-DE"/>
        </w:rPr>
        <w:t xml:space="preserve">（合同草案条款）</w:t>
      </w:r>
      <w:r/>
    </w:p>
    <w:p>
      <w:pPr>
        <w:pStyle w:val="10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25"/>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政</w:t>
      </w:r>
      <w:r/>
    </w:p>
    <w:p>
      <w:pPr>
        <w:pStyle w:val="809"/>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府</w:t>
      </w:r>
      <w:r/>
    </w:p>
    <w:p>
      <w:pPr>
        <w:pStyle w:val="809"/>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采</w:t>
      </w:r>
      <w:r/>
    </w:p>
    <w:p>
      <w:pPr>
        <w:pStyle w:val="809"/>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购</w:t>
      </w:r>
      <w:r/>
    </w:p>
    <w:p>
      <w:pPr>
        <w:pStyle w:val="809"/>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合</w:t>
      </w:r>
      <w:r/>
    </w:p>
    <w:p>
      <w:pPr>
        <w:pStyle w:val="809"/>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rPr>
        <w:t xml:space="preserve">同</w:t>
      </w:r>
      <w:r>
        <w:rPr>
          <w:rFonts w:hint="eastAsia" w:ascii="宋体" w:hAnsi="宋体" w:eastAsia="宋体" w:cs="宋体"/>
          <w:b/>
          <w:bCs/>
          <w:color w:val="auto"/>
          <w:sz w:val="40"/>
          <w:szCs w:val="40"/>
          <w:highlight w:val="none"/>
        </w:rPr>
        <w:tab/>
      </w:r>
      <w:r/>
    </w:p>
    <w:p>
      <w:pPr>
        <w:pStyle w:val="80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left="479" w:firstLine="7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 JSZC-320382-YHGL-C2026-0001</w:t>
      </w:r>
      <w:r/>
    </w:p>
    <w:p>
      <w:pPr>
        <w:pStyle w:val="809"/>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徐州市邳州检察院卫生间及防水改造项目</w:t>
      </w:r>
      <w:r/>
    </w:p>
    <w:p>
      <w:pPr>
        <w:pStyle w:val="809"/>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eastAsia="宋体" w:cs="宋体"/>
          <w:color w:val="auto"/>
          <w:sz w:val="28"/>
          <w:szCs w:val="28"/>
          <w:highlight w:val="none"/>
          <w:lang w:eastAsia="zh-CN"/>
        </w:rPr>
        <w:t xml:space="preserve">邳州市人民检察院 </w:t>
      </w:r>
      <w:r/>
    </w:p>
    <w:p>
      <w:pPr>
        <w:pStyle w:val="809"/>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p>
    <w:p>
      <w:pPr>
        <w:pStyle w:val="1014"/>
        <w:jc w:val="center"/>
        <w:spacing w:after="312"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4"/>
        <w:jc w:val="center"/>
        <w:spacing w:after="312"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    年  月  日</w:t>
      </w:r>
      <w:r/>
    </w:p>
    <w:p>
      <w:pPr>
        <w:pStyle w:val="809"/>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8"/>
          <w:szCs w:val="28"/>
          <w:highlight w:val="none"/>
        </w:rPr>
        <w:br w:type="page" w:clear="all"/>
      </w:r>
      <w:r/>
    </w:p>
    <w:p>
      <w:pPr>
        <w:pStyle w:val="1059"/>
        <w:jc w:val="center"/>
        <w:spacing w:line="360" w:lineRule="auto"/>
        <w:rPr>
          <w:rFonts w:hint="eastAsia" w:ascii="宋体" w:hAnsi="宋体" w:eastAsia="宋体" w:cs="宋体"/>
          <w:b w:val="0"/>
          <w:color w:val="auto"/>
        </w:rPr>
      </w:pPr>
      <w:r>
        <w:rPr>
          <w:rFonts w:hint="eastAsia" w:ascii="宋体" w:hAnsi="宋体" w:eastAsia="宋体" w:cs="宋体"/>
          <w:color w:val="auto"/>
        </w:rPr>
        <w:t xml:space="preserve">第一部分 合同协议书</w:t>
      </w:r>
      <w:r/>
    </w:p>
    <w:p>
      <w:pPr>
        <w:spacing w:line="440" w:lineRule="exact"/>
        <w:rPr>
          <w:rFonts w:hint="eastAsia" w:ascii="宋体" w:hAnsi="宋体" w:eastAsia="宋体" w:cs="宋体"/>
          <w:b/>
          <w:color w:val="auto"/>
          <w:sz w:val="24"/>
          <w:u w:val="single"/>
        </w:rPr>
      </w:pPr>
      <w:r>
        <w:rPr>
          <w:rFonts w:hint="eastAsia" w:ascii="宋体" w:hAnsi="宋体" w:eastAsia="宋体" w:cs="宋体"/>
          <w:b/>
          <w:color w:val="auto"/>
          <w:sz w:val="24"/>
        </w:rPr>
        <w:t xml:space="preserve">发包人（全称）：</w:t>
      </w:r>
      <w:r>
        <w:rPr>
          <w:rFonts w:hint="eastAsia" w:ascii="宋体" w:hAnsi="宋体" w:eastAsia="宋体" w:cs="宋体"/>
          <w:b/>
          <w:color w:val="auto"/>
          <w:sz w:val="24"/>
          <w:u w:val="single"/>
        </w:rPr>
        <w:t xml:space="preserve">                           </w:t>
      </w:r>
      <w:r/>
    </w:p>
    <w:p>
      <w:pPr>
        <w:spacing w:line="440" w:lineRule="exact"/>
        <w:rPr>
          <w:rFonts w:hint="eastAsia" w:ascii="宋体" w:hAnsi="宋体" w:eastAsia="宋体" w:cs="宋体"/>
          <w:b/>
          <w:color w:val="auto"/>
          <w:sz w:val="24"/>
          <w:u w:val="single"/>
        </w:rPr>
      </w:pPr>
      <w:r>
        <w:rPr>
          <w:rFonts w:hint="eastAsia" w:ascii="宋体" w:hAnsi="宋体" w:eastAsia="宋体" w:cs="宋体"/>
          <w:b/>
          <w:color w:val="auto"/>
          <w:sz w:val="24"/>
        </w:rPr>
        <w:t xml:space="preserve">承包人（全称）：</w:t>
      </w:r>
      <w:r>
        <w:rPr>
          <w:rFonts w:hint="eastAsia" w:ascii="宋体" w:hAnsi="宋体" w:eastAsia="宋体" w:cs="宋体"/>
          <w:b/>
          <w:color w:val="auto"/>
          <w:sz w:val="24"/>
          <w:u w:val="single"/>
        </w:rPr>
        <w:t xml:space="preserve">                           </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u w:val="single"/>
          <w:lang w:eastAsia="zh-CN"/>
        </w:rPr>
        <w:t xml:space="preserve">徐州市邳州检察院卫生间及防水改造项目</w:t>
      </w:r>
      <w:r>
        <w:rPr>
          <w:rFonts w:hint="eastAsia" w:ascii="宋体" w:hAnsi="宋体" w:eastAsia="宋体" w:cs="宋体"/>
          <w:color w:val="auto"/>
          <w:sz w:val="24"/>
        </w:rPr>
        <w:t xml:space="preserve">及有关事项协商一致，共同达成如下协议：</w:t>
      </w:r>
      <w:r/>
    </w:p>
    <w:p>
      <w:pPr>
        <w:numPr>
          <w:ilvl w:val="0"/>
          <w:numId w:val="5"/>
        </w:numPr>
        <w:ind w:left="120" w:firstLine="0"/>
        <w:spacing w:line="440" w:lineRule="exact"/>
        <w:rPr>
          <w:rFonts w:hint="eastAsia" w:ascii="宋体" w:hAnsi="宋体" w:eastAsia="宋体" w:cs="宋体"/>
          <w:b/>
          <w:color w:val="auto"/>
          <w:sz w:val="24"/>
        </w:rPr>
      </w:pPr>
      <w:r/>
      <w:bookmarkStart w:id="0" w:name="_Toc351203481"/>
      <w:r>
        <w:rPr>
          <w:rFonts w:hint="eastAsia" w:ascii="宋体" w:hAnsi="宋体" w:eastAsia="宋体" w:cs="宋体"/>
          <w:b/>
          <w:color w:val="auto"/>
          <w:sz w:val="24"/>
        </w:rPr>
        <w:t xml:space="preserve">工程概况</w:t>
      </w:r>
      <w:bookmarkEnd w:id="0"/>
      <w:r/>
      <w:r/>
    </w:p>
    <w:p>
      <w:pPr>
        <w:numPr>
          <w:ilvl w:val="0"/>
          <w:numId w:val="0"/>
        </w:numPr>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1.工程名称：</w:t>
      </w:r>
      <w:r>
        <w:rPr>
          <w:rFonts w:hint="eastAsia" w:ascii="宋体" w:hAnsi="宋体" w:eastAsia="宋体" w:cs="宋体"/>
          <w:color w:val="auto"/>
          <w:sz w:val="24"/>
          <w:szCs w:val="24"/>
          <w:highlight w:val="none"/>
          <w:u w:val="single"/>
          <w:lang w:eastAsia="zh-CN"/>
        </w:rPr>
        <w:t xml:space="preserve">徐州市邳州检察院卫生间及防水改造项目</w:t>
      </w:r>
      <w:r/>
    </w:p>
    <w:p>
      <w:pPr>
        <w:jc w:val="left"/>
        <w:spacing w:line="440" w:lineRule="exact"/>
        <w:rPr>
          <w:rFonts w:hint="eastAsia" w:ascii="宋体" w:hAnsi="宋体" w:eastAsia="宋体" w:cs="宋体"/>
          <w:color w:val="auto"/>
          <w:sz w:val="24"/>
          <w:szCs w:val="22"/>
          <w:u w:val="single"/>
        </w:rPr>
      </w:pPr>
      <w:r>
        <w:rPr>
          <w:rFonts w:hint="eastAsia" w:ascii="宋体" w:hAnsi="宋体" w:eastAsia="宋体" w:cs="宋体"/>
          <w:color w:val="auto"/>
          <w:sz w:val="24"/>
        </w:rPr>
        <w:t xml:space="preserve">2.工程地点：</w:t>
      </w:r>
      <w:r>
        <w:rPr>
          <w:rFonts w:hint="eastAsia" w:ascii="宋体" w:hAnsi="宋体" w:eastAsia="宋体" w:cs="宋体"/>
          <w:color w:val="auto"/>
          <w:sz w:val="24"/>
          <w:szCs w:val="24"/>
          <w:u w:val="single"/>
          <w:lang w:eastAsia="zh-CN" w:bidi="ar"/>
        </w:rPr>
        <w:t xml:space="preserve">徐州市邳州市运平路5号</w:t>
      </w:r>
      <w:r>
        <w:rPr>
          <w:rFonts w:hint="eastAsia" w:ascii="宋体" w:hAnsi="宋体" w:eastAsia="宋体" w:cs="宋体"/>
          <w:color w:val="auto"/>
          <w:sz w:val="24"/>
          <w:u w:val="single"/>
        </w:rPr>
        <w:t xml:space="preserve">           </w:t>
      </w:r>
      <w:r/>
    </w:p>
    <w:p>
      <w:pPr>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.资金来源：</w:t>
      </w:r>
      <w:r>
        <w:rPr>
          <w:rFonts w:hint="eastAsia" w:ascii="宋体" w:hAnsi="宋体" w:eastAsia="宋体" w:cs="宋体"/>
          <w:color w:val="auto"/>
          <w:sz w:val="24"/>
          <w:u w:val="single"/>
        </w:rPr>
        <w:t xml:space="preserve"> 财政资金，已落实 </w:t>
      </w:r>
      <w:r/>
    </w:p>
    <w:p>
      <w:pPr>
        <w:jc w:val="left"/>
        <w:spacing w:line="440" w:lineRule="exact"/>
        <w:rPr>
          <w:rFonts w:hint="eastAsia" w:ascii="宋体" w:hAnsi="宋体" w:eastAsia="宋体" w:cs="宋体"/>
          <w:bCs/>
          <w:color w:val="auto"/>
          <w:sz w:val="24"/>
          <w:u w:val="single"/>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.工程内容：</w:t>
      </w:r>
      <w:r>
        <w:rPr>
          <w:rFonts w:hint="eastAsia" w:ascii="宋体" w:hAnsi="宋体" w:eastAsia="宋体" w:cs="宋体"/>
          <w:color w:val="auto"/>
          <w:sz w:val="24"/>
          <w:szCs w:val="20"/>
          <w:u w:val="single"/>
          <w:lang w:val="en-US" w:eastAsia="zh-CN" w:bidi="ar-SA"/>
        </w:rPr>
        <w:t xml:space="preserve">邳州</w:t>
      </w:r>
      <w:r>
        <w:rPr>
          <w:rFonts w:hint="eastAsia" w:ascii="宋体" w:hAnsi="宋体" w:cs="宋体"/>
          <w:color w:val="auto"/>
          <w:sz w:val="24"/>
          <w:szCs w:val="20"/>
          <w:u w:val="single"/>
          <w:lang w:val="en-US" w:eastAsia="zh-CN" w:bidi="ar-SA"/>
        </w:rPr>
        <w:t xml:space="preserve">市人民</w:t>
      </w:r>
      <w:r>
        <w:rPr>
          <w:rFonts w:hint="eastAsia" w:ascii="宋体" w:hAnsi="宋体" w:eastAsia="宋体" w:cs="宋体"/>
          <w:color w:val="auto"/>
          <w:sz w:val="24"/>
          <w:szCs w:val="20"/>
          <w:u w:val="single"/>
          <w:lang w:val="en-US" w:eastAsia="zh-CN" w:bidi="ar-SA"/>
        </w:rPr>
        <w:t xml:space="preserve">检察院主办公楼卫生间、外墙及屋面防水改造、食堂防水改造</w:t>
      </w:r>
      <w:r>
        <w:rPr>
          <w:rFonts w:hint="eastAsia" w:ascii="宋体" w:hAnsi="宋体" w:cs="宋体"/>
          <w:color w:val="auto"/>
          <w:sz w:val="24"/>
          <w:szCs w:val="20"/>
          <w:u w:val="single"/>
          <w:lang w:val="en-US" w:eastAsia="zh-CN" w:bidi="ar-SA"/>
        </w:rPr>
        <w:t xml:space="preserve">等</w:t>
      </w:r>
      <w:r/>
    </w:p>
    <w:p>
      <w:pPr>
        <w:numPr>
          <w:ilvl w:val="0"/>
          <w:numId w:val="0"/>
        </w:numPr>
        <w:ind w:left="120"/>
        <w:spacing w:line="440" w:lineRule="exact"/>
        <w:rPr>
          <w:rFonts w:hint="eastAsia" w:ascii="宋体" w:hAnsi="宋体" w:eastAsia="宋体" w:cs="宋体"/>
          <w:b/>
          <w:color w:val="auto"/>
          <w:sz w:val="24"/>
        </w:rPr>
      </w:pPr>
      <w:r/>
      <w:bookmarkStart w:id="1" w:name="_Toc351203482"/>
      <w:r>
        <w:rPr>
          <w:rFonts w:hint="eastAsia" w:ascii="宋体" w:hAnsi="宋体" w:eastAsia="宋体" w:cs="宋体"/>
          <w:b/>
          <w:color w:val="auto"/>
          <w:sz w:val="24"/>
          <w:lang w:val="en-US" w:eastAsia="zh-CN"/>
        </w:rPr>
        <w:t xml:space="preserve">二、合同工期</w:t>
      </w:r>
      <w:bookmarkEnd w:id="1"/>
      <w:r/>
      <w:r/>
    </w:p>
    <w:p>
      <w:pPr>
        <w:ind w:firstLine="459"/>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计划开工日期：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firstLine="459"/>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计划竣工日期：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firstLine="459"/>
        <w:spacing w:line="440" w:lineRule="exact"/>
        <w:rPr>
          <w:rFonts w:hint="eastAsia" w:ascii="宋体" w:hAnsi="宋体" w:eastAsia="宋体" w:cs="宋体"/>
          <w:b/>
          <w:color w:val="auto"/>
          <w:sz w:val="24"/>
        </w:rPr>
      </w:pPr>
      <w:r>
        <w:rPr>
          <w:rFonts w:hint="eastAsia" w:ascii="宋体" w:hAnsi="宋体" w:eastAsia="宋体" w:cs="宋体"/>
          <w:color w:val="auto"/>
          <w:sz w:val="24"/>
        </w:rPr>
        <w:t xml:space="preserve">工期总日历天数：</w:t>
      </w:r>
      <w:r>
        <w:rPr>
          <w:rFonts w:hint="eastAsia" w:ascii="宋体" w:hAnsi="宋体" w:eastAsia="宋体" w:cs="宋体"/>
          <w:b/>
          <w:bCs/>
          <w:color w:val="auto"/>
          <w:sz w:val="24"/>
          <w:u w:val="single"/>
          <w:lang w:val="en-US" w:eastAsia="zh-CN"/>
        </w:rPr>
        <w:t xml:space="preserve">120</w:t>
      </w:r>
      <w:r>
        <w:rPr>
          <w:rFonts w:hint="eastAsia" w:ascii="宋体" w:hAnsi="宋体" w:eastAsia="宋体" w:cs="宋体"/>
          <w:b/>
          <w:bCs/>
          <w:color w:val="auto"/>
          <w:sz w:val="24"/>
          <w:u w:val="single"/>
        </w:rPr>
        <w:t xml:space="preserve"> 日历天</w:t>
      </w:r>
      <w:r>
        <w:rPr>
          <w:rFonts w:hint="eastAsia" w:ascii="宋体" w:hAnsi="宋体" w:eastAsia="宋体" w:cs="宋体"/>
          <w:color w:val="auto"/>
          <w:sz w:val="24"/>
        </w:rPr>
        <w:t xml:space="preserve">。工期总日历天数与根据前述计划开竣工日期计算的工期天数不一致的，以工期总日历天数为准</w:t>
      </w:r>
      <w:r>
        <w:rPr>
          <w:rFonts w:hint="eastAsia" w:ascii="宋体" w:hAnsi="宋体" w:eastAsia="宋体" w:cs="宋体"/>
          <w:b/>
          <w:color w:val="auto"/>
          <w:sz w:val="24"/>
        </w:rPr>
        <w:t xml:space="preserve">。</w:t>
      </w:r>
      <w:bookmarkStart w:id="2" w:name="_Toc351203483"/>
      <w:r/>
      <w:r/>
    </w:p>
    <w:p>
      <w:pPr>
        <w:ind w:firstLine="459"/>
        <w:spacing w:line="440" w:lineRule="exact"/>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三、质量标准</w:t>
      </w:r>
      <w:bookmarkEnd w:id="2"/>
      <w:r/>
      <w:r/>
    </w:p>
    <w:p>
      <w:pPr>
        <w:ind w:firstLine="459"/>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工程质量符合</w:t>
      </w:r>
      <w:r>
        <w:rPr>
          <w:rFonts w:hint="eastAsia" w:ascii="宋体" w:hAnsi="宋体" w:eastAsia="宋体" w:cs="宋体"/>
          <w:color w:val="auto"/>
          <w:sz w:val="24"/>
          <w:szCs w:val="20"/>
          <w:lang w:val="en-US" w:eastAsia="zh-CN" w:bidi="ar-SA"/>
        </w:rPr>
        <w:t xml:space="preserve">合格，同时须符合现行最新的国家有关标准、规范及其他适用于本工程的技术标准、规范</w:t>
      </w:r>
      <w:r>
        <w:rPr>
          <w:rFonts w:hint="eastAsia" w:ascii="宋体" w:hAnsi="宋体" w:eastAsia="宋体" w:cs="宋体"/>
          <w:color w:val="auto"/>
          <w:sz w:val="24"/>
        </w:rPr>
        <w:t xml:space="preserve">。</w:t>
      </w:r>
      <w:r/>
    </w:p>
    <w:p>
      <w:pPr>
        <w:ind w:firstLine="459"/>
        <w:jc w:val="left"/>
        <w:spacing w:line="440" w:lineRule="exact"/>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3" w:name="_Toc351203484"/>
      <w:r>
        <w:rPr>
          <w:rFonts w:hint="eastAsia" w:ascii="宋体" w:hAnsi="宋体" w:eastAsia="宋体" w:cs="宋体"/>
          <w:b/>
          <w:bCs w:val="0"/>
          <w:color w:val="auto"/>
          <w:sz w:val="24"/>
          <w:szCs w:val="20"/>
          <w:lang w:val="en-US" w:eastAsia="zh-CN" w:bidi="ar-SA"/>
        </w:rPr>
        <w:t xml:space="preserve">四、签约合同价与合同价格形式</w:t>
      </w:r>
      <w:bookmarkEnd w:id="3"/>
      <w:r>
        <w:rPr>
          <w:rFonts w:hint="eastAsia" w:ascii="宋体" w:hAnsi="宋体" w:eastAsia="宋体" w:cs="宋体"/>
          <w:b/>
          <w:bCs w:val="0"/>
          <w:color w:val="auto"/>
          <w:sz w:val="24"/>
          <w:szCs w:val="20"/>
          <w:lang w:val="en-US" w:eastAsia="zh-CN" w:bidi="ar-SA"/>
        </w:rPr>
        <w:tab/>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1.签约合同价为：</w:t>
      </w:r>
      <w:r/>
    </w:p>
    <w:p>
      <w:pPr>
        <w:ind w:firstLine="60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其中：（1）安全文明施工费：</w:t>
      </w:r>
      <w:r/>
    </w:p>
    <w:p>
      <w:pPr>
        <w:ind w:firstLine="10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（2）暂列金额：</w:t>
      </w:r>
      <w:r/>
    </w:p>
    <w:p>
      <w:pPr>
        <w:ind w:firstLine="10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人民币（大写）</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元)。</w:t>
      </w:r>
      <w:r/>
    </w:p>
    <w:p>
      <w:pPr>
        <w:numPr>
          <w:ilvl w:val="0"/>
          <w:numId w:val="4"/>
        </w:numPr>
        <w:ind w:left="479" w:firstLine="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合同价格形式：</w:t>
      </w:r>
      <w:r>
        <w:rPr>
          <w:rFonts w:hint="eastAsia" w:ascii="宋体" w:hAnsi="宋体" w:eastAsia="宋体" w:cs="宋体"/>
          <w:color w:val="auto"/>
          <w:sz w:val="24"/>
          <w:u w:val="single"/>
        </w:rPr>
        <w:t xml:space="preserve">  固定单价合同 </w:t>
      </w:r>
      <w:r>
        <w:rPr>
          <w:rFonts w:hint="eastAsia" w:ascii="宋体" w:hAnsi="宋体" w:eastAsia="宋体" w:cs="宋体"/>
          <w:color w:val="auto"/>
          <w:sz w:val="24"/>
        </w:rPr>
        <w:t xml:space="preserve">。</w:t>
      </w:r>
      <w:bookmarkStart w:id="4" w:name="_Toc351203485"/>
      <w:r/>
      <w:r/>
    </w:p>
    <w:p>
      <w:pPr>
        <w:numPr>
          <w:ilvl w:val="0"/>
          <w:numId w:val="0"/>
        </w:numPr>
        <w:ind w:left="479" w:firstLine="241"/>
        <w:jc w:val="left"/>
        <w:spacing w:line="440" w:lineRule="exact"/>
        <w:rPr>
          <w:rFonts w:hint="eastAsia" w:ascii="宋体" w:hAnsi="宋体" w:eastAsia="宋体" w:cs="宋体"/>
          <w:b w:val="0"/>
          <w:color w:val="auto"/>
          <w:sz w:val="24"/>
          <w:szCs w:val="24"/>
        </w:rPr>
      </w:pPr>
      <w:r>
        <w:rPr>
          <w:rFonts w:hint="eastAsia" w:ascii="宋体" w:hAnsi="宋体" w:eastAsia="宋体" w:cs="宋体"/>
          <w:b/>
          <w:bCs w:val="0"/>
          <w:color w:val="auto"/>
          <w:sz w:val="24"/>
          <w:szCs w:val="20"/>
          <w:lang w:val="en-US" w:eastAsia="zh-CN" w:bidi="ar-SA"/>
        </w:rPr>
        <w:t xml:space="preserve">五、</w:t>
      </w:r>
      <w:bookmarkEnd w:id="4"/>
      <w:r>
        <w:rPr>
          <w:rFonts w:hint="eastAsia" w:ascii="宋体" w:hAnsi="宋体" w:eastAsia="宋体" w:cs="宋体"/>
          <w:b/>
          <w:bCs w:val="0"/>
          <w:color w:val="auto"/>
          <w:sz w:val="24"/>
          <w:szCs w:val="20"/>
          <w:lang w:val="en-US" w:eastAsia="zh-CN" w:bidi="ar-SA"/>
        </w:rPr>
        <w:t xml:space="preserve">项目经理</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承包人项目经理：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829"/>
        <w:spacing w:before="120" w:after="120" w:line="240" w:lineRule="auto"/>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5" w:name="_Toc351203486"/>
      <w:r>
        <w:rPr>
          <w:rFonts w:hint="eastAsia" w:ascii="宋体" w:hAnsi="宋体" w:eastAsia="宋体" w:cs="宋体"/>
          <w:b/>
          <w:bCs w:val="0"/>
          <w:color w:val="auto"/>
          <w:sz w:val="24"/>
          <w:szCs w:val="20"/>
          <w:lang w:val="en-US" w:eastAsia="zh-CN" w:bidi="ar-SA"/>
        </w:rPr>
        <w:t xml:space="preserve">六、合同文件构成</w:t>
      </w:r>
      <w:bookmarkEnd w:id="5"/>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本协议书与下列文件一起构成合同文件：</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（1）合同协议书</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（2）中标（成交）通知书；</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（3）专用合同条款及其附件；</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（4）磋商文件(包括补充、修改、澄清的文件、答疑纪要)(如果有)；</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（5）供应商响应文件及其附件；</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（6）通用合同条款；</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（7）图纸；</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（8）已标价工程量清单或预算书；</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（9）双方约定的其他合同文件。</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在合同订立及履行过程中形成的与合同有关的文件均构成合同文件组成部分。</w:t>
      </w:r>
      <w:r/>
    </w:p>
    <w:p>
      <w:pPr>
        <w:ind w:firstLine="480"/>
        <w:jc w:val="left"/>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829"/>
        <w:spacing w:before="120" w:after="120" w:line="240" w:lineRule="auto"/>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6" w:name="_Toc351203487"/>
      <w:r>
        <w:rPr>
          <w:rFonts w:hint="eastAsia" w:ascii="宋体" w:hAnsi="宋体" w:eastAsia="宋体" w:cs="宋体"/>
          <w:b/>
          <w:bCs w:val="0"/>
          <w:color w:val="auto"/>
          <w:sz w:val="24"/>
          <w:szCs w:val="20"/>
          <w:lang w:val="en-US" w:eastAsia="zh-CN" w:bidi="ar-SA"/>
        </w:rPr>
        <w:t xml:space="preserve">七、承诺</w:t>
      </w:r>
      <w:bookmarkEnd w:id="6"/>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3.发包人和承包人通过招响应形式签订合同的，双方理解并承诺不再就同一工程另行签订与合同实质性内容相背离的协议。</w:t>
      </w:r>
      <w:r/>
    </w:p>
    <w:p>
      <w:pPr>
        <w:spacing w:line="440" w:lineRule="exact"/>
        <w:rPr>
          <w:rFonts w:hint="eastAsia" w:ascii="宋体" w:hAnsi="宋体" w:eastAsia="宋体" w:cs="宋体"/>
          <w:bCs/>
          <w:color w:val="auto"/>
          <w:sz w:val="24"/>
        </w:rPr>
      </w:pPr>
      <w:r/>
      <w:bookmarkStart w:id="7" w:name="_Toc351203488"/>
      <w:r>
        <w:rPr>
          <w:rFonts w:hint="eastAsia" w:ascii="宋体" w:hAnsi="宋体" w:eastAsia="宋体" w:cs="宋体"/>
          <w:b/>
          <w:color w:val="auto"/>
          <w:sz w:val="24"/>
        </w:rPr>
        <w:t xml:space="preserve">    八、词语含义</w:t>
      </w:r>
      <w:bookmarkEnd w:id="7"/>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本协议书中词语含义与第二部分通用合同条款中赋予的含义相同。</w:t>
      </w:r>
      <w:r/>
    </w:p>
    <w:p>
      <w:pPr>
        <w:pStyle w:val="829"/>
        <w:spacing w:before="120" w:after="120" w:line="440" w:lineRule="exact"/>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8" w:name="_Toc351203489"/>
      <w:r>
        <w:rPr>
          <w:rFonts w:hint="eastAsia" w:ascii="宋体" w:hAnsi="宋体" w:eastAsia="宋体" w:cs="宋体"/>
          <w:b/>
          <w:bCs w:val="0"/>
          <w:color w:val="auto"/>
          <w:sz w:val="24"/>
          <w:szCs w:val="20"/>
          <w:lang w:val="en-US" w:eastAsia="zh-CN" w:bidi="ar-SA"/>
        </w:rPr>
        <w:t xml:space="preserve">九、签订时间</w:t>
      </w:r>
      <w:bookmarkEnd w:id="8"/>
      <w:r/>
      <w:r/>
    </w:p>
    <w:p>
      <w:pPr>
        <w:ind w:firstLine="482"/>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本合同于</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年</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月</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日签订。</w:t>
      </w:r>
      <w:r/>
    </w:p>
    <w:p>
      <w:pPr>
        <w:pStyle w:val="829"/>
        <w:spacing w:before="120" w:after="120" w:line="44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0"/>
          <w:lang w:val="en-US" w:eastAsia="zh-CN" w:bidi="ar-SA"/>
        </w:rPr>
        <w:t xml:space="preserve">   </w:t>
      </w:r>
      <w:bookmarkStart w:id="9" w:name="_Toc351203490"/>
      <w:r>
        <w:rPr>
          <w:rFonts w:hint="eastAsia" w:ascii="宋体" w:hAnsi="宋体" w:eastAsia="宋体" w:cs="宋体"/>
          <w:b/>
          <w:bCs w:val="0"/>
          <w:color w:val="auto"/>
          <w:sz w:val="24"/>
          <w:szCs w:val="20"/>
          <w:lang w:val="en-US" w:eastAsia="zh-CN" w:bidi="ar-SA"/>
        </w:rPr>
        <w:t xml:space="preserve">十、签订地点</w:t>
      </w:r>
      <w:bookmarkEnd w:id="9"/>
      <w:r/>
      <w:r/>
    </w:p>
    <w:p>
      <w:pPr>
        <w:ind w:firstLine="482"/>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本合同在</w:t>
      </w:r>
      <w:r>
        <w:rPr>
          <w:rFonts w:hint="eastAsia" w:ascii="宋体" w:hAnsi="宋体" w:eastAsia="宋体" w:cs="宋体"/>
          <w:b/>
          <w:color w:val="auto"/>
          <w:sz w:val="24"/>
          <w:u w:val="single"/>
        </w:rPr>
        <w:t xml:space="preserve">                         </w:t>
      </w:r>
      <w:r>
        <w:rPr>
          <w:rFonts w:hint="eastAsia" w:ascii="宋体" w:hAnsi="宋体" w:eastAsia="宋体" w:cs="宋体"/>
          <w:b/>
          <w:color w:val="auto"/>
          <w:sz w:val="24"/>
        </w:rPr>
        <w:t xml:space="preserve">签订。</w:t>
      </w:r>
      <w:r/>
    </w:p>
    <w:p>
      <w:pPr>
        <w:pStyle w:val="829"/>
        <w:spacing w:before="120" w:after="120" w:line="44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0"/>
          <w:lang w:val="en-US" w:eastAsia="zh-CN" w:bidi="ar-SA"/>
        </w:rPr>
        <w:t xml:space="preserve">  </w:t>
      </w:r>
      <w:bookmarkStart w:id="10" w:name="_Toc351203491"/>
      <w:r>
        <w:rPr>
          <w:rFonts w:hint="eastAsia" w:ascii="宋体" w:hAnsi="宋体" w:eastAsia="宋体" w:cs="宋体"/>
          <w:b/>
          <w:bCs w:val="0"/>
          <w:color w:val="auto"/>
          <w:sz w:val="24"/>
          <w:szCs w:val="20"/>
          <w:lang w:val="en-US" w:eastAsia="zh-CN" w:bidi="ar-SA"/>
        </w:rPr>
        <w:t xml:space="preserve">十一、补充协议</w:t>
      </w:r>
      <w:bookmarkEnd w:id="10"/>
      <w:r/>
      <w:r/>
    </w:p>
    <w:p>
      <w:pPr>
        <w:ind w:firstLine="480"/>
        <w:spacing w:line="440" w:lineRule="exact"/>
        <w:rPr>
          <w:rFonts w:hint="eastAsia" w:ascii="宋体" w:hAnsi="宋体" w:eastAsia="宋体" w:cs="宋体"/>
          <w:b/>
          <w:bCs/>
          <w:color w:val="auto"/>
          <w:sz w:val="24"/>
        </w:rPr>
      </w:pPr>
      <w:r>
        <w:rPr>
          <w:rFonts w:hint="eastAsia" w:ascii="宋体" w:hAnsi="宋体" w:eastAsia="宋体" w:cs="宋体"/>
          <w:bCs/>
          <w:color w:val="auto"/>
          <w:sz w:val="24"/>
        </w:rPr>
        <w:t xml:space="preserve">合同未尽事宜，合同当事人另行签订补充协议，补充协议是合同的组成部分。</w:t>
      </w:r>
      <w:r/>
    </w:p>
    <w:p>
      <w:pPr>
        <w:pStyle w:val="829"/>
        <w:spacing w:before="120" w:after="120" w:line="44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bCs w:val="0"/>
          <w:color w:val="auto"/>
          <w:sz w:val="24"/>
          <w:szCs w:val="20"/>
          <w:lang w:val="en-US" w:eastAsia="zh-CN" w:bidi="ar-SA"/>
        </w:rPr>
        <w:t xml:space="preserve"> </w:t>
      </w:r>
      <w:bookmarkStart w:id="11" w:name="_Toc351203492"/>
      <w:r>
        <w:rPr>
          <w:rFonts w:hint="eastAsia" w:ascii="宋体" w:hAnsi="宋体" w:eastAsia="宋体" w:cs="宋体"/>
          <w:b/>
          <w:bCs w:val="0"/>
          <w:color w:val="auto"/>
          <w:sz w:val="24"/>
          <w:szCs w:val="20"/>
          <w:lang w:val="en-US" w:eastAsia="zh-CN" w:bidi="ar-SA"/>
        </w:rPr>
        <w:t xml:space="preserve">十二、合同生效</w:t>
      </w:r>
      <w:bookmarkEnd w:id="11"/>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本合同自</w:t>
      </w:r>
      <w:r>
        <w:rPr>
          <w:rFonts w:hint="eastAsia" w:ascii="宋体" w:hAnsi="宋体" w:eastAsia="宋体" w:cs="宋体"/>
          <w:bCs/>
          <w:color w:val="auto"/>
          <w:sz w:val="24"/>
          <w:u w:val="single"/>
        </w:rPr>
        <w:t xml:space="preserve">     </w:t>
      </w:r>
      <w:r>
        <w:rPr>
          <w:rFonts w:hint="eastAsia" w:ascii="宋体" w:hAnsi="宋体" w:eastAsia="宋体" w:cs="宋体"/>
          <w:b/>
          <w:bCs/>
          <w:color w:val="auto"/>
          <w:sz w:val="24"/>
          <w:u w:val="single"/>
        </w:rPr>
        <w:t xml:space="preserve">双方签字并盖章后     </w:t>
      </w:r>
      <w:r>
        <w:rPr>
          <w:rFonts w:hint="eastAsia" w:ascii="宋体" w:hAnsi="宋体" w:eastAsia="宋体" w:cs="宋体"/>
          <w:bCs/>
          <w:color w:val="auto"/>
          <w:sz w:val="24"/>
        </w:rPr>
        <w:t xml:space="preserve">生效。</w:t>
      </w:r>
      <w:r/>
    </w:p>
    <w:p>
      <w:pPr>
        <w:pStyle w:val="829"/>
        <w:spacing w:before="120" w:after="120" w:line="440" w:lineRule="exact"/>
        <w:rPr>
          <w:rFonts w:hint="eastAsia" w:ascii="宋体" w:hAnsi="宋体" w:eastAsia="宋体" w:cs="宋体"/>
          <w:b/>
          <w:bCs w:val="0"/>
          <w:color w:val="auto"/>
          <w:sz w:val="24"/>
          <w:szCs w:val="20"/>
          <w:lang w:val="en-US" w:eastAsia="zh-CN" w:bidi="ar-SA"/>
        </w:rPr>
      </w:pPr>
      <w:r>
        <w:rPr>
          <w:rFonts w:hint="eastAsia" w:ascii="宋体" w:hAnsi="宋体" w:eastAsia="宋体" w:cs="宋体"/>
          <w:b/>
          <w:bCs w:val="0"/>
          <w:color w:val="auto"/>
          <w:sz w:val="24"/>
          <w:szCs w:val="20"/>
          <w:lang w:val="en-US" w:eastAsia="zh-CN" w:bidi="ar-SA"/>
        </w:rPr>
        <w:t xml:space="preserve">   </w:t>
      </w:r>
      <w:bookmarkStart w:id="12" w:name="_Toc351203493"/>
      <w:r>
        <w:rPr>
          <w:rFonts w:hint="eastAsia" w:ascii="宋体" w:hAnsi="宋体" w:eastAsia="宋体" w:cs="宋体"/>
          <w:b/>
          <w:bCs w:val="0"/>
          <w:color w:val="auto"/>
          <w:sz w:val="24"/>
          <w:szCs w:val="20"/>
          <w:lang w:val="en-US" w:eastAsia="zh-CN" w:bidi="ar-SA"/>
        </w:rPr>
        <w:t xml:space="preserve">十三、合同份数</w:t>
      </w:r>
      <w:bookmarkEnd w:id="12"/>
      <w:r/>
      <w:r/>
    </w:p>
    <w:p>
      <w:pPr>
        <w:ind w:firstLine="48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本合同一式</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份，均具有同等法律效力，发包人执</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份，承包人执</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份。</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发包人：  (公章)                承包人：  (公章)</w:t>
      </w:r>
      <w:r/>
    </w:p>
    <w:p>
      <w:pPr>
        <w:spacing w:line="44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      法定代表人或其委托代理人：</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（签字）                       （签字）</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地        址：</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地       址：</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邮 政 编  码：</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邮 政 编 码：</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法 定 代</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表人：</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法</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定</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代</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表人：</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委 托 代理人：</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委</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托</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代理人：</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电        话：</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电       话：</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传        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传       真：</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电 子  信 箱：</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电 子 信 箱：</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开 户 银  行：</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开 户 银 行：</w:t>
      </w:r>
      <w:r>
        <w:rPr>
          <w:rFonts w:hint="eastAsia" w:ascii="宋体" w:hAnsi="宋体" w:eastAsia="宋体" w:cs="宋体"/>
          <w:color w:val="auto"/>
          <w:sz w:val="24"/>
          <w:u w:val="single"/>
        </w:rPr>
        <w:t xml:space="preserve">                         </w:t>
      </w:r>
      <w:r/>
    </w:p>
    <w:p>
      <w:pP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账        号：</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账       号：</w:t>
      </w:r>
      <w:r>
        <w:rPr>
          <w:rFonts w:hint="eastAsia" w:ascii="宋体" w:hAnsi="宋体" w:eastAsia="宋体" w:cs="宋体"/>
          <w:color w:val="auto"/>
          <w:sz w:val="24"/>
          <w:u w:val="single"/>
        </w:rPr>
        <w:t xml:space="preserve">                         </w:t>
      </w:r>
      <w:r/>
    </w:p>
    <w:p>
      <w:pPr>
        <w:pStyle w:val="1060"/>
        <w:jc w:val="center"/>
        <w:rPr>
          <w:rFonts w:hint="eastAsia" w:ascii="宋体" w:hAnsi="宋体" w:eastAsia="宋体" w:cs="宋体"/>
          <w:b/>
          <w:bCs/>
          <w:color w:val="000000"/>
          <w:highlight w:val="none"/>
        </w:rPr>
      </w:pPr>
      <w:r>
        <w:rPr>
          <w:rFonts w:hint="eastAsia" w:ascii="宋体" w:hAnsi="宋体" w:eastAsia="宋体" w:cs="宋体"/>
          <w:color w:val="auto"/>
          <w:sz w:val="24"/>
          <w:szCs w:val="24"/>
        </w:rPr>
        <w:br w:type="page" w:clear="all"/>
      </w:r>
      <w:bookmarkStart w:id="13" w:name="_Toc75"/>
      <w:r>
        <w:rPr>
          <w:rFonts w:hint="eastAsia" w:ascii="宋体" w:hAnsi="宋体" w:eastAsia="宋体" w:cs="宋体"/>
          <w:b/>
          <w:bCs/>
          <w:color w:val="000000"/>
          <w:highlight w:val="none"/>
        </w:rPr>
        <w:t xml:space="preserve">第二部分</w:t>
      </w: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highlight w:val="none"/>
        </w:rPr>
        <w:t xml:space="preserve">通用合同条款</w:t>
      </w:r>
      <w:bookmarkEnd w:id="13"/>
      <w:r/>
      <w:r/>
    </w:p>
    <w:p>
      <w:pPr>
        <w:ind w:left="0" w:right="0" w:firstLine="440"/>
        <w:keepLines w:val="0"/>
        <w:keepNext w:val="0"/>
        <w:pageBreakBefore w:val="0"/>
        <w:spacing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此部分在正式签订合同时应不加修改的、完整的装订在合同中</w:t>
      </w:r>
      <w:r/>
    </w:p>
    <w:p>
      <w:pPr>
        <w:ind w:left="0" w:right="0" w:firstLine="0"/>
        <w:jc w:val="center"/>
        <w:spacing w:before="0" w:after="0"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pStyle w:val="1060"/>
        <w:jc w:val="center"/>
        <w:rPr>
          <w:rFonts w:hint="eastAsia" w:ascii="宋体" w:hAnsi="宋体" w:eastAsia="宋体" w:cs="宋体"/>
          <w:b/>
          <w:bCs/>
          <w:color w:val="000000"/>
          <w:highlight w:val="none"/>
        </w:rPr>
      </w:pPr>
      <w:r/>
      <w:bookmarkStart w:id="14" w:name="_Toc15325"/>
      <w:r>
        <w:rPr>
          <w:rFonts w:hint="eastAsia" w:ascii="宋体" w:hAnsi="宋体" w:eastAsia="宋体" w:cs="宋体"/>
          <w:b/>
          <w:bCs/>
          <w:color w:val="000000"/>
          <w:highlight w:val="none"/>
        </w:rPr>
        <w:t xml:space="preserve">第三部分 专用合同条款</w:t>
      </w:r>
      <w:bookmarkEnd w:id="14"/>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其他合同文件包括：</w:t>
      </w:r>
      <w:r>
        <w:rPr>
          <w:rFonts w:hint="eastAsia" w:ascii="宋体" w:hAnsi="宋体" w:eastAsia="宋体" w:cs="宋体"/>
          <w:color w:val="000000"/>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作为施工现场组成部分的其他场所包括：</w:t>
      </w:r>
      <w:r>
        <w:rPr>
          <w:rFonts w:hint="eastAsia" w:ascii="宋体" w:hAnsi="宋体" w:eastAsia="宋体" w:cs="宋体"/>
          <w:color w:val="000000"/>
          <w:sz w:val="24"/>
          <w:szCs w:val="24"/>
          <w:highlight w:val="none"/>
          <w:u w:val="single"/>
        </w:rPr>
        <w:t xml:space="preserve">现场临时办公及施工场地</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永久占地包括：</w:t>
      </w:r>
      <w:r>
        <w:rPr>
          <w:rFonts w:hint="eastAsia" w:ascii="宋体" w:hAnsi="宋体" w:eastAsia="宋体" w:cs="宋体"/>
          <w:color w:val="000000"/>
          <w:sz w:val="24"/>
          <w:szCs w:val="24"/>
          <w:highlight w:val="none"/>
          <w:u w:val="single"/>
        </w:rPr>
        <w:t xml:space="preserve">规划用地范围内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临时占地包括：</w:t>
      </w:r>
      <w:r>
        <w:rPr>
          <w:rFonts w:hint="eastAsia" w:ascii="宋体" w:hAnsi="宋体" w:eastAsia="宋体" w:cs="宋体"/>
          <w:color w:val="000000"/>
          <w:sz w:val="24"/>
          <w:szCs w:val="24"/>
          <w:highlight w:val="none"/>
          <w:u w:val="single"/>
        </w:rPr>
        <w:t xml:space="preserve">双方在合同履行过程中确定</w:t>
      </w:r>
      <w:r>
        <w:rPr>
          <w:rFonts w:hint="eastAsia" w:ascii="宋体" w:hAnsi="宋体" w:eastAsia="宋体" w:cs="宋体"/>
          <w:color w:val="000000"/>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法律 </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适用于工程的标准规范包括：</w:t>
      </w:r>
      <w:r>
        <w:rPr>
          <w:rFonts w:hint="eastAsia" w:ascii="宋体" w:hAnsi="宋体" w:eastAsia="宋体" w:cs="宋体"/>
          <w:color w:val="000000"/>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适用于工程的标准规范包括：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符合有关行业主管部门及发包人的要求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.1合同文件组成及优先顺序为：</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合同专用条款及补充协议书；</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中标通知书；</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rPr>
        <w:t xml:space="preserve">文件；</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zh-CN"/>
        </w:rPr>
        <w:t xml:space="preserve">响应文件</w:t>
      </w:r>
      <w:r>
        <w:rPr>
          <w:rFonts w:hint="eastAsia" w:ascii="宋体" w:hAnsi="宋体" w:eastAsia="宋体" w:cs="宋体"/>
          <w:color w:val="000000"/>
          <w:sz w:val="24"/>
          <w:szCs w:val="24"/>
          <w:highlight w:val="none"/>
          <w:u w:val="single"/>
        </w:rPr>
        <w:t xml:space="preserve">及其附件；</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通用合同条款；</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技术标准和要求；</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预算书；</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已标价工程量清单；</w:t>
      </w:r>
      <w:r/>
    </w:p>
    <w:p>
      <w:pPr>
        <w:numPr>
          <w:ilvl w:val="0"/>
          <w:numId w:val="6"/>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双方有关工程的洽商、变更、会议纪要、双方来往函件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施工过程中的</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开工前5天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施工图纸</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需要由承包人提供的文件，包括：</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⑨发包人管理需要的其他文件。</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⑩上述文件如发包人因管理</w:t>
      </w:r>
      <w:r>
        <w:rPr>
          <w:rFonts w:hint="eastAsia" w:ascii="宋体" w:hAnsi="宋体" w:eastAsia="宋体" w:cs="宋体"/>
          <w:color w:val="000000"/>
          <w:sz w:val="24"/>
          <w:szCs w:val="24"/>
          <w:highlight w:val="none"/>
          <w:u w:val="single"/>
          <w:lang w:eastAsia="zh-CN"/>
        </w:rPr>
        <w:t xml:space="preserve">需要</w:t>
      </w:r>
      <w:r>
        <w:rPr>
          <w:rFonts w:hint="eastAsia" w:ascii="宋体" w:hAnsi="宋体" w:eastAsia="宋体" w:cs="宋体"/>
          <w:color w:val="000000"/>
          <w:sz w:val="24"/>
          <w:szCs w:val="24"/>
          <w:highlight w:val="none"/>
          <w:u w:val="single"/>
        </w:rPr>
        <w:t xml:space="preserve">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合同签订后7日内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纸质版肆套，电子版一套</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纸质版、电子版</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应在监理人收到承包人文件后7天内审查完毕</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执行通用合同条款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1.7.2 发包人接收文件的地点：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发包人享有无条件出入施工现场的权利，承包人无条件负责办理发包人进入施工现场所需的批准手续，并承担相关手续费用和建设费用，此费用包含在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 </w:t>
      </w:r>
      <w:r>
        <w:rPr>
          <w:rFonts w:hint="eastAsia" w:ascii="宋体" w:hAnsi="宋体" w:eastAsia="宋体" w:cs="宋体"/>
          <w:color w:val="000000"/>
          <w:sz w:val="24"/>
          <w:szCs w:val="24"/>
          <w:highlight w:val="none"/>
        </w:rPr>
        <w:t xml:space="preserve">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rPr>
        <w:t xml:space="preserve">供应商应仔细核对清单，发现工程量清单漏项、清单中工程量有误差，特征描述不清及其工程量清单项目的完整性等内容，供应商必须以书面形式于磋商文件规定时间内提出，并报送采购人。采购人进行核对，若有误及时进行更正，并以书面的形式回复给供应商。否则视为供应商同意</w:t>
      </w:r>
      <w:r>
        <w:rPr>
          <w:rFonts w:hint="eastAsia" w:ascii="宋体" w:hAnsi="宋体" w:eastAsia="宋体" w:cs="宋体"/>
          <w:color w:val="000000"/>
          <w:sz w:val="24"/>
          <w:szCs w:val="24"/>
          <w:highlight w:val="none"/>
          <w:u w:val="single"/>
          <w:lang w:eastAsia="zh-CN"/>
        </w:rPr>
        <w:t xml:space="preserve">采购</w:t>
      </w:r>
      <w:r>
        <w:rPr>
          <w:rFonts w:hint="eastAsia" w:ascii="宋体" w:hAnsi="宋体" w:eastAsia="宋体" w:cs="宋体"/>
          <w:color w:val="000000"/>
          <w:sz w:val="24"/>
          <w:szCs w:val="24"/>
          <w:highlight w:val="none"/>
          <w:u w:val="single"/>
        </w:rPr>
        <w:t xml:space="preserve">工程量清单数量及项目和特征描述符合图纸设计全部内容</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执行“合同价格、计量与支付”相关条款。 </w:t>
      </w:r>
      <w:r/>
    </w:p>
    <w:p>
      <w:pPr>
        <w:ind w:left="0" w:right="0" w:firstLine="482"/>
        <w:pageBreakBefore w:val="0"/>
        <w:spacing w:after="0" w:line="336" w:lineRule="auto"/>
        <w:widowControl/>
        <w:rPr>
          <w:rFonts w:hint="eastAsia" w:ascii="宋体" w:hAnsi="宋体" w:eastAsia="宋体" w:cs="宋体"/>
          <w:b/>
          <w:bCs/>
          <w:color w:val="000000"/>
          <w:sz w:val="24"/>
          <w:szCs w:val="24"/>
          <w:highlight w:val="none"/>
        </w:rPr>
      </w:pPr>
      <w:r/>
      <w:bookmarkStart w:id="15" w:name="_Toc351203634"/>
      <w:r>
        <w:rPr>
          <w:rFonts w:hint="eastAsia" w:ascii="宋体" w:hAnsi="宋体" w:eastAsia="宋体" w:cs="宋体"/>
          <w:b/>
          <w:bCs/>
          <w:color w:val="000000"/>
          <w:sz w:val="24"/>
          <w:szCs w:val="24"/>
          <w:highlight w:val="none"/>
        </w:rPr>
        <w:t xml:space="preserve">2</w:t>
      </w:r>
      <w:bookmarkStart w:id="16" w:name="_Toc296346658"/>
      <w:r/>
      <w:bookmarkStart w:id="17" w:name="_Toc296347156"/>
      <w:r/>
      <w:bookmarkStart w:id="18" w:name="_Toc297048343"/>
      <w:r/>
      <w:bookmarkStart w:id="19" w:name="_Toc296890985"/>
      <w:r/>
      <w:bookmarkStart w:id="20" w:name="_Toc296891197"/>
      <w:r/>
      <w:bookmarkStart w:id="21" w:name="_Toc296503157"/>
      <w:r/>
      <w:bookmarkStart w:id="22" w:name="_Toc296944496"/>
      <w:r/>
      <w:bookmarkStart w:id="23" w:name="_Toc292559867"/>
      <w:r/>
      <w:bookmarkStart w:id="24" w:name="_Toc292559362"/>
      <w:r/>
      <w:bookmarkStart w:id="25" w:name="_Toc297120457"/>
      <w:r>
        <w:rPr>
          <w:rFonts w:hint="eastAsia" w:ascii="宋体" w:hAnsi="宋体" w:eastAsia="宋体" w:cs="宋体"/>
          <w:b/>
          <w:bCs/>
          <w:color w:val="000000"/>
          <w:sz w:val="24"/>
          <w:szCs w:val="24"/>
          <w:highlight w:val="none"/>
        </w:rPr>
        <w:t xml:space="preserve">.发包人</w:t>
      </w:r>
      <w:bookmarkEnd w:id="15"/>
      <w:r/>
      <w:bookmarkEnd w:id="16"/>
      <w:r/>
      <w:bookmarkEnd w:id="17"/>
      <w:r/>
      <w:bookmarkEnd w:id="18"/>
      <w:r/>
      <w:bookmarkEnd w:id="19"/>
      <w:r/>
      <w:bookmarkEnd w:id="20"/>
      <w:r/>
      <w:bookmarkEnd w:id="21"/>
      <w:r/>
      <w:bookmarkEnd w:id="22"/>
      <w:r/>
      <w:bookmarkEnd w:id="23"/>
      <w:r/>
      <w:bookmarkEnd w:id="24"/>
      <w:r/>
      <w:bookmarkEnd w:id="25"/>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bCs/>
          <w:color w:val="000000"/>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等；签字确认经监理工程师核准的分项工程量，并报发包人核准。</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⑥审核工程进度报表，参与审核工程进度款的支付；</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⑧对承包人、监理人提交文件的签证；</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⑨组织工程竣工验收；</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⑩发包人授权的其他事项。</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1</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批准改变工程质量验收的标准；</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2</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批准延长工期； (3</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批准涉及到对合同总价有影响的变更或指示；</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4</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批准工程索赔；</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5</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批准施工程序的重大变更；</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6</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批准重要部位的设计变更；</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7</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en-US"/>
        </w:rPr>
        <w:t xml:space="preserve">确定工程变更估价。</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开工通知</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中载明的开工日期7天前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关于发包人应负责提供施工所需要的条件，包括：</w:t>
      </w:r>
      <w:r>
        <w:rPr>
          <w:rFonts w:hint="eastAsia" w:ascii="宋体" w:hAnsi="宋体" w:eastAsia="宋体" w:cs="宋体"/>
          <w:color w:val="000000"/>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报价中单独列支，发包人均认为此项费用包含在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 。</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报价中单独列支，发包人均认为此项费用包含在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场外施工道路为市政现状，场内施工道路由承包人根据批准的施工组织设计在开工前自行完成，并满足施工要求及有关规定，此费用包含在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施工期间的周边关系及第三方干扰等由承包人负责协调，所需费用含在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color w:val="000000"/>
          <w:sz w:val="24"/>
          <w:szCs w:val="24"/>
          <w:highlight w:val="none"/>
          <w:u w:val="single"/>
        </w:rPr>
        <w:t xml:space="preserve">承包人按照《建设工程文件归档整理规范》及江苏省相关法规、规范标准及本合同要求绘制竣工图及完整的工程技术档案、工程质量保修书</w:t>
      </w:r>
      <w:r>
        <w:rPr>
          <w:rFonts w:hint="eastAsia" w:ascii="宋体" w:hAnsi="宋体" w:eastAsia="宋体" w:cs="宋体"/>
          <w:color w:val="000000"/>
          <w:sz w:val="24"/>
          <w:szCs w:val="24"/>
          <w:highlight w:val="none"/>
          <w:u w:val="single"/>
          <w:lang w:eastAsia="zh-CN"/>
        </w:rPr>
        <w:t xml:space="preserve">及</w:t>
      </w:r>
      <w:r>
        <w:rPr>
          <w:rFonts w:hint="eastAsia" w:ascii="宋体" w:hAnsi="宋体" w:eastAsia="宋体" w:cs="宋体"/>
          <w:color w:val="000000"/>
          <w:sz w:val="24"/>
          <w:szCs w:val="24"/>
          <w:highlight w:val="none"/>
          <w:u w:val="single"/>
        </w:rPr>
        <w:t xml:space="preserve">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color w:val="000000"/>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eastAsia="宋体" w:cs="宋体"/>
          <w:color w:val="000000"/>
          <w:sz w:val="24"/>
          <w:szCs w:val="24"/>
          <w:highlight w:val="none"/>
          <w:u w:val="single"/>
          <w:lang w:val="en-US" w:eastAsia="zh-CN"/>
        </w:rPr>
        <w:t xml:space="preserve">壹</w:t>
      </w:r>
      <w:r>
        <w:rPr>
          <w:rFonts w:hint="eastAsia" w:ascii="宋体" w:hAnsi="宋体" w:eastAsia="宋体" w:cs="宋体"/>
          <w:color w:val="000000"/>
          <w:sz w:val="24"/>
          <w:szCs w:val="24"/>
          <w:highlight w:val="none"/>
          <w:u w:val="single"/>
        </w:rPr>
        <w:t xml:space="preserve">套</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u w:val="single"/>
        </w:rPr>
        <w:t xml:space="preserve">立卷、装订成册的纸质文档和电子文档</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承包人应履行的其他义务：</w:t>
      </w:r>
      <w:r>
        <w:rPr>
          <w:rFonts w:hint="eastAsia" w:ascii="宋体" w:hAnsi="宋体" w:eastAsia="宋体" w:cs="宋体"/>
          <w:color w:val="000000"/>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w:t>
      </w:r>
      <w:r>
        <w:rPr>
          <w:rFonts w:hint="eastAsia" w:ascii="宋体" w:hAnsi="宋体" w:eastAsia="宋体" w:cs="宋体"/>
          <w:color w:val="000000"/>
          <w:sz w:val="24"/>
          <w:szCs w:val="24"/>
          <w:highlight w:val="none"/>
          <w:u w:val="single"/>
          <w:lang w:eastAsia="zh-CN"/>
        </w:rPr>
        <w:t xml:space="preserve">与邻近</w:t>
      </w:r>
      <w:r>
        <w:rPr>
          <w:rFonts w:hint="eastAsia" w:ascii="宋体" w:hAnsi="宋体" w:eastAsia="宋体" w:cs="宋体"/>
          <w:color w:val="000000"/>
          <w:sz w:val="24"/>
          <w:szCs w:val="24"/>
          <w:highlight w:val="none"/>
          <w:u w:val="single"/>
        </w:rPr>
        <w:t xml:space="preserve">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2）承包人作为一名有经验的承包方，应预见施工中与其他专业施工单位发生的配合工作，并自主将相关配合费用综合考虑在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5）向发包人提供的办公和生活房屋及设施的要求：发包人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监理人</w:t>
      </w:r>
      <w:r>
        <w:rPr>
          <w:rFonts w:hint="eastAsia" w:ascii="宋体" w:hAnsi="宋体" w:eastAsia="宋体" w:cs="宋体"/>
          <w:color w:val="000000"/>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6）需承包人办理的有关施工场地交通、环卫和施工噪音管理等手续：由承包人负责承担，费用也由承包方承担并综合考虑在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7）承包人综合考虑本项目全线封闭施工，且考虑可能存在的半幅道路施工，因此可能增加的费用综合考虑在</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报价内，结算时不再增加</w:t>
      </w:r>
      <w:r>
        <w:rPr>
          <w:rFonts w:hint="eastAsia" w:ascii="宋体" w:hAnsi="宋体" w:eastAsia="宋体" w:cs="宋体"/>
          <w:color w:val="000000"/>
          <w:sz w:val="24"/>
          <w:szCs w:val="24"/>
          <w:highlight w:val="none"/>
          <w:u w:val="single"/>
          <w:lang w:eastAsia="zh-CN"/>
        </w:rPr>
        <w:t xml:space="preserve">与此相关</w:t>
      </w:r>
      <w:r>
        <w:rPr>
          <w:rFonts w:hint="eastAsia" w:ascii="宋体" w:hAnsi="宋体" w:eastAsia="宋体" w:cs="宋体"/>
          <w:color w:val="000000"/>
          <w:sz w:val="24"/>
          <w:szCs w:val="24"/>
          <w:highlight w:val="none"/>
          <w:u w:val="single"/>
        </w:rPr>
        <w:t xml:space="preserve">的费用。</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9）施工场地清洁卫生和要求：应按建设行政主管部门和相关部门的规定办理，所需费用由承包人负担。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10）承包人负责在需要的时间和地点，自费提供和</w:t>
      </w:r>
      <w:r>
        <w:rPr>
          <w:rFonts w:hint="eastAsia" w:ascii="宋体" w:hAnsi="宋体" w:eastAsia="宋体" w:cs="宋体"/>
          <w:color w:val="000000"/>
          <w:sz w:val="24"/>
          <w:szCs w:val="24"/>
          <w:highlight w:val="none"/>
          <w:u w:val="single"/>
          <w:lang w:eastAsia="zh-CN"/>
        </w:rPr>
        <w:t xml:space="preserve">维护</w:t>
      </w:r>
      <w:r>
        <w:rPr>
          <w:rFonts w:hint="eastAsia" w:ascii="宋体" w:hAnsi="宋体" w:eastAsia="宋体" w:cs="宋体"/>
          <w:color w:val="000000"/>
          <w:sz w:val="24"/>
          <w:szCs w:val="24"/>
          <w:highlight w:val="none"/>
          <w:u w:val="single"/>
        </w:rPr>
        <w:t xml:space="preserve">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15）承包人</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前自行踏勘现场，充分了解现在实际情况，根据现在实际情况展开施工，不得以现场场区不满足施工布局、已</w:t>
      </w:r>
      <w:r>
        <w:rPr>
          <w:rFonts w:hint="eastAsia" w:ascii="宋体" w:hAnsi="宋体" w:eastAsia="宋体" w:cs="宋体"/>
          <w:color w:val="000000"/>
          <w:sz w:val="24"/>
          <w:szCs w:val="24"/>
          <w:highlight w:val="none"/>
          <w:u w:val="single"/>
          <w:lang w:eastAsia="zh-CN"/>
        </w:rPr>
        <w:t xml:space="preserve">完成</w:t>
      </w:r>
      <w:r>
        <w:rPr>
          <w:rFonts w:hint="eastAsia" w:ascii="宋体" w:hAnsi="宋体" w:eastAsia="宋体" w:cs="宋体"/>
          <w:color w:val="000000"/>
          <w:sz w:val="24"/>
          <w:szCs w:val="24"/>
          <w:highlight w:val="none"/>
          <w:u w:val="single"/>
        </w:rPr>
        <w:t xml:space="preserve">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16）检测机构检测费用不单独列项，</w:t>
      </w:r>
      <w:r>
        <w:rPr>
          <w:rFonts w:hint="eastAsia" w:ascii="宋体" w:hAnsi="宋体" w:eastAsia="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应综合考虑在企业管理费中，结算时不再调整。</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人如需增加抽检，检测合格费用由</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人支付；检测不合格，视为</w:t>
      </w:r>
      <w:r>
        <w:rPr>
          <w:rFonts w:hint="eastAsia" w:ascii="宋体" w:hAnsi="宋体" w:eastAsia="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违约，检测费、整改至合格的费用由</w:t>
      </w:r>
      <w:r>
        <w:rPr>
          <w:rFonts w:hint="eastAsia" w:ascii="宋体" w:hAnsi="宋体" w:eastAsia="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u w:val="single"/>
        </w:rPr>
        <w:t xml:space="preserve"> 注册建造师为本单位人员，且资格审查合格后不再更换。中标后，项目经理必须在现场组织施工，每周至少在现场 5 日，每日不少于 8 小时，切实发挥作用，未经</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书面同意，不得离开现场，否则按次处罚，2000 元/次，累计 5 次发包人有权单方面终止合同，并由承包人承担一切相应后果 。施工组织设计中现场管理机构的</w:t>
      </w:r>
      <w:r>
        <w:rPr>
          <w:rFonts w:hint="eastAsia" w:ascii="宋体" w:hAnsi="宋体" w:eastAsia="宋体" w:cs="宋体"/>
          <w:color w:val="000000"/>
          <w:sz w:val="24"/>
          <w:szCs w:val="24"/>
          <w:highlight w:val="none"/>
          <w:u w:val="single"/>
          <w:lang w:eastAsia="zh-CN"/>
        </w:rPr>
        <w:t xml:space="preserve">其他人员</w:t>
      </w:r>
      <w:r>
        <w:rPr>
          <w:rFonts w:hint="eastAsia" w:ascii="宋体" w:hAnsi="宋体" w:eastAsia="宋体" w:cs="宋体"/>
          <w:color w:val="000000"/>
          <w:sz w:val="24"/>
          <w:szCs w:val="24"/>
          <w:highlight w:val="none"/>
          <w:u w:val="single"/>
        </w:rPr>
        <w:t xml:space="preserve">必须按期到位，否则应向发包人支付违约金1000元/日·人</w:t>
      </w:r>
      <w:r>
        <w:rPr>
          <w:rFonts w:hint="eastAsia" w:ascii="宋体" w:hAnsi="宋体" w:eastAsia="宋体" w:cs="宋体"/>
          <w:color w:val="000000"/>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承包人承担叁万元的违约金，责令限期提交劳动合同并补缴社会保险</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w:t>
      </w:r>
      <w:r>
        <w:rPr>
          <w:rFonts w:hint="eastAsia" w:ascii="宋体" w:hAnsi="宋体" w:eastAsia="宋体" w:cs="宋体"/>
          <w:color w:val="000000"/>
          <w:sz w:val="24"/>
          <w:szCs w:val="24"/>
          <w:highlight w:val="none"/>
          <w:u w:val="single"/>
          <w:lang w:eastAsia="zh-CN"/>
        </w:rPr>
        <w:t xml:space="preserve">其他人员</w:t>
      </w:r>
      <w:r>
        <w:rPr>
          <w:rFonts w:hint="eastAsia" w:ascii="宋体" w:hAnsi="宋体" w:eastAsia="宋体" w:cs="宋体"/>
          <w:color w:val="000000"/>
          <w:sz w:val="24"/>
          <w:szCs w:val="24"/>
          <w:highlight w:val="none"/>
          <w:u w:val="single"/>
        </w:rPr>
        <w:t xml:space="preserve">必须按期到位，否则应向发包人支付违约金1000元/日·人</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承包人擅自更换项目经理的违约责任：</w:t>
      </w:r>
      <w:r>
        <w:rPr>
          <w:rFonts w:hint="eastAsia" w:ascii="宋体" w:hAnsi="宋体" w:eastAsia="宋体" w:cs="宋体"/>
          <w:color w:val="000000"/>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、监理方、建设主管部门同时认可、办理相应手续后方可更换</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承包人无正当理由拒绝更换项目经理的违约责任：</w:t>
      </w:r>
      <w:r>
        <w:rPr>
          <w:rFonts w:hint="eastAsia" w:ascii="宋体" w:hAnsi="宋体" w:eastAsia="宋体" w:cs="宋体"/>
          <w:color w:val="000000"/>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3.3.1承包人提交项目管理机构及施工现场管理人员安排报告的期限：</w:t>
      </w:r>
      <w:r>
        <w:rPr>
          <w:rFonts w:hint="eastAsia" w:ascii="宋体" w:hAnsi="宋体" w:eastAsia="宋体" w:cs="宋体"/>
          <w:color w:val="000000"/>
          <w:sz w:val="24"/>
          <w:szCs w:val="24"/>
          <w:highlight w:val="none"/>
          <w:u w:val="single"/>
        </w:rPr>
        <w:t xml:space="preserve">合同签订后7天内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承包人无正当理由拒绝撤换主要施工管理人员的违约责任</w:t>
      </w:r>
      <w:r>
        <w:rPr>
          <w:rFonts w:hint="eastAsia" w:ascii="宋体" w:hAnsi="宋体" w:eastAsia="宋体" w:cs="宋体"/>
          <w:color w:val="000000"/>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承包人主要施工管理人员离开施工现场的批准要求：</w:t>
      </w:r>
      <w:r>
        <w:rPr>
          <w:rFonts w:hint="eastAsia" w:ascii="宋体" w:hAnsi="宋体" w:eastAsia="宋体" w:cs="宋体"/>
          <w:color w:val="000000"/>
          <w:sz w:val="24"/>
          <w:szCs w:val="24"/>
          <w:highlight w:val="none"/>
          <w:u w:val="single"/>
        </w:rPr>
        <w:t xml:space="preserve">由总监理工程师批准，发包人认可后方可离开</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承包人擅自更换主要施工管理人员的违约责任：</w:t>
      </w:r>
      <w:r>
        <w:rPr>
          <w:rFonts w:hint="eastAsia" w:ascii="宋体" w:hAnsi="宋体" w:eastAsia="宋体" w:cs="宋体"/>
          <w:color w:val="000000"/>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承包人承担壹万元/次的违约金，承包人</w:t>
      </w:r>
      <w:r>
        <w:rPr>
          <w:rFonts w:hint="eastAsia" w:ascii="宋体" w:hAnsi="宋体" w:eastAsia="宋体" w:cs="宋体"/>
          <w:color w:val="000000"/>
          <w:sz w:val="24"/>
          <w:szCs w:val="24"/>
          <w:highlight w:val="none"/>
          <w:u w:val="single"/>
          <w:lang w:eastAsia="zh-CN"/>
        </w:rPr>
        <w:t xml:space="preserve">承担</w:t>
      </w:r>
      <w:r>
        <w:rPr>
          <w:rFonts w:hint="eastAsia" w:ascii="宋体" w:hAnsi="宋体" w:eastAsia="宋体" w:cs="宋体"/>
          <w:color w:val="000000"/>
          <w:sz w:val="24"/>
          <w:szCs w:val="24"/>
          <w:highlight w:val="none"/>
          <w:u w:val="single"/>
        </w:rPr>
        <w:t xml:space="preserve">因上述违约给发包人造成的全部损失</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6" w:name="_Toc312677988"/>
      <w:r/>
      <w:bookmarkStart w:id="27" w:name="_Toc292559364"/>
      <w:r/>
      <w:bookmarkStart w:id="28" w:name="_Toc296346660"/>
      <w:r/>
      <w:bookmarkStart w:id="29" w:name="_Toc297120459"/>
      <w:r/>
      <w:bookmarkStart w:id="30" w:name="_Toc300934945"/>
      <w:r/>
      <w:bookmarkStart w:id="31" w:name="_Toc296503159"/>
      <w:r/>
      <w:bookmarkStart w:id="32" w:name="_Toc296891199"/>
      <w:r/>
      <w:bookmarkStart w:id="33" w:name="_Toc297216151"/>
      <w:r/>
      <w:bookmarkStart w:id="34" w:name="_Toc297123492"/>
      <w:r/>
      <w:bookmarkStart w:id="35" w:name="_Toc296890987"/>
      <w:r/>
      <w:bookmarkStart w:id="36" w:name="_Toc304295523"/>
      <w:r/>
      <w:bookmarkStart w:id="37" w:name="_Toc303539102"/>
      <w:r/>
      <w:bookmarkStart w:id="38" w:name="_Toc297048345"/>
      <w:r/>
      <w:bookmarkStart w:id="39" w:name="_Toc292559869"/>
      <w:r/>
      <w:bookmarkStart w:id="40" w:name="_Toc296944498"/>
      <w:r/>
      <w:bookmarkStart w:id="41" w:name="_Toc296347158"/>
      <w:r>
        <w:rPr>
          <w:rFonts w:hint="eastAsia" w:ascii="宋体" w:hAnsi="宋体" w:eastAsia="宋体" w:cs="宋体"/>
          <w:color w:val="000000"/>
          <w:sz w:val="24"/>
          <w:szCs w:val="24"/>
          <w:highlight w:val="none"/>
        </w:rPr>
        <w:t xml:space="preserve">.5分包</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42" w:name="_Toc296346661"/>
      <w:r/>
      <w:bookmarkStart w:id="43" w:name="_Toc297123493"/>
      <w:r/>
      <w:bookmarkStart w:id="44" w:name="_Toc296347159"/>
      <w:r/>
      <w:bookmarkStart w:id="45" w:name="_Toc304295524"/>
      <w:r/>
      <w:bookmarkStart w:id="46" w:name="_Toc296944499"/>
      <w:r/>
      <w:bookmarkStart w:id="47" w:name="_Toc303539103"/>
      <w:r/>
      <w:bookmarkStart w:id="48" w:name="_Toc296890988"/>
      <w:r/>
      <w:bookmarkStart w:id="49" w:name="_Toc296891200"/>
      <w:r/>
      <w:bookmarkStart w:id="50" w:name="_Toc297120460"/>
      <w:r/>
      <w:bookmarkStart w:id="51" w:name="_Toc300934946"/>
      <w:r/>
      <w:bookmarkStart w:id="52" w:name="_Toc297216152"/>
      <w:r/>
      <w:bookmarkStart w:id="53" w:name="_Toc297048346"/>
      <w:r/>
      <w:bookmarkStart w:id="54" w:name="_Toc292559870"/>
      <w:r/>
      <w:bookmarkStart w:id="55" w:name="_Toc296503160"/>
      <w:r/>
      <w:bookmarkStart w:id="56" w:name="_Toc292559365"/>
      <w:r/>
      <w:bookmarkStart w:id="57" w:name="_Toc312677989"/>
      <w:r/>
      <w:bookmarkStart w:id="58" w:name="_Toc318581158"/>
      <w:r>
        <w:rPr>
          <w:rFonts w:hint="eastAsia" w:ascii="宋体" w:hAnsi="宋体" w:eastAsia="宋体" w:cs="宋体"/>
          <w:color w:val="000000"/>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本工程禁止违法分包</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rFonts w:hint="eastAsia" w:ascii="宋体" w:hAnsi="宋体" w:eastAsia="宋体" w:cs="宋体"/>
          <w:color w:val="000000"/>
          <w:sz w:val="24"/>
          <w:szCs w:val="24"/>
          <w:highlight w:val="none"/>
          <w:u w:val="single"/>
        </w:rPr>
        <w:t xml:space="preserve">执行国家相关法律、法规规定</w:t>
      </w:r>
      <w:r>
        <w:rPr>
          <w:rFonts w:hint="eastAsia" w:ascii="宋体" w:hAnsi="宋体" w:eastAsia="宋体" w:cs="宋体"/>
          <w:color w:val="000000"/>
          <w:sz w:val="24"/>
          <w:szCs w:val="24"/>
          <w:highlight w:val="none"/>
        </w:rPr>
        <w:t xml:space="preserve">。</w:t>
      </w:r>
      <w:bookmarkEnd w:id="57"/>
      <w:r/>
      <w:bookmarkEnd w:id="58"/>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59" w:name="_Toc312677990"/>
      <w:r/>
      <w:bookmarkStart w:id="60" w:name="_Toc318581159"/>
      <w:r>
        <w:rPr>
          <w:rFonts w:hint="eastAsia" w:ascii="宋体" w:hAnsi="宋体" w:eastAsia="宋体" w:cs="宋体"/>
          <w:color w:val="000000"/>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执行国家相关法律、法规规定</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未经发包人和监理人同意，承包人不得将其他非主体、非关键性工作分包给第三人；未经发包人和监理人审批同意的分包工程和分包人，发包人有权拒绝验收分包工程和支付相应款项，由此引起的费用增加和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或</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延误的工期由承包人承担。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承包人应保障分包工作不得再次分包。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bookmarkEnd w:id="59"/>
      <w:r/>
      <w:bookmarkEnd w:id="60"/>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b w:val="0"/>
          <w:bCs/>
          <w:color w:val="000000"/>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承包人提供履约担保的形式、金额及期限：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履约保证金的返还</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 。</w:t>
      </w:r>
      <w:r/>
    </w:p>
    <w:p>
      <w:pPr>
        <w:ind w:left="0" w:right="0" w:firstLine="482"/>
        <w:jc w:val="both"/>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61" w:name="_Toc351203636"/>
      <w:r>
        <w:rPr>
          <w:rFonts w:hint="eastAsia" w:ascii="宋体" w:hAnsi="宋体" w:eastAsia="宋体" w:cs="宋体"/>
          <w:b/>
          <w:bCs/>
          <w:color w:val="000000"/>
          <w:sz w:val="24"/>
          <w:szCs w:val="24"/>
          <w:highlight w:val="none"/>
        </w:rPr>
        <w:t xml:space="preserve">4</w:t>
      </w:r>
      <w:bookmarkStart w:id="62" w:name="_Toc292559871"/>
      <w:r/>
      <w:bookmarkStart w:id="63" w:name="_Toc296944501"/>
      <w:r/>
      <w:bookmarkStart w:id="64" w:name="_Toc296503162"/>
      <w:r/>
      <w:bookmarkStart w:id="65" w:name="_Toc267251413"/>
      <w:r/>
      <w:bookmarkStart w:id="66" w:name="_Toc292559366"/>
      <w:r/>
      <w:bookmarkStart w:id="67" w:name="_Toc296891202"/>
      <w:r/>
      <w:bookmarkStart w:id="68" w:name="_Toc296890990"/>
      <w:r/>
      <w:bookmarkStart w:id="69" w:name="_Toc296347161"/>
      <w:r/>
      <w:bookmarkStart w:id="70" w:name="_Toc296346663"/>
      <w:r/>
      <w:bookmarkStart w:id="71" w:name="_Toc297048348"/>
      <w:r/>
      <w:bookmarkStart w:id="72" w:name="_Toc297120462"/>
      <w:r>
        <w:rPr>
          <w:rFonts w:hint="eastAsia" w:ascii="宋体" w:hAnsi="宋体" w:eastAsia="宋体" w:cs="宋体"/>
          <w:b/>
          <w:bCs/>
          <w:color w:val="000000"/>
          <w:sz w:val="24"/>
          <w:szCs w:val="24"/>
          <w:highlight w:val="none"/>
        </w:rPr>
        <w:t xml:space="preserve">.监</w:t>
      </w:r>
      <w:bookmarkEnd w:id="62"/>
      <w:r/>
      <w:bookmarkEnd w:id="63"/>
      <w:r/>
      <w:bookmarkEnd w:id="64"/>
      <w:r/>
      <w:bookmarkEnd w:id="65"/>
      <w:r/>
      <w:bookmarkEnd w:id="66"/>
      <w:r/>
      <w:bookmarkEnd w:id="67"/>
      <w:r/>
      <w:bookmarkEnd w:id="68"/>
      <w:r/>
      <w:bookmarkEnd w:id="69"/>
      <w:r/>
      <w:bookmarkEnd w:id="70"/>
      <w:r/>
      <w:bookmarkEnd w:id="71"/>
      <w:r/>
      <w:bookmarkEnd w:id="72"/>
      <w:r>
        <w:rPr>
          <w:rFonts w:hint="eastAsia" w:ascii="宋体" w:hAnsi="宋体" w:eastAsia="宋体" w:cs="宋体"/>
          <w:b/>
          <w:bCs/>
          <w:color w:val="000000"/>
          <w:sz w:val="24"/>
          <w:szCs w:val="24"/>
          <w:highlight w:val="none"/>
        </w:rPr>
        <w:t xml:space="preserve">理人</w:t>
      </w:r>
      <w:bookmarkEnd w:id="61"/>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总监理工程师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详见本工程监理合同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p>
    <w:p>
      <w:pPr>
        <w:numPr>
          <w:ilvl w:val="0"/>
          <w:numId w:val="7"/>
        </w:num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73" w:name="_Toc351203637"/>
      <w:r>
        <w:rPr>
          <w:rFonts w:hint="eastAsia" w:ascii="宋体" w:hAnsi="宋体" w:eastAsia="宋体" w:cs="宋体"/>
          <w:b/>
          <w:bCs/>
          <w:color w:val="000000"/>
          <w:sz w:val="24"/>
          <w:szCs w:val="24"/>
          <w:highlight w:val="none"/>
        </w:rPr>
        <w:t xml:space="preserve">5.工程质量</w:t>
      </w:r>
      <w:bookmarkEnd w:id="73"/>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bCs/>
          <w:color w:val="000000"/>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061"/>
        <w:ind w:left="0" w:right="0" w:firstLine="480"/>
        <w:pageBreakBefore w:val="0"/>
        <w:spacing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061"/>
        <w:ind w:left="0" w:right="0" w:firstLine="480"/>
        <w:pageBreakBefore w:val="0"/>
        <w:spacing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②现场钢筋</w:t>
      </w:r>
      <w:r>
        <w:rPr>
          <w:rFonts w:hint="eastAsia" w:ascii="宋体" w:hAnsi="宋体" w:eastAsia="宋体" w:cs="宋体"/>
          <w:color w:val="000000"/>
          <w:sz w:val="24"/>
          <w:szCs w:val="24"/>
          <w:highlight w:val="none"/>
          <w:u w:val="single"/>
          <w:lang w:eastAsia="zh-CN"/>
        </w:rPr>
        <w:t xml:space="preserve">成型</w:t>
      </w:r>
      <w:r>
        <w:rPr>
          <w:rFonts w:hint="eastAsia" w:ascii="宋体" w:hAnsi="宋体" w:eastAsia="宋体" w:cs="宋体"/>
          <w:color w:val="000000"/>
          <w:sz w:val="24"/>
          <w:szCs w:val="24"/>
          <w:highlight w:val="none"/>
          <w:u w:val="single"/>
        </w:rPr>
        <w:t xml:space="preserve">场地必须硬化，避免钢筋污染。</w:t>
      </w:r>
      <w:r/>
    </w:p>
    <w:p>
      <w:pPr>
        <w:pStyle w:val="1062"/>
        <w:ind w:left="0" w:right="0" w:firstLine="480"/>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w:t>
      </w:r>
      <w:r>
        <w:rPr>
          <w:rFonts w:hint="eastAsia" w:ascii="宋体" w:hAnsi="宋体" w:eastAsia="宋体" w:cs="宋体"/>
          <w:color w:val="000000"/>
          <w:sz w:val="24"/>
          <w:szCs w:val="24"/>
          <w:highlight w:val="none"/>
          <w:u w:val="single"/>
          <w:lang w:eastAsia="zh-CN"/>
        </w:rPr>
        <w:t xml:space="preserve">1万-5万</w:t>
      </w:r>
      <w:r>
        <w:rPr>
          <w:rFonts w:hint="eastAsia" w:ascii="宋体" w:hAnsi="宋体" w:eastAsia="宋体" w:cs="宋体"/>
          <w:color w:val="000000"/>
          <w:sz w:val="24"/>
          <w:szCs w:val="24"/>
          <w:highlight w:val="none"/>
          <w:u w:val="single"/>
        </w:rPr>
        <w:t xml:space="preserve">元的违约金，承包人须赔偿发包人由此造成的一切经济损失，直至清退出场</w:t>
      </w:r>
      <w:r>
        <w:rPr>
          <w:rFonts w:hint="eastAsia" w:ascii="宋体" w:hAnsi="宋体" w:eastAsia="宋体" w:cs="宋体"/>
          <w:color w:val="000000"/>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按相关文件执行</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隐蔽工程覆盖前的检查：未经监理工程师、</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承包人提前通知监理人隐蔽工程检查的期限的约定：</w:t>
      </w:r>
      <w:r>
        <w:rPr>
          <w:rFonts w:hint="eastAsia" w:ascii="宋体" w:hAnsi="宋体" w:eastAsia="宋体" w:cs="宋体"/>
          <w:color w:val="000000"/>
          <w:sz w:val="24"/>
          <w:szCs w:val="24"/>
          <w:highlight w:val="none"/>
          <w:u w:val="single"/>
        </w:rPr>
        <w:t xml:space="preserve">共同检查前48小时书面通知监理人</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6.1.1项目安全生产的达标目标及相应事项的约定：</w:t>
      </w:r>
      <w:r>
        <w:rPr>
          <w:rFonts w:hint="eastAsia" w:ascii="宋体" w:hAnsi="宋体" w:eastAsia="宋体" w:cs="宋体"/>
          <w:color w:val="000000"/>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②施工过程中的排污、环卫、市容、城建、城管、治安、人口管理等相关手续由承包人按规定负责办理，对</w:t>
      </w:r>
      <w:r>
        <w:rPr>
          <w:rFonts w:hint="eastAsia" w:ascii="宋体" w:hAnsi="宋体" w:eastAsia="宋体" w:cs="宋体"/>
          <w:color w:val="000000"/>
          <w:sz w:val="24"/>
          <w:szCs w:val="24"/>
          <w:highlight w:val="none"/>
          <w:u w:val="single"/>
          <w:lang w:eastAsia="zh-CN"/>
        </w:rPr>
        <w:t xml:space="preserve">邻近</w:t>
      </w:r>
      <w:r>
        <w:rPr>
          <w:rFonts w:hint="eastAsia" w:ascii="宋体" w:hAnsi="宋体" w:eastAsia="宋体" w:cs="宋体"/>
          <w:color w:val="000000"/>
          <w:sz w:val="24"/>
          <w:szCs w:val="24"/>
          <w:highlight w:val="none"/>
          <w:u w:val="single"/>
        </w:rPr>
        <w:t xml:space="preserve">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000000"/>
          <w:sz w:val="24"/>
          <w:szCs w:val="24"/>
          <w:highlight w:val="none"/>
          <w:u w:val="single"/>
          <w:lang w:eastAsia="zh-CN"/>
        </w:rPr>
        <w:t xml:space="preserve">生命财产</w:t>
      </w:r>
      <w:r>
        <w:rPr>
          <w:rFonts w:hint="eastAsia" w:ascii="宋体" w:hAnsi="宋体" w:eastAsia="宋体" w:cs="宋体"/>
          <w:color w:val="000000"/>
          <w:sz w:val="24"/>
          <w:szCs w:val="24"/>
          <w:highlight w:val="none"/>
          <w:u w:val="single"/>
        </w:rPr>
        <w:t xml:space="preserve">的安全均应采取防范措施。</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6.1.4关于治安保卫的特别约定：</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承包人编制，开工前5日内报监理。</w:t>
      </w:r>
      <w:r/>
    </w:p>
    <w:p>
      <w:pPr>
        <w:ind w:left="0" w:right="0" w:firstLine="480"/>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6.1.5文明施工</w:t>
      </w:r>
      <w:r/>
    </w:p>
    <w:p>
      <w:pPr>
        <w:pStyle w:val="814"/>
        <w:ind w:firstLine="440"/>
        <w:spacing w:after="200" w:line="240"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符合徐州市有关部门规定的标准化施工现场要求。</w:t>
      </w:r>
      <w:r/>
    </w:p>
    <w:p>
      <w:pPr>
        <w:ind w:left="0" w:right="0" w:firstLine="480"/>
        <w:jc w:val="left"/>
        <w:keepLines w:val="0"/>
        <w:keepNext w:val="0"/>
        <w:pageBreakBefore w:val="0"/>
        <w:spacing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6.1.6关于安全文明施工费支付比例和支付期限的约定：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7.1.1 合同当事人约定的施工组织设计应包括的其他内容：</w:t>
      </w:r>
      <w:r>
        <w:rPr>
          <w:rFonts w:hint="eastAsia" w:ascii="宋体" w:hAnsi="宋体" w:eastAsia="宋体" w:cs="宋体"/>
          <w:color w:val="000000"/>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施工组织设计和总进度计划应于施工前7天提交发包人及监理工程师审批， 总进度计划应满足</w:t>
      </w:r>
      <w:r>
        <w:rPr>
          <w:rFonts w:hint="eastAsia" w:ascii="宋体" w:hAnsi="宋体" w:eastAsia="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rPr>
        <w:t xml:space="preserve">文件和合同对工期</w:t>
      </w:r>
      <w:r>
        <w:rPr>
          <w:rFonts w:hint="eastAsia" w:ascii="宋体" w:hAnsi="宋体" w:eastAsia="宋体" w:cs="宋体"/>
          <w:color w:val="000000"/>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关于承包人提交工程开工报审表的期限：</w:t>
      </w:r>
      <w:r>
        <w:rPr>
          <w:rFonts w:hint="eastAsia" w:ascii="宋体" w:hAnsi="宋体" w:eastAsia="宋体" w:cs="宋体"/>
          <w:color w:val="000000"/>
          <w:sz w:val="24"/>
          <w:szCs w:val="24"/>
          <w:highlight w:val="none"/>
          <w:u w:val="single"/>
        </w:rPr>
        <w:t xml:space="preserve">合同签订后、接到监理方的书面开工指令7日内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开工报告批准日期之前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除不可抗力和</w:t>
      </w:r>
      <w:r>
        <w:rPr>
          <w:rFonts w:hint="eastAsia" w:ascii="宋体" w:hAnsi="宋体" w:eastAsia="宋体" w:cs="宋体"/>
          <w:color w:val="000000"/>
          <w:sz w:val="24"/>
          <w:szCs w:val="24"/>
          <w:highlight w:val="none"/>
        </w:rPr>
        <w:t xml:space="preserve">发包人</w:t>
      </w:r>
      <w:r>
        <w:rPr>
          <w:rFonts w:hint="eastAsia" w:ascii="宋体" w:hAnsi="宋体" w:eastAsia="宋体" w:cs="宋体"/>
          <w:b w:val="0"/>
          <w:bCs/>
          <w:color w:val="000000"/>
          <w:sz w:val="24"/>
          <w:szCs w:val="24"/>
          <w:highlight w:val="none"/>
        </w:rPr>
        <w:t xml:space="preserve">原因造成的工期延误外，工期不得顺延。非</w:t>
      </w:r>
      <w:r>
        <w:rPr>
          <w:rFonts w:hint="eastAsia" w:ascii="宋体" w:hAnsi="宋体" w:eastAsia="宋体" w:cs="宋体"/>
          <w:color w:val="000000"/>
          <w:sz w:val="24"/>
          <w:szCs w:val="24"/>
          <w:highlight w:val="none"/>
        </w:rPr>
        <w:t xml:space="preserve">承包人</w:t>
      </w:r>
      <w:r>
        <w:rPr>
          <w:rFonts w:hint="eastAsia" w:ascii="宋体" w:hAnsi="宋体" w:eastAsia="宋体" w:cs="宋体"/>
          <w:b w:val="0"/>
          <w:bCs/>
          <w:color w:val="000000"/>
          <w:sz w:val="24"/>
          <w:szCs w:val="24"/>
          <w:highlight w:val="none"/>
        </w:rPr>
        <w:t xml:space="preserve">原因造成的工期延误，经</w:t>
      </w:r>
      <w:r>
        <w:rPr>
          <w:rFonts w:hint="eastAsia" w:ascii="宋体" w:hAnsi="宋体" w:eastAsia="宋体" w:cs="宋体"/>
          <w:color w:val="000000"/>
          <w:sz w:val="24"/>
          <w:szCs w:val="24"/>
          <w:highlight w:val="none"/>
        </w:rPr>
        <w:t xml:space="preserve">发包人</w:t>
      </w:r>
      <w:r>
        <w:rPr>
          <w:rFonts w:hint="eastAsia" w:ascii="宋体" w:hAnsi="宋体" w:eastAsia="宋体" w:cs="宋体"/>
          <w:b w:val="0"/>
          <w:bCs/>
          <w:color w:val="000000"/>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）因发包人原因导致工期延误的其他情形：</w:t>
      </w:r>
      <w:r>
        <w:rPr>
          <w:rFonts w:hint="eastAsia" w:ascii="宋体" w:hAnsi="宋体" w:eastAsia="宋体" w:cs="宋体"/>
          <w:color w:val="000000"/>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每延误一天，由承包人向发包人按合同价款的</w:t>
      </w:r>
      <w:r>
        <w:rPr>
          <w:rFonts w:hint="eastAsia" w:ascii="宋体" w:hAnsi="宋体" w:eastAsia="宋体" w:cs="宋体"/>
          <w:color w:val="000000"/>
          <w:sz w:val="24"/>
          <w:szCs w:val="24"/>
          <w:highlight w:val="none"/>
          <w:u w:val="single"/>
          <w:lang w:val="en-US" w:eastAsia="zh-CN"/>
        </w:rPr>
        <w:t xml:space="preserve">百分之一</w:t>
      </w:r>
      <w:r>
        <w:rPr>
          <w:rFonts w:hint="eastAsia" w:ascii="宋体" w:hAnsi="宋体" w:eastAsia="宋体" w:cs="宋体"/>
          <w:color w:val="000000"/>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总额不超过合同价款的</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.1发包人供应的材料设备的保管费用的承担：</w:t>
      </w:r>
      <w:r>
        <w:rPr>
          <w:rFonts w:hint="eastAsia" w:ascii="宋体" w:hAnsi="宋体" w:eastAsia="宋体" w:cs="宋体"/>
          <w:color w:val="000000"/>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8.4.1 </w:t>
      </w: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由承包人自行承担</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施工现场需要配置的试验场所：</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关于变更估价的约定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.1.1设计变更引起新增工程量清单项目，其相应综合单价按本</w:t>
      </w:r>
      <w:r>
        <w:rPr>
          <w:rFonts w:hint="eastAsia" w:ascii="宋体" w:hAnsi="宋体" w:eastAsia="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rPr>
        <w:t xml:space="preserve">文件规定的</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控制价计价编制办法计算，再乘以中标价与</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.1.2工程量增减，其相应综合单价执行</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报价的综合单价，但不得高于定额价的综合单价。</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.1.3清单项目中特征描述不全的工序，如图纸已明确或已指明引用的规范、图集等或是常规工艺</w:t>
      </w:r>
      <w:r>
        <w:rPr>
          <w:rFonts w:hint="eastAsia" w:ascii="宋体" w:hAnsi="宋体" w:eastAsia="宋体" w:cs="宋体"/>
          <w:color w:val="000000"/>
          <w:sz w:val="24"/>
          <w:szCs w:val="24"/>
          <w:highlight w:val="none"/>
          <w:u w:val="single"/>
          <w:lang w:eastAsia="zh-CN"/>
        </w:rPr>
        <w:t xml:space="preserve">必需的</w:t>
      </w:r>
      <w:r>
        <w:rPr>
          <w:rFonts w:hint="eastAsia" w:ascii="宋体" w:hAnsi="宋体" w:eastAsia="宋体" w:cs="宋体"/>
          <w:color w:val="000000"/>
          <w:sz w:val="24"/>
          <w:szCs w:val="24"/>
          <w:highlight w:val="none"/>
          <w:u w:val="single"/>
        </w:rPr>
        <w:t xml:space="preserve">工序，应包括在报价中。</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以上10.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.1.1、10.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（1）有类似单价的，参照类似单价；</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（2）没有类似单价的，按照变更发生前一个月的《徐州工程造价信息》中相应的材料价格和相应的定额计价，同时按照中标价与</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（3）《徐州工程造价信息》中没有相应材料价格的，双方比价采购或者由</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人经</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确定价格后，计入相应的定额计价，但该部分材料价格不再参与下浮，其余部分按照中标价与</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控制价的整体下浮比率下浮。</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（1）总价</w:t>
      </w:r>
      <w:r>
        <w:rPr>
          <w:rFonts w:hint="eastAsia" w:ascii="宋体" w:hAnsi="宋体" w:eastAsia="宋体" w:cs="宋体"/>
          <w:color w:val="000000"/>
          <w:sz w:val="24"/>
          <w:szCs w:val="24"/>
          <w:highlight w:val="none"/>
          <w:u w:val="single"/>
          <w:lang w:eastAsia="zh-CN"/>
        </w:rPr>
        <w:t xml:space="preserve">措施</w:t>
      </w:r>
      <w:r>
        <w:rPr>
          <w:rFonts w:hint="eastAsia" w:ascii="宋体" w:hAnsi="宋体" w:eastAsia="宋体" w:cs="宋体"/>
          <w:color w:val="000000"/>
          <w:sz w:val="24"/>
          <w:szCs w:val="24"/>
          <w:highlight w:val="none"/>
          <w:u w:val="single"/>
        </w:rPr>
        <w:t xml:space="preserve">费仍按</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时费率进行调整（其中安全文明增加费及按质论价费的费率按实调整）。</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（2）单价措施（排水、降水、脚手架、围堰、便桥、封底混凝土、便道、围挡）的措施费按照单价措施项目清单</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单价，结算按实调整（除由设计变更引起的单价措施工程量调整外，结算工程量不得超过</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清单工程量）。</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74" w:name="_Toc297120497"/>
      <w:r/>
      <w:bookmarkStart w:id="75" w:name="_Toc296346698"/>
      <w:r/>
      <w:bookmarkStart w:id="76" w:name="_Toc300934993"/>
      <w:r/>
      <w:bookmarkStart w:id="77" w:name="_Toc303539150"/>
      <w:r/>
      <w:bookmarkStart w:id="78" w:name="_Toc296347196"/>
      <w:r/>
      <w:bookmarkStart w:id="79" w:name="_Toc292559402"/>
      <w:r/>
      <w:bookmarkStart w:id="80" w:name="_Toc297216203"/>
      <w:r/>
      <w:bookmarkStart w:id="81" w:name="_Toc296891237"/>
      <w:r/>
      <w:bookmarkStart w:id="82" w:name="_Toc297123544"/>
      <w:r/>
      <w:bookmarkStart w:id="83" w:name="_Toc292559907"/>
      <w:r/>
      <w:bookmarkStart w:id="84" w:name="_Toc296944536"/>
      <w:r/>
      <w:bookmarkStart w:id="85" w:name="_Toc296503197"/>
      <w:r/>
      <w:bookmarkStart w:id="86" w:name="_Toc297048383"/>
      <w:r/>
      <w:bookmarkStart w:id="87" w:name="_Toc296891025"/>
      <w:r/>
      <w:bookmarkStart w:id="88" w:name="_Toc304295570"/>
      <w:r/>
      <w:bookmarkStart w:id="89" w:name="_Toc312677503"/>
      <w:r/>
      <w:bookmarkStart w:id="90" w:name="_Toc312678029"/>
      <w:r>
        <w:rPr>
          <w:rFonts w:hint="eastAsia" w:ascii="宋体" w:hAnsi="宋体" w:eastAsia="宋体" w:cs="宋体"/>
          <w:color w:val="000000"/>
          <w:sz w:val="24"/>
          <w:szCs w:val="24"/>
          <w:highlight w:val="none"/>
        </w:rPr>
        <w:t xml:space="preserve">0.5承</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Start w:id="91" w:name="_Toc296944542"/>
      <w:r/>
      <w:bookmarkStart w:id="92" w:name="_Toc297120503"/>
      <w:r/>
      <w:bookmarkStart w:id="93" w:name="_Toc297123545"/>
      <w:r/>
      <w:bookmarkStart w:id="94" w:name="_Toc297048389"/>
      <w:r/>
      <w:bookmarkStart w:id="95" w:name="_Toc296503203"/>
      <w:r/>
      <w:bookmarkStart w:id="96" w:name="_Toc300934994"/>
      <w:r/>
      <w:bookmarkStart w:id="97" w:name="_Toc303539151"/>
      <w:r/>
      <w:bookmarkStart w:id="98" w:name="_Toc297216204"/>
      <w:r/>
      <w:bookmarkStart w:id="99" w:name="_Toc296891031"/>
      <w:r/>
      <w:bookmarkStart w:id="100" w:name="_Toc296347202"/>
      <w:r/>
      <w:bookmarkStart w:id="101" w:name="_Toc292559913"/>
      <w:r/>
      <w:bookmarkStart w:id="102" w:name="_Toc296346704"/>
      <w:r/>
      <w:bookmarkStart w:id="103" w:name="_Toc296891243"/>
      <w:r/>
      <w:bookmarkStart w:id="104" w:name="_Toc292559408"/>
      <w:r>
        <w:rPr>
          <w:rFonts w:hint="eastAsia" w:ascii="宋体" w:hAnsi="宋体" w:eastAsia="宋体" w:cs="宋体"/>
          <w:color w:val="000000"/>
          <w:sz w:val="24"/>
          <w:szCs w:val="24"/>
          <w:highlight w:val="none"/>
        </w:rPr>
        <w:t xml:space="preserve">包人的合理化建议</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实施前14日内</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实施前7日内</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w:t>
      </w:r>
      <w:bookmarkStart w:id="105" w:name="_Toc297048390"/>
      <w:r/>
      <w:bookmarkStart w:id="106" w:name="_Toc292559914"/>
      <w:r/>
      <w:bookmarkStart w:id="107" w:name="_Toc292559409"/>
      <w:r/>
      <w:bookmarkStart w:id="108" w:name="_Toc296347203"/>
      <w:r/>
      <w:bookmarkStart w:id="109" w:name="_Toc312678030"/>
      <w:r/>
      <w:bookmarkStart w:id="110" w:name="_Toc296891244"/>
      <w:r/>
      <w:bookmarkStart w:id="111" w:name="_Toc312677504"/>
      <w:r/>
      <w:bookmarkStart w:id="112" w:name="_Toc296891032"/>
      <w:r/>
      <w:bookmarkStart w:id="113" w:name="_Toc300934995"/>
      <w:r/>
      <w:bookmarkStart w:id="114" w:name="_Toc297120504"/>
      <w:r/>
      <w:bookmarkStart w:id="115" w:name="_Toc297123546"/>
      <w:r/>
      <w:bookmarkStart w:id="116" w:name="_Toc296346705"/>
      <w:r/>
      <w:bookmarkStart w:id="117" w:name="_Toc296503204"/>
      <w:r/>
      <w:bookmarkStart w:id="118" w:name="_Toc297216205"/>
      <w:r/>
      <w:bookmarkStart w:id="119" w:name="_Toc318581175"/>
      <w:r/>
      <w:bookmarkStart w:id="120" w:name="_Toc296944543"/>
      <w:r/>
      <w:bookmarkStart w:id="121" w:name="_Toc303539152"/>
      <w:r/>
      <w:bookmarkStart w:id="122" w:name="_Toc304295571"/>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123" w:name="_Toc351203643"/>
      <w:r>
        <w:rPr>
          <w:rFonts w:hint="eastAsia" w:ascii="宋体" w:hAnsi="宋体" w:eastAsia="宋体" w:cs="宋体"/>
          <w:b/>
          <w:bCs/>
          <w:color w:val="000000"/>
          <w:sz w:val="24"/>
          <w:szCs w:val="24"/>
          <w:highlight w:val="none"/>
        </w:rPr>
        <w:t xml:space="preserve">11.价格调整</w:t>
      </w:r>
      <w:bookmarkEnd w:id="123"/>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24" w:name="_Toc296891029"/>
      <w:r/>
      <w:bookmarkStart w:id="125" w:name="_Toc296346702"/>
      <w:r/>
      <w:bookmarkStart w:id="126" w:name="_Toc297123550"/>
      <w:r/>
      <w:bookmarkStart w:id="127" w:name="_Toc292559406"/>
      <w:r/>
      <w:bookmarkStart w:id="128" w:name="_Toc297048387"/>
      <w:r/>
      <w:bookmarkStart w:id="129" w:name="_Toc297120501"/>
      <w:r/>
      <w:bookmarkStart w:id="130" w:name="_Toc296503201"/>
      <w:r/>
      <w:bookmarkStart w:id="131" w:name="_Toc292559911"/>
      <w:r/>
      <w:bookmarkStart w:id="132" w:name="_Toc303539157"/>
      <w:r/>
      <w:bookmarkStart w:id="133" w:name="_Toc312678039"/>
      <w:r/>
      <w:bookmarkStart w:id="134" w:name="_Toc296347200"/>
      <w:r/>
      <w:bookmarkStart w:id="135" w:name="_Toc297216209"/>
      <w:r/>
      <w:bookmarkStart w:id="136" w:name="_Toc304295577"/>
      <w:r/>
      <w:bookmarkStart w:id="137" w:name="_Toc296891241"/>
      <w:r/>
      <w:bookmarkStart w:id="138" w:name="_Toc296944540"/>
      <w:r/>
      <w:bookmarkStart w:id="139" w:name="_Toc300935000"/>
      <w:r>
        <w:rPr>
          <w:rFonts w:hint="eastAsia" w:ascii="宋体" w:hAnsi="宋体" w:eastAsia="宋体" w:cs="宋体"/>
          <w:color w:val="000000"/>
          <w:sz w:val="24"/>
          <w:szCs w:val="24"/>
          <w:highlight w:val="none"/>
        </w:rPr>
        <w:t xml:space="preserve">11.1市场价格波动引起的调整</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pStyle w:val="1062"/>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b/>
          <w:color w:val="000000"/>
          <w:sz w:val="24"/>
          <w:szCs w:val="24"/>
          <w:highlight w:val="none"/>
          <w:u w:val="single"/>
        </w:rPr>
        <w:t xml:space="preserve">承包人在</w:t>
      </w:r>
      <w:r>
        <w:rPr>
          <w:rFonts w:hint="eastAsia" w:ascii="宋体" w:hAnsi="宋体" w:eastAsia="宋体" w:cs="宋体"/>
          <w:b/>
          <w:color w:val="000000"/>
          <w:sz w:val="24"/>
          <w:szCs w:val="24"/>
          <w:highlight w:val="none"/>
          <w:u w:val="single"/>
          <w:lang w:val="en-US" w:eastAsia="zh-CN"/>
        </w:rPr>
        <w:t xml:space="preserve">响应</w:t>
      </w:r>
      <w:r>
        <w:rPr>
          <w:rFonts w:hint="eastAsia" w:ascii="宋体" w:hAnsi="宋体" w:eastAsia="宋体" w:cs="宋体"/>
          <w:b/>
          <w:color w:val="000000"/>
          <w:sz w:val="24"/>
          <w:szCs w:val="24"/>
          <w:highlight w:val="none"/>
          <w:u w:val="single"/>
        </w:rPr>
        <w:t xml:space="preserve">时应已充分考虑到施工期间各类建材的市场风险，并计入总报价，合同履行期间不予调整</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关于各可调因子、定值和变值权重，以及基本价格指数及其来源的约定：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（2）关于基准价格的约定：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专用合同条款：</w:t>
      </w:r>
      <w:r>
        <w:rPr>
          <w:rFonts w:hint="eastAsia" w:ascii="宋体" w:hAnsi="宋体" w:eastAsia="宋体" w:cs="宋体"/>
          <w:color w:val="000000"/>
          <w:sz w:val="24"/>
          <w:szCs w:val="24"/>
          <w:highlight w:val="none"/>
          <w:u w:val="single"/>
        </w:rPr>
        <w:t xml:space="preserve">（1）承包人</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报价中材料单价低于基准单价：施工期间材料单价涨幅以基准单价为基础超过5%，或材料单价跌幅以</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报价为基础超过5%时，其超过部分按实调整。</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（2）承包人</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报价中材料单价高于基准单价：施工期间材料单价跌幅以基准单价为基础超过5%，或材料单价涨幅以</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报价为基础超过5%时，其超过部分按实调整。</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（3）承包人</w:t>
      </w:r>
      <w:r>
        <w:rPr>
          <w:rFonts w:hint="eastAsia" w:ascii="宋体" w:hAnsi="宋体" w:eastAsia="宋体" w:cs="宋体"/>
          <w:color w:val="000000"/>
          <w:sz w:val="24"/>
          <w:szCs w:val="24"/>
          <w:highlight w:val="none"/>
          <w:u w:val="single"/>
          <w:lang w:val="en-US" w:eastAsia="zh-CN"/>
        </w:rPr>
        <w:t xml:space="preserve">响应</w:t>
      </w:r>
      <w:r>
        <w:rPr>
          <w:rFonts w:hint="eastAsia" w:ascii="宋体" w:hAnsi="宋体" w:eastAsia="宋体" w:cs="宋体"/>
          <w:color w:val="000000"/>
          <w:sz w:val="24"/>
          <w:szCs w:val="24"/>
          <w:highlight w:val="none"/>
          <w:u w:val="single"/>
        </w:rPr>
        <w:t xml:space="preserve">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000000"/>
          <w:sz w:val="24"/>
          <w:szCs w:val="24"/>
          <w:highlight w:val="none"/>
          <w:u w:val="single"/>
        </w:rPr>
      </w:pPr>
      <w:r>
        <w:rPr>
          <w:rFonts w:hint="eastAsia" w:ascii="宋体" w:hAnsi="宋体" w:eastAsia="宋体" w:cs="宋体"/>
          <w:b w:val="0"/>
          <w:bCs w:val="0"/>
          <w:color w:val="000000"/>
          <w:sz w:val="24"/>
          <w:szCs w:val="24"/>
          <w:highlight w:val="none"/>
        </w:rPr>
        <w:t xml:space="preserve">第3种方式：其他价格调整方式：</w:t>
      </w:r>
      <w:r>
        <w:rPr>
          <w:rFonts w:hint="eastAsia" w:ascii="宋体" w:hAnsi="宋体" w:eastAsia="宋体" w:cs="宋体"/>
          <w:b/>
          <w:bCs/>
          <w:color w:val="000000"/>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40" w:name="_Toc267251461"/>
      <w:r/>
      <w:bookmarkStart w:id="141" w:name="_Toc292559411"/>
      <w:r/>
      <w:bookmarkStart w:id="142" w:name="_Toc292559916"/>
      <w:r/>
      <w:bookmarkStart w:id="143" w:name="_Toc296944545"/>
      <w:r/>
      <w:bookmarkStart w:id="144" w:name="_Toc297048392"/>
      <w:r/>
      <w:bookmarkStart w:id="145" w:name="_Toc296347205"/>
      <w:r/>
      <w:bookmarkStart w:id="146" w:name="_Toc297120506"/>
      <w:r/>
      <w:bookmarkStart w:id="147" w:name="_Toc296891246"/>
      <w:r/>
      <w:bookmarkStart w:id="148" w:name="_Toc296891034"/>
      <w:r/>
      <w:bookmarkStart w:id="149" w:name="_Toc296503206"/>
      <w:r/>
      <w:bookmarkStart w:id="150" w:name="_Toc296346707"/>
      <w:r/>
      <w:bookmarkStart w:id="151" w:name="_Toc297123553"/>
      <w:r/>
      <w:bookmarkStart w:id="152" w:name="_Toc300935003"/>
      <w:r/>
      <w:bookmarkStart w:id="153" w:name="_Toc297216212"/>
      <w:r/>
      <w:bookmarkStart w:id="154" w:name="_Toc312678041"/>
      <w:r/>
      <w:bookmarkStart w:id="155" w:name="_Toc304295580"/>
      <w:r/>
      <w:bookmarkStart w:id="156" w:name="_Toc303539160"/>
      <w:r>
        <w:rPr>
          <w:rFonts w:hint="eastAsia" w:ascii="宋体" w:hAnsi="宋体" w:eastAsia="宋体" w:cs="宋体"/>
          <w:color w:val="000000"/>
          <w:sz w:val="24"/>
          <w:szCs w:val="24"/>
          <w:highlight w:val="none"/>
        </w:rPr>
        <w:t xml:space="preserve">12.1合</w:t>
      </w:r>
      <w:bookmarkEnd w:id="140"/>
      <w:r/>
      <w:bookmarkEnd w:id="141"/>
      <w:r/>
      <w:bookmarkEnd w:id="142"/>
      <w:r>
        <w:rPr>
          <w:rFonts w:hint="eastAsia" w:ascii="宋体" w:hAnsi="宋体" w:eastAsia="宋体" w:cs="宋体"/>
          <w:color w:val="000000"/>
          <w:sz w:val="24"/>
          <w:szCs w:val="24"/>
          <w:highlight w:val="none"/>
        </w:rPr>
        <w:t xml:space="preserve">同价</w:t>
      </w:r>
      <w:bookmarkEnd w:id="143"/>
      <w:r/>
      <w:bookmarkEnd w:id="144"/>
      <w:r/>
      <w:bookmarkEnd w:id="145"/>
      <w:r/>
      <w:bookmarkEnd w:id="146"/>
      <w:r/>
      <w:bookmarkEnd w:id="147"/>
      <w:r/>
      <w:bookmarkEnd w:id="148"/>
      <w:r/>
      <w:bookmarkEnd w:id="149"/>
      <w:r/>
      <w:bookmarkEnd w:id="150"/>
      <w:r>
        <w:rPr>
          <w:rFonts w:hint="eastAsia" w:ascii="宋体" w:hAnsi="宋体" w:eastAsia="宋体" w:cs="宋体"/>
          <w:color w:val="000000"/>
          <w:sz w:val="24"/>
          <w:szCs w:val="24"/>
          <w:highlight w:val="none"/>
        </w:rPr>
        <w:t xml:space="preserve">格形式</w:t>
      </w:r>
      <w:bookmarkEnd w:id="151"/>
      <w:r/>
      <w:bookmarkEnd w:id="152"/>
      <w:r/>
      <w:bookmarkEnd w:id="153"/>
      <w:r/>
      <w:bookmarkEnd w:id="154"/>
      <w:r/>
      <w:bookmarkEnd w:id="155"/>
      <w:r/>
      <w:bookmarkEnd w:id="156"/>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综合单价包含的风险范围：</w:t>
      </w:r>
      <w:r>
        <w:rPr>
          <w:rFonts w:hint="eastAsia" w:ascii="宋体" w:hAnsi="宋体" w:eastAsia="宋体" w:cs="宋体"/>
          <w:color w:val="000000"/>
          <w:sz w:val="24"/>
          <w:highlight w:val="none"/>
          <w:u w:val="single"/>
        </w:rPr>
        <w:t xml:space="preserve"> a人工费按照苏建函价</w:t>
      </w:r>
      <w:r>
        <w:rPr>
          <w:rFonts w:hint="eastAsia" w:ascii="宋体" w:hAnsi="宋体" w:eastAsia="宋体" w:cs="宋体"/>
          <w:color w:val="000000"/>
          <w:sz w:val="24"/>
          <w:highlight w:val="none"/>
          <w:u w:val="single"/>
          <w:lang w:val="en-US" w:eastAsia="zh-CN"/>
        </w:rPr>
        <w:t xml:space="preserve">[2025]273号</w:t>
      </w:r>
      <w:r>
        <w:rPr>
          <w:rFonts w:hint="eastAsia" w:ascii="宋体" w:hAnsi="宋体" w:eastAsia="宋体" w:cs="宋体"/>
          <w:color w:val="000000"/>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风险费用已包含在合同价中 </w:t>
      </w:r>
      <w:r>
        <w:rPr>
          <w:rFonts w:hint="eastAsia" w:ascii="宋体" w:hAnsi="宋体" w:eastAsia="宋体" w:cs="宋体"/>
          <w:color w:val="000000"/>
          <w:sz w:val="24"/>
          <w:highlight w:val="none"/>
        </w:rPr>
        <w:t xml:space="preserve">。</w:t>
      </w:r>
      <w:r/>
    </w:p>
    <w:p>
      <w:pPr>
        <w:ind w:firstLine="480"/>
        <w:jc w:val="left"/>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风险范围以外合同价格的调整方法：</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文件中规定的</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控制价计价编制办法的原则计算，报发包人同意后进行结算；因非承包人原因的工程变更，造成施工组织设计或施工方案变更，引起措施项目发生变化时，措施项目费按</w:t>
      </w:r>
      <w:r>
        <w:rPr>
          <w:rFonts w:hint="eastAsia" w:ascii="宋体" w:hAnsi="宋体" w:eastAsia="宋体" w:cs="宋体"/>
          <w:color w:val="000000"/>
          <w:sz w:val="24"/>
          <w:highlight w:val="none"/>
          <w:u w:val="single"/>
          <w:lang w:eastAsia="zh-CN"/>
        </w:rPr>
        <w:t xml:space="preserve">响应</w:t>
      </w:r>
      <w:r>
        <w:rPr>
          <w:rFonts w:hint="eastAsia" w:ascii="宋体" w:hAnsi="宋体" w:eastAsia="宋体" w:cs="宋体"/>
          <w:color w:val="000000"/>
          <w:sz w:val="24"/>
          <w:highlight w:val="none"/>
          <w:u w:val="single"/>
        </w:rPr>
        <w:t xml:space="preserve">时费率进行调整。</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预算价计价办法提出固定价格，经发包人确认后执行，结算原则按中标价与</w:t>
      </w:r>
      <w:r>
        <w:rPr>
          <w:rFonts w:hint="eastAsia" w:ascii="宋体" w:hAnsi="宋体" w:eastAsia="宋体" w:cs="宋体"/>
          <w:color w:val="000000"/>
          <w:sz w:val="24"/>
          <w:highlight w:val="none"/>
          <w:u w:val="single"/>
          <w:lang w:eastAsia="zh-CN"/>
        </w:rPr>
        <w:t xml:space="preserve">谈判</w:t>
      </w:r>
      <w:r>
        <w:rPr>
          <w:rFonts w:hint="eastAsia" w:ascii="宋体" w:hAnsi="宋体" w:eastAsia="宋体" w:cs="宋体"/>
          <w:color w:val="000000"/>
          <w:sz w:val="24"/>
          <w:highlight w:val="none"/>
          <w:u w:val="single"/>
        </w:rPr>
        <w:t xml:space="preserve">预算价相比的让利幅度同比例下浮。</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6）关于法律、法规、规章或各级政府在施工期间出台的有关政策导致工程规费、税金发生变化的，应按照有关规定执行。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总价包含的风险范围：</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3、其他价格方式：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57" w:name="_Toc297216213"/>
      <w:r/>
      <w:bookmarkStart w:id="158" w:name="_Toc312678042"/>
      <w:r/>
      <w:bookmarkStart w:id="159" w:name="_Toc300935004"/>
      <w:r/>
      <w:bookmarkStart w:id="160" w:name="_Toc303539161"/>
      <w:r/>
      <w:bookmarkStart w:id="161" w:name="_Toc297123554"/>
      <w:r/>
      <w:bookmarkStart w:id="162" w:name="_Toc304295581"/>
      <w:r/>
      <w:bookmarkStart w:id="163" w:name="_Toc296503207"/>
      <w:r/>
      <w:bookmarkStart w:id="164" w:name="_Toc296891247"/>
      <w:r/>
      <w:bookmarkStart w:id="165" w:name="_Toc297120507"/>
      <w:r/>
      <w:bookmarkStart w:id="166" w:name="_Toc296891035"/>
      <w:r/>
      <w:bookmarkStart w:id="167" w:name="_Toc297048393"/>
      <w:r/>
      <w:bookmarkStart w:id="168" w:name="_Toc296347206"/>
      <w:r/>
      <w:bookmarkStart w:id="169" w:name="_Toc292559917"/>
      <w:r/>
      <w:bookmarkStart w:id="170" w:name="_Toc296944546"/>
      <w:r/>
      <w:bookmarkStart w:id="171" w:name="_Toc292559412"/>
      <w:r/>
      <w:bookmarkStart w:id="172" w:name="_Toc296346708"/>
      <w:r>
        <w:rPr>
          <w:rFonts w:hint="eastAsia" w:ascii="宋体" w:hAnsi="宋体" w:eastAsia="宋体" w:cs="宋体"/>
          <w:color w:val="000000"/>
          <w:sz w:val="24"/>
          <w:szCs w:val="24"/>
          <w:highlight w:val="none"/>
        </w:rPr>
        <w:t xml:space="preserve">12.2预付款</w:t>
      </w:r>
      <w:bookmarkEnd w:id="157"/>
      <w:r/>
      <w:bookmarkEnd w:id="158"/>
      <w:r/>
      <w:bookmarkEnd w:id="159"/>
      <w:r/>
      <w:bookmarkEnd w:id="160"/>
      <w:r/>
      <w:bookmarkEnd w:id="161"/>
      <w:r/>
      <w:bookmarkEnd w:id="162"/>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lang w:val="en-US" w:eastAsia="zh-CN"/>
        </w:rPr>
        <w:t xml:space="preserve"> 详见12.4.1 付款周期 </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lang w:val="en-US" w:eastAsia="zh-CN"/>
        </w:rPr>
        <w:t xml:space="preserve"> 详见12.4.1 付款周期 </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rPr>
        <w:t xml:space="preserve">不扣回</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转为工程进度款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bookmarkEnd w:id="163"/>
      <w:r/>
      <w:bookmarkEnd w:id="164"/>
      <w:r/>
      <w:bookmarkEnd w:id="165"/>
      <w:r/>
      <w:bookmarkEnd w:id="166"/>
      <w:r/>
      <w:bookmarkEnd w:id="167"/>
      <w:r/>
      <w:bookmarkEnd w:id="168"/>
      <w:r/>
      <w:bookmarkEnd w:id="169"/>
      <w:r/>
      <w:bookmarkEnd w:id="170"/>
      <w:r/>
      <w:bookmarkEnd w:id="171"/>
      <w:r/>
      <w:bookmarkEnd w:id="172"/>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工程量计算规则：执行现行国家标准</w:t>
      </w:r>
      <w:r>
        <w:rPr>
          <w:rFonts w:hint="eastAsia" w:ascii="宋体" w:hAnsi="宋体" w:eastAsia="宋体" w:cs="宋体"/>
          <w:color w:val="000000"/>
          <w:sz w:val="24"/>
          <w:szCs w:val="24"/>
          <w:highlight w:val="none"/>
          <w:u w:val="single"/>
          <w:lang w:val="en-US" w:eastAsia="zh-CN"/>
        </w:rPr>
        <w:t xml:space="preserve">《建设工程工程量清单计价规范》（GB50500-2013）；《房屋建筑与装饰工程工程量计算规范》(GB50854-2013）；《通用安装工程工程量计算规范》(GB50856-2013）；</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2.2014年《江苏省建筑与装饰工程计价定额》；2014年《江苏省安装工程计价定额》；2009年《江苏修缮建筑定额》；2009年《江苏修缮安装定额》等；</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3.2014年《江苏省建设工程费用定额》及苏建价(2016)154号文件关于建筑业实施营改增后江苏省建设工程计价依据调整的通知。</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w:t>
      </w:r>
      <w:r/>
    </w:p>
    <w:p>
      <w:pPr>
        <w:ind w:left="0" w:right="0" w:firstLine="480"/>
        <w:jc w:val="left"/>
        <w:pageBreakBefore w:val="0"/>
        <w:spacing w:after="0" w:line="336"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其他价格形式的计量方式和程序：</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12.4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工程进度款支付</w:t>
      </w:r>
      <w:r/>
    </w:p>
    <w:p>
      <w:pPr>
        <w:ind w:left="0" w:right="0" w:firstLine="480"/>
        <w:jc w:val="left"/>
        <w:pageBreakBefore w:val="0"/>
        <w:spacing w:after="0" w:line="336" w:lineRule="auto"/>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pPr>
      <w:r/>
      <w:bookmarkStart w:id="173" w:name="_Toc297048397"/>
      <w:r/>
      <w:bookmarkStart w:id="174" w:name="_Toc296346712"/>
      <w:r/>
      <w:bookmarkStart w:id="175" w:name="_Toc297120511"/>
      <w:r/>
      <w:bookmarkStart w:id="176" w:name="_Toc303539163"/>
      <w:r/>
      <w:bookmarkStart w:id="177" w:name="_Toc296891251"/>
      <w:r/>
      <w:bookmarkStart w:id="178" w:name="_Toc296347210"/>
      <w:r/>
      <w:bookmarkStart w:id="179" w:name="_Toc296891039"/>
      <w:r/>
      <w:bookmarkStart w:id="180" w:name="_Toc300935006"/>
      <w:r/>
      <w:bookmarkStart w:id="181" w:name="_Toc296944550"/>
      <w:r/>
      <w:bookmarkStart w:id="182" w:name="_Toc297216215"/>
      <w:r/>
      <w:bookmarkStart w:id="183" w:name="_Toc297123556"/>
      <w:r/>
      <w:bookmarkStart w:id="184" w:name="_Toc292559921"/>
      <w:r/>
      <w:bookmarkStart w:id="185" w:name="_Toc296503211"/>
      <w:r/>
      <w:bookmarkStart w:id="186" w:name="_Toc292559416"/>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合同生效且主要施工人员进场开工且在审批后14个工作日内，且财政资金到位后支付工程合同价款的30%预付款；工程竣工验收合格后，审批后且财政资金到位后14个工作日内付至合同价款的70%；工程完成竣工备案且承包人完成结算审核工作，收到承包人竣工付款申请表后且财政资金到位后28个工作日内付至经双方认可的竣工结算价款的100%。</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进度款与质量挂钩，如果所完成工程的质量达不到验收规范要求，发包人有权暂缓支付该部分工程款，待承包人整改完成符合验收规范要求后再行支付。</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在每次付款前，</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应提交符合税务要求的合法合规票据，否则</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有权拒付，由此造成的法律后果由</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承担。</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需提交的支付文件包括：</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承包人</w:t>
      </w:r>
      <w:r>
        <w:rPr>
          <w:rFonts w:hint="eastAsia" w:ascii="宋体" w:hAnsi="宋体" w:eastAsia="宋体" w:cs="宋体"/>
          <w:color w:val="000000"/>
          <w:sz w:val="24"/>
          <w:szCs w:val="24"/>
          <w:highlight w:val="none"/>
        </w:rPr>
        <w:t xml:space="preserve">出具的全额正式增值税</w:t>
      </w:r>
      <w:r>
        <w:rPr>
          <w:rFonts w:hint="eastAsia" w:ascii="宋体" w:hAnsi="宋体" w:eastAsia="宋体" w:cs="宋体"/>
          <w:color w:val="000000"/>
          <w:sz w:val="24"/>
          <w:szCs w:val="24"/>
          <w:highlight w:val="none"/>
          <w:lang w:val="en-US" w:eastAsia="zh-CN"/>
        </w:rPr>
        <w:t xml:space="preserve">专用</w:t>
      </w:r>
      <w:r>
        <w:rPr>
          <w:rFonts w:hint="eastAsia" w:ascii="宋体" w:hAnsi="宋体" w:eastAsia="宋体" w:cs="宋体"/>
          <w:color w:val="000000"/>
          <w:sz w:val="24"/>
          <w:szCs w:val="24"/>
          <w:highlight w:val="none"/>
        </w:rPr>
        <w:t xml:space="preserve">发票；</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发包人</w:t>
      </w:r>
      <w:r>
        <w:rPr>
          <w:rFonts w:hint="eastAsia" w:ascii="宋体" w:hAnsi="宋体" w:eastAsia="宋体" w:cs="宋体"/>
          <w:color w:val="000000"/>
          <w:sz w:val="24"/>
          <w:szCs w:val="24"/>
          <w:highlight w:val="none"/>
        </w:rPr>
        <w:t xml:space="preserve">出具的验收合格证明。</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当工程到达某一付款节点，而财政资金尚未拨付下来，承包人在施工期间保证不得以资金等任何原因为借口，拖延工期或擅自停工，否则，发包人将处10000元/天罚款。</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进度款与质量挂钩，如果所完成工程的质量达不到验收规范要求，发包人有权暂缓支付该部分工程款。待承包人整改完成符合验收规范要求后再行支付。</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12.4.2进度付款申请单的编制</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宋体" w:hAnsi="宋体" w:eastAsia="宋体" w:cs="宋体"/>
          <w:color w:val="000000"/>
          <w:sz w:val="24"/>
          <w:szCs w:val="24"/>
          <w:highlight w:val="none"/>
        </w:rPr>
        <w:t xml:space="preserve">2.4.3进度付款申请单的提交</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12.4.4进度款审核和支付</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b w:val="0"/>
          <w:bCs w:val="0"/>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支付分解表的编制</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、总价合同支付分解表的编制与审批：</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、单价合同的总价项目支付分解表的编制与审批：</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187" w:name="_Toc296503219"/>
      <w:r/>
      <w:bookmarkStart w:id="188" w:name="_Toc297120519"/>
      <w:r/>
      <w:bookmarkStart w:id="189" w:name="_Toc296891047"/>
      <w:r/>
      <w:bookmarkStart w:id="190" w:name="_Toc351203645"/>
      <w:r/>
      <w:bookmarkStart w:id="191" w:name="_Toc297216223"/>
      <w:r/>
      <w:bookmarkStart w:id="192" w:name="_Toc300935015"/>
      <w:r/>
      <w:bookmarkStart w:id="193" w:name="_Toc296346720"/>
      <w:r/>
      <w:bookmarkStart w:id="194" w:name="_Toc292559424"/>
      <w:r/>
      <w:bookmarkStart w:id="195" w:name="_Toc304295593"/>
      <w:r/>
      <w:bookmarkStart w:id="196" w:name="_Toc296891259"/>
      <w:r/>
      <w:bookmarkStart w:id="197" w:name="_Toc312678053"/>
      <w:r/>
      <w:bookmarkStart w:id="198" w:name="_Toc292559929"/>
      <w:r/>
      <w:bookmarkStart w:id="199" w:name="_Toc296347218"/>
      <w:r/>
      <w:bookmarkStart w:id="200" w:name="_Toc296944558"/>
      <w:r/>
      <w:bookmarkStart w:id="201" w:name="_Toc303539172"/>
      <w:r/>
      <w:bookmarkStart w:id="202" w:name="_Toc297123564"/>
      <w:r/>
      <w:bookmarkStart w:id="203" w:name="_Toc297048405"/>
      <w:r>
        <w:rPr>
          <w:rFonts w:hint="eastAsia" w:ascii="宋体" w:hAnsi="宋体" w:eastAsia="宋体" w:cs="宋体"/>
          <w:b/>
          <w:bCs/>
          <w:color w:val="000000"/>
          <w:sz w:val="24"/>
          <w:szCs w:val="24"/>
          <w:highlight w:val="none"/>
        </w:rPr>
        <w:t xml:space="preserve">13.验收和工程试车</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13.1分部分项工程验收</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204" w:name="_Toc296944562"/>
      <w:r/>
      <w:bookmarkStart w:id="205" w:name="_Toc296347222"/>
      <w:r/>
      <w:bookmarkStart w:id="206" w:name="_Toc296346724"/>
      <w:r/>
      <w:bookmarkStart w:id="207" w:name="_Toc296891051"/>
      <w:r/>
      <w:bookmarkStart w:id="208" w:name="_Toc297048409"/>
      <w:r/>
      <w:bookmarkStart w:id="209" w:name="_Toc303539173"/>
      <w:r/>
      <w:bookmarkStart w:id="210" w:name="_Toc296891263"/>
      <w:r/>
      <w:bookmarkStart w:id="211" w:name="_Toc312678056"/>
      <w:r/>
      <w:bookmarkStart w:id="212" w:name="_Toc304295596"/>
      <w:r/>
      <w:bookmarkStart w:id="213" w:name="_Toc297120523"/>
      <w:r/>
      <w:bookmarkStart w:id="214" w:name="_Toc292559933"/>
      <w:r/>
      <w:bookmarkStart w:id="215" w:name="_Toc296503223"/>
      <w:r/>
      <w:bookmarkStart w:id="216" w:name="_Toc292559428"/>
      <w:r/>
      <w:bookmarkStart w:id="217" w:name="_Toc297123565"/>
      <w:r/>
      <w:bookmarkStart w:id="218" w:name="_Toc300935016"/>
      <w:r/>
      <w:bookmarkStart w:id="219" w:name="_Toc297216224"/>
      <w:r/>
      <w:bookmarkStart w:id="220" w:name="_Toc267251474"/>
      <w:r/>
      <w:bookmarkStart w:id="221" w:name="_Toc267251475"/>
      <w:r/>
      <w:bookmarkStart w:id="222" w:name="_Toc267251470"/>
      <w:r/>
      <w:bookmarkStart w:id="223" w:name="_Toc267251476"/>
      <w:r/>
      <w:bookmarkStart w:id="224" w:name="_Toc267251472"/>
      <w:r/>
      <w:bookmarkStart w:id="225" w:name="_Toc267251471"/>
      <w:r/>
      <w:bookmarkStart w:id="226" w:name="_Toc267251473"/>
      <w:r>
        <w:rPr>
          <w:rFonts w:hint="eastAsia" w:ascii="宋体" w:hAnsi="宋体" w:eastAsia="宋体" w:cs="宋体"/>
          <w:color w:val="000000"/>
          <w:sz w:val="24"/>
          <w:szCs w:val="24"/>
          <w:highlight w:val="none"/>
        </w:rPr>
        <w:t xml:space="preserve">13.2竣工验收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bookmarkStart w:id="227" w:name="_Toc280868704"/>
      <w:r/>
      <w:bookmarkStart w:id="228" w:name="_Toc280868705"/>
      <w:r/>
      <w:bookmarkStart w:id="229" w:name="_Toc280868706"/>
      <w:r/>
      <w:bookmarkStart w:id="230" w:name="_Toc280868707"/>
      <w:r/>
      <w:bookmarkStart w:id="231" w:name="_Toc280868708"/>
      <w:r/>
      <w:bookmarkStart w:id="232" w:name="_Toc280868709"/>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竣工验收程序</w:t>
      </w:r>
      <w:bookmarkEnd w:id="227"/>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bookmarkEnd w:id="228"/>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移交、接收全部与部分工程</w:t>
      </w:r>
      <w:bookmarkEnd w:id="229"/>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bookmarkEnd w:id="230"/>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b w:val="0"/>
          <w:bCs w:val="0"/>
          <w:color w:val="000000"/>
          <w:sz w:val="24"/>
          <w:szCs w:val="24"/>
          <w:highlight w:val="none"/>
          <w:u w:val="single"/>
          <w:lang w:val="en-US" w:eastAsia="zh-CN"/>
        </w:rPr>
        <w:t xml:space="preserve"> 每延迟一天承包人应向发包人支付合同价的百分之一的违约金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13.3工程试车</w:t>
      </w:r>
      <w:bookmarkEnd w:id="231"/>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13.3.1试车程序</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13.3.3投料试车</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13.6竣工退场</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13.6.1竣工退场</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竣工验收合格后7日内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33" w:name="_Toc351203646"/>
      <w:r>
        <w:rPr>
          <w:rFonts w:hint="eastAsia" w:ascii="宋体" w:hAnsi="宋体" w:eastAsia="宋体" w:cs="宋体"/>
          <w:b/>
          <w:bCs/>
          <w:color w:val="000000"/>
          <w:sz w:val="24"/>
          <w:szCs w:val="24"/>
          <w:highlight w:val="none"/>
        </w:rPr>
        <w:t xml:space="preserve">14.竣工结算</w:t>
      </w:r>
      <w:bookmarkEnd w:id="233"/>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14.1竣工结算申请</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工程竣工验收报告及竣工资料经发包人认可后28天内。</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竣工结算申请单应包括的内容：</w:t>
      </w:r>
      <w:r>
        <w:rPr>
          <w:rFonts w:hint="eastAsia" w:ascii="宋体" w:hAnsi="宋体" w:eastAsia="宋体" w:cs="宋体"/>
          <w:color w:val="000000"/>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承包人</w:t>
      </w:r>
      <w:r>
        <w:rPr>
          <w:rFonts w:hint="eastAsia" w:ascii="宋体" w:hAnsi="宋体" w:eastAsia="宋体" w:cs="宋体"/>
          <w:color w:val="000000"/>
          <w:sz w:val="24"/>
          <w:szCs w:val="24"/>
          <w:highlight w:val="none"/>
          <w:u w:val="single"/>
        </w:rPr>
        <w:t xml:space="preserve">、监理单位签字盖章）、工程中标通知书（复印件）、工程</w:t>
      </w:r>
      <w:r>
        <w:rPr>
          <w:rFonts w:hint="eastAsia" w:ascii="宋体" w:hAnsi="宋体" w:eastAsia="宋体" w:cs="宋体"/>
          <w:color w:val="000000"/>
          <w:sz w:val="24"/>
          <w:szCs w:val="24"/>
          <w:highlight w:val="none"/>
          <w:u w:val="single"/>
          <w:lang w:val="en-US" w:eastAsia="zh-CN"/>
        </w:rPr>
        <w:t xml:space="preserve">响应文件</w:t>
      </w:r>
      <w:r>
        <w:rPr>
          <w:rFonts w:hint="eastAsia" w:ascii="宋体" w:hAnsi="宋体" w:eastAsia="宋体" w:cs="宋体"/>
          <w:color w:val="000000"/>
          <w:sz w:val="24"/>
          <w:szCs w:val="24"/>
          <w:highlight w:val="none"/>
          <w:u w:val="single"/>
        </w:rPr>
        <w:t xml:space="preserve">及其附件和</w:t>
      </w:r>
      <w:r>
        <w:rPr>
          <w:rFonts w:hint="eastAsia" w:ascii="宋体" w:hAnsi="宋体" w:eastAsia="宋体" w:cs="宋体"/>
          <w:color w:val="000000"/>
          <w:sz w:val="24"/>
          <w:szCs w:val="24"/>
          <w:highlight w:val="none"/>
          <w:u w:val="single"/>
          <w:lang w:eastAsia="zh-CN"/>
        </w:rPr>
        <w:t xml:space="preserve">其他</w:t>
      </w:r>
      <w:r>
        <w:rPr>
          <w:rFonts w:hint="eastAsia" w:ascii="宋体" w:hAnsi="宋体" w:eastAsia="宋体" w:cs="宋体"/>
          <w:color w:val="000000"/>
          <w:sz w:val="24"/>
          <w:szCs w:val="24"/>
          <w:highlight w:val="none"/>
          <w:u w:val="single"/>
        </w:rPr>
        <w:t xml:space="preserve">报财政评审需要的资料，一式肆份。</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lang w:val="en-US" w:eastAsia="zh-CN"/>
        </w:rPr>
        <w:t xml:space="preserve">以审计完成期限为准。</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以审计完成期限为准。</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一式陆份</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验收合格后28内</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14.4.2最终结清证书和支付</w:t>
      </w:r>
      <w:r/>
    </w:p>
    <w:p>
      <w:pPr>
        <w:numPr>
          <w:ilvl w:val="0"/>
          <w:numId w:val="8"/>
        </w:num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发包人完成最终结清申请单的审批并颁发最终结清证书的期限：</w:t>
      </w:r>
      <w:r>
        <w:rPr>
          <w:rFonts w:hint="eastAsia" w:ascii="宋体" w:hAnsi="宋体" w:eastAsia="宋体" w:cs="宋体"/>
          <w:b w:val="0"/>
          <w:bCs w:val="0"/>
          <w:color w:val="000000"/>
          <w:sz w:val="24"/>
          <w:szCs w:val="24"/>
          <w:highlight w:val="none"/>
          <w:u w:val="single"/>
          <w:lang w:val="en-US" w:eastAsia="zh-CN"/>
        </w:rPr>
        <w:t xml:space="preserve"> 收到承包人提交的最终结清申请单后15日内。 </w:t>
      </w:r>
      <w:r/>
    </w:p>
    <w:p>
      <w:pPr>
        <w:numPr>
          <w:ilvl w:val="0"/>
          <w:numId w:val="0"/>
        </w:numPr>
        <w:ind w:left="480" w:right="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b w:val="0"/>
          <w:bCs w:val="0"/>
          <w:color w:val="000000"/>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000000"/>
          <w:sz w:val="24"/>
          <w:szCs w:val="24"/>
          <w:highlight w:val="none"/>
          <w:u w:val="single"/>
        </w:rPr>
        <w:t xml:space="preserve">。</w:t>
      </w:r>
      <w:bookmarkEnd w:id="220"/>
      <w:r/>
      <w:bookmarkEnd w:id="221"/>
      <w:r/>
      <w:bookmarkEnd w:id="222"/>
      <w:r/>
      <w:bookmarkEnd w:id="223"/>
      <w:r/>
      <w:bookmarkEnd w:id="224"/>
      <w:r/>
      <w:bookmarkEnd w:id="225"/>
      <w:r/>
      <w:bookmarkEnd w:id="226"/>
      <w:r/>
      <w:bookmarkEnd w:id="232"/>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34" w:name="_Toc351203647"/>
      <w:r/>
      <w:bookmarkStart w:id="235" w:name="_Toc267251483"/>
      <w:r/>
      <w:bookmarkStart w:id="236" w:name="_Toc267251482"/>
      <w:r/>
      <w:bookmarkStart w:id="237" w:name="_Toc267251484"/>
      <w:r/>
      <w:bookmarkStart w:id="238" w:name="_Toc267251485"/>
      <w:r/>
      <w:bookmarkStart w:id="239" w:name="_Toc267251488"/>
      <w:r/>
      <w:bookmarkStart w:id="240" w:name="_Toc267251489"/>
      <w:r/>
      <w:bookmarkStart w:id="241" w:name="_Toc267251490"/>
      <w:r/>
      <w:bookmarkStart w:id="242" w:name="_Toc267251486"/>
      <w:r/>
      <w:bookmarkStart w:id="243" w:name="_Toc267251499"/>
      <w:r/>
      <w:bookmarkStart w:id="244" w:name="_Toc267251502"/>
      <w:r/>
      <w:bookmarkStart w:id="245" w:name="_Toc267251501"/>
      <w:r/>
      <w:bookmarkStart w:id="246" w:name="_Toc267251503"/>
      <w:r/>
      <w:bookmarkStart w:id="247" w:name="_Toc267251494"/>
      <w:r/>
      <w:bookmarkStart w:id="248" w:name="_Toc267251498"/>
      <w:r/>
      <w:bookmarkStart w:id="249" w:name="_Toc267251496"/>
      <w:r/>
      <w:bookmarkStart w:id="250" w:name="_Toc267251491"/>
      <w:r/>
      <w:bookmarkStart w:id="251" w:name="_Toc267251497"/>
      <w:r/>
      <w:bookmarkStart w:id="252" w:name="_Toc267251492"/>
      <w:r/>
      <w:bookmarkStart w:id="253" w:name="_Toc267251495"/>
      <w:r/>
      <w:bookmarkStart w:id="254" w:name="_Toc267251493"/>
      <w:r/>
      <w:bookmarkStart w:id="255" w:name="_Toc267251504"/>
      <w:r/>
      <w:bookmarkStart w:id="256" w:name="_Toc267251506"/>
      <w:r/>
      <w:bookmarkStart w:id="257" w:name="_Toc267251507"/>
      <w:r/>
      <w:bookmarkStart w:id="258" w:name="_Toc267251508"/>
      <w:r/>
      <w:bookmarkStart w:id="259" w:name="_Toc267251510"/>
      <w:r/>
      <w:bookmarkStart w:id="260" w:name="_Toc267251511"/>
      <w:r/>
      <w:bookmarkStart w:id="261" w:name="_Toc267251514"/>
      <w:r/>
      <w:bookmarkStart w:id="262" w:name="_Toc267251509"/>
      <w:r/>
      <w:bookmarkStart w:id="263" w:name="_Toc267251513"/>
      <w:r/>
      <w:bookmarkStart w:id="264" w:name="_Toc267251515"/>
      <w:r>
        <w:rPr>
          <w:rFonts w:hint="eastAsia" w:ascii="宋体" w:hAnsi="宋体" w:eastAsia="宋体" w:cs="宋体"/>
          <w:b/>
          <w:bCs/>
          <w:color w:val="000000"/>
          <w:sz w:val="24"/>
          <w:szCs w:val="24"/>
          <w:highlight w:val="none"/>
        </w:rPr>
        <w:t xml:space="preserve">15.缺陷责任期与保修</w:t>
      </w:r>
      <w:bookmarkEnd w:id="234"/>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缺陷责任期</w:t>
      </w:r>
      <w:bookmarkEnd w:id="235"/>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整体工程竣工验收合格之日起24个月</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质量保证金</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lang w:val="en-US" w:eastAsia="zh-CN"/>
        </w:rPr>
        <w:t xml:space="preserve">不</w:t>
      </w:r>
      <w:r>
        <w:rPr>
          <w:rFonts w:hint="eastAsia" w:ascii="宋体" w:hAnsi="宋体" w:eastAsia="宋体" w:cs="宋体"/>
          <w:color w:val="000000"/>
          <w:sz w:val="24"/>
          <w:szCs w:val="24"/>
          <w:highlight w:val="none"/>
          <w:u w:val="single"/>
        </w:rPr>
        <w:t xml:space="preserve">扣留</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.1承包人提供质量保证金的方式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种方式：</w:t>
      </w:r>
      <w:r/>
    </w:p>
    <w:p>
      <w:pPr>
        <w:ind w:left="0" w:right="0" w:firstLine="480"/>
        <w:jc w:val="left"/>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的工程款；</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bookmarkEnd w:id="236"/>
      <w:r/>
      <w:bookmarkEnd w:id="237"/>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保修</w:t>
      </w:r>
      <w:bookmarkEnd w:id="238"/>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.1保修责任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修复通知</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bookmarkEnd w:id="239"/>
      <w:r/>
      <w:bookmarkEnd w:id="240"/>
      <w:r/>
      <w:bookmarkEnd w:id="241"/>
      <w:r/>
      <w:bookmarkEnd w:id="242"/>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65" w:name="_Toc351203648"/>
      <w:r/>
      <w:bookmarkStart w:id="266" w:name="_Toc280868717"/>
      <w:r/>
      <w:bookmarkStart w:id="267" w:name="_Toc280868718"/>
      <w:r>
        <w:rPr>
          <w:rFonts w:hint="eastAsia" w:ascii="宋体" w:hAnsi="宋体" w:eastAsia="宋体" w:cs="宋体"/>
          <w:b/>
          <w:bCs/>
          <w:color w:val="000000"/>
          <w:sz w:val="24"/>
          <w:szCs w:val="24"/>
          <w:highlight w:val="none"/>
        </w:rPr>
        <w:t xml:space="preserve">16.违约</w:t>
      </w:r>
      <w:bookmarkEnd w:id="265"/>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16.1发包人违约</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16.1.2发包人违约的责任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w:t>
      </w:r>
      <w:r>
        <w:rPr>
          <w:rFonts w:hint="eastAsia" w:ascii="宋体" w:hAnsi="宋体" w:eastAsia="宋体" w:cs="宋体"/>
          <w:color w:val="000000"/>
          <w:sz w:val="24"/>
          <w:szCs w:val="24"/>
          <w:highlight w:val="none"/>
          <w:lang w:eastAsia="zh-CN"/>
        </w:rPr>
        <w:t xml:space="preserve">人的</w:t>
      </w:r>
      <w:r>
        <w:rPr>
          <w:rFonts w:hint="eastAsia" w:ascii="宋体" w:hAnsi="宋体" w:eastAsia="宋体" w:cs="宋体"/>
          <w:color w:val="000000"/>
          <w:sz w:val="24"/>
          <w:szCs w:val="24"/>
          <w:highlight w:val="none"/>
        </w:rPr>
        <w:t xml:space="preserve">原因导致交货日期延误或交货地点变更等情况的违约责任：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16.1.3因发包人违约解除合同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28</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16.2承包人违约</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16.2.1承包人违约的情形</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由承包人承担全部费用并承担相关法律责任</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16.2.3因承包人违约解除合同</w:t>
      </w:r>
      <w:r/>
    </w:p>
    <w:p>
      <w:pPr>
        <w:ind w:left="0" w:right="0" w:firstLine="480"/>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bookmarkStart w:id="268" w:name="_Toc351203649"/>
      <w:r>
        <w:rPr>
          <w:rFonts w:hint="eastAsia" w:ascii="宋体" w:hAnsi="宋体" w:eastAsia="宋体" w:cs="宋体"/>
          <w:b/>
          <w:bCs/>
          <w:color w:val="000000"/>
          <w:sz w:val="24"/>
          <w:szCs w:val="24"/>
          <w:highlight w:val="none"/>
        </w:rPr>
        <w:t xml:space="preserve">17.不可抗力</w:t>
      </w:r>
      <w:bookmarkEnd w:id="266"/>
      <w:r/>
      <w:bookmarkEnd w:id="268"/>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17.1不可抗力的确认</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因不可抗力解除合同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69" w:name="_Toc351203650"/>
      <w:r>
        <w:rPr>
          <w:rFonts w:hint="eastAsia" w:ascii="宋体" w:hAnsi="宋体" w:eastAsia="宋体" w:cs="宋体"/>
          <w:b/>
          <w:bCs/>
          <w:color w:val="000000"/>
          <w:sz w:val="24"/>
          <w:szCs w:val="24"/>
          <w:highlight w:val="none"/>
        </w:rPr>
        <w:t xml:space="preserve">18.保险</w:t>
      </w:r>
      <w:bookmarkEnd w:id="267"/>
      <w:r/>
      <w:bookmarkEnd w:id="269"/>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18.1工程保险</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 承包人必须按照工程所在地相关规定要求执行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并承担保险费用。</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其他保险</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通知义务</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70" w:name="_Toc351203651"/>
      <w:r>
        <w:rPr>
          <w:rFonts w:hint="eastAsia" w:ascii="宋体" w:hAnsi="宋体" w:eastAsia="宋体" w:cs="宋体"/>
          <w:b/>
          <w:bCs/>
          <w:color w:val="000000"/>
          <w:sz w:val="24"/>
          <w:szCs w:val="24"/>
          <w:highlight w:val="none"/>
        </w:rPr>
        <w:t xml:space="preserve">20.争议解决</w:t>
      </w:r>
      <w:bookmarkEnd w:id="255"/>
      <w:r/>
      <w:bookmarkEnd w:id="256"/>
      <w:r/>
      <w:bookmarkEnd w:id="270"/>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争</w:t>
      </w:r>
      <w:bookmarkEnd w:id="257"/>
      <w:r>
        <w:rPr>
          <w:rFonts w:hint="eastAsia" w:ascii="宋体" w:hAnsi="宋体" w:eastAsia="宋体" w:cs="宋体"/>
          <w:color w:val="000000"/>
          <w:sz w:val="24"/>
          <w:szCs w:val="24"/>
          <w:highlight w:val="none"/>
        </w:rPr>
        <w:t xml:space="preserve">议评审</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.1争议评审小组的确定</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.2争议评审小组的决定</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仲裁或诉讼</w:t>
      </w:r>
      <w:bookmarkEnd w:id="258"/>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（1）向仲裁委员会申请仲裁；</w:t>
      </w:r>
      <w:r/>
    </w:p>
    <w:p>
      <w:pPr>
        <w:ind w:left="0" w:right="0" w:firstLine="480"/>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工程所在地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人民法院起诉。</w:t>
      </w:r>
      <w:bookmarkEnd w:id="259"/>
      <w:r/>
      <w:bookmarkEnd w:id="260"/>
      <w:r/>
      <w:bookmarkEnd w:id="261"/>
      <w:r/>
      <w:bookmarkEnd w:id="262"/>
      <w:r/>
      <w:bookmarkEnd w:id="263"/>
      <w:r/>
      <w:bookmarkEnd w:id="264"/>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.补充条款：</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21.1承包人须与包括农民</w:t>
      </w:r>
      <w:r>
        <w:rPr>
          <w:rFonts w:hint="eastAsia" w:ascii="宋体" w:hAnsi="宋体" w:eastAsia="宋体" w:cs="宋体"/>
          <w:b w:val="0"/>
          <w:bCs w:val="0"/>
          <w:color w:val="000000"/>
          <w:sz w:val="24"/>
          <w:szCs w:val="24"/>
          <w:highlight w:val="none"/>
          <w:u w:val="single"/>
          <w:lang w:val="en-US" w:eastAsia="zh-CN"/>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21.3 承包人不按发包人要求参加施工期间各种会议的，向发包人支付违约金500元/人次，迟到的向发包人支付违约金300元/人次，承包人予以认可。</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b w:val="0"/>
          <w:bCs w:val="0"/>
          <w:color w:val="000000"/>
          <w:sz w:val="24"/>
          <w:szCs w:val="24"/>
          <w:highlight w:val="none"/>
          <w:u w:val="single"/>
          <w:lang w:val="en-US" w:eastAsia="zh-CN"/>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21.6发包人支付承包人的所有款项前，承包人必须向发包人提供能满足发包人财务要求的合法的等额票据，否则，发包人有权拒付当期应付款。</w:t>
      </w:r>
      <w:r/>
    </w:p>
    <w:p>
      <w:pPr>
        <w:ind w:left="0" w:right="0" w:firstLine="480"/>
        <w:jc w:val="left"/>
        <w:pageBreakBefore w:val="0"/>
        <w:spacing w:after="0" w:line="336"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single"/>
          <w:lang w:val="en-US" w:eastAsia="zh-CN"/>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left="0" w:right="0" w:firstLine="480"/>
        <w:keepLines w:val="0"/>
        <w:keepNext w:val="0"/>
        <w:pageBreakBefore w:val="0"/>
        <w:spacing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（以下无正文）</w:t>
      </w:r>
      <w:r/>
    </w:p>
    <w:p>
      <w:pPr>
        <w:ind w:left="0" w:right="0" w:firstLine="480"/>
        <w:keepLines w:val="0"/>
        <w:keepNext w:val="0"/>
        <w:pageBreakBefore w:val="0"/>
        <w:spacing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法定代表人：（签字）</w:t>
      </w:r>
      <w:r/>
    </w:p>
    <w:p>
      <w:pPr>
        <w:ind w:left="0" w:right="0" w:firstLine="480"/>
        <w:keepLines w:val="0"/>
        <w:keepNext w:val="0"/>
        <w:pageBreakBefore w:val="0"/>
        <w:spacing w:after="0"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17" w:right="1701" w:bottom="1417" w:left="1701" w:header="851" w:footer="851" w:gutter="0"/>
          <w:cols w:num="1" w:sep="0" w:space="1701" w:equalWidth="1"/>
          <w:docGrid w:linePitch="360"/>
        </w:sect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7、承诺书</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                ）要求，本供应商正式提交以下首次响应文件。</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 </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809"/>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102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pStyle w:val="809"/>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pStyle w:val="809"/>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pStyle w:val="809"/>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pStyle w:val="809"/>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pStyle w:val="809"/>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有权将我单位本项目的《磋商报价表》、《分项价格表》和《中小企业声明函》予以公示，公示的方式由</w:t>
      </w:r>
      <w:r>
        <w:rPr>
          <w:rFonts w:hint="eastAsia" w:ascii="宋体" w:hAnsi="宋体" w:eastAsia="宋体" w:cs="宋体"/>
          <w:color w:val="auto"/>
          <w:sz w:val="24"/>
          <w:highlight w:val="none"/>
          <w:lang w:eastAsia="zh-CN"/>
        </w:rPr>
        <w:t xml:space="preserve">徐州瀛海工程管理咨询有限公司</w:t>
      </w:r>
      <w:r>
        <w:rPr>
          <w:rFonts w:hint="eastAsia" w:ascii="宋体" w:hAnsi="宋体" w:eastAsia="宋体" w:cs="宋体"/>
          <w:color w:val="auto"/>
          <w:sz w:val="24"/>
          <w:highlight w:val="none"/>
        </w:rPr>
        <w:t xml:space="preserve">确定。</w:t>
      </w:r>
      <w:r/>
    </w:p>
    <w:p>
      <w:pPr>
        <w:pStyle w:val="809"/>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right="2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供应商（电子签章）：</w:t>
      </w:r>
      <w:r/>
    </w:p>
    <w:p>
      <w:pPr>
        <w:pStyle w:val="809"/>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移动电话：</w:t>
      </w:r>
      <w:r/>
    </w:p>
    <w:p>
      <w:pPr>
        <w:pStyle w:val="809"/>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09"/>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8"/>
          <w:szCs w:val="28"/>
          <w:highlight w:val="none"/>
        </w:rPr>
        <w:t xml:space="preserve">8、授权委托书</w:t>
      </w:r>
      <w:r/>
    </w:p>
    <w:p>
      <w:pPr>
        <w:pStyle w:val="809"/>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80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firstLine="63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 </w:t>
      </w:r>
      <w:r>
        <w:rPr>
          <w:rFonts w:hint="eastAsia" w:ascii="宋体" w:hAnsi="宋体" w:eastAsia="宋体" w:cs="宋体"/>
          <w:color w:val="auto"/>
          <w:sz w:val="24"/>
          <w:highlight w:val="none"/>
          <w:lang w:eastAsia="zh-CN"/>
        </w:rPr>
        <w:t xml:space="preserve">徐州市邳州检察院卫生间及防水改造项目</w:t>
      </w:r>
      <w:r>
        <w:rPr>
          <w:rFonts w:hint="eastAsia" w:ascii="宋体" w:hAnsi="宋体" w:eastAsia="宋体" w:cs="宋体"/>
          <w:color w:val="auto"/>
          <w:sz w:val="24"/>
          <w:highlight w:val="none"/>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w:t>
      </w:r>
      <w:r/>
    </w:p>
    <w:p>
      <w:pPr>
        <w:pStyle w:val="82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pStyle w:val="8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9"/>
        <w:ind w:firstLine="3921"/>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(受托人身份证原件的扫描件附后)</w:t>
      </w:r>
      <w:r/>
    </w:p>
    <w:p>
      <w:pPr>
        <w:pStyle w:val="809"/>
        <w:jc w:val="center"/>
        <w:spacing w:before="100" w:beforeAutospacing="1" w:after="100" w:afterAutospacing="1"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8"/>
          <w:szCs w:val="28"/>
          <w:highlight w:val="none"/>
        </w:rPr>
        <w:t xml:space="preserve">9、中小企业声明函</w:t>
      </w:r>
      <w:r/>
    </w:p>
    <w:p>
      <w:pPr>
        <w:pStyle w:val="811"/>
        <w:jc w:val="left"/>
        <w:spacing w:line="360" w:lineRule="auto"/>
        <w:rPr>
          <w:rFonts w:hint="eastAsia" w:ascii="宋体" w:hAnsi="宋体" w:eastAsia="宋体" w:cs="宋体"/>
          <w:color w:val="auto"/>
          <w:sz w:val="24"/>
          <w:highlight w:val="none"/>
          <w:u w:val="single"/>
          <w:lang w:eastAsia="zh-CN"/>
        </w:rPr>
      </w:pPr>
      <w:r>
        <w:rPr>
          <w:rStyle w:val="1032"/>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徐州市邳州检察院卫生间及防水改造项目</w:t>
      </w:r>
      <w:r/>
    </w:p>
    <w:p>
      <w:pPr>
        <w:pStyle w:val="811"/>
        <w:jc w:val="left"/>
        <w:spacing w:line="360" w:lineRule="auto"/>
        <w:rPr>
          <w:rStyle w:val="1032"/>
          <w:rFonts w:hint="eastAsia" w:ascii="宋体" w:hAnsi="宋体" w:eastAsia="宋体" w:cs="宋体"/>
          <w:color w:val="auto"/>
          <w:sz w:val="24"/>
          <w:highlight w:val="none"/>
        </w:rPr>
      </w:pPr>
      <w:r>
        <w:rPr>
          <w:rStyle w:val="1032"/>
          <w:rFonts w:hint="eastAsia" w:ascii="宋体" w:hAnsi="宋体" w:eastAsia="宋体" w:cs="宋体"/>
          <w:color w:val="auto"/>
          <w:sz w:val="24"/>
          <w:highlight w:val="none"/>
        </w:rPr>
        <w:t xml:space="preserve">项目编号：</w:t>
      </w:r>
      <w:r/>
    </w:p>
    <w:p>
      <w:pPr>
        <w:pStyle w:val="81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邳州市人民检察院</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徐州市邳州检察院卫生间及防水改造项目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采购活动，服务全部由符合政策要求的中小企业承接。相关企业的具体情况如下：</w:t>
      </w:r>
      <w:r/>
    </w:p>
    <w:p>
      <w:pPr>
        <w:pStyle w:val="811"/>
        <w:ind w:firstLine="560"/>
        <w:spacing w:line="360" w:lineRule="auto"/>
        <w:rPr>
          <w:rFonts w:hint="eastAsia" w:ascii="宋体" w:hAnsi="宋体" w:eastAsia="宋体" w:cs="宋体"/>
          <w:color w:val="auto"/>
          <w:spacing w:val="6"/>
          <w:sz w:val="24"/>
          <w:highlight w:val="none"/>
        </w:rPr>
      </w:pPr>
      <w:r>
        <w:rPr>
          <w:rFonts w:hint="eastAsia" w:ascii="宋体" w:hAnsi="宋体" w:cs="宋体"/>
          <w:color w:val="auto"/>
          <w:sz w:val="24"/>
          <w:highlight w:val="none"/>
          <w:u w:val="single"/>
          <w:lang w:eastAsia="zh-CN"/>
        </w:rPr>
        <w:t xml:space="preserve">徐州市邳州检察院卫生间及防水改造项目</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b/>
          <w:color w:val="auto"/>
          <w:sz w:val="24"/>
          <w:highlight w:val="none"/>
        </w:rPr>
        <w:t xml:space="preserve">（□中型企业、□小型企业、□微型企业，请勾选！）；</w:t>
      </w:r>
      <w:r/>
    </w:p>
    <w:p>
      <w:pPr>
        <w:pStyle w:val="811"/>
        <w:ind w:firstLine="482"/>
        <w:spacing w:line="360" w:lineRule="auto"/>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 xml:space="preserve">以上企业，不属于大企业的分支机构，不存在控股股东为大企业的情形，也不存在与大企业的负责人为同一人的情形。</w:t>
      </w:r>
      <w:r/>
    </w:p>
    <w:p>
      <w:pPr>
        <w:pStyle w:val="81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11"/>
        <w:jc w:val="left"/>
        <w:spacing w:line="360" w:lineRule="auto"/>
        <w:rPr>
          <w:rStyle w:val="103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1"/>
        <w:ind w:firstLine="3120"/>
        <w:jc w:val="left"/>
        <w:spacing w:line="360" w:lineRule="auto"/>
        <w:rPr>
          <w:rStyle w:val="1032"/>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企业名称（电子签章）：</w:t>
      </w:r>
      <w:r/>
    </w:p>
    <w:p>
      <w:pPr>
        <w:pStyle w:val="811"/>
        <w:ind w:firstLine="3120"/>
        <w:jc w:val="left"/>
        <w:spacing w:line="360" w:lineRule="auto"/>
        <w:rPr>
          <w:rStyle w:val="1032"/>
          <w:rFonts w:hint="eastAsia" w:ascii="宋体" w:hAnsi="宋体" w:eastAsia="宋体" w:cs="宋体"/>
          <w:color w:val="auto"/>
          <w:sz w:val="24"/>
          <w:highlight w:val="none"/>
        </w:rPr>
      </w:pPr>
      <w:r>
        <w:rPr>
          <w:rStyle w:val="1032"/>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color w:val="auto"/>
          <w:sz w:val="24"/>
          <w:highlight w:val="none"/>
        </w:rPr>
        <w:t xml:space="preserve">注：</w:t>
      </w:r>
      <w:r>
        <w:rPr>
          <w:rFonts w:hint="eastAsia" w:ascii="宋体" w:hAnsi="宋体" w:eastAsia="宋体" w:cs="宋体"/>
          <w:b w:val="0"/>
          <w:bCs w:val="0"/>
          <w:sz w:val="24"/>
          <w:highlight w:val="none"/>
        </w:rPr>
        <w:t xml:space="preserve">本项目采购的属于建筑业。</w:t>
      </w:r>
      <w:r/>
    </w:p>
    <w:p>
      <w:pPr>
        <w:pStyle w:val="80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2、从业人员、营业收入、资产总额填报供应商上一年度数据，无上一年度数据的新成立企业可不填报。</w:t>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3、成交供应商为小型、微型企业的，采购人或者其委托的采购代理机构有权随中标、成交结果同时公告其《中小企业声明函》，接受社会监督。</w:t>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4、执行江苏省财政厅关于进一步加大政府采购支持中小企业力度的通知（苏财购〔2022〕45号）的规定。</w:t>
      </w:r>
      <w:r/>
    </w:p>
    <w:p>
      <w:pPr>
        <w:ind w:firstLine="60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5、供应商提供的《中小企业声明函》与事实不符的，依照《中华人民共和国政府采购法》第七十七条第一款的规定追究法律责任。</w:t>
      </w:r>
      <w:r/>
    </w:p>
    <w:p>
      <w:pPr>
        <w:pStyle w:val="1058"/>
        <w:ind w:firstLine="60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6、《中小企业声明函》查询渠道用微信搜索“中小企业规模类型自测小程序”。</w:t>
      </w:r>
      <w:r/>
    </w:p>
    <w:p>
      <w:pPr>
        <w:pStyle w:val="814"/>
        <w:jc w:val="both"/>
        <w:spacing w:line="380" w:lineRule="exact"/>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14"/>
        <w:spacing w:line="3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如有疑问，可与市工信局中小企业综合协调处咨询联系。联系电话：0516-83861958</w:t>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1671955</wp:posOffset>
                </wp:positionH>
                <wp:positionV relativeFrom="paragraph">
                  <wp:posOffset>220980</wp:posOffset>
                </wp:positionV>
                <wp:extent cx="2300605" cy="4641850"/>
                <wp:effectExtent l="0" t="0" r="4445" b="635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8"/>
                        <a:stretch/>
                      </pic:blipFill>
                      <pic:spPr bwMode="auto">
                        <a:xfrm>
                          <a:off x="0" y="0"/>
                          <a:ext cx="2300605" cy="464185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6432;o:allowoverlap:true;o:allowincell:true;mso-position-horizontal-relative:text;margin-left:131.7pt;mso-position-horizontal:absolute;mso-position-vertical-relative:text;margin-top:17.4pt;mso-position-vertical:absolute;width:181.1pt;height:365.5pt;mso-wrap-distance-left:9.0pt;mso-wrap-distance-top:0.0pt;mso-wrap-distance-right:9.0pt;mso-wrap-distance-bottom:0.0pt;" stroked="false">
                <v:path textboxrect="0,0,0,0"/>
                <v:imagedata r:id="rId18" o:title=""/>
              </v:shape>
            </w:pict>
          </mc:Fallback>
        </mc:AlternateContent>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left="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left="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3"/>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8"/>
        <w:rPr>
          <w:rFonts w:hint="eastAsia" w:ascii="宋体" w:hAnsi="宋体" w:eastAsia="宋体" w:cs="宋体"/>
        </w:rPr>
      </w:pPr>
      <w:r>
        <w:rPr>
          <w:rFonts w:hint="eastAsia" w:ascii="宋体" w:hAnsi="宋体" w:eastAsia="宋体" w:cs="宋体"/>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10、残疾人福利性单位声明函</w:t>
      </w:r>
      <w:r/>
    </w:p>
    <w:p>
      <w:pPr>
        <w:pStyle w:val="809"/>
        <w:jc w:val="center"/>
        <w:spacing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09"/>
        <w:spacing w:line="588" w:lineRule="exact"/>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r>
      <w:r/>
    </w:p>
    <w:p>
      <w:pPr>
        <w:pStyle w:val="809"/>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9"/>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pStyle w:val="809"/>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809"/>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809"/>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供应商（电子签章）：</w:t>
      </w:r>
      <w:r/>
    </w:p>
    <w:p>
      <w:pPr>
        <w:pStyle w:val="809"/>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pStyle w:val="80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09"/>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80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1009"/>
        <w:ind w:left="239" w:firstLine="2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9"/>
        <w:ind w:left="239" w:firstLine="2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9"/>
        <w:ind w:left="239" w:firstLine="2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w:t>
      </w:r>
      <w:bookmarkStart w:id="271" w:name="OLE_LINK14"/>
      <w:r/>
      <w:bookmarkStart w:id="272" w:name="OLE_LINK13"/>
      <w:r>
        <w:rPr>
          <w:rFonts w:hint="eastAsia" w:ascii="宋体" w:hAnsi="宋体" w:eastAsia="宋体" w:cs="宋体"/>
          <w:b/>
          <w:color w:val="auto"/>
          <w:sz w:val="28"/>
          <w:szCs w:val="28"/>
          <w:highlight w:val="none"/>
        </w:rPr>
        <w:t xml:space="preserve">1、供应商参加政府采购活动前3年内在经营活动中没有重大违法记录的书面声明</w:t>
      </w:r>
      <w:r/>
    </w:p>
    <w:p>
      <w:pPr>
        <w:pStyle w:val="80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firstLine="720"/>
        <w:jc w:val="left"/>
        <w:spacing w:before="100" w:beforeAutospacing="1" w:after="100" w:afterAutospacing="1"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徐州市邳州检察院卫生间及防水改造项目</w:t>
      </w:r>
      <w:r>
        <w:rPr>
          <w:rFonts w:hint="eastAsia" w:ascii="宋体" w:hAnsi="宋体" w:eastAsia="宋体" w:cs="宋体"/>
          <w:color w:val="auto"/>
          <w:sz w:val="24"/>
          <w:highlight w:val="none"/>
        </w:rPr>
        <w:t xml:space="preserve">（项目编号：</w:t>
      </w:r>
      <w:bookmarkStart w:id="274" w:name="_GoBack"/>
      <w:r/>
      <w:bookmarkEnd w:id="274"/>
      <w:r>
        <w:rPr>
          <w:rFonts w:hint="eastAsia" w:ascii="宋体" w:hAnsi="宋体" w:eastAsia="宋体" w:cs="宋体"/>
          <w:color w:val="auto"/>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pStyle w:val="809"/>
        <w:ind w:firstLine="720"/>
        <w:jc w:val="left"/>
        <w:spacing w:before="100" w:beforeAutospacing="1" w:after="100" w:afterAutospacing="1"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80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0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80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bookmarkEnd w:id="271"/>
      <w:r/>
      <w:bookmarkEnd w:id="272"/>
      <w:r/>
      <w:r/>
    </w:p>
    <w:p>
      <w:pPr>
        <w:pStyle w:val="809"/>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firstLine="60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ind w:firstLine="60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0"/>
        <w:numPr>
          <w:ilvl w:val="0"/>
          <w:numId w:val="0"/>
        </w:numPr>
        <w:jc w:val="center"/>
        <w:keepLines w:val="0"/>
        <w:keepNext w:val="0"/>
        <w:spacing w:before="0" w:after="0" w:line="360" w:lineRule="auto"/>
        <w:rPr>
          <w:rStyle w:val="1032"/>
          <w:rFonts w:hint="eastAsia" w:ascii="宋体" w:hAnsi="宋体" w:eastAsia="宋体" w:cs="宋体"/>
          <w:color w:val="auto"/>
          <w:sz w:val="28"/>
          <w:szCs w:val="28"/>
          <w:highlight w:val="none"/>
        </w:rPr>
      </w:pPr>
      <w:r/>
      <w:bookmarkStart w:id="273" w:name="_Toc80122310"/>
      <w:r>
        <w:rPr>
          <w:rStyle w:val="1032"/>
          <w:rFonts w:hint="eastAsia" w:ascii="宋体" w:hAnsi="宋体" w:eastAsia="宋体" w:cs="宋体"/>
          <w:color w:val="auto"/>
          <w:sz w:val="28"/>
          <w:szCs w:val="28"/>
          <w:highlight w:val="none"/>
        </w:rPr>
        <w:t xml:space="preserve">12、具备履行合同所必需的设备和专业技术能力的书面声明</w:t>
      </w:r>
      <w:bookmarkEnd w:id="273"/>
      <w:r/>
      <w:r/>
    </w:p>
    <w:p>
      <w:pPr>
        <w:pStyle w:val="811"/>
        <w:jc w:val="left"/>
        <w:spacing w:line="400" w:lineRule="exact"/>
        <w:rPr>
          <w:rStyle w:val="1032"/>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1"/>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cs="宋体"/>
          <w:color w:val="auto"/>
          <w:sz w:val="24"/>
          <w:szCs w:val="24"/>
          <w:highlight w:val="none"/>
          <w:lang w:val="en-US" w:eastAsia="zh-CN" w:bidi="ar-SA"/>
        </w:rPr>
        <w:t xml:space="preserve">徐州市邳州检察院卫生间及防水改造项目</w:t>
      </w:r>
      <w:r/>
    </w:p>
    <w:p>
      <w:pPr>
        <w:pStyle w:val="811"/>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56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供应商对声明的真实性负责。如有虚假，将依法承担相应责任。</w:t>
      </w:r>
      <w:r/>
    </w:p>
    <w:p>
      <w:pPr>
        <w:pStyle w:val="809"/>
        <w:ind w:right="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供应商郑重声明：供应商具备履行合同（项目名称：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所必需的设备和专业技术能力。</w:t>
      </w:r>
      <w:r/>
    </w:p>
    <w:p>
      <w:pPr>
        <w:pStyle w:val="809"/>
        <w:ind w:right="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1"/>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特此声明。</w:t>
      </w:r>
      <w:r/>
    </w:p>
    <w:p>
      <w:pPr>
        <w:pStyle w:val="811"/>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pStyle w:val="811"/>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响应供应商对上述声明的真实性负责。如有虚假，将依法承担相应责任。</w:t>
      </w:r>
      <w:r/>
    </w:p>
    <w:p>
      <w:pPr>
        <w:pStyle w:val="809"/>
        <w:ind w:right="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right="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right="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80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法定代表人(负责人)或授权代表（签字或盖章）：  </w:t>
      </w:r>
      <w:r/>
    </w:p>
    <w:p>
      <w:pPr>
        <w:pStyle w:val="809"/>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pStyle w:val="826"/>
        <w:rPr>
          <w:rFonts w:hint="eastAsia" w:ascii="宋体" w:hAnsi="宋体" w:eastAsia="宋体" w:cs="宋体"/>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lang w:val="en-US" w:eastAsia="zh-CN"/>
        </w:rPr>
      </w:r>
      <w:r/>
    </w:p>
    <w:p>
      <w:pPr>
        <w:pStyle w:val="805"/>
        <w:ind w:left="0" w:firstLine="0"/>
        <w:rPr>
          <w:rFonts w:hint="eastAsia" w:ascii="宋体" w:hAnsi="宋体" w:eastAsia="宋体" w:cs="宋体"/>
          <w:color w:val="auto"/>
        </w:rPr>
      </w:pPr>
      <w:r>
        <w:rPr>
          <w:rFonts w:hint="eastAsia" w:ascii="宋体" w:hAnsi="宋体" w:eastAsia="宋体" w:cs="宋体"/>
          <w:color w:val="auto"/>
        </w:rPr>
      </w:r>
      <w:r/>
    </w:p>
    <w:p>
      <w:pPr>
        <w:pStyle w:val="809"/>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13、代理服务收费标准</w:t>
      </w:r>
      <w:r/>
    </w:p>
    <w:tbl>
      <w:tblPr>
        <w:tblStyle w:val="755"/>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0.005%</w:t>
            </w:r>
            <w:r/>
          </w:p>
        </w:tc>
      </w:tr>
    </w:tbl>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说明：</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1、按上表计算的收费为代理服务全过程的收费金额。各社会代理机构不再收取采购文件制作售卖费用。</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3、代理服务费基准金额（按差额定率累进法计算的）=中标金额（按差额定率累进法计算的）*费率（%）</w:t>
      </w:r>
      <w:r>
        <w:rPr>
          <w:rFonts w:hint="eastAsia" w:ascii="宋体" w:hAnsi="宋体" w:eastAsia="宋体" w:cs="宋体"/>
          <w:color w:val="auto"/>
          <w:sz w:val="24"/>
          <w:lang w:val="en-US" w:eastAsia="zh-CN"/>
        </w:rPr>
        <w:t xml:space="preserve">*49.00%</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6、有分包（分标段）项目按总项目中标（成交）金额收费。</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7、上该表为自行约定的代理服务费标准。</w:t>
      </w:r>
      <w:r/>
    </w:p>
    <w:p>
      <w:pP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、代理服务费</w:t>
      </w:r>
      <w:r>
        <w:rPr>
          <w:rFonts w:hint="eastAsia" w:ascii="宋体" w:hAnsi="宋体" w:eastAsia="宋体" w:cs="宋体"/>
          <w:color w:val="auto"/>
          <w:sz w:val="24"/>
          <w:lang w:val="en-US" w:eastAsia="zh-CN"/>
        </w:rPr>
        <w:t xml:space="preserve">由中标人支付</w:t>
      </w:r>
      <w:r>
        <w:rPr>
          <w:rFonts w:hint="eastAsia" w:ascii="宋体" w:hAnsi="宋体" w:eastAsia="宋体" w:cs="宋体"/>
          <w:color w:val="auto"/>
          <w:sz w:val="24"/>
        </w:rPr>
        <w:t xml:space="preserve">。</w:t>
      </w:r>
      <w:r/>
    </w:p>
    <w:p>
      <w:pPr>
        <w:spacing w:before="0" w:beforeAutospacing="0" w:after="200" w:afterAutospacing="0" w:line="24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p>
      <w:pPr>
        <w:spacing w:before="0" w:beforeAutospacing="0" w:after="200" w:afterAutospacing="0" w:line="24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p>
      <w:pPr>
        <w:spacing w:before="0" w:beforeAutospacing="0" w:after="200" w:afterAutospacing="0" w:line="24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p>
      <w:pPr>
        <w:pStyle w:val="83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09"/>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14、 预付款保函支付条款模板</w:t>
      </w:r>
      <w:r/>
    </w:p>
    <w:p>
      <w:pPr>
        <w:pStyle w:val="809"/>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pStyle w:val="809"/>
        <w:ind w:firstLine="48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小写￥大写：人民币。</w:t>
      </w:r>
      <w:r/>
    </w:p>
    <w:p>
      <w:pPr>
        <w:pStyle w:val="80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0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809"/>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809"/>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pStyle w:val="809"/>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80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80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小写￥大写：人民币。</w:t>
      </w:r>
      <w:r/>
    </w:p>
    <w:p>
      <w:pPr>
        <w:pStyle w:val="809"/>
        <w:ind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809"/>
        <w:ind w:left="140" w:firstLine="483"/>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80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pStyle w:val="809"/>
        <w:ind w:left="140"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pStyle w:val="8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9"/>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9"/>
        <w:ind w:firstLine="480"/>
        <w:jc w:val="center"/>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3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3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09"/>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sectPr>
      <w:headerReference w:type="default" r:id="rId10"/>
      <w:footerReference w:type="default" r:id="rId12"/>
      <w:footerReference w:type="first" r:id="rId13"/>
      <w:footnotePr/>
      <w:endnotePr/>
      <w:type w:val="nextPage"/>
      <w:pgSz w:w="11906" w:h="16838" w:orient="portrait"/>
      <w:pgMar w:top="1417" w:right="1672" w:bottom="1417" w:left="1672" w:header="0" w:footer="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Cambria">
    <w:panose1 w:val="02040503050406030204"/>
  </w:font>
  <w:font w:name="仿宋_GB2312">
    <w:panose1 w:val="02010609060101010101"/>
  </w:font>
  <w:font w:name="黑体">
    <w:panose1 w:val="02010609060101010101"/>
  </w:font>
  <w:font w:name="Courier New">
    <w:panose1 w:val="02070309020205020404"/>
  </w:font>
  <w:font w:name="仿宋">
    <w:panose1 w:val="02010609060101010101"/>
  </w:font>
  <w:font w:name="Arial Unicode MS">
    <w:panose1 w:val="020B0604020202020204"/>
  </w:font>
  <w:font w:name="Arial">
    <w:panose1 w:val="020B0604020202020204"/>
  </w:font>
  <w:font w:name="Calibri">
    <w:panose1 w:val="020F0502020204030204"/>
  </w:font>
  <w:font w:name="隶书">
    <w:panose1 w:val="02010509060101010101"/>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09"/>
                          </w:pPr>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2637155</wp:posOffset>
              </wp:positionH>
              <wp:positionV relativeFrom="paragraph">
                <wp:posOffset>-200025</wp:posOffset>
              </wp:positionV>
              <wp:extent cx="200660" cy="151765"/>
              <wp:effectExtent l="0" t="0" r="0" b="0"/>
              <wp:wrapNone/>
              <wp:docPr id="2" name="文本框 30"/>
              <wp:cNvGraphicFramePr/>
              <a:graphic xmlns:a="http://schemas.openxmlformats.org/drawingml/2006/main">
                <a:graphicData uri="http://schemas.microsoft.com/office/word/2010/wordprocessingShape">
                  <wps:wsp>
                    <wps:cNvPr id="0" name=""/>
                    <wps:cNvSpPr txBox="1"/>
                    <wps:spPr bwMode="auto">
                      <a:xfrm>
                        <a:off x="0" y="0"/>
                        <a:ext cx="200660" cy="151765"/>
                      </a:xfrm>
                      <a:prstGeom prst="rect">
                        <a:avLst/>
                      </a:prstGeom>
                      <a:noFill/>
                      <a:ln w="6350">
                        <a:noFill/>
                      </a:ln>
                      <a:effectLst/>
                    </wps:spPr>
                    <wps:txbx>
                      <w:txbxContent>
                        <w:p>
                          <w:pPr>
                            <w:pStyle w:val="77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6432;o:allowoverlap:true;o:allowincell:true;mso-position-horizontal-relative:margin;margin-left:207.6pt;mso-position-horizontal:absolute;mso-position-vertical-relative:text;margin-top:-15.8pt;mso-position-vertical:absolute;width:15.8pt;height:11.9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09"/>
                          </w:pPr>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65"/>
      <w:jc w:val="both"/>
      <w:tabs>
        <w:tab w:val="center" w:pos="4153" w:leader="none"/>
        <w:tab w:val="clear" w:pos="7143" w:leader="none"/>
        <w:tab w:val="right" w:pos="8306" w:leader="none"/>
        <w:tab w:val="clear" w:pos="14287" w:leader="none"/>
      </w:tabs>
      <w:rPr>
        <w:rFonts w:ascii="隶书" w:eastAsia="隶书"/>
        <w:sz w:val="13"/>
        <w:szCs w:val="13"/>
        <w:u w:val="single"/>
      </w:rPr>
    </w:pPr>
    <w:r>
      <w:rPr>
        <w:rFonts w:ascii="隶书" w:eastAsia="隶书"/>
        <w:sz w:val="13"/>
        <w:szCs w:val="13"/>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1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82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7"/>
  </w:num>
  <w:num w:numId="3">
    <w:abstractNumId w:val="0"/>
  </w:num>
  <w:num w:numId="4">
    <w:abstractNumId w:val="2"/>
  </w:num>
  <w:num w:numId="5">
    <w:abstractNumId w:val="1"/>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44" w:default="1">
    <w:name w:val="Normal"/>
    <w:link w:val="1032"/>
    <w:uiPriority w:val="0"/>
    <w:qFormat/>
    <w:rPr>
      <w:rFonts w:ascii="Calibri" w:hAnsi="Calibri" w:eastAsia="Calibri" w:cs="Times New Roman"/>
      <w:lang w:val="en-US" w:eastAsia="zh-CN" w:bidi="ar-SA"/>
    </w:rPr>
  </w:style>
  <w:style w:type="paragraph" w:styleId="745">
    <w:name w:val="Heading 1"/>
    <w:basedOn w:val="744"/>
    <w:next w:val="744"/>
    <w:link w:val="851"/>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52"/>
    <w:uiPriority w:val="9"/>
    <w:unhideWhenUsed/>
    <w:qFormat/>
    <w:pPr>
      <w:keepLines/>
      <w:keepNext/>
      <w:spacing w:before="360" w:after="200"/>
      <w:outlineLvl w:val="1"/>
    </w:pPr>
    <w:rPr>
      <w:rFonts w:ascii="Arial" w:hAnsi="Arial" w:eastAsia="Arial" w:cs="Arial"/>
      <w:sz w:val="34"/>
    </w:rPr>
  </w:style>
  <w:style w:type="paragraph" w:styleId="747">
    <w:name w:val="Heading 3"/>
    <w:next w:val="744"/>
    <w:link w:val="85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8">
    <w:name w:val="Heading 4"/>
    <w:basedOn w:val="744"/>
    <w:next w:val="744"/>
    <w:link w:val="85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next w:val="744"/>
    <w:link w:val="85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0">
    <w:name w:val="Heading 6"/>
    <w:next w:val="744"/>
    <w:link w:val="85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1">
    <w:name w:val="Heading 7"/>
    <w:next w:val="744"/>
    <w:link w:val="85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2">
    <w:name w:val="Heading 8"/>
    <w:next w:val="744"/>
    <w:link w:val="85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3">
    <w:name w:val="Heading 9"/>
    <w:next w:val="744"/>
    <w:link w:val="85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next w:val="744"/>
    <w:uiPriority w:val="39"/>
    <w:unhideWhenUsed/>
    <w:qFormat/>
    <w:pPr>
      <w:ind w:left="1701"/>
      <w:spacing w:after="57"/>
    </w:pPr>
    <w:rPr>
      <w:rFonts w:ascii="Calibri" w:hAnsi="Calibri" w:eastAsia="Calibri" w:cs="Times New Roman"/>
      <w:lang w:val="en-US" w:eastAsia="zh-CN" w:bidi="ar-SA"/>
    </w:rPr>
  </w:style>
  <w:style w:type="paragraph" w:styleId="757">
    <w:name w:val="Normal Indent"/>
    <w:basedOn w:val="744"/>
    <w:next w:val="744"/>
    <w:uiPriority w:val="0"/>
    <w:qFormat/>
    <w:pPr>
      <w:ind w:firstLine="420"/>
    </w:pPr>
  </w:style>
  <w:style w:type="paragraph" w:styleId="758">
    <w:name w:val="Caption"/>
    <w:next w:val="744"/>
    <w:uiPriority w:val="35"/>
    <w:semiHidden/>
    <w:unhideWhenUsed/>
    <w:qFormat/>
    <w:pPr>
      <w:spacing w:line="276" w:lineRule="auto"/>
    </w:pPr>
    <w:rPr>
      <w:rFonts w:ascii="Calibri" w:hAnsi="Calibri" w:eastAsia="Calibri" w:cs="Times New Roman"/>
      <w:b/>
      <w:bCs/>
      <w:color w:val="4f81bd" w:themeColor="accent1"/>
      <w:sz w:val="18"/>
      <w:szCs w:val="18"/>
      <w:lang w:val="en-US" w:eastAsia="zh-CN" w:bidi="ar-SA"/>
      <w14:textFill>
        <w14:solidFill>
          <w14:schemeClr w14:val="accent1"/>
        </w14:solidFill>
      </w14:textFill>
    </w:rPr>
  </w:style>
  <w:style w:type="paragraph" w:styleId="759">
    <w:name w:val="annotation text"/>
    <w:basedOn w:val="744"/>
    <w:uiPriority w:val="99"/>
    <w:semiHidden/>
    <w:unhideWhenUsed/>
    <w:qFormat/>
  </w:style>
  <w:style w:type="paragraph" w:styleId="760">
    <w:name w:val="Body Text"/>
    <w:basedOn w:val="744"/>
    <w:next w:val="744"/>
    <w:uiPriority w:val="0"/>
    <w:qFormat/>
    <w:pPr>
      <w:spacing w:after="120"/>
    </w:pPr>
    <w:rPr>
      <w:rFonts w:ascii="Times New Roman" w:hAnsi="Times New Roman" w:eastAsia="宋体"/>
    </w:rPr>
  </w:style>
  <w:style w:type="paragraph" w:styleId="761">
    <w:name w:val="Body Text Indent"/>
    <w:basedOn w:val="744"/>
    <w:next w:val="762"/>
    <w:uiPriority w:val="0"/>
    <w:qFormat/>
    <w:pPr>
      <w:ind w:left="420"/>
      <w:spacing w:after="120"/>
    </w:pPr>
  </w:style>
  <w:style w:type="paragraph" w:styleId="762">
    <w:name w:val="envelope return"/>
    <w:basedOn w:val="744"/>
    <w:uiPriority w:val="0"/>
    <w:qFormat/>
    <w:rPr>
      <w:rFonts w:ascii="Arial" w:hAnsi="Arial"/>
    </w:rPr>
  </w:style>
  <w:style w:type="paragraph" w:styleId="763">
    <w:name w:val="Block Text"/>
    <w:basedOn w:val="744"/>
    <w:uiPriority w:val="0"/>
    <w:unhideWhenUsed/>
    <w:qFormat/>
    <w:pPr>
      <w:ind w:left="256" w:right="6" w:firstLine="624"/>
      <w:jc w:val="both"/>
      <w:spacing w:before="100" w:beforeAutospacing="1" w:after="100" w:afterAutospacing="1"/>
      <w:widowControl w:val="off"/>
    </w:pPr>
    <w:rPr>
      <w:rFonts w:eastAsia="仿宋"/>
      <w:sz w:val="28"/>
      <w:szCs w:val="28"/>
    </w:rPr>
  </w:style>
  <w:style w:type="paragraph" w:styleId="764">
    <w:name w:val="index 4"/>
    <w:basedOn w:val="744"/>
    <w:next w:val="744"/>
    <w:uiPriority w:val="0"/>
    <w:semiHidden/>
    <w:qFormat/>
    <w:pPr>
      <w:ind w:left="1260"/>
      <w:jc w:val="both"/>
      <w:widowControl w:val="off"/>
    </w:pPr>
    <w:rPr>
      <w:rFonts w:eastAsiaTheme="minorEastAsia"/>
      <w:sz w:val="21"/>
      <w:szCs w:val="24"/>
    </w:rPr>
  </w:style>
  <w:style w:type="paragraph" w:styleId="765">
    <w:name w:val="toc 5"/>
    <w:next w:val="744"/>
    <w:uiPriority w:val="39"/>
    <w:unhideWhenUsed/>
    <w:qFormat/>
    <w:pPr>
      <w:ind w:left="1134"/>
      <w:spacing w:after="57"/>
    </w:pPr>
    <w:rPr>
      <w:rFonts w:ascii="Calibri" w:hAnsi="Calibri" w:eastAsia="Calibri" w:cs="Times New Roman"/>
      <w:lang w:val="en-US" w:eastAsia="zh-CN" w:bidi="ar-SA"/>
    </w:rPr>
  </w:style>
  <w:style w:type="paragraph" w:styleId="766">
    <w:name w:val="toc 3"/>
    <w:next w:val="744"/>
    <w:uiPriority w:val="39"/>
    <w:unhideWhenUsed/>
    <w:qFormat/>
    <w:pPr>
      <w:ind w:left="567"/>
      <w:spacing w:after="57"/>
    </w:pPr>
    <w:rPr>
      <w:rFonts w:ascii="Calibri" w:hAnsi="Calibri" w:eastAsia="Calibri" w:cs="Times New Roman"/>
      <w:lang w:val="en-US" w:eastAsia="zh-CN" w:bidi="ar-SA"/>
    </w:rPr>
  </w:style>
  <w:style w:type="paragraph" w:styleId="767">
    <w:name w:val="Plain Text"/>
    <w:basedOn w:val="744"/>
    <w:uiPriority w:val="0"/>
    <w:qFormat/>
    <w:pPr>
      <w:jc w:val="both"/>
      <w:widowControl w:val="off"/>
    </w:pPr>
    <w:rPr>
      <w:rFonts w:ascii="宋体" w:hAnsi="Courier New" w:eastAsiaTheme="minorEastAsia"/>
      <w:sz w:val="21"/>
      <w:szCs w:val="21"/>
    </w:rPr>
  </w:style>
  <w:style w:type="paragraph" w:styleId="768">
    <w:name w:val="toc 8"/>
    <w:next w:val="744"/>
    <w:uiPriority w:val="39"/>
    <w:unhideWhenUsed/>
    <w:qFormat/>
    <w:pPr>
      <w:ind w:left="1984"/>
      <w:spacing w:after="57"/>
    </w:pPr>
    <w:rPr>
      <w:rFonts w:ascii="Calibri" w:hAnsi="Calibri" w:eastAsia="Calibri" w:cs="Times New Roman"/>
      <w:lang w:val="en-US" w:eastAsia="zh-CN" w:bidi="ar-SA"/>
    </w:rPr>
  </w:style>
  <w:style w:type="paragraph" w:styleId="769">
    <w:name w:val="Date"/>
    <w:basedOn w:val="744"/>
    <w:next w:val="744"/>
    <w:uiPriority w:val="0"/>
    <w:qFormat/>
    <w:rPr>
      <w:rFonts w:eastAsia="Times New Roman" w:asciiTheme="minorHAnsi" w:hAnsiTheme="minorHAnsi" w:cstheme="minorBidi"/>
      <w:sz w:val="22"/>
      <w:szCs w:val="22"/>
    </w:rPr>
  </w:style>
  <w:style w:type="paragraph" w:styleId="770">
    <w:name w:val="endnote text"/>
    <w:link w:val="997"/>
    <w:uiPriority w:val="99"/>
    <w:semiHidden/>
    <w:unhideWhenUsed/>
    <w:qFormat/>
    <w:rPr>
      <w:rFonts w:ascii="Calibri" w:hAnsi="Calibri" w:eastAsia="Calibri" w:cs="Times New Roman"/>
      <w:lang w:val="en-US" w:eastAsia="zh-CN" w:bidi="ar-SA"/>
    </w:rPr>
  </w:style>
  <w:style w:type="paragraph" w:styleId="771">
    <w:name w:val="Balloon Text"/>
    <w:basedOn w:val="744"/>
    <w:link w:val="1034"/>
    <w:uiPriority w:val="99"/>
    <w:semiHidden/>
    <w:unhideWhenUsed/>
    <w:qFormat/>
    <w:rPr>
      <w:sz w:val="18"/>
      <w:szCs w:val="18"/>
    </w:rPr>
  </w:style>
  <w:style w:type="paragraph" w:styleId="772">
    <w:name w:val="Footer"/>
    <w:basedOn w:val="744"/>
    <w:link w:val="870"/>
    <w:uiPriority w:val="99"/>
    <w:unhideWhenUsed/>
    <w:qFormat/>
    <w:pPr>
      <w:tabs>
        <w:tab w:val="center" w:pos="7143" w:leader="none"/>
        <w:tab w:val="right" w:pos="14287" w:leader="none"/>
      </w:tabs>
    </w:pPr>
  </w:style>
  <w:style w:type="paragraph" w:styleId="773">
    <w:name w:val="Header"/>
    <w:link w:val="868"/>
    <w:uiPriority w:val="99"/>
    <w:unhideWhenUsed/>
    <w:qFormat/>
    <w:pPr>
      <w:tabs>
        <w:tab w:val="center" w:pos="7143" w:leader="none"/>
        <w:tab w:val="right" w:pos="14287" w:leader="none"/>
      </w:tabs>
    </w:pPr>
    <w:rPr>
      <w:rFonts w:ascii="Calibri" w:hAnsi="Calibri" w:eastAsia="Calibri" w:cs="Times New Roman"/>
      <w:lang w:val="en-US" w:eastAsia="zh-CN" w:bidi="ar-SA"/>
    </w:rPr>
  </w:style>
  <w:style w:type="paragraph" w:styleId="774">
    <w:name w:val="toc 1"/>
    <w:basedOn w:val="744"/>
    <w:next w:val="744"/>
    <w:uiPriority w:val="39"/>
    <w:unhideWhenUsed/>
    <w:qFormat/>
    <w:pPr>
      <w:spacing w:after="57"/>
    </w:pPr>
  </w:style>
  <w:style w:type="paragraph" w:styleId="775">
    <w:name w:val="toc 4"/>
    <w:next w:val="744"/>
    <w:uiPriority w:val="39"/>
    <w:unhideWhenUsed/>
    <w:qFormat/>
    <w:pPr>
      <w:ind w:left="850"/>
      <w:spacing w:after="57"/>
    </w:pPr>
    <w:rPr>
      <w:rFonts w:ascii="Calibri" w:hAnsi="Calibri" w:eastAsia="Calibri" w:cs="Times New Roman"/>
      <w:lang w:val="en-US" w:eastAsia="zh-CN" w:bidi="ar-SA"/>
    </w:rPr>
  </w:style>
  <w:style w:type="paragraph" w:styleId="776">
    <w:name w:val="Subtitle"/>
    <w:link w:val="863"/>
    <w:uiPriority w:val="11"/>
    <w:qFormat/>
    <w:pPr>
      <w:spacing w:before="200" w:after="200"/>
    </w:pPr>
    <w:rPr>
      <w:rFonts w:ascii="Calibri" w:hAnsi="Calibri" w:eastAsia="Calibri" w:cs="Times New Roman"/>
      <w:sz w:val="24"/>
      <w:szCs w:val="24"/>
      <w:lang w:val="en-US" w:eastAsia="zh-CN" w:bidi="ar-SA"/>
    </w:rPr>
  </w:style>
  <w:style w:type="paragraph" w:styleId="777">
    <w:name w:val="footnote text"/>
    <w:link w:val="996"/>
    <w:uiPriority w:val="99"/>
    <w:semiHidden/>
    <w:unhideWhenUsed/>
    <w:qFormat/>
    <w:pPr>
      <w:spacing w:after="40"/>
    </w:pPr>
    <w:rPr>
      <w:rFonts w:ascii="Calibri" w:hAnsi="Calibri" w:eastAsia="Calibri" w:cs="Times New Roman"/>
      <w:sz w:val="18"/>
      <w:lang w:val="en-US" w:eastAsia="zh-CN" w:bidi="ar-SA"/>
    </w:rPr>
  </w:style>
  <w:style w:type="paragraph" w:styleId="778">
    <w:name w:val="toc 6"/>
    <w:next w:val="744"/>
    <w:uiPriority w:val="39"/>
    <w:unhideWhenUsed/>
    <w:qFormat/>
    <w:pPr>
      <w:ind w:left="1417"/>
      <w:spacing w:after="57"/>
    </w:pPr>
    <w:rPr>
      <w:rFonts w:ascii="Calibri" w:hAnsi="Calibri" w:eastAsia="Calibri" w:cs="Times New Roman"/>
      <w:lang w:val="en-US" w:eastAsia="zh-CN" w:bidi="ar-SA"/>
    </w:rPr>
  </w:style>
  <w:style w:type="paragraph" w:styleId="779">
    <w:name w:val="table of figures"/>
    <w:next w:val="744"/>
    <w:uiPriority w:val="99"/>
    <w:unhideWhenUsed/>
    <w:qFormat/>
    <w:rPr>
      <w:rFonts w:ascii="Calibri" w:hAnsi="Calibri" w:eastAsia="Calibri" w:cs="Times New Roman"/>
      <w:lang w:val="en-US" w:eastAsia="zh-CN" w:bidi="ar-SA"/>
    </w:rPr>
  </w:style>
  <w:style w:type="paragraph" w:styleId="780">
    <w:name w:val="toc 2"/>
    <w:basedOn w:val="744"/>
    <w:next w:val="744"/>
    <w:uiPriority w:val="39"/>
    <w:unhideWhenUsed/>
    <w:qFormat/>
    <w:pPr>
      <w:ind w:left="283"/>
      <w:spacing w:after="57"/>
    </w:pPr>
  </w:style>
  <w:style w:type="paragraph" w:styleId="781">
    <w:name w:val="toc 9"/>
    <w:next w:val="744"/>
    <w:uiPriority w:val="39"/>
    <w:unhideWhenUsed/>
    <w:qFormat/>
    <w:pPr>
      <w:ind w:left="2268"/>
      <w:spacing w:after="57"/>
    </w:pPr>
    <w:rPr>
      <w:rFonts w:ascii="Calibri" w:hAnsi="Calibri" w:eastAsia="Calibri" w:cs="Times New Roman"/>
      <w:lang w:val="en-US" w:eastAsia="zh-CN" w:bidi="ar-SA"/>
    </w:rPr>
  </w:style>
  <w:style w:type="paragraph" w:styleId="782">
    <w:name w:val="Normal (Web)"/>
    <w:basedOn w:val="744"/>
    <w:uiPriority w:val="0"/>
    <w:qFormat/>
    <w:pPr>
      <w:spacing w:before="100" w:beforeAutospacing="1" w:after="100" w:afterAutospacing="1"/>
    </w:pPr>
    <w:rPr>
      <w:rFonts w:ascii="宋体" w:hAnsi="宋体" w:cs="宋体"/>
      <w:sz w:val="24"/>
    </w:rPr>
  </w:style>
  <w:style w:type="paragraph" w:styleId="783">
    <w:name w:val="Title"/>
    <w:link w:val="862"/>
    <w:uiPriority w:val="10"/>
    <w:qFormat/>
    <w:pPr>
      <w:contextualSpacing/>
      <w:spacing w:before="300" w:after="200"/>
    </w:pPr>
    <w:rPr>
      <w:rFonts w:ascii="Calibri" w:hAnsi="Calibri" w:eastAsia="Calibri" w:cs="Times New Roman"/>
      <w:sz w:val="48"/>
      <w:szCs w:val="48"/>
      <w:lang w:val="en-US" w:eastAsia="zh-CN" w:bidi="ar-SA"/>
    </w:rPr>
  </w:style>
  <w:style w:type="paragraph" w:styleId="784">
    <w:name w:val="Body Text First Indent"/>
    <w:basedOn w:val="760"/>
    <w:next w:val="785"/>
    <w:uiPriority w:val="99"/>
    <w:unhideWhenUsed/>
    <w:qFormat/>
    <w:pPr>
      <w:ind w:firstLine="420"/>
    </w:pPr>
    <w:rPr>
      <w:sz w:val="24"/>
    </w:rPr>
  </w:style>
  <w:style w:type="paragraph" w:styleId="785">
    <w:name w:val="Body Text First Indent 2"/>
    <w:basedOn w:val="761"/>
    <w:uiPriority w:val="99"/>
    <w:unhideWhenUsed/>
    <w:qFormat/>
    <w:pPr>
      <w:ind w:firstLine="42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4"/>
    <w:uiPriority w:val="22"/>
    <w:qFormat/>
    <w:rPr>
      <w:b/>
      <w:bCs/>
    </w:rPr>
  </w:style>
  <w:style w:type="character" w:styleId="788">
    <w:name w:val="endnote reference"/>
    <w:uiPriority w:val="99"/>
    <w:semiHidden/>
    <w:unhideWhenUsed/>
    <w:qFormat/>
    <w:rPr>
      <w:vertAlign w:val="superscript"/>
    </w:rPr>
  </w:style>
  <w:style w:type="character" w:styleId="789">
    <w:name w:val="page number"/>
    <w:basedOn w:val="754"/>
    <w:uiPriority w:val="0"/>
    <w:qFormat/>
  </w:style>
  <w:style w:type="character" w:styleId="790">
    <w:name w:val="FollowedHyperlink"/>
    <w:basedOn w:val="754"/>
    <w:uiPriority w:val="99"/>
    <w:semiHidden/>
    <w:unhideWhenUsed/>
    <w:qFormat/>
    <w:rPr>
      <w:color w:val="333333"/>
      <w:u w:val="none"/>
    </w:rPr>
  </w:style>
  <w:style w:type="character" w:styleId="791">
    <w:name w:val="Emphasis"/>
    <w:basedOn w:val="754"/>
    <w:uiPriority w:val="20"/>
    <w:qFormat/>
  </w:style>
  <w:style w:type="character" w:styleId="792">
    <w:name w:val="HTML Definition"/>
    <w:basedOn w:val="754"/>
    <w:uiPriority w:val="99"/>
    <w:semiHidden/>
    <w:unhideWhenUsed/>
    <w:qFormat/>
  </w:style>
  <w:style w:type="character" w:styleId="793">
    <w:name w:val="HTML Variable"/>
    <w:basedOn w:val="754"/>
    <w:uiPriority w:val="99"/>
    <w:semiHidden/>
    <w:unhideWhenUsed/>
    <w:qFormat/>
  </w:style>
  <w:style w:type="character" w:styleId="794">
    <w:name w:val="Hyperlink"/>
    <w:basedOn w:val="754"/>
    <w:uiPriority w:val="99"/>
    <w:unhideWhenUsed/>
    <w:qFormat/>
    <w:rPr>
      <w:color w:val="0000ff" w:themeColor="hyperlink"/>
      <w:u w:val="single"/>
      <w14:textFill>
        <w14:solidFill>
          <w14:schemeClr w14:val="hlink"/>
        </w14:solidFill>
      </w14:textFill>
    </w:rPr>
  </w:style>
  <w:style w:type="character" w:styleId="795">
    <w:name w:val="HTML Code"/>
    <w:basedOn w:val="754"/>
    <w:uiPriority w:val="99"/>
    <w:semiHidden/>
    <w:unhideWhenUsed/>
    <w:qFormat/>
    <w:rPr>
      <w:rFonts w:ascii="serif" w:hAnsi="serif" w:eastAsia="serif" w:cs="serif"/>
      <w:sz w:val="21"/>
      <w:szCs w:val="21"/>
    </w:rPr>
  </w:style>
  <w:style w:type="character" w:styleId="796">
    <w:name w:val="HTML Cite"/>
    <w:basedOn w:val="754"/>
    <w:uiPriority w:val="99"/>
    <w:semiHidden/>
    <w:unhideWhenUsed/>
    <w:qFormat/>
  </w:style>
  <w:style w:type="character" w:styleId="797">
    <w:name w:val="footnote reference"/>
    <w:uiPriority w:val="99"/>
    <w:unhideWhenUsed/>
    <w:qFormat/>
    <w:rPr>
      <w:vertAlign w:val="superscript"/>
    </w:rPr>
  </w:style>
  <w:style w:type="character" w:styleId="798">
    <w:name w:val="HTML Keyboard"/>
    <w:basedOn w:val="754"/>
    <w:uiPriority w:val="99"/>
    <w:semiHidden/>
    <w:unhideWhenUsed/>
    <w:qFormat/>
    <w:rPr>
      <w:rFonts w:hint="default" w:ascii="serif" w:hAnsi="serif" w:eastAsia="serif" w:cs="serif"/>
      <w:sz w:val="21"/>
      <w:szCs w:val="21"/>
    </w:rPr>
  </w:style>
  <w:style w:type="character" w:styleId="799">
    <w:name w:val="HTML Sample"/>
    <w:basedOn w:val="754"/>
    <w:uiPriority w:val="99"/>
    <w:semiHidden/>
    <w:unhideWhenUsed/>
    <w:qFormat/>
    <w:rPr>
      <w:rFonts w:hint="default" w:ascii="serif" w:hAnsi="serif" w:eastAsia="serif" w:cs="serif"/>
      <w:sz w:val="21"/>
      <w:szCs w:val="21"/>
    </w:rPr>
  </w:style>
  <w:style w:type="paragraph" w:styleId="800" w:customStyle="1">
    <w:name w:val="文本块12"/>
    <w:basedOn w:val="744"/>
    <w:uiPriority w:val="6"/>
    <w:qFormat/>
    <w:pPr>
      <w:ind w:left="256" w:right="6" w:firstLine="624"/>
    </w:pPr>
    <w:rPr>
      <w:rFonts w:ascii="Times New Roman" w:hAnsi="Times New Roman" w:eastAsia="仿宋" w:cs="Times New Roman"/>
      <w:sz w:val="28"/>
      <w:szCs w:val="20"/>
    </w:rPr>
  </w:style>
  <w:style w:type="paragraph" w:styleId="801" w:customStyle="1">
    <w:name w:val="Default"/>
    <w:uiPriority w:val="0"/>
    <w:qFormat/>
    <w:pPr>
      <w:widowControl w:val="off"/>
    </w:pPr>
    <w:rPr>
      <w:rFonts w:ascii="Calibri" w:hAnsi="Calibri" w:eastAsia="Calibri" w:cs="Times New Roman"/>
      <w:color w:val="000000"/>
      <w:sz w:val="24"/>
      <w:szCs w:val="24"/>
      <w:lang w:val="en-US" w:eastAsia="zh-CN" w:bidi="ar-SA"/>
    </w:rPr>
  </w:style>
  <w:style w:type="paragraph" w:styleId="802" w:customStyle="1">
    <w:name w:val="TOC 标题1"/>
    <w:uiPriority w:val="39"/>
    <w:unhideWhenUsed/>
    <w:qFormat/>
    <w:rPr>
      <w:rFonts w:ascii="Times New Roman" w:hAnsi="Times New Roman" w:eastAsia="宋体" w:cs="Times New Roman"/>
      <w:lang w:val="en-US" w:eastAsia="zh-CN" w:bidi="ar-SA"/>
    </w:rPr>
  </w:style>
  <w:style w:type="paragraph" w:styleId="803" w:customStyle="1">
    <w:name w:val="一级条标题"/>
    <w:basedOn w:val="804"/>
    <w:next w:val="8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4" w:customStyle="1">
    <w:name w:val="章标题"/>
    <w:next w:val="74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5" w:customStyle="1">
    <w:name w:val="段"/>
    <w:basedOn w:val="806"/>
    <w:next w:val="744"/>
    <w:uiPriority w:val="0"/>
    <w:qFormat/>
    <w:pPr>
      <w:ind w:firstLine="200"/>
    </w:pPr>
    <w:rPr>
      <w:rFonts w:ascii="宋体"/>
      <w:szCs w:val="22"/>
    </w:rPr>
  </w:style>
  <w:style w:type="paragraph" w:styleId="806" w:customStyle="1">
    <w:name w:val="正文13"/>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首行缩进1"/>
    <w:basedOn w:val="808"/>
    <w:next w:val="815"/>
    <w:uiPriority w:val="0"/>
    <w:qFormat/>
    <w:pPr>
      <w:ind w:firstLine="200"/>
      <w:spacing w:line="360" w:lineRule="auto"/>
    </w:pPr>
    <w:rPr>
      <w:rFonts w:ascii="仿宋_GB2312" w:eastAsia="仿宋_GB2312"/>
      <w:sz w:val="30"/>
      <w:szCs w:val="30"/>
    </w:rPr>
  </w:style>
  <w:style w:type="paragraph" w:styleId="808" w:customStyle="1">
    <w:name w:val="正文文本11"/>
    <w:basedOn w:val="809"/>
    <w:next w:val="814"/>
    <w:uiPriority w:val="0"/>
    <w:qFormat/>
    <w:pPr>
      <w:spacing w:after="120"/>
    </w:pPr>
  </w:style>
  <w:style w:type="paragraph" w:styleId="809" w:customStyle="1">
    <w:name w:val="正文12"/>
    <w:next w:val="810"/>
    <w:link w:val="1010"/>
    <w:uiPriority w:val="0"/>
    <w:qFormat/>
    <w:pPr>
      <w:jc w:val="both"/>
      <w:widowControl w:val="off"/>
    </w:pPr>
    <w:rPr>
      <w:rFonts w:ascii="Calibri" w:hAnsi="Calibri" w:eastAsia="Calibri" w:cs="Times New Roman"/>
      <w:sz w:val="21"/>
      <w:szCs w:val="24"/>
      <w:lang w:val="en-US" w:eastAsia="zh-CN" w:bidi="ar-SA"/>
    </w:rPr>
  </w:style>
  <w:style w:type="paragraph" w:styleId="810" w:customStyle="1">
    <w:name w:val="标题 21"/>
    <w:basedOn w:val="811"/>
    <w:next w:val="80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11" w:customStyle="1">
    <w:name w:val="正文11"/>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812" w:customStyle="1">
    <w:name w:val="正文文本1"/>
    <w:basedOn w:val="813"/>
    <w:next w:val="814"/>
    <w:uiPriority w:val="0"/>
    <w:qFormat/>
    <w:pPr>
      <w:spacing w:after="120"/>
    </w:pPr>
  </w:style>
  <w:style w:type="paragraph" w:styleId="813" w:customStyle="1">
    <w:name w:val="正文1"/>
    <w:basedOn w:val="814"/>
    <w:next w:val="812"/>
    <w:link w:val="1015"/>
    <w:uiPriority w:val="0"/>
    <w:qFormat/>
    <w:rPr>
      <w:rFonts w:ascii="Calibri" w:hAnsi="Calibri" w:eastAsia="Calibri"/>
    </w:rPr>
  </w:style>
  <w:style w:type="paragraph" w:styleId="814" w:customStyle="1">
    <w:name w:val="正文111"/>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815" w:customStyle="1">
    <w:name w:val="正文首行缩进 211"/>
    <w:basedOn w:val="816"/>
    <w:next w:val="817"/>
    <w:uiPriority w:val="99"/>
    <w:qFormat/>
    <w:pPr>
      <w:ind w:left="0" w:firstLine="420"/>
      <w:spacing w:after="0" w:line="360" w:lineRule="auto"/>
    </w:pPr>
    <w:rPr>
      <w:rFonts w:ascii="宋体" w:hAnsi="宋体"/>
    </w:rPr>
  </w:style>
  <w:style w:type="paragraph" w:styleId="816" w:customStyle="1">
    <w:name w:val="正文文本缩进11"/>
    <w:basedOn w:val="811"/>
    <w:next w:val="817"/>
    <w:uiPriority w:val="99"/>
    <w:qFormat/>
    <w:pPr>
      <w:ind w:left="420"/>
      <w:spacing w:after="120"/>
    </w:pPr>
  </w:style>
  <w:style w:type="paragraph" w:styleId="817" w:customStyle="1">
    <w:name w:val="正文1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目录 11"/>
    <w:basedOn w:val="817"/>
    <w:next w:val="813"/>
    <w:uiPriority w:val="0"/>
    <w:qFormat/>
  </w:style>
  <w:style w:type="paragraph" w:styleId="819" w:customStyle="1">
    <w:name w:val="正文1111"/>
    <w:next w:val="820"/>
    <w:uiPriority w:val="0"/>
    <w:qFormat/>
    <w:pPr>
      <w:jc w:val="both"/>
      <w:widowControl w:val="off"/>
    </w:pPr>
    <w:rPr>
      <w:rFonts w:ascii="Times New Roman" w:hAnsi="Times New Roman" w:eastAsia="宋体" w:cs="Times New Roman"/>
      <w:sz w:val="21"/>
      <w:szCs w:val="24"/>
      <w:lang w:val="en-US" w:eastAsia="zh-CN" w:bidi="ar-SA"/>
    </w:rPr>
  </w:style>
  <w:style w:type="paragraph" w:styleId="820" w:customStyle="1">
    <w:name w:val="标题 211"/>
    <w:basedOn w:val="811"/>
    <w:next w:val="819"/>
    <w:link w:val="1007"/>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821" w:customStyle="1">
    <w:name w:val="正文首行缩进 21"/>
    <w:basedOn w:val="822"/>
    <w:next w:val="744"/>
    <w:link w:val="1017"/>
    <w:uiPriority w:val="0"/>
    <w:qFormat/>
    <w:pPr>
      <w:ind w:firstLine="420"/>
    </w:pPr>
  </w:style>
  <w:style w:type="paragraph" w:styleId="822" w:customStyle="1">
    <w:name w:val="正文文本缩进1"/>
    <w:basedOn w:val="811"/>
    <w:next w:val="823"/>
    <w:link w:val="1016"/>
    <w:uiPriority w:val="0"/>
    <w:qFormat/>
    <w:pPr>
      <w:ind w:left="420"/>
      <w:spacing w:after="120"/>
    </w:pPr>
  </w:style>
  <w:style w:type="paragraph" w:styleId="823" w:customStyle="1">
    <w:name w:val="寄信人地址1"/>
    <w:basedOn w:val="814"/>
    <w:uiPriority w:val="0"/>
    <w:qFormat/>
    <w:pPr>
      <w:ind w:firstLine="200"/>
    </w:pPr>
    <w:rPr>
      <w:rFonts w:ascii="Arial" w:hAnsi="Arial" w:eastAsia="仿宋_GB2312"/>
    </w:rPr>
  </w:style>
  <w:style w:type="paragraph" w:styleId="824" w:customStyle="1">
    <w:name w:val="文本块1"/>
    <w:basedOn w:val="814"/>
    <w:uiPriority w:val="0"/>
    <w:qFormat/>
    <w:pPr>
      <w:ind w:left="420" w:right="33"/>
      <w:jc w:val="left"/>
    </w:pPr>
    <w:rPr>
      <w:sz w:val="24"/>
      <w:szCs w:val="20"/>
    </w:rPr>
  </w:style>
  <w:style w:type="paragraph" w:styleId="825" w:customStyle="1">
    <w:name w:val="正文文本111"/>
    <w:basedOn w:val="809"/>
    <w:next w:val="809"/>
    <w:uiPriority w:val="0"/>
    <w:qFormat/>
  </w:style>
  <w:style w:type="paragraph" w:styleId="826" w:customStyle="1">
    <w:name w:val="脚注文本1"/>
    <w:basedOn w:val="813"/>
    <w:next w:val="827"/>
    <w:uiPriority w:val="0"/>
    <w:qFormat/>
    <w:rPr>
      <w:sz w:val="18"/>
      <w:szCs w:val="18"/>
    </w:rPr>
  </w:style>
  <w:style w:type="paragraph" w:styleId="827" w:customStyle="1">
    <w:name w:val="索引 51"/>
    <w:basedOn w:val="809"/>
    <w:next w:val="813"/>
    <w:uiPriority w:val="0"/>
    <w:qFormat/>
    <w:pPr>
      <w:ind w:left="798"/>
      <w:jc w:val="left"/>
    </w:pPr>
  </w:style>
  <w:style w:type="paragraph" w:styleId="828" w:customStyle="1">
    <w:name w:val="正文文本2"/>
    <w:basedOn w:val="814"/>
    <w:next w:val="803"/>
    <w:uiPriority w:val="0"/>
    <w:qFormat/>
    <w:pPr>
      <w:spacing w:after="120"/>
    </w:pPr>
  </w:style>
  <w:style w:type="paragraph" w:styleId="829" w:customStyle="1">
    <w:name w:val="标题 41"/>
    <w:basedOn w:val="809"/>
    <w:next w:val="744"/>
    <w:uiPriority w:val="0"/>
    <w:qFormat/>
    <w:pPr>
      <w:keepLines/>
      <w:keepNext/>
      <w:spacing w:before="280" w:after="290" w:line="376" w:lineRule="auto"/>
      <w:outlineLvl w:val="3"/>
    </w:pPr>
    <w:rPr>
      <w:rFonts w:ascii="Arial" w:hAnsi="Arial" w:eastAsia="黑体"/>
      <w:b/>
      <w:bCs/>
      <w:sz w:val="28"/>
      <w:szCs w:val="28"/>
    </w:rPr>
  </w:style>
  <w:style w:type="paragraph" w:styleId="830" w:customStyle="1">
    <w:name w:val="无间隔1"/>
    <w:uiPriority w:val="0"/>
    <w:qFormat/>
    <w:rPr>
      <w:rFonts w:ascii="Calibri" w:hAnsi="Calibri" w:eastAsia="宋体" w:cs="Times New Roman"/>
      <w:sz w:val="22"/>
      <w:lang w:val="en-US" w:eastAsia="zh-CN" w:bidi="ar-SA"/>
    </w:rPr>
  </w:style>
  <w:style w:type="paragraph" w:styleId="831" w:customStyle="1">
    <w:name w:val="列表段落1"/>
    <w:basedOn w:val="813"/>
    <w:next w:val="744"/>
    <w:uiPriority w:val="0"/>
    <w:qFormat/>
    <w:pPr>
      <w:ind w:firstLine="420"/>
    </w:pPr>
  </w:style>
  <w:style w:type="paragraph" w:styleId="832" w:customStyle="1">
    <w:name w:val="TOC 标题112"/>
    <w:uiPriority w:val="39"/>
    <w:unhideWhenUsed/>
    <w:qFormat/>
    <w:rPr>
      <w:rFonts w:ascii="Times New Roman" w:hAnsi="Times New Roman" w:eastAsia="宋体" w:cs="Times New Roman"/>
      <w:lang w:val="en-US" w:eastAsia="zh-CN" w:bidi="ar-SA"/>
    </w:rPr>
  </w:style>
  <w:style w:type="character" w:styleId="833" w:customStyle="1">
    <w:name w:val="Heading 1 Char"/>
    <w:basedOn w:val="754"/>
    <w:uiPriority w:val="9"/>
    <w:qFormat/>
    <w:rPr>
      <w:rFonts w:ascii="Arial" w:hAnsi="Arial" w:eastAsia="Arial" w:cs="Arial"/>
      <w:sz w:val="40"/>
      <w:szCs w:val="40"/>
    </w:rPr>
  </w:style>
  <w:style w:type="character" w:styleId="834" w:customStyle="1">
    <w:name w:val="Heading 2 Char"/>
    <w:basedOn w:val="754"/>
    <w:uiPriority w:val="9"/>
    <w:qFormat/>
    <w:rPr>
      <w:rFonts w:ascii="Arial" w:hAnsi="Arial" w:eastAsia="Arial" w:cs="Arial"/>
      <w:sz w:val="34"/>
    </w:rPr>
  </w:style>
  <w:style w:type="character" w:styleId="835" w:customStyle="1">
    <w:name w:val="Heading 3 Char"/>
    <w:basedOn w:val="754"/>
    <w:uiPriority w:val="9"/>
    <w:qFormat/>
    <w:rPr>
      <w:rFonts w:ascii="Arial" w:hAnsi="Arial" w:eastAsia="Arial" w:cs="Arial"/>
      <w:sz w:val="30"/>
      <w:szCs w:val="30"/>
    </w:rPr>
  </w:style>
  <w:style w:type="character" w:styleId="836" w:customStyle="1">
    <w:name w:val="Heading 4 Char"/>
    <w:basedOn w:val="754"/>
    <w:uiPriority w:val="9"/>
    <w:qFormat/>
    <w:rPr>
      <w:rFonts w:ascii="Arial" w:hAnsi="Arial" w:eastAsia="Arial" w:cs="Arial"/>
      <w:b/>
      <w:bCs/>
      <w:sz w:val="26"/>
      <w:szCs w:val="26"/>
    </w:rPr>
  </w:style>
  <w:style w:type="character" w:styleId="837" w:customStyle="1">
    <w:name w:val="Heading 5 Char"/>
    <w:basedOn w:val="754"/>
    <w:uiPriority w:val="9"/>
    <w:qFormat/>
    <w:rPr>
      <w:rFonts w:ascii="Arial" w:hAnsi="Arial" w:eastAsia="Arial" w:cs="Arial"/>
      <w:b/>
      <w:bCs/>
      <w:sz w:val="24"/>
      <w:szCs w:val="24"/>
    </w:rPr>
  </w:style>
  <w:style w:type="character" w:styleId="838" w:customStyle="1">
    <w:name w:val="Heading 6 Char"/>
    <w:basedOn w:val="754"/>
    <w:uiPriority w:val="9"/>
    <w:qFormat/>
    <w:rPr>
      <w:rFonts w:ascii="Arial" w:hAnsi="Arial" w:eastAsia="Arial" w:cs="Arial"/>
      <w:b/>
      <w:bCs/>
      <w:sz w:val="22"/>
      <w:szCs w:val="22"/>
    </w:rPr>
  </w:style>
  <w:style w:type="character" w:styleId="839" w:customStyle="1">
    <w:name w:val="Heading 7 Char"/>
    <w:basedOn w:val="754"/>
    <w:uiPriority w:val="9"/>
    <w:qFormat/>
    <w:rPr>
      <w:rFonts w:ascii="Arial" w:hAnsi="Arial" w:eastAsia="Arial" w:cs="Arial"/>
      <w:b/>
      <w:bCs/>
      <w:i/>
      <w:iCs/>
      <w:sz w:val="22"/>
      <w:szCs w:val="22"/>
    </w:rPr>
  </w:style>
  <w:style w:type="character" w:styleId="840" w:customStyle="1">
    <w:name w:val="Heading 8 Char"/>
    <w:basedOn w:val="754"/>
    <w:uiPriority w:val="9"/>
    <w:qFormat/>
    <w:rPr>
      <w:rFonts w:ascii="Arial" w:hAnsi="Arial" w:eastAsia="Arial" w:cs="Arial"/>
      <w:i/>
      <w:iCs/>
      <w:sz w:val="22"/>
      <w:szCs w:val="22"/>
    </w:rPr>
  </w:style>
  <w:style w:type="character" w:styleId="841" w:customStyle="1">
    <w:name w:val="Heading 9 Char"/>
    <w:basedOn w:val="754"/>
    <w:uiPriority w:val="9"/>
    <w:qFormat/>
    <w:rPr>
      <w:rFonts w:ascii="Arial" w:hAnsi="Arial" w:eastAsia="Arial" w:cs="Arial"/>
      <w:i/>
      <w:iCs/>
      <w:sz w:val="21"/>
      <w:szCs w:val="21"/>
    </w:rPr>
  </w:style>
  <w:style w:type="character" w:styleId="842" w:customStyle="1">
    <w:name w:val="Title Char"/>
    <w:basedOn w:val="754"/>
    <w:uiPriority w:val="10"/>
    <w:qFormat/>
    <w:rPr>
      <w:sz w:val="48"/>
      <w:szCs w:val="48"/>
    </w:rPr>
  </w:style>
  <w:style w:type="character" w:styleId="843" w:customStyle="1">
    <w:name w:val="Subtitle Char"/>
    <w:basedOn w:val="754"/>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54"/>
    <w:uiPriority w:val="99"/>
    <w:qFormat/>
  </w:style>
  <w:style w:type="character" w:styleId="847" w:customStyle="1">
    <w:name w:val="Caption Char"/>
    <w:uiPriority w:val="99"/>
    <w:qFormat/>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11"/>
    <w:uiPriority w:val="39"/>
    <w:unhideWhenUsed/>
    <w:qFormat/>
    <w:rPr>
      <w:rFonts w:ascii="Times New Roman" w:hAnsi="Times New Roman" w:eastAsia="宋体" w:cs="Times New Roman"/>
      <w:lang w:val="en-US" w:eastAsia="zh-CN" w:bidi="ar-SA"/>
    </w:rPr>
  </w:style>
  <w:style w:type="character" w:styleId="851" w:customStyle="1">
    <w:name w:val="标题 1 Char"/>
    <w:link w:val="745"/>
    <w:uiPriority w:val="9"/>
    <w:qFormat/>
    <w:rPr>
      <w:rFonts w:ascii="Arial" w:hAnsi="Arial" w:eastAsia="Arial" w:cs="Arial"/>
      <w:sz w:val="40"/>
      <w:szCs w:val="40"/>
    </w:rPr>
  </w:style>
  <w:style w:type="character" w:styleId="852" w:customStyle="1">
    <w:name w:val="标题 2 Char"/>
    <w:link w:val="746"/>
    <w:uiPriority w:val="9"/>
    <w:qFormat/>
    <w:rPr>
      <w:rFonts w:ascii="Arial" w:hAnsi="Arial" w:eastAsia="Arial" w:cs="Arial"/>
      <w:sz w:val="34"/>
    </w:rPr>
  </w:style>
  <w:style w:type="character" w:styleId="853" w:customStyle="1">
    <w:name w:val="标题 3 Char"/>
    <w:link w:val="747"/>
    <w:uiPriority w:val="9"/>
    <w:qFormat/>
    <w:rPr>
      <w:rFonts w:ascii="Arial" w:hAnsi="Arial" w:eastAsia="Arial" w:cs="Arial"/>
      <w:sz w:val="30"/>
      <w:szCs w:val="30"/>
    </w:rPr>
  </w:style>
  <w:style w:type="character" w:styleId="854" w:customStyle="1">
    <w:name w:val="标题 4 Char"/>
    <w:link w:val="748"/>
    <w:uiPriority w:val="9"/>
    <w:qFormat/>
    <w:rPr>
      <w:rFonts w:ascii="Arial" w:hAnsi="Arial" w:eastAsia="Arial" w:cs="Arial"/>
      <w:b/>
      <w:bCs/>
      <w:sz w:val="26"/>
      <w:szCs w:val="26"/>
    </w:rPr>
  </w:style>
  <w:style w:type="character" w:styleId="855" w:customStyle="1">
    <w:name w:val="标题 5 Char"/>
    <w:link w:val="749"/>
    <w:uiPriority w:val="9"/>
    <w:qFormat/>
    <w:rPr>
      <w:rFonts w:ascii="Arial" w:hAnsi="Arial" w:eastAsia="Arial" w:cs="Arial"/>
      <w:b/>
      <w:bCs/>
      <w:sz w:val="24"/>
      <w:szCs w:val="24"/>
    </w:rPr>
  </w:style>
  <w:style w:type="character" w:styleId="856" w:customStyle="1">
    <w:name w:val="标题 6 Char"/>
    <w:link w:val="750"/>
    <w:uiPriority w:val="9"/>
    <w:qFormat/>
    <w:rPr>
      <w:rFonts w:ascii="Arial" w:hAnsi="Arial" w:eastAsia="Arial" w:cs="Arial"/>
      <w:b/>
      <w:bCs/>
      <w:sz w:val="22"/>
      <w:szCs w:val="22"/>
    </w:rPr>
  </w:style>
  <w:style w:type="character" w:styleId="857" w:customStyle="1">
    <w:name w:val="标题 7 Char"/>
    <w:link w:val="751"/>
    <w:uiPriority w:val="9"/>
    <w:qFormat/>
    <w:rPr>
      <w:rFonts w:ascii="Arial" w:hAnsi="Arial" w:eastAsia="Arial" w:cs="Arial"/>
      <w:b/>
      <w:bCs/>
      <w:i/>
      <w:iCs/>
      <w:sz w:val="22"/>
      <w:szCs w:val="22"/>
    </w:rPr>
  </w:style>
  <w:style w:type="character" w:styleId="858" w:customStyle="1">
    <w:name w:val="标题 8 Char"/>
    <w:link w:val="752"/>
    <w:uiPriority w:val="9"/>
    <w:qFormat/>
    <w:rPr>
      <w:rFonts w:ascii="Arial" w:hAnsi="Arial" w:eastAsia="Arial" w:cs="Arial"/>
      <w:i/>
      <w:iCs/>
      <w:sz w:val="22"/>
      <w:szCs w:val="22"/>
    </w:rPr>
  </w:style>
  <w:style w:type="character" w:styleId="859" w:customStyle="1">
    <w:name w:val="标题 9 Char"/>
    <w:link w:val="753"/>
    <w:uiPriority w:val="9"/>
    <w:qFormat/>
    <w:rPr>
      <w:rFonts w:ascii="Arial" w:hAnsi="Arial" w:eastAsia="Arial" w:cs="Arial"/>
      <w:i/>
      <w:iCs/>
      <w:sz w:val="21"/>
      <w:szCs w:val="21"/>
    </w:rPr>
  </w:style>
  <w:style w:type="paragraph" w:styleId="860">
    <w:name w:val="List Paragraph"/>
    <w:basedOn w:val="744"/>
    <w:uiPriority w:val="34"/>
    <w:qFormat/>
    <w:pPr>
      <w:contextualSpacing/>
      <w:ind w:left="720"/>
    </w:pPr>
  </w:style>
  <w:style w:type="paragraph" w:styleId="861">
    <w:name w:val="No Spacing"/>
    <w:uiPriority w:val="1"/>
    <w:qFormat/>
    <w:rPr>
      <w:rFonts w:ascii="Calibri" w:hAnsi="Calibri" w:eastAsia="Calibri" w:cs="Times New Roman"/>
      <w:lang w:val="en-US" w:eastAsia="zh-CN" w:bidi="ar-SA"/>
    </w:rPr>
  </w:style>
  <w:style w:type="character" w:styleId="862" w:customStyle="1">
    <w:name w:val="标题 Char"/>
    <w:link w:val="783"/>
    <w:uiPriority w:val="10"/>
    <w:qFormat/>
    <w:rPr>
      <w:sz w:val="48"/>
      <w:szCs w:val="48"/>
    </w:rPr>
  </w:style>
  <w:style w:type="character" w:styleId="863" w:customStyle="1">
    <w:name w:val="副标题 Char"/>
    <w:link w:val="776"/>
    <w:uiPriority w:val="11"/>
    <w:qFormat/>
    <w:rPr>
      <w:sz w:val="24"/>
      <w:szCs w:val="24"/>
    </w:rPr>
  </w:style>
  <w:style w:type="paragraph" w:styleId="864">
    <w:name w:val="Quote"/>
    <w:link w:val="865"/>
    <w:uiPriority w:val="29"/>
    <w:qFormat/>
    <w:pPr>
      <w:ind w:left="720" w:right="720"/>
    </w:pPr>
    <w:rPr>
      <w:rFonts w:ascii="Calibri" w:hAnsi="Calibri" w:eastAsia="Calibri" w:cs="Times New Roman"/>
      <w:i/>
      <w:lang w:val="en-US" w:eastAsia="zh-CN" w:bidi="ar-SA"/>
    </w:rPr>
  </w:style>
  <w:style w:type="character" w:styleId="865" w:customStyle="1">
    <w:name w:val="引用 Char"/>
    <w:link w:val="864"/>
    <w:uiPriority w:val="29"/>
    <w:qFormat/>
    <w:rPr>
      <w:i/>
    </w:rPr>
  </w:style>
  <w:style w:type="paragraph" w:styleId="866">
    <w:name w:val="Intense Quote"/>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Calibri" w:cs="Times New Roman"/>
      <w:i/>
      <w:lang w:val="en-US" w:eastAsia="zh-CN" w:bidi="ar-SA"/>
    </w:rPr>
  </w:style>
  <w:style w:type="character" w:styleId="867" w:customStyle="1">
    <w:name w:val="明显引用 Char"/>
    <w:link w:val="866"/>
    <w:uiPriority w:val="30"/>
    <w:qFormat/>
    <w:rPr>
      <w:i/>
    </w:rPr>
  </w:style>
  <w:style w:type="character" w:styleId="868" w:customStyle="1">
    <w:name w:val="页眉 Char"/>
    <w:link w:val="773"/>
    <w:uiPriority w:val="99"/>
    <w:qFormat/>
  </w:style>
  <w:style w:type="character" w:styleId="869" w:customStyle="1">
    <w:name w:val="Footer Char"/>
    <w:uiPriority w:val="99"/>
    <w:qFormat/>
  </w:style>
  <w:style w:type="character" w:styleId="870" w:customStyle="1">
    <w:name w:val="页脚 Char"/>
    <w:link w:val="772"/>
    <w:uiPriority w:val="99"/>
    <w:qFormat/>
  </w:style>
  <w:style w:type="table" w:styleId="8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脚注文本 Char"/>
    <w:link w:val="777"/>
    <w:uiPriority w:val="99"/>
    <w:qFormat/>
    <w:rPr>
      <w:sz w:val="18"/>
    </w:rPr>
  </w:style>
  <w:style w:type="character" w:styleId="997" w:customStyle="1">
    <w:name w:val="尾注文本 Char"/>
    <w:link w:val="770"/>
    <w:uiPriority w:val="99"/>
    <w:qFormat/>
    <w:rPr>
      <w:sz w:val="20"/>
    </w:rPr>
  </w:style>
  <w:style w:type="paragraph" w:styleId="998" w:customStyle="1">
    <w:name w:val="TOC 标题11"/>
    <w:uiPriority w:val="39"/>
    <w:unhideWhenUsed/>
    <w:qFormat/>
    <w:rPr>
      <w:rFonts w:ascii="Calibri" w:hAnsi="Calibri" w:eastAsia="Calibri" w:cs="Times New Roman"/>
      <w:lang w:val="en-US" w:eastAsia="zh-CN" w:bidi="ar-SA"/>
    </w:rPr>
  </w:style>
  <w:style w:type="character" w:styleId="999" w:customStyle="1">
    <w:name w:val="默认段落字体1"/>
    <w:uiPriority w:val="0"/>
    <w:qFormat/>
  </w:style>
  <w:style w:type="table" w:styleId="1000" w:customStyle="1">
    <w:name w:val="普通表格1"/>
    <w:uiPriority w:val="0"/>
    <w:qFormat/>
    <w:tblPr>
      <w:tblCellMar>
        <w:left w:w="0" w:type="dxa"/>
        <w:top w:w="0" w:type="dxa"/>
        <w:right w:w="0" w:type="dxa"/>
        <w:bottom w:w="0" w:type="dxa"/>
      </w:tblCellMar>
    </w:tblPr>
  </w:style>
  <w:style w:type="character" w:styleId="1001" w:customStyle="1">
    <w:name w:val="页码1"/>
    <w:uiPriority w:val="0"/>
    <w:qFormat/>
  </w:style>
  <w:style w:type="character" w:styleId="1002" w:customStyle="1">
    <w:name w:val="批注引用1"/>
    <w:uiPriority w:val="0"/>
    <w:qFormat/>
    <w:rPr>
      <w:sz w:val="21"/>
      <w:szCs w:val="21"/>
    </w:rPr>
  </w:style>
  <w:style w:type="character" w:styleId="1003" w:customStyle="1">
    <w:name w:val="批注文字 字符"/>
    <w:link w:val="1004"/>
    <w:uiPriority w:val="0"/>
    <w:qFormat/>
    <w:rPr>
      <w:sz w:val="21"/>
      <w:szCs w:val="24"/>
    </w:rPr>
  </w:style>
  <w:style w:type="paragraph" w:styleId="1004" w:customStyle="1">
    <w:name w:val="批注文字1"/>
    <w:basedOn w:val="809"/>
    <w:link w:val="1003"/>
    <w:uiPriority w:val="0"/>
    <w:qFormat/>
    <w:pPr>
      <w:jc w:val="left"/>
    </w:pPr>
  </w:style>
  <w:style w:type="character" w:styleId="1005" w:customStyle="1">
    <w:name w:val="批注框文本 字符"/>
    <w:link w:val="1006"/>
    <w:uiPriority w:val="0"/>
    <w:qFormat/>
    <w:rPr>
      <w:sz w:val="18"/>
      <w:szCs w:val="18"/>
    </w:rPr>
  </w:style>
  <w:style w:type="paragraph" w:styleId="1006" w:customStyle="1">
    <w:name w:val="批注框文本1"/>
    <w:basedOn w:val="809"/>
    <w:link w:val="1005"/>
    <w:uiPriority w:val="0"/>
    <w:qFormat/>
    <w:rPr>
      <w:sz w:val="18"/>
      <w:szCs w:val="18"/>
    </w:rPr>
  </w:style>
  <w:style w:type="character" w:styleId="1007" w:customStyle="1">
    <w:name w:val="标题 2 字符"/>
    <w:link w:val="820"/>
    <w:uiPriority w:val="0"/>
    <w:qFormat/>
    <w:rPr>
      <w:rFonts w:ascii="Cambria" w:hAnsi="Cambria"/>
      <w:b/>
      <w:bCs/>
      <w:sz w:val="28"/>
      <w:szCs w:val="32"/>
    </w:rPr>
  </w:style>
  <w:style w:type="character" w:styleId="1008" w:customStyle="1">
    <w:name w:val="普通(网站) 字符"/>
    <w:link w:val="1009"/>
    <w:uiPriority w:val="0"/>
    <w:qFormat/>
    <w:rPr>
      <w:rFonts w:ascii="宋体" w:hAnsi="宋体"/>
      <w:sz w:val="24"/>
      <w:szCs w:val="24"/>
    </w:rPr>
  </w:style>
  <w:style w:type="paragraph" w:styleId="1009" w:customStyle="1">
    <w:name w:val="普通(网站)1"/>
    <w:basedOn w:val="809"/>
    <w:link w:val="1008"/>
    <w:uiPriority w:val="0"/>
    <w:qFormat/>
    <w:pPr>
      <w:jc w:val="left"/>
      <w:spacing w:before="100" w:beforeAutospacing="1" w:after="100" w:afterAutospacing="1"/>
      <w:widowControl/>
    </w:pPr>
    <w:rPr>
      <w:rFonts w:ascii="宋体" w:hAnsi="宋体"/>
      <w:sz w:val="24"/>
    </w:rPr>
  </w:style>
  <w:style w:type="character" w:styleId="1010" w:customStyle="1">
    <w:name w:val="15"/>
    <w:link w:val="809"/>
    <w:uiPriority w:val="0"/>
    <w:qFormat/>
    <w:rPr>
      <w:rFonts w:ascii="Times New Roman" w:hAnsi="Times New Roman"/>
      <w:b/>
      <w:bCs/>
      <w:sz w:val="20"/>
      <w:szCs w:val="20"/>
    </w:rPr>
  </w:style>
  <w:style w:type="character" w:styleId="1011" w:customStyle="1">
    <w:name w:val="批注主题 字符"/>
    <w:link w:val="1012"/>
    <w:uiPriority w:val="0"/>
    <w:qFormat/>
    <w:rPr>
      <w:b/>
      <w:bCs/>
      <w:sz w:val="21"/>
      <w:szCs w:val="24"/>
    </w:rPr>
  </w:style>
  <w:style w:type="paragraph" w:styleId="1012" w:customStyle="1">
    <w:name w:val="批注主题1"/>
    <w:basedOn w:val="1004"/>
    <w:next w:val="1004"/>
    <w:link w:val="1011"/>
    <w:uiPriority w:val="0"/>
    <w:qFormat/>
    <w:rPr>
      <w:b/>
      <w:bCs/>
    </w:rPr>
  </w:style>
  <w:style w:type="character" w:styleId="1013" w:customStyle="1">
    <w:name w:val="纯文本 字符"/>
    <w:link w:val="1014"/>
    <w:uiPriority w:val="0"/>
    <w:qFormat/>
    <w:rPr>
      <w:rFonts w:ascii="宋体" w:hAnsi="Courier New" w:eastAsia="宋体"/>
      <w:sz w:val="21"/>
      <w:szCs w:val="21"/>
      <w:lang w:bidi="ar-SA"/>
    </w:rPr>
  </w:style>
  <w:style w:type="paragraph" w:styleId="1014" w:customStyle="1">
    <w:name w:val="纯文本1"/>
    <w:basedOn w:val="809"/>
    <w:link w:val="1013"/>
    <w:uiPriority w:val="0"/>
    <w:qFormat/>
    <w:rPr>
      <w:rFonts w:ascii="宋体" w:hAnsi="Courier New"/>
      <w:szCs w:val="21"/>
    </w:rPr>
  </w:style>
  <w:style w:type="character" w:styleId="1015" w:customStyle="1">
    <w:name w:val="超链接1"/>
    <w:link w:val="813"/>
    <w:uiPriority w:val="0"/>
    <w:qFormat/>
    <w:rPr>
      <w:sz w:val="21"/>
      <w:szCs w:val="24"/>
      <w:lang w:val="en-US" w:eastAsia="zh-CN" w:bidi="ar-SA"/>
    </w:rPr>
  </w:style>
  <w:style w:type="character" w:styleId="1016" w:customStyle="1">
    <w:name w:val="正文文本缩进 字符"/>
    <w:link w:val="822"/>
    <w:uiPriority w:val="0"/>
    <w:qFormat/>
    <w:rPr>
      <w:sz w:val="21"/>
      <w:szCs w:val="24"/>
    </w:rPr>
  </w:style>
  <w:style w:type="character" w:styleId="1017" w:customStyle="1">
    <w:name w:val="正文首行缩进 2 字符"/>
    <w:link w:val="821"/>
    <w:uiPriority w:val="0"/>
    <w:qFormat/>
    <w:rPr>
      <w:sz w:val="21"/>
      <w:szCs w:val="24"/>
    </w:rPr>
  </w:style>
  <w:style w:type="paragraph" w:styleId="1018" w:customStyle="1">
    <w:name w:val="标题1"/>
    <w:basedOn w:val="817"/>
    <w:next w:val="1014"/>
    <w:uiPriority w:val="0"/>
    <w:qFormat/>
    <w:pPr>
      <w:jc w:val="center"/>
      <w:spacing w:before="240" w:after="60"/>
      <w:outlineLvl w:val="0"/>
    </w:pPr>
    <w:rPr>
      <w:rFonts w:ascii="宋体" w:hAnsi="宋体"/>
      <w:b/>
      <w:bCs/>
      <w:sz w:val="32"/>
      <w:szCs w:val="32"/>
    </w:rPr>
  </w:style>
  <w:style w:type="paragraph" w:styleId="1019" w:customStyle="1">
    <w:name w:val="寄信人地址11"/>
    <w:basedOn w:val="744"/>
    <w:uiPriority w:val="0"/>
    <w:qFormat/>
    <w:rPr>
      <w:rFonts w:ascii="Arial" w:hAnsi="Arial"/>
    </w:rPr>
  </w:style>
  <w:style w:type="paragraph" w:styleId="1020" w:customStyle="1">
    <w:name w:val="页脚1"/>
    <w:basedOn w:val="809"/>
    <w:uiPriority w:val="0"/>
    <w:qFormat/>
    <w:pPr>
      <w:jc w:val="left"/>
      <w:tabs>
        <w:tab w:val="center" w:pos="4153" w:leader="none"/>
        <w:tab w:val="right" w:pos="8306" w:leader="none"/>
      </w:tabs>
    </w:pPr>
    <w:rPr>
      <w:sz w:val="18"/>
      <w:szCs w:val="18"/>
    </w:rPr>
  </w:style>
  <w:style w:type="paragraph" w:styleId="1021" w:customStyle="1">
    <w:name w:val="页眉1"/>
    <w:basedOn w:val="809"/>
    <w:uiPriority w:val="0"/>
    <w:qFormat/>
    <w:pPr>
      <w:jc w:val="center"/>
      <w:tabs>
        <w:tab w:val="center" w:pos="4153" w:leader="none"/>
        <w:tab w:val="right" w:pos="8306" w:leader="none"/>
      </w:tabs>
      <w:pBdr>
        <w:bottom w:val="single" w:color="000000" w:sz="6" w:space="1"/>
      </w:pBdr>
    </w:pPr>
    <w:rPr>
      <w:sz w:val="18"/>
      <w:szCs w:val="18"/>
    </w:rPr>
  </w:style>
  <w:style w:type="paragraph" w:styleId="1022" w:customStyle="1">
    <w:name w:val="正文文本缩进 21"/>
    <w:basedOn w:val="809"/>
    <w:uiPriority w:val="0"/>
    <w:qFormat/>
    <w:pPr>
      <w:ind w:left="420"/>
      <w:spacing w:after="120" w:line="480" w:lineRule="auto"/>
    </w:pPr>
  </w:style>
  <w:style w:type="paragraph" w:styleId="1023" w:customStyle="1">
    <w:name w:val="p16"/>
    <w:basedOn w:val="809"/>
    <w:uiPriority w:val="0"/>
    <w:qFormat/>
    <w:pPr>
      <w:jc w:val="left"/>
      <w:spacing w:before="100" w:after="100"/>
      <w:widowControl/>
    </w:pPr>
    <w:rPr>
      <w:rFonts w:ascii="宋体" w:hAnsi="宋体"/>
      <w:sz w:val="24"/>
    </w:rPr>
  </w:style>
  <w:style w:type="paragraph" w:styleId="1024" w:customStyle="1">
    <w:name w:val="列出段落1"/>
    <w:basedOn w:val="809"/>
    <w:uiPriority w:val="0"/>
    <w:qFormat/>
    <w:pPr>
      <w:ind w:firstLine="420"/>
    </w:pPr>
  </w:style>
  <w:style w:type="paragraph" w:styleId="1025" w:customStyle="1">
    <w:name w:val="BodyText"/>
    <w:basedOn w:val="809"/>
    <w:uiPriority w:val="0"/>
    <w:qFormat/>
    <w:pPr>
      <w:spacing w:line="380" w:lineRule="exact"/>
    </w:pPr>
  </w:style>
  <w:style w:type="paragraph" w:styleId="1026" w:customStyle="1">
    <w:name w:val="Char"/>
    <w:basedOn w:val="809"/>
    <w:uiPriority w:val="0"/>
    <w:qFormat/>
    <w:pPr>
      <w:tabs>
        <w:tab w:val="left" w:pos="360" w:leader="none"/>
      </w:tabs>
    </w:pPr>
    <w:rPr>
      <w:sz w:val="24"/>
    </w:rPr>
  </w:style>
  <w:style w:type="paragraph" w:styleId="1027" w:customStyle="1">
    <w:name w:val="表格3"/>
    <w:basedOn w:val="809"/>
    <w:uiPriority w:val="0"/>
    <w:qFormat/>
    <w:pPr>
      <w:jc w:val="center"/>
    </w:pPr>
  </w:style>
  <w:style w:type="paragraph" w:styleId="1028" w:customStyle="1">
    <w:name w:val="默认段落字体 Para Char Char Char Char Char Char Char"/>
    <w:basedOn w:val="809"/>
    <w:uiPriority w:val="0"/>
    <w:qFormat/>
    <w:rPr>
      <w:rFonts w:ascii="Tahoma" w:hAnsi="Tahoma"/>
      <w:sz w:val="24"/>
      <w:szCs w:val="20"/>
    </w:rPr>
  </w:style>
  <w:style w:type="paragraph" w:styleId="1029" w:customStyle="1">
    <w:name w:val="p0"/>
    <w:basedOn w:val="809"/>
    <w:uiPriority w:val="0"/>
    <w:qFormat/>
    <w:pPr>
      <w:widowControl/>
    </w:pPr>
    <w:rPr>
      <w:szCs w:val="21"/>
    </w:rPr>
  </w:style>
  <w:style w:type="paragraph" w:styleId="1030" w:customStyle="1">
    <w:name w:val="Blockquote"/>
    <w:basedOn w:val="809"/>
    <w:uiPriority w:val="0"/>
    <w:qFormat/>
    <w:pPr>
      <w:ind w:left="764" w:right="567"/>
      <w:jc w:val="left"/>
      <w:spacing w:before="100" w:after="100"/>
    </w:pPr>
    <w:rPr>
      <w:sz w:val="24"/>
    </w:rPr>
  </w:style>
  <w:style w:type="table" w:styleId="1031" w:customStyle="1">
    <w:name w:val="网格型1"/>
    <w:basedOn w:val="1000"/>
    <w:uiPriority w:val="0"/>
    <w:qFormat/>
    <w:tblPr>
      <w:tblCellMar>
        <w:left w:w="0" w:type="dxa"/>
        <w:top w:w="0" w:type="dxa"/>
        <w:right w:w="0" w:type="dxa"/>
        <w:bottom w:w="0" w:type="dxa"/>
      </w:tblCellMar>
    </w:tblPr>
  </w:style>
  <w:style w:type="character" w:styleId="1032" w:customStyle="1">
    <w:name w:val="NormalCharacter"/>
    <w:link w:val="744"/>
    <w:uiPriority w:val="0"/>
    <w:semiHidden/>
    <w:qFormat/>
    <w:rPr>
      <w:rFonts w:ascii="Calibri" w:hAnsi="Calibri" w:eastAsia="Calibri" w:cs="Times New Roman"/>
      <w:lang w:val="en-US" w:eastAsia="zh-CN" w:bidi="ar-SA"/>
    </w:rPr>
  </w:style>
  <w:style w:type="paragraph" w:styleId="1033" w:customStyle="1">
    <w:name w:val="正文 A"/>
    <w:uiPriority w:val="0"/>
    <w:qFormat/>
    <w:pPr>
      <w:jc w:val="both"/>
      <w:widowControl w:val="off"/>
    </w:pPr>
    <w:rPr>
      <w:rFonts w:ascii="Times New Roman" w:hAnsi="Times New Roman" w:eastAsia="Arial Unicode MS" w:cs="Times New Roman"/>
      <w:color w:val="000000"/>
      <w:sz w:val="32"/>
      <w:szCs w:val="32"/>
      <w:lang w:val="en-US" w:eastAsia="zh-CN" w:bidi="ar-SA"/>
    </w:rPr>
  </w:style>
  <w:style w:type="character" w:styleId="1034" w:customStyle="1">
    <w:name w:val="批注框文本 Char"/>
    <w:basedOn w:val="754"/>
    <w:link w:val="771"/>
    <w:uiPriority w:val="99"/>
    <w:semiHidden/>
    <w:qFormat/>
    <w:rPr>
      <w:rFonts w:ascii="Calibri" w:hAnsi="Calibri" w:eastAsia="Calibri"/>
      <w:sz w:val="18"/>
      <w:szCs w:val="18"/>
    </w:rPr>
  </w:style>
  <w:style w:type="table" w:styleId="1035" w:customStyle="1">
    <w:name w:val="Table Normal"/>
    <w:uiPriority w:val="0"/>
    <w:semiHidden/>
    <w:unhideWhenUsed/>
    <w:qFormat/>
    <w:tblPr>
      <w:tblCellMar>
        <w:left w:w="0" w:type="dxa"/>
        <w:top w:w="0" w:type="dxa"/>
        <w:right w:w="0" w:type="dxa"/>
        <w:bottom w:w="0" w:type="dxa"/>
      </w:tblCellMar>
    </w:tblPr>
  </w:style>
  <w:style w:type="character" w:styleId="1036" w:customStyle="1">
    <w:name w:val="font41"/>
    <w:basedOn w:val="754"/>
    <w:uiPriority w:val="0"/>
    <w:qFormat/>
    <w:rPr>
      <w:rFonts w:hint="eastAsia" w:ascii="宋体" w:hAnsi="宋体" w:eastAsia="宋体" w:cs="宋体"/>
      <w:color w:val="000000"/>
      <w:sz w:val="24"/>
      <w:szCs w:val="24"/>
      <w:u w:val="none"/>
      <w:vertAlign w:val="superscript"/>
    </w:rPr>
  </w:style>
  <w:style w:type="character" w:styleId="1037" w:customStyle="1">
    <w:name w:val="font31"/>
    <w:basedOn w:val="754"/>
    <w:uiPriority w:val="0"/>
    <w:qFormat/>
    <w:rPr>
      <w:rFonts w:hint="eastAsia" w:ascii="宋体" w:hAnsi="宋体" w:eastAsia="宋体" w:cs="宋体"/>
      <w:color w:val="000000"/>
      <w:sz w:val="24"/>
      <w:szCs w:val="24"/>
      <w:u w:val="none"/>
    </w:rPr>
  </w:style>
  <w:style w:type="character" w:styleId="1038" w:customStyle="1">
    <w:name w:val="bsharetext"/>
    <w:basedOn w:val="754"/>
    <w:uiPriority w:val="0"/>
    <w:qFormat/>
  </w:style>
  <w:style w:type="paragraph" w:styleId="1039" w:customStyle="1">
    <w:name w:val="Heading 4"/>
    <w:basedOn w:val="744"/>
    <w:next w:val="744"/>
    <w:uiPriority w:val="0"/>
    <w:qFormat/>
    <w:pPr>
      <w:keepLines/>
      <w:keepNext/>
      <w:spacing w:before="280" w:after="290" w:line="376" w:lineRule="auto"/>
      <w:outlineLvl w:val="3"/>
    </w:pPr>
    <w:rPr>
      <w:rFonts w:ascii="Arial" w:hAnsi="Arial" w:eastAsia="黑体"/>
      <w:b/>
      <w:bCs/>
      <w:sz w:val="28"/>
      <w:szCs w:val="28"/>
    </w:rPr>
  </w:style>
  <w:style w:type="character" w:styleId="1040" w:customStyle="1">
    <w:name w:val="font71"/>
    <w:basedOn w:val="754"/>
    <w:uiPriority w:val="0"/>
    <w:qFormat/>
    <w:rPr>
      <w:rFonts w:hint="eastAsia" w:ascii="宋体" w:hAnsi="宋体" w:eastAsia="宋体" w:cs="宋体"/>
      <w:color w:val="000000"/>
      <w:sz w:val="21"/>
      <w:szCs w:val="21"/>
      <w:u w:val="none"/>
    </w:rPr>
  </w:style>
  <w:style w:type="character" w:styleId="1041" w:customStyle="1">
    <w:name w:val="font01"/>
    <w:basedOn w:val="754"/>
    <w:uiPriority w:val="0"/>
    <w:qFormat/>
    <w:rPr>
      <w:rFonts w:hint="default" w:ascii="Calibri" w:hAnsi="Calibri" w:cs="Calibri"/>
      <w:color w:val="000000"/>
      <w:sz w:val="21"/>
      <w:szCs w:val="21"/>
      <w:u w:val="none"/>
    </w:rPr>
  </w:style>
  <w:style w:type="character" w:styleId="1042" w:customStyle="1">
    <w:name w:val="font51"/>
    <w:basedOn w:val="754"/>
    <w:uiPriority w:val="0"/>
    <w:qFormat/>
    <w:rPr>
      <w:rFonts w:hint="eastAsia" w:ascii="宋体" w:hAnsi="宋体" w:eastAsia="宋体" w:cs="宋体"/>
      <w:color w:val="000000"/>
      <w:sz w:val="21"/>
      <w:szCs w:val="21"/>
      <w:u w:val="none"/>
    </w:rPr>
  </w:style>
  <w:style w:type="character" w:styleId="1043" w:customStyle="1">
    <w:name w:val="one-lines"/>
    <w:basedOn w:val="754"/>
    <w:uiPriority w:val="0"/>
    <w:qFormat/>
  </w:style>
  <w:style w:type="character" w:styleId="1044" w:customStyle="1">
    <w:name w:val="two-lines"/>
    <w:basedOn w:val="754"/>
    <w:uiPriority w:val="0"/>
    <w:qFormat/>
  </w:style>
  <w:style w:type="character" w:styleId="1045" w:customStyle="1">
    <w:name w:val="trumbowyg-msg-error"/>
    <w:basedOn w:val="754"/>
    <w:uiPriority w:val="0"/>
    <w:qFormat/>
    <w:rPr>
      <w:color w:val="e74c3c"/>
    </w:rPr>
  </w:style>
  <w:style w:type="character" w:styleId="1046" w:customStyle="1">
    <w:name w:val="trumbowyg-msg-error1"/>
    <w:basedOn w:val="754"/>
    <w:uiPriority w:val="0"/>
    <w:qFormat/>
    <w:rPr>
      <w:color w:val="e74c3c"/>
    </w:rPr>
  </w:style>
  <w:style w:type="character" w:styleId="1047" w:customStyle="1">
    <w:name w:val="hidden4"/>
    <w:basedOn w:val="754"/>
    <w:uiPriority w:val="0"/>
    <w:qFormat/>
    <w:rPr>
      <w:vanish/>
    </w:rPr>
  </w:style>
  <w:style w:type="character" w:styleId="1048" w:customStyle="1">
    <w:name w:val="nth-child(1)"/>
    <w:basedOn w:val="754"/>
    <w:uiPriority w:val="0"/>
    <w:qFormat/>
  </w:style>
  <w:style w:type="character" w:styleId="1049" w:customStyle="1">
    <w:name w:val="nth-child(1)1"/>
    <w:basedOn w:val="754"/>
    <w:uiPriority w:val="0"/>
    <w:qFormat/>
  </w:style>
  <w:style w:type="paragraph" w:styleId="1050" w:customStyle="1">
    <w:name w:val="[Normal]"/>
    <w:uiPriority w:val="0"/>
    <w:qFormat/>
    <w:rPr>
      <w:rFonts w:ascii="方正仿宋简体" w:hAnsi="方正仿宋简体" w:eastAsia="方正仿宋简体" w:cs="Courier New"/>
      <w:sz w:val="24"/>
      <w:szCs w:val="22"/>
      <w:lang w:val="zh-CN" w:eastAsia="zh-CN" w:bidi="ar-SA"/>
    </w:rPr>
  </w:style>
  <w:style w:type="paragraph" w:styleId="105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052" w:customStyle="1">
    <w:name w:val="文本块11"/>
    <w:basedOn w:val="744"/>
    <w:uiPriority w:val="6"/>
    <w:unhideWhenUsed/>
    <w:qFormat/>
    <w:pPr>
      <w:ind w:left="1440" w:right="1440"/>
      <w:spacing w:after="120"/>
    </w:pPr>
  </w:style>
  <w:style w:type="paragraph" w:styleId="1053" w:customStyle="1">
    <w:name w:val="Table Paragraph"/>
    <w:basedOn w:val="811"/>
    <w:uiPriority w:val="0"/>
    <w:qFormat/>
    <w:rPr>
      <w:rFonts w:ascii="宋体" w:hAnsi="宋体"/>
      <w:lang w:val="zh-CN" w:bidi="zh-CN"/>
    </w:rPr>
  </w:style>
  <w:style w:type="paragraph" w:styleId="1054" w:customStyle="1">
    <w:name w:val="列出段落11"/>
    <w:basedOn w:val="814"/>
    <w:uiPriority w:val="0"/>
    <w:qFormat/>
    <w:pPr>
      <w:ind w:firstLine="420"/>
    </w:pPr>
  </w:style>
  <w:style w:type="paragraph" w:styleId="1055" w:customStyle="1">
    <w:name w:val="文本块111"/>
    <w:basedOn w:val="744"/>
    <w:uiPriority w:val="0"/>
    <w:unhideWhenUsed/>
    <w:qFormat/>
    <w:pPr>
      <w:ind w:left="1440" w:right="1440"/>
      <w:spacing w:after="120"/>
    </w:pPr>
  </w:style>
  <w:style w:type="paragraph" w:styleId="1056" w:customStyle="1">
    <w:name w:val="标题 111"/>
    <w:basedOn w:val="744"/>
    <w:next w:val="811"/>
    <w:uiPriority w:val="9"/>
    <w:qFormat/>
    <w:pPr>
      <w:keepLines/>
      <w:keepNext/>
      <w:spacing w:before="480" w:after="200"/>
      <w:outlineLvl w:val="0"/>
    </w:pPr>
    <w:rPr>
      <w:rFonts w:ascii="Arial" w:hAnsi="Arial" w:eastAsia="Arial" w:cs="Arial"/>
      <w:sz w:val="40"/>
      <w:szCs w:val="40"/>
    </w:rPr>
  </w:style>
  <w:style w:type="paragraph" w:styleId="1057" w:customStyle="1">
    <w:name w:val="_Style 34"/>
    <w:next w:val="860"/>
    <w:uiPriority w:val="0"/>
    <w:qFormat/>
    <w:pPr>
      <w:ind w:firstLine="420"/>
      <w:jc w:val="both"/>
      <w:spacing w:line="274" w:lineRule="auto"/>
      <w:widowControl w:val="off"/>
    </w:pPr>
    <w:rPr>
      <w:rFonts w:hint="default" w:ascii="Times New Roman" w:hAnsi="Times New Roman" w:eastAsia="宋体" w:cs="Times New Roman"/>
      <w:lang w:val="en-US" w:eastAsia="zh-CN" w:bidi="ar-SA"/>
    </w:rPr>
  </w:style>
  <w:style w:type="paragraph" w:styleId="1058" w:customStyle="1">
    <w:name w:val="脚注文本11"/>
    <w:basedOn w:val="744"/>
    <w:next w:val="744"/>
    <w:uiPriority w:val="0"/>
    <w:unhideWhenUsed/>
    <w:qFormat/>
    <w:pPr>
      <w:jc w:val="left"/>
      <w:spacing w:after="40" w:line="276" w:lineRule="auto"/>
      <w:widowControl/>
    </w:pPr>
    <w:rPr>
      <w:rFonts w:asciiTheme="minorHAnsi" w:hAnsiTheme="minorHAnsi" w:eastAsiaTheme="minorHAnsi" w:cstheme="minorBidi"/>
      <w:sz w:val="18"/>
      <w:szCs w:val="22"/>
      <w:lang w:eastAsia="en-US"/>
    </w:rPr>
  </w:style>
  <w:style w:type="paragraph" w:styleId="1059" w:customStyle="1">
    <w:name w:val="标题 31"/>
    <w:basedOn w:val="744"/>
    <w:next w:val="744"/>
    <w:uiPriority w:val="0"/>
    <w:qFormat/>
    <w:pPr>
      <w:keepLines/>
      <w:keepNext/>
      <w:spacing w:before="260" w:after="260" w:line="416" w:lineRule="auto"/>
      <w:outlineLvl w:val="2"/>
    </w:pPr>
    <w:rPr>
      <w:b/>
      <w:bCs/>
      <w:sz w:val="32"/>
      <w:szCs w:val="32"/>
    </w:rPr>
  </w:style>
  <w:style w:type="paragraph" w:styleId="1060" w:customStyle="1">
    <w:name w:val="标题 2112"/>
    <w:basedOn w:val="744"/>
    <w:next w:val="744"/>
    <w:uiPriority w:val="9"/>
    <w:unhideWhenUsed/>
    <w:qFormat/>
    <w:pPr>
      <w:keepLines/>
      <w:keepNext/>
      <w:spacing w:before="360" w:after="200"/>
      <w:outlineLvl w:val="1"/>
    </w:pPr>
    <w:rPr>
      <w:rFonts w:ascii="Arial" w:hAnsi="Arial" w:eastAsia="Arial" w:cs="Arial"/>
      <w:sz w:val="34"/>
    </w:rPr>
  </w:style>
  <w:style w:type="paragraph" w:styleId="1061" w:customStyle="1">
    <w:name w:val="正文_0_0"/>
    <w:uiPriority w:val="99"/>
    <w:unhideWhenUsed/>
    <w:qFormat/>
    <w:rPr>
      <w:rFonts w:hint="default" w:ascii="Calibri" w:hAnsi="Calibri" w:eastAsia="宋体" w:cs="Times New Roman"/>
      <w:sz w:val="21"/>
      <w:lang w:val="en-US" w:eastAsia="zh-CN" w:bidi="ar-SA"/>
    </w:rPr>
  </w:style>
  <w:style w:type="paragraph" w:styleId="1062" w:customStyle="1">
    <w:name w:val="批注文字12"/>
    <w:basedOn w:val="744"/>
    <w:uiPriority w:val="0"/>
    <w:qFormat/>
    <w:pPr>
      <w:jc w:val="left"/>
    </w:pPr>
    <w:rPr>
      <w:rFonts w:ascii="Times New Roman" w:hAnsi="Times New Roman"/>
      <w:szCs w:val="24"/>
    </w:rPr>
  </w:style>
  <w:style w:type="numbering" w:styleId="9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王飞</cp:lastModifiedBy>
  <cp:revision>4</cp:revision>
  <dcterms:created xsi:type="dcterms:W3CDTF">2023-12-08T03:26:00Z</dcterms:created>
  <dcterms:modified xsi:type="dcterms:W3CDTF">2026-04-01T06:11:52Z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AFD4EE66312249B7965261FC81F11ABB_13</vt:lpwstr>
  </property>
  <property fmtid="{D5CDD505-2E9C-101B-9397-08002B2CF9AE}" pid="4" name="KSOTemplateDocerSaveRecord">
    <vt:lpwstr>eyJoZGlkIjoiZGQ3YmIyMWE5ZjM3YzNjNzM0MjUxY2EzOTU4NzQ5NTYiLCJ1c2VySWQiOiIyMzY2Mjk1OTEifQ==</vt:lpwstr>
  </property>
</Properties>
</file>