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ind w:firstLine="1718"/>
        <w:jc w:val="both"/>
        <w:rPr>
          <w:rFonts w:hint="eastAsia" w:ascii="仿宋" w:hAnsi="仿宋" w:eastAsia="仿宋" w:cs="仿宋"/>
          <w:color w:val="000000"/>
          <w:sz w:val="24"/>
        </w:rPr>
      </w:pPr>
      <w:r>
        <w:rPr>
          <w:rFonts w:hint="eastAsia" w:ascii="仿宋" w:hAnsi="仿宋" w:eastAsia="仿宋" w:cs="仿宋"/>
          <w:b/>
          <w:color w:val="000000"/>
          <w:spacing w:val="76"/>
          <w:sz w:val="156"/>
        </w:rPr>
        <w:t xml:space="preserve">招标文件</w:t>
      </w:r>
      <w:r/>
    </w:p>
    <w:p>
      <w:pPr>
        <w:pStyle w:val="730"/>
        <w:rPr>
          <w:rFonts w:hint="eastAsia" w:ascii="仿宋" w:hAnsi="仿宋" w:eastAsia="仿宋" w:cs="仿宋"/>
          <w:color w:val="000000"/>
          <w:sz w:val="24"/>
        </w:rPr>
      </w:pPr>
      <w:r>
        <w:rPr>
          <w:rFonts w:hint="eastAsia" w:ascii="仿宋" w:hAnsi="仿宋" w:eastAsia="仿宋" w:cs="仿宋"/>
          <w:color w:val="000000"/>
          <w:sz w:val="24"/>
        </w:rPr>
      </w:r>
      <w:r/>
    </w:p>
    <w:p>
      <w:pPr>
        <w:pStyle w:val="730"/>
        <w:ind w:firstLine="960"/>
        <w:jc w:val="both"/>
        <w:rPr>
          <w:rFonts w:hint="eastAsia" w:ascii="仿宋" w:hAnsi="仿宋" w:eastAsia="仿宋" w:cs="仿宋"/>
          <w:color w:val="000000"/>
          <w:sz w:val="32"/>
        </w:rPr>
      </w:pPr>
      <w:r>
        <w:rPr>
          <w:rFonts w:hint="eastAsia" w:ascii="仿宋" w:hAnsi="仿宋" w:eastAsia="仿宋" w:cs="仿宋"/>
          <w:color w:val="000000"/>
          <w:sz w:val="32"/>
        </w:rPr>
      </w:r>
      <w:r/>
    </w:p>
    <w:p>
      <w:pPr>
        <w:pStyle w:val="730"/>
        <w:ind w:firstLine="960"/>
        <w:jc w:val="both"/>
        <w:rPr>
          <w:rFonts w:hint="eastAsia" w:ascii="仿宋" w:hAnsi="仿宋" w:eastAsia="仿宋" w:cs="仿宋"/>
          <w:color w:val="000000"/>
          <w:sz w:val="32"/>
        </w:rPr>
      </w:pPr>
      <w:r>
        <w:rPr>
          <w:rFonts w:hint="eastAsia" w:ascii="仿宋" w:hAnsi="仿宋" w:eastAsia="仿宋" w:cs="仿宋"/>
          <w:color w:val="000000"/>
          <w:sz w:val="32"/>
        </w:rPr>
      </w:r>
      <w:r/>
    </w:p>
    <w:p>
      <w:pPr>
        <w:pStyle w:val="730"/>
        <w:ind w:firstLine="960"/>
        <w:jc w:val="both"/>
        <w:rPr>
          <w:rFonts w:hint="eastAsia" w:ascii="仿宋" w:hAnsi="仿宋" w:eastAsia="仿宋" w:cs="仿宋"/>
          <w:color w:val="000000"/>
          <w:sz w:val="32"/>
        </w:rPr>
      </w:pPr>
      <w:r>
        <w:rPr>
          <w:rFonts w:hint="eastAsia" w:ascii="仿宋" w:hAnsi="仿宋" w:eastAsia="仿宋" w:cs="仿宋"/>
          <w:color w:val="000000"/>
          <w:sz w:val="32"/>
        </w:rPr>
      </w:r>
      <w:r/>
    </w:p>
    <w:p>
      <w:pPr>
        <w:pStyle w:val="730"/>
        <w:ind w:firstLine="960"/>
        <w:jc w:val="both"/>
        <w:spacing w:line="480" w:lineRule="auto"/>
        <w:rPr>
          <w:rFonts w:hint="eastAsia"/>
        </w:rPr>
      </w:pPr>
      <w:r>
        <w:rPr>
          <w:rFonts w:hint="eastAsia" w:ascii="仿宋" w:hAnsi="仿宋" w:eastAsia="仿宋" w:cs="仿宋"/>
          <w:color w:val="000000"/>
          <w:sz w:val="32"/>
        </w:rPr>
        <w:t xml:space="preserve">项目名称：</w:t>
      </w:r>
      <w:r>
        <w:rPr>
          <w:rFonts w:hint="eastAsia" w:ascii="仿宋" w:hAnsi="仿宋" w:eastAsia="仿宋" w:cs="仿宋"/>
          <w:color w:val="000000"/>
          <w:sz w:val="32"/>
          <w:lang w:eastAsia="zh-CN"/>
        </w:rPr>
        <w:t xml:space="preserve">2026年铜山区农产品质量安全风险监测项目</w:t>
      </w:r>
      <w:r/>
    </w:p>
    <w:p>
      <w:pPr>
        <w:pStyle w:val="730"/>
        <w:ind w:firstLine="960"/>
        <w:jc w:val="left"/>
        <w:spacing w:line="480" w:lineRule="auto"/>
        <w:rPr>
          <w:rFonts w:hint="eastAsia" w:ascii="仿宋" w:hAnsi="仿宋" w:eastAsia="仿宋" w:cs="仿宋"/>
          <w:color w:val="000000"/>
          <w:sz w:val="32"/>
          <w:szCs w:val="32"/>
        </w:rPr>
      </w:pPr>
      <w:r>
        <w:rPr>
          <w:rFonts w:hint="eastAsia" w:ascii="仿宋" w:hAnsi="仿宋" w:eastAsia="仿宋" w:cs="仿宋"/>
          <w:color w:val="000000"/>
          <w:sz w:val="32"/>
          <w:lang w:eastAsia="zh-CN"/>
        </w:rPr>
        <w:t xml:space="preserve">项目编号：JSZC-320312-YXYX-G2026-0002</w:t>
      </w:r>
      <w:r/>
    </w:p>
    <w:p>
      <w:pPr>
        <w:pStyle w:val="730"/>
        <w:ind w:firstLine="960"/>
        <w:jc w:val="left"/>
        <w:spacing w:line="480" w:lineRule="auto"/>
        <w:rPr>
          <w:rFonts w:hint="eastAsia" w:ascii="仿宋" w:hAnsi="仿宋" w:eastAsia="仿宋" w:cs="仿宋"/>
          <w:color w:val="000000"/>
          <w:sz w:val="32"/>
          <w:lang w:eastAsia="zh-CN"/>
        </w:rPr>
      </w:pPr>
      <w:r>
        <w:rPr>
          <w:rFonts w:hint="eastAsia" w:ascii="仿宋" w:hAnsi="仿宋" w:eastAsia="仿宋" w:cs="仿宋"/>
          <w:color w:val="000000"/>
          <w:sz w:val="32"/>
        </w:rPr>
        <w:t xml:space="preserve">采购人：</w:t>
      </w:r>
      <w:r>
        <w:rPr>
          <w:rFonts w:hint="eastAsia" w:ascii="仿宋" w:hAnsi="仿宋" w:eastAsia="仿宋" w:cs="仿宋"/>
          <w:color w:val="000000"/>
          <w:sz w:val="32"/>
          <w:lang w:eastAsia="zh-CN"/>
        </w:rPr>
        <w:t xml:space="preserve">徐州市铜山区农业农村局（机关）</w:t>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12"/>
        <w:ind w:firstLine="0"/>
        <w:jc w:val="center"/>
        <w:rPr>
          <w:rFonts w:hint="eastAsia" w:ascii="仿宋" w:hAnsi="仿宋" w:eastAsia="仿宋" w:cs="仿宋"/>
          <w:color w:val="000000"/>
          <w:sz w:val="4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2034540</wp:posOffset>
                </wp:positionH>
                <wp:positionV relativeFrom="paragraph">
                  <wp:posOffset>200660</wp:posOffset>
                </wp:positionV>
                <wp:extent cx="1449070" cy="1449070"/>
                <wp:effectExtent l="0" t="0" r="0" b="0"/>
                <wp:wrapSquare wrapText="bothSides"/>
                <wp:docPr id="1" name="图片 3"/>
                <wp:cNvGraphicFramePr/>
                <a:graphic xmlns:a="http://schemas.openxmlformats.org/drawingml/2006/main">
                  <a:graphicData uri="http://schemas.openxmlformats.org/drawingml/2006/picture">
                    <pic:pic xmlns:pic="http://schemas.openxmlformats.org/drawingml/2006/picture">
                      <pic:nvPicPr>
                        <pic:cNvPr id="1" name="图片 3"/>
                        <pic:cNvPicPr/>
                        <pic:nvPr/>
                      </pic:nvPicPr>
                      <pic:blipFill>
                        <a:blip r:embed="rId15"/>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60.2pt;mso-position-horizontal:absolute;mso-position-vertical-relative:text;margin-top:15.8pt;mso-position-vertical:absolute;width:114.1pt;height:114.1pt;mso-wrap-distance-left:9.0pt;mso-wrap-distance-top:0.0pt;mso-wrap-distance-right:9.0pt;mso-wrap-distance-bottom:0.0pt;" stroked="f">
                <v:path textboxrect="0,0,0,0"/>
                <w10:wrap type="square"/>
                <v:imagedata r:id="rId15" o:title=""/>
              </v:shape>
            </w:pict>
          </mc:Fallback>
        </mc:AlternateContent>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jc w:val="center"/>
        <w:spacing w:line="360" w:lineRule="auto"/>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rPr>
        <w:t xml:space="preserve">采购代理机构：</w:t>
      </w:r>
      <w:r>
        <w:rPr>
          <w:rFonts w:hint="eastAsia" w:ascii="仿宋" w:hAnsi="仿宋" w:eastAsia="仿宋" w:cs="仿宋"/>
          <w:color w:val="auto"/>
          <w:sz w:val="30"/>
          <w:highlight w:val="none"/>
          <w:lang w:eastAsia="zh-CN"/>
        </w:rPr>
        <w:t xml:space="preserve">江苏友信招标代理有限公司</w:t>
      </w:r>
      <w:r/>
    </w:p>
    <w:p>
      <w:pPr>
        <w:jc w:val="center"/>
        <w:spacing w:line="360" w:lineRule="auto"/>
        <w:rPr>
          <w:rFonts w:hint="eastAsia" w:ascii="仿宋" w:hAnsi="仿宋" w:eastAsia="仿宋" w:cs="仿宋"/>
          <w:color w:val="000000"/>
          <w:sz w:val="44"/>
        </w:rPr>
      </w:pPr>
      <w:r>
        <w:rPr>
          <w:rFonts w:hint="eastAsia" w:ascii="仿宋" w:hAnsi="仿宋" w:eastAsia="仿宋" w:cs="仿宋"/>
          <w:bCs/>
          <w:color w:val="auto"/>
          <w:sz w:val="30"/>
          <w:highlight w:val="none"/>
        </w:rPr>
        <w:t xml:space="preserve">二〇二</w:t>
      </w:r>
      <w:r>
        <w:rPr>
          <w:rFonts w:hint="eastAsia" w:ascii="仿宋" w:hAnsi="仿宋" w:eastAsia="仿宋" w:cs="仿宋"/>
          <w:bCs/>
          <w:color w:val="auto"/>
          <w:sz w:val="30"/>
          <w:highlight w:val="none"/>
          <w:lang w:eastAsia="zh-CN"/>
        </w:rPr>
        <w:t xml:space="preserve">六</w:t>
      </w:r>
      <w:r>
        <w:rPr>
          <w:rFonts w:hint="eastAsia" w:ascii="仿宋" w:hAnsi="仿宋" w:eastAsia="仿宋" w:cs="仿宋"/>
          <w:bCs/>
          <w:color w:val="auto"/>
          <w:sz w:val="30"/>
          <w:highlight w:val="none"/>
        </w:rPr>
        <w:t xml:space="preserve">年</w:t>
      </w:r>
      <w:r>
        <w:rPr>
          <w:rFonts w:hint="eastAsia" w:ascii="仿宋" w:hAnsi="仿宋" w:eastAsia="仿宋" w:cs="仿宋"/>
          <w:bCs/>
          <w:color w:val="auto"/>
          <w:sz w:val="30"/>
          <w:highlight w:val="none"/>
          <w:lang w:eastAsia="zh-CN"/>
        </w:rPr>
        <w:t xml:space="preserve">三</w:t>
      </w:r>
      <w:r>
        <w:rPr>
          <w:rFonts w:hint="eastAsia" w:ascii="仿宋" w:hAnsi="仿宋" w:eastAsia="仿宋" w:cs="仿宋"/>
          <w:bCs/>
          <w:color w:val="auto"/>
          <w:sz w:val="30"/>
          <w:highlight w:val="none"/>
        </w:rPr>
        <w:t xml:space="preserve">月</w:t>
      </w:r>
      <w:r/>
    </w:p>
    <w:p>
      <w:pPr>
        <w:pStyle w:val="912"/>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目 录</w:t>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auto"/>
          <w:highlight w:val="none"/>
        </w:rPr>
        <w:fldChar w:fldCharType="separate"/>
      </w:r>
      <w:r>
        <w:rPr>
          <w:rStyle w:val="740"/>
          <w:rFonts w:hint="eastAsia" w:ascii="仿宋" w:hAnsi="仿宋" w:eastAsia="仿宋" w:cs="仿宋"/>
          <w:color w:val="auto"/>
          <w:sz w:val="30"/>
          <w:highlight w:val="none"/>
          <w:u w:val="none"/>
        </w:rPr>
        <w:t xml:space="preserve">第一章  投标邀请</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auto"/>
          <w:highlight w:val="none"/>
        </w:rPr>
        <w:fldChar w:fldCharType="separate"/>
      </w:r>
      <w:r>
        <w:rPr>
          <w:rStyle w:val="740"/>
          <w:rFonts w:hint="eastAsia" w:ascii="仿宋" w:hAnsi="仿宋" w:eastAsia="仿宋" w:cs="仿宋"/>
          <w:color w:val="auto"/>
          <w:sz w:val="30"/>
          <w:highlight w:val="none"/>
          <w:u w:val="none"/>
        </w:rPr>
        <w:t xml:space="preserve">第二章  投标人须知</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auto"/>
          <w:highlight w:val="none"/>
        </w:rPr>
        <w:fldChar w:fldCharType="separate"/>
      </w:r>
      <w:r>
        <w:rPr>
          <w:rStyle w:val="740"/>
          <w:rFonts w:hint="eastAsia" w:ascii="仿宋" w:hAnsi="仿宋" w:eastAsia="仿宋" w:cs="仿宋"/>
          <w:color w:val="auto"/>
          <w:sz w:val="30"/>
          <w:highlight w:val="none"/>
          <w:u w:val="none"/>
        </w:rPr>
        <w:t xml:space="preserve">第三章  投标资料表</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auto"/>
          <w:highlight w:val="none"/>
        </w:rPr>
        <w:fldChar w:fldCharType="separate"/>
      </w:r>
      <w:r>
        <w:rPr>
          <w:rStyle w:val="740"/>
          <w:rFonts w:hint="eastAsia" w:ascii="仿宋" w:hAnsi="仿宋" w:eastAsia="仿宋" w:cs="仿宋"/>
          <w:color w:val="auto"/>
          <w:sz w:val="30"/>
          <w:highlight w:val="none"/>
          <w:u w:val="none"/>
        </w:rPr>
        <w:t xml:space="preserve">第四章  评标标准</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auto"/>
          <w:highlight w:val="none"/>
        </w:rPr>
        <w:fldChar w:fldCharType="separate"/>
      </w:r>
      <w:r>
        <w:rPr>
          <w:rStyle w:val="740"/>
          <w:rFonts w:hint="eastAsia" w:ascii="仿宋" w:hAnsi="仿宋" w:eastAsia="仿宋" w:cs="仿宋"/>
          <w:color w:val="auto"/>
          <w:sz w:val="30"/>
          <w:highlight w:val="none"/>
          <w:u w:val="none"/>
        </w:rPr>
        <w:t xml:space="preserve">第</w:t>
      </w:r>
      <w:r>
        <w:rPr>
          <w:rStyle w:val="740"/>
          <w:rFonts w:hint="eastAsia" w:ascii="仿宋" w:hAnsi="仿宋" w:eastAsia="仿宋" w:cs="仿宋"/>
          <w:color w:val="auto"/>
          <w:sz w:val="30"/>
          <w:highlight w:val="none"/>
          <w:u w:val="none"/>
          <w:lang w:eastAsia="zh-CN"/>
        </w:rPr>
        <w:t xml:space="preserve">五</w:t>
      </w:r>
      <w:r>
        <w:rPr>
          <w:rStyle w:val="740"/>
          <w:rFonts w:hint="eastAsia" w:ascii="仿宋" w:hAnsi="仿宋" w:eastAsia="仿宋" w:cs="仿宋"/>
          <w:color w:val="auto"/>
          <w:sz w:val="30"/>
          <w:highlight w:val="none"/>
          <w:u w:val="none"/>
        </w:rPr>
        <w:t xml:space="preserve">章  拟签订的合同文本</w:t>
      </w:r>
      <w:r>
        <w:rPr>
          <w:rFonts w:hint="eastAsia" w:ascii="仿宋" w:hAnsi="仿宋" w:eastAsia="仿宋" w:cs="仿宋"/>
          <w:color w:val="auto"/>
          <w:sz w:val="30"/>
          <w:highlight w:val="none"/>
          <w:u w:val="none"/>
        </w:rPr>
        <w:fldChar w:fldCharType="end"/>
      </w:r>
      <w:r/>
    </w:p>
    <w:p>
      <w:pPr>
        <w:ind w:firstLine="1002"/>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1002"/>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740"/>
          <w:rFonts w:hint="eastAsia" w:ascii="仿宋" w:hAnsi="仿宋" w:eastAsia="仿宋" w:cs="仿宋"/>
          <w:color w:val="000000"/>
          <w:sz w:val="30"/>
          <w:highlight w:val="none"/>
          <w:u w:val="none"/>
        </w:rPr>
        <w:t xml:space="preserve">第</w:t>
      </w:r>
      <w:r>
        <w:rPr>
          <w:rStyle w:val="740"/>
          <w:rFonts w:hint="eastAsia" w:ascii="仿宋" w:hAnsi="仿宋" w:eastAsia="仿宋" w:cs="仿宋"/>
          <w:color w:val="000000"/>
          <w:sz w:val="30"/>
          <w:highlight w:val="none"/>
          <w:u w:val="none"/>
          <w:lang w:eastAsia="zh-CN"/>
        </w:rPr>
        <w:t xml:space="preserve">六</w:t>
      </w:r>
      <w:r>
        <w:rPr>
          <w:rStyle w:val="740"/>
          <w:rFonts w:hint="eastAsia" w:ascii="仿宋" w:hAnsi="仿宋" w:eastAsia="仿宋" w:cs="仿宋"/>
          <w:color w:val="000000"/>
          <w:sz w:val="30"/>
          <w:highlight w:val="none"/>
          <w:u w:val="none"/>
        </w:rPr>
        <w:t xml:space="preserve">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740"/>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auto"/>
          <w:highlight w:val="none"/>
        </w:rPr>
        <w:fldChar w:fldCharType="separate"/>
      </w:r>
      <w:r>
        <w:rPr>
          <w:rStyle w:val="740"/>
          <w:rFonts w:hint="eastAsia" w:ascii="仿宋" w:hAnsi="仿宋" w:eastAsia="仿宋" w:cs="仿宋"/>
          <w:color w:val="auto"/>
          <w:sz w:val="30"/>
          <w:highlight w:val="none"/>
          <w:u w:val="none"/>
        </w:rPr>
        <w:t xml:space="preserve">第七章  投标文件相关格式</w:t>
      </w:r>
      <w:r>
        <w:rPr>
          <w:rFonts w:hint="eastAsia" w:ascii="仿宋" w:hAnsi="仿宋" w:eastAsia="仿宋" w:cs="仿宋"/>
          <w:color w:val="auto"/>
          <w:sz w:val="30"/>
          <w:highlight w:val="none"/>
          <w:u w:val="none"/>
        </w:rPr>
        <w:fldChar w:fldCharType="end"/>
      </w:r>
      <w:r/>
    </w:p>
    <w:p>
      <w:pPr>
        <w:jc w:val="center"/>
        <w:spacing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jc w:val="center"/>
        <w:spacing w:line="519"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仿宋" w:hAnsi="仿宋" w:eastAsia="仿宋" w:cs="仿宋"/>
          <w:b/>
          <w:color w:val="auto"/>
          <w:sz w:val="28"/>
          <w:szCs w:val="28"/>
          <w:highlight w:val="none"/>
        </w:rPr>
      </w:r>
      <w:r/>
    </w:p>
    <w:p>
      <w:pPr>
        <w:jc w:val="center"/>
        <w:spacing w:line="520" w:lineRule="exact"/>
        <w:rPr>
          <w:rFonts w:hint="eastAsia" w:ascii="仿宋" w:hAnsi="仿宋" w:eastAsia="仿宋" w:cs="仿宋"/>
          <w:b/>
          <w:bCs w:val="0"/>
          <w:color w:val="auto"/>
          <w:sz w:val="36"/>
          <w:szCs w:val="36"/>
          <w:highlight w:val="none"/>
          <w:lang w:eastAsia="zh-CN"/>
        </w:rPr>
      </w:pPr>
      <w:r>
        <w:rPr>
          <w:rFonts w:hint="eastAsia" w:ascii="仿宋" w:hAnsi="仿宋" w:eastAsia="仿宋" w:cs="仿宋"/>
          <w:b/>
          <w:bCs w:val="0"/>
          <w:color w:val="auto"/>
          <w:sz w:val="36"/>
          <w:szCs w:val="36"/>
          <w:highlight w:val="none"/>
          <w:lang w:eastAsia="zh-CN"/>
        </w:rPr>
        <w:t xml:space="preserve">徐州市铜山区农业农村局（机关）</w:t>
      </w:r>
      <w:r/>
    </w:p>
    <w:p>
      <w:pPr>
        <w:jc w:val="center"/>
        <w:spacing w:line="520" w:lineRule="exact"/>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w:t>
      </w:r>
      <w:r>
        <w:rPr>
          <w:rFonts w:hint="eastAsia" w:ascii="仿宋" w:hAnsi="仿宋" w:eastAsia="仿宋" w:cs="仿宋"/>
          <w:b/>
          <w:bCs w:val="0"/>
          <w:color w:val="000000"/>
          <w:sz w:val="36"/>
          <w:szCs w:val="36"/>
          <w:lang w:eastAsia="zh-CN"/>
        </w:rPr>
        <w:t xml:space="preserve">2026年铜山区农产品质量安全风险监测项目</w:t>
      </w:r>
      <w:r>
        <w:rPr>
          <w:rFonts w:hint="eastAsia" w:ascii="仿宋" w:hAnsi="仿宋" w:eastAsia="仿宋" w:cs="仿宋"/>
          <w:b/>
          <w:bCs w:val="0"/>
          <w:color w:val="auto"/>
          <w:sz w:val="36"/>
          <w:szCs w:val="36"/>
          <w:highlight w:val="none"/>
        </w:rPr>
        <w:t xml:space="preserve">》招标文件</w:t>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697"/>
        <w:ind w:firstLine="2800"/>
        <w:spacing w:line="520" w:lineRule="exact"/>
        <w:rPr>
          <w:rFonts w:hint="eastAsia" w:ascii="仿宋" w:hAnsi="仿宋" w:eastAsia="仿宋" w:cs="仿宋"/>
          <w:color w:val="auto"/>
          <w:sz w:val="28"/>
          <w:szCs w:val="28"/>
          <w:highlight w:val="none"/>
        </w:rPr>
      </w:pPr>
      <w:r/>
      <w:bookmarkStart w:id="0" w:name="_Toc523404695"/>
      <w:r>
        <w:rPr>
          <w:rFonts w:hint="eastAsia" w:ascii="仿宋" w:hAnsi="仿宋" w:eastAsia="仿宋" w:cs="仿宋"/>
          <w:color w:val="auto"/>
          <w:sz w:val="28"/>
          <w:szCs w:val="28"/>
          <w:highlight w:val="none"/>
        </w:rPr>
        <w:t xml:space="preserve">第一章  投标邀请</w:t>
      </w:r>
      <w:bookmarkEnd w:id="0"/>
      <w:r/>
      <w:r/>
    </w:p>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江苏友信招标代理有限公司</w:t>
      </w:r>
      <w:r>
        <w:rPr>
          <w:rFonts w:hint="eastAsia" w:ascii="仿宋" w:hAnsi="仿宋" w:eastAsia="仿宋" w:cs="仿宋"/>
          <w:color w:val="auto"/>
          <w:sz w:val="28"/>
          <w:szCs w:val="28"/>
          <w:highlight w:val="none"/>
        </w:rPr>
        <w:t xml:space="preserve">对</w:t>
      </w:r>
      <w:r>
        <w:rPr>
          <w:rFonts w:hint="eastAsia" w:ascii="仿宋" w:hAnsi="仿宋" w:eastAsia="仿宋" w:cs="仿宋"/>
          <w:sz w:val="28"/>
          <w:szCs w:val="28"/>
          <w:lang w:eastAsia="zh-CN"/>
        </w:rPr>
        <w:t xml:space="preserve">徐州市铜山区农业农村局（机关）2026年铜山区农产品质量安全风险监测项目</w:t>
      </w:r>
      <w:r>
        <w:rPr>
          <w:rFonts w:hint="eastAsia" w:ascii="仿宋" w:hAnsi="仿宋" w:eastAsia="仿宋" w:cs="仿宋"/>
          <w:color w:val="auto"/>
          <w:sz w:val="28"/>
          <w:szCs w:val="28"/>
          <w:highlight w:val="none"/>
        </w:rPr>
        <w:t xml:space="preserve">进行公开招标采购，现邀请符合相关条件的供应商投标。</w:t>
      </w:r>
      <w:r/>
    </w:p>
    <w:p>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一、</w:t>
      </w:r>
      <w:r>
        <w:rPr>
          <w:rFonts w:hint="eastAsia" w:ascii="仿宋" w:hAnsi="仿宋" w:eastAsia="仿宋" w:cs="仿宋"/>
          <w:color w:val="auto"/>
          <w:sz w:val="28"/>
          <w:szCs w:val="28"/>
          <w:highlight w:val="none"/>
        </w:rPr>
        <w:t xml:space="preserve">项目名称和项目编号</w:t>
      </w:r>
      <w:r/>
    </w:p>
    <w:p>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(一)项目名称：</w:t>
      </w:r>
      <w:r>
        <w:rPr>
          <w:rFonts w:hint="eastAsia" w:ascii="仿宋" w:hAnsi="仿宋" w:eastAsia="仿宋" w:cs="仿宋"/>
          <w:sz w:val="28"/>
          <w:szCs w:val="28"/>
          <w:lang w:eastAsia="zh-CN"/>
        </w:rPr>
        <w:t xml:space="preserve">2026年铜山区农产品质量安全风险监测项目</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lang w:eastAsia="zh-CN"/>
        </w:rPr>
        <w:t xml:space="preserve">项目编号：JSZC-320312-YXYX-G2026-0002</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二、对投标人的资格要求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详见本项目公开招标公告。</w:t>
      </w:r>
      <w:r/>
    </w:p>
    <w:p>
      <w:pPr>
        <w:numPr>
          <w:ilvl w:val="0"/>
          <w:numId w:val="3"/>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获取招标文件</w:t>
      </w:r>
      <w:r/>
    </w:p>
    <w:p>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（1）潜在供应商访问电子招标投标交易平台的网络地址和方法：</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③“CA数字证书”的获取：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（2）采购代理机构将数据电文形式的招标文件加载至电子招标投标交易平台，供潜在供应商下载或者查阅。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（3）苏采云系统使用谷歌浏览器参与不见面开标。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（4）售价：免费。  </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四、投标有关信息</w:t>
      </w:r>
      <w:r/>
    </w:p>
    <w:p>
      <w:pPr>
        <w:spacing w:line="520" w:lineRule="exact"/>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（一）投标截止时间：202</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6</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年</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4</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月</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23</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日北京时间</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10</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0</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0。</w:t>
      </w:r>
      <w:r/>
    </w:p>
    <w:p>
      <w:pPr>
        <w:spacing w:line="520" w:lineRule="exact"/>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（二）开标时间：202</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6</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年</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4</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月</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23</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日北京时间</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10</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0</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0</w:t>
      </w:r>
      <w:r>
        <w:rPr>
          <w:rFonts w:hint="eastAsia" w:ascii="仿宋" w:hAnsi="仿宋" w:eastAsia="仿宋" w:cs="仿宋"/>
          <w:color w:val="0d0d0d" w:themeColor="text1" w:themeTint="F2"/>
          <w:sz w:val="28"/>
          <w:szCs w:val="28"/>
          <w:highlight w:val="none"/>
          <w:lang w:eastAsia="zh-CN"/>
          <w14:textFill>
            <w14:solidFill>
              <w14:schemeClr w14:val="tx1">
                <w14:lumMod w14:val="95000"/>
                <w14:lumOff w14:val="5000"/>
              </w14:schemeClr>
            </w14:solidFill>
          </w14:textFill>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（三）开标地点：“苏采云”系统（网址： http://jszfc</w:t>
      </w:r>
      <w:r>
        <w:rPr>
          <w:rFonts w:hint="eastAsia" w:ascii="仿宋" w:hAnsi="仿宋" w:eastAsia="仿宋" w:cs="仿宋"/>
          <w:color w:val="000000" w:themeColor="text1"/>
          <w:sz w:val="28"/>
          <w:szCs w:val="28"/>
          <w:highlight w:val="none"/>
          <w14:textFill>
            <w14:solidFill>
              <w14:schemeClr w14:val="tx1"/>
            </w14:solidFill>
          </w14:textFill>
        </w:rPr>
        <w:t xml:space="preserve">g.jsczt</w:t>
      </w:r>
      <w:r>
        <w:rPr>
          <w:rFonts w:hint="eastAsia" w:ascii="仿宋" w:hAnsi="仿宋" w:eastAsia="仿宋" w:cs="仿宋"/>
          <w:color w:val="auto"/>
          <w:sz w:val="28"/>
          <w:szCs w:val="28"/>
          <w:highlight w:val="none"/>
        </w:rPr>
        <w:t xml:space="preserve">.cn/）“开标大厅”或进入徐州政府采购网（网址：http://czj.xz.gov.cn/Home/HomeIndex）-业务工作 -用户登录，点击“苏采云”进入系统“开标大厅”。 </w:t>
      </w:r>
      <w:r/>
    </w:p>
    <w:p>
      <w:pPr>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五、采购人</w:t>
      </w:r>
      <w:r/>
    </w:p>
    <w:p>
      <w:pPr>
        <w:spacing w:line="360" w:lineRule="auto"/>
        <w:rPr>
          <w:rFonts w:hint="eastAsia" w:ascii="仿宋" w:hAnsi="仿宋" w:eastAsia="仿宋" w:cs="仿宋"/>
          <w:sz w:val="28"/>
          <w:szCs w:val="28"/>
          <w:lang w:eastAsia="zh-CN"/>
        </w:rPr>
      </w:pPr>
      <w:r>
        <w:rPr>
          <w:rFonts w:hint="eastAsia" w:ascii="仿宋" w:hAnsi="仿宋" w:eastAsia="仿宋" w:cs="仿宋"/>
          <w:color w:val="auto"/>
          <w:sz w:val="28"/>
          <w:szCs w:val="28"/>
          <w:highlight w:val="none"/>
        </w:rPr>
        <w:t xml:space="preserve">（一）名称：</w:t>
      </w:r>
      <w:r>
        <w:rPr>
          <w:rFonts w:hint="eastAsia" w:ascii="仿宋" w:hAnsi="仿宋" w:eastAsia="仿宋" w:cs="仿宋"/>
          <w:sz w:val="28"/>
          <w:szCs w:val="28"/>
          <w:lang w:eastAsia="zh-CN"/>
        </w:rPr>
        <w:t xml:space="preserve">徐州市铜山区农业农村局（机关）</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（二）地址：</w:t>
      </w:r>
      <w:r>
        <w:rPr>
          <w:rFonts w:hint="eastAsia" w:ascii="仿宋" w:hAnsi="仿宋" w:eastAsia="仿宋" w:cs="仿宋"/>
          <w:color w:val="auto"/>
          <w:sz w:val="28"/>
          <w:szCs w:val="28"/>
          <w:highlight w:val="none"/>
          <w:lang w:eastAsia="zh-CN"/>
        </w:rPr>
        <w:t xml:space="preserve">徐州市铜山区府西路</w:t>
      </w:r>
      <w:r>
        <w:rPr>
          <w:rFonts w:hint="eastAsia" w:ascii="仿宋" w:hAnsi="仿宋" w:eastAsia="仿宋" w:cs="仿宋"/>
          <w:color w:val="auto"/>
          <w:sz w:val="28"/>
          <w:szCs w:val="28"/>
          <w:highlight w:val="none"/>
          <w:lang w:val="en-US" w:eastAsia="zh-CN"/>
        </w:rPr>
        <w:t xml:space="preserve">6号</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（三）联系方法：</w:t>
      </w:r>
      <w:r>
        <w:rPr>
          <w:rFonts w:hint="eastAsia" w:ascii="仿宋" w:hAnsi="仿宋" w:eastAsia="仿宋" w:cs="仿宋"/>
          <w:color w:val="auto"/>
          <w:sz w:val="28"/>
          <w:szCs w:val="28"/>
          <w:highlight w:val="none"/>
          <w:lang w:val="en-US" w:eastAsia="zh-CN"/>
        </w:rPr>
        <w:t xml:space="preserve">0516-69683617</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（四）采购项目联系人：</w:t>
      </w:r>
      <w:r>
        <w:rPr>
          <w:rFonts w:hint="eastAsia" w:ascii="仿宋" w:hAnsi="仿宋" w:eastAsia="仿宋" w:cs="仿宋"/>
          <w:color w:val="auto"/>
          <w:sz w:val="28"/>
          <w:szCs w:val="28"/>
          <w:highlight w:val="none"/>
          <w:lang w:eastAsia="zh-CN"/>
        </w:rPr>
        <w:t xml:space="preserve">周翔</w:t>
      </w:r>
      <w:r>
        <w:rPr>
          <w:rFonts w:hint="eastAsia" w:ascii="仿宋" w:hAnsi="仿宋" w:eastAsia="仿宋" w:cs="仿宋"/>
          <w:color w:val="auto"/>
          <w:sz w:val="28"/>
          <w:szCs w:val="28"/>
          <w:highlight w:val="none"/>
        </w:rPr>
        <w:t xml:space="preserve">；  联系电话：</w:t>
      </w:r>
      <w:r>
        <w:rPr>
          <w:rFonts w:hint="eastAsia" w:ascii="仿宋" w:hAnsi="仿宋" w:eastAsia="仿宋" w:cs="仿宋"/>
          <w:color w:val="auto"/>
          <w:sz w:val="28"/>
          <w:szCs w:val="28"/>
          <w:highlight w:val="none"/>
          <w:lang w:val="en-US" w:eastAsia="zh-CN"/>
        </w:rPr>
        <w:t xml:space="preserve">0516-69683617</w:t>
      </w:r>
      <w:r/>
    </w:p>
    <w:p>
      <w:pPr>
        <w:ind w:left="896" w:hanging="3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p>
    <w:p>
      <w:pPr>
        <w:ind w:firstLine="60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0"/>
        <w:spacing w:line="400" w:lineRule="exact"/>
        <w:rPr>
          <w:rFonts w:hAnsi="宋体" w:eastAsia="宋体" w:cs="宋体"/>
        </w:rPr>
      </w:pPr>
      <w:r>
        <w:rPr>
          <w:rFonts w:ascii="宋体" w:hAnsi="宋体" w:eastAsia="宋体"/>
          <w:color w:val="auto"/>
          <w:highlight w:val="none"/>
        </w:rPr>
        <w:br w:type="page" w:clear="all"/>
      </w:r>
      <w:r/>
    </w:p>
    <w:p>
      <w:pPr>
        <w:pStyle w:val="697"/>
        <w:ind w:firstLine="3200"/>
        <w:rPr>
          <w:rFonts w:hint="eastAsia" w:ascii="仿宋" w:hAnsi="仿宋" w:eastAsia="仿宋" w:cs="仿宋"/>
          <w:color w:val="auto"/>
          <w:sz w:val="28"/>
          <w:szCs w:val="28"/>
          <w:highlight w:val="none"/>
        </w:rPr>
      </w:pPr>
      <w:r>
        <w:rPr>
          <w:rFonts w:hint="eastAsia" w:ascii="仿宋" w:hAnsi="仿宋" w:eastAsia="仿宋" w:cs="仿宋"/>
          <w:color w:val="auto"/>
          <w:sz w:val="32"/>
          <w:szCs w:val="32"/>
          <w:highlight w:val="none"/>
        </w:rPr>
        <w:t xml:space="preserve">第二章  投标人须知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一、总则</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（一）采购人。采购人即指依法进行政府采购的国家机关、事业单位和团体组织。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（二）政府招标采购方式。政府采购货物或服务（以下简称“货物服务”）的招标方式，分为公开招标和邀请招标。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（五）采购人委托采购代理机构代理招标的，采购代理机构必须在采购人委托的范围内依法开展采购活动。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（六）投标人的资格条件：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投标人是指响应招标、参加投标竞争的法人、其他组织或者自然人。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2.投标人授权代表系指法定代表人或受法人委托的受托人。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二、招标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（八）招标文件应包括以下内容：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第一章，投标邀请；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第二章，投标人须知；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第三章，投标资料表；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第四章，评标标准；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第五章，拟签订的合同文本；</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第六章，采购需求；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第七章，投标文件相关格式。</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（九）招标文件澄清或者修改：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2.现场考察以本文件第三章《投标资料表》中的要求为准。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3.开标前答疑会以本文件第三章《投标资料表》中的要求为准。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三、投标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（十二）投标文件的构成：</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1.投标文件的构成以本文件第三章《投标资料表》中的要求为准。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2.投标人应当提交的资格、资信证明文件，以本文件第三章《投标资料表》中的所提要求为准。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（十三）投标函和价格表、商务条件、交货和提供服务的时间：</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2.商务条件以本文件第三章《投标资料表》中的要求为准。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3.交货和提供服务的时间，以本文件第三章《投标资料表》中所提要求为准。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（十四）投标报价要求：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1.投标人应按照招标文件的要求报出分项价格和总价。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2.投标人应按照招标文件的要求进行报价，如投标人作出偏离，应在《偏离表》中列出。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3.采购人不支付报价以外的任何费用。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（十五）投标货币。以本文件第三章《投标资料表》中所提要求为准。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（十六）投标有效期：</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1.投标有效期为开标之日后90天。采购人可以要求对投标有效期延长一次，但该延长期最长不得超过30天。</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（十七）投标文件的编制要求和签署要求</w:t>
      </w:r>
      <w:r/>
    </w:p>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bidi="ar-SA"/>
        </w:rPr>
        <w:t xml:space="preserve">（1）</w:t>
      </w: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bidi="ar-SA"/>
        </w:rPr>
        <w:t xml:space="preserve">（2）</w:t>
      </w:r>
      <w:r>
        <w:rPr>
          <w:rFonts w:hint="eastAsia" w:ascii="仿宋" w:hAnsi="仿宋" w:eastAsia="仿宋" w:cs="仿宋"/>
          <w:sz w:val="28"/>
          <w:szCs w:val="28"/>
        </w:rPr>
        <w:t xml:space="preserve">投标人应对 CA 证书妥善保管，如被他人盗用投标，因此带来的结果均由投标人自行承担。</w:t>
      </w:r>
      <w:r/>
    </w:p>
    <w:p>
      <w:pPr>
        <w:pStyle w:val="731"/>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2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74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74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74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74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74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4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二十九</w:t>
      </w:r>
      <w:r>
        <w:rPr>
          <w:rFonts w:hint="eastAsia" w:ascii="仿宋" w:hAnsi="仿宋" w:eastAsia="仿宋" w:cs="仿宋"/>
          <w:color w:val="auto"/>
          <w:sz w:val="28"/>
          <w:szCs w:val="28"/>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1.投标（响应）报价低于全部通过符合性审查供应商投标（响应）报价平均值</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，即投标（响应）报价&lt;全部通过符合性审查供应商投标（响应）报价平均值</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2.投标（响应）报价低于通过符合性审查的次低报价供应商投标（响应）报价</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，即投标（响应）报价&lt;通过符合性审查的次低报价供应商投标（响应）报价</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rPr>
        <w:t xml:space="preserve">45%的，</w:t>
      </w:r>
      <w:r>
        <w:rPr>
          <w:rFonts w:hint="eastAsia" w:ascii="仿宋" w:hAnsi="仿宋" w:eastAsia="仿宋" w:cs="仿宋"/>
          <w:color w:val="auto"/>
          <w:sz w:val="28"/>
          <w:szCs w:val="28"/>
        </w:rPr>
        <w:t xml:space="preserve">即投标（响应）报价&lt;采购项目最高限价</w:t>
      </w:r>
      <w:r>
        <w:rPr>
          <w:rFonts w:hint="eastAsia" w:ascii="仿宋" w:hAnsi="仿宋" w:eastAsia="仿宋" w:cs="仿宋"/>
          <w:b/>
          <w:bCs/>
          <w:color w:val="auto"/>
          <w:sz w:val="28"/>
          <w:szCs w:val="28"/>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30"/>
        <w:ind w:firstLine="480"/>
        <w:jc w:val="left"/>
        <w:keepLines w:val="0"/>
        <w:keepNext w:val="0"/>
        <w:pageBreakBefore w:val="0"/>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r>
      <w:r/>
    </w:p>
    <w:p>
      <w:pPr>
        <w:pStyle w:val="730"/>
        <w:ind w:firstLine="600"/>
        <w:jc w:val="left"/>
        <w:keepLines w:val="0"/>
        <w:keepNext w:val="0"/>
        <w:pageBreakBefore w:val="0"/>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r>
      <w:r/>
    </w:p>
    <w:p>
      <w:pPr>
        <w:pStyle w:val="1017"/>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jc w:val="cente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  投标资料表</w:t>
      </w:r>
      <w:r/>
    </w:p>
    <w:p>
      <w:pPr>
        <w:pStyle w:val="948"/>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该资料表的条款项号是与《投标人须知》中条款项号对应的，或增加的条款，是对《投标人须知》的补充、修改和完善，如果有矛盾的话，应以本资料表为准。</w:t>
      </w:r>
      <w:r/>
    </w:p>
    <w:tbl>
      <w:tblPr>
        <w:tblStyle w:val="707"/>
        <w:tblW w:w="9510" w:type="dxa"/>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15"/>
        <w:gridCol w:w="7995"/>
      </w:tblGrid>
      <w:tr>
        <w:trPr/>
        <w:tc>
          <w:tcPr>
            <w:tcW w:w="1515" w:type="dxa"/>
            <w:vAlign w:val="top"/>
            <w:textDirection w:val="lrTb"/>
            <w:noWrap w:val="false"/>
          </w:tcPr>
          <w:p>
            <w:pPr>
              <w:jc w:val="cente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条款项号</w:t>
            </w:r>
            <w:r/>
          </w:p>
        </w:tc>
        <w:tc>
          <w:tcPr>
            <w:tcW w:w="7995" w:type="dxa"/>
            <w:vAlign w:val="top"/>
            <w:textDirection w:val="lrTb"/>
            <w:noWrap w:val="false"/>
          </w:tcPr>
          <w:p>
            <w:pPr>
              <w:jc w:val="cente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内    容</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总则</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w:t>
            </w:r>
            <w:r/>
          </w:p>
        </w:tc>
        <w:tc>
          <w:tcPr>
            <w:tcW w:w="7995" w:type="dxa"/>
            <w:vAlign w:val="top"/>
            <w:textDirection w:val="lrTb"/>
            <w:noWrap w:val="false"/>
          </w:tcPr>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本项目采购人：</w:t>
            </w:r>
            <w:r>
              <w:rPr>
                <w:rFonts w:hint="eastAsia" w:ascii="仿宋" w:hAnsi="仿宋" w:eastAsia="仿宋" w:cs="仿宋"/>
                <w:color w:val="auto"/>
                <w:sz w:val="28"/>
                <w:szCs w:val="28"/>
                <w:lang w:eastAsia="zh-CN"/>
              </w:rPr>
              <w:t xml:space="preserve">徐州市铜山区农业农村局（机关）</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本次采购采用的政府采购方式：公开招标。</w:t>
            </w:r>
            <w:r/>
          </w:p>
        </w:tc>
      </w:tr>
      <w:tr>
        <w:trPr/>
        <w:tc>
          <w:tcPr>
            <w:tcW w:w="1515" w:type="dxa"/>
            <w:vAlign w:val="top"/>
            <w:textDirection w:val="lrTb"/>
            <w:noWrap w:val="false"/>
          </w:tcPr>
          <w:p>
            <w:pPr>
              <w:jc w:val="cente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w:t>
            </w:r>
            <w:r/>
          </w:p>
        </w:tc>
        <w:tc>
          <w:tcPr>
            <w:tcW w:w="7995" w:type="dxa"/>
            <w:vAlign w:val="top"/>
            <w:textDirection w:val="lrTb"/>
            <w:noWrap w:val="false"/>
          </w:tcPr>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采购人确定的采购项目属性：服务</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w:t>
            </w:r>
            <w:r/>
          </w:p>
        </w:tc>
        <w:tc>
          <w:tcPr>
            <w:tcW w:w="7995" w:type="dxa"/>
            <w:vAlign w:val="top"/>
            <w:textDirection w:val="lrTb"/>
            <w:noWrap w:val="false"/>
          </w:tcPr>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本项目采购代理机构：</w:t>
            </w:r>
            <w:r>
              <w:rPr>
                <w:rFonts w:hint="eastAsia" w:ascii="仿宋" w:hAnsi="仿宋" w:eastAsia="仿宋" w:cs="仿宋"/>
                <w:color w:val="auto"/>
                <w:sz w:val="28"/>
                <w:szCs w:val="28"/>
                <w:lang w:eastAsia="zh-CN"/>
              </w:rPr>
              <w:t xml:space="preserve">江苏友信招标代理有限公司</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(六)</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1.符合《中华人民共和国政府采购法》第二十二条的规定；</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b/>
                <w:color w:val="auto"/>
                <w:sz w:val="28"/>
                <w:szCs w:val="28"/>
              </w:rPr>
              <w:t xml:space="preserve">此项目属于专门面向中小微企业采购的项目，提供的服务全部由符合政策要求的中小企业承接，供应商应为中小微企业、监狱企业、残疾人福利性单位。</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同时明确相关事项如下：</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一、本项目不接受联合体参与采购活动。</w:t>
            </w:r>
            <w:r/>
          </w:p>
          <w:p>
            <w:pPr>
              <w:ind w:left="560" w:hanging="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二、单位负责人为同一人或者存在直接控股、管理关系的不同供应商，不得参加同一合同项下的政府采购活动。</w:t>
            </w:r>
            <w:r/>
          </w:p>
          <w:p>
            <w:pPr>
              <w:ind w:left="560" w:hanging="56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四、查询及使用供应商信用记录：</w:t>
            </w:r>
            <w:r/>
          </w:p>
          <w:p>
            <w:pPr>
              <w:ind w:firstLine="4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4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7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7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7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3.“信用江苏”网（www.jscredit.gov.cn）；</w:t>
            </w:r>
            <w:r/>
          </w:p>
          <w:p>
            <w:pPr>
              <w:ind w:firstLine="7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7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(三)截止时点（查询环节）：资格性审查前。</w:t>
            </w:r>
            <w:r/>
          </w:p>
          <w:p>
            <w:pPr>
              <w:ind w:left="980" w:hanging="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4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899"/>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(七)</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招标代理服务费由中标人支付，标准见《招标代理服务收费标准》（见附件）。</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(九)1</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(九)2</w:t>
            </w:r>
            <w:r/>
          </w:p>
        </w:tc>
        <w:tc>
          <w:tcPr>
            <w:tcW w:w="7995" w:type="dxa"/>
            <w:vAlign w:val="top"/>
            <w:textDirection w:val="lrTb"/>
            <w:noWrap w:val="false"/>
          </w:tcPr>
          <w:p>
            <w:pPr>
              <w:spacing w:line="360" w:lineRule="auto"/>
              <w:tabs>
                <w:tab w:val="left" w:pos="5760" w:leader="none"/>
              </w:tabs>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不</w:t>
            </w:r>
            <w:r>
              <w:rPr>
                <w:rFonts w:hint="eastAsia" w:ascii="仿宋" w:hAnsi="仿宋" w:eastAsia="仿宋" w:cs="仿宋"/>
                <w:color w:val="auto"/>
                <w:sz w:val="28"/>
                <w:szCs w:val="28"/>
              </w:rPr>
              <w:t xml:space="preserve">安排现场考察。</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(九)3</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不安排开标前答疑会。</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w:t>
            </w:r>
            <w:r/>
          </w:p>
        </w:tc>
      </w:tr>
      <w:tr>
        <w:trPr>
          <w:trHeight w:val="510"/>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(十一)</w:t>
            </w:r>
            <w:r/>
          </w:p>
        </w:tc>
        <w:tc>
          <w:tcPr>
            <w:tcW w:w="7995" w:type="dxa"/>
            <w:vAlign w:val="top"/>
            <w:textDirection w:val="lrTb"/>
            <w:noWrap w:val="false"/>
          </w:tcPr>
          <w:p>
            <w:pPr>
              <w:spacing w:line="360" w:lineRule="auto"/>
              <w:tabs>
                <w:tab w:val="left" w:pos="576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投标文件的语言为中文</w:t>
            </w:r>
            <w:r/>
          </w:p>
        </w:tc>
      </w:tr>
      <w:tr>
        <w:trPr>
          <w:trHeight w:val="90"/>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(十二)1</w:t>
            </w:r>
            <w:r/>
          </w:p>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(十二)2</w:t>
            </w:r>
            <w:r/>
          </w:p>
        </w:tc>
        <w:tc>
          <w:tcPr>
            <w:tcW w:w="7995" w:type="dxa"/>
            <w:vAlign w:val="top"/>
            <w:textDirection w:val="lrTb"/>
            <w:noWrap w:val="false"/>
          </w:tcPr>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线上投标文件编制要求：</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请按照以下要求（包括但不限于以下要求）制作：</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一、基本目录</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1.《开标一览表》（加盖电子签章）；</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2.《授权委托书》（提供原件的扫描件，格式见招标文件第七章《投标文件相关格式》）；</w:t>
            </w:r>
            <w:r/>
          </w:p>
          <w:p>
            <w:pPr>
              <w:spacing w:line="36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二、资格条件（1-6必须提供，否则投标无效）</w:t>
            </w:r>
            <w:r/>
          </w:p>
          <w:p>
            <w:pPr>
              <w:pStyle w:val="756"/>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财务状况报告（即提供投标人的本项目开标时间前6个月内任何1个月的资产负债表、利润表扫描件各一份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color w:val="auto"/>
                <w:sz w:val="28"/>
                <w:szCs w:val="28"/>
                <w:lang w:val="en-US" w:eastAsia="zh-CN"/>
              </w:rPr>
              <w:t xml:space="preserve">2024</w:t>
            </w:r>
            <w:r>
              <w:rPr>
                <w:rFonts w:hint="eastAsia" w:ascii="仿宋" w:hAnsi="仿宋" w:eastAsia="仿宋" w:cs="仿宋"/>
                <w:color w:val="auto"/>
                <w:sz w:val="28"/>
                <w:szCs w:val="28"/>
              </w:rPr>
              <w:t xml:space="preserve">年度</w:t>
            </w:r>
            <w:r>
              <w:rPr>
                <w:rFonts w:hint="eastAsia" w:ascii="仿宋" w:hAnsi="仿宋" w:eastAsia="仿宋" w:cs="仿宋"/>
                <w:i w:val="0"/>
                <w:iCs w:val="0"/>
                <w:caps w:val="0"/>
                <w:color w:val="000000" w:themeColor="text1"/>
                <w:spacing w:val="0"/>
                <w:sz w:val="28"/>
                <w:szCs w:val="28"/>
                <w14:textFill>
                  <w14:solidFill>
                    <w14:schemeClr w14:val="tx1"/>
                  </w14:solidFill>
                </w14:textFill>
              </w:rPr>
              <w:t xml:space="preserve">（或2025年度）</w:t>
            </w:r>
            <w:r>
              <w:rPr>
                <w:rFonts w:hint="eastAsia" w:ascii="仿宋" w:hAnsi="仿宋" w:eastAsia="仿宋" w:cs="仿宋"/>
                <w:color w:val="000000" w:themeColor="text1"/>
                <w:sz w:val="28"/>
                <w:szCs w:val="28"/>
                <w14:textFill>
                  <w14:solidFill>
                    <w14:schemeClr w14:val="tx1"/>
                  </w14:solidFill>
                </w14:textFill>
              </w:rPr>
              <w:t xml:space="preserve">经审计的财务报</w:t>
            </w:r>
            <w:r>
              <w:rPr>
                <w:rFonts w:hint="eastAsia" w:ascii="仿宋" w:hAnsi="仿宋" w:eastAsia="仿宋" w:cs="仿宋"/>
                <w:color w:val="auto"/>
                <w:sz w:val="28"/>
                <w:szCs w:val="28"/>
              </w:rPr>
              <w:t xml:space="preserve">告扫描件一份；或投</w:t>
            </w:r>
            <w:r>
              <w:rPr>
                <w:rFonts w:hint="eastAsia" w:ascii="仿宋" w:hAnsi="仿宋" w:eastAsia="仿宋" w:cs="仿宋"/>
                <w:sz w:val="28"/>
                <w:szCs w:val="28"/>
              </w:rPr>
              <w:t xml:space="preserve">标人的本项目开标时间前6个月内银行出具的资信证明扫描件一份</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30"/>
                <w:szCs w:val="30"/>
                <w:lang w:eastAsia="zh-CN"/>
              </w:rPr>
              <w:t xml:space="preserve">。</w:t>
            </w:r>
            <w:r/>
          </w:p>
          <w:p>
            <w:pPr>
              <w:pStyle w:val="756"/>
              <w:ind w:left="551" w:hanging="551"/>
              <w:spacing w:line="360" w:lineRule="auto"/>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、具备履行合同所必需的设备和专业技术能力的证明材料扫描件；格式见本文件第七章《投标文件相关格式》。</w:t>
            </w:r>
            <w:r/>
          </w:p>
          <w:p>
            <w:pPr>
              <w:pStyle w:val="756"/>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5、投标人参加政府采购活动前3年内在经营活动中没有重大违法记录的书面声明，加盖电子签章，格式见本文件第七章《投标文件相关格式》。</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提供的服务全部由符合政策要求的中小企业承接，提供《中小企业声明函》（加盖电子签章，填写完整。格式见招标文件第七章《投标文件相关格式》）</w:t>
            </w:r>
            <w:r>
              <w:rPr>
                <w:rFonts w:hint="eastAsia" w:ascii="仿宋" w:hAnsi="仿宋" w:eastAsia="仿宋" w:cs="仿宋"/>
                <w:b/>
                <w:bCs/>
                <w:color w:val="auto"/>
                <w:sz w:val="28"/>
                <w:szCs w:val="28"/>
              </w:rPr>
              <w:t xml:space="preserve">（必须提供）</w:t>
            </w:r>
            <w:r>
              <w:rPr>
                <w:rFonts w:hint="eastAsia" w:ascii="仿宋" w:hAnsi="仿宋" w:eastAsia="仿宋" w:cs="仿宋"/>
                <w:color w:val="auto"/>
                <w:sz w:val="28"/>
                <w:szCs w:val="28"/>
              </w:rPr>
              <w:t xml:space="preserve">。</w:t>
            </w:r>
            <w:r>
              <w:rPr>
                <w:rFonts w:hint="eastAsia" w:ascii="仿宋" w:hAnsi="仿宋" w:eastAsia="仿宋" w:cs="仿宋"/>
                <w:b/>
                <w:color w:val="auto"/>
                <w:sz w:val="28"/>
                <w:szCs w:val="28"/>
              </w:rPr>
              <w:t xml:space="preserve">《中小企业声明函》查询渠道参考工业和信息化部发布的中小企业规模自测小程序。</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注：具体以《政府采购促进中小企业发展管理办法》（财库[2020]46号）和《关于印发中小企业划型标准规定的通知》（工信部联企业[2011]300号）的规定为准。</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注：监狱企业和残疾人福利性单位等同于小微企业。</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投标人为监狱企业的，提供省级以上监狱管理局、戒毒管理局（含新疆生产建设兵团）出具的属于监狱企业的证明文件原件的扫描件。</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具体以《财政部 司法部关于政府采购支持监狱企业发展有关问题的通知》（财库〔2014〕68号）的规定为准。</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投标人为享受政府采购支持政策的残疾人福利性单位的，提供《残疾人福利性单位声明函》（加盖电子签章，格式见招标文件第七章《投标文件相关格式》）。</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享受政府采购支持政策的残疾人福利性单位应当同时满足以下条件：</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①安置的残疾人占本单位在职职工人数的比例不低于25%（含25%），并且安置的残疾人人数不少于10人（含10人）；</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②依法与安置的每位残疾人签订了一年以上（含一年）的劳动合同或服务协议；</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③为安置的每位残疾人按月足额缴纳了基本养老保险、基本医疗保险、失业保险、工伤保险和生育保险等社会保险费；</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④通过银行等金融机构向安置的每位残疾人，按月支付了不低于单位所在区县适用的经省级人民政府批准的月最低工资标准的工资；</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6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具体以《三部门联合发布关于促进残疾人就业政府采购政策的通知》（财库〔2017〕141号）规定为准。</w:t>
            </w:r>
            <w:r/>
          </w:p>
          <w:p>
            <w:pPr>
              <w:spacing w:line="36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三、符合条件（必须提供，否则投标无效）</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(一)报价</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1.《分项价格表》（加盖电子签章，格式见招标文件第七章《投标文件相关格式》。）；</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（二）商务资信</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《投标函》（加盖电子签章，格式见招标文件第七章《投标文件相关格式》）；</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（三）技术响应</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1.《偏离表》（加盖电子签章，格式见招标文件第七章《投标文件相关格式》）。</w:t>
            </w:r>
            <w:r/>
          </w:p>
          <w:p>
            <w:pPr>
              <w:spacing w:line="36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四、综合评审评分项</w:t>
            </w:r>
            <w:r/>
          </w:p>
          <w:p>
            <w:pPr>
              <w:pStyle w:val="756"/>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一</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技术部分</w:t>
            </w:r>
            <w:r/>
          </w:p>
          <w:p>
            <w:pPr>
              <w:pStyle w:val="988"/>
              <w:jc w:val="both"/>
              <w:spacing w:line="360" w:lineRule="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1、</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人员配</w:t>
            </w:r>
            <w:r>
              <w:rPr>
                <w:rFonts w:hint="eastAsia" w:ascii="仿宋" w:hAnsi="仿宋" w:eastAsia="仿宋" w:cs="仿宋"/>
                <w:color w:val="000000"/>
                <w:sz w:val="28"/>
                <w:szCs w:val="28"/>
                <w:highlight w:val="none"/>
                <w:lang w:val="en-US" w:eastAsia="zh-CN"/>
              </w:rPr>
              <w:t xml:space="preserve">备</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实验室能力</w:t>
            </w:r>
            <w:r/>
          </w:p>
          <w:p>
            <w:pPr>
              <w:pStyle w:val="988"/>
              <w:jc w:val="both"/>
              <w:spacing w:line="360" w:lineRule="auto"/>
              <w:rPr>
                <w:rFonts w:hint="eastAsia" w:ascii="仿宋" w:hAnsi="仿宋" w:eastAsia="仿宋" w:cs="仿宋"/>
                <w:b w:val="0"/>
                <w:bCs/>
                <w:color w:val="auto"/>
                <w:sz w:val="28"/>
                <w:szCs w:val="28"/>
                <w:lang w:val="en-US" w:eastAsia="zh-CN"/>
              </w:rPr>
              <w:outlineLvl w:val="0"/>
            </w:pP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color w:val="000000"/>
                <w:sz w:val="28"/>
                <w:szCs w:val="28"/>
                <w:lang w:val="en-US" w:eastAsia="zh-CN"/>
              </w:rPr>
              <w:t xml:space="preserve">投标人设备配备</w:t>
            </w:r>
            <w:r/>
          </w:p>
          <w:p>
            <w:pPr>
              <w:pStyle w:val="988"/>
              <w:jc w:val="both"/>
              <w:spacing w:line="360" w:lineRule="auto"/>
              <w:rPr>
                <w:rFonts w:hint="eastAsia" w:ascii="仿宋" w:hAnsi="仿宋" w:eastAsia="仿宋" w:cs="仿宋"/>
                <w:b w:val="0"/>
                <w:bCs/>
                <w:color w:val="auto"/>
                <w:sz w:val="28"/>
                <w:szCs w:val="28"/>
                <w:lang w:eastAsia="zh-CN"/>
              </w:rPr>
              <w:outlineLvl w:val="0"/>
            </w:pP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color w:val="000000"/>
                <w:sz w:val="28"/>
                <w:szCs w:val="28"/>
                <w:lang w:val="en-US" w:eastAsia="zh-CN"/>
              </w:rPr>
              <w:t xml:space="preserve">投标人车辆配备</w:t>
            </w:r>
            <w:r/>
          </w:p>
          <w:p>
            <w:pPr>
              <w:pStyle w:val="761"/>
              <w:ind w:left="0" w:firstLine="0"/>
              <w:spacing w:line="360" w:lineRule="auto"/>
              <w:rPr>
                <w:rFonts w:hint="eastAsia" w:ascii="仿宋" w:hAnsi="仿宋" w:eastAsia="仿宋" w:cs="仿宋"/>
                <w:color w:val="000000"/>
                <w:sz w:val="28"/>
                <w:szCs w:val="28"/>
                <w:lang w:val="en-US" w:eastAsia="zh-CN"/>
              </w:rPr>
            </w:pP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color w:val="000000"/>
                <w:sz w:val="28"/>
                <w:szCs w:val="28"/>
                <w:lang w:val="en-US" w:eastAsia="zh-CN"/>
              </w:rPr>
              <w:t xml:space="preserve">投标人实施方案</w:t>
            </w:r>
            <w:r/>
          </w:p>
          <w:p>
            <w:pPr>
              <w:pStyle w:val="761"/>
              <w:ind w:left="0" w:firstLine="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6、投标人</w:t>
            </w:r>
            <w:r>
              <w:rPr>
                <w:rFonts w:hint="eastAsia" w:ascii="仿宋" w:hAnsi="仿宋" w:eastAsia="仿宋" w:cs="仿宋"/>
                <w:bCs/>
                <w:color w:val="000000"/>
                <w:sz w:val="28"/>
                <w:szCs w:val="28"/>
                <w:highlight w:val="none"/>
              </w:rPr>
              <w:t xml:space="preserve">应急预案</w:t>
            </w:r>
            <w:r/>
          </w:p>
          <w:p>
            <w:pPr>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二</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商务部分</w:t>
            </w:r>
            <w:r/>
          </w:p>
          <w:p>
            <w:pPr>
              <w:pStyle w:val="988"/>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投标人业绩</w:t>
            </w:r>
            <w:r/>
          </w:p>
          <w:p>
            <w:pPr>
              <w:jc w:val="both"/>
              <w:spacing w:line="360" w:lineRule="auto"/>
              <w:rPr>
                <w:rFonts w:hint="eastAsia" w:ascii="仿宋" w:hAnsi="仿宋" w:eastAsia="仿宋" w:cs="仿宋"/>
                <w:sz w:val="28"/>
                <w:szCs w:val="28"/>
                <w:lang w:val="en-US" w:eastAsia="zh-CN"/>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000000"/>
                <w:sz w:val="28"/>
                <w:szCs w:val="28"/>
                <w:highlight w:val="none"/>
                <w:lang w:val="en-US" w:eastAsia="zh-CN"/>
              </w:rPr>
              <w:t xml:space="preserve">投标人综合实力</w:t>
            </w:r>
            <w:r/>
          </w:p>
          <w:p>
            <w:pPr>
              <w:spacing w:line="360" w:lineRule="auto"/>
              <w:widowControl/>
              <w:rPr>
                <w:rFonts w:hint="eastAsia" w:ascii="仿宋" w:hAnsi="仿宋" w:eastAsia="仿宋" w:cs="仿宋"/>
                <w:b/>
                <w:bCs/>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、价格折扣文件格</w:t>
            </w:r>
            <w:r>
              <w:rPr>
                <w:rFonts w:hint="eastAsia" w:ascii="仿宋" w:hAnsi="仿宋" w:eastAsia="仿宋" w:cs="仿宋"/>
                <w:color w:val="auto"/>
                <w:sz w:val="28"/>
                <w:szCs w:val="28"/>
                <w:lang w:eastAsia="zh-CN"/>
              </w:rPr>
              <w:t xml:space="preserve">式：</w:t>
            </w:r>
            <w:r>
              <w:rPr>
                <w:rFonts w:hint="eastAsia" w:ascii="仿宋" w:hAnsi="仿宋" w:eastAsia="仿宋" w:cs="仿宋"/>
                <w:b w:val="0"/>
                <w:bCs w:val="0"/>
                <w:color w:val="auto"/>
                <w:sz w:val="28"/>
                <w:szCs w:val="28"/>
              </w:rPr>
              <w:t xml:space="preserve">无。</w:t>
            </w:r>
            <w:r/>
          </w:p>
          <w:p>
            <w:pPr>
              <w:spacing w:line="360" w:lineRule="auto"/>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注</w:t>
            </w:r>
            <w:r>
              <w:rPr>
                <w:rFonts w:hint="eastAsia" w:ascii="仿宋" w:hAnsi="仿宋" w:eastAsia="仿宋" w:cs="仿宋"/>
                <w:bCs/>
                <w:color w:val="auto"/>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1.投标人应对以上文件的合法性、真实性负责。</w:t>
            </w:r>
            <w:r/>
          </w:p>
          <w:p>
            <w:pPr>
              <w:spacing w:line="360" w:lineRule="auto"/>
              <w:rPr>
                <w:rFonts w:hint="eastAsia" w:ascii="仿宋" w:hAnsi="仿宋" w:eastAsia="仿宋" w:cs="仿宋"/>
                <w:bCs/>
                <w:color w:val="auto"/>
                <w:sz w:val="28"/>
                <w:szCs w:val="28"/>
              </w:rPr>
            </w:pPr>
            <w:r>
              <w:rPr>
                <w:rFonts w:hint="eastAsia" w:ascii="仿宋" w:hAnsi="仿宋" w:eastAsia="仿宋" w:cs="仿宋"/>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(十三)2</w:t>
            </w:r>
            <w:r/>
          </w:p>
        </w:tc>
        <w:tc>
          <w:tcPr>
            <w:tcW w:w="7995" w:type="dxa"/>
            <w:vAlign w:val="top"/>
            <w:textDirection w:val="lrTb"/>
            <w:noWrap w:val="false"/>
          </w:tcPr>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商务条件见：</w:t>
            </w:r>
            <w:r/>
          </w:p>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一、本文件第四章《评标标准》中《评分细则》。</w:t>
            </w:r>
            <w:r/>
          </w:p>
          <w:p>
            <w:pPr>
              <w:spacing w:line="360" w:lineRule="auto"/>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二、本文件第三章《投标资料表》中(十二)1和(十二)2。</w:t>
            </w:r>
            <w:r/>
          </w:p>
        </w:tc>
      </w:tr>
      <w:tr>
        <w:trPr>
          <w:trHeight w:val="90"/>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(十三)3</w:t>
            </w:r>
            <w:r/>
          </w:p>
        </w:tc>
        <w:tc>
          <w:tcPr>
            <w:tcW w:w="7995" w:type="dxa"/>
            <w:vAlign w:val="top"/>
            <w:textDirection w:val="lrTb"/>
            <w:noWrap w:val="false"/>
          </w:tcPr>
          <w:p>
            <w:pPr>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交货和提供服务的时间：见本文件第五章 《拟签订的合同文本》及或本文件第六章《采购需求》。</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(十四)3</w:t>
            </w:r>
            <w:r/>
          </w:p>
        </w:tc>
        <w:tc>
          <w:tcPr>
            <w:tcW w:w="7995" w:type="dxa"/>
            <w:vAlign w:val="top"/>
            <w:textDirection w:val="lrTb"/>
            <w:noWrap w:val="false"/>
          </w:tcPr>
          <w:p>
            <w:pPr>
              <w:pStyle w:val="713"/>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本项目采购预算总金额</w:t>
            </w:r>
            <w:r>
              <w:rPr>
                <w:rFonts w:hint="eastAsia" w:ascii="仿宋" w:hAnsi="仿宋" w:eastAsia="仿宋" w:cs="仿宋"/>
                <w:sz w:val="28"/>
                <w:szCs w:val="28"/>
                <w:lang w:val="en-US" w:eastAsia="zh-CN"/>
              </w:rPr>
              <w:t xml:space="preserve">123.3</w:t>
            </w:r>
            <w:r>
              <w:rPr>
                <w:rFonts w:hint="eastAsia" w:ascii="仿宋" w:hAnsi="仿宋" w:eastAsia="仿宋" w:cs="仿宋"/>
                <w:sz w:val="28"/>
                <w:szCs w:val="28"/>
              </w:rPr>
              <w:t xml:space="preserve">万元人民币</w:t>
            </w:r>
            <w:r>
              <w:rPr>
                <w:rFonts w:hint="eastAsia" w:ascii="仿宋" w:hAnsi="仿宋" w:eastAsia="仿宋" w:cs="仿宋"/>
                <w:sz w:val="28"/>
                <w:szCs w:val="28"/>
                <w:lang w:eastAsia="zh-CN"/>
              </w:rPr>
              <w:t xml:space="preserve">，分四个采购包。</w:t>
            </w:r>
            <w:r/>
          </w:p>
          <w:p>
            <w:pPr>
              <w:pStyle w:val="1040"/>
              <w:spacing w:after="0" w:line="360" w:lineRule="auto"/>
              <w:rPr>
                <w:rFonts w:hint="eastAsia" w:ascii="仿宋" w:hAnsi="仿宋" w:eastAsia="仿宋" w:cs="仿宋"/>
                <w:color w:val="auto"/>
                <w:sz w:val="28"/>
                <w:szCs w:val="28"/>
              </w:rPr>
            </w:pPr>
            <w:r>
              <w:rPr>
                <w:rFonts w:hint="eastAsia" w:ascii="仿宋" w:hAnsi="仿宋" w:eastAsia="仿宋" w:cs="仿宋"/>
                <w:b w:val="0"/>
                <w:bCs/>
                <w:color w:val="auto"/>
                <w:spacing w:val="-9"/>
                <w:sz w:val="28"/>
                <w:szCs w:val="28"/>
                <w:lang w:eastAsia="zh-CN"/>
              </w:rPr>
              <w:t xml:space="preserve">采购包</w:t>
            </w:r>
            <w:r>
              <w:rPr>
                <w:rFonts w:hint="eastAsia" w:ascii="仿宋" w:hAnsi="仿宋" w:eastAsia="仿宋" w:cs="仿宋"/>
                <w:b w:val="0"/>
                <w:bCs/>
                <w:color w:val="auto"/>
                <w:spacing w:val="-9"/>
                <w:sz w:val="28"/>
                <w:szCs w:val="28"/>
              </w:rPr>
              <w:t xml:space="preserve">一不接受超过</w:t>
            </w:r>
            <w:r>
              <w:rPr>
                <w:rFonts w:hint="eastAsia" w:ascii="仿宋" w:hAnsi="仿宋" w:eastAsia="仿宋" w:cs="仿宋"/>
                <w:b w:val="0"/>
                <w:bCs/>
                <w:color w:val="auto"/>
                <w:spacing w:val="-9"/>
                <w:sz w:val="28"/>
                <w:szCs w:val="28"/>
                <w:lang w:val="en-US"/>
              </w:rPr>
              <w:t xml:space="preserve">311000</w:t>
            </w:r>
            <w:r>
              <w:rPr>
                <w:rFonts w:hint="eastAsia" w:ascii="仿宋" w:hAnsi="仿宋" w:eastAsia="仿宋" w:cs="仿宋"/>
                <w:b w:val="0"/>
                <w:bCs/>
                <w:color w:val="auto"/>
                <w:spacing w:val="-9"/>
                <w:sz w:val="28"/>
                <w:szCs w:val="28"/>
              </w:rPr>
              <w:t xml:space="preserve">元人民币，</w:t>
            </w:r>
            <w:r>
              <w:rPr>
                <w:rFonts w:hint="eastAsia" w:ascii="仿宋" w:hAnsi="仿宋" w:eastAsia="仿宋" w:cs="仿宋"/>
                <w:b w:val="0"/>
                <w:bCs/>
                <w:color w:val="auto"/>
                <w:spacing w:val="-9"/>
                <w:sz w:val="28"/>
                <w:szCs w:val="28"/>
                <w:lang w:eastAsia="zh-CN"/>
              </w:rPr>
              <w:t xml:space="preserve">采购包</w:t>
            </w:r>
            <w:r>
              <w:rPr>
                <w:rFonts w:hint="eastAsia" w:ascii="仿宋" w:hAnsi="仿宋" w:eastAsia="仿宋" w:cs="仿宋"/>
                <w:b w:val="0"/>
                <w:bCs/>
                <w:color w:val="auto"/>
                <w:spacing w:val="-9"/>
                <w:sz w:val="28"/>
                <w:szCs w:val="28"/>
              </w:rPr>
              <w:t xml:space="preserve">二不接受超过</w:t>
            </w:r>
            <w:r>
              <w:rPr>
                <w:rFonts w:hint="eastAsia" w:ascii="仿宋" w:hAnsi="仿宋" w:eastAsia="仿宋" w:cs="仿宋"/>
                <w:b w:val="0"/>
                <w:bCs/>
                <w:color w:val="auto"/>
                <w:spacing w:val="-9"/>
                <w:sz w:val="28"/>
                <w:szCs w:val="28"/>
                <w:lang w:val="en-US"/>
              </w:rPr>
              <w:t xml:space="preserve">310500</w:t>
            </w:r>
            <w:r>
              <w:rPr>
                <w:rFonts w:hint="eastAsia" w:ascii="仿宋" w:hAnsi="仿宋" w:eastAsia="仿宋" w:cs="仿宋"/>
                <w:b w:val="0"/>
                <w:bCs/>
                <w:color w:val="auto"/>
                <w:spacing w:val="-9"/>
                <w:sz w:val="28"/>
                <w:szCs w:val="28"/>
              </w:rPr>
              <w:t xml:space="preserve">元人民币，</w:t>
            </w:r>
            <w:r>
              <w:rPr>
                <w:rFonts w:hint="eastAsia" w:ascii="仿宋" w:hAnsi="仿宋" w:eastAsia="仿宋" w:cs="仿宋"/>
                <w:b w:val="0"/>
                <w:bCs/>
                <w:color w:val="auto"/>
                <w:spacing w:val="-9"/>
                <w:sz w:val="28"/>
                <w:szCs w:val="28"/>
                <w:lang w:eastAsia="zh-CN"/>
              </w:rPr>
              <w:t xml:space="preserve">采购包</w:t>
            </w:r>
            <w:r>
              <w:rPr>
                <w:rFonts w:hint="eastAsia" w:ascii="仿宋" w:hAnsi="仿宋" w:eastAsia="仿宋" w:cs="仿宋"/>
                <w:b w:val="0"/>
                <w:bCs/>
                <w:color w:val="auto"/>
                <w:spacing w:val="-9"/>
                <w:sz w:val="28"/>
                <w:szCs w:val="28"/>
                <w:lang w:val="en-US"/>
              </w:rPr>
              <w:t xml:space="preserve">三</w:t>
            </w:r>
            <w:r>
              <w:rPr>
                <w:rFonts w:hint="eastAsia" w:ascii="仿宋" w:hAnsi="仿宋" w:eastAsia="仿宋" w:cs="仿宋"/>
                <w:b w:val="0"/>
                <w:bCs/>
                <w:color w:val="auto"/>
                <w:spacing w:val="-9"/>
                <w:sz w:val="28"/>
                <w:szCs w:val="28"/>
              </w:rPr>
              <w:t xml:space="preserve">不接受超过</w:t>
            </w:r>
            <w:r>
              <w:rPr>
                <w:rFonts w:hint="eastAsia" w:ascii="仿宋" w:hAnsi="仿宋" w:eastAsia="仿宋" w:cs="仿宋"/>
                <w:b w:val="0"/>
                <w:bCs/>
                <w:color w:val="auto"/>
                <w:spacing w:val="-9"/>
                <w:sz w:val="28"/>
                <w:szCs w:val="28"/>
                <w:lang w:val="en-US"/>
              </w:rPr>
              <w:t xml:space="preserve">306000</w:t>
            </w:r>
            <w:r>
              <w:rPr>
                <w:rFonts w:hint="eastAsia" w:ascii="仿宋" w:hAnsi="仿宋" w:eastAsia="仿宋" w:cs="仿宋"/>
                <w:b w:val="0"/>
                <w:bCs/>
                <w:color w:val="auto"/>
                <w:spacing w:val="-9"/>
                <w:sz w:val="28"/>
                <w:szCs w:val="28"/>
              </w:rPr>
              <w:t xml:space="preserve">元人民币，</w:t>
            </w:r>
            <w:r>
              <w:rPr>
                <w:rFonts w:hint="eastAsia" w:ascii="仿宋" w:hAnsi="仿宋" w:eastAsia="仿宋" w:cs="仿宋"/>
                <w:b w:val="0"/>
                <w:bCs/>
                <w:color w:val="auto"/>
                <w:spacing w:val="-9"/>
                <w:sz w:val="28"/>
                <w:szCs w:val="28"/>
                <w:lang w:eastAsia="zh-CN"/>
              </w:rPr>
              <w:t xml:space="preserve">采购包</w:t>
            </w:r>
            <w:r>
              <w:rPr>
                <w:rFonts w:hint="eastAsia" w:ascii="仿宋" w:hAnsi="仿宋" w:eastAsia="仿宋" w:cs="仿宋"/>
                <w:b w:val="0"/>
                <w:bCs/>
                <w:color w:val="auto"/>
                <w:spacing w:val="-9"/>
                <w:sz w:val="28"/>
                <w:szCs w:val="28"/>
                <w:lang w:val="en-US"/>
              </w:rPr>
              <w:t xml:space="preserve">四</w:t>
            </w:r>
            <w:r>
              <w:rPr>
                <w:rFonts w:hint="eastAsia" w:ascii="仿宋" w:hAnsi="仿宋" w:eastAsia="仿宋" w:cs="仿宋"/>
                <w:b w:val="0"/>
                <w:bCs/>
                <w:color w:val="auto"/>
                <w:spacing w:val="-9"/>
                <w:sz w:val="28"/>
                <w:szCs w:val="28"/>
              </w:rPr>
              <w:t xml:space="preserve">不接受超过</w:t>
            </w:r>
            <w:r>
              <w:rPr>
                <w:rFonts w:hint="eastAsia" w:ascii="仿宋" w:hAnsi="仿宋" w:eastAsia="仿宋" w:cs="仿宋"/>
                <w:b w:val="0"/>
                <w:bCs/>
                <w:color w:val="auto"/>
                <w:spacing w:val="-9"/>
                <w:sz w:val="28"/>
                <w:szCs w:val="28"/>
                <w:lang w:val="en-US"/>
              </w:rPr>
              <w:t xml:space="preserve">305500</w:t>
            </w:r>
            <w:r>
              <w:rPr>
                <w:rFonts w:hint="eastAsia" w:ascii="仿宋" w:hAnsi="仿宋" w:eastAsia="仿宋" w:cs="仿宋"/>
                <w:b w:val="0"/>
                <w:bCs/>
                <w:color w:val="auto"/>
                <w:spacing w:val="-9"/>
                <w:sz w:val="28"/>
                <w:szCs w:val="28"/>
              </w:rPr>
              <w:t xml:space="preserve">元人民币（采购预算金额）的</w:t>
            </w:r>
            <w:r>
              <w:rPr>
                <w:rFonts w:hint="eastAsia" w:ascii="仿宋" w:hAnsi="仿宋" w:eastAsia="仿宋" w:cs="仿宋"/>
                <w:b w:val="0"/>
                <w:bCs/>
                <w:color w:val="auto"/>
                <w:spacing w:val="-9"/>
                <w:sz w:val="28"/>
                <w:szCs w:val="28"/>
                <w:lang w:eastAsia="zh-CN"/>
              </w:rPr>
              <w:t xml:space="preserve">投标</w:t>
            </w:r>
            <w:r>
              <w:rPr>
                <w:rFonts w:hint="eastAsia" w:ascii="仿宋" w:hAnsi="仿宋" w:eastAsia="仿宋" w:cs="仿宋"/>
                <w:b w:val="0"/>
                <w:bCs/>
                <w:color w:val="auto"/>
                <w:spacing w:val="-9"/>
                <w:sz w:val="28"/>
                <w:szCs w:val="28"/>
              </w:rPr>
              <w:t xml:space="preserve">报价。</w:t>
            </w:r>
            <w:r>
              <w:rPr>
                <w:rFonts w:hint="eastAsia" w:ascii="仿宋" w:hAnsi="仿宋" w:eastAsia="仿宋" w:cs="仿宋"/>
                <w:color w:val="000000" w:themeColor="text1"/>
                <w:sz w:val="28"/>
                <w:szCs w:val="28"/>
                <w14:textFill>
                  <w14:solidFill>
                    <w14:schemeClr w14:val="tx1"/>
                  </w14:solidFill>
                </w14:textFill>
              </w:rPr>
              <w:t xml:space="preserve">报价包含项目完成所需全部费用（含支付现场抽样样品费</w:t>
            </w:r>
            <w:r>
              <w:rPr>
                <w:rFonts w:hint="eastAsia" w:ascii="仿宋" w:hAnsi="仿宋" w:eastAsia="仿宋" w:cs="仿宋"/>
                <w:color w:val="000000" w:themeColor="text1"/>
                <w:sz w:val="28"/>
                <w:szCs w:val="28"/>
                <w:lang w:eastAsia="zh-CN"/>
                <w14:textFill>
                  <w14:solidFill>
                    <w14:schemeClr w14:val="tx1"/>
                  </w14:solidFill>
                </w14:textFill>
              </w:rPr>
              <w:t xml:space="preserve">及履约验收费用</w:t>
            </w:r>
            <w:r>
              <w:rPr>
                <w:rFonts w:hint="eastAsia" w:ascii="仿宋" w:hAnsi="仿宋" w:eastAsia="仿宋" w:cs="仿宋"/>
                <w:color w:val="000000" w:themeColor="text1"/>
                <w:sz w:val="28"/>
                <w:szCs w:val="28"/>
                <w14:textFill>
                  <w14:solidFill>
                    <w14:schemeClr w14:val="tx1"/>
                  </w14:solidFill>
                </w14:textFill>
              </w:rPr>
              <w:t xml:space="preserve">），采购人不再支付报价以外的任何费用。</w:t>
            </w:r>
            <w:r>
              <w:rPr>
                <w:rFonts w:hint="eastAsia" w:ascii="仿宋" w:hAnsi="仿宋" w:eastAsia="仿宋" w:cs="仿宋"/>
                <w:color w:val="000000"/>
                <w:sz w:val="28"/>
                <w:szCs w:val="28"/>
              </w:rPr>
              <w:t xml:space="preserve">每个投标人可以参与多个采购包的评审但只允许成为一个采购包的中标人。本项目按采购包一至采购包</w:t>
            </w: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的顺序进行评审定标，在前一采购包中被确定为中标人的，可以参与下一采购包的评审，但不得再次成为中标人，不再作为后续采购包的有效投标人。且各采购包的有效投标人数量不得少于3家，否则该采购包按废标处理。</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(十六)</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以人民币报价。</w:t>
            </w:r>
            <w:r/>
          </w:p>
        </w:tc>
      </w:tr>
      <w:tr>
        <w:trPr/>
        <w:tc>
          <w:tcPr>
            <w:tcW w:w="1515" w:type="dxa"/>
            <w:vAlign w:val="top"/>
            <w:textDirection w:val="lrTb"/>
            <w:noWrap w:val="false"/>
          </w:tcPr>
          <w:p>
            <w:pPr>
              <w:jc w:val="center"/>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（十七）</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线上要求：</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50M！</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说明：本项目采用线上投标，即供应商投标文件从政府采购客户端工具制作通过“苏采云”系统提交，未提供线上投标文件的，投标无效。</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(十八)</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线上投标文件的密封、签署、盖章要求：</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一、投标文件的密封（加密）要求：</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二、投标文件的签署要求：见招标文件第七章《投标文件相关格式》。</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说明：投标人应在用CA数字证书以及自备的能够登录“苏采云”系统的笔记本电脑，在达到开标时间后，使用CA数字证书解密各自投标文件。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投标人未按规定加密的投标文件，“苏采云”系统应当拒收并提示。</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(十九)</w:t>
            </w:r>
            <w:r/>
          </w:p>
        </w:tc>
        <w:tc>
          <w:tcPr>
            <w:tcW w:w="7995" w:type="dxa"/>
            <w:vAlign w:val="top"/>
            <w:textDirection w:val="lrTb"/>
            <w:noWrap w:val="false"/>
          </w:tcPr>
          <w:p>
            <w:pPr>
              <w:ind w:left="560" w:hanging="560"/>
              <w:spacing w:line="360" w:lineRule="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投标文件的提交： </w:t>
            </w:r>
            <w:r/>
          </w:p>
          <w:p>
            <w:pPr>
              <w:ind w:left="560" w:hanging="560"/>
              <w:spacing w:line="360" w:lineRule="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1.投标文件提交时间：</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202</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6</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年</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4</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月</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23</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日</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北京时间</w:t>
            </w:r>
            <w:r>
              <w:rPr>
                <w:rFonts w:hint="eastAsia" w:ascii="仿宋" w:hAnsi="仿宋" w:eastAsia="仿宋" w:cs="仿宋"/>
                <w:color w:val="0d0d0d" w:themeColor="text1" w:themeTint="F2"/>
                <w:sz w:val="28"/>
                <w:szCs w:val="28"/>
                <w:lang w:val="en-US" w:eastAsia="zh-CN"/>
                <w14:textFill>
                  <w14:solidFill>
                    <w14:schemeClr w14:val="tx1">
                      <w14:lumMod w14:val="95000"/>
                      <w14:lumOff w14:val="5000"/>
                    </w14:schemeClr>
                  </w14:solidFill>
                </w14:textFill>
              </w:rPr>
              <w:t xml:space="preserve">10</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w:t>
            </w:r>
            <w:r>
              <w:rPr>
                <w:rFonts w:hint="eastAsia" w:ascii="仿宋" w:hAnsi="仿宋" w:eastAsia="仿宋" w:cs="仿宋"/>
                <w:color w:val="0d0d0d" w:themeColor="text1" w:themeTint="F2"/>
                <w:sz w:val="28"/>
                <w:szCs w:val="28"/>
                <w:lang w:val="en-US" w:eastAsia="zh-CN"/>
                <w14:textFill>
                  <w14:solidFill>
                    <w14:schemeClr w14:val="tx1">
                      <w14:lumMod w14:val="95000"/>
                      <w14:lumOff w14:val="5000"/>
                    </w14:schemeClr>
                  </w14:solidFill>
                </w14:textFill>
              </w:rPr>
              <w:t xml:space="preserve">0</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0前。</w:t>
            </w:r>
            <w:r/>
          </w:p>
          <w:p>
            <w:pPr>
              <w:ind w:left="560" w:hanging="560"/>
              <w:spacing w:line="360" w:lineRule="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2.投标截止时间：</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202</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6</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年</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4</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月</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23</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日</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北京时间</w:t>
            </w:r>
            <w:r>
              <w:rPr>
                <w:rFonts w:hint="eastAsia" w:ascii="仿宋" w:hAnsi="仿宋" w:eastAsia="仿宋" w:cs="仿宋"/>
                <w:color w:val="0d0d0d" w:themeColor="text1" w:themeTint="F2"/>
                <w:sz w:val="28"/>
                <w:szCs w:val="28"/>
                <w:lang w:val="en-US" w:eastAsia="zh-CN"/>
                <w14:textFill>
                  <w14:solidFill>
                    <w14:schemeClr w14:val="tx1">
                      <w14:lumMod w14:val="95000"/>
                      <w14:lumOff w14:val="5000"/>
                    </w14:schemeClr>
                  </w14:solidFill>
                </w14:textFill>
              </w:rPr>
              <w:t xml:space="preserve">10</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w:t>
            </w:r>
            <w:r>
              <w:rPr>
                <w:rFonts w:hint="eastAsia" w:ascii="仿宋" w:hAnsi="仿宋" w:eastAsia="仿宋" w:cs="仿宋"/>
                <w:color w:val="0d0d0d" w:themeColor="text1" w:themeTint="F2"/>
                <w:sz w:val="28"/>
                <w:szCs w:val="28"/>
                <w:lang w:val="en-US" w:eastAsia="zh-CN"/>
                <w14:textFill>
                  <w14:solidFill>
                    <w14:schemeClr w14:val="tx1">
                      <w14:lumMod w14:val="95000"/>
                      <w14:lumOff w14:val="5000"/>
                    </w14:schemeClr>
                  </w14:solidFill>
                </w14:textFill>
              </w:rPr>
              <w:t xml:space="preserve">0</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0。</w:t>
            </w:r>
            <w:r/>
          </w:p>
          <w:p>
            <w:pPr>
              <w:spacing w:line="360" w:lineRule="auto"/>
              <w:rPr>
                <w:rFonts w:hint="eastAsia" w:ascii="仿宋" w:hAnsi="仿宋" w:eastAsia="仿宋" w:cs="仿宋"/>
                <w:color w:val="0d0d0d" w:themeColor="text1" w:themeTint="F2"/>
                <w:sz w:val="28"/>
                <w:szCs w:val="28"/>
                <w:highlight w:val="yellow"/>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3.投标文件提交地点：投标人应当通过“苏采云”系统提交数据电文形式的投标文件（即电子投标），“苏采云”系统自动接收。</w:t>
            </w:r>
            <w:r/>
          </w:p>
        </w:tc>
      </w:tr>
      <w:tr>
        <w:trPr/>
        <w:tc>
          <w:tcPr>
            <w:tcW w:w="1515" w:type="dxa"/>
            <w:vAlign w:val="top"/>
            <w:textDirection w:val="lrTb"/>
            <w:noWrap w:val="false"/>
          </w:tcPr>
          <w:p>
            <w:pPr>
              <w:jc w:val="cente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（二十）</w:t>
            </w:r>
            <w:r/>
          </w:p>
        </w:tc>
        <w:tc>
          <w:tcPr>
            <w:tcW w:w="7995" w:type="dxa"/>
            <w:vAlign w:val="top"/>
            <w:textDirection w:val="lrTb"/>
            <w:noWrap w:val="false"/>
          </w:tcPr>
          <w:p>
            <w:pPr>
              <w:spacing w:line="360" w:lineRule="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360" w:lineRule="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投标人应在达到开标时间后，使用CA数字证书解密各自投标文件。</w:t>
            </w:r>
            <w:r/>
          </w:p>
        </w:tc>
      </w:tr>
      <w:tr>
        <w:trPr/>
        <w:tc>
          <w:tcPr>
            <w:tcW w:w="1515" w:type="dxa"/>
            <w:vAlign w:val="top"/>
            <w:textDirection w:val="lrTb"/>
            <w:noWrap w:val="false"/>
          </w:tcPr>
          <w:p>
            <w:pPr>
              <w:jc w:val="cente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w:t>
            </w:r>
            <w:r/>
          </w:p>
        </w:tc>
        <w:tc>
          <w:tcPr>
            <w:tcW w:w="7995" w:type="dxa"/>
            <w:vAlign w:val="top"/>
            <w:textDirection w:val="lrTb"/>
            <w:noWrap w:val="false"/>
          </w:tcPr>
          <w:p>
            <w:pPr>
              <w:spacing w:line="360" w:lineRule="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开标</w:t>
            </w:r>
            <w:r/>
          </w:p>
        </w:tc>
      </w:tr>
      <w:tr>
        <w:trPr/>
        <w:tc>
          <w:tcPr>
            <w:tcW w:w="1515" w:type="dxa"/>
            <w:vAlign w:val="top"/>
            <w:textDirection w:val="lrTb"/>
            <w:noWrap w:val="false"/>
          </w:tcPr>
          <w:p>
            <w:pPr>
              <w:jc w:val="cente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(二十五)1</w:t>
            </w:r>
            <w:r/>
          </w:p>
        </w:tc>
        <w:tc>
          <w:tcPr>
            <w:tcW w:w="7995" w:type="dxa"/>
            <w:vAlign w:val="top"/>
            <w:textDirection w:val="lrTb"/>
            <w:noWrap w:val="false"/>
          </w:tcPr>
          <w:p>
            <w:pPr>
              <w:spacing w:line="360" w:lineRule="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开标时间及地点：</w:t>
            </w:r>
            <w:r/>
          </w:p>
          <w:p>
            <w:pPr>
              <w:spacing w:line="360" w:lineRule="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1.开标时间：</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202</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6</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年</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4</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月</w:t>
            </w:r>
            <w:r>
              <w:rPr>
                <w:rFonts w:hint="eastAsia" w:ascii="仿宋" w:hAnsi="仿宋" w:eastAsia="仿宋" w:cs="仿宋"/>
                <w:color w:val="0d0d0d" w:themeColor="text1" w:themeTint="F2"/>
                <w:sz w:val="28"/>
                <w:szCs w:val="28"/>
                <w:highlight w:val="none"/>
                <w:lang w:val="en-US" w:eastAsia="zh-CN"/>
                <w14:textFill>
                  <w14:solidFill>
                    <w14:schemeClr w14:val="tx1">
                      <w14:lumMod w14:val="95000"/>
                      <w14:lumOff w14:val="5000"/>
                    </w14:schemeClr>
                  </w14:solidFill>
                </w14:textFill>
              </w:rPr>
              <w:t xml:space="preserve">23</w:t>
            </w:r>
            <w:r>
              <w:rPr>
                <w:rFonts w:hint="eastAsia" w:ascii="仿宋" w:hAnsi="仿宋" w:eastAsia="仿宋" w:cs="仿宋"/>
                <w:color w:val="0d0d0d" w:themeColor="text1" w:themeTint="F2"/>
                <w:sz w:val="28"/>
                <w:szCs w:val="28"/>
                <w:highlight w:val="none"/>
                <w14:textFill>
                  <w14:solidFill>
                    <w14:schemeClr w14:val="tx1">
                      <w14:lumMod w14:val="95000"/>
                      <w14:lumOff w14:val="5000"/>
                    </w14:schemeClr>
                  </w14:solidFill>
                </w14:textFill>
              </w:rPr>
              <w:t xml:space="preserve">日</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北京时间</w:t>
            </w:r>
            <w:r>
              <w:rPr>
                <w:rFonts w:hint="eastAsia" w:ascii="仿宋" w:hAnsi="仿宋" w:eastAsia="仿宋" w:cs="仿宋"/>
                <w:color w:val="0d0d0d" w:themeColor="text1" w:themeTint="F2"/>
                <w:sz w:val="28"/>
                <w:szCs w:val="28"/>
                <w:lang w:val="en-US" w:eastAsia="zh-CN"/>
                <w14:textFill>
                  <w14:solidFill>
                    <w14:schemeClr w14:val="tx1">
                      <w14:lumMod w14:val="95000"/>
                      <w14:lumOff w14:val="5000"/>
                    </w14:schemeClr>
                  </w14:solidFill>
                </w14:textFill>
              </w:rPr>
              <w:t xml:space="preserve">10</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w:t>
            </w:r>
            <w:r>
              <w:rPr>
                <w:rFonts w:hint="eastAsia" w:ascii="仿宋" w:hAnsi="仿宋" w:eastAsia="仿宋" w:cs="仿宋"/>
                <w:color w:val="0d0d0d" w:themeColor="text1" w:themeTint="F2"/>
                <w:sz w:val="28"/>
                <w:szCs w:val="28"/>
                <w:lang w:val="en-US" w:eastAsia="zh-CN"/>
                <w14:textFill>
                  <w14:solidFill>
                    <w14:schemeClr w14:val="tx1">
                      <w14:lumMod w14:val="95000"/>
                      <w14:lumOff w14:val="5000"/>
                    </w14:schemeClr>
                  </w14:solidFill>
                </w14:textFill>
              </w:rPr>
              <w:t xml:space="preserve">0</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0（标准时间）</w:t>
            </w:r>
            <w:r/>
          </w:p>
          <w:p>
            <w:pPr>
              <w:spacing w:line="360" w:lineRule="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2.开标地点：“苏采云”系统（网址： http://jszfcg.jsczt.cn/）“开标大厅”或进入徐州政府采购网（网址：http://czj.xz.gov.cn/Home/HomeIndex）--业务工作--用户登录，点击“苏采云”进入系统“开标大厅”。</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(二十五)3</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所有投标人解密（或解密时间）结束后，“苏采云”系统生成开标记录并向社会公众公布，但依法应当保密的除外。</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评标</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(二十七)</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采用综合评分法。</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(二十八)1</w:t>
            </w:r>
            <w:r/>
          </w:p>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(二十八)1（4）</w:t>
            </w:r>
            <w:r/>
          </w:p>
        </w:tc>
        <w:tc>
          <w:tcPr>
            <w:tcW w:w="7995" w:type="dxa"/>
            <w:vAlign w:val="top"/>
            <w:textDirection w:val="lrTb"/>
            <w:noWrap w:val="false"/>
          </w:tcPr>
          <w:p>
            <w:pPr>
              <w:pStyle w:val="756"/>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一、推荐中标候选供应商名单。中标候选供应商数量应当根据采购需要确定，但必须按顺序排列中标候选供应商。</w:t>
            </w:r>
            <w:r/>
          </w:p>
          <w:p>
            <w:pPr>
              <w:pStyle w:val="756"/>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二、采用综合评分法的，按评审后得分由高到低顺序排列。得分相同的，按投标报价由低到高顺序排列。得分且投标报价相同的，按实施方案得分顺序排列。</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（二十九）</w:t>
            </w:r>
            <w:r/>
          </w:p>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七</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政府采购合同</w:t>
            </w:r>
            <w:r/>
          </w:p>
        </w:tc>
      </w:tr>
      <w:tr>
        <w:trPr>
          <w:trHeight w:val="938"/>
        </w:trPr>
        <w:tc>
          <w:tcPr>
            <w:tcW w:w="1515" w:type="dxa"/>
            <w:vAlign w:val="top"/>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eastAsia="zh-CN"/>
              </w:rPr>
              <w:t xml:space="preserve">五）</w:t>
            </w:r>
            <w:r>
              <w:rPr>
                <w:rFonts w:hint="eastAsia" w:ascii="仿宋" w:hAnsi="仿宋" w:eastAsia="仿宋" w:cs="仿宋"/>
                <w:color w:val="auto"/>
                <w:sz w:val="28"/>
                <w:szCs w:val="28"/>
              </w:rPr>
              <w:t xml:space="preserve">1</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采购人与中标、成交供应商应当在中标、成交通知书发出之日起30日内，按照采购文件确定的事项签订政府采购合同。</w:t>
            </w:r>
            <w:r/>
          </w:p>
        </w:tc>
      </w:tr>
      <w:tr>
        <w:trPr/>
        <w:tc>
          <w:tcPr>
            <w:tcW w:w="151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三</w:t>
            </w:r>
            <w:r>
              <w:rPr>
                <w:rFonts w:hint="eastAsia" w:ascii="仿宋" w:hAnsi="仿宋" w:eastAsia="仿宋" w:cs="仿宋"/>
                <w:color w:val="auto"/>
                <w:sz w:val="28"/>
                <w:szCs w:val="28"/>
                <w:lang w:eastAsia="zh-CN"/>
              </w:rPr>
              <w:t xml:space="preserve">十七</w:t>
            </w:r>
            <w:r>
              <w:rPr>
                <w:rFonts w:hint="eastAsia" w:ascii="仿宋" w:hAnsi="仿宋" w:eastAsia="仿宋" w:cs="仿宋"/>
                <w:color w:val="auto"/>
                <w:sz w:val="28"/>
                <w:szCs w:val="28"/>
              </w:rPr>
              <w:t xml:space="preserve">）</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履约保证金：无。</w:t>
            </w:r>
            <w:r/>
          </w:p>
        </w:tc>
      </w:tr>
      <w:tr>
        <w:trPr>
          <w:trHeight w:val="90"/>
        </w:trPr>
        <w:tc>
          <w:tcPr>
            <w:tcW w:w="1515" w:type="dxa"/>
            <w:vAlign w:val="top"/>
            <w:textDirection w:val="lrTb"/>
            <w:noWrap w:val="false"/>
          </w:tcPr>
          <w:p>
            <w:pPr>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三十九</w:t>
            </w:r>
            <w:r>
              <w:rPr>
                <w:rFonts w:hint="eastAsia" w:ascii="仿宋" w:hAnsi="仿宋" w:eastAsia="仿宋" w:cs="仿宋"/>
                <w:color w:val="auto"/>
                <w:sz w:val="28"/>
                <w:szCs w:val="28"/>
              </w:rPr>
              <w:t xml:space="preserve">)</w:t>
            </w:r>
            <w:r/>
          </w:p>
        </w:tc>
        <w:tc>
          <w:tcPr>
            <w:tcW w:w="7995"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二、供应商在法定质疑期内一次性提出针对同一采购程序环节的质疑。</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质疑接收人：</w:t>
            </w:r>
            <w:r>
              <w:rPr>
                <w:rFonts w:hint="eastAsia" w:ascii="仿宋" w:hAnsi="仿宋" w:eastAsia="仿宋" w:cs="仿宋"/>
                <w:color w:val="auto"/>
                <w:sz w:val="28"/>
                <w:szCs w:val="28"/>
                <w:lang w:val="en-US" w:eastAsia="zh-CN"/>
              </w:rPr>
              <w:t xml:space="preserve">杨伯永</w:t>
            </w:r>
            <w:r>
              <w:rPr>
                <w:rFonts w:hint="eastAsia" w:ascii="仿宋" w:hAnsi="仿宋" w:eastAsia="仿宋" w:cs="仿宋"/>
                <w:color w:val="auto"/>
                <w:sz w:val="28"/>
                <w:szCs w:val="28"/>
              </w:rPr>
              <w:t xml:space="preserve">;联系电话：0516-</w:t>
            </w:r>
            <w:r>
              <w:rPr>
                <w:rFonts w:hint="eastAsia" w:ascii="仿宋" w:hAnsi="仿宋" w:eastAsia="仿宋" w:cs="仿宋"/>
                <w:color w:val="auto"/>
                <w:sz w:val="28"/>
                <w:szCs w:val="28"/>
                <w:lang w:val="en-US" w:eastAsia="zh-CN"/>
              </w:rPr>
              <w:t xml:space="preserve">61211599</w:t>
            </w:r>
            <w:r>
              <w:rPr>
                <w:rFonts w:hint="eastAsia" w:ascii="仿宋" w:hAnsi="仿宋" w:eastAsia="仿宋" w:cs="仿宋"/>
                <w:color w:val="auto"/>
                <w:sz w:val="28"/>
                <w:szCs w:val="28"/>
              </w:rPr>
              <w:t xml:space="preserve">;</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办公地址：</w:t>
            </w:r>
            <w:r>
              <w:rPr>
                <w:rFonts w:hint="eastAsia" w:ascii="仿宋" w:hAnsi="仿宋" w:eastAsia="仿宋" w:cs="仿宋"/>
                <w:color w:val="auto"/>
                <w:sz w:val="28"/>
                <w:szCs w:val="28"/>
                <w:lang w:val="en-US" w:eastAsia="zh-CN"/>
              </w:rPr>
              <w:t xml:space="preserve">徐州市铜山区天赋广场10号公寓楼1210室。</w:t>
            </w:r>
            <w:r/>
          </w:p>
        </w:tc>
      </w:tr>
    </w:tbl>
    <w:p>
      <w:pPr>
        <w:pStyle w:val="730"/>
        <w:rPr>
          <w:rFonts w:hint="eastAsia" w:ascii="仿宋" w:hAnsi="仿宋" w:eastAsia="仿宋" w:cs="仿宋"/>
          <w:color w:val="000000"/>
          <w:sz w:val="24"/>
        </w:rPr>
      </w:pPr>
      <w:r>
        <w:rPr>
          <w:rFonts w:hint="eastAsia" w:ascii="仿宋" w:hAnsi="仿宋" w:eastAsia="仿宋" w:cs="仿宋"/>
          <w:color w:val="000000"/>
          <w:sz w:val="24"/>
        </w:rPr>
      </w:r>
      <w:r/>
    </w:p>
    <w:p>
      <w:pPr>
        <w:pStyle w:val="730"/>
        <w:rPr>
          <w:rFonts w:hint="eastAsia" w:ascii="仿宋" w:hAnsi="仿宋" w:eastAsia="仿宋" w:cs="仿宋"/>
          <w:color w:val="000000"/>
          <w:sz w:val="24"/>
        </w:rPr>
      </w:pPr>
      <w:r>
        <w:rPr>
          <w:rFonts w:hint="eastAsia" w:ascii="仿宋" w:hAnsi="仿宋" w:eastAsia="仿宋" w:cs="仿宋"/>
          <w:color w:val="000000"/>
          <w:sz w:val="24"/>
        </w:rPr>
      </w:r>
      <w:r/>
    </w:p>
    <w:p>
      <w:pPr>
        <w:pStyle w:val="730"/>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pStyle w:val="731"/>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pStyle w:val="732"/>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pStyle w:val="730"/>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pStyle w:val="731"/>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pStyle w:val="732"/>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pStyle w:val="730"/>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pStyle w:val="731"/>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pStyle w:val="732"/>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pStyle w:val="730"/>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pStyle w:val="731"/>
        <w:rPr>
          <w:rFonts w:hint="eastAsia"/>
          <w:lang w:eastAsia="zh-CN"/>
        </w:rPr>
      </w:pPr>
      <w:r>
        <w:rPr>
          <w:rFonts w:hint="eastAsia"/>
          <w:lang w:eastAsia="zh-CN"/>
        </w:rPr>
      </w:r>
      <w:r/>
    </w:p>
    <w:p>
      <w:pPr>
        <w:ind w:firstLine="1928"/>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p>
    <w:tbl>
      <w:tblPr>
        <w:tblStyle w:val="707"/>
        <w:tblpPr w:horzAnchor="page" w:tblpX="1724" w:vertAnchor="text" w:tblpY="359" w:leftFromText="180" w:topFromText="0" w:rightFromText="180" w:bottomFromText="0"/>
        <w:tblW w:w="91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15"/>
        <w:gridCol w:w="4035"/>
      </w:tblGrid>
      <w:tr>
        <w:trPr>
          <w:trHeight w:val="476"/>
        </w:trPr>
        <w:tc>
          <w:tcPr>
            <w:gridSpan w:val="2"/>
            <w:shd w:val="clear" w:color="auto" w:fill="auto"/>
            <w:tcW w:w="9150"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招标代理服务收费标准</w:t>
            </w:r>
            <w:r/>
          </w:p>
        </w:tc>
      </w:tr>
      <w:tr>
        <w:trPr>
          <w:trHeight w:val="386"/>
        </w:trPr>
        <w:tc>
          <w:tcPr>
            <w:shd w:val="clear" w:color="auto" w:fill="auto"/>
            <w:tcW w:w="511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中标或者成交金额（万元）</w:t>
            </w:r>
            <w:r/>
          </w:p>
        </w:tc>
        <w:tc>
          <w:tcPr>
            <w:shd w:val="clear" w:color="auto" w:fill="auto"/>
            <w:tcW w:w="403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费率</w:t>
            </w:r>
            <w:r/>
          </w:p>
        </w:tc>
      </w:tr>
      <w:tr>
        <w:trPr>
          <w:trHeight w:val="244"/>
        </w:trPr>
        <w:tc>
          <w:tcPr>
            <w:shd w:val="clear" w:color="auto" w:fill="auto"/>
            <w:tcW w:w="511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最低收费金额（每个委托项目）</w:t>
            </w:r>
            <w:r/>
          </w:p>
        </w:tc>
        <w:tc>
          <w:tcPr>
            <w:shd w:val="clear" w:color="auto" w:fill="auto"/>
            <w:tcW w:w="403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5000元</w:t>
            </w:r>
            <w:r/>
          </w:p>
        </w:tc>
      </w:tr>
      <w:tr>
        <w:trPr>
          <w:trHeight w:val="244"/>
        </w:trPr>
        <w:tc>
          <w:tcPr>
            <w:shd w:val="clear" w:color="auto" w:fill="auto"/>
            <w:tcW w:w="511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50万元以下（含50万元）</w:t>
            </w:r>
            <w:r/>
          </w:p>
        </w:tc>
        <w:tc>
          <w:tcPr>
            <w:shd w:val="clear" w:color="auto" w:fill="auto"/>
            <w:tcW w:w="403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w:t>
            </w:r>
            <w:r/>
          </w:p>
        </w:tc>
      </w:tr>
      <w:tr>
        <w:trPr>
          <w:trHeight w:val="244"/>
        </w:trPr>
        <w:tc>
          <w:tcPr>
            <w:shd w:val="clear" w:color="auto" w:fill="auto"/>
            <w:tcW w:w="511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50-400万元（含400万元）</w:t>
            </w:r>
            <w:r/>
          </w:p>
        </w:tc>
        <w:tc>
          <w:tcPr>
            <w:shd w:val="clear" w:color="auto" w:fill="auto"/>
            <w:tcW w:w="403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w:t>
            </w:r>
            <w:r/>
          </w:p>
        </w:tc>
      </w:tr>
      <w:tr>
        <w:trPr>
          <w:trHeight w:val="244"/>
        </w:trPr>
        <w:tc>
          <w:tcPr>
            <w:shd w:val="clear" w:color="auto" w:fill="auto"/>
            <w:tcW w:w="511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400-1000万元（含1000万元）</w:t>
            </w:r>
            <w:r/>
          </w:p>
        </w:tc>
        <w:tc>
          <w:tcPr>
            <w:shd w:val="clear" w:color="auto" w:fill="auto"/>
            <w:tcW w:w="403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w:t>
            </w:r>
            <w:r/>
          </w:p>
        </w:tc>
      </w:tr>
      <w:tr>
        <w:trPr>
          <w:trHeight w:val="244"/>
        </w:trPr>
        <w:tc>
          <w:tcPr>
            <w:shd w:val="clear" w:color="auto" w:fill="auto"/>
            <w:tcW w:w="511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1000-5000万元（含5000万元）</w:t>
            </w:r>
            <w:r/>
          </w:p>
        </w:tc>
        <w:tc>
          <w:tcPr>
            <w:shd w:val="clear" w:color="auto" w:fill="auto"/>
            <w:tcW w:w="403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w:t>
            </w:r>
            <w:r/>
          </w:p>
        </w:tc>
      </w:tr>
      <w:tr>
        <w:trPr>
          <w:trHeight w:val="244"/>
        </w:trPr>
        <w:tc>
          <w:tcPr>
            <w:shd w:val="clear" w:color="auto" w:fill="auto"/>
            <w:tcW w:w="511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5000-1亿元（含1亿元）</w:t>
            </w:r>
            <w:r/>
          </w:p>
        </w:tc>
        <w:tc>
          <w:tcPr>
            <w:shd w:val="clear" w:color="auto" w:fill="auto"/>
            <w:tcW w:w="403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r>
      <w:tr>
        <w:trPr>
          <w:trHeight w:val="244"/>
        </w:trPr>
        <w:tc>
          <w:tcPr>
            <w:shd w:val="clear" w:color="auto" w:fill="auto"/>
            <w:tcW w:w="511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1-10亿元（含10亿元）</w:t>
            </w:r>
            <w:r/>
          </w:p>
        </w:tc>
        <w:tc>
          <w:tcPr>
            <w:shd w:val="clear" w:color="auto" w:fill="auto"/>
            <w:tcW w:w="403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r>
      <w:tr>
        <w:trPr>
          <w:trHeight w:val="488"/>
        </w:trPr>
        <w:tc>
          <w:tcPr>
            <w:shd w:val="clear" w:color="auto" w:fill="auto"/>
            <w:tcW w:w="511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10-50亿元（含50亿元）</w:t>
            </w:r>
            <w:r/>
          </w:p>
        </w:tc>
        <w:tc>
          <w:tcPr>
            <w:shd w:val="clear" w:color="auto" w:fill="auto"/>
            <w:tcW w:w="403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0.01%</w:t>
            </w:r>
            <w:r/>
          </w:p>
        </w:tc>
      </w:tr>
      <w:tr>
        <w:trPr>
          <w:trHeight w:val="488"/>
        </w:trPr>
        <w:tc>
          <w:tcPr>
            <w:shd w:val="clear" w:color="auto" w:fill="auto"/>
            <w:tcW w:w="511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50亿元以上</w:t>
            </w:r>
            <w:r/>
          </w:p>
        </w:tc>
        <w:tc>
          <w:tcPr>
            <w:shd w:val="clear" w:color="auto" w:fill="auto"/>
            <w:tcW w:w="4035" w:type="dxa"/>
            <w:vAlign w:val="center"/>
            <w:textDirection w:val="lrTb"/>
            <w:noWrap w:val="false"/>
          </w:tcPr>
          <w:p>
            <w:pPr>
              <w:jc w:val="center"/>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0.005%</w:t>
            </w:r>
            <w:r/>
          </w:p>
        </w:tc>
      </w:tr>
    </w:tbl>
    <w:p>
      <w:pPr>
        <w:ind w:right="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说明：</w:t>
      </w:r>
      <w:r/>
    </w:p>
    <w:p>
      <w:pPr>
        <w:ind w:left="556"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2.代理服务费按差额定率累进法计算。</w:t>
      </w:r>
      <w:r/>
    </w:p>
    <w:p>
      <w:pPr>
        <w:ind w:left="556"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556"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left="556"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6.有分包（分</w:t>
      </w: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rPr>
        <w:t xml:space="preserve">）的按一个项目计算。</w:t>
      </w:r>
      <w:r/>
    </w:p>
    <w:p>
      <w:pPr>
        <w:ind w:left="556" w:firstLine="109"/>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7.以上价格为协会指导价，双方可根据项目难易程度和优质优价原则协商确定。</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.账户信息：</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收款人：江苏友信招标代理有限公司 </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开</w:t>
      </w:r>
      <w:r>
        <w:rPr>
          <w:rFonts w:hint="eastAsia" w:ascii="仿宋" w:hAnsi="仿宋" w:eastAsia="仿宋" w:cs="仿宋"/>
          <w:sz w:val="24"/>
          <w:szCs w:val="24"/>
        </w:rPr>
        <w:t xml:space="preserve">户银行：江苏农村商业银行北京路支行 </w:t>
      </w:r>
      <w:r/>
    </w:p>
    <w:p>
      <w:pPr>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账号：320323053101</w:t>
      </w:r>
      <w:r>
        <w:rPr>
          <w:rFonts w:hint="eastAsia" w:ascii="仿宋" w:hAnsi="仿宋" w:eastAsia="仿宋" w:cs="仿宋"/>
          <w:sz w:val="24"/>
          <w:szCs w:val="24"/>
          <w:lang w:eastAsia="zh-CN"/>
        </w:rPr>
        <w:t xml:space="preserve">000</w:t>
      </w:r>
      <w:r>
        <w:rPr>
          <w:rFonts w:hint="eastAsia" w:ascii="仿宋" w:hAnsi="仿宋" w:eastAsia="仿宋" w:cs="仿宋"/>
          <w:sz w:val="24"/>
          <w:szCs w:val="24"/>
        </w:rPr>
        <w:t xml:space="preserve">0022309</w:t>
      </w:r>
      <w:r/>
    </w:p>
    <w:p>
      <w:pPr>
        <w:pStyle w:val="730"/>
        <w:jc w:val="center"/>
        <w:widowControl/>
        <w:rPr>
          <w:rFonts w:hint="eastAsia" w:ascii="仿宋" w:hAnsi="仿宋" w:eastAsia="仿宋" w:cs="仿宋"/>
          <w:color w:val="000000"/>
          <w:sz w:val="32"/>
          <w:szCs w:val="32"/>
        </w:rPr>
      </w:pPr>
      <w:r>
        <w:rPr>
          <w:rFonts w:hint="eastAsia" w:ascii="仿宋" w:hAnsi="仿宋" w:eastAsia="仿宋" w:cs="仿宋"/>
          <w:color w:val="000000"/>
          <w:sz w:val="30"/>
          <w:szCs w:val="30"/>
        </w:rPr>
        <w:br w:type="page" w:clear="all"/>
      </w:r>
      <w:r>
        <w:rPr>
          <w:rFonts w:hint="eastAsia" w:ascii="仿宋" w:hAnsi="仿宋" w:eastAsia="仿宋" w:cs="仿宋"/>
          <w:color w:val="000000"/>
          <w:sz w:val="32"/>
          <w:szCs w:val="32"/>
        </w:rPr>
        <w:t xml:space="preserve">第四章 评标标准</w:t>
      </w:r>
      <w:r/>
    </w:p>
    <w:p>
      <w:pPr>
        <w:jc w:val="center"/>
        <w:widowControl/>
        <w:rPr>
          <w:rFonts w:hint="eastAsia" w:ascii="仿宋" w:hAnsi="仿宋" w:eastAsia="仿宋" w:cs="仿宋"/>
          <w:b/>
          <w:bCs/>
          <w:color w:val="000000"/>
          <w:sz w:val="28"/>
          <w:szCs w:val="28"/>
          <w:lang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p>
    <w:tbl>
      <w:tblPr>
        <w:tblStyle w:val="707"/>
        <w:tblpPr w:horzAnchor="page" w:tblpX="1107" w:vertAnchor="text" w:tblpY="303" w:leftFromText="180" w:topFromText="0" w:rightFromText="180" w:bottomFromText="0"/>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90"/>
        <w:gridCol w:w="1350"/>
        <w:gridCol w:w="7549"/>
      </w:tblGrid>
      <w:tr>
        <w:trPr>
          <w:trHeight w:val="454"/>
        </w:trPr>
        <w:tc>
          <w:tcPr>
            <w:gridSpan w:val="2"/>
            <w:tcW w:w="2540" w:type="dxa"/>
            <w:vAlign w:val="center"/>
            <w:textDirection w:val="lrTb"/>
            <w:noWrap w:val="false"/>
          </w:tcPr>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评分项目</w:t>
            </w:r>
            <w:r/>
          </w:p>
        </w:tc>
        <w:tc>
          <w:tcPr>
            <w:tcW w:w="7549" w:type="dxa"/>
            <w:vAlign w:val="center"/>
            <w:textDirection w:val="lrTb"/>
            <w:noWrap w:val="false"/>
          </w:tcPr>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评分细则</w:t>
            </w:r>
            <w:r/>
          </w:p>
        </w:tc>
      </w:tr>
      <w:tr>
        <w:trPr>
          <w:trHeight w:val="1434"/>
        </w:trPr>
        <w:tc>
          <w:tcPr>
            <w:gridSpan w:val="2"/>
            <w:tcW w:w="2540" w:type="dxa"/>
            <w:vAlign w:val="center"/>
            <w:textDirection w:val="lrTb"/>
            <w:noWrap w:val="false"/>
          </w:tcPr>
          <w:p>
            <w:pPr>
              <w:numPr>
                <w:ilvl w:val="0"/>
                <w:numId w:val="0"/>
              </w:num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投标价格</w:t>
            </w:r>
            <w:r/>
          </w:p>
          <w:p>
            <w:pPr>
              <w:numPr>
                <w:ilvl w:val="0"/>
                <w:numId w:val="0"/>
              </w:num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（10分）</w:t>
            </w:r>
            <w:r/>
          </w:p>
        </w:tc>
        <w:tc>
          <w:tcPr>
            <w:tcW w:w="7549" w:type="dxa"/>
            <w:vAlign w:val="center"/>
            <w:textDirection w:val="lrTb"/>
            <w:noWrap w:val="false"/>
          </w:tcPr>
          <w:p>
            <w:pPr>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采用低价优先法计算，即满足招标文件要求且投标人评审价格最低的投标报价为评标基准价，其价格得分为满分。</w:t>
            </w:r>
            <w:r/>
          </w:p>
          <w:p>
            <w:pPr>
              <w:jc w:val="both"/>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各投标人价格得分=最低报价（投标人的最低评审价格）÷各投标人评审价格×10。（按四舍五入取至小数点后两位）</w:t>
            </w:r>
            <w:r/>
          </w:p>
        </w:tc>
      </w:tr>
      <w:tr>
        <w:trPr>
          <w:trHeight w:val="709"/>
        </w:trPr>
        <w:tc>
          <w:tcPr>
            <w:tcW w:w="1190"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商务部分</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p>
        </w:tc>
        <w:tc>
          <w:tcPr>
            <w:tcW w:w="1350" w:type="dxa"/>
            <w:vAlign w:val="center"/>
            <w:textDirection w:val="lrTb"/>
            <w:noWrap w:val="false"/>
          </w:tcPr>
          <w:p>
            <w:pPr>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投标人业绩</w:t>
            </w:r>
            <w:r/>
          </w:p>
          <w:p>
            <w:pPr>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（4分）</w:t>
            </w:r>
            <w:r/>
          </w:p>
        </w:tc>
        <w:tc>
          <w:tcPr>
            <w:tcW w:w="7549"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2023年1月1日（以合同签订时间为准）以后承担过农业农村主管部门相关农产品质量安全抽查检测任务的，每有一项业绩得2分，最多得4分。</w:t>
            </w:r>
            <w:r/>
          </w:p>
          <w:p>
            <w:pPr>
              <w:spacing w:line="360" w:lineRule="auto"/>
              <w:rPr>
                <w:rFonts w:hint="eastAsia"/>
              </w:rPr>
            </w:pPr>
            <w:r>
              <w:rPr>
                <w:rFonts w:hint="eastAsia" w:ascii="仿宋" w:hAnsi="仿宋" w:eastAsia="仿宋" w:cs="仿宋"/>
                <w:sz w:val="24"/>
                <w:szCs w:val="24"/>
              </w:rPr>
              <w:t xml:space="preserve">投标文件中需提供加盖电子签章的业绩合同、中标通知书和检测报告原件扫描件，未按要求提供不得分。</w:t>
            </w:r>
            <w:r/>
          </w:p>
        </w:tc>
      </w:tr>
      <w:tr>
        <w:trPr>
          <w:trHeight w:val="709"/>
        </w:trPr>
        <w:tc>
          <w:tcPr>
            <w:tcW w:w="1190"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投标人综合实力</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p>
        </w:tc>
        <w:tc>
          <w:tcPr>
            <w:tcW w:w="7549" w:type="dxa"/>
            <w:vAlign w:val="center"/>
            <w:textDirection w:val="lrTb"/>
            <w:noWrap w:val="false"/>
          </w:tcPr>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1、投标人获得食品检验机构资质认定CMA证书的得1分；本次检测项目参数全覆盖的得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分，每少一个参数扣0.1分。该项最高得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2、投标人获得CATL证书的得1分；本次检测项目参数全覆盖的得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分，每少一个参数扣0.1分。该项最高得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jc w:val="both"/>
              <w:spacing w:line="360" w:lineRule="auto"/>
              <w:rPr>
                <w:rFonts w:hint="eastAsia" w:ascii="仿宋" w:hAnsi="仿宋" w:eastAsia="仿宋" w:cs="仿宋"/>
                <w:b/>
                <w:bCs/>
                <w:color w:val="ff0000"/>
                <w:sz w:val="24"/>
                <w:szCs w:val="24"/>
              </w:rPr>
            </w:pPr>
            <w:r>
              <w:rPr>
                <w:rFonts w:hint="eastAsia" w:ascii="仿宋" w:hAnsi="仿宋" w:eastAsia="仿宋" w:cs="仿宋"/>
                <w:b/>
                <w:bCs/>
                <w:color w:val="000000"/>
                <w:sz w:val="24"/>
                <w:szCs w:val="24"/>
              </w:rPr>
              <w:t xml:space="preserve">投标文件中需提供加盖电子签章的有效期内证书原件扫描件，对照本次招标检测项目参数，提供检测参数覆盖表。</w:t>
            </w:r>
            <w:r/>
          </w:p>
        </w:tc>
      </w:tr>
      <w:tr>
        <w:trPr>
          <w:trHeight w:val="198"/>
        </w:trPr>
        <w:tc>
          <w:tcPr>
            <w:tcW w:w="1190"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技术部分</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tc>
        <w:tc>
          <w:tcPr>
            <w:tcW w:w="1350"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投标人人员配备（10分）</w:t>
            </w:r>
            <w:r/>
          </w:p>
        </w:tc>
        <w:tc>
          <w:tcPr>
            <w:tcW w:w="7549" w:type="dxa"/>
            <w:vAlign w:val="center"/>
            <w:textDirection w:val="lrTb"/>
            <w:noWrap w:val="false"/>
          </w:tcPr>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1、拟派本项目的专职食品检验人员达到20人及以上得2分；10-20人得1分；10人以下不得分；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2、拟派本项目的专职食品抽样人员达到10人及以上得2分；5-10人得1分；5人以下不得分；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3、项目负责人：</w:t>
            </w:r>
            <w:r/>
          </w:p>
          <w:p>
            <w:pPr>
              <w:spacing w:line="300" w:lineRule="auto"/>
              <w:rPr>
                <w:rFonts w:hint="eastAsia" w:ascii="仿宋" w:hAnsi="仿宋" w:eastAsia="仿宋" w:cs="仿宋"/>
                <w:sz w:val="24"/>
                <w:szCs w:val="24"/>
              </w:rPr>
            </w:pPr>
            <w:r>
              <w:rPr>
                <w:rFonts w:hint="eastAsia" w:ascii="仿宋" w:hAnsi="仿宋" w:eastAsia="仿宋" w:cs="仿宋"/>
                <w:sz w:val="24"/>
                <w:szCs w:val="24"/>
              </w:rPr>
              <w:t xml:space="preserve">（1）具有研究生学历或高级职称，得6分；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（2）具有本科学历和中级职称，得3分；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（3）具有专科学历和初级职称，得1分</w:t>
            </w:r>
            <w:r/>
          </w:p>
          <w:p>
            <w:pPr>
              <w:ind w:firstLine="210"/>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其他情况不得分，此项最高得6分。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注：①以上项目人员需在投标文件人员配备表中明确相关信息（姓名、岗位、职称等），否则不得分；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②抽样人员与检验人员不得重复，重复的不计分；</w:t>
            </w:r>
            <w:r/>
          </w:p>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③投标文件中需提供加盖电子签章的以上项目人员开标时间前3个月内任一个月在投标人单位缴纳社保证明材料扫描件。</w:t>
            </w:r>
            <w:r/>
          </w:p>
          <w:p>
            <w:pPr>
              <w:pStyle w:val="759"/>
              <w:ind w:left="0"/>
              <w:rPr>
                <w:rFonts w:hint="eastAsia" w:ascii="仿宋" w:hAnsi="仿宋" w:eastAsia="仿宋" w:cs="仿宋"/>
                <w:color w:val="000000"/>
                <w:szCs w:val="24"/>
              </w:rPr>
            </w:pPr>
            <w:r>
              <w:rPr>
                <w:rFonts w:hint="eastAsia" w:ascii="仿宋" w:hAnsi="仿宋" w:eastAsia="仿宋" w:cs="仿宋"/>
                <w:color w:val="000000"/>
                <w:szCs w:val="24"/>
              </w:rPr>
              <w:t xml:space="preserve">④投标文件中需提供加盖电子签章的项目负责人的学历或职称证书扫描件。</w:t>
            </w:r>
            <w:r/>
          </w:p>
        </w:tc>
      </w:tr>
      <w:tr>
        <w:trPr>
          <w:trHeight w:val="356"/>
        </w:trPr>
        <w:tc>
          <w:tcPr>
            <w:tcW w:w="1190"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50" w:type="dxa"/>
            <w:vAlign w:val="center"/>
            <w:textDirection w:val="lrTb"/>
            <w:noWrap w:val="false"/>
          </w:tcPr>
          <w:p>
            <w:pPr>
              <w:pStyle w:val="988"/>
              <w:jc w:val="center"/>
              <w:rPr>
                <w:rFonts w:hint="eastAsia" w:ascii="仿宋" w:hAnsi="仿宋" w:eastAsia="仿宋" w:cs="仿宋"/>
                <w:color w:val="000000"/>
                <w:sz w:val="24"/>
              </w:rPr>
            </w:pPr>
            <w:r>
              <w:rPr>
                <w:rFonts w:hint="eastAsia" w:ascii="仿宋" w:hAnsi="仿宋" w:eastAsia="仿宋" w:cs="仿宋"/>
                <w:color w:val="000000"/>
                <w:sz w:val="24"/>
              </w:rPr>
              <w:t xml:space="preserve">投标人实验室能力</w:t>
            </w:r>
            <w:r/>
          </w:p>
          <w:p>
            <w:pPr>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（6分）</w:t>
            </w:r>
            <w:r/>
          </w:p>
        </w:tc>
        <w:tc>
          <w:tcPr>
            <w:tcW w:w="7549" w:type="dxa"/>
            <w:vAlign w:val="center"/>
            <w:textDirection w:val="lrTb"/>
            <w:noWrap w:val="false"/>
          </w:tcPr>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投标人具有开展食品安全抽样检验工作实验场所的得6分；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注：（1）投标人须承诺抽样检验的实验室为投标人自有实验室，并提供承诺书</w:t>
            </w:r>
            <w:r>
              <w:rPr>
                <w:rFonts w:hint="eastAsia" w:ascii="仿宋" w:hAnsi="仿宋" w:eastAsia="仿宋" w:cs="仿宋"/>
                <w:b/>
                <w:bCs/>
                <w:color w:val="000000"/>
                <w:sz w:val="24"/>
                <w:szCs w:val="24"/>
              </w:rPr>
              <w:t xml:space="preserve">（格式自拟）</w:t>
            </w:r>
            <w:r>
              <w:rPr>
                <w:rFonts w:hint="eastAsia" w:ascii="仿宋" w:hAnsi="仿宋" w:eastAsia="仿宋" w:cs="仿宋"/>
                <w:color w:val="000000"/>
                <w:sz w:val="24"/>
                <w:szCs w:val="24"/>
              </w:rPr>
              <w:t xml:space="preserve">。</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（2）投标文件中需提供加盖电子签章的抽样检验场所的房产证或所有权证明文件或服务期内有效的房屋租赁合同等相关证明材料扫描件；</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（3）投标文件中需提供加盖电子签章的食品实验室平面布局图，并提供各组成部分面积清单；</w:t>
            </w:r>
            <w:r/>
          </w:p>
        </w:tc>
      </w:tr>
      <w:tr>
        <w:trPr>
          <w:trHeight w:val="356"/>
        </w:trPr>
        <w:tc>
          <w:tcPr>
            <w:tcW w:w="1190" w:type="dxa"/>
            <w:vAlign w:val="center"/>
            <w:vMerge w:val="continue"/>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350" w:type="dxa"/>
            <w:vAlign w:val="center"/>
            <w:textDirection w:val="lrTb"/>
            <w:noWrap w:val="false"/>
          </w:tcPr>
          <w:p>
            <w:pPr>
              <w:pStyle w:val="988"/>
              <w:jc w:val="center"/>
              <w:spacing w:line="360" w:lineRule="exact"/>
              <w:rPr>
                <w:rFonts w:hint="eastAsia" w:ascii="仿宋" w:hAnsi="仿宋" w:eastAsia="仿宋" w:cs="仿宋"/>
                <w:color w:val="000000"/>
                <w:sz w:val="24"/>
              </w:rPr>
              <w:outlineLvl w:val="0"/>
            </w:pPr>
            <w:r>
              <w:rPr>
                <w:rFonts w:hint="eastAsia" w:ascii="仿宋" w:hAnsi="仿宋" w:eastAsia="仿宋" w:cs="仿宋"/>
                <w:color w:val="000000"/>
                <w:sz w:val="24"/>
              </w:rPr>
              <w:t xml:space="preserve">投标人设备配备</w:t>
            </w:r>
            <w:r/>
          </w:p>
          <w:p>
            <w:pPr>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（6分）</w:t>
            </w:r>
            <w:r/>
          </w:p>
        </w:tc>
        <w:tc>
          <w:tcPr>
            <w:tcW w:w="7549" w:type="dxa"/>
            <w:vAlign w:val="center"/>
            <w:textDirection w:val="lrTb"/>
            <w:noWrap w:val="false"/>
          </w:tcPr>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投标人具备在计量校准有效期内的实验室检验检测设备的得6分；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注：投标文件中需提供加盖电子签章的有效期内的检定或校准证书和购置发票等有效证明材料扫描件。</w:t>
            </w:r>
            <w:r/>
          </w:p>
        </w:tc>
      </w:tr>
      <w:tr>
        <w:trPr>
          <w:trHeight w:val="356"/>
        </w:trPr>
        <w:tc>
          <w:tcPr>
            <w:tcW w:w="1190" w:type="dxa"/>
            <w:vAlign w:val="center"/>
            <w:vMerge w:val="continue"/>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350" w:type="dxa"/>
            <w:vAlign w:val="center"/>
            <w:textDirection w:val="lrTb"/>
            <w:noWrap w:val="false"/>
          </w:tcPr>
          <w:p>
            <w:pPr>
              <w:pStyle w:val="988"/>
              <w:jc w:val="center"/>
              <w:spacing w:line="360" w:lineRule="exact"/>
              <w:rPr>
                <w:rFonts w:hint="eastAsia" w:ascii="仿宋" w:hAnsi="仿宋" w:eastAsia="仿宋" w:cs="仿宋"/>
                <w:color w:val="000000"/>
                <w:sz w:val="24"/>
              </w:rPr>
              <w:outlineLvl w:val="0"/>
            </w:pPr>
            <w:r>
              <w:rPr>
                <w:rFonts w:hint="eastAsia" w:ascii="仿宋" w:hAnsi="仿宋" w:eastAsia="仿宋" w:cs="仿宋"/>
                <w:color w:val="000000"/>
                <w:sz w:val="24"/>
              </w:rPr>
              <w:t xml:space="preserve">投标人车辆配备</w:t>
            </w:r>
            <w:r/>
          </w:p>
          <w:p>
            <w:pPr>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（8分）</w:t>
            </w:r>
            <w:r/>
          </w:p>
        </w:tc>
        <w:tc>
          <w:tcPr>
            <w:tcW w:w="7549" w:type="dxa"/>
            <w:vAlign w:val="center"/>
            <w:textDirection w:val="lrTb"/>
            <w:noWrap w:val="false"/>
          </w:tcPr>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投标人具备：</w:t>
            </w:r>
            <w:r/>
          </w:p>
          <w:p>
            <w:pPr>
              <w:numPr>
                <w:ilvl w:val="0"/>
                <w:numId w:val="4"/>
              </w:num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用于食品采样的采样车辆，每具备1台得1分；最多得4分。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2、用于食品采样的冷藏车辆，每具备1台得1分，最多得2分。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3、具备用于采样过程取证的执法记录仪不少于5部，得2分。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此项最高得8分。</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注：（1）投标文件中需提供加盖电子签章的车辆有效行驶证，登记证，有租赁情况的提供租赁合同扫描件；</w:t>
            </w:r>
            <w:r/>
          </w:p>
          <w:p>
            <w:pP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（2）投标文件中需提供加盖电子签章的执法记录仪的购置发票等有效证明材料扫描件；</w:t>
            </w:r>
            <w:r/>
          </w:p>
        </w:tc>
      </w:tr>
      <w:tr>
        <w:trPr>
          <w:trHeight w:val="356"/>
        </w:trPr>
        <w:tc>
          <w:tcPr>
            <w:tcW w:w="1190" w:type="dxa"/>
            <w:vAlign w:val="center"/>
            <w:vMerge w:val="continue"/>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350" w:type="dxa"/>
            <w:vAlign w:val="center"/>
            <w:textDirection w:val="lrTb"/>
            <w:noWrap w:val="false"/>
          </w:tcPr>
          <w:p>
            <w:pPr>
              <w:pStyle w:val="1012"/>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投标人实施方案</w:t>
            </w:r>
            <w:r/>
          </w:p>
          <w:p>
            <w:pPr>
              <w:pStyle w:val="1012"/>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（32分）</w:t>
            </w:r>
            <w:r/>
          </w:p>
        </w:tc>
        <w:tc>
          <w:tcPr>
            <w:tcW w:w="7549" w:type="dxa"/>
            <w:vAlign w:val="center"/>
            <w:textDirection w:val="lrTb"/>
            <w:noWrap w:val="false"/>
          </w:tcPr>
          <w:p>
            <w:pPr>
              <w:pStyle w:val="1012"/>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针对投标文件中项目总体技术实施方案、项目应急组织方案、检测质量保证措施、作业技术流程的科学性、合理性、完整性进行综合评价：</w:t>
            </w:r>
            <w:r/>
          </w:p>
          <w:p>
            <w:pPr>
              <w:pStyle w:val="1012"/>
              <w:rPr>
                <w:rFonts w:hint="eastAsia" w:ascii="仿宋" w:hAnsi="仿宋" w:eastAsia="仿宋" w:cs="仿宋"/>
                <w:sz w:val="24"/>
                <w:szCs w:val="24"/>
              </w:rPr>
            </w:pPr>
            <w:r>
              <w:rPr>
                <w:rFonts w:hint="eastAsia" w:ascii="仿宋" w:hAnsi="仿宋" w:eastAsia="仿宋" w:cs="仿宋"/>
                <w:color w:val="000000"/>
                <w:sz w:val="24"/>
                <w:szCs w:val="24"/>
              </w:rPr>
              <w:t xml:space="preserve">全面性(8分)：内容全面详实得8分；内容全面得6分；内容较全面得4分；内容欠缺得2分；</w:t>
            </w:r>
            <w:r/>
          </w:p>
          <w:p>
            <w:pPr>
              <w:pStyle w:val="1012"/>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科学性(8分)：科学性强得8分；科学性较强得6分；科学性一般得4分；科学性差得2分；</w:t>
            </w:r>
            <w:r/>
          </w:p>
          <w:p>
            <w:pPr>
              <w:pStyle w:val="1012"/>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合理性(8分)：合理性强得8分；合理性较强得6分；合理性一般得4分；合理性差得2分；</w:t>
            </w:r>
            <w:r/>
          </w:p>
          <w:p>
            <w:pPr>
              <w:pStyle w:val="1012"/>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可行性（8分）可行性强得8分；可行性较强得6分；可行性一般得4分；可行性差得2分；</w:t>
            </w:r>
            <w:r/>
          </w:p>
          <w:p>
            <w:pPr>
              <w:pStyle w:val="1012"/>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未提供或提供与本项评分无关内容的不得分。</w:t>
            </w:r>
            <w:r/>
          </w:p>
        </w:tc>
      </w:tr>
      <w:tr>
        <w:trPr>
          <w:trHeight w:val="315"/>
        </w:trPr>
        <w:tc>
          <w:tcPr>
            <w:tcW w:w="1190" w:type="dxa"/>
            <w:vAlign w:val="center"/>
            <w:vMerge w:val="continue"/>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bCs/>
                <w:color w:val="000000"/>
                <w:sz w:val="24"/>
                <w:szCs w:val="24"/>
              </w:rPr>
              <w:t xml:space="preserve">应急预案（</w:t>
            </w:r>
            <w:r>
              <w:rPr>
                <w:rFonts w:hint="eastAsia" w:ascii="仿宋" w:hAnsi="仿宋" w:eastAsia="仿宋" w:cs="仿宋"/>
                <w:bCs/>
                <w:color w:val="000000"/>
                <w:sz w:val="24"/>
                <w:szCs w:val="24"/>
                <w:lang w:val="en-US" w:eastAsia="zh-CN"/>
              </w:rPr>
              <w:t xml:space="preserve">20</w:t>
            </w:r>
            <w:r>
              <w:rPr>
                <w:rFonts w:hint="eastAsia" w:ascii="仿宋" w:hAnsi="仿宋" w:eastAsia="仿宋" w:cs="仿宋"/>
                <w:bCs/>
                <w:color w:val="000000"/>
                <w:sz w:val="24"/>
                <w:szCs w:val="24"/>
              </w:rPr>
              <w:t xml:space="preserve">分）</w:t>
            </w:r>
            <w:r/>
          </w:p>
        </w:tc>
        <w:tc>
          <w:tcPr>
            <w:tcW w:w="7549"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针对投标文件中应急预案（如突发性食品安全事件，台风暴雨等灾害性天气，设备、仪器损坏，运输车辆遭遇堵车或故障等各种情况采取的应对措施），进行综合评价：</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分)：内容全面详实得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分；内容全面得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分；内容较全面得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分；内容欠缺得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p>
          <w:p>
            <w:pPr>
              <w:pStyle w:val="1012"/>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可行性(6分)：符合实际切实可行得6分；较切实可行得5分；可行性一般得4分；可行性差得2分；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针对性(6分)：针对性强得6分；针对性较强得5分；针对性一般得4分；针对性差得2分；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未提供或提供与本项评分无关内容的不得分。</w:t>
            </w:r>
            <w:r/>
          </w:p>
        </w:tc>
      </w:tr>
    </w:tbl>
    <w:p>
      <w:pPr>
        <w:pStyle w:val="730"/>
        <w:rPr>
          <w:rFonts w:hint="eastAsia" w:ascii="仿宋" w:hAnsi="仿宋" w:eastAsia="仿宋" w:cs="仿宋"/>
          <w:b/>
          <w:bCs/>
          <w:color w:val="000000"/>
          <w:sz w:val="24"/>
        </w:rPr>
      </w:pPr>
      <w:r>
        <w:rPr>
          <w:rFonts w:hint="eastAsia" w:ascii="仿宋" w:hAnsi="仿宋" w:eastAsia="仿宋" w:cs="仿宋"/>
          <w:b/>
          <w:bCs/>
          <w:color w:val="000000"/>
          <w:sz w:val="24"/>
        </w:rPr>
      </w:r>
      <w:r/>
    </w:p>
    <w:p>
      <w:pPr>
        <w:jc w:val="both"/>
        <w:spacing w:line="360" w:lineRule="auto"/>
        <w:widowControl w:val="off"/>
        <w:rPr>
          <w:rFonts w:hint="eastAsia" w:ascii="仿宋" w:hAnsi="仿宋" w:eastAsia="仿宋" w:cs="仿宋"/>
          <w:b w:val="0"/>
          <w:bCs/>
          <w:color w:val="auto"/>
        </w:rPr>
      </w:pPr>
      <w:r>
        <w:rPr>
          <w:rFonts w:hint="eastAsia" w:ascii="仿宋" w:hAnsi="仿宋" w:eastAsia="仿宋" w:cs="仿宋"/>
          <w:b w:val="0"/>
          <w:bCs/>
          <w:color w:val="auto"/>
          <w:sz w:val="28"/>
          <w:szCs w:val="28"/>
        </w:rPr>
        <w:t xml:space="preserve">采购人有权对中标人以上内容进行复核，如发现存在弄虚作假或者不符合招标文件要求的行为，将被取消中标资格。</w:t>
      </w:r>
      <w:r/>
    </w:p>
    <w:p>
      <w:pPr>
        <w:pStyle w:val="1033"/>
        <w:ind w:left="0" w:right="1470"/>
        <w:rPr>
          <w:rFonts w:hint="eastAsia" w:ascii="仿宋" w:hAnsi="仿宋" w:eastAsia="仿宋" w:cs="仿宋"/>
          <w:color w:val="000000"/>
          <w:sz w:val="28"/>
          <w:szCs w:val="28"/>
        </w:rPr>
        <w:sectPr>
          <w:headerReference w:type="default" r:id="rId9"/>
          <w:footerReference w:type="default" r:id="rId11"/>
          <w:footnotePr/>
          <w:endnotePr/>
          <w:type w:val="nextPage"/>
          <w:pgSz w:w="11906" w:h="16838" w:orient="portrait"/>
          <w:pgMar w:top="1440" w:right="1080" w:bottom="1100" w:left="1080" w:header="851" w:footer="992" w:gutter="0"/>
          <w:cols w:num="1" w:sep="0" w:space="0" w:equalWidth="1"/>
          <w:docGrid w:linePitch="360"/>
        </w:sectPr>
      </w:pPr>
      <w:r>
        <w:rPr>
          <w:rFonts w:hint="eastAsia" w:ascii="仿宋" w:hAnsi="仿宋" w:eastAsia="仿宋" w:cs="仿宋"/>
          <w:b w:val="0"/>
          <w:bCs/>
          <w:color w:val="auto"/>
          <w:sz w:val="28"/>
          <w:szCs w:val="28"/>
        </w:rPr>
        <w:t xml:space="preserve">本章说明：本项目采用综合评分法。</w:t>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firstLine="1800"/>
        <w:rPr>
          <w:rFonts w:hint="eastAsia" w:ascii="仿宋" w:hAnsi="仿宋" w:eastAsia="仿宋" w:cs="仿宋"/>
          <w:sz w:val="36"/>
          <w:szCs w:val="36"/>
        </w:rPr>
      </w:pPr>
      <w:r>
        <w:rPr>
          <w:rFonts w:hint="eastAsia" w:ascii="仿宋" w:hAnsi="仿宋" w:eastAsia="仿宋" w:cs="仿宋"/>
          <w:sz w:val="36"/>
          <w:szCs w:val="36"/>
        </w:rPr>
      </w:r>
      <w:r/>
    </w:p>
    <w:p>
      <w:pPr>
        <w:pStyle w:val="752"/>
        <w:ind w:left="0" w:firstLine="0"/>
        <w:rPr>
          <w:rFonts w:hint="eastAsia" w:ascii="仿宋" w:hAnsi="仿宋" w:eastAsia="仿宋" w:cs="仿宋"/>
          <w:sz w:val="36"/>
          <w:szCs w:val="36"/>
        </w:rPr>
      </w:pPr>
      <w:r>
        <w:rPr>
          <w:rFonts w:hint="eastAsia" w:ascii="仿宋" w:hAnsi="仿宋" w:eastAsia="仿宋" w:cs="仿宋"/>
          <w:sz w:val="36"/>
          <w:szCs w:val="36"/>
        </w:rPr>
      </w:r>
      <w:r/>
    </w:p>
    <w:p>
      <w:pPr>
        <w:pStyle w:val="752"/>
        <w:ind w:left="0" w:firstLine="0"/>
        <w:jc w:val="center"/>
        <w:rPr>
          <w:rFonts w:hint="eastAsia" w:ascii="仿宋" w:hAnsi="仿宋" w:eastAsia="仿宋" w:cs="仿宋"/>
          <w:sz w:val="36"/>
          <w:szCs w:val="36"/>
        </w:rPr>
      </w:pPr>
      <w:r>
        <w:rPr>
          <w:rFonts w:hint="eastAsia" w:ascii="仿宋" w:hAnsi="仿宋" w:eastAsia="仿宋" w:cs="仿宋"/>
          <w:sz w:val="36"/>
          <w:szCs w:val="36"/>
        </w:rPr>
        <w:t xml:space="preserve">第五章   拟签订的合同文本</w:t>
      </w:r>
      <w:r/>
    </w:p>
    <w:p>
      <w:pPr>
        <w:pStyle w:val="730"/>
        <w:spacing w:line="360" w:lineRule="auto"/>
        <w:rPr>
          <w:rFonts w:hint="eastAsia" w:ascii="仿宋" w:hAnsi="仿宋" w:eastAsia="仿宋" w:cs="仿宋"/>
          <w:sz w:val="30"/>
          <w:szCs w:val="30"/>
          <w:lang w:eastAsia="zh-CN"/>
        </w:rPr>
      </w:pPr>
      <w:r>
        <w:rPr>
          <w:rFonts w:hint="eastAsia" w:ascii="仿宋" w:hAnsi="仿宋" w:eastAsia="仿宋" w:cs="仿宋"/>
          <w:sz w:val="30"/>
          <w:szCs w:val="30"/>
        </w:rPr>
        <w:t xml:space="preserve">项目名称：</w:t>
      </w:r>
      <w:r>
        <w:rPr>
          <w:rFonts w:hint="eastAsia" w:ascii="仿宋" w:hAnsi="仿宋" w:eastAsia="仿宋" w:cs="仿宋"/>
          <w:color w:val="000000"/>
          <w:sz w:val="32"/>
          <w:lang w:eastAsia="zh-CN"/>
        </w:rPr>
        <w:t xml:space="preserve">2026年铜山区农产品质量安全风险监测项目</w:t>
      </w:r>
      <w:r/>
    </w:p>
    <w:p>
      <w:pPr>
        <w:pStyle w:val="752"/>
        <w:ind w:left="0" w:firstLine="0"/>
        <w:rPr>
          <w:rFonts w:hint="eastAsia" w:ascii="仿宋" w:hAnsi="仿宋" w:eastAsia="仿宋" w:cs="仿宋"/>
          <w:sz w:val="30"/>
          <w:szCs w:val="30"/>
        </w:rPr>
      </w:pPr>
      <w:r>
        <w:rPr>
          <w:rFonts w:hint="eastAsia" w:ascii="仿宋" w:hAnsi="仿宋" w:eastAsia="仿宋" w:cs="仿宋"/>
          <w:sz w:val="30"/>
          <w:szCs w:val="30"/>
        </w:rPr>
        <w:t xml:space="preserve">项目编号：</w:t>
      </w:r>
      <w:r>
        <w:rPr>
          <w:rFonts w:hint="eastAsia" w:ascii="仿宋" w:hAnsi="仿宋" w:eastAsia="仿宋" w:cs="仿宋"/>
          <w:i w:val="0"/>
          <w:iCs w:val="0"/>
          <w:caps w:val="0"/>
          <w:spacing w:val="0"/>
          <w:sz w:val="30"/>
          <w:szCs w:val="30"/>
          <w:shd w:val="clear" w:color="auto" w:fill="ffffff"/>
        </w:rPr>
        <w:t xml:space="preserve">JSZC-320312-YXYX-G2026-0002</w:t>
      </w:r>
      <w:r/>
    </w:p>
    <w:p>
      <w:pPr>
        <w:pStyle w:val="752"/>
        <w:jc w:val="center"/>
        <w:spacing w:line="240" w:lineRule="auto"/>
        <w:rPr>
          <w:rFonts w:hint="eastAsia" w:ascii="仿宋" w:hAnsi="仿宋" w:eastAsia="仿宋" w:cs="仿宋"/>
          <w:sz w:val="48"/>
          <w:szCs w:val="48"/>
        </w:rPr>
      </w:pPr>
      <w:r>
        <w:rPr>
          <w:rFonts w:hint="eastAsia" w:ascii="仿宋" w:hAnsi="仿宋" w:eastAsia="仿宋" w:cs="仿宋"/>
          <w:sz w:val="48"/>
          <w:szCs w:val="48"/>
        </w:rPr>
        <w:t xml:space="preserve"> 政</w:t>
      </w:r>
      <w:r/>
    </w:p>
    <w:p>
      <w:pPr>
        <w:pStyle w:val="752"/>
        <w:jc w:val="center"/>
        <w:spacing w:line="240" w:lineRule="auto"/>
        <w:rPr>
          <w:rFonts w:hint="eastAsia" w:ascii="仿宋" w:hAnsi="仿宋" w:eastAsia="仿宋" w:cs="仿宋"/>
          <w:sz w:val="48"/>
          <w:szCs w:val="48"/>
        </w:rPr>
      </w:pPr>
      <w:r>
        <w:rPr>
          <w:rFonts w:hint="eastAsia" w:ascii="仿宋" w:hAnsi="仿宋" w:eastAsia="仿宋" w:cs="仿宋"/>
          <w:sz w:val="48"/>
          <w:szCs w:val="48"/>
        </w:rPr>
        <w:t xml:space="preserve">府</w:t>
      </w:r>
      <w:r/>
    </w:p>
    <w:p>
      <w:pPr>
        <w:pStyle w:val="752"/>
        <w:jc w:val="center"/>
        <w:spacing w:line="240" w:lineRule="auto"/>
        <w:rPr>
          <w:rFonts w:hint="eastAsia" w:ascii="仿宋" w:hAnsi="仿宋" w:eastAsia="仿宋" w:cs="仿宋"/>
          <w:sz w:val="48"/>
          <w:szCs w:val="48"/>
        </w:rPr>
      </w:pPr>
      <w:r>
        <w:rPr>
          <w:rFonts w:hint="eastAsia" w:ascii="仿宋" w:hAnsi="仿宋" w:eastAsia="仿宋" w:cs="仿宋"/>
          <w:sz w:val="48"/>
          <w:szCs w:val="48"/>
        </w:rPr>
        <w:t xml:space="preserve">采</w:t>
      </w:r>
      <w:r/>
    </w:p>
    <w:p>
      <w:pPr>
        <w:pStyle w:val="752"/>
        <w:jc w:val="center"/>
        <w:spacing w:line="240" w:lineRule="auto"/>
        <w:rPr>
          <w:rFonts w:hint="eastAsia" w:ascii="仿宋" w:hAnsi="仿宋" w:eastAsia="仿宋" w:cs="仿宋"/>
          <w:sz w:val="48"/>
          <w:szCs w:val="48"/>
        </w:rPr>
      </w:pPr>
      <w:r>
        <w:rPr>
          <w:rFonts w:hint="eastAsia" w:ascii="仿宋" w:hAnsi="仿宋" w:eastAsia="仿宋" w:cs="仿宋"/>
          <w:sz w:val="48"/>
          <w:szCs w:val="48"/>
        </w:rPr>
        <w:t xml:space="preserve">购</w:t>
      </w:r>
      <w:r/>
    </w:p>
    <w:p>
      <w:pPr>
        <w:pStyle w:val="752"/>
        <w:jc w:val="center"/>
        <w:spacing w:line="240" w:lineRule="auto"/>
        <w:rPr>
          <w:rFonts w:hint="eastAsia" w:ascii="仿宋" w:hAnsi="仿宋" w:eastAsia="仿宋" w:cs="仿宋"/>
          <w:sz w:val="48"/>
          <w:szCs w:val="48"/>
        </w:rPr>
      </w:pPr>
      <w:r>
        <w:rPr>
          <w:rFonts w:hint="eastAsia" w:ascii="仿宋" w:hAnsi="仿宋" w:eastAsia="仿宋" w:cs="仿宋"/>
          <w:sz w:val="48"/>
          <w:szCs w:val="48"/>
        </w:rPr>
        <w:t xml:space="preserve">合</w:t>
      </w:r>
      <w:r/>
    </w:p>
    <w:p>
      <w:pPr>
        <w:pStyle w:val="752"/>
        <w:jc w:val="center"/>
        <w:spacing w:line="240" w:lineRule="auto"/>
        <w:rPr>
          <w:rFonts w:hint="eastAsia" w:ascii="仿宋" w:hAnsi="仿宋" w:eastAsia="仿宋" w:cs="仿宋"/>
          <w:sz w:val="44"/>
          <w:szCs w:val="44"/>
        </w:rPr>
      </w:pPr>
      <w:r>
        <w:rPr>
          <w:rFonts w:hint="eastAsia" w:ascii="仿宋" w:hAnsi="仿宋" w:eastAsia="仿宋" w:cs="仿宋"/>
          <w:sz w:val="44"/>
          <w:szCs w:val="44"/>
        </w:rPr>
        <w:t xml:space="preserve">同</w:t>
      </w:r>
      <w:r/>
    </w:p>
    <w:p>
      <w:pPr>
        <w:pStyle w:val="752"/>
        <w:rPr>
          <w:rFonts w:hint="eastAsia" w:ascii="仿宋" w:hAnsi="仿宋" w:eastAsia="仿宋" w:cs="仿宋"/>
          <w:sz w:val="28"/>
          <w:szCs w:val="28"/>
        </w:rPr>
      </w:pPr>
      <w:r>
        <w:rPr>
          <w:rFonts w:hint="eastAsia" w:ascii="仿宋" w:hAnsi="仿宋" w:eastAsia="仿宋" w:cs="仿宋"/>
          <w:sz w:val="28"/>
          <w:szCs w:val="28"/>
        </w:rPr>
        <w:t xml:space="preserve">采  购  人：</w:t>
      </w:r>
      <w:r/>
    </w:p>
    <w:p>
      <w:pPr>
        <w:pStyle w:val="752"/>
        <w:rPr>
          <w:rFonts w:hint="eastAsia" w:ascii="仿宋" w:hAnsi="仿宋" w:eastAsia="仿宋" w:cs="仿宋"/>
          <w:sz w:val="28"/>
          <w:szCs w:val="28"/>
        </w:rPr>
      </w:pPr>
      <w:r>
        <w:rPr>
          <w:rFonts w:hint="eastAsia" w:ascii="仿宋" w:hAnsi="仿宋" w:eastAsia="仿宋" w:cs="仿宋"/>
          <w:sz w:val="28"/>
          <w:szCs w:val="28"/>
        </w:rPr>
        <w:t xml:space="preserve">中标供应商：</w:t>
      </w:r>
      <w:r/>
    </w:p>
    <w:p>
      <w:pPr>
        <w:pStyle w:val="752"/>
        <w:rPr>
          <w:rFonts w:hint="eastAsia" w:ascii="仿宋" w:hAnsi="仿宋" w:eastAsia="仿宋" w:cs="仿宋"/>
          <w:sz w:val="28"/>
          <w:szCs w:val="28"/>
        </w:rPr>
      </w:pPr>
      <w:r>
        <w:rPr>
          <w:rFonts w:hint="eastAsia" w:ascii="仿宋" w:hAnsi="仿宋" w:eastAsia="仿宋" w:cs="仿宋"/>
          <w:sz w:val="28"/>
          <w:szCs w:val="28"/>
        </w:rPr>
        <w:t xml:space="preserve">采  购  包：</w:t>
      </w:r>
      <w:r/>
    </w:p>
    <w:p>
      <w:pPr>
        <w:pStyle w:val="752"/>
        <w:rPr>
          <w:rFonts w:hint="eastAsia" w:ascii="仿宋" w:hAnsi="仿宋" w:eastAsia="仿宋" w:cs="仿宋"/>
          <w:sz w:val="28"/>
          <w:szCs w:val="28"/>
        </w:rPr>
      </w:pPr>
      <w:r>
        <w:rPr>
          <w:rFonts w:hint="eastAsia" w:ascii="仿宋" w:hAnsi="仿宋" w:eastAsia="仿宋" w:cs="仿宋"/>
          <w:sz w:val="28"/>
          <w:szCs w:val="28"/>
        </w:rPr>
        <w:t xml:space="preserve">合同签订日期： 年 月 日</w:t>
      </w:r>
      <w:r/>
    </w:p>
    <w:p>
      <w:pPr>
        <w:pStyle w:val="752"/>
        <w:rPr>
          <w:rFonts w:hint="eastAsia" w:ascii="仿宋" w:hAnsi="仿宋" w:eastAsia="仿宋" w:cs="仿宋"/>
          <w:sz w:val="28"/>
          <w:szCs w:val="28"/>
        </w:rPr>
      </w:pPr>
      <w:r>
        <w:rPr>
          <w:rFonts w:hint="eastAsia" w:ascii="仿宋" w:hAnsi="仿宋" w:eastAsia="仿宋" w:cs="仿宋"/>
          <w:sz w:val="28"/>
          <w:szCs w:val="28"/>
        </w:rPr>
        <w:t xml:space="preserve">友情提醒：采购人与中标、成交供应商应当在中标、成交通知书发出之日起三十日内，按照采购文件确定的事项签订政府采购合同。</w:t>
      </w:r>
      <w:r/>
    </w:p>
    <w:p>
      <w:pPr>
        <w:pStyle w:val="752"/>
        <w:rPr>
          <w:rFonts w:hint="eastAsia" w:ascii="仿宋" w:hAnsi="仿宋" w:eastAsia="仿宋" w:cs="仿宋"/>
          <w:sz w:val="28"/>
          <w:szCs w:val="28"/>
        </w:rPr>
      </w:pPr>
      <w:r>
        <w:rPr>
          <w:rFonts w:hint="eastAsia" w:ascii="仿宋" w:hAnsi="仿宋" w:eastAsia="仿宋" w:cs="仿宋"/>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748"/>
        <w:rPr>
          <w:rFonts w:hint="eastAsia" w:ascii="仿宋" w:hAnsi="仿宋" w:eastAsia="仿宋" w:cs="仿宋"/>
          <w:sz w:val="28"/>
          <w:szCs w:val="28"/>
        </w:rPr>
      </w:pPr>
      <w:r>
        <w:rPr>
          <w:rFonts w:hint="eastAsia" w:ascii="仿宋" w:hAnsi="仿宋" w:eastAsia="仿宋" w:cs="仿宋"/>
          <w:sz w:val="28"/>
          <w:szCs w:val="28"/>
        </w:rPr>
      </w:r>
      <w:r/>
    </w:p>
    <w:p>
      <w:pPr>
        <w:pStyle w:val="748"/>
        <w:rPr>
          <w:rFonts w:hint="eastAsia" w:ascii="仿宋" w:hAnsi="仿宋" w:eastAsia="仿宋" w:cs="仿宋"/>
          <w:sz w:val="28"/>
          <w:szCs w:val="28"/>
        </w:rPr>
      </w:pPr>
      <w:r>
        <w:rPr>
          <w:rFonts w:hint="eastAsia" w:ascii="仿宋" w:hAnsi="仿宋" w:eastAsia="仿宋" w:cs="仿宋"/>
          <w:sz w:val="28"/>
          <w:szCs w:val="28"/>
        </w:rPr>
        <w:t xml:space="preserve">甲方：</w:t>
      </w:r>
      <w:r/>
    </w:p>
    <w:p>
      <w:pPr>
        <w:pStyle w:val="752"/>
        <w:rPr>
          <w:rFonts w:hint="eastAsia" w:ascii="仿宋" w:hAnsi="仿宋" w:eastAsia="仿宋" w:cs="仿宋"/>
          <w:sz w:val="28"/>
          <w:szCs w:val="28"/>
        </w:rPr>
      </w:pPr>
      <w:r>
        <w:rPr>
          <w:rFonts w:hint="eastAsia" w:ascii="仿宋" w:hAnsi="仿宋" w:eastAsia="仿宋" w:cs="仿宋"/>
          <w:sz w:val="28"/>
          <w:szCs w:val="28"/>
        </w:rPr>
        <w:t xml:space="preserve">乙方：</w:t>
      </w:r>
      <w:r/>
    </w:p>
    <w:p>
      <w:pPr>
        <w:pStyle w:val="748"/>
        <w:ind w:firstLine="560"/>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项目招标采购的结果，甲方将</w:t>
      </w:r>
      <w:r>
        <w:rPr>
          <w:rFonts w:hint="eastAsia" w:ascii="仿宋" w:hAnsi="仿宋" w:eastAsia="仿宋" w:cs="仿宋"/>
          <w:sz w:val="28"/>
          <w:szCs w:val="28"/>
          <w:u w:val="single"/>
        </w:rPr>
        <w:t xml:space="preserve">          </w:t>
      </w:r>
      <w:r>
        <w:rPr>
          <w:rFonts w:hint="eastAsia" w:ascii="仿宋" w:hAnsi="仿宋" w:eastAsia="仿宋" w:cs="仿宋"/>
          <w:sz w:val="28"/>
          <w:szCs w:val="28"/>
          <w:u w:val="none"/>
        </w:rPr>
        <w:t xml:space="preserve">项目</w:t>
      </w:r>
      <w:r>
        <w:rPr>
          <w:rFonts w:hint="eastAsia" w:ascii="仿宋" w:hAnsi="仿宋" w:eastAsia="仿宋" w:cs="仿宋"/>
          <w:sz w:val="28"/>
          <w:szCs w:val="28"/>
        </w:rPr>
        <w:t xml:space="preserve">（项目编号：</w:t>
      </w:r>
      <w:r>
        <w:rPr>
          <w:rFonts w:hint="eastAsia" w:ascii="仿宋" w:hAnsi="仿宋" w:eastAsia="仿宋" w:cs="仿宋"/>
          <w:i w:val="0"/>
          <w:iCs w:val="0"/>
          <w:caps w:val="0"/>
          <w:spacing w:val="0"/>
          <w:sz w:val="28"/>
          <w:szCs w:val="28"/>
          <w:shd w:val="clear" w:color="auto" w:fill="ffffff"/>
        </w:rPr>
        <w:t xml:space="preserve">JSZC-320312-YXYX-G2026-0002</w:t>
      </w:r>
      <w:r>
        <w:rPr>
          <w:rFonts w:hint="eastAsia" w:ascii="仿宋" w:hAnsi="仿宋" w:eastAsia="仿宋" w:cs="仿宋"/>
          <w:sz w:val="28"/>
          <w:szCs w:val="28"/>
        </w:rPr>
        <w:t xml:space="preserve">）委托给乙方。根据《中华人民共和国民法典》、《中华人民共和国政府采购法》及有关法律、法规，在自愿、平等、协商一致的基础上，甲乙双方恪守公平、公正、诚信的原则，签订本合同。</w:t>
      </w:r>
      <w:r/>
    </w:p>
    <w:p>
      <w:pPr>
        <w:pStyle w:val="1023"/>
        <w:numPr>
          <w:ilvl w:val="0"/>
          <w:numId w:val="5"/>
        </w:numPr>
        <w:ind w:firstLine="480"/>
        <w:spacing w:before="120" w:after="120"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服务范围、内容及验收： </w:t>
      </w:r>
      <w:r/>
    </w:p>
    <w:p>
      <w:pPr>
        <w:pStyle w:val="1023"/>
        <w:ind w:firstLine="480"/>
        <w:spacing w:before="120" w:after="120" w:line="360" w:lineRule="auto"/>
        <w:rPr>
          <w:rFonts w:hint="eastAsia" w:ascii="仿宋" w:hAnsi="仿宋" w:eastAsia="仿宋" w:cs="仿宋"/>
          <w:sz w:val="28"/>
          <w:szCs w:val="28"/>
        </w:rPr>
      </w:pPr>
      <w:r>
        <w:rPr>
          <w:rFonts w:hint="eastAsia" w:ascii="仿宋" w:hAnsi="仿宋" w:eastAsia="仿宋" w:cs="仿宋"/>
          <w:sz w:val="28"/>
          <w:szCs w:val="28"/>
        </w:rPr>
        <w:t xml:space="preserve">1、服务内容：</w:t>
      </w:r>
      <w:r/>
    </w:p>
    <w:p>
      <w:pPr>
        <w:ind w:firstLine="282"/>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采购包（）：抽检范围徐州市铜山区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，各类产品抽检任务共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批次。抽检农产品类型包括种植、畜禽、水产品三大类。其中例行抽检种植类样品：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批次，畜禽产品样品：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批次，水产品样品：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批次；</w:t>
      </w:r>
      <w:r>
        <w:rPr>
          <w:rFonts w:hint="eastAsia" w:ascii="仿宋" w:hAnsi="仿宋" w:eastAsia="仿宋" w:cs="仿宋"/>
          <w:bCs/>
          <w:sz w:val="28"/>
          <w:szCs w:val="28"/>
        </w:rPr>
        <w:t xml:space="preserve">监督抽检</w:t>
      </w:r>
      <w:r>
        <w:rPr>
          <w:rFonts w:hint="eastAsia" w:ascii="仿宋" w:hAnsi="仿宋" w:eastAsia="仿宋" w:cs="仿宋"/>
          <w:sz w:val="28"/>
          <w:szCs w:val="28"/>
        </w:rPr>
        <w:t xml:space="preserve">种植</w:t>
      </w:r>
      <w:r>
        <w:rPr>
          <w:rFonts w:hint="eastAsia" w:ascii="仿宋" w:hAnsi="仿宋" w:eastAsia="仿宋" w:cs="仿宋"/>
          <w:bCs/>
          <w:sz w:val="28"/>
          <w:szCs w:val="28"/>
        </w:rPr>
        <w:t xml:space="preserve">类</w:t>
      </w:r>
      <w:r>
        <w:rPr>
          <w:rFonts w:hint="eastAsia" w:ascii="仿宋" w:hAnsi="仿宋" w:eastAsia="仿宋" w:cs="仿宋"/>
          <w:sz w:val="28"/>
          <w:szCs w:val="28"/>
        </w:rPr>
        <w:t xml:space="preserve">样品：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批次，畜禽产品样品：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批次，水产品样品：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批次；抽样环节包括种养殖基地、屠宰场、田头收购点、田头储存场所、水产品暂养池 、运输车、农业农村部门组织农产品展销场所等。样品不足的，可以抽取农产品批发市场、农贸市场，不抽超市。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2、服务期限：</w:t>
      </w:r>
      <w:r>
        <w:rPr>
          <w:rFonts w:hint="eastAsia" w:ascii="仿宋" w:hAnsi="仿宋" w:eastAsia="仿宋" w:cs="仿宋"/>
          <w:spacing w:val="-11"/>
          <w:sz w:val="28"/>
          <w:szCs w:val="28"/>
        </w:rPr>
        <w:t xml:space="preserve">自合同签定之日起至12月</w:t>
      </w:r>
      <w:r>
        <w:rPr>
          <w:rFonts w:hint="eastAsia" w:ascii="仿宋" w:hAnsi="仿宋" w:eastAsia="仿宋" w:cs="仿宋"/>
          <w:spacing w:val="-11"/>
          <w:sz w:val="28"/>
          <w:szCs w:val="28"/>
          <w:lang w:val="en-US" w:eastAsia="zh-CN"/>
        </w:rPr>
        <w:t xml:space="preserve">10日</w:t>
      </w:r>
      <w:r>
        <w:rPr>
          <w:rFonts w:hint="eastAsia" w:ascii="仿宋" w:hAnsi="仿宋" w:eastAsia="仿宋" w:cs="仿宋"/>
          <w:spacing w:val="-11"/>
          <w:sz w:val="28"/>
          <w:szCs w:val="28"/>
        </w:rPr>
        <w:t xml:space="preserve">项目结束。</w:t>
      </w:r>
      <w:r/>
    </w:p>
    <w:p>
      <w:pPr>
        <w:pStyle w:val="1023"/>
        <w:ind w:firstLine="560"/>
        <w:spacing w:before="120" w:after="120" w:line="360" w:lineRule="auto"/>
        <w:rPr>
          <w:rFonts w:hint="eastAsia" w:ascii="仿宋" w:hAnsi="仿宋" w:eastAsia="仿宋" w:cs="仿宋"/>
          <w:b/>
          <w:bCs/>
          <w:sz w:val="28"/>
          <w:szCs w:val="28"/>
        </w:rPr>
      </w:pPr>
      <w:r>
        <w:rPr>
          <w:rFonts w:hint="eastAsia" w:ascii="仿宋" w:hAnsi="仿宋" w:eastAsia="仿宋" w:cs="仿宋"/>
          <w:color w:val="000000"/>
          <w:sz w:val="28"/>
          <w:szCs w:val="28"/>
        </w:rPr>
        <w:t xml:space="preserve">3、验收标准（验收要求、验收标准和程序）</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（1）验收时间：</w:t>
      </w:r>
      <w:r>
        <w:rPr>
          <w:rFonts w:hint="eastAsia" w:ascii="仿宋" w:hAnsi="仿宋" w:eastAsia="仿宋" w:cs="仿宋"/>
          <w:color w:val="000000"/>
          <w:sz w:val="28"/>
          <w:szCs w:val="28"/>
          <w:lang w:eastAsia="zh-CN"/>
        </w:rPr>
        <w:t xml:space="preserve">约</w:t>
      </w:r>
      <w:r>
        <w:rPr>
          <w:rFonts w:hint="eastAsia" w:ascii="仿宋" w:hAnsi="仿宋" w:eastAsia="仿宋" w:cs="仿宋"/>
          <w:color w:val="000000"/>
          <w:sz w:val="28"/>
          <w:szCs w:val="28"/>
          <w:lang w:val="en-US" w:eastAsia="zh-CN"/>
        </w:rPr>
        <w:t xml:space="preserve">2026年12月30日</w:t>
      </w:r>
      <w:r>
        <w:rPr>
          <w:rFonts w:hint="eastAsia" w:ascii="仿宋" w:hAnsi="仿宋" w:eastAsia="仿宋" w:cs="仿宋"/>
          <w:color w:val="000000"/>
          <w:sz w:val="28"/>
          <w:szCs w:val="28"/>
        </w:rPr>
        <w:t xml:space="preserve">，供应商提出验收申请之日起</w:t>
      </w:r>
      <w:r>
        <w:rPr>
          <w:rFonts w:hint="eastAsia" w:ascii="仿宋" w:hAnsi="仿宋" w:eastAsia="仿宋" w:cs="仿宋"/>
          <w:bCs/>
          <w:color w:val="000000"/>
          <w:sz w:val="28"/>
          <w:szCs w:val="28"/>
        </w:rPr>
        <w:t xml:space="preserve">5个工作</w:t>
      </w:r>
      <w:r>
        <w:rPr>
          <w:rFonts w:hint="eastAsia" w:ascii="仿宋" w:hAnsi="仿宋" w:eastAsia="仿宋" w:cs="仿宋"/>
          <w:color w:val="000000"/>
          <w:sz w:val="28"/>
          <w:szCs w:val="28"/>
        </w:rPr>
        <w:t xml:space="preserve">日内组织验收。</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（2）验收主体：徐州市铜山区农业农村局</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（3）验收方式：由徐州市铜山区农业农村局组成验收小组，负责合同标的履约验收具体工作。</w:t>
      </w:r>
      <w:r/>
    </w:p>
    <w:p>
      <w:pPr>
        <w:ind w:firstLine="560"/>
        <w:spacing w:line="360" w:lineRule="auto"/>
        <w:rPr>
          <w:rFonts w:hint="eastAsia" w:ascii="仿宋" w:hAnsi="仿宋" w:eastAsia="仿宋" w:cs="仿宋"/>
          <w:bCs/>
          <w:sz w:val="28"/>
          <w:szCs w:val="28"/>
        </w:rPr>
      </w:pPr>
      <w:r>
        <w:rPr>
          <w:rFonts w:hint="eastAsia" w:ascii="仿宋" w:hAnsi="仿宋" w:eastAsia="仿宋" w:cs="仿宋"/>
          <w:color w:val="000000"/>
          <w:sz w:val="28"/>
          <w:szCs w:val="28"/>
        </w:rPr>
        <w:t xml:space="preserve">（4）验收内容：</w:t>
      </w:r>
      <w:r>
        <w:rPr>
          <w:rFonts w:hint="eastAsia" w:ascii="仿宋" w:hAnsi="仿宋" w:eastAsia="仿宋" w:cs="仿宋"/>
          <w:spacing w:val="-11"/>
          <w:sz w:val="28"/>
          <w:szCs w:val="28"/>
        </w:rPr>
        <w:t xml:space="preserve">例行抽检</w:t>
      </w:r>
      <w:r>
        <w:rPr>
          <w:rFonts w:hint="eastAsia" w:ascii="仿宋" w:hAnsi="仿宋" w:eastAsia="仿宋" w:cs="仿宋"/>
          <w:sz w:val="28"/>
          <w:szCs w:val="28"/>
        </w:rPr>
        <w:t xml:space="preserve">共1638</w:t>
      </w:r>
      <w:r>
        <w:rPr>
          <w:rFonts w:hint="eastAsia" w:ascii="仿宋" w:hAnsi="仿宋" w:eastAsia="仿宋" w:cs="仿宋"/>
          <w:bCs/>
          <w:sz w:val="28"/>
          <w:szCs w:val="28"/>
        </w:rPr>
        <w:t xml:space="preserve">批次、</w:t>
      </w:r>
      <w:r>
        <w:rPr>
          <w:rFonts w:hint="eastAsia" w:ascii="仿宋" w:hAnsi="仿宋" w:eastAsia="仿宋" w:cs="仿宋"/>
          <w:spacing w:val="-11"/>
          <w:sz w:val="28"/>
          <w:szCs w:val="28"/>
        </w:rPr>
        <w:t xml:space="preserve">监督抽检</w:t>
      </w:r>
      <w:r>
        <w:rPr>
          <w:rFonts w:hint="eastAsia" w:ascii="仿宋" w:hAnsi="仿宋" w:eastAsia="仿宋" w:cs="仿宋"/>
          <w:spacing w:val="-11"/>
          <w:sz w:val="28"/>
          <w:szCs w:val="28"/>
          <w:lang w:eastAsia="zh-CN"/>
        </w:rPr>
        <w:t xml:space="preserve">共</w:t>
      </w:r>
      <w:r>
        <w:rPr>
          <w:rFonts w:hint="eastAsia" w:ascii="仿宋" w:hAnsi="仿宋" w:eastAsia="仿宋" w:cs="仿宋"/>
          <w:sz w:val="28"/>
          <w:szCs w:val="28"/>
        </w:rPr>
        <w:t xml:space="preserve">702</w:t>
      </w:r>
      <w:r>
        <w:rPr>
          <w:rFonts w:hint="eastAsia" w:ascii="仿宋" w:hAnsi="仿宋" w:eastAsia="仿宋" w:cs="仿宋"/>
          <w:bCs/>
          <w:sz w:val="28"/>
          <w:szCs w:val="28"/>
        </w:rPr>
        <w:t xml:space="preserve">批次</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检测范围</w:t>
      </w:r>
      <w:r>
        <w:rPr>
          <w:rFonts w:hint="eastAsia" w:ascii="仿宋" w:hAnsi="仿宋" w:eastAsia="仿宋" w:cs="仿宋"/>
          <w:bCs/>
          <w:sz w:val="28"/>
          <w:szCs w:val="28"/>
          <w:lang w:eastAsia="zh-CN"/>
        </w:rPr>
        <w:t xml:space="preserve">（徐州市铜山区）</w:t>
      </w:r>
      <w:r>
        <w:rPr>
          <w:rFonts w:hint="eastAsia" w:ascii="仿宋" w:hAnsi="仿宋" w:eastAsia="仿宋" w:cs="仿宋"/>
          <w:bCs/>
          <w:sz w:val="28"/>
          <w:szCs w:val="28"/>
        </w:rPr>
        <w:t xml:space="preserve">、检测项目</w:t>
      </w:r>
      <w:r>
        <w:rPr>
          <w:rFonts w:hint="eastAsia" w:ascii="仿宋" w:hAnsi="仿宋" w:eastAsia="仿宋" w:cs="仿宋"/>
          <w:bCs/>
          <w:sz w:val="28"/>
          <w:szCs w:val="28"/>
          <w:lang w:eastAsia="zh-CN"/>
        </w:rPr>
        <w:t xml:space="preserve">（</w:t>
      </w:r>
      <w:r>
        <w:rPr>
          <w:rFonts w:hint="eastAsia" w:ascii="仿宋" w:hAnsi="仿宋" w:eastAsia="仿宋" w:cs="仿宋"/>
          <w:sz w:val="28"/>
          <w:szCs w:val="28"/>
        </w:rPr>
        <w:t xml:space="preserve">种植、畜禽、水产品三大类</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、报告出具时效及准确性等情况。</w:t>
      </w:r>
      <w:r/>
    </w:p>
    <w:p>
      <w:pPr>
        <w:ind w:firstLine="560"/>
        <w:spacing w:line="36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验收标准</w:t>
      </w:r>
      <w:r>
        <w:rPr>
          <w:rFonts w:hint="eastAsia" w:ascii="仿宋" w:hAnsi="仿宋" w:eastAsia="仿宋" w:cs="仿宋"/>
          <w:color w:val="000000"/>
          <w:sz w:val="28"/>
          <w:szCs w:val="28"/>
          <w:lang w:eastAsia="zh-CN"/>
        </w:rPr>
        <w:t xml:space="preserve">：</w:t>
      </w:r>
      <w:r>
        <w:rPr>
          <w:rFonts w:hint="eastAsia" w:ascii="仿宋" w:hAnsi="仿宋" w:eastAsia="仿宋" w:cs="仿宋"/>
          <w:sz w:val="28"/>
          <w:szCs w:val="28"/>
        </w:rPr>
        <w:t xml:space="preserve">根据省厅《关于开展2026年农产品质量安全监测工作的通知》（苏农办质〔2026〕2号）《关于开展2026年铜山区农产品质量安全监测工作的通知》（铜农〔2026〕10号）文件要求，GB2763-2026《食品中农药最大残留限量》GB31650-2019《食品中兽药最大残留限量</w:t>
      </w:r>
      <w:r>
        <w:rPr>
          <w:rFonts w:hint="eastAsia" w:ascii="仿宋" w:hAnsi="仿宋" w:eastAsia="仿宋" w:cs="仿宋"/>
          <w:sz w:val="28"/>
          <w:szCs w:val="28"/>
          <w:lang w:eastAsia="zh-CN"/>
        </w:rPr>
        <w:t xml:space="preserve">。</w:t>
      </w:r>
      <w:bookmarkStart w:id="2" w:name="_GoBack"/>
      <w:r/>
      <w:bookmarkEnd w:id="2"/>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（5）验收其他事项：履约验收涉及专业技术人员费用等相关费用由供应商承担。  </w:t>
      </w:r>
      <w:r/>
    </w:p>
    <w:p>
      <w:pPr>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二、合同价及结算方式：</w:t>
      </w:r>
      <w:r/>
    </w:p>
    <w:p>
      <w:pPr>
        <w:pStyle w:val="1023"/>
        <w:ind w:firstLine="480"/>
        <w:spacing w:before="120" w:after="12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合同总价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）。经双方协商一致， 选择以下第 （    ）种付款方式:</w:t>
      </w:r>
      <w:r/>
    </w:p>
    <w:p>
      <w:pPr>
        <w:pStyle w:val="730"/>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付款方式一：提交预付款保函的</w:t>
      </w:r>
      <w:r/>
    </w:p>
    <w:p>
      <w:pPr>
        <w:pStyle w:val="730"/>
        <w:ind w:firstLine="480"/>
        <w:spacing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合同总价</w:t>
      </w:r>
      <w:r>
        <w:rPr>
          <w:rFonts w:hint="eastAsia" w:ascii="仿宋" w:hAnsi="仿宋" w:eastAsia="仿宋" w:cs="仿宋"/>
          <w:sz w:val="28"/>
          <w:szCs w:val="28"/>
        </w:rPr>
        <w:t xml:space="preserve">的百分之</w:t>
      </w:r>
      <w:r>
        <w:rPr>
          <w:rFonts w:hint="eastAsia" w:ascii="仿宋" w:hAnsi="仿宋" w:eastAsia="仿宋" w:cs="仿宋"/>
          <w:sz w:val="28"/>
          <w:szCs w:val="28"/>
          <w:u w:val="single"/>
        </w:rPr>
        <w:t xml:space="preserve">四十</w:t>
      </w:r>
      <w:r>
        <w:rPr>
          <w:rFonts w:hint="eastAsia" w:ascii="仿宋" w:hAnsi="仿宋" w:eastAsia="仿宋" w:cs="仿宋"/>
          <w:sz w:val="28"/>
          <w:szCs w:val="28"/>
        </w:rPr>
        <w:t xml:space="preserve">(40%)即￥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在合同签订生效15日内，乙方向甲方出具等额预付款保函后，办理政府采购资金结算手续，经审核后支付给乙方。</w:t>
      </w:r>
      <w:r/>
    </w:p>
    <w:p>
      <w:pPr>
        <w:pStyle w:val="730"/>
        <w:ind w:firstLine="480"/>
        <w:spacing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合同总价</w:t>
      </w:r>
      <w:r>
        <w:rPr>
          <w:rFonts w:hint="eastAsia" w:ascii="仿宋" w:hAnsi="仿宋" w:eastAsia="仿宋" w:cs="仿宋"/>
          <w:sz w:val="28"/>
          <w:szCs w:val="28"/>
        </w:rPr>
        <w:t xml:space="preserve">的百分之</w:t>
      </w:r>
      <w:r>
        <w:rPr>
          <w:rFonts w:hint="eastAsia" w:ascii="仿宋" w:hAnsi="仿宋" w:eastAsia="仿宋" w:cs="仿宋"/>
          <w:sz w:val="28"/>
          <w:szCs w:val="28"/>
          <w:u w:val="single"/>
        </w:rPr>
        <w:t xml:space="preserve">六十</w:t>
      </w:r>
      <w:r>
        <w:rPr>
          <w:rFonts w:hint="eastAsia" w:ascii="仿宋" w:hAnsi="仿宋" w:eastAsia="仿宋" w:cs="仿宋"/>
          <w:sz w:val="28"/>
          <w:szCs w:val="28"/>
        </w:rPr>
        <w:t xml:space="preserve"> (60%)即￥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，在乙方完成服务任务后，买方自收到发票后</w:t>
      </w:r>
      <w:r>
        <w:rPr>
          <w:rFonts w:hint="eastAsia" w:ascii="仿宋" w:hAnsi="仿宋" w:eastAsia="仿宋" w:cs="仿宋"/>
          <w:sz w:val="28"/>
          <w:szCs w:val="28"/>
          <w:u w:val="single"/>
        </w:rPr>
        <w:t xml:space="preserve">15日</w:t>
      </w:r>
      <w:r>
        <w:rPr>
          <w:rFonts w:hint="eastAsia" w:ascii="仿宋" w:hAnsi="仿宋" w:eastAsia="仿宋" w:cs="仿宋"/>
          <w:sz w:val="28"/>
          <w:szCs w:val="28"/>
        </w:rPr>
        <w:t xml:space="preserve">内，办理政府采购资金结算手续，经审核后支付给乙方。</w:t>
      </w:r>
      <w:r/>
    </w:p>
    <w:p>
      <w:pPr>
        <w:pStyle w:val="730"/>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付款方式二：不提交预付款保函的</w:t>
      </w:r>
      <w:r/>
    </w:p>
    <w:p>
      <w:pPr>
        <w:pStyle w:val="730"/>
        <w:ind w:firstLine="480"/>
        <w:spacing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合同总价</w:t>
      </w:r>
      <w:r>
        <w:rPr>
          <w:rFonts w:hint="eastAsia" w:ascii="仿宋" w:hAnsi="仿宋" w:eastAsia="仿宋" w:cs="仿宋"/>
          <w:sz w:val="28"/>
          <w:szCs w:val="28"/>
        </w:rPr>
        <w:t xml:space="preserve">的百分之</w:t>
      </w:r>
      <w:r>
        <w:rPr>
          <w:rFonts w:hint="eastAsia" w:ascii="仿宋" w:hAnsi="仿宋" w:eastAsia="仿宋" w:cs="仿宋"/>
          <w:sz w:val="28"/>
          <w:szCs w:val="28"/>
          <w:u w:val="single"/>
        </w:rPr>
        <w:t xml:space="preserve">二十</w:t>
      </w:r>
      <w:r>
        <w:rPr>
          <w:rFonts w:hint="eastAsia" w:ascii="仿宋" w:hAnsi="仿宋" w:eastAsia="仿宋" w:cs="仿宋"/>
          <w:sz w:val="28"/>
          <w:szCs w:val="28"/>
        </w:rPr>
        <w:t xml:space="preserve">(20%)即￥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在合同签订生效，买方自收到发票（发票金额为合同总价的20%）后</w:t>
      </w:r>
      <w:r>
        <w:rPr>
          <w:rFonts w:hint="eastAsia" w:ascii="仿宋" w:hAnsi="仿宋" w:eastAsia="仿宋" w:cs="仿宋"/>
          <w:sz w:val="28"/>
          <w:szCs w:val="28"/>
          <w:u w:val="single"/>
        </w:rPr>
        <w:t xml:space="preserve">15日</w:t>
      </w:r>
      <w:r>
        <w:rPr>
          <w:rFonts w:hint="eastAsia" w:ascii="仿宋" w:hAnsi="仿宋" w:eastAsia="仿宋" w:cs="仿宋"/>
          <w:sz w:val="28"/>
          <w:szCs w:val="28"/>
        </w:rPr>
        <w:t xml:space="preserve">内，办理政府采购资金结算手续，经审核后支付给乙方。</w:t>
      </w:r>
      <w:r/>
    </w:p>
    <w:p>
      <w:pPr>
        <w:pStyle w:val="730"/>
        <w:ind w:firstLine="480"/>
        <w:spacing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合同总价</w:t>
      </w:r>
      <w:r>
        <w:rPr>
          <w:rFonts w:hint="eastAsia" w:ascii="仿宋" w:hAnsi="仿宋" w:eastAsia="仿宋" w:cs="仿宋"/>
          <w:sz w:val="28"/>
          <w:szCs w:val="28"/>
        </w:rPr>
        <w:t xml:space="preserve">的百分之</w:t>
      </w:r>
      <w:r>
        <w:rPr>
          <w:rFonts w:hint="eastAsia" w:ascii="仿宋" w:hAnsi="仿宋" w:eastAsia="仿宋" w:cs="仿宋"/>
          <w:sz w:val="28"/>
          <w:szCs w:val="28"/>
          <w:u w:val="single"/>
        </w:rPr>
        <w:t xml:space="preserve">八十</w:t>
      </w:r>
      <w:r>
        <w:rPr>
          <w:rFonts w:hint="eastAsia" w:ascii="仿宋" w:hAnsi="仿宋" w:eastAsia="仿宋" w:cs="仿宋"/>
          <w:sz w:val="28"/>
          <w:szCs w:val="28"/>
        </w:rPr>
        <w:t xml:space="preserve">(80%)即￥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，在乙方完成服务任务后，买方自收到发票（发票金额为合同总价的80%）后</w:t>
      </w:r>
      <w:r>
        <w:rPr>
          <w:rFonts w:hint="eastAsia" w:ascii="仿宋" w:hAnsi="仿宋" w:eastAsia="仿宋" w:cs="仿宋"/>
          <w:sz w:val="28"/>
          <w:szCs w:val="28"/>
          <w:u w:val="single"/>
        </w:rPr>
        <w:t xml:space="preserve">15日</w:t>
      </w:r>
      <w:r>
        <w:rPr>
          <w:rFonts w:hint="eastAsia" w:ascii="仿宋" w:hAnsi="仿宋" w:eastAsia="仿宋" w:cs="仿宋"/>
          <w:sz w:val="28"/>
          <w:szCs w:val="28"/>
        </w:rPr>
        <w:t xml:space="preserve">内，办理政府采购资金结算手续，经审核后支付给乙方。</w:t>
      </w:r>
      <w:r/>
    </w:p>
    <w:p>
      <w:pPr>
        <w:pStyle w:val="749"/>
        <w:ind w:firstLine="789"/>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乙方要求付款应提供以下资料：乙方开具的正式发票。 </w:t>
      </w:r>
      <w:r/>
    </w:p>
    <w:p>
      <w:pPr>
        <w:pStyle w:val="1023"/>
        <w:ind w:firstLine="480"/>
        <w:spacing w:before="120" w:after="120" w:line="360" w:lineRule="auto"/>
        <w:rPr>
          <w:rFonts w:hint="eastAsia" w:ascii="仿宋" w:hAnsi="仿宋" w:eastAsia="仿宋" w:cs="仿宋"/>
          <w:sz w:val="28"/>
          <w:szCs w:val="28"/>
        </w:rPr>
      </w:pPr>
      <w:r>
        <w:rPr>
          <w:rFonts w:hint="eastAsia" w:ascii="仿宋" w:hAnsi="仿宋" w:eastAsia="仿宋" w:cs="仿宋"/>
          <w:sz w:val="28"/>
          <w:szCs w:val="28"/>
        </w:rPr>
        <w:t xml:space="preserve">2、在招标文件未列明，而是乙方履行本合同必需的费用也包含在合同总价中。</w:t>
      </w:r>
      <w:r/>
    </w:p>
    <w:p>
      <w:pPr>
        <w:pStyle w:val="1023"/>
        <w:ind w:firstLine="482"/>
        <w:spacing w:before="120" w:after="120"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三、组成本合同的有关文件</w:t>
      </w:r>
      <w:r/>
    </w:p>
    <w:p>
      <w:pPr>
        <w:pStyle w:val="1023"/>
        <w:ind w:firstLine="480"/>
        <w:spacing w:before="120" w:after="120" w:line="360" w:lineRule="auto"/>
        <w:rPr>
          <w:rFonts w:hint="eastAsia" w:ascii="仿宋" w:hAnsi="仿宋" w:eastAsia="仿宋" w:cs="仿宋"/>
          <w:sz w:val="28"/>
          <w:szCs w:val="28"/>
        </w:rPr>
      </w:pPr>
      <w:r>
        <w:rPr>
          <w:rFonts w:hint="eastAsia" w:ascii="仿宋" w:hAnsi="仿宋" w:eastAsia="仿宋" w:cs="仿宋"/>
          <w:sz w:val="28"/>
          <w:szCs w:val="28"/>
        </w:rPr>
        <w:t xml:space="preserve">1、乙方应按招标文件规定的时间向甲方提供服务的有关技术资料。</w:t>
      </w:r>
      <w:r/>
    </w:p>
    <w:p>
      <w:pPr>
        <w:pStyle w:val="1023"/>
        <w:ind w:firstLine="480"/>
        <w:spacing w:before="120" w:after="120" w:line="360" w:lineRule="auto"/>
        <w:rPr>
          <w:rFonts w:hint="eastAsia" w:ascii="仿宋" w:hAnsi="仿宋" w:eastAsia="仿宋" w:cs="仿宋"/>
          <w:sz w:val="28"/>
          <w:szCs w:val="28"/>
        </w:rPr>
      </w:pPr>
      <w:r>
        <w:rPr>
          <w:rFonts w:hint="eastAsia" w:ascii="仿宋" w:hAnsi="仿宋" w:eastAsia="仿宋" w:cs="仿宋"/>
          <w:sz w:val="28"/>
          <w:szCs w:val="28"/>
        </w:rPr>
        <w:t xml:space="preserve">2、没有经甲方书面同意，乙方不得将由甲方提供的有关合同或任何合同条文或资料提供给任何其他人。即使向履行本合同有关的人员提供，也应注意保密并限于履行合同的必需范围。</w:t>
      </w:r>
      <w:r/>
    </w:p>
    <w:p>
      <w:pPr>
        <w:pStyle w:val="1023"/>
        <w:ind w:firstLine="480"/>
        <w:spacing w:before="120" w:after="120" w:line="360" w:lineRule="auto"/>
        <w:rPr>
          <w:rFonts w:hint="eastAsia" w:ascii="仿宋" w:hAnsi="仿宋" w:eastAsia="仿宋" w:cs="仿宋"/>
          <w:sz w:val="28"/>
          <w:szCs w:val="28"/>
        </w:rPr>
      </w:pPr>
      <w:r>
        <w:rPr>
          <w:rFonts w:hint="eastAsia" w:ascii="仿宋" w:hAnsi="仿宋" w:eastAsia="仿宋" w:cs="仿宋"/>
          <w:sz w:val="28"/>
          <w:szCs w:val="28"/>
        </w:rPr>
        <w:t xml:space="preserve">3、关于本项目招标文件、投标文件或与本次采购活动方式相适应的文件及有关附件是本合同不可分割的组成部分，这些文件包括但不限于：</w:t>
      </w:r>
      <w:r/>
    </w:p>
    <w:p>
      <w:pPr>
        <w:pStyle w:val="1023"/>
        <w:ind w:firstLine="480"/>
        <w:spacing w:before="120" w:after="120" w:line="360" w:lineRule="auto"/>
        <w:rPr>
          <w:rFonts w:hint="eastAsia" w:ascii="仿宋" w:hAnsi="仿宋" w:eastAsia="仿宋" w:cs="仿宋"/>
          <w:sz w:val="28"/>
          <w:szCs w:val="28"/>
        </w:rPr>
      </w:pPr>
      <w:r>
        <w:rPr>
          <w:rFonts w:hint="eastAsia" w:ascii="仿宋" w:hAnsi="仿宋" w:eastAsia="仿宋" w:cs="仿宋"/>
          <w:sz w:val="28"/>
          <w:szCs w:val="28"/>
        </w:rPr>
        <w:t xml:space="preserve">（1）招标文件；（2）投标文件；（3）中标（成交）通知书；（4）甲乙双方补充协议；</w:t>
      </w:r>
      <w:r/>
    </w:p>
    <w:p>
      <w:pPr>
        <w:pStyle w:val="1023"/>
        <w:ind w:firstLine="48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四、甲乙双方的权利和义务：</w:t>
      </w:r>
      <w:r/>
    </w:p>
    <w:p>
      <w:pPr>
        <w:pStyle w:val="1023"/>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（一）甲方权利</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1、甲方有权要求乙方按合同规定提供服务。</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2、乙方违反合同任何条款，甲方有权提前3天以书面形式通知乙方终止本合同。</w:t>
      </w:r>
      <w:r/>
    </w:p>
    <w:p>
      <w:pPr>
        <w:pStyle w:val="749"/>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3、甲方在项目结束后，有权要求乙方提供招标文件和合同要求中约定的全部资料。</w:t>
      </w:r>
      <w:r/>
    </w:p>
    <w:p>
      <w:pPr>
        <w:pStyle w:val="749"/>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4、甲方委托乙方研究形成的报告及相应成果知识产权归甲方所有。</w:t>
      </w:r>
      <w:r/>
    </w:p>
    <w:p>
      <w:pPr>
        <w:pStyle w:val="749"/>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5、对乙方工作进度、质量进行督查，甲方有权按合同约定要求乙方调整进度。</w:t>
      </w:r>
      <w:r/>
    </w:p>
    <w:p>
      <w:pPr>
        <w:pStyle w:val="749"/>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（二）甲方义务</w:t>
      </w:r>
      <w:r/>
    </w:p>
    <w:p>
      <w:pPr>
        <w:pStyle w:val="749"/>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1、甲方必须遵守本合同之规定及相关法律规定。</w:t>
      </w:r>
      <w:r/>
    </w:p>
    <w:p>
      <w:pPr>
        <w:pStyle w:val="749"/>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2、甲方应尽可能向乙方提供可靠、详细的资料，并保证资料的真实性、准确性。</w:t>
      </w:r>
      <w:r/>
    </w:p>
    <w:p>
      <w:pPr>
        <w:pStyle w:val="749"/>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3、未经乙方书面同意，甲方不得向任何第三方提供审核项目的信息。</w:t>
      </w:r>
      <w:r/>
    </w:p>
    <w:p>
      <w:pPr>
        <w:pStyle w:val="749"/>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4、对乙方开展的项目提供必要的协助和指导。</w:t>
      </w:r>
      <w:r/>
    </w:p>
    <w:p>
      <w:pPr>
        <w:pStyle w:val="749"/>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5、按合同约定向乙方支付项目费用。</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（三）乙方权利</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1、乙方有权要求甲方遵守本合同规定及其附件。</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2、乙方有权要求甲方按合同约定的时间支付相关费用。</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（四）乙方义务</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1、乙方必须遵守本合同之规定及相关法律规定。</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2、乙方按照本合同及招标文件和乙方的投标文件为甲方提供服务工作，乙方需要对项目组成员进行调整时，须书面征得甲方同意。</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3、非经甲方书面同意，乙方不得向任何第三方透露项目的任何内容。</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4、乙方人员在甲方活动时，需听从甲方有关人员安排和引导。</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5、甲方提出收回向乙方提供的有关资料时，乙方应按照甲方要求将有关资料及其复制件返还甲方。</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6、乙方按照合同约定要求完成项目。</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7、乙方完成本协议工作内容所发生的人工、住宿、交通、餐饮等费用由乙方承担。</w:t>
      </w:r>
      <w:r/>
    </w:p>
    <w:p>
      <w:pPr>
        <w:pStyle w:val="749"/>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五、违约责任</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甲方因政策原因导致无法继续履行本合同的，甲方可以要求解除本合同，解除通知发出后满7天合同即终止，合同款项按终止日结算，已支付但超出结算款项部分乙方应予退还甲方，已支付款项少于结算款项的，甲方应向乙方支付差额部分。</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2、乙方因无力履行合同提出解约，须全额返还甲方已支付的款项，并向甲方支付合同项目总费用100%的违约金。</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3、未经甲方同意，乙方不得私自更换投标文件中承诺的主要人员。</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4、未经甲方允许，乙方将项目转包或分包的，甲方有权终止合同，并扣除乙方合同价20%的违约金。</w:t>
      </w:r>
      <w:r/>
    </w:p>
    <w:p>
      <w:pPr>
        <w:pStyle w:val="749"/>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六、不可抗力事件处理</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1、在合同有效期内，任何一方因不可抗力事件导致不能履行合同，则合同履行期可延长，其延长期与不可抗力影响期相同。</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2、不可抗力事件发生后，应立即通知对方，并寄送有关权威机构出具的证明。</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3、不可抗力事件延续120天以上，双方应通过友好协商，确定是否继续履行合同。</w:t>
      </w:r>
      <w:r/>
    </w:p>
    <w:p>
      <w:pPr>
        <w:pStyle w:val="749"/>
        <w:ind w:firstLine="48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七、合同生效及其它约定事项</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1、合同经双方法定代表人或授权代表人签字并加盖单位公章后生效。</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2、招标文件和乙方的投标文件为本合同的不可分割的组成部分，与本合同具有同样效力。</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3、知识产权保证：</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乙方保证甲方在使用、接受本合同服务或其任何一部分时，不受第三方提出侵犯其专利权、版权、商标权和工业设计权等知识产权的起诉。一旦出现侵权，由乙方负全部责任。</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4、本合同附件为本合同组成部分，与本合同具有同等效力。</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5、本合同未尽事宜甲乙双方协商解决，协商不一致时，向甲方所在地人民法院起诉。</w:t>
      </w:r>
      <w:r/>
    </w:p>
    <w:p>
      <w:pPr>
        <w:pStyle w:val="7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6、本合同一式伍份，具有同等法律效力，甲方执</w:t>
      </w:r>
      <w:r>
        <w:rPr>
          <w:rFonts w:hint="eastAsia" w:ascii="仿宋" w:hAnsi="仿宋" w:eastAsia="仿宋" w:cs="仿宋"/>
          <w:sz w:val="28"/>
          <w:szCs w:val="28"/>
          <w:u w:val="single"/>
        </w:rPr>
        <w:t xml:space="preserve">贰</w:t>
      </w:r>
      <w:r>
        <w:rPr>
          <w:rFonts w:hint="eastAsia" w:ascii="仿宋" w:hAnsi="仿宋" w:eastAsia="仿宋" w:cs="仿宋"/>
          <w:sz w:val="28"/>
          <w:szCs w:val="28"/>
        </w:rPr>
        <w:t xml:space="preserve">份、乙方执</w:t>
      </w:r>
      <w:r>
        <w:rPr>
          <w:rFonts w:hint="eastAsia" w:ascii="仿宋" w:hAnsi="仿宋" w:eastAsia="仿宋" w:cs="仿宋"/>
          <w:sz w:val="28"/>
          <w:szCs w:val="28"/>
          <w:u w:val="single"/>
        </w:rPr>
        <w:t xml:space="preserve">贰</w:t>
      </w:r>
      <w:r>
        <w:rPr>
          <w:rFonts w:hint="eastAsia" w:ascii="仿宋" w:hAnsi="仿宋" w:eastAsia="仿宋" w:cs="仿宋"/>
          <w:sz w:val="28"/>
          <w:szCs w:val="28"/>
        </w:rPr>
        <w:t xml:space="preserve">份，采购代理机构</w:t>
      </w:r>
      <w:r>
        <w:rPr>
          <w:rFonts w:hint="eastAsia" w:ascii="仿宋" w:hAnsi="仿宋" w:eastAsia="仿宋" w:cs="仿宋"/>
          <w:sz w:val="28"/>
          <w:szCs w:val="28"/>
          <w:u w:val="single"/>
        </w:rPr>
        <w:t xml:space="preserve">壹份</w:t>
      </w:r>
      <w:r>
        <w:rPr>
          <w:rFonts w:hint="eastAsia" w:ascii="仿宋" w:hAnsi="仿宋" w:eastAsia="仿宋" w:cs="仿宋"/>
          <w:sz w:val="28"/>
          <w:szCs w:val="28"/>
        </w:rPr>
        <w:t xml:space="preserve">存档。</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甲方和乙方由其正式授权代表于上述所写日期和地点签订本合同。</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甲方（签章）： </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  </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邮编：  </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电话： </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法定代表人或授权代表(签名)： _______________</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乙方（签章）：</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 </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邮编： </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电话：</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开户银行：      </w:t>
      </w:r>
      <w:r/>
    </w:p>
    <w:p>
      <w:pPr>
        <w:pStyle w:val="749"/>
        <w:spacing w:line="360" w:lineRule="auto"/>
        <w:rPr>
          <w:rFonts w:hint="eastAsia" w:ascii="仿宋" w:hAnsi="仿宋" w:eastAsia="仿宋" w:cs="仿宋"/>
          <w:sz w:val="28"/>
          <w:szCs w:val="28"/>
        </w:rPr>
      </w:pPr>
      <w:r>
        <w:rPr>
          <w:rFonts w:hint="eastAsia" w:ascii="仿宋" w:hAnsi="仿宋" w:eastAsia="仿宋" w:cs="仿宋"/>
          <w:sz w:val="28"/>
          <w:szCs w:val="28"/>
        </w:rPr>
        <w:t xml:space="preserve">银行帐号：</w:t>
      </w:r>
      <w:r/>
    </w:p>
    <w:p>
      <w:pPr>
        <w:jc w:val="both"/>
        <w:spacing w:before="91" w:line="360" w:lineRule="auto"/>
        <w:rPr>
          <w:rFonts w:hint="eastAsia" w:ascii="仿宋" w:hAnsi="仿宋" w:eastAsia="仿宋" w:cs="仿宋"/>
          <w:spacing w:val="-1"/>
          <w:sz w:val="28"/>
          <w:szCs w:val="28"/>
        </w:rPr>
        <w:outlineLvl w:val="0"/>
      </w:pPr>
      <w:r>
        <w:rPr>
          <w:rFonts w:hint="eastAsia" w:ascii="仿宋" w:hAnsi="仿宋" w:eastAsia="仿宋" w:cs="仿宋"/>
          <w:sz w:val="28"/>
          <w:szCs w:val="28"/>
        </w:rPr>
        <w:t xml:space="preserve">法定代表人或授权代表(签名)： _________</w:t>
      </w:r>
      <w:r/>
    </w:p>
    <w:p>
      <w:pPr>
        <w:pStyle w:val="730"/>
        <w:jc w:val="center"/>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pStyle w:val="730"/>
        <w:ind w:firstLine="2880"/>
        <w:spacing w:line="360" w:lineRule="auto"/>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第六章  </w:t>
      </w:r>
      <w:r>
        <w:rPr>
          <w:rFonts w:hint="eastAsia" w:ascii="仿宋" w:hAnsi="仿宋" w:eastAsia="仿宋" w:cs="仿宋"/>
          <w:b/>
          <w:bCs/>
          <w:sz w:val="36"/>
          <w:szCs w:val="36"/>
        </w:rPr>
        <w:t xml:space="preserve">采购需求</w:t>
      </w:r>
      <w:r/>
    </w:p>
    <w:p>
      <w:pPr>
        <w:ind w:right="567"/>
        <w:jc w:val="both"/>
        <w:spacing w:before="125" w:line="360" w:lineRule="auto"/>
        <w:rPr>
          <w:rFonts w:hint="eastAsia" w:ascii="仿宋" w:hAnsi="仿宋" w:eastAsia="仿宋" w:cs="仿宋"/>
          <w:sz w:val="28"/>
          <w:szCs w:val="28"/>
          <w:lang w:eastAsia="zh-CN"/>
        </w:rPr>
        <w:outlineLvl w:val="0"/>
      </w:pPr>
      <w:r>
        <w:rPr>
          <w:rFonts w:hint="eastAsia" w:ascii="仿宋" w:hAnsi="仿宋" w:eastAsia="仿宋" w:cs="仿宋"/>
          <w:b/>
          <w:sz w:val="28"/>
          <w:szCs w:val="28"/>
        </w:rPr>
        <w:t xml:space="preserve">一、采购标的：</w:t>
      </w:r>
      <w:r>
        <w:rPr>
          <w:rFonts w:hint="eastAsia" w:ascii="仿宋" w:hAnsi="仿宋" w:eastAsia="仿宋" w:cs="仿宋"/>
          <w:b/>
          <w:spacing w:val="-9"/>
          <w:sz w:val="28"/>
          <w:szCs w:val="28"/>
          <w:lang w:eastAsia="zh-CN"/>
        </w:rPr>
        <w:t xml:space="preserve">2026年铜山区农产品质量安全风险监测项目</w:t>
      </w:r>
      <w:r/>
    </w:p>
    <w:p>
      <w:pPr>
        <w:pStyle w:val="937"/>
        <w:spacing w:line="360" w:lineRule="auto"/>
        <w:rPr>
          <w:rFonts w:hAnsi="宋体" w:cs="宋体"/>
          <w:sz w:val="28"/>
          <w:szCs w:val="28"/>
        </w:rPr>
        <w:outlineLvl w:val="0"/>
      </w:pPr>
      <w:r>
        <w:rPr>
          <w:rFonts w:hint="eastAsia" w:ascii="仿宋" w:hAnsi="仿宋" w:eastAsia="仿宋" w:cs="仿宋"/>
          <w:b/>
          <w:color w:val="000000"/>
          <w:spacing w:val="-9"/>
          <w:sz w:val="28"/>
          <w:szCs w:val="28"/>
        </w:rPr>
        <w:t xml:space="preserve">二、本项目预算总金额123.3万元人民币，</w:t>
      </w:r>
      <w:r>
        <w:rPr>
          <w:rFonts w:hint="eastAsia" w:ascii="仿宋" w:hAnsi="仿宋" w:eastAsia="仿宋" w:cs="仿宋"/>
          <w:b/>
          <w:bCs/>
          <w:sz w:val="28"/>
          <w:szCs w:val="28"/>
        </w:rPr>
        <w:t xml:space="preserve">分四个采购包。</w:t>
      </w:r>
      <w:r>
        <w:rPr>
          <w:rFonts w:hint="eastAsia" w:ascii="仿宋" w:hAnsi="仿宋" w:eastAsia="仿宋" w:cs="仿宋"/>
          <w:bCs/>
          <w:color w:val="000000"/>
          <w:spacing w:val="-9"/>
          <w:sz w:val="28"/>
          <w:szCs w:val="28"/>
        </w:rPr>
        <w:t xml:space="preserve">采购包一不接受超过311000元人民币，采购包二不接受超过310500元人民币，采购包三不接受超过306000元人民币，采购包四不接受超过305500元人民币（采购预算金额）的投标报价。</w:t>
      </w:r>
      <w:r>
        <w:rPr>
          <w:rFonts w:hint="eastAsia" w:ascii="仿宋" w:hAnsi="仿宋" w:eastAsia="仿宋" w:cs="仿宋"/>
          <w:bCs/>
          <w:color w:val="000000"/>
          <w:sz w:val="28"/>
          <w:szCs w:val="28"/>
        </w:rPr>
        <w:t xml:space="preserve">（报价包含项目完成所需全部费用（含</w:t>
      </w:r>
      <w:r>
        <w:rPr>
          <w:rFonts w:hint="eastAsia" w:ascii="仿宋" w:hAnsi="仿宋" w:eastAsia="仿宋" w:cs="仿宋"/>
          <w:bCs/>
          <w:sz w:val="28"/>
          <w:szCs w:val="28"/>
        </w:rPr>
        <w:t xml:space="preserve">支付现场抽样样品费），</w:t>
      </w:r>
      <w:r>
        <w:rPr>
          <w:rFonts w:hint="eastAsia" w:ascii="仿宋" w:hAnsi="仿宋" w:eastAsia="仿宋" w:cs="仿宋"/>
          <w:sz w:val="28"/>
          <w:szCs w:val="28"/>
        </w:rPr>
        <w:t xml:space="preserve">采购人不再支付报价以外的任何费用。）</w:t>
      </w:r>
      <w:r>
        <w:rPr>
          <w:rFonts w:hint="eastAsia" w:ascii="仿宋" w:hAnsi="仿宋" w:eastAsia="仿宋" w:cs="仿宋"/>
          <w:color w:val="000000"/>
          <w:sz w:val="28"/>
          <w:szCs w:val="28"/>
        </w:rPr>
        <w:t xml:space="preserve">每个投标人可以参与多个采购包的评审但只允许成为一个采购包的中标人。本项目按采购包一至采购包四的顺序进行评审定标，在前一采购包中被确定为中标人的，可以参与下一采购包的评审，但不得再次成为中标人，不再作为后续采购包的有效投标人。且各采购包的有效投标人数量不得少于3家，否则该采购包按废标处理。</w:t>
      </w:r>
      <w:r/>
    </w:p>
    <w:p>
      <w:pPr>
        <w:ind w:right="567" w:firstLine="263"/>
        <w:spacing w:before="47" w:line="360" w:lineRule="auto"/>
        <w:rPr>
          <w:rFonts w:hint="eastAsia" w:ascii="仿宋" w:hAnsi="仿宋" w:eastAsia="仿宋" w:cs="仿宋"/>
          <w:spacing w:val="-11"/>
          <w:sz w:val="28"/>
          <w:szCs w:val="28"/>
        </w:rPr>
        <w:outlineLvl w:val="0"/>
      </w:pPr>
      <w:r>
        <w:rPr>
          <w:rFonts w:hint="eastAsia" w:ascii="仿宋" w:hAnsi="仿宋" w:eastAsia="仿宋" w:cs="仿宋"/>
          <w:b/>
          <w:spacing w:val="-9"/>
          <w:sz w:val="28"/>
          <w:szCs w:val="28"/>
        </w:rPr>
        <w:t xml:space="preserve">三、服务</w:t>
      </w:r>
      <w:r>
        <w:rPr>
          <w:rFonts w:hint="eastAsia" w:ascii="仿宋" w:hAnsi="仿宋" w:eastAsia="仿宋" w:cs="仿宋"/>
          <w:b/>
          <w:spacing w:val="-10"/>
          <w:sz w:val="28"/>
          <w:szCs w:val="28"/>
        </w:rPr>
        <w:t xml:space="preserve">期：</w:t>
      </w:r>
      <w:r>
        <w:rPr>
          <w:rFonts w:hint="eastAsia" w:ascii="仿宋" w:hAnsi="仿宋" w:eastAsia="仿宋" w:cs="仿宋"/>
          <w:spacing w:val="-11"/>
          <w:sz w:val="28"/>
          <w:szCs w:val="28"/>
        </w:rPr>
        <w:t xml:space="preserve">自合同签定之日起至12月</w:t>
      </w:r>
      <w:r>
        <w:rPr>
          <w:rFonts w:hint="eastAsia" w:ascii="仿宋" w:hAnsi="仿宋" w:eastAsia="仿宋" w:cs="仿宋"/>
          <w:spacing w:val="-11"/>
          <w:sz w:val="28"/>
          <w:szCs w:val="28"/>
          <w:lang w:val="en-US" w:eastAsia="zh-CN"/>
        </w:rPr>
        <w:t xml:space="preserve">10日</w:t>
      </w:r>
      <w:r>
        <w:rPr>
          <w:rFonts w:hint="eastAsia" w:ascii="仿宋" w:hAnsi="仿宋" w:eastAsia="仿宋" w:cs="仿宋"/>
          <w:spacing w:val="-11"/>
          <w:sz w:val="28"/>
          <w:szCs w:val="28"/>
        </w:rPr>
        <w:t xml:space="preserve">项目结束。</w:t>
      </w:r>
      <w:r/>
    </w:p>
    <w:p>
      <w:pPr>
        <w:ind w:right="567" w:firstLine="263"/>
        <w:spacing w:before="47" w:line="360" w:lineRule="auto"/>
        <w:rPr>
          <w:rFonts w:hint="eastAsia" w:ascii="仿宋" w:hAnsi="仿宋" w:eastAsia="仿宋" w:cs="仿宋"/>
          <w:b/>
          <w:sz w:val="28"/>
          <w:szCs w:val="28"/>
        </w:rPr>
        <w:outlineLvl w:val="0"/>
      </w:pPr>
      <w:r>
        <w:rPr>
          <w:rFonts w:hint="eastAsia" w:ascii="仿宋" w:hAnsi="仿宋" w:eastAsia="仿宋" w:cs="仿宋"/>
          <w:b/>
          <w:spacing w:val="-9"/>
          <w:sz w:val="28"/>
          <w:szCs w:val="28"/>
        </w:rPr>
        <w:t xml:space="preserve">四、项目概述：</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为进一步加强我区农产品质量安全监管，深入贯彻《中华人民共和国农产品质量安全法》《江苏省农产品质量安全条例》，根据省厅《关于开展2026年农产品质量安全监测工作的通知》（苏农办质〔2026〕2号）文件要求，我区2026年继续组织开展种植、畜禽、水产品等农产品质量安全的风险监测工作（包括例行监测和监督抽查），主要内容包括抽样、样品质量检测等。采购包划分如下：</w:t>
      </w:r>
      <w:r/>
    </w:p>
    <w:p>
      <w:pPr>
        <w:pStyle w:val="713"/>
        <w:ind w:right="567"/>
        <w:jc w:val="both"/>
        <w:rPr>
          <w:rFonts w:hint="eastAsia" w:ascii="仿宋" w:hAnsi="仿宋" w:eastAsia="仿宋" w:cs="仿宋"/>
          <w:b/>
          <w:bCs/>
          <w:sz w:val="28"/>
          <w:szCs w:val="28"/>
        </w:rPr>
      </w:pPr>
      <w:r>
        <w:rPr>
          <w:rFonts w:hint="eastAsia" w:ascii="仿宋" w:hAnsi="仿宋" w:eastAsia="仿宋" w:cs="仿宋"/>
          <w:b/>
          <w:bCs/>
          <w:spacing w:val="-8"/>
          <w:sz w:val="28"/>
          <w:szCs w:val="28"/>
        </w:rPr>
        <w:t xml:space="preserve">（一）采购包</w:t>
      </w:r>
      <w:r>
        <w:rPr>
          <w:rFonts w:hint="eastAsia" w:ascii="仿宋" w:hAnsi="仿宋" w:eastAsia="仿宋" w:cs="仿宋"/>
          <w:b/>
          <w:bCs/>
          <w:sz w:val="28"/>
          <w:szCs w:val="28"/>
        </w:rPr>
        <w:t xml:space="preserve">一：</w:t>
      </w:r>
      <w:r/>
    </w:p>
    <w:p>
      <w:pPr>
        <w:spacing w:before="159"/>
        <w:rPr>
          <w:rFonts w:ascii="宋体" w:hAnsi="宋体" w:cs="宋体"/>
          <w:sz w:val="28"/>
          <w:szCs w:val="28"/>
        </w:rPr>
      </w:pPr>
      <w:r>
        <w:rPr>
          <w:rFonts w:hint="eastAsia" w:ascii="仿宋" w:hAnsi="仿宋" w:eastAsia="仿宋" w:cs="仿宋"/>
          <w:b/>
          <w:sz w:val="28"/>
          <w:szCs w:val="28"/>
          <w:lang w:eastAsia="zh-CN"/>
        </w:rPr>
        <w:t xml:space="preserve">2026年铜山区农产品质量安全风险监测项目</w:t>
      </w:r>
      <w:r>
        <w:rPr>
          <w:rFonts w:hint="eastAsia" w:ascii="仿宋" w:hAnsi="仿宋" w:eastAsia="仿宋" w:cs="仿宋"/>
          <w:b/>
          <w:sz w:val="28"/>
          <w:szCs w:val="28"/>
        </w:rPr>
        <w:t xml:space="preserve">任务分配表</w:t>
      </w:r>
      <w:r/>
    </w:p>
    <w:tbl>
      <w:tblPr>
        <w:tblStyle w:val="707"/>
        <w:tblW w:w="0" w:type="auto"/>
        <w:tblInd w:w="0" w:type="dxa"/>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972"/>
        <w:gridCol w:w="860"/>
        <w:gridCol w:w="1860"/>
        <w:gridCol w:w="919"/>
        <w:gridCol w:w="821"/>
        <w:gridCol w:w="1932"/>
        <w:gridCol w:w="1008"/>
        <w:gridCol w:w="996"/>
      </w:tblGrid>
      <w:tr>
        <w:trPr>
          <w:trHeight w:val="301"/>
        </w:trPr>
        <w:tc>
          <w:tcPr>
            <w:shd w:val="clear" w:color="auto"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hint="eastAsia" w:ascii="仿宋" w:hAnsi="仿宋" w:eastAsia="仿宋" w:cs="仿宋"/>
                <w:b/>
              </w:rPr>
            </w:pPr>
            <w:r>
              <w:rPr>
                <w:rFonts w:hint="eastAsia" w:ascii="仿宋" w:hAnsi="仿宋" w:eastAsia="仿宋" w:cs="仿宋"/>
                <w:b/>
              </w:rPr>
              <w:t xml:space="preserve">镇（街道）</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例行抽检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761"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监督抽检</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hint="eastAsia" w:ascii="仿宋" w:hAnsi="仿宋" w:eastAsia="仿宋" w:cs="仿宋"/>
                <w:b/>
              </w:rPr>
            </w:pPr>
            <w:r>
              <w:rPr>
                <w:rFonts w:hint="eastAsia" w:ascii="仿宋" w:hAnsi="仿宋" w:eastAsia="仿宋" w:cs="仿宋"/>
                <w:b/>
              </w:rPr>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农产品（个）</w:t>
            </w:r>
            <w:r/>
          </w:p>
        </w:tc>
        <w:tc>
          <w:tcPr>
            <w:shd w:val="clear" w:color="auto" w:fill="ffffff"/>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畜产品（个）</w:t>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水产品（个）</w:t>
            </w:r>
            <w:r/>
          </w:p>
        </w:tc>
        <w:tc>
          <w:tcPr>
            <w:shd w:val="clear" w:color="auto" w:fill="ffffff"/>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农产品（个）</w:t>
            </w:r>
            <w:r/>
          </w:p>
        </w:tc>
        <w:tc>
          <w:tcPr>
            <w:shd w:val="clear" w:color="auto" w:fill="ffffff"/>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畜产品（个）</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水产品（个）</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合计</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棠张</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6（猪肉2、牛羊肉2、禽蛋2）</w:t>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4（猪肉2、牛羊肉2）</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590</w:t>
            </w:r>
            <w:r/>
          </w:p>
        </w:tc>
      </w:tr>
      <w:tr>
        <w:trPr>
          <w:trHeight w:val="228"/>
        </w:trPr>
        <w:tc>
          <w:tcPr>
            <w:shd w:val="clear" w:color="auto" w:fill="ffffff"/>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新区</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hint="eastAsia" w:ascii="仿宋" w:hAnsi="仿宋" w:eastAsia="仿宋" w:cs="仿宋"/>
                <w:color w:val="ff0000"/>
              </w:rPr>
            </w:pPr>
            <w:r>
              <w:rPr>
                <w:rFonts w:hint="eastAsia" w:ascii="仿宋" w:hAnsi="仿宋" w:eastAsia="仿宋" w:cs="仿宋"/>
                <w:color w:val="ff0000"/>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张集</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10（禽蛋）</w:t>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5（牛羊肉1、禽肉1、禽蛋3）</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hint="eastAsia" w:ascii="仿宋" w:hAnsi="仿宋" w:eastAsia="仿宋" w:cs="仿宋"/>
                <w:color w:val="ff0000"/>
              </w:rPr>
            </w:pPr>
            <w:r>
              <w:rPr>
                <w:rFonts w:hint="eastAsia" w:ascii="仿宋" w:hAnsi="仿宋" w:eastAsia="仿宋" w:cs="仿宋"/>
                <w:color w:val="ff0000"/>
              </w:rPr>
            </w:r>
            <w:r/>
          </w:p>
        </w:tc>
      </w:tr>
    </w:tbl>
    <w:p>
      <w:pPr>
        <w:spacing w:before="70" w:line="360" w:lineRule="auto"/>
        <w:rPr>
          <w:rFonts w:hint="eastAsia" w:ascii="仿宋" w:hAnsi="仿宋" w:eastAsia="仿宋" w:cs="仿宋"/>
          <w:b/>
          <w:sz w:val="28"/>
          <w:szCs w:val="28"/>
        </w:rPr>
      </w:pPr>
      <w:r/>
      <w:bookmarkStart w:id="1" w:name="丰__县"/>
      <w:r/>
      <w:bookmarkEnd w:id="1"/>
      <w:r>
        <w:rPr>
          <w:rFonts w:hint="eastAsia" w:ascii="仿宋" w:hAnsi="仿宋" w:eastAsia="仿宋" w:cs="仿宋"/>
          <w:b/>
          <w:sz w:val="28"/>
          <w:szCs w:val="28"/>
        </w:rPr>
        <w:t xml:space="preserve">（二）采购包二：</w:t>
      </w:r>
      <w:r/>
    </w:p>
    <w:p>
      <w:pPr>
        <w:ind w:firstLine="562"/>
        <w:spacing w:before="210" w:line="360" w:lineRule="auto"/>
        <w:rPr>
          <w:rFonts w:hint="eastAsia" w:ascii="仿宋" w:hAnsi="仿宋" w:eastAsia="仿宋" w:cs="仿宋"/>
          <w:b/>
          <w:sz w:val="28"/>
          <w:szCs w:val="28"/>
        </w:rPr>
      </w:pPr>
      <w:r>
        <w:rPr>
          <w:rFonts w:hint="eastAsia" w:ascii="仿宋" w:hAnsi="仿宋" w:eastAsia="仿宋" w:cs="仿宋"/>
          <w:b/>
          <w:sz w:val="28"/>
          <w:szCs w:val="28"/>
          <w:lang w:eastAsia="zh-CN"/>
        </w:rPr>
        <w:t xml:space="preserve">2026年铜山区农产品质量安全风险监测项目</w:t>
      </w:r>
      <w:r>
        <w:rPr>
          <w:rFonts w:hint="eastAsia" w:ascii="仿宋" w:hAnsi="仿宋" w:eastAsia="仿宋" w:cs="仿宋"/>
          <w:b/>
          <w:sz w:val="28"/>
          <w:szCs w:val="28"/>
        </w:rPr>
        <w:t xml:space="preserve">任务分配表</w:t>
      </w:r>
      <w:r/>
    </w:p>
    <w:tbl>
      <w:tblPr>
        <w:tblStyle w:val="707"/>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959"/>
        <w:gridCol w:w="885"/>
        <w:gridCol w:w="1848"/>
        <w:gridCol w:w="936"/>
        <w:gridCol w:w="840"/>
        <w:gridCol w:w="1908"/>
        <w:gridCol w:w="1008"/>
        <w:gridCol w:w="1272"/>
      </w:tblGrid>
      <w:tr>
        <w:trPr>
          <w:trHeight w:val="228"/>
        </w:trPr>
        <w:tc>
          <w:tcPr>
            <w:tcBorders>
              <w:top w:val="single" w:color="000000" w:sz="4" w:space="0"/>
              <w:left w:val="single" w:color="000000" w:sz="4" w:space="0"/>
              <w:bottom w:val="single" w:color="000000" w:sz="4" w:space="0"/>
              <w:right w:val="single" w:color="000000" w:sz="4" w:space="0"/>
            </w:tcBorders>
            <w:tcW w:w="959" w:type="dxa"/>
            <w:vAlign w:val="center"/>
            <w:vMerge w:val="restart"/>
            <w:textDirection w:val="lrTb"/>
            <w:noWrap w:val="false"/>
          </w:tcPr>
          <w:p>
            <w:pPr>
              <w:jc w:val="center"/>
              <w:rPr>
                <w:rFonts w:hint="eastAsia" w:ascii="仿宋" w:hAnsi="仿宋" w:eastAsia="仿宋" w:cs="仿宋"/>
                <w:b/>
              </w:rPr>
            </w:pPr>
            <w:r>
              <w:rPr>
                <w:rFonts w:hint="eastAsia" w:ascii="仿宋" w:hAnsi="仿宋" w:eastAsia="仿宋" w:cs="仿宋"/>
                <w:b/>
              </w:rPr>
              <w:t xml:space="preserve">镇（街道）</w:t>
            </w:r>
            <w:r/>
          </w:p>
        </w:tc>
        <w:tc>
          <w:tcPr>
            <w:gridSpan w:val="3"/>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例行抽检</w:t>
            </w:r>
            <w:r/>
          </w:p>
        </w:tc>
        <w:tc>
          <w:tcPr>
            <w:gridSpan w:val="3"/>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监督抽检</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r>
            <w:r/>
          </w:p>
        </w:tc>
      </w:tr>
      <w:tr>
        <w:trPr>
          <w:trHeight w:val="480"/>
        </w:trPr>
        <w:tc>
          <w:tcPr>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hint="eastAsia" w:ascii="仿宋" w:hAnsi="仿宋" w:eastAsia="仿宋" w:cs="仿宋"/>
                <w:b/>
              </w:rPr>
            </w:pPr>
            <w:r>
              <w:rPr>
                <w:rFonts w:hint="eastAsia" w:ascii="仿宋" w:hAnsi="仿宋" w:eastAsia="仿宋" w:cs="仿宋"/>
                <w:b/>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农产品（个）</w:t>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畜产品（个）</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水产品（个）</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农产品（个）</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畜产品（个）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水产品（个）</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合计</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郑集</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13（牛羊肉2、禽蛋11）</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4（牛羊肉2、禽蛋2）</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589</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茅村</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5（禽蛋）</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2（禽蛋）</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柳泉</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7（禽蛋）</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2（禽蛋）</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利国</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5（禽蛋）</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28"/>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沿湖</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大彭</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10（禽蛋）</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3（禽蛋）</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汉王</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5（禽蛋）</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2（禽蛋）</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铜山</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2（禽蛋）</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三堡</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2（禽蛋）</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bl>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bCs/>
          <w:sz w:val="28"/>
          <w:szCs w:val="28"/>
        </w:rPr>
      </w:pPr>
      <w:r>
        <w:rPr>
          <w:rFonts w:hint="eastAsia" w:ascii="仿宋" w:hAnsi="仿宋" w:eastAsia="仿宋" w:cs="仿宋"/>
          <w:b/>
          <w:bCs/>
          <w:sz w:val="28"/>
          <w:szCs w:val="28"/>
        </w:rPr>
        <w:t xml:space="preserve">（三）采购包三：</w:t>
      </w:r>
      <w:r/>
    </w:p>
    <w:p>
      <w:pPr>
        <w:jc w:val="center"/>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2026年铜山区农产品质量安全风险监测项目</w:t>
      </w:r>
      <w:r>
        <w:rPr>
          <w:rFonts w:hint="eastAsia" w:ascii="仿宋" w:hAnsi="仿宋" w:eastAsia="仿宋" w:cs="仿宋"/>
          <w:b/>
          <w:bCs/>
          <w:sz w:val="28"/>
          <w:szCs w:val="28"/>
        </w:rPr>
        <w:t xml:space="preserve">任务分配表</w:t>
      </w:r>
      <w:r/>
    </w:p>
    <w:tbl>
      <w:tblPr>
        <w:tblStyle w:val="707"/>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959"/>
        <w:gridCol w:w="897"/>
        <w:gridCol w:w="1824"/>
        <w:gridCol w:w="948"/>
        <w:gridCol w:w="840"/>
        <w:gridCol w:w="1920"/>
        <w:gridCol w:w="1008"/>
        <w:gridCol w:w="1260"/>
      </w:tblGrid>
      <w:tr>
        <w:trPr>
          <w:trHeight w:val="228"/>
        </w:trPr>
        <w:tc>
          <w:tcPr>
            <w:tcBorders>
              <w:top w:val="single" w:color="000000" w:sz="4" w:space="0"/>
              <w:left w:val="single" w:color="000000" w:sz="4" w:space="0"/>
              <w:bottom w:val="single" w:color="000000" w:sz="4" w:space="0"/>
              <w:right w:val="single" w:color="000000" w:sz="4" w:space="0"/>
            </w:tcBorders>
            <w:tcW w:w="959" w:type="dxa"/>
            <w:vAlign w:val="center"/>
            <w:vMerge w:val="restart"/>
            <w:textDirection w:val="lrTb"/>
            <w:noWrap w:val="false"/>
          </w:tcPr>
          <w:p>
            <w:pPr>
              <w:jc w:val="center"/>
              <w:rPr>
                <w:rFonts w:hint="eastAsia" w:ascii="仿宋" w:hAnsi="仿宋" w:eastAsia="仿宋" w:cs="仿宋"/>
                <w:b/>
              </w:rPr>
            </w:pPr>
            <w:r>
              <w:rPr>
                <w:rFonts w:hint="eastAsia" w:ascii="仿宋" w:hAnsi="仿宋" w:eastAsia="仿宋" w:cs="仿宋"/>
                <w:b/>
              </w:rPr>
              <w:t xml:space="preserve">镇（街道）</w:t>
            </w:r>
            <w:r/>
          </w:p>
        </w:tc>
        <w:tc>
          <w:tcPr>
            <w:gridSpan w:val="3"/>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例行抽检</w:t>
            </w:r>
            <w:r/>
          </w:p>
        </w:tc>
        <w:tc>
          <w:tcPr>
            <w:gridSpan w:val="3"/>
            <w:tcBorders>
              <w:top w:val="single" w:color="000000" w:sz="4" w:space="0"/>
              <w:left w:val="single" w:color="000000" w:sz="4" w:space="0"/>
              <w:bottom w:val="single" w:color="000000" w:sz="4" w:space="0"/>
              <w:right w:val="single" w:color="000000" w:sz="4" w:space="0"/>
            </w:tcBorders>
            <w:tcW w:w="376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监督抽检</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r>
            <w:r/>
          </w:p>
        </w:tc>
      </w:tr>
      <w:tr>
        <w:trPr>
          <w:trHeight w:val="480"/>
        </w:trPr>
        <w:tc>
          <w:tcPr>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hint="eastAsia" w:ascii="仿宋" w:hAnsi="仿宋" w:eastAsia="仿宋" w:cs="仿宋"/>
                <w:b/>
              </w:rPr>
            </w:pPr>
            <w:r>
              <w:rPr>
                <w:rFonts w:hint="eastAsia" w:ascii="仿宋" w:hAnsi="仿宋" w:eastAsia="仿宋" w:cs="仿宋"/>
                <w:b/>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农产品（个）</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畜产品（个）</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水产品（个）</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农产品（个）</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畜产品（个）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水产品（个）</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合计</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房村</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18（禽蛋）</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4（禽蛋）</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581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伊庄</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10（禽蛋）</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4（禽蛋）</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单集</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10（牛羊肉2、禽蛋8）</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2（禽蛋）</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大许</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6（禽蛋）</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2（禽蛋）</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bl>
    <w:p>
      <w:pPr>
        <w:rPr>
          <w:rFonts w:hint="eastAsia" w:ascii="仿宋" w:hAnsi="仿宋" w:eastAsia="仿宋" w:cs="仿宋"/>
          <w:b/>
          <w:bCs/>
          <w:sz w:val="28"/>
          <w:szCs w:val="28"/>
        </w:rPr>
      </w:pPr>
      <w:r>
        <w:rPr>
          <w:rFonts w:hint="eastAsia" w:ascii="仿宋" w:hAnsi="仿宋" w:eastAsia="仿宋" w:cs="仿宋"/>
          <w:b/>
          <w:bCs/>
          <w:sz w:val="28"/>
          <w:szCs w:val="28"/>
        </w:rPr>
        <w:t xml:space="preserve">（四）采购包四：</w:t>
      </w:r>
      <w:r/>
    </w:p>
    <w:p>
      <w:pPr>
        <w:jc w:val="center"/>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2026年铜山区农产品质量安全风险监测项目</w:t>
      </w:r>
      <w:r>
        <w:rPr>
          <w:rFonts w:hint="eastAsia" w:ascii="仿宋" w:hAnsi="仿宋" w:eastAsia="仿宋" w:cs="仿宋"/>
          <w:b/>
          <w:bCs/>
          <w:sz w:val="28"/>
          <w:szCs w:val="28"/>
        </w:rPr>
        <w:t xml:space="preserve">任务分配表</w:t>
      </w:r>
      <w:r/>
    </w:p>
    <w:tbl>
      <w:tblPr>
        <w:tblStyle w:val="707"/>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959"/>
        <w:gridCol w:w="885"/>
        <w:gridCol w:w="1824"/>
        <w:gridCol w:w="960"/>
        <w:gridCol w:w="840"/>
        <w:gridCol w:w="1920"/>
        <w:gridCol w:w="1008"/>
        <w:gridCol w:w="1248"/>
      </w:tblGrid>
      <w:tr>
        <w:trPr>
          <w:trHeight w:val="228"/>
        </w:trPr>
        <w:tc>
          <w:tcPr>
            <w:tcBorders>
              <w:top w:val="single" w:color="000000" w:sz="4" w:space="0"/>
              <w:left w:val="single" w:color="000000" w:sz="4" w:space="0"/>
              <w:bottom w:val="single" w:color="000000" w:sz="4" w:space="0"/>
              <w:right w:val="single" w:color="000000" w:sz="4" w:space="0"/>
            </w:tcBorders>
            <w:tcW w:w="959" w:type="dxa"/>
            <w:vAlign w:val="center"/>
            <w:vMerge w:val="restart"/>
            <w:textDirection w:val="lrTb"/>
            <w:noWrap w:val="false"/>
          </w:tcPr>
          <w:p>
            <w:pPr>
              <w:jc w:val="center"/>
              <w:rPr>
                <w:rFonts w:hint="eastAsia" w:ascii="仿宋" w:hAnsi="仿宋" w:eastAsia="仿宋" w:cs="仿宋"/>
                <w:b/>
              </w:rPr>
            </w:pPr>
            <w:r>
              <w:rPr>
                <w:rFonts w:hint="eastAsia" w:ascii="仿宋" w:hAnsi="仿宋" w:eastAsia="仿宋" w:cs="仿宋"/>
                <w:b/>
              </w:rPr>
              <w:t xml:space="preserve">镇（街道）</w:t>
            </w:r>
            <w:r/>
          </w:p>
        </w:tc>
        <w:tc>
          <w:tcPr>
            <w:gridSpan w:val="3"/>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例行抽检</w:t>
            </w:r>
            <w:r/>
          </w:p>
        </w:tc>
        <w:tc>
          <w:tcPr>
            <w:gridSpan w:val="3"/>
            <w:tcBorders>
              <w:top w:val="single" w:color="000000" w:sz="4" w:space="0"/>
              <w:left w:val="single" w:color="000000" w:sz="4" w:space="0"/>
              <w:bottom w:val="single" w:color="000000" w:sz="4" w:space="0"/>
              <w:right w:val="single" w:color="000000" w:sz="4" w:space="0"/>
            </w:tcBorders>
            <w:tcW w:w="376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监督抽检</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r>
            <w:r/>
          </w:p>
        </w:tc>
      </w:tr>
      <w:tr>
        <w:trPr>
          <w:trHeight w:val="480"/>
        </w:trPr>
        <w:tc>
          <w:tcPr>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hint="eastAsia" w:ascii="仿宋" w:hAnsi="仿宋" w:eastAsia="仿宋" w:cs="仿宋"/>
                <w:b/>
              </w:rPr>
            </w:pPr>
            <w:r>
              <w:rPr>
                <w:rFonts w:hint="eastAsia" w:ascii="仿宋" w:hAnsi="仿宋" w:eastAsia="仿宋" w:cs="仿宋"/>
                <w:b/>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农产品（个）</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畜产品（个）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水产品（个）</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农产品（个）</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畜产品（个）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水产品（个）</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合计</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何桥</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7（禽蛋）</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2（禽蛋）</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580</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黄集</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18（猪肉2、牛羊肉2、禽蛋14）</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4（牛羊肉2、禽蛋2）</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马坡</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7（禽蛋）</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刘集</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5（禽蛋）</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r>
    </w:tbl>
    <w:p>
      <w:pPr>
        <w:ind w:right="200"/>
        <w:spacing w:before="61" w:line="360" w:lineRule="auto"/>
        <w:rPr>
          <w:rFonts w:hint="eastAsia" w:ascii="仿宋" w:hAnsi="仿宋" w:eastAsia="仿宋" w:cs="仿宋"/>
          <w:b/>
          <w:sz w:val="28"/>
          <w:szCs w:val="28"/>
        </w:rPr>
      </w:pPr>
      <w:r>
        <w:rPr>
          <w:rFonts w:hint="eastAsia" w:ascii="仿宋" w:hAnsi="仿宋" w:eastAsia="仿宋" w:cs="仿宋"/>
          <w:b/>
          <w:spacing w:val="-9"/>
          <w:sz w:val="28"/>
          <w:szCs w:val="28"/>
        </w:rPr>
        <w:t xml:space="preserve">五、服务要求：</w:t>
      </w:r>
      <w:r/>
    </w:p>
    <w:p>
      <w:pPr>
        <w:ind w:right="200"/>
        <w:spacing w:line="360" w:lineRule="auto"/>
        <w:rPr>
          <w:rFonts w:hint="eastAsia" w:ascii="仿宋" w:hAnsi="仿宋" w:eastAsia="仿宋" w:cs="仿宋"/>
          <w:sz w:val="28"/>
          <w:szCs w:val="28"/>
        </w:rPr>
      </w:pPr>
      <w:r>
        <w:rPr>
          <w:rFonts w:hint="eastAsia" w:ascii="仿宋" w:hAnsi="仿宋" w:eastAsia="仿宋" w:cs="仿宋"/>
          <w:b/>
          <w:sz w:val="28"/>
          <w:szCs w:val="28"/>
        </w:rPr>
        <w:t xml:space="preserve">（一）监测范围及对象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区级农产品质量安全例行监测覆盖全区20个涉农镇、街道。抽检产品为铜山区地产食用农产品，抽检农产品类型包括种植、畜禽、水产品三大类。抽样环节包括种养殖基地、屠宰场、田头收购点、田头储存场所、水产品暂养池 、运输车、农业农村部门组织农产品展销场所等。样品不足的，可以抽取农产品批发市场、农贸市场，不抽超市。</w:t>
      </w:r>
      <w:r/>
    </w:p>
    <w:p>
      <w:pPr>
        <w:ind w:right="200"/>
        <w:spacing w:line="360" w:lineRule="auto"/>
        <w:rPr>
          <w:rFonts w:hint="eastAsia" w:ascii="仿宋" w:hAnsi="仿宋" w:eastAsia="仿宋" w:cs="仿宋"/>
          <w:sz w:val="28"/>
          <w:szCs w:val="28"/>
        </w:rPr>
      </w:pPr>
      <w:r>
        <w:rPr>
          <w:rFonts w:hint="eastAsia" w:ascii="仿宋" w:hAnsi="仿宋" w:eastAsia="仿宋" w:cs="仿宋"/>
          <w:b/>
          <w:sz w:val="28"/>
          <w:szCs w:val="28"/>
        </w:rPr>
        <w:t xml:space="preserve">（二）监测品种和时间、数量</w:t>
      </w:r>
      <w:r/>
    </w:p>
    <w:p>
      <w:pPr>
        <w:ind w:right="200"/>
        <w:spacing w:line="360" w:lineRule="auto"/>
        <w:rPr>
          <w:rFonts w:hint="eastAsia" w:ascii="仿宋" w:hAnsi="仿宋" w:eastAsia="仿宋" w:cs="仿宋"/>
          <w:sz w:val="28"/>
          <w:szCs w:val="28"/>
        </w:rPr>
      </w:pPr>
      <w:r>
        <w:rPr>
          <w:rFonts w:hint="eastAsia" w:ascii="仿宋" w:hAnsi="仿宋" w:eastAsia="仿宋" w:cs="仿宋"/>
          <w:sz w:val="28"/>
          <w:szCs w:val="28"/>
        </w:rPr>
        <w:t xml:space="preserve">1、风险监测品种</w:t>
      </w:r>
      <w:r/>
    </w:p>
    <w:p>
      <w:pPr>
        <w:ind w:right="200"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为保证数据客观性，抽取的品种以铜山区范围内具有一定规模的农产品为主。对纳入重点问题农产品专项整治范围内的品种，无论种养规模大小，均纳入监测范围。抽取的样品原则上不能超出以下目录品种：</w:t>
      </w:r>
      <w:r/>
    </w:p>
    <w:p>
      <w:pPr>
        <w:ind w:right="200" w:firstLine="562"/>
        <w:spacing w:line="360" w:lineRule="auto"/>
        <w:rPr>
          <w:rFonts w:hint="eastAsia" w:ascii="仿宋" w:hAnsi="仿宋" w:eastAsia="仿宋" w:cs="仿宋"/>
          <w:sz w:val="28"/>
          <w:szCs w:val="28"/>
        </w:rPr>
      </w:pPr>
      <w:r>
        <w:rPr>
          <w:rFonts w:hint="eastAsia" w:ascii="仿宋" w:hAnsi="仿宋" w:eastAsia="仿宋" w:cs="仿宋"/>
          <w:b/>
          <w:bCs/>
          <w:sz w:val="28"/>
          <w:szCs w:val="28"/>
        </w:rPr>
        <w:t xml:space="preserve">1.1种植业产品：</w:t>
      </w:r>
      <w:r>
        <w:rPr>
          <w:rFonts w:hint="eastAsia" w:ascii="仿宋" w:hAnsi="仿宋" w:eastAsia="仿宋" w:cs="仿宋"/>
          <w:sz w:val="28"/>
          <w:szCs w:val="28"/>
        </w:rPr>
        <w:t xml:space="preserve">蔬菜抽检包括叶菜类（芹菜、菠菜、叶用莴苣、蕹菜、苋菜、芫荽、茼蒿、油麦菜、大白菜、普通白菜）、茎类（茎用莴苣）、芸薹属类（结球甘蓝、花椰菜、青花菜、菜薹）、瓜类（黄瓜、冬瓜、南瓜、西葫芦、丝瓜、瓠瓜、苦瓜）、茄果类（番茄、茄子、辣椒）、豆类（豇豆、菜豆、菜用大豆、蚕豆）、鳞茎类（韭菜、葱、洋葱、大蒜、青蒜、蒜薹）、水生蔬菜（莲藕）、根茎类和薯芋类（甘薯、萝卜、胡萝卜、姜、山药、马铃薯）、鲜食玉米等。水果主要抽检葡萄、草莓、西瓜、梨、桃、杏。食用菌主要抽检平菇、杏鲍菇、双孢蘑菇、香菇、金针菇、草菇，均为鲜品。</w:t>
      </w:r>
      <w:r/>
    </w:p>
    <w:p>
      <w:pPr>
        <w:ind w:right="200" w:firstLine="562"/>
        <w:spacing w:line="360" w:lineRule="auto"/>
        <w:rPr>
          <w:rFonts w:hint="eastAsia" w:ascii="仿宋" w:hAnsi="仿宋" w:eastAsia="仿宋" w:cs="仿宋"/>
          <w:sz w:val="28"/>
          <w:szCs w:val="28"/>
        </w:rPr>
      </w:pPr>
      <w:r>
        <w:rPr>
          <w:rFonts w:hint="eastAsia" w:ascii="仿宋" w:hAnsi="仿宋" w:eastAsia="仿宋" w:cs="仿宋"/>
          <w:b/>
          <w:bCs/>
          <w:sz w:val="28"/>
          <w:szCs w:val="28"/>
        </w:rPr>
        <w:t xml:space="preserve">1.2畜禽产品：</w:t>
      </w:r>
      <w:r>
        <w:rPr>
          <w:rFonts w:hint="eastAsia" w:ascii="仿宋" w:hAnsi="仿宋" w:eastAsia="仿宋" w:cs="仿宋"/>
          <w:sz w:val="28"/>
          <w:szCs w:val="28"/>
        </w:rPr>
        <w:t xml:space="preserve">主要抽检牛肉、猪肉、猪肝、羊肉、禽肉（鸡肉、鸭肉、鸽肉）、禽蛋（鸡蛋、鹌鹑蛋、鲜鸭蛋、鸽蛋）。</w:t>
      </w:r>
      <w:r/>
    </w:p>
    <w:p>
      <w:pPr>
        <w:ind w:right="200" w:firstLine="562"/>
        <w:spacing w:line="360" w:lineRule="auto"/>
        <w:rPr>
          <w:rFonts w:hint="eastAsia" w:ascii="仿宋" w:hAnsi="仿宋" w:eastAsia="仿宋" w:cs="仿宋"/>
          <w:sz w:val="28"/>
          <w:szCs w:val="28"/>
        </w:rPr>
      </w:pPr>
      <w:r>
        <w:rPr>
          <w:rFonts w:hint="eastAsia" w:ascii="仿宋" w:hAnsi="仿宋" w:eastAsia="仿宋" w:cs="仿宋"/>
          <w:b/>
          <w:bCs/>
          <w:sz w:val="28"/>
          <w:szCs w:val="28"/>
        </w:rPr>
        <w:t xml:space="preserve">1.3水产品：</w:t>
      </w:r>
      <w:r>
        <w:rPr>
          <w:rFonts w:hint="eastAsia" w:ascii="仿宋" w:hAnsi="仿宋" w:eastAsia="仿宋" w:cs="仿宋"/>
          <w:sz w:val="28"/>
          <w:szCs w:val="28"/>
        </w:rPr>
        <w:t xml:space="preserve">主要抽检养殖鱼类（鳊鱼、黄鳝、鲫鱼、大口黑鲈、乌鳢、泥鳅、青鱼、草鱼、鲢鱼、鳙鱼、鲤鱼、鳜鱼、黄颡鱼、斑点叉尾鮰）、虾类（南美白对虾、克氏原螯虾、青虾、罗氏沼虾）、牛蛙、中华绒螯蟹。</w:t>
      </w:r>
      <w:r/>
    </w:p>
    <w:p>
      <w:pPr>
        <w:ind w:right="200"/>
        <w:spacing w:line="360" w:lineRule="auto"/>
        <w:rPr>
          <w:rFonts w:hint="eastAsia" w:ascii="仿宋" w:hAnsi="仿宋" w:eastAsia="仿宋" w:cs="仿宋"/>
          <w:sz w:val="28"/>
          <w:szCs w:val="28"/>
        </w:rPr>
      </w:pPr>
      <w:r>
        <w:rPr>
          <w:rFonts w:hint="eastAsia" w:ascii="仿宋" w:hAnsi="仿宋" w:eastAsia="仿宋" w:cs="仿宋"/>
          <w:sz w:val="28"/>
          <w:szCs w:val="28"/>
        </w:rPr>
        <w:t xml:space="preserve">2、监测时间、数量</w:t>
      </w:r>
      <w:r/>
    </w:p>
    <w:p>
      <w:pPr>
        <w:pStyle w:val="713"/>
        <w:ind w:right="567"/>
        <w:jc w:val="both"/>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rPr>
        <w:t xml:space="preserve">2.1 例行抽检：</w:t>
      </w:r>
      <w:r/>
    </w:p>
    <w:p>
      <w:pPr>
        <w:ind w:right="200" w:firstLine="560"/>
        <w:spacing w:line="360" w:lineRule="auto"/>
        <w:rPr>
          <w:rFonts w:hint="eastAsia" w:ascii="仿宋" w:hAnsi="仿宋" w:eastAsia="仿宋" w:cs="仿宋"/>
        </w:rPr>
      </w:pPr>
      <w:r>
        <w:rPr>
          <w:rFonts w:hint="eastAsia" w:ascii="仿宋" w:hAnsi="仿宋" w:eastAsia="仿宋" w:cs="仿宋"/>
          <w:sz w:val="28"/>
          <w:szCs w:val="28"/>
        </w:rPr>
        <w:t xml:space="preserve">农产品质量安全例行监测全年共抽取样品1638批次，其中，种植业产品1457批次，畜禽产品146批次，水产品35批次。例行监测工作从4月开始至12月底结束，全年共监测4-6次，具体抽样时间由承检机构与各镇（街道）农产品质量安全监管站商定。</w:t>
      </w:r>
      <w:r/>
    </w:p>
    <w:p>
      <w:pPr>
        <w:pStyle w:val="713"/>
        <w:ind w:right="567"/>
        <w:jc w:val="both"/>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rPr>
        <w:t xml:space="preserve">2.2监督抽检：</w:t>
      </w:r>
      <w:r/>
    </w:p>
    <w:p>
      <w:pPr>
        <w:ind w:right="200"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202</w:t>
      </w:r>
      <w:r>
        <w:rPr>
          <w:rFonts w:hint="eastAsia" w:ascii="仿宋" w:hAnsi="仿宋" w:eastAsia="仿宋" w:cs="仿宋"/>
          <w:sz w:val="28"/>
          <w:szCs w:val="28"/>
        </w:rPr>
        <w:t xml:space="preserve">6年区级农产品质量安全监督抽查坚持问题导向，突出重点问题品种生产区、直供学校农产品生产主体等重点区域及风险监测隐患较大的产品种类。全年计划抽检样品不少于702个。其中，种植业抽检产品为豇豆、芹菜、韭菜、辣椒、萝卜、叶菜类、草莓、葡萄等，全年共抽检646批次；畜禽抽检产品为鸡蛋、鸭蛋、鸽蛋、鹌鹑蛋、鸡肉、鸭肉、乌骨鸡肉、鸽肉、牛肉、羊肉，全年共抽检40批次；水产抽检产品为鳊鱼、鲫鱼、鲈鱼、乌鳢、牛蛙、黄鳝、泥鳅、鲤鱼、草鱼、鲢鱼，全年共抽检16批次。全年共监测3-6次，具体抽样时间由承检机构与区执法大队商定。</w:t>
      </w:r>
      <w:r/>
    </w:p>
    <w:p>
      <w:pPr>
        <w:ind w:right="200"/>
        <w:spacing w:line="360" w:lineRule="auto"/>
        <w:rPr>
          <w:rFonts w:hint="eastAsia" w:ascii="仿宋" w:hAnsi="仿宋" w:eastAsia="仿宋" w:cs="仿宋"/>
          <w:sz w:val="28"/>
          <w:szCs w:val="28"/>
        </w:rPr>
      </w:pPr>
      <w:r>
        <w:rPr>
          <w:rFonts w:hint="eastAsia" w:ascii="仿宋" w:hAnsi="仿宋" w:eastAsia="仿宋" w:cs="仿宋"/>
          <w:b/>
          <w:sz w:val="28"/>
          <w:szCs w:val="28"/>
        </w:rPr>
        <w:t xml:space="preserve">（三）、抽样要求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1、例行抽检：</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监测样品必须具有代表性。凡被确定的监测点不得拒绝抽样。本监测不得向被查单位收取任何费用。</w:t>
      </w:r>
      <w:r/>
    </w:p>
    <w:p>
      <w:pPr>
        <w:pStyle w:val="713"/>
        <w:ind w:right="567" w:firstLine="560"/>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2、监督抽查：</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抽样工作由区农业综合行政执法大队组织实施，监督抽查抽样时，现场持有执法证件的抽样人员应不少于2名。检测机构配合做好样品预处理及样品移送等工作。抽样严格按照《江苏省农产品质量安全监测工作主要程序和方法》进行。</w:t>
      </w:r>
      <w:r/>
    </w:p>
    <w:p>
      <w:pPr>
        <w:pStyle w:val="713"/>
        <w:ind w:right="567" w:firstLine="516"/>
        <w:jc w:val="both"/>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rPr>
        <w:t xml:space="preserve">3、抽样点确定</w:t>
      </w:r>
      <w:r/>
    </w:p>
    <w:p>
      <w:pPr>
        <w:ind w:firstLine="560"/>
        <w:spacing w:line="360" w:lineRule="auto"/>
        <w:rPr>
          <w:rFonts w:hint="eastAsia" w:ascii="仿宋" w:hAnsi="仿宋" w:eastAsia="仿宋" w:cs="仿宋"/>
        </w:rPr>
      </w:pPr>
      <w:r>
        <w:rPr>
          <w:rFonts w:hint="eastAsia" w:ascii="仿宋" w:hAnsi="仿宋" w:eastAsia="仿宋" w:cs="仿宋"/>
          <w:sz w:val="28"/>
          <w:szCs w:val="28"/>
        </w:rPr>
        <w:t xml:space="preserve">年度监测计划原则上应覆盖本地区所有规模以上农产品生产基地，加强小散农户抽检比例，种养殖基地样品从省农产品质量追溯管理平台或各行业生产经营主体名录中抽取，每次抽样地点应不少于4个基地，每个种养殖主体全年抽检不超过3次。收储运和市场环节仅抽取产地为我区的农产品，每个抽检点每次抽取同行业样品不超过2个，同一品种只抽取1个样品，全年抽检不超过2次。</w:t>
      </w:r>
      <w:r/>
    </w:p>
    <w:p>
      <w:pPr>
        <w:pStyle w:val="713"/>
        <w:ind w:right="567" w:firstLine="516"/>
        <w:jc w:val="both"/>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rPr>
        <w:t xml:space="preserve">4、抽样方法</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蔬果产品：按《农药残留分析样本的采样方法》（NY/T 789）规定执行。</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畜禽产品：参照《动物及动物产品兽药残留监控抽样规范》（NY/T 1897）及有关标准执行。样品均需冷冻保存。</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水产品：按《水产品抽样规范》（GB/T 30891）规定执行。样品需冷冻保存。</w:t>
      </w:r>
      <w:r/>
    </w:p>
    <w:p>
      <w:pPr>
        <w:pStyle w:val="713"/>
        <w:ind w:right="567" w:firstLine="516"/>
        <w:jc w:val="both"/>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rPr>
        <w:t xml:space="preserve">5、抽样方式</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抽样工作由区农业农村局农产品质量安全监管科牵头，养殖产品抽样工作由兽医和畜禽屠宰科、渔业渔政管理科具体实施，各承检机构要严格按照方案规定进行抽样。</w:t>
      </w:r>
      <w:r/>
    </w:p>
    <w:p>
      <w:pPr>
        <w:ind w:firstLine="516"/>
        <w:spacing w:line="360" w:lineRule="auto"/>
        <w:rPr>
          <w:rFonts w:hint="eastAsia" w:ascii="仿宋" w:hAnsi="仿宋" w:eastAsia="仿宋" w:cs="仿宋"/>
          <w:spacing w:val="-11"/>
          <w:sz w:val="28"/>
          <w:szCs w:val="28"/>
        </w:rPr>
        <w:outlineLvl w:val="0"/>
      </w:pPr>
      <w:r>
        <w:rPr>
          <w:rFonts w:hint="eastAsia" w:ascii="仿宋" w:hAnsi="仿宋" w:eastAsia="仿宋" w:cs="仿宋"/>
          <w:spacing w:val="-11"/>
          <w:sz w:val="28"/>
          <w:szCs w:val="28"/>
        </w:rPr>
        <w:t xml:space="preserve">6、样品预处理。</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监督抽检所抽样品按照不同检测参数需一式3份（检测样、备份样、复检样）预处理，并分别进行封存，受检单位和抽样单位均应在封条上签字并盖章。其中检测样和备份样交由承检单位进行检测，复检样由局监管科按要求保存，不得留存于受检单位。抽样时要认真填写抽样单，详细登记被检单位、样品来源等信息。</w:t>
      </w:r>
      <w:r/>
    </w:p>
    <w:p>
      <w:pPr>
        <w:pStyle w:val="698"/>
        <w:ind w:right="200"/>
        <w:spacing w:before="1"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六、监测项目及检测方法：</w:t>
      </w:r>
      <w:r/>
    </w:p>
    <w:p>
      <w:pPr>
        <w:pStyle w:val="713"/>
        <w:spacing w:before="240"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（一）例行监测项目、检测方法和判定依据</w:t>
      </w:r>
      <w:r/>
    </w:p>
    <w:p>
      <w:pPr>
        <w:ind w:left="1" w:hanging="1"/>
        <w:jc w:val="center"/>
        <w:rPr>
          <w:rFonts w:hint="eastAsia" w:ascii="仿宋" w:hAnsi="仿宋" w:eastAsia="仿宋" w:cs="仿宋"/>
          <w:bCs/>
          <w:sz w:val="28"/>
          <w:szCs w:val="28"/>
        </w:rPr>
      </w:pPr>
      <w:r>
        <w:rPr>
          <w:rFonts w:hint="eastAsia" w:ascii="仿宋" w:hAnsi="仿宋" w:eastAsia="仿宋" w:cs="仿宋"/>
          <w:bCs/>
          <w:sz w:val="28"/>
          <w:szCs w:val="28"/>
        </w:rPr>
        <w:t xml:space="preserve">种植业产品质量安全例行监测检测方法和判定依据</w:t>
      </w:r>
      <w:r/>
    </w:p>
    <w:tbl>
      <w:tblPr>
        <w:tblStyle w:val="707"/>
        <w:tblpPr w:horzAnchor="page" w:tblpX="854" w:vertAnchor="text" w:tblpY="58" w:leftFromText="180" w:topFromText="0" w:rightFromText="180" w:bottomFromText="0"/>
        <w:tblW w:w="0" w:type="auto"/>
        <w:tblInd w:w="-5" w:type="dxa"/>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170"/>
        <w:gridCol w:w="4995"/>
        <w:gridCol w:w="2152"/>
        <w:gridCol w:w="1500"/>
      </w:tblGrid>
      <w:tr>
        <w:trPr>
          <w:trHeight w:val="551"/>
        </w:trPr>
        <w:tc>
          <w:tcPr>
            <w:tcBorders>
              <w:top w:val="single" w:color="000000" w:sz="4" w:space="0"/>
              <w:bottom w:val="single" w:color="000000" w:sz="4" w:space="0"/>
              <w:right w:val="single" w:color="000000" w:sz="4" w:space="0"/>
            </w:tcBorders>
            <w:tcW w:w="1170" w:type="dxa"/>
            <w:vAlign w:val="center"/>
            <w:textDirection w:val="lrTb"/>
            <w:noWrap w:val="false"/>
          </w:tcPr>
          <w:p>
            <w:pPr>
              <w:jc w:val="center"/>
              <w:spacing w:line="280" w:lineRule="exact"/>
              <w:rPr>
                <w:rFonts w:hint="eastAsia" w:ascii="仿宋" w:hAnsi="仿宋" w:eastAsia="仿宋" w:cs="仿宋"/>
                <w:b/>
                <w:bCs/>
                <w:szCs w:val="21"/>
              </w:rPr>
            </w:pPr>
            <w:r>
              <w:rPr>
                <w:rFonts w:hint="eastAsia" w:ascii="仿宋" w:hAnsi="仿宋" w:eastAsia="仿宋" w:cs="仿宋"/>
                <w:b/>
                <w:bCs/>
                <w:szCs w:val="21"/>
              </w:rPr>
              <w:t xml:space="preserve">样品种类</w:t>
            </w:r>
            <w:r/>
          </w:p>
        </w:tc>
        <w:tc>
          <w:tcPr>
            <w:tcBorders>
              <w:top w:val="single" w:color="000000" w:sz="4" w:space="0"/>
              <w:bottom w:val="single" w:color="000000" w:sz="4" w:space="0"/>
              <w:right w:val="single" w:color="000000" w:sz="4" w:space="0"/>
            </w:tcBorders>
            <w:tcW w:w="4995" w:type="dxa"/>
            <w:vAlign w:val="center"/>
            <w:textDirection w:val="lrTb"/>
            <w:noWrap w:val="false"/>
          </w:tcPr>
          <w:p>
            <w:pPr>
              <w:jc w:val="center"/>
              <w:spacing w:line="280" w:lineRule="exact"/>
              <w:rPr>
                <w:rFonts w:hint="eastAsia" w:ascii="仿宋" w:hAnsi="仿宋" w:eastAsia="仿宋" w:cs="仿宋"/>
                <w:b/>
                <w:bCs/>
                <w:szCs w:val="21"/>
              </w:rPr>
            </w:pPr>
            <w:r>
              <w:rPr>
                <w:rFonts w:hint="eastAsia" w:ascii="仿宋" w:hAnsi="仿宋" w:eastAsia="仿宋" w:cs="仿宋"/>
                <w:b/>
                <w:bCs/>
                <w:szCs w:val="21"/>
              </w:rPr>
              <w:t xml:space="preserve">监测项目（75项）</w:t>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280" w:lineRule="exact"/>
              <w:rPr>
                <w:rFonts w:hint="eastAsia" w:ascii="仿宋" w:hAnsi="仿宋" w:eastAsia="仿宋" w:cs="仿宋"/>
                <w:b/>
                <w:bCs/>
                <w:szCs w:val="21"/>
              </w:rPr>
            </w:pPr>
            <w:r>
              <w:rPr>
                <w:rFonts w:hint="eastAsia" w:ascii="仿宋" w:hAnsi="仿宋" w:eastAsia="仿宋" w:cs="仿宋"/>
                <w:b/>
                <w:bCs/>
                <w:szCs w:val="21"/>
              </w:rPr>
              <w:t xml:space="preserve">检测方法（推荐使用）</w:t>
            </w:r>
            <w:r/>
          </w:p>
        </w:tc>
        <w:tc>
          <w:tcPr>
            <w:tcBorders>
              <w:top w:val="single" w:color="000000" w:sz="4" w:space="0"/>
              <w:left w:val="single" w:color="000000" w:sz="4" w:space="0"/>
              <w:bottom w:val="single" w:color="000000" w:sz="4" w:space="0"/>
            </w:tcBorders>
            <w:tcW w:w="1500" w:type="dxa"/>
            <w:vAlign w:val="center"/>
            <w:textDirection w:val="lrTb"/>
            <w:noWrap w:val="false"/>
          </w:tcPr>
          <w:p>
            <w:pPr>
              <w:jc w:val="center"/>
              <w:spacing w:line="280" w:lineRule="exact"/>
              <w:rPr>
                <w:rFonts w:hint="eastAsia" w:ascii="仿宋" w:hAnsi="仿宋" w:eastAsia="仿宋" w:cs="仿宋"/>
                <w:b/>
                <w:bCs/>
                <w:szCs w:val="21"/>
              </w:rPr>
            </w:pPr>
            <w:r>
              <w:rPr>
                <w:rFonts w:hint="eastAsia" w:ascii="仿宋" w:hAnsi="仿宋" w:eastAsia="仿宋" w:cs="仿宋"/>
                <w:b/>
                <w:bCs/>
                <w:szCs w:val="21"/>
              </w:rPr>
              <w:t xml:space="preserve">判定依据</w:t>
            </w:r>
            <w:r/>
          </w:p>
        </w:tc>
      </w:tr>
      <w:tr>
        <w:trPr>
          <w:cantSplit/>
          <w:trHeight w:val="712"/>
        </w:trPr>
        <w:tc>
          <w:tcPr>
            <w:tcBorders>
              <w:top w:val="single" w:color="000000" w:sz="4" w:space="0"/>
              <w:right w:val="single" w:color="000000" w:sz="4" w:space="0"/>
            </w:tcBorders>
            <w:tcW w:w="1170" w:type="dxa"/>
            <w:vAlign w:val="center"/>
            <w:vMerge w:val="restart"/>
            <w:textDirection w:val="lrTb"/>
            <w:noWrap w:val="false"/>
          </w:tcPr>
          <w:p>
            <w:pPr>
              <w:pStyle w:val="716"/>
              <w:ind w:left="0"/>
              <w:rPr>
                <w:rFonts w:hint="eastAsia" w:ascii="仿宋" w:hAnsi="仿宋" w:eastAsia="仿宋" w:cs="仿宋"/>
                <w:sz w:val="21"/>
                <w:szCs w:val="21"/>
              </w:rPr>
            </w:pPr>
            <w:r>
              <w:rPr>
                <w:rFonts w:hint="eastAsia" w:ascii="仿宋" w:hAnsi="仿宋" w:eastAsia="仿宋" w:cs="仿宋"/>
                <w:sz w:val="21"/>
                <w:szCs w:val="21"/>
              </w:rPr>
              <w:t xml:space="preserve">蔬菜、水果</w:t>
            </w:r>
            <w:r/>
          </w:p>
        </w:tc>
        <w:tc>
          <w:tcPr>
            <w:tcBorders>
              <w:top w:val="single" w:color="000000" w:sz="4" w:space="0"/>
              <w:bottom w:val="single" w:color="000000" w:sz="4" w:space="0"/>
              <w:right w:val="single" w:color="000000" w:sz="4" w:space="0"/>
            </w:tcBorders>
            <w:tcW w:w="4995" w:type="dxa"/>
            <w:vAlign w:val="center"/>
            <w:textDirection w:val="lrTb"/>
            <w:noWrap w:val="false"/>
          </w:tcPr>
          <w:p>
            <w:pPr>
              <w:pStyle w:val="716"/>
              <w:ind w:left="0"/>
              <w:rPr>
                <w:rFonts w:hint="eastAsia" w:ascii="仿宋" w:hAnsi="仿宋" w:eastAsia="仿宋" w:cs="仿宋"/>
              </w:rPr>
            </w:pPr>
            <w:r>
              <w:rPr>
                <w:rFonts w:hint="eastAsia" w:ascii="仿宋" w:hAnsi="仿宋" w:eastAsia="仿宋" w:cs="仿宋"/>
                <w:b/>
                <w:bCs/>
                <w:sz w:val="21"/>
                <w:szCs w:val="21"/>
              </w:rPr>
              <w:t xml:space="preserve">禁用农药：</w:t>
            </w:r>
            <w:r>
              <w:rPr>
                <w:rFonts w:hint="eastAsia" w:ascii="仿宋" w:hAnsi="仿宋" w:eastAsia="仿宋" w:cs="仿宋"/>
                <w:sz w:val="21"/>
                <w:szCs w:val="21"/>
              </w:rPr>
              <w:t xml:space="preserve">甲胺磷、对硫磷、三氯杀螨醇、甲拌磷(甲拌磷、甲拌磷砜和甲拌磷亚砜之和)、水胺硫磷、甲基异柳磷、氧乐果、克百威(包括3-羟基克百威之和)、涕灭威（包括涕灭威砜和涕灭威亚砜）、灭多威、灭线磷</w:t>
            </w:r>
            <w:r/>
          </w:p>
        </w:tc>
        <w:tc>
          <w:tcPr>
            <w:tcBorders>
              <w:top w:val="single" w:color="000000" w:sz="4" w:space="0"/>
              <w:left w:val="single" w:color="000000" w:sz="4" w:space="0"/>
              <w:right w:val="single" w:color="000000" w:sz="4" w:space="0"/>
            </w:tcBorders>
            <w:tcW w:w="2152" w:type="dxa"/>
            <w:vAlign w:val="center"/>
            <w:vMerge w:val="restart"/>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GB 23200. 121-2021、</w:t>
            </w:r>
            <w:r/>
          </w:p>
          <w:p>
            <w:pPr>
              <w:spacing w:line="360" w:lineRule="exact"/>
              <w:rPr>
                <w:rFonts w:hint="eastAsia" w:ascii="仿宋" w:hAnsi="仿宋" w:eastAsia="仿宋" w:cs="仿宋"/>
                <w:szCs w:val="21"/>
              </w:rPr>
            </w:pPr>
            <w:r>
              <w:rPr>
                <w:rFonts w:hint="eastAsia" w:ascii="仿宋" w:hAnsi="仿宋" w:eastAsia="仿宋" w:cs="仿宋"/>
                <w:szCs w:val="21"/>
              </w:rPr>
              <w:t xml:space="preserve">GB 23200.113-2018、</w:t>
            </w:r>
            <w:r/>
          </w:p>
          <w:p>
            <w:pPr>
              <w:spacing w:line="360" w:lineRule="exact"/>
              <w:rPr>
                <w:rFonts w:hint="eastAsia" w:ascii="仿宋" w:hAnsi="仿宋" w:eastAsia="仿宋" w:cs="仿宋"/>
                <w:szCs w:val="21"/>
              </w:rPr>
            </w:pPr>
            <w:r>
              <w:rPr>
                <w:rFonts w:hint="eastAsia" w:ascii="仿宋" w:hAnsi="仿宋" w:eastAsia="仿宋" w:cs="仿宋"/>
                <w:szCs w:val="21"/>
              </w:rPr>
              <w:t xml:space="preserve">GB 23200.8—2016、</w:t>
            </w:r>
            <w:r/>
          </w:p>
          <w:p>
            <w:pPr>
              <w:spacing w:line="360" w:lineRule="exact"/>
              <w:rPr>
                <w:rFonts w:hint="eastAsia" w:ascii="仿宋" w:hAnsi="仿宋" w:eastAsia="仿宋" w:cs="仿宋"/>
                <w:szCs w:val="21"/>
              </w:rPr>
            </w:pPr>
            <w:r>
              <w:rPr>
                <w:rFonts w:hint="eastAsia" w:ascii="仿宋" w:hAnsi="仿宋" w:eastAsia="仿宋" w:cs="仿宋"/>
                <w:szCs w:val="21"/>
              </w:rPr>
              <w:t xml:space="preserve">GB/T20769-2008、</w:t>
            </w:r>
            <w:r/>
          </w:p>
          <w:p>
            <w:pPr>
              <w:spacing w:line="360" w:lineRule="exact"/>
              <w:rPr>
                <w:rFonts w:hint="eastAsia" w:ascii="仿宋" w:hAnsi="仿宋" w:eastAsia="仿宋" w:cs="仿宋"/>
                <w:szCs w:val="21"/>
              </w:rPr>
            </w:pPr>
            <w:r>
              <w:rPr>
                <w:rFonts w:hint="eastAsia" w:ascii="仿宋" w:hAnsi="仿宋" w:eastAsia="仿宋" w:cs="仿宋"/>
                <w:szCs w:val="21"/>
              </w:rPr>
              <w:t xml:space="preserve">NY/T 761-2008</w:t>
            </w:r>
            <w:r/>
          </w:p>
        </w:tc>
        <w:tc>
          <w:tcPr>
            <w:tcBorders>
              <w:top w:val="single" w:color="000000" w:sz="4" w:space="0"/>
              <w:left w:val="single" w:color="000000" w:sz="4" w:space="0"/>
            </w:tcBorders>
            <w:tcW w:w="1500" w:type="dxa"/>
            <w:vAlign w:val="center"/>
            <w:vMerge w:val="restart"/>
            <w:textDirection w:val="lrTb"/>
            <w:noWrap w:val="false"/>
          </w:tcPr>
          <w:p>
            <w:pPr>
              <w:spacing w:line="400" w:lineRule="exact"/>
              <w:rPr>
                <w:rFonts w:hint="eastAsia" w:ascii="仿宋" w:hAnsi="仿宋" w:eastAsia="仿宋" w:cs="仿宋"/>
                <w:szCs w:val="21"/>
              </w:rPr>
            </w:pPr>
            <w:r>
              <w:rPr>
                <w:rFonts w:hint="eastAsia" w:ascii="仿宋" w:hAnsi="仿宋" w:eastAsia="仿宋" w:cs="仿宋"/>
                <w:szCs w:val="21"/>
              </w:rPr>
              <w:t xml:space="preserve">按 GB2763-2026和农业农村部例行监测判定标准进行判定</w:t>
            </w:r>
            <w:r/>
          </w:p>
          <w:p>
            <w:pPr>
              <w:spacing w:line="400" w:lineRule="exact"/>
              <w:rPr>
                <w:rFonts w:hint="eastAsia" w:ascii="仿宋" w:hAnsi="仿宋" w:eastAsia="仿宋" w:cs="仿宋"/>
                <w:szCs w:val="21"/>
              </w:rPr>
            </w:pPr>
            <w:r>
              <w:rPr>
                <w:rFonts w:hint="eastAsia" w:ascii="仿宋" w:hAnsi="仿宋" w:eastAsia="仿宋" w:cs="仿宋"/>
                <w:szCs w:val="21"/>
              </w:rPr>
            </w:r>
            <w:r/>
          </w:p>
        </w:tc>
      </w:tr>
      <w:tr>
        <w:trPr>
          <w:cantSplit/>
          <w:trHeight w:val="535"/>
        </w:trPr>
        <w:tc>
          <w:tcPr>
            <w:tcBorders>
              <w:right w:val="single" w:color="000000" w:sz="4" w:space="0"/>
            </w:tcBorders>
            <w:tcW w:w="1170" w:type="dxa"/>
            <w:vAlign w:val="center"/>
            <w:vMerge w:val="continue"/>
            <w:textDirection w:val="lrTb"/>
            <w:noWrap w:val="false"/>
          </w:tcPr>
          <w:p>
            <w:pPr>
              <w:pStyle w:val="716"/>
              <w:ind w:left="0"/>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bottom w:val="single" w:color="000000" w:sz="4" w:space="0"/>
              <w:right w:val="single" w:color="000000" w:sz="4" w:space="0"/>
            </w:tcBorders>
            <w:tcW w:w="4995" w:type="dxa"/>
            <w:vAlign w:val="center"/>
            <w:textDirection w:val="lrTb"/>
            <w:noWrap w:val="false"/>
          </w:tcPr>
          <w:p>
            <w:pPr>
              <w:pStyle w:val="716"/>
              <w:ind w:left="0"/>
              <w:rPr>
                <w:rFonts w:hint="eastAsia" w:ascii="仿宋" w:hAnsi="仿宋" w:eastAsia="仿宋" w:cs="仿宋"/>
                <w:sz w:val="21"/>
                <w:szCs w:val="21"/>
              </w:rPr>
            </w:pPr>
            <w:r>
              <w:rPr>
                <w:rFonts w:hint="eastAsia" w:ascii="仿宋" w:hAnsi="仿宋" w:eastAsia="仿宋" w:cs="仿宋"/>
                <w:b/>
                <w:bCs/>
                <w:sz w:val="21"/>
                <w:szCs w:val="21"/>
              </w:rPr>
              <w:t xml:space="preserve">限用农药：</w:t>
            </w:r>
            <w:r>
              <w:rPr>
                <w:rFonts w:hint="eastAsia" w:ascii="仿宋" w:hAnsi="仿宋" w:eastAsia="仿宋" w:cs="仿宋"/>
                <w:sz w:val="21"/>
                <w:szCs w:val="21"/>
              </w:rPr>
              <w:t xml:space="preserve">氟虫腈(氟虫腈、氟甲腈、氟虫腈砜和氟虫腈亚砜之和)、毒死蜱、三唑磷、乐果、乙酰甲胺磷、硫环磷、氯唑磷、丁硫克百威</w:t>
            </w:r>
            <w:r/>
          </w:p>
        </w:tc>
        <w:tc>
          <w:tcPr>
            <w:tcBorders>
              <w:left w:val="single" w:color="000000" w:sz="4" w:space="0"/>
              <w:right w:val="single" w:color="000000" w:sz="4" w:space="0"/>
            </w:tcBorders>
            <w:tcW w:w="2152" w:type="dxa"/>
            <w:vAlign w:val="center"/>
            <w:vMerge w:val="continue"/>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r>
            <w:r/>
          </w:p>
        </w:tc>
        <w:tc>
          <w:tcPr>
            <w:tcBorders>
              <w:left w:val="single" w:color="000000" w:sz="4" w:space="0"/>
            </w:tcBorders>
            <w:tcW w:w="1500" w:type="dxa"/>
            <w:vAlign w:val="center"/>
            <w:vMerge w:val="continue"/>
            <w:textDirection w:val="lrTb"/>
            <w:noWrap w:val="false"/>
          </w:tcPr>
          <w:p>
            <w:pPr>
              <w:spacing w:line="400" w:lineRule="exact"/>
              <w:rPr>
                <w:rFonts w:hint="eastAsia" w:ascii="仿宋" w:hAnsi="仿宋" w:eastAsia="仿宋" w:cs="仿宋"/>
                <w:szCs w:val="21"/>
              </w:rPr>
            </w:pPr>
            <w:r>
              <w:rPr>
                <w:rFonts w:hint="eastAsia" w:ascii="仿宋" w:hAnsi="仿宋" w:eastAsia="仿宋" w:cs="仿宋"/>
                <w:szCs w:val="21"/>
              </w:rPr>
            </w:r>
            <w:r/>
          </w:p>
        </w:tc>
      </w:tr>
      <w:tr>
        <w:trPr>
          <w:cantSplit/>
          <w:trHeight w:val="1467"/>
        </w:trPr>
        <w:tc>
          <w:tcPr>
            <w:tcBorders>
              <w:bottom w:val="single" w:color="000000" w:sz="4" w:space="0"/>
              <w:right w:val="single" w:color="000000" w:sz="4" w:space="0"/>
            </w:tcBorders>
            <w:tcW w:w="1170" w:type="dxa"/>
            <w:vAlign w:val="center"/>
            <w:vMerge w:val="continue"/>
            <w:textDirection w:val="lrTb"/>
            <w:noWrap w:val="false"/>
          </w:tcPr>
          <w:p>
            <w:pPr>
              <w:pStyle w:val="716"/>
              <w:ind w:left="0"/>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bottom w:val="single" w:color="000000" w:sz="4" w:space="0"/>
              <w:right w:val="single" w:color="000000" w:sz="4" w:space="0"/>
            </w:tcBorders>
            <w:tcW w:w="4995" w:type="dxa"/>
            <w:vAlign w:val="center"/>
            <w:textDirection w:val="lrTb"/>
            <w:noWrap w:val="false"/>
          </w:tcPr>
          <w:p>
            <w:pPr>
              <w:pStyle w:val="716"/>
              <w:ind w:left="0"/>
              <w:rPr>
                <w:rFonts w:hint="eastAsia" w:ascii="仿宋" w:hAnsi="仿宋" w:eastAsia="仿宋" w:cs="仿宋"/>
                <w:sz w:val="21"/>
                <w:szCs w:val="21"/>
              </w:rPr>
            </w:pPr>
            <w:r>
              <w:rPr>
                <w:rFonts w:hint="eastAsia" w:ascii="仿宋" w:hAnsi="仿宋" w:eastAsia="仿宋" w:cs="仿宋"/>
                <w:b/>
                <w:bCs/>
                <w:sz w:val="21"/>
                <w:szCs w:val="21"/>
              </w:rPr>
              <w:t xml:space="preserve">常规农药：</w:t>
            </w:r>
            <w:r>
              <w:rPr>
                <w:rFonts w:hint="eastAsia" w:ascii="仿宋" w:hAnsi="仿宋" w:eastAsia="仿宋" w:cs="仿宋"/>
                <w:sz w:val="21"/>
                <w:szCs w:val="21"/>
              </w:rPr>
              <w:t xml:space="preserve">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w:t>
            </w:r>
            <w:r>
              <w:rPr>
                <w:rFonts w:hint="eastAsia" w:ascii="仿宋" w:hAnsi="仿宋" w:eastAsia="仿宋" w:cs="仿宋"/>
                <w:b/>
                <w:bCs/>
                <w:sz w:val="21"/>
                <w:szCs w:val="21"/>
              </w:rPr>
              <w:t xml:space="preserve">氯菊酯、醚菊酯</w:t>
            </w:r>
            <w:r>
              <w:rPr>
                <w:rFonts w:hint="eastAsia" w:ascii="仿宋" w:hAnsi="仿宋" w:eastAsia="仿宋" w:cs="仿宋"/>
                <w:sz w:val="21"/>
                <w:szCs w:val="21"/>
              </w:rPr>
              <w:t xml:space="preserve">、虫酰肼、吡唑醚菌酯、戊唑醇、抑霉唑、敌百虫、多效唑、丙环唑、灭蝇胺、多杀霉素、噻苯隆、</w:t>
            </w:r>
            <w:r>
              <w:rPr>
                <w:rFonts w:hint="eastAsia" w:ascii="仿宋" w:hAnsi="仿宋" w:eastAsia="仿宋" w:cs="仿宋"/>
                <w:b/>
                <w:bCs/>
                <w:sz w:val="21"/>
                <w:szCs w:val="21"/>
              </w:rPr>
              <w:t xml:space="preserve">噻虫胺、甲萘威、茚虫威、噻嗪酮、氟氰戊菊酯、啶氧菌酯</w:t>
            </w:r>
            <w:r/>
          </w:p>
        </w:tc>
        <w:tc>
          <w:tcPr>
            <w:tcBorders>
              <w:left w:val="single" w:color="000000" w:sz="4" w:space="0"/>
              <w:bottom w:val="single" w:color="000000" w:sz="4" w:space="0"/>
              <w:right w:val="single" w:color="000000" w:sz="4" w:space="0"/>
            </w:tcBorders>
            <w:tcW w:w="2152" w:type="dxa"/>
            <w:vAlign w:val="center"/>
            <w:vMerge w:val="continue"/>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r>
            <w:r/>
          </w:p>
        </w:tc>
        <w:tc>
          <w:tcPr>
            <w:tcBorders>
              <w:left w:val="single" w:color="000000" w:sz="4" w:space="0"/>
            </w:tcBorders>
            <w:tcW w:w="1500" w:type="dxa"/>
            <w:vAlign w:val="center"/>
            <w:vMerge w:val="continue"/>
            <w:textDirection w:val="lrTb"/>
            <w:noWrap w:val="false"/>
          </w:tcPr>
          <w:p>
            <w:pPr>
              <w:spacing w:line="400" w:lineRule="exact"/>
              <w:rPr>
                <w:rFonts w:hint="eastAsia" w:ascii="仿宋" w:hAnsi="仿宋" w:eastAsia="仿宋" w:cs="仿宋"/>
                <w:szCs w:val="21"/>
              </w:rPr>
            </w:pPr>
            <w:r>
              <w:rPr>
                <w:rFonts w:hint="eastAsia" w:ascii="仿宋" w:hAnsi="仿宋" w:eastAsia="仿宋" w:cs="仿宋"/>
                <w:szCs w:val="21"/>
              </w:rPr>
            </w:r>
            <w:r/>
          </w:p>
        </w:tc>
      </w:tr>
    </w:tbl>
    <w:p>
      <w:pPr>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color w:val="000000"/>
          <w:sz w:val="28"/>
          <w:szCs w:val="28"/>
        </w:rPr>
        <w:t xml:space="preserve">国家现行有效方法也可以使用，但方法最低检出限必须满足判定依据限量值。</w:t>
      </w:r>
      <w:r/>
    </w:p>
    <w:p>
      <w:pPr>
        <w:rPr>
          <w:rFonts w:hint="eastAsia" w:ascii="仿宋" w:hAnsi="仿宋" w:eastAsia="仿宋" w:cs="仿宋"/>
          <w:sz w:val="28"/>
          <w:szCs w:val="28"/>
        </w:rPr>
        <w:sectPr>
          <w:footerReference w:type="default" r:id="rId12"/>
          <w:footnotePr/>
          <w:endnotePr/>
          <w:type w:val="continuous"/>
          <w:pgSz w:w="11906" w:h="16838" w:orient="portrait"/>
          <w:pgMar w:top="1440" w:right="1797" w:bottom="1440" w:left="1597" w:header="851" w:footer="992" w:gutter="0"/>
          <w:cols w:num="1" w:sep="0" w:space="720" w:equalWidth="1"/>
          <w:docGrid w:linePitch="360"/>
        </w:sectPr>
      </w:pPr>
      <w:r>
        <w:rPr>
          <w:rFonts w:hint="eastAsia" w:ascii="仿宋" w:hAnsi="仿宋" w:eastAsia="仿宋" w:cs="仿宋"/>
          <w:sz w:val="28"/>
          <w:szCs w:val="28"/>
        </w:rPr>
      </w:r>
      <w:r/>
    </w:p>
    <w:p>
      <w:pPr>
        <w:ind w:left="1" w:hanging="1"/>
        <w:jc w:val="center"/>
        <w:rPr>
          <w:rFonts w:hint="eastAsia" w:ascii="仿宋" w:hAnsi="仿宋" w:eastAsia="仿宋" w:cs="仿宋"/>
          <w:sz w:val="28"/>
          <w:szCs w:val="28"/>
        </w:rPr>
      </w:pPr>
      <w:r>
        <w:rPr>
          <w:rFonts w:hint="eastAsia" w:ascii="仿宋" w:hAnsi="仿宋" w:eastAsia="仿宋" w:cs="仿宋"/>
          <w:bCs/>
          <w:sz w:val="28"/>
          <w:szCs w:val="28"/>
        </w:rPr>
        <w:t xml:space="preserve">畜禽产品质量安全例行监测检测方法和判定依据</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299"/>
        <w:gridCol w:w="3465"/>
        <w:gridCol w:w="2340"/>
        <w:gridCol w:w="3144"/>
      </w:tblGrid>
      <w:tr>
        <w:trPr>
          <w:jc w:val="center"/>
          <w:trHeight w:val="392"/>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280" w:lineRule="exact"/>
              <w:rPr>
                <w:rFonts w:ascii="楷体" w:hAnsi="楷体" w:eastAsia="楷体" w:cs="方正楷体_GBK"/>
                <w:b/>
                <w:bCs/>
                <w:szCs w:val="21"/>
              </w:rPr>
            </w:pPr>
            <w:r>
              <w:rPr>
                <w:rFonts w:hint="eastAsia" w:ascii="楷体" w:hAnsi="楷体" w:eastAsia="楷体" w:cs="方正楷体_GBK"/>
                <w:b/>
                <w:bCs/>
                <w:szCs w:val="21"/>
              </w:rPr>
              <w:t xml:space="preserve">样品种类</w:t>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jc w:val="center"/>
              <w:spacing w:line="280" w:lineRule="exact"/>
              <w:rPr>
                <w:rFonts w:ascii="楷体" w:hAnsi="楷体" w:eastAsia="楷体" w:cs="方正楷体_GBK"/>
                <w:b/>
                <w:bCs/>
                <w:szCs w:val="21"/>
              </w:rPr>
            </w:pPr>
            <w:r>
              <w:rPr>
                <w:rFonts w:hint="eastAsia" w:ascii="楷体" w:hAnsi="楷体" w:eastAsia="楷体" w:cs="方正楷体_GBK"/>
                <w:b/>
                <w:bCs/>
                <w:szCs w:val="21"/>
              </w:rPr>
              <w:t xml:space="preserve">监测项目（38项）</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80" w:lineRule="exact"/>
              <w:rPr>
                <w:rFonts w:ascii="楷体" w:hAnsi="楷体" w:eastAsia="楷体" w:cs="方正楷体_GBK"/>
                <w:b/>
                <w:bCs/>
                <w:szCs w:val="21"/>
              </w:rPr>
            </w:pPr>
            <w:r>
              <w:rPr>
                <w:rFonts w:hint="eastAsia" w:ascii="楷体" w:hAnsi="楷体" w:eastAsia="楷体" w:cs="方正楷体_GBK"/>
                <w:b/>
                <w:bCs/>
                <w:szCs w:val="21"/>
              </w:rPr>
              <w:t xml:space="preserve">检测方法（推荐使用）</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jc w:val="center"/>
              <w:spacing w:line="280" w:lineRule="exact"/>
              <w:rPr>
                <w:rFonts w:ascii="楷体" w:hAnsi="楷体" w:eastAsia="楷体" w:cs="方正楷体_GBK"/>
                <w:b/>
                <w:bCs/>
                <w:szCs w:val="21"/>
              </w:rPr>
            </w:pPr>
            <w:r>
              <w:rPr>
                <w:rFonts w:hint="eastAsia" w:ascii="楷体" w:hAnsi="楷体" w:eastAsia="楷体" w:cs="方正楷体_GBK"/>
                <w:b/>
                <w:bCs/>
                <w:szCs w:val="21"/>
              </w:rPr>
              <w:t xml:space="preserve">判定限量（μg /kg）</w:t>
            </w:r>
            <w:r/>
          </w:p>
        </w:tc>
      </w:tr>
      <w:tr>
        <w:trPr>
          <w:cantSplit/>
          <w:jc w:val="center"/>
          <w:trHeight w:val="820"/>
        </w:trPr>
        <w:tc>
          <w:tcPr>
            <w:tcBorders>
              <w:top w:val="single" w:color="000000" w:sz="4" w:space="0"/>
              <w:left w:val="single" w:color="000000" w:sz="4" w:space="0"/>
              <w:right w:val="single" w:color="000000" w:sz="4" w:space="0"/>
            </w:tcBorders>
            <w:tcW w:w="1299" w:type="dxa"/>
            <w:vAlign w:val="center"/>
            <w:vMerge w:val="restart"/>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畜产品（猪肉、猪肝、牛肉、羊肉）</w:t>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β-受体激动剂（克伦特罗、莱克多巴胺、沙丁胺醇、特布他林、西马特罗、非诺特罗、氯丙那林、妥布特罗、喷布特罗）</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GB 31658.22-2022　</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不得检出</w:t>
            </w:r>
            <w:r/>
          </w:p>
          <w:p>
            <w:pPr>
              <w:spacing w:line="240" w:lineRule="exact"/>
              <w:rPr>
                <w:rFonts w:ascii="仿宋" w:hAnsi="仿宋" w:eastAsia="仿宋" w:cs="方正仿宋_GBK"/>
                <w:szCs w:val="21"/>
              </w:rPr>
            </w:pPr>
            <w:r>
              <w:rPr>
                <w:rFonts w:hint="eastAsia" w:ascii="仿宋" w:hAnsi="仿宋" w:eastAsia="仿宋" w:cs="方正仿宋_GBK"/>
                <w:szCs w:val="21"/>
              </w:rPr>
              <w:t xml:space="preserve">（判定限0.5）</w:t>
            </w:r>
            <w:r/>
          </w:p>
        </w:tc>
      </w:tr>
      <w:tr>
        <w:trPr>
          <w:cantSplit/>
          <w:jc w:val="center"/>
          <w:trHeight w:val="540"/>
        </w:trPr>
        <w:tc>
          <w:tcPr>
            <w:tcBorders>
              <w:left w:val="single" w:color="000000" w:sz="4" w:space="0"/>
              <w:right w:val="single" w:color="000000" w:sz="4" w:space="0"/>
            </w:tcBorders>
            <w:tcW w:w="1299" w:type="dxa"/>
            <w:vAlign w:val="center"/>
            <w:vMerge w:val="continue"/>
            <w:textDirection w:val="lrTb"/>
            <w:noWrap w:val="false"/>
          </w:tcPr>
          <w:p>
            <w:pPr>
              <w:spacing w:line="280" w:lineRule="exact"/>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氟喹诺酮类（恩诺沙星、环丙沙星）（不含猪肝）</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pPr>
            <w:r>
              <w:rPr>
                <w:rFonts w:hint="eastAsia" w:ascii="仿宋" w:hAnsi="仿宋" w:eastAsia="仿宋" w:cs="方正仿宋_GBK"/>
                <w:szCs w:val="21"/>
              </w:rPr>
              <w:t xml:space="preserve">GB 31658.17-2021</w:t>
            </w:r>
            <w:r/>
          </w:p>
        </w:tc>
        <w:tc>
          <w:tcPr>
            <w:tcBorders>
              <w:top w:val="single" w:color="000000" w:sz="4" w:space="0"/>
              <w:left w:val="single" w:color="000000" w:sz="4" w:space="0"/>
              <w:right w:val="single" w:color="000000" w:sz="4" w:space="0"/>
            </w:tcBorders>
            <w:tcW w:w="3144"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100（恩诺沙星和环丙沙星之和）</w:t>
            </w:r>
            <w:r/>
          </w:p>
        </w:tc>
      </w:tr>
      <w:tr>
        <w:trPr>
          <w:cantSplit/>
          <w:jc w:val="center"/>
          <w:trHeight w:val="450"/>
        </w:trPr>
        <w:tc>
          <w:tcPr>
            <w:tcBorders>
              <w:left w:val="single" w:color="000000" w:sz="4" w:space="0"/>
              <w:right w:val="single" w:color="000000" w:sz="4" w:space="0"/>
            </w:tcBorders>
            <w:tcW w:w="1299" w:type="dxa"/>
            <w:vAlign w:val="center"/>
            <w:vMerge w:val="continue"/>
            <w:textDirection w:val="lrTb"/>
            <w:noWrap w:val="false"/>
          </w:tcPr>
          <w:p>
            <w:pPr>
              <w:spacing w:line="280" w:lineRule="exact"/>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磺胺类（磺胺间甲氧嘧啶、磺胺二甲嘧啶、磺胺甲噁唑、磺胺（间）二甲氧嘧啶、磺胺喹噁啉、</w:t>
            </w:r>
            <w:r>
              <w:rPr>
                <w:rFonts w:hint="eastAsia" w:ascii="仿宋" w:hAnsi="仿宋" w:eastAsia="仿宋" w:cs="方正仿宋_GBK"/>
                <w:b/>
                <w:bCs/>
                <w:szCs w:val="21"/>
              </w:rPr>
              <w:t xml:space="preserve">甲氧苄啶</w:t>
            </w:r>
            <w:r>
              <w:rPr>
                <w:rFonts w:hint="eastAsia" w:ascii="仿宋" w:hAnsi="仿宋" w:eastAsia="仿宋" w:cs="方正仿宋_GBK"/>
                <w:szCs w:val="21"/>
              </w:rPr>
              <w:t xml:space="preserve">）</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GB 31658.17-2021、GB/T 21316-2007、农业部1025号公告-23-2008</w:t>
            </w:r>
            <w:r/>
          </w:p>
        </w:tc>
        <w:tc>
          <w:tcPr>
            <w:tcBorders>
              <w:left w:val="single" w:color="000000" w:sz="4" w:space="0"/>
              <w:right w:val="single" w:color="000000" w:sz="4" w:space="0"/>
            </w:tcBorders>
            <w:tcW w:w="3144" w:type="dxa"/>
            <w:vAlign w:val="center"/>
            <w:textDirection w:val="lrTb"/>
            <w:noWrap w:val="false"/>
          </w:tcPr>
          <w:p>
            <w:pPr>
              <w:rPr>
                <w:rFonts w:ascii="仿宋" w:hAnsi="仿宋" w:eastAsia="仿宋" w:cs="方正仿宋_GBK"/>
                <w:szCs w:val="21"/>
              </w:rPr>
            </w:pPr>
            <w:r>
              <w:rPr>
                <w:rFonts w:hint="eastAsia" w:ascii="仿宋" w:hAnsi="仿宋" w:eastAsia="仿宋" w:cs="方正仿宋_GBK"/>
                <w:szCs w:val="21"/>
              </w:rPr>
              <w:t xml:space="preserve">磺胺类：100（总量）；甲氧苄啶：50（仅判定猪肉、牛肉）</w:t>
            </w:r>
            <w:r/>
          </w:p>
        </w:tc>
      </w:tr>
      <w:tr>
        <w:trPr>
          <w:cantSplit/>
          <w:jc w:val="center"/>
          <w:trHeight w:val="450"/>
        </w:trPr>
        <w:tc>
          <w:tcPr>
            <w:tcBorders>
              <w:left w:val="single" w:color="000000" w:sz="4" w:space="0"/>
              <w:right w:val="single" w:color="000000" w:sz="4" w:space="0"/>
            </w:tcBorders>
            <w:tcW w:w="1299" w:type="dxa"/>
            <w:vAlign w:val="center"/>
            <w:vMerge w:val="continue"/>
            <w:textDirection w:val="lrTb"/>
            <w:noWrap w:val="false"/>
          </w:tcPr>
          <w:p>
            <w:pPr>
              <w:spacing w:line="280" w:lineRule="exact"/>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四环素类（金霉素、土霉素、四环素、多西环素）（不含猪肝）</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GB 31658.17-2021或GB/T 21317-2007</w:t>
            </w:r>
            <w:r/>
          </w:p>
        </w:tc>
        <w:tc>
          <w:tcPr>
            <w:tcBorders>
              <w:left w:val="single" w:color="000000" w:sz="4" w:space="0"/>
              <w:right w:val="single" w:color="000000" w:sz="4" w:space="0"/>
            </w:tcBorders>
            <w:tcW w:w="3144" w:type="dxa"/>
            <w:vAlign w:val="center"/>
            <w:textDirection w:val="lrTb"/>
            <w:noWrap w:val="false"/>
          </w:tcPr>
          <w:p>
            <w:pPr>
              <w:rPr>
                <w:rFonts w:ascii="仿宋" w:hAnsi="仿宋" w:eastAsia="仿宋" w:cs="方正仿宋_GBK"/>
                <w:szCs w:val="21"/>
              </w:rPr>
            </w:pPr>
            <w:r>
              <w:rPr>
                <w:rFonts w:hint="eastAsia" w:ascii="仿宋" w:hAnsi="仿宋" w:eastAsia="仿宋" w:cs="方正仿宋_GBK"/>
                <w:szCs w:val="21"/>
              </w:rPr>
              <w:t xml:space="preserve">金霉素、土霉素、四环素：200；多西环素：100（仅判定猪肉、牛肉）</w:t>
            </w:r>
            <w:r/>
          </w:p>
        </w:tc>
      </w:tr>
      <w:tr>
        <w:trPr>
          <w:cantSplit/>
          <w:jc w:val="center"/>
          <w:trHeight w:val="430"/>
        </w:trPr>
        <w:tc>
          <w:tcPr>
            <w:tcBorders>
              <w:left w:val="single" w:color="000000" w:sz="4" w:space="0"/>
              <w:bottom w:val="single" w:color="000000" w:sz="4" w:space="0"/>
              <w:right w:val="single" w:color="000000" w:sz="4" w:space="0"/>
            </w:tcBorders>
            <w:tcW w:w="1299" w:type="dxa"/>
            <w:vAlign w:val="center"/>
            <w:vMerge w:val="continue"/>
            <w:textDirection w:val="lrTb"/>
            <w:noWrap w:val="false"/>
          </w:tcPr>
          <w:p>
            <w:pPr>
              <w:spacing w:line="280" w:lineRule="exact"/>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糖皮质激素类（地塞米松、倍他米松）（仅牛肉）</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农业部1013号公告-2-2008或GB/T 21981</w:t>
            </w:r>
            <w:r/>
          </w:p>
        </w:tc>
        <w:tc>
          <w:tcPr>
            <w:tcBorders>
              <w:left w:val="single" w:color="000000" w:sz="4" w:space="0"/>
              <w:right w:val="single" w:color="000000" w:sz="4" w:space="0"/>
            </w:tcBorders>
            <w:tcW w:w="3144" w:type="dxa"/>
            <w:vAlign w:val="top"/>
            <w:textDirection w:val="lrTb"/>
            <w:noWrap w:val="false"/>
          </w:tcPr>
          <w:p>
            <w:pPr>
              <w:rPr>
                <w:rFonts w:ascii="仿宋" w:hAnsi="仿宋" w:eastAsia="仿宋" w:cs="方正仿宋_GBK"/>
                <w:szCs w:val="21"/>
              </w:rPr>
            </w:pPr>
            <w:r>
              <w:rPr>
                <w:rFonts w:hint="eastAsia" w:ascii="仿宋" w:hAnsi="仿宋" w:eastAsia="仿宋" w:cs="方正仿宋_GBK"/>
                <w:szCs w:val="21"/>
              </w:rPr>
              <w:t xml:space="preserve">地塞米松：1.0；倍他米松：0.75</w:t>
            </w:r>
            <w:r/>
          </w:p>
        </w:tc>
      </w:tr>
      <w:tr>
        <w:trPr>
          <w:cantSplit/>
          <w:jc w:val="center"/>
          <w:trHeight w:val="480"/>
        </w:trPr>
        <w:tc>
          <w:tcPr>
            <w:tcBorders>
              <w:top w:val="single" w:color="000000" w:sz="4" w:space="0"/>
              <w:left w:val="single" w:color="000000" w:sz="4" w:space="0"/>
              <w:right w:val="single" w:color="000000" w:sz="4" w:space="0"/>
            </w:tcBorders>
            <w:tcW w:w="1299" w:type="dxa"/>
            <w:vAlign w:val="center"/>
            <w:vMerge w:val="restart"/>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禽肉（鸡肉、鸭肉、鸽肉）</w:t>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金刚烷胺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GB 31660.5-2019</w:t>
            </w:r>
            <w:r/>
          </w:p>
        </w:tc>
        <w:tc>
          <w:tcPr>
            <w:tcBorders>
              <w:left w:val="single" w:color="000000" w:sz="4" w:space="0"/>
              <w:right w:val="single" w:color="000000" w:sz="4" w:space="0"/>
            </w:tcBorders>
            <w:tcW w:w="3144" w:type="dxa"/>
            <w:vAlign w:val="center"/>
            <w:textDirection w:val="lrTb"/>
            <w:noWrap w:val="false"/>
          </w:tcPr>
          <w:p>
            <w:pPr>
              <w:rPr>
                <w:rFonts w:ascii="仿宋" w:hAnsi="仿宋" w:eastAsia="仿宋" w:cs="方正仿宋_GBK"/>
                <w:szCs w:val="21"/>
              </w:rPr>
            </w:pPr>
            <w:r>
              <w:rPr>
                <w:rFonts w:hint="eastAsia" w:ascii="仿宋" w:hAnsi="仿宋" w:eastAsia="仿宋" w:cs="方正仿宋_GBK"/>
                <w:szCs w:val="21"/>
              </w:rPr>
              <w:t xml:space="preserve">不得检出（判定限2.0）</w:t>
            </w:r>
            <w:r/>
          </w:p>
        </w:tc>
      </w:tr>
      <w:tr>
        <w:trPr>
          <w:cantSplit/>
          <w:jc w:val="center"/>
          <w:trHeight w:val="590"/>
        </w:trPr>
        <w:tc>
          <w:tcPr>
            <w:tcBorders>
              <w:left w:val="single" w:color="000000" w:sz="4" w:space="0"/>
              <w:right w:val="single" w:color="000000" w:sz="4" w:space="0"/>
            </w:tcBorders>
            <w:tcW w:w="1299" w:type="dxa"/>
            <w:vAlign w:val="center"/>
            <w:vMerge w:val="continue"/>
            <w:textDirection w:val="lrTb"/>
            <w:noWrap w:val="false"/>
          </w:tcPr>
          <w:p>
            <w:pPr>
              <w:spacing w:line="280" w:lineRule="exact"/>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GB 31658.20-2022</w:t>
            </w:r>
            <w:r/>
          </w:p>
        </w:tc>
        <w:tc>
          <w:tcPr>
            <w:tcBorders>
              <w:left w:val="single" w:color="000000" w:sz="4" w:space="0"/>
              <w:right w:val="single" w:color="000000" w:sz="4" w:space="0"/>
            </w:tcBorders>
            <w:tcW w:w="3144" w:type="dxa"/>
            <w:vAlign w:val="center"/>
            <w:textDirection w:val="lrTb"/>
            <w:noWrap w:val="false"/>
          </w:tcPr>
          <w:p>
            <w:pPr>
              <w:rPr>
                <w:rFonts w:ascii="仿宋" w:hAnsi="仿宋" w:eastAsia="仿宋" w:cs="方正仿宋_GBK"/>
                <w:szCs w:val="21"/>
              </w:rPr>
            </w:pPr>
            <w:r>
              <w:rPr>
                <w:rFonts w:hint="eastAsia" w:ascii="仿宋" w:hAnsi="仿宋" w:eastAsia="仿宋" w:cs="方正仿宋_GBK"/>
                <w:szCs w:val="21"/>
              </w:rPr>
              <w:t xml:space="preserve">氯霉素：不得检出（判定限0.2）；氟苯尼考与氟苯尼考胺之和：100；甲砜霉素：50</w:t>
            </w:r>
            <w:r/>
          </w:p>
        </w:tc>
      </w:tr>
      <w:tr>
        <w:trPr>
          <w:cantSplit/>
          <w:jc w:val="center"/>
          <w:trHeight w:val="420"/>
        </w:trPr>
        <w:tc>
          <w:tcPr>
            <w:tcBorders>
              <w:left w:val="single" w:color="000000" w:sz="4" w:space="0"/>
              <w:right w:val="single" w:color="000000" w:sz="4" w:space="0"/>
            </w:tcBorders>
            <w:tcW w:w="1299" w:type="dxa"/>
            <w:vAlign w:val="center"/>
            <w:vMerge w:val="continue"/>
            <w:textDirection w:val="lrTb"/>
            <w:noWrap w:val="false"/>
          </w:tcPr>
          <w:p>
            <w:pPr>
              <w:spacing w:line="280" w:lineRule="exact"/>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GB/T 21312-2007</w:t>
            </w:r>
            <w:r/>
          </w:p>
        </w:tc>
        <w:tc>
          <w:tcPr>
            <w:tcBorders>
              <w:left w:val="single" w:color="000000" w:sz="4" w:space="0"/>
              <w:right w:val="single" w:color="000000" w:sz="4" w:space="0"/>
            </w:tcBorders>
            <w:tcW w:w="3144" w:type="dxa"/>
            <w:vAlign w:val="center"/>
            <w:textDirection w:val="lrTb"/>
            <w:noWrap w:val="false"/>
          </w:tcPr>
          <w:p>
            <w:pPr>
              <w:rPr>
                <w:rFonts w:ascii="仿宋" w:hAnsi="仿宋" w:eastAsia="仿宋" w:cs="方正仿宋_GBK"/>
                <w:szCs w:val="21"/>
              </w:rPr>
            </w:pPr>
            <w:r>
              <w:rPr>
                <w:rFonts w:hint="eastAsia" w:ascii="仿宋" w:hAnsi="仿宋" w:eastAsia="仿宋" w:cs="方正仿宋_GBK"/>
                <w:szCs w:val="21"/>
              </w:rPr>
              <w:t xml:space="preserve">氧氟沙星、培氟沙星、诺氟沙星、洛美沙星：不得检出（判定值2）；恩诺沙星和环丙沙星之和：100；沙拉沙星：10（仅判定鸡肉）；达氟沙星：200</w:t>
            </w:r>
            <w:r/>
          </w:p>
        </w:tc>
      </w:tr>
      <w:tr>
        <w:trPr>
          <w:cantSplit/>
          <w:jc w:val="center"/>
          <w:trHeight w:val="420"/>
        </w:trPr>
        <w:tc>
          <w:tcPr>
            <w:tcBorders>
              <w:left w:val="single" w:color="000000" w:sz="4" w:space="0"/>
              <w:right w:val="single" w:color="000000" w:sz="4" w:space="0"/>
            </w:tcBorders>
            <w:tcW w:w="1299" w:type="dxa"/>
            <w:vAlign w:val="center"/>
            <w:vMerge w:val="continue"/>
            <w:textDirection w:val="lrTb"/>
            <w:noWrap w:val="false"/>
          </w:tcPr>
          <w:p>
            <w:pPr>
              <w:spacing w:line="280" w:lineRule="exact"/>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甲氧苄啶</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GB/T 21316-2007</w:t>
            </w:r>
            <w:r/>
          </w:p>
        </w:tc>
        <w:tc>
          <w:tcPr>
            <w:tcBorders>
              <w:left w:val="single" w:color="000000" w:sz="4" w:space="0"/>
              <w:right w:val="single" w:color="000000" w:sz="4" w:space="0"/>
            </w:tcBorders>
            <w:tcW w:w="3144" w:type="dxa"/>
            <w:vAlign w:val="center"/>
            <w:textDirection w:val="lrTb"/>
            <w:noWrap w:val="false"/>
          </w:tcPr>
          <w:p>
            <w:pPr>
              <w:rPr>
                <w:rFonts w:ascii="仿宋" w:hAnsi="仿宋" w:eastAsia="仿宋" w:cs="方正仿宋_GBK"/>
                <w:szCs w:val="21"/>
              </w:rPr>
            </w:pPr>
            <w:r>
              <w:rPr>
                <w:rFonts w:hint="eastAsia" w:ascii="仿宋" w:hAnsi="仿宋" w:eastAsia="仿宋" w:cs="方正仿宋_GBK"/>
                <w:szCs w:val="21"/>
              </w:rPr>
              <w:t xml:space="preserve">50</w:t>
            </w:r>
            <w:r/>
          </w:p>
        </w:tc>
      </w:tr>
      <w:tr>
        <w:trPr>
          <w:cantSplit/>
          <w:jc w:val="center"/>
          <w:trHeight w:val="420"/>
        </w:trPr>
        <w:tc>
          <w:tcPr>
            <w:tcBorders>
              <w:left w:val="single" w:color="000000" w:sz="4" w:space="0"/>
              <w:right w:val="single" w:color="000000" w:sz="4" w:space="0"/>
            </w:tcBorders>
            <w:tcW w:w="1299" w:type="dxa"/>
            <w:vAlign w:val="center"/>
            <w:vMerge w:val="continue"/>
            <w:textDirection w:val="lrTb"/>
            <w:noWrap w:val="false"/>
          </w:tcPr>
          <w:p>
            <w:pPr>
              <w:spacing w:line="280" w:lineRule="exact"/>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b/>
                <w:bCs/>
                <w:szCs w:val="21"/>
              </w:rPr>
              <w:t xml:space="preserve">多西环素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GB 31658.17-2021</w:t>
            </w:r>
            <w:r/>
          </w:p>
        </w:tc>
        <w:tc>
          <w:tcPr>
            <w:tcBorders>
              <w:left w:val="single" w:color="000000" w:sz="4" w:space="0"/>
              <w:right w:val="single" w:color="000000" w:sz="4" w:space="0"/>
            </w:tcBorders>
            <w:tcW w:w="3144" w:type="dxa"/>
            <w:vAlign w:val="center"/>
            <w:textDirection w:val="lrTb"/>
            <w:noWrap w:val="false"/>
          </w:tcPr>
          <w:p>
            <w:pPr>
              <w:rPr>
                <w:rFonts w:ascii="仿宋" w:hAnsi="仿宋" w:eastAsia="仿宋" w:cs="方正仿宋_GBK"/>
                <w:szCs w:val="21"/>
              </w:rPr>
            </w:pPr>
            <w:r>
              <w:rPr>
                <w:rFonts w:hint="eastAsia" w:ascii="仿宋" w:hAnsi="仿宋" w:eastAsia="仿宋" w:cs="方正仿宋_GBK"/>
                <w:szCs w:val="21"/>
              </w:rPr>
              <w:t xml:space="preserve">100</w:t>
            </w:r>
            <w:r/>
          </w:p>
        </w:tc>
      </w:tr>
      <w:tr>
        <w:trPr>
          <w:cantSplit/>
          <w:jc w:val="center"/>
          <w:trHeight w:val="394"/>
        </w:trPr>
        <w:tc>
          <w:tcPr>
            <w:tcBorders>
              <w:left w:val="single" w:color="000000" w:sz="4" w:space="0"/>
              <w:bottom w:val="single" w:color="000000" w:sz="4" w:space="0"/>
              <w:right w:val="single" w:color="000000" w:sz="4" w:space="0"/>
            </w:tcBorders>
            <w:tcW w:w="1299" w:type="dxa"/>
            <w:vAlign w:val="center"/>
            <w:vMerge w:val="continue"/>
            <w:textDirection w:val="lrTb"/>
            <w:noWrap w:val="false"/>
          </w:tcPr>
          <w:p>
            <w:pPr>
              <w:spacing w:line="280" w:lineRule="exact"/>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b/>
                <w:bCs/>
                <w:szCs w:val="21"/>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GB 31658.23-2022、SN/T 2624-2010或参照GB 31658.23-2022</w:t>
            </w:r>
            <w:r/>
          </w:p>
        </w:tc>
        <w:tc>
          <w:tcPr>
            <w:tcBorders>
              <w:left w:val="single" w:color="000000" w:sz="4" w:space="0"/>
              <w:right w:val="single" w:color="000000" w:sz="4" w:space="0"/>
            </w:tcBorders>
            <w:tcW w:w="3144" w:type="dxa"/>
            <w:vAlign w:val="center"/>
            <w:textDirection w:val="lrTb"/>
            <w:noWrap w:val="false"/>
          </w:tcPr>
          <w:p>
            <w:pPr>
              <w:rPr>
                <w:rFonts w:ascii="仿宋" w:hAnsi="仿宋" w:eastAsia="仿宋" w:cs="方正仿宋_GBK"/>
                <w:szCs w:val="21"/>
              </w:rPr>
            </w:pPr>
            <w:r>
              <w:rPr>
                <w:rFonts w:hint="eastAsia" w:ascii="仿宋" w:hAnsi="仿宋" w:eastAsia="仿宋" w:cs="方正仿宋_GBK"/>
                <w:szCs w:val="21"/>
              </w:rPr>
              <w:t xml:space="preserve">不得检出（判定限1.0）</w:t>
            </w:r>
            <w:r/>
          </w:p>
        </w:tc>
      </w:tr>
      <w:tr>
        <w:trPr>
          <w:cantSplit/>
          <w:jc w:val="center"/>
          <w:trHeight w:val="525"/>
        </w:trPr>
        <w:tc>
          <w:tcPr>
            <w:tcBorders>
              <w:top w:val="single" w:color="000000" w:sz="4" w:space="0"/>
              <w:left w:val="single" w:color="000000" w:sz="4" w:space="0"/>
              <w:right w:val="single" w:color="000000" w:sz="4" w:space="0"/>
            </w:tcBorders>
            <w:tcW w:w="1299" w:type="dxa"/>
            <w:vAlign w:val="center"/>
            <w:vMerge w:val="restart"/>
            <w:textDirection w:val="lrTb"/>
            <w:noWrap w:val="false"/>
          </w:tcPr>
          <w:p>
            <w:pPr>
              <w:rPr>
                <w:rFonts w:ascii="仿宋" w:hAnsi="仿宋" w:eastAsia="仿宋" w:cs="方正仿宋_GBK"/>
                <w:szCs w:val="21"/>
              </w:rPr>
            </w:pPr>
            <w:r>
              <w:rPr>
                <w:rFonts w:hint="eastAsia" w:ascii="仿宋" w:hAnsi="仿宋" w:eastAsia="仿宋" w:cs="方正仿宋_GBK"/>
                <w:szCs w:val="21"/>
              </w:rPr>
              <w:t xml:space="preserve">禽蛋（鸡蛋、鸭蛋、鹌鹑蛋、鸽蛋）</w:t>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金刚烷胺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GB 31660.5-2019</w:t>
            </w:r>
            <w:r/>
          </w:p>
        </w:tc>
        <w:tc>
          <w:tcPr>
            <w:tcBorders>
              <w:left w:val="single" w:color="000000" w:sz="4" w:space="0"/>
              <w:right w:val="single" w:color="000000" w:sz="4" w:space="0"/>
            </w:tcBorders>
            <w:tcW w:w="3144" w:type="dxa"/>
            <w:vAlign w:val="center"/>
            <w:textDirection w:val="lrTb"/>
            <w:noWrap w:val="false"/>
          </w:tcPr>
          <w:p>
            <w:pPr>
              <w:spacing w:line="260" w:lineRule="exact"/>
              <w:rPr>
                <w:rFonts w:ascii="仿宋" w:hAnsi="仿宋" w:eastAsia="仿宋" w:cs="方正仿宋_GBK"/>
                <w:szCs w:val="21"/>
              </w:rPr>
            </w:pPr>
            <w:r>
              <w:rPr>
                <w:rFonts w:hint="eastAsia" w:ascii="仿宋" w:hAnsi="仿宋" w:eastAsia="仿宋" w:cs="方正仿宋_GBK"/>
                <w:szCs w:val="21"/>
              </w:rPr>
              <w:t xml:space="preserve">不得检出（判定限2.0）</w:t>
            </w:r>
            <w:r/>
          </w:p>
        </w:tc>
      </w:tr>
      <w:tr>
        <w:trPr>
          <w:cantSplit/>
          <w:jc w:val="center"/>
          <w:trHeight w:val="710"/>
        </w:trPr>
        <w:tc>
          <w:tcPr>
            <w:tcBorders>
              <w:left w:val="single" w:color="000000" w:sz="4" w:space="0"/>
              <w:right w:val="single" w:color="000000" w:sz="4" w:space="0"/>
            </w:tcBorders>
            <w:tcW w:w="1299" w:type="dxa"/>
            <w:vAlign w:val="center"/>
            <w:vMerge w:val="continue"/>
            <w:textDirection w:val="lrTb"/>
            <w:noWrap w:val="false"/>
          </w:tcPr>
          <w:p>
            <w:pPr>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GB 31658.20-2022</w:t>
            </w:r>
            <w:r/>
          </w:p>
        </w:tc>
        <w:tc>
          <w:tcPr>
            <w:tcBorders>
              <w:left w:val="single" w:color="000000" w:sz="4" w:space="0"/>
              <w:bottom w:val="single" w:color="000000" w:sz="4" w:space="0"/>
              <w:right w:val="single" w:color="000000" w:sz="4" w:space="0"/>
            </w:tcBorders>
            <w:tcW w:w="3144" w:type="dxa"/>
            <w:vAlign w:val="top"/>
            <w:textDirection w:val="lrTb"/>
            <w:noWrap w:val="false"/>
          </w:tcPr>
          <w:p>
            <w:pPr>
              <w:spacing w:line="260" w:lineRule="exact"/>
              <w:rPr>
                <w:rFonts w:ascii="仿宋" w:hAnsi="仿宋" w:eastAsia="仿宋" w:cs="方正仿宋_GBK"/>
                <w:szCs w:val="21"/>
              </w:rPr>
            </w:pPr>
            <w:r>
              <w:rPr>
                <w:rFonts w:hint="eastAsia" w:ascii="仿宋" w:hAnsi="仿宋" w:eastAsia="仿宋" w:cs="方正仿宋_GBK"/>
                <w:szCs w:val="21"/>
              </w:rPr>
              <w:t xml:space="preserve">氯霉素：不得检出（判定限0.2）；氟苯尼考与氟苯尼考胺之和：10；甲砜霉素：10</w:t>
            </w:r>
            <w:r/>
          </w:p>
        </w:tc>
      </w:tr>
      <w:tr>
        <w:trPr>
          <w:cantSplit/>
          <w:jc w:val="center"/>
          <w:trHeight w:val="440"/>
        </w:trPr>
        <w:tc>
          <w:tcPr>
            <w:tcBorders>
              <w:left w:val="single" w:color="000000" w:sz="4" w:space="0"/>
              <w:right w:val="single" w:color="000000" w:sz="4" w:space="0"/>
            </w:tcBorders>
            <w:tcW w:w="1299" w:type="dxa"/>
            <w:vAlign w:val="center"/>
            <w:vMerge w:val="continue"/>
            <w:textDirection w:val="lrTb"/>
            <w:noWrap w:val="false"/>
          </w:tcPr>
          <w:p>
            <w:pPr>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GB/T 21312-2007</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spacing w:line="260" w:lineRule="exact"/>
              <w:rPr>
                <w:rFonts w:ascii="仿宋" w:hAnsi="仿宋" w:eastAsia="仿宋" w:cs="方正仿宋_GBK"/>
                <w:szCs w:val="21"/>
              </w:rPr>
            </w:pPr>
            <w:r>
              <w:rPr>
                <w:rFonts w:hint="eastAsia" w:ascii="仿宋" w:hAnsi="仿宋" w:eastAsia="仿宋" w:cs="方正仿宋_GBK"/>
                <w:szCs w:val="21"/>
              </w:rPr>
              <w:t xml:space="preserve">氧氟沙星、培氟沙星、诺氟沙星、洛美沙星：不得检出（判定值2）；恩诺沙星和环丙沙星之和：10；沙拉沙星：5（仅判定鸡蛋）；达氟沙星：10</w:t>
            </w:r>
            <w:r/>
          </w:p>
        </w:tc>
      </w:tr>
      <w:tr>
        <w:trPr>
          <w:cantSplit/>
          <w:jc w:val="center"/>
          <w:trHeight w:val="440"/>
        </w:trPr>
        <w:tc>
          <w:tcPr>
            <w:tcBorders>
              <w:left w:val="single" w:color="000000" w:sz="4" w:space="0"/>
              <w:right w:val="single" w:color="000000" w:sz="4" w:space="0"/>
            </w:tcBorders>
            <w:tcW w:w="1299" w:type="dxa"/>
            <w:vAlign w:val="center"/>
            <w:vMerge w:val="continue"/>
            <w:textDirection w:val="lrTb"/>
            <w:noWrap w:val="false"/>
          </w:tcPr>
          <w:p>
            <w:pPr>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szCs w:val="21"/>
              </w:rPr>
              <w:t xml:space="preserve">多西环素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GB 31659.2-2022</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spacing w:line="260" w:lineRule="exact"/>
              <w:rPr>
                <w:rFonts w:ascii="仿宋" w:hAnsi="仿宋" w:eastAsia="仿宋" w:cs="方正仿宋_GBK"/>
                <w:szCs w:val="21"/>
              </w:rPr>
            </w:pPr>
            <w:r>
              <w:rPr>
                <w:rFonts w:hint="eastAsia" w:ascii="仿宋" w:hAnsi="仿宋" w:eastAsia="仿宋" w:cs="方正仿宋_GBK"/>
                <w:szCs w:val="21"/>
              </w:rPr>
              <w:t xml:space="preserve">10</w:t>
            </w:r>
            <w:r/>
          </w:p>
        </w:tc>
      </w:tr>
      <w:tr>
        <w:trPr>
          <w:cantSplit/>
          <w:jc w:val="center"/>
          <w:trHeight w:val="485"/>
        </w:trPr>
        <w:tc>
          <w:tcPr>
            <w:tcBorders>
              <w:left w:val="single" w:color="000000" w:sz="4" w:space="0"/>
              <w:right w:val="single" w:color="000000" w:sz="4" w:space="0"/>
            </w:tcBorders>
            <w:tcW w:w="1299" w:type="dxa"/>
            <w:vAlign w:val="center"/>
            <w:vMerge w:val="continue"/>
            <w:textDirection w:val="lrTb"/>
            <w:noWrap w:val="false"/>
          </w:tcPr>
          <w:p>
            <w:pPr>
              <w:rPr>
                <w:rFonts w:ascii="仿宋" w:hAnsi="仿宋" w:eastAsia="仿宋" w:cs="方正仿宋_GBK"/>
                <w:szCs w:val="21"/>
              </w:rPr>
            </w:pPr>
            <w:r>
              <w:rPr>
                <w:rFonts w:ascii="仿宋" w:hAnsi="仿宋" w:eastAsia="仿宋" w:cs="方正仿宋_GBK"/>
                <w:szCs w:val="21"/>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spacing w:line="280" w:lineRule="exact"/>
              <w:rPr>
                <w:rFonts w:ascii="仿宋" w:hAnsi="仿宋" w:eastAsia="仿宋" w:cs="方正仿宋_GBK"/>
                <w:szCs w:val="21"/>
              </w:rPr>
            </w:pPr>
            <w:r>
              <w:rPr>
                <w:rFonts w:hint="eastAsia" w:ascii="仿宋" w:hAnsi="仿宋" w:eastAsia="仿宋" w:cs="方正仿宋_GBK"/>
                <w:b/>
                <w:bCs/>
                <w:szCs w:val="21"/>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40" w:lineRule="exact"/>
              <w:rPr>
                <w:rFonts w:ascii="仿宋" w:hAnsi="仿宋" w:eastAsia="仿宋" w:cs="方正仿宋_GBK"/>
                <w:szCs w:val="21"/>
              </w:rPr>
            </w:pPr>
            <w:r>
              <w:rPr>
                <w:rFonts w:hint="eastAsia" w:ascii="仿宋" w:hAnsi="仿宋" w:eastAsia="仿宋" w:cs="方正仿宋_GBK"/>
                <w:szCs w:val="21"/>
              </w:rPr>
              <w:t xml:space="preserve">SN/T 2624-2010</w:t>
            </w:r>
            <w:r/>
          </w:p>
        </w:tc>
        <w:tc>
          <w:tcPr>
            <w:tcBorders>
              <w:top w:val="single" w:color="000000" w:sz="4" w:space="0"/>
              <w:left w:val="single" w:color="000000" w:sz="4" w:space="0"/>
              <w:bottom w:val="single" w:color="000000" w:sz="4" w:space="0"/>
              <w:right w:val="single" w:color="000000" w:sz="4" w:space="0"/>
            </w:tcBorders>
            <w:tcW w:w="3144" w:type="dxa"/>
            <w:vAlign w:val="top"/>
            <w:textDirection w:val="lrTb"/>
            <w:noWrap w:val="false"/>
          </w:tcPr>
          <w:p>
            <w:pPr>
              <w:spacing w:line="260" w:lineRule="exact"/>
              <w:rPr>
                <w:rFonts w:ascii="仿宋" w:hAnsi="仿宋" w:eastAsia="仿宋" w:cs="方正仿宋_GBK"/>
                <w:szCs w:val="21"/>
              </w:rPr>
            </w:pPr>
            <w:r>
              <w:rPr>
                <w:rFonts w:hint="eastAsia" w:ascii="仿宋" w:hAnsi="仿宋" w:eastAsia="仿宋" w:cs="方正仿宋_GBK"/>
                <w:szCs w:val="21"/>
              </w:rPr>
              <w:t xml:space="preserve">不得检出（判定限1.0，仅判定鸡蛋）</w:t>
            </w:r>
            <w:r/>
          </w:p>
        </w:tc>
      </w:tr>
    </w:tbl>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注：1.检出β-受体激动剂阳性样品需24小时内送样至省畜产品质检中心进行确证。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2.国家现行有效方法也可以使用，但方法最低检出限必须满足判定依据限量值。</w:t>
      </w:r>
      <w:r/>
    </w:p>
    <w:p>
      <w:pPr>
        <w:ind w:left="1" w:hanging="1"/>
        <w:jc w:val="center"/>
        <w:rPr>
          <w:rFonts w:hint="eastAsia" w:ascii="仿宋" w:hAnsi="仿宋" w:eastAsia="仿宋" w:cs="仿宋"/>
          <w:bCs/>
          <w:sz w:val="28"/>
          <w:szCs w:val="28"/>
        </w:rPr>
      </w:pPr>
      <w:r>
        <w:rPr>
          <w:rFonts w:hint="eastAsia" w:ascii="仿宋" w:hAnsi="仿宋" w:eastAsia="仿宋" w:cs="仿宋"/>
          <w:bCs/>
          <w:sz w:val="28"/>
          <w:szCs w:val="28"/>
        </w:rPr>
        <w:t xml:space="preserve">水产品质量安全例行监测检测方法和判定值</w:t>
      </w:r>
      <w:r/>
    </w:p>
    <w:tbl>
      <w:tblPr>
        <w:tblStyle w:val="707"/>
        <w:tblW w:w="0" w:type="auto"/>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363"/>
        <w:gridCol w:w="2687"/>
        <w:gridCol w:w="3855"/>
      </w:tblGrid>
      <w:tr>
        <w:trPr>
          <w:jc w:val="center"/>
          <w:trHeight w:val="361"/>
        </w:trPr>
        <w:tc>
          <w:tcPr>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jc w:val="center"/>
              <w:spacing w:line="280" w:lineRule="exact"/>
              <w:rPr>
                <w:rFonts w:hint="eastAsia" w:ascii="仿宋" w:hAnsi="仿宋" w:eastAsia="仿宋" w:cs="仿宋"/>
                <w:b/>
                <w:bCs/>
                <w:szCs w:val="21"/>
              </w:rPr>
            </w:pPr>
            <w:r>
              <w:rPr>
                <w:rFonts w:hint="eastAsia" w:ascii="仿宋" w:hAnsi="仿宋" w:eastAsia="仿宋" w:cs="仿宋"/>
                <w:b/>
                <w:bCs/>
                <w:szCs w:val="21"/>
              </w:rPr>
              <w:t xml:space="preserve">监测项目（34项）</w:t>
            </w:r>
            <w:r/>
          </w:p>
        </w:tc>
        <w:tc>
          <w:tcPr>
            <w:tcBorders>
              <w:top w:val="single" w:color="000000" w:sz="4" w:space="0"/>
              <w:left w:val="none" w:color="000000" w:sz="4" w:space="0"/>
              <w:bottom w:val="single" w:color="000000" w:sz="4" w:space="0"/>
              <w:right w:val="single" w:color="000000" w:sz="4" w:space="0"/>
            </w:tcBorders>
            <w:tcW w:w="2687" w:type="dxa"/>
            <w:vAlign w:val="center"/>
            <w:textDirection w:val="lrTb"/>
            <w:noWrap w:val="false"/>
          </w:tcPr>
          <w:p>
            <w:pPr>
              <w:jc w:val="center"/>
              <w:spacing w:line="280" w:lineRule="exact"/>
              <w:rPr>
                <w:rFonts w:hint="eastAsia" w:ascii="仿宋" w:hAnsi="仿宋" w:eastAsia="仿宋" w:cs="仿宋"/>
                <w:b/>
                <w:bCs/>
                <w:szCs w:val="21"/>
              </w:rPr>
            </w:pPr>
            <w:r>
              <w:rPr>
                <w:rFonts w:hint="eastAsia" w:ascii="仿宋" w:hAnsi="仿宋" w:eastAsia="仿宋" w:cs="仿宋"/>
                <w:b/>
                <w:bCs/>
                <w:szCs w:val="21"/>
              </w:rPr>
              <w:t xml:space="preserve">检测方法</w:t>
            </w:r>
            <w:r/>
          </w:p>
        </w:tc>
        <w:tc>
          <w:tcPr>
            <w:tcBorders>
              <w:top w:val="single" w:color="000000" w:sz="4" w:space="0"/>
              <w:left w:val="single" w:color="000000" w:sz="4" w:space="0"/>
              <w:bottom w:val="single" w:color="000000" w:sz="4" w:space="0"/>
              <w:right w:val="single" w:color="000000" w:sz="4" w:space="0"/>
            </w:tcBorders>
            <w:tcW w:w="3855" w:type="dxa"/>
            <w:vAlign w:val="center"/>
            <w:textDirection w:val="lrTb"/>
            <w:noWrap w:val="false"/>
          </w:tcPr>
          <w:p>
            <w:pPr>
              <w:jc w:val="center"/>
              <w:spacing w:line="280" w:lineRule="exact"/>
              <w:rPr>
                <w:rFonts w:hint="eastAsia" w:ascii="仿宋" w:hAnsi="仿宋" w:eastAsia="仿宋" w:cs="仿宋"/>
                <w:b/>
                <w:bCs/>
                <w:szCs w:val="21"/>
              </w:rPr>
            </w:pPr>
            <w:r>
              <w:rPr>
                <w:rFonts w:hint="eastAsia" w:ascii="仿宋" w:hAnsi="仿宋" w:eastAsia="仿宋" w:cs="仿宋"/>
                <w:b/>
                <w:bCs/>
                <w:szCs w:val="21"/>
              </w:rPr>
              <w:t xml:space="preserve">判定值（µg/kg）</w:t>
            </w:r>
            <w:r/>
          </w:p>
        </w:tc>
      </w:tr>
      <w:tr>
        <w:trPr>
          <w:cantSplit/>
          <w:jc w:val="center"/>
          <w:trHeight w:val="975"/>
        </w:trPr>
        <w:tc>
          <w:tcPr>
            <w:tcBorders>
              <w:top w:val="none" w:color="000000" w:sz="4" w:space="0"/>
              <w:left w:val="single" w:color="000000" w:sz="4" w:space="0"/>
              <w:bottom w:val="single" w:color="000000" w:sz="4" w:space="0"/>
              <w:right w:val="single" w:color="000000" w:sz="4" w:space="0"/>
            </w:tcBorders>
            <w:tcW w:w="3363"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孔雀石绿（包括有色孔雀石绿和无色孔雀石绿）</w:t>
            </w: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GB/T 20361-2006、</w:t>
            </w:r>
            <w:r/>
          </w:p>
          <w:p>
            <w:pPr>
              <w:spacing w:line="240" w:lineRule="exact"/>
              <w:rPr>
                <w:rFonts w:hint="eastAsia" w:ascii="仿宋" w:hAnsi="仿宋" w:eastAsia="仿宋" w:cs="仿宋"/>
                <w:szCs w:val="21"/>
              </w:rPr>
            </w:pPr>
            <w:r>
              <w:rPr>
                <w:rFonts w:hint="eastAsia" w:ascii="仿宋" w:hAnsi="仿宋" w:eastAsia="仿宋" w:cs="仿宋"/>
                <w:szCs w:val="21"/>
              </w:rPr>
              <w:t xml:space="preserve">GB/T 19857-2005</w:t>
            </w:r>
            <w:r/>
          </w:p>
        </w:tc>
        <w:tc>
          <w:tcPr>
            <w:tcBorders>
              <w:top w:val="none" w:color="000000" w:sz="4" w:space="0"/>
              <w:left w:val="none" w:color="000000" w:sz="4" w:space="0"/>
              <w:bottom w:val="single" w:color="000000" w:sz="4" w:space="0"/>
              <w:right w:val="single" w:color="000000" w:sz="4" w:space="0"/>
            </w:tcBorders>
            <w:tcW w:w="3855"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不得检出（判定限：1.0（有色孔雀石绿和无色孔雀石绿的总量））</w:t>
            </w:r>
            <w:r/>
          </w:p>
          <w:p>
            <w:pPr>
              <w:spacing w:line="240" w:lineRule="exact"/>
              <w:rPr>
                <w:rFonts w:hint="eastAsia" w:ascii="仿宋" w:hAnsi="仿宋" w:eastAsia="仿宋" w:cs="仿宋"/>
                <w:szCs w:val="21"/>
              </w:rPr>
            </w:pPr>
            <w:r>
              <w:rPr>
                <w:rFonts w:hint="eastAsia" w:ascii="仿宋" w:hAnsi="仿宋" w:eastAsia="仿宋" w:cs="仿宋"/>
                <w:szCs w:val="21"/>
              </w:rPr>
            </w:r>
            <w:r/>
          </w:p>
        </w:tc>
      </w:tr>
      <w:tr>
        <w:trPr>
          <w:jc w:val="center"/>
          <w:trHeight w:val="900"/>
        </w:trPr>
        <w:tc>
          <w:tcPr>
            <w:tcBorders>
              <w:top w:val="none" w:color="000000" w:sz="4" w:space="0"/>
              <w:left w:val="single" w:color="000000" w:sz="4" w:space="0"/>
              <w:bottom w:val="single" w:color="000000" w:sz="4" w:space="0"/>
              <w:right w:val="single" w:color="000000" w:sz="4" w:space="0"/>
            </w:tcBorders>
            <w:tcW w:w="3363"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硝基呋喃类代谢物（呋喃唑酮代谢物、呋喃它酮代谢物、呋喃西林代谢物、呋喃妥因代谢物）</w:t>
            </w: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GB 31656.13-2021、</w:t>
            </w:r>
            <w:r/>
          </w:p>
          <w:p>
            <w:pPr>
              <w:spacing w:line="240" w:lineRule="exact"/>
              <w:rPr>
                <w:rFonts w:hint="eastAsia" w:ascii="仿宋" w:hAnsi="仿宋" w:eastAsia="仿宋" w:cs="仿宋"/>
                <w:szCs w:val="21"/>
              </w:rPr>
            </w:pPr>
            <w:r>
              <w:rPr>
                <w:rFonts w:hint="eastAsia" w:ascii="仿宋" w:hAnsi="仿宋" w:eastAsia="仿宋" w:cs="仿宋"/>
                <w:szCs w:val="21"/>
              </w:rPr>
              <w:t xml:space="preserve">农业部783号公告-1-2006</w:t>
            </w:r>
            <w:r/>
          </w:p>
        </w:tc>
        <w:tc>
          <w:tcPr>
            <w:tcBorders>
              <w:top w:val="none" w:color="000000" w:sz="4" w:space="0"/>
              <w:left w:val="none" w:color="000000" w:sz="4" w:space="0"/>
              <w:bottom w:val="single" w:color="000000" w:sz="4" w:space="0"/>
              <w:right w:val="single" w:color="000000" w:sz="4" w:space="0"/>
            </w:tcBorders>
            <w:tcW w:w="3855"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不得检出（判定限：1.0）（虾蟹类呋喃西林代谢物SEM不作判定）</w:t>
            </w:r>
            <w:r/>
          </w:p>
        </w:tc>
      </w:tr>
      <w:tr>
        <w:trPr>
          <w:jc w:val="center"/>
          <w:trHeight w:val="682"/>
        </w:trPr>
        <w:tc>
          <w:tcPr>
            <w:tcBorders>
              <w:top w:val="none" w:color="000000" w:sz="4" w:space="0"/>
              <w:left w:val="single" w:color="000000" w:sz="4" w:space="0"/>
              <w:bottom w:val="single" w:color="000000" w:sz="4" w:space="0"/>
              <w:right w:val="single" w:color="000000" w:sz="4" w:space="0"/>
            </w:tcBorders>
            <w:tcW w:w="3363"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地西泮（仅淡水鱼）</w:t>
            </w: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SN/T 3235-2012</w:t>
            </w:r>
            <w:r/>
          </w:p>
        </w:tc>
        <w:tc>
          <w:tcPr>
            <w:tcBorders>
              <w:top w:val="none" w:color="000000" w:sz="4" w:space="0"/>
              <w:left w:val="none" w:color="000000" w:sz="4" w:space="0"/>
              <w:bottom w:val="single" w:color="000000" w:sz="4" w:space="0"/>
              <w:right w:val="single" w:color="000000" w:sz="4" w:space="0"/>
            </w:tcBorders>
            <w:tcW w:w="3855"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不得检出（判定限量值：0.5）</w:t>
            </w:r>
            <w:r/>
          </w:p>
        </w:tc>
      </w:tr>
      <w:tr>
        <w:trPr>
          <w:jc w:val="center"/>
          <w:trHeight w:val="502"/>
        </w:trPr>
        <w:tc>
          <w:tcPr>
            <w:tcBorders>
              <w:top w:val="none" w:color="000000" w:sz="4" w:space="0"/>
              <w:left w:val="single" w:color="000000" w:sz="4" w:space="0"/>
              <w:bottom w:val="single" w:color="000000" w:sz="4" w:space="0"/>
              <w:right w:val="single" w:color="000000" w:sz="4" w:space="0"/>
            </w:tcBorders>
            <w:tcW w:w="3363"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酰胺醇类（氯霉素、甲砜霉素、氟苯尼考、氟苯尼考胺）</w:t>
            </w: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GB/T 20756-2006、</w:t>
            </w:r>
            <w:r/>
          </w:p>
          <w:p>
            <w:pPr>
              <w:spacing w:line="240" w:lineRule="exact"/>
              <w:rPr>
                <w:rFonts w:hint="eastAsia" w:ascii="仿宋" w:hAnsi="仿宋" w:eastAsia="仿宋" w:cs="仿宋"/>
                <w:szCs w:val="21"/>
              </w:rPr>
            </w:pPr>
            <w:r>
              <w:rPr>
                <w:rFonts w:hint="eastAsia" w:ascii="仿宋" w:hAnsi="仿宋" w:eastAsia="仿宋" w:cs="仿宋"/>
                <w:szCs w:val="21"/>
              </w:rPr>
              <w:t xml:space="preserve">GB/T 22338-2008、</w:t>
            </w:r>
            <w:r/>
          </w:p>
          <w:p>
            <w:pPr>
              <w:spacing w:line="240" w:lineRule="exact"/>
              <w:rPr>
                <w:rFonts w:hint="eastAsia" w:ascii="仿宋" w:hAnsi="仿宋" w:eastAsia="仿宋" w:cs="仿宋"/>
                <w:szCs w:val="21"/>
              </w:rPr>
            </w:pPr>
            <w:r>
              <w:rPr>
                <w:rFonts w:hint="eastAsia" w:ascii="仿宋" w:hAnsi="仿宋" w:eastAsia="仿宋" w:cs="仿宋"/>
                <w:szCs w:val="21"/>
              </w:rPr>
              <w:t xml:space="preserve">SN/T 1865-2006 </w:t>
            </w:r>
            <w:r/>
          </w:p>
        </w:tc>
        <w:tc>
          <w:tcPr>
            <w:tcBorders>
              <w:top w:val="none" w:color="000000" w:sz="4" w:space="0"/>
              <w:left w:val="none" w:color="000000" w:sz="4" w:space="0"/>
              <w:bottom w:val="single" w:color="000000" w:sz="4" w:space="0"/>
              <w:right w:val="single" w:color="000000" w:sz="4" w:space="0"/>
            </w:tcBorders>
            <w:tcW w:w="3855"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氯霉素：不得检出（判定限：0.2）；甲砜霉素：50；氟苯尼考和氟苯尼考胺总量：1000</w:t>
            </w:r>
            <w:r/>
          </w:p>
        </w:tc>
      </w:tr>
      <w:tr>
        <w:trPr>
          <w:jc w:val="center"/>
          <w:trHeight w:val="693"/>
        </w:trPr>
        <w:tc>
          <w:tcPr>
            <w:tcBorders>
              <w:top w:val="none" w:color="000000" w:sz="4" w:space="0"/>
              <w:left w:val="single" w:color="000000" w:sz="4" w:space="0"/>
              <w:bottom w:val="single" w:color="000000" w:sz="4" w:space="0"/>
              <w:right w:val="single" w:color="000000" w:sz="4" w:space="0"/>
            </w:tcBorders>
            <w:tcW w:w="3363"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氟喹诺酮类（诺氟沙星、氧氟沙星、培氟沙星、洛美沙星，恩诺沙星、环丙沙星）</w:t>
            </w: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农业部1077号公告-1-2008</w:t>
            </w:r>
            <w:r/>
          </w:p>
        </w:tc>
        <w:tc>
          <w:tcPr>
            <w:tcBorders>
              <w:top w:val="none" w:color="000000" w:sz="4" w:space="0"/>
              <w:left w:val="none" w:color="000000" w:sz="4" w:space="0"/>
              <w:bottom w:val="single" w:color="000000" w:sz="4" w:space="0"/>
              <w:right w:val="single" w:color="000000" w:sz="4" w:space="0"/>
            </w:tcBorders>
            <w:tcW w:w="3855"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诺氟沙星、氧氟沙星、培氟沙星、洛美沙星：食用动物中停止使用，不得检出（判定限：2.0）；恩诺沙星与环丙沙星之和：100</w:t>
            </w:r>
            <w:r/>
          </w:p>
        </w:tc>
      </w:tr>
      <w:tr>
        <w:trPr>
          <w:jc w:val="center"/>
          <w:trHeight w:val="665"/>
        </w:trPr>
        <w:tc>
          <w:tcPr>
            <w:tcBorders>
              <w:top w:val="none" w:color="000000" w:sz="4" w:space="0"/>
              <w:left w:val="single" w:color="000000" w:sz="4" w:space="0"/>
              <w:bottom w:val="single" w:color="000000" w:sz="4" w:space="0"/>
              <w:right w:val="single" w:color="000000" w:sz="4" w:space="0"/>
            </w:tcBorders>
            <w:tcW w:w="3363"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磺胺类（磺胺嘧啶、磺胺二甲基嘧啶、磺胺甲基异噁唑、磺胺异噁唑、磺胺间二甲氧嘧啶、磺胺噻唑、磺胺甲基嘧啶、磺胺多辛、磺胺喹噁啉、磺胺间甲氧嘧啶、磺胺氯哒嗪、磺胺甲噻二唑，</w:t>
            </w:r>
            <w:r>
              <w:rPr>
                <w:rFonts w:hint="eastAsia" w:ascii="仿宋" w:hAnsi="仿宋" w:eastAsia="仿宋" w:cs="仿宋"/>
                <w:b/>
                <w:bCs/>
                <w:szCs w:val="21"/>
              </w:rPr>
              <w:t xml:space="preserve">甲氧苄啶</w:t>
            </w:r>
            <w:r>
              <w:rPr>
                <w:rFonts w:hint="eastAsia" w:ascii="仿宋" w:hAnsi="仿宋" w:eastAsia="仿宋" w:cs="仿宋"/>
                <w:szCs w:val="21"/>
              </w:rPr>
              <w:t xml:space="preserve">）</w:t>
            </w: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GB 29702-2013、</w:t>
            </w:r>
            <w:r/>
          </w:p>
          <w:p>
            <w:pPr>
              <w:spacing w:line="240" w:lineRule="exact"/>
              <w:rPr>
                <w:rFonts w:hint="eastAsia" w:ascii="仿宋" w:hAnsi="仿宋" w:eastAsia="仿宋" w:cs="仿宋"/>
                <w:szCs w:val="21"/>
              </w:rPr>
            </w:pPr>
            <w:r>
              <w:rPr>
                <w:rFonts w:hint="eastAsia" w:ascii="仿宋" w:hAnsi="仿宋" w:eastAsia="仿宋" w:cs="仿宋"/>
                <w:szCs w:val="21"/>
              </w:rPr>
              <w:t xml:space="preserve">GB/T 21316-2007、</w:t>
            </w:r>
            <w:r/>
          </w:p>
          <w:p>
            <w:pPr>
              <w:spacing w:line="240" w:lineRule="exact"/>
              <w:rPr>
                <w:rFonts w:hint="eastAsia" w:ascii="仿宋" w:hAnsi="仿宋" w:eastAsia="仿宋" w:cs="仿宋"/>
                <w:szCs w:val="21"/>
              </w:rPr>
            </w:pPr>
            <w:r>
              <w:rPr>
                <w:rFonts w:hint="eastAsia" w:ascii="仿宋" w:hAnsi="仿宋" w:eastAsia="仿宋" w:cs="仿宋"/>
                <w:szCs w:val="21"/>
              </w:rPr>
              <w:t xml:space="preserve">农业部1077号公告-1-2008</w:t>
            </w:r>
            <w:r/>
          </w:p>
        </w:tc>
        <w:tc>
          <w:tcPr>
            <w:tcBorders>
              <w:top w:val="none" w:color="000000" w:sz="4" w:space="0"/>
              <w:left w:val="none" w:color="000000" w:sz="4" w:space="0"/>
              <w:bottom w:val="single" w:color="000000" w:sz="4" w:space="0"/>
              <w:right w:val="single" w:color="000000" w:sz="4" w:space="0"/>
            </w:tcBorders>
            <w:tcW w:w="3855"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磺胺类总量：100；</w:t>
            </w:r>
            <w:r>
              <w:rPr>
                <w:rFonts w:hint="eastAsia" w:ascii="仿宋" w:hAnsi="仿宋" w:eastAsia="仿宋" w:cs="仿宋"/>
                <w:b/>
                <w:bCs/>
                <w:szCs w:val="21"/>
              </w:rPr>
              <w:t xml:space="preserve">甲氧苄啶：</w:t>
            </w:r>
            <w:r>
              <w:rPr>
                <w:rFonts w:hint="eastAsia" w:ascii="仿宋" w:hAnsi="仿宋" w:eastAsia="仿宋" w:cs="仿宋"/>
                <w:szCs w:val="21"/>
              </w:rPr>
              <w:t xml:space="preserve">50（牛蛙不作判定）</w:t>
            </w:r>
            <w:r/>
          </w:p>
        </w:tc>
      </w:tr>
      <w:tr>
        <w:trPr>
          <w:cantSplit/>
          <w:jc w:val="center"/>
          <w:trHeight w:val="675"/>
        </w:trPr>
        <w:tc>
          <w:tcPr>
            <w:tcBorders>
              <w:top w:val="none" w:color="000000" w:sz="4" w:space="0"/>
              <w:left w:val="single" w:color="000000" w:sz="4" w:space="0"/>
              <w:bottom w:val="single" w:color="000000" w:sz="4" w:space="0"/>
              <w:right w:val="single" w:color="000000" w:sz="4" w:space="0"/>
            </w:tcBorders>
            <w:tcW w:w="3363"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四环素类（四环素、土霉素、金霉素、多西环素）</w:t>
            </w: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GB/T 21317-2007、</w:t>
            </w:r>
            <w:r/>
          </w:p>
          <w:p>
            <w:pPr>
              <w:spacing w:line="240" w:lineRule="exact"/>
              <w:rPr>
                <w:rFonts w:hint="eastAsia" w:ascii="仿宋" w:hAnsi="仿宋" w:eastAsia="仿宋" w:cs="仿宋"/>
                <w:szCs w:val="21"/>
              </w:rPr>
            </w:pPr>
            <w:r>
              <w:rPr>
                <w:rFonts w:hint="eastAsia" w:ascii="仿宋" w:hAnsi="仿宋" w:eastAsia="仿宋" w:cs="仿宋"/>
                <w:szCs w:val="21"/>
              </w:rPr>
              <w:t xml:space="preserve">GB 31656.11-2021</w:t>
            </w:r>
            <w:r/>
          </w:p>
        </w:tc>
        <w:tc>
          <w:tcPr>
            <w:tcBorders>
              <w:top w:val="none" w:color="000000" w:sz="4" w:space="0"/>
              <w:left w:val="none" w:color="000000" w:sz="4" w:space="0"/>
              <w:bottom w:val="single" w:color="000000" w:sz="4" w:space="0"/>
              <w:right w:val="single" w:color="000000" w:sz="4" w:space="0"/>
            </w:tcBorders>
            <w:tcW w:w="3855" w:type="dxa"/>
            <w:vAlign w:val="center"/>
            <w:textDirection w:val="lrTb"/>
            <w:noWrap w:val="false"/>
          </w:tcPr>
          <w:p>
            <w:pPr>
              <w:spacing w:line="240" w:lineRule="exact"/>
              <w:rPr>
                <w:rFonts w:hint="eastAsia" w:ascii="仿宋" w:hAnsi="仿宋" w:eastAsia="仿宋" w:cs="仿宋"/>
                <w:szCs w:val="21"/>
              </w:rPr>
            </w:pPr>
            <w:r>
              <w:rPr>
                <w:rFonts w:hint="eastAsia" w:ascii="仿宋" w:hAnsi="仿宋" w:eastAsia="仿宋" w:cs="仿宋"/>
                <w:szCs w:val="21"/>
              </w:rPr>
              <w:t xml:space="preserve">四环素、土霉素、金霉素：200；多西环素：100</w:t>
            </w:r>
            <w:r/>
          </w:p>
        </w:tc>
      </w:tr>
    </w:tbl>
    <w:p>
      <w:pPr>
        <w:ind w:firstLine="560"/>
        <w:spacing w:line="400" w:lineRule="exact"/>
        <w:rPr>
          <w:rFonts w:hint="eastAsia" w:ascii="仿宋" w:hAnsi="仿宋" w:eastAsia="仿宋" w:cs="仿宋"/>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国家现行有效方法也可以使用，但方法最低检出限必须满足判定依据限量值。</w:t>
      </w:r>
      <w:r/>
    </w:p>
    <w:p>
      <w:pPr>
        <w:pStyle w:val="713"/>
        <w:spacing w:before="240" w:line="360" w:lineRule="auto"/>
        <w:rPr>
          <w:rFonts w:hint="eastAsia" w:ascii="仿宋" w:hAnsi="仿宋" w:eastAsia="仿宋" w:cs="仿宋"/>
          <w:sz w:val="28"/>
          <w:szCs w:val="28"/>
        </w:rPr>
      </w:pPr>
      <w:r>
        <w:rPr>
          <w:rFonts w:hint="eastAsia" w:ascii="仿宋" w:hAnsi="仿宋" w:eastAsia="仿宋" w:cs="仿宋"/>
          <w:bCs/>
          <w:sz w:val="28"/>
          <w:szCs w:val="28"/>
        </w:rPr>
        <w:t xml:space="preserve">（二）监督抽查项目、检测方法和判定依据</w:t>
      </w:r>
      <w:r/>
    </w:p>
    <w:p>
      <w:pPr>
        <w:ind w:firstLine="560"/>
        <w:rPr>
          <w:rFonts w:hint="eastAsia" w:ascii="仿宋" w:hAnsi="仿宋" w:eastAsia="仿宋" w:cs="仿宋"/>
          <w:bCs/>
          <w:sz w:val="28"/>
          <w:szCs w:val="28"/>
        </w:rPr>
      </w:pPr>
      <w:r>
        <w:rPr>
          <w:rFonts w:hint="eastAsia" w:ascii="仿宋" w:hAnsi="仿宋" w:eastAsia="仿宋" w:cs="仿宋"/>
          <w:bCs/>
          <w:sz w:val="28"/>
          <w:szCs w:val="28"/>
        </w:rPr>
        <w:t xml:space="preserve">种植业产品</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241"/>
        <w:gridCol w:w="2478"/>
        <w:gridCol w:w="2058"/>
      </w:tblGrid>
      <w:tr>
        <w:trPr>
          <w:jc w:val="center"/>
          <w:trHeight w:val="638"/>
        </w:trPr>
        <w:tc>
          <w:tcPr>
            <w:tcBorders>
              <w:top w:val="single" w:color="000000" w:sz="4" w:space="0"/>
              <w:bottom w:val="single" w:color="000000" w:sz="4" w:space="0"/>
              <w:right w:val="single" w:color="000000" w:sz="4" w:space="0"/>
            </w:tcBorders>
            <w:tcW w:w="5241" w:type="dxa"/>
            <w:vAlign w:val="center"/>
            <w:textDirection w:val="lrTb"/>
            <w:noWrap w:val="false"/>
          </w:tcPr>
          <w:p>
            <w:pPr>
              <w:ind w:firstLine="482"/>
              <w:jc w:val="center"/>
              <w:spacing w:line="240" w:lineRule="exact"/>
              <w:rPr>
                <w:rFonts w:ascii="楷体" w:hAnsi="楷体" w:eastAsia="楷体"/>
                <w:b/>
                <w:bCs/>
                <w:szCs w:val="21"/>
              </w:rPr>
            </w:pPr>
            <w:r>
              <w:rPr>
                <w:rFonts w:hint="eastAsia" w:ascii="楷体" w:hAnsi="楷体" w:eastAsia="楷体" w:cs="方正楷体_GBK"/>
                <w:b/>
                <w:bCs/>
                <w:szCs w:val="21"/>
              </w:rPr>
              <w:t xml:space="preserve">抽检参数</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ind w:firstLine="482"/>
              <w:jc w:val="center"/>
              <w:spacing w:line="240" w:lineRule="exact"/>
              <w:rPr>
                <w:rFonts w:ascii="楷体" w:hAnsi="楷体" w:eastAsia="楷体"/>
                <w:b/>
                <w:bCs/>
                <w:szCs w:val="21"/>
              </w:rPr>
            </w:pPr>
            <w:r>
              <w:rPr>
                <w:rFonts w:hint="eastAsia" w:ascii="楷体" w:hAnsi="楷体" w:eastAsia="楷体" w:cs="方正楷体_GBK"/>
                <w:b/>
                <w:bCs/>
                <w:szCs w:val="21"/>
              </w:rPr>
              <w:t xml:space="preserve">检测方法</w:t>
            </w:r>
            <w:r/>
          </w:p>
        </w:tc>
        <w:tc>
          <w:tcPr>
            <w:tcBorders>
              <w:top w:val="single" w:color="000000" w:sz="4" w:space="0"/>
              <w:left w:val="single" w:color="000000" w:sz="4" w:space="0"/>
              <w:bottom w:val="single" w:color="000000" w:sz="4" w:space="0"/>
            </w:tcBorders>
            <w:tcW w:w="2058" w:type="dxa"/>
            <w:vAlign w:val="center"/>
            <w:textDirection w:val="lrTb"/>
            <w:noWrap w:val="false"/>
          </w:tcPr>
          <w:p>
            <w:pPr>
              <w:jc w:val="center"/>
              <w:spacing w:line="560" w:lineRule="exact"/>
              <w:rPr>
                <w:rFonts w:ascii="楷体" w:hAnsi="楷体" w:eastAsia="楷体"/>
                <w:b/>
                <w:bCs/>
                <w:szCs w:val="21"/>
              </w:rPr>
            </w:pPr>
            <w:r>
              <w:rPr>
                <w:rFonts w:hint="eastAsia" w:ascii="楷体" w:hAnsi="楷体" w:eastAsia="楷体" w:cs="方正楷体_GBK"/>
                <w:b/>
                <w:bCs/>
                <w:szCs w:val="21"/>
              </w:rPr>
              <w:t xml:space="preserve">判定依据</w:t>
            </w:r>
            <w:r/>
          </w:p>
        </w:tc>
      </w:tr>
      <w:tr>
        <w:trPr>
          <w:cantSplit/>
          <w:jc w:val="center"/>
          <w:trHeight w:val="1358"/>
        </w:trPr>
        <w:tc>
          <w:tcPr>
            <w:tcBorders>
              <w:top w:val="single" w:color="000000" w:sz="4" w:space="0"/>
              <w:bottom w:val="single" w:color="000000" w:sz="4" w:space="0"/>
              <w:right w:val="single" w:color="000000" w:sz="4" w:space="0"/>
            </w:tcBorders>
            <w:tcW w:w="5241" w:type="dxa"/>
            <w:vAlign w:val="center"/>
            <w:textDirection w:val="lrTb"/>
            <w:noWrap w:val="false"/>
          </w:tcPr>
          <w:p>
            <w:pPr>
              <w:rPr>
                <w:rFonts w:ascii="仿宋" w:hAnsi="仿宋" w:eastAsia="仿宋"/>
                <w:b/>
                <w:bCs/>
                <w:szCs w:val="21"/>
              </w:rPr>
            </w:pPr>
            <w:r>
              <w:rPr>
                <w:rFonts w:hint="eastAsia" w:ascii="仿宋" w:hAnsi="仿宋" w:eastAsia="仿宋"/>
                <w:szCs w:val="21"/>
              </w:rPr>
              <w:t xml:space="preserve">甲胺磷、甲拌磷（包括甲拌磷砜和甲拌磷亚砜）、氧乐果、水胺硫磷、甲基异柳磷、克百威（包括3-羟基克百威）、涕灭威（包括涕灭威砜和涕灭威亚砜）、毒死蜱、三唑磷、乐果、乙酰甲胺磷、灭多威、腐霉利、多菌灵、吡虫啉、</w:t>
            </w:r>
            <w:r>
              <w:rPr>
                <w:rFonts w:hint="eastAsia" w:ascii="仿宋" w:hAnsi="仿宋" w:eastAsia="仿宋"/>
                <w:b/>
                <w:bCs/>
                <w:szCs w:val="21"/>
              </w:rPr>
              <w:t xml:space="preserve">辛硫磷、氯氟氰菊酯</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rPr>
                <w:rFonts w:ascii="仿宋" w:hAnsi="仿宋" w:eastAsia="仿宋"/>
                <w:szCs w:val="21"/>
              </w:rPr>
            </w:pPr>
            <w:r>
              <w:rPr>
                <w:rFonts w:hint="eastAsia" w:ascii="仿宋" w:hAnsi="仿宋" w:eastAsia="仿宋"/>
                <w:szCs w:val="21"/>
              </w:rPr>
              <w:t xml:space="preserve">NY/T761-2008 </w:t>
            </w:r>
            <w:r/>
          </w:p>
          <w:p>
            <w:pPr>
              <w:rPr>
                <w:rFonts w:ascii="仿宋" w:hAnsi="仿宋" w:eastAsia="仿宋"/>
                <w:szCs w:val="21"/>
              </w:rPr>
            </w:pPr>
            <w:r>
              <w:rPr>
                <w:rFonts w:hint="eastAsia" w:ascii="仿宋" w:hAnsi="仿宋" w:eastAsia="仿宋"/>
                <w:szCs w:val="21"/>
              </w:rPr>
              <w:t xml:space="preserve">GB/T 20769-2008</w:t>
            </w:r>
            <w:r/>
          </w:p>
          <w:p>
            <w:pPr>
              <w:rPr>
                <w:rFonts w:ascii="仿宋" w:hAnsi="仿宋" w:eastAsia="仿宋"/>
                <w:szCs w:val="21"/>
              </w:rPr>
            </w:pPr>
            <w:r>
              <w:rPr>
                <w:rFonts w:hint="eastAsia" w:ascii="仿宋" w:hAnsi="仿宋" w:eastAsia="仿宋"/>
                <w:szCs w:val="21"/>
              </w:rPr>
              <w:t xml:space="preserve">GB 23200.113-2018</w:t>
            </w:r>
            <w:r/>
          </w:p>
          <w:p>
            <w:r>
              <w:rPr>
                <w:rFonts w:hint="eastAsia" w:ascii="仿宋" w:hAnsi="仿宋" w:eastAsia="仿宋"/>
                <w:szCs w:val="21"/>
              </w:rPr>
              <w:t xml:space="preserve">GB 23200.121-2021</w:t>
            </w:r>
            <w:r/>
          </w:p>
        </w:tc>
        <w:tc>
          <w:tcPr>
            <w:tcBorders>
              <w:top w:val="single" w:color="000000" w:sz="4" w:space="0"/>
              <w:left w:val="single" w:color="000000" w:sz="4" w:space="0"/>
            </w:tcBorders>
            <w:tcW w:w="2058" w:type="dxa"/>
            <w:vAlign w:val="center"/>
            <w:vMerge w:val="restart"/>
            <w:textDirection w:val="lrTb"/>
            <w:noWrap w:val="false"/>
          </w:tcPr>
          <w:p>
            <w:pPr>
              <w:jc w:val="center"/>
              <w:spacing w:line="560" w:lineRule="exact"/>
              <w:rPr>
                <w:rFonts w:ascii="仿宋" w:hAnsi="仿宋" w:eastAsia="仿宋"/>
                <w:szCs w:val="21"/>
              </w:rPr>
            </w:pPr>
            <w:r>
              <w:rPr>
                <w:rFonts w:hint="eastAsia" w:ascii="仿宋" w:hAnsi="仿宋" w:eastAsia="仿宋"/>
                <w:szCs w:val="21"/>
              </w:rPr>
              <w:t xml:space="preserve">GB 2763-2026</w:t>
            </w:r>
            <w:r/>
          </w:p>
        </w:tc>
      </w:tr>
      <w:tr>
        <w:trPr>
          <w:cantSplit/>
          <w:jc w:val="center"/>
          <w:trHeight w:val="743"/>
        </w:trPr>
        <w:tc>
          <w:tcPr>
            <w:tcBorders>
              <w:top w:val="single" w:color="000000" w:sz="4" w:space="0"/>
              <w:bottom w:val="single" w:color="000000" w:sz="4" w:space="0"/>
              <w:right w:val="single" w:color="000000" w:sz="4" w:space="0"/>
            </w:tcBorders>
            <w:tcW w:w="5241" w:type="dxa"/>
            <w:vAlign w:val="center"/>
            <w:textDirection w:val="lrTb"/>
            <w:noWrap w:val="false"/>
          </w:tcPr>
          <w:p>
            <w:pPr>
              <w:rPr>
                <w:rFonts w:ascii="仿宋" w:hAnsi="仿宋" w:eastAsia="仿宋"/>
                <w:b/>
                <w:bCs/>
                <w:szCs w:val="21"/>
              </w:rPr>
            </w:pPr>
            <w:r>
              <w:rPr>
                <w:rFonts w:hint="eastAsia" w:ascii="仿宋" w:hAnsi="仿宋" w:eastAsia="仿宋"/>
                <w:szCs w:val="21"/>
              </w:rPr>
              <w:t xml:space="preserve">氟虫腈（包括氟甲腈、氟虫腈硫醚、氟虫腈砜）、啶虫脒、嘧霉胺、烯酰吗啉、噻虫嗪、</w:t>
            </w:r>
            <w:r>
              <w:rPr>
                <w:rFonts w:hint="eastAsia" w:ascii="仿宋" w:hAnsi="仿宋" w:eastAsia="仿宋"/>
                <w:b/>
                <w:bCs/>
                <w:szCs w:val="21"/>
              </w:rPr>
              <w:t xml:space="preserve">噻虫胺、甲氨基阿维菌素苯甲酸盐、哒螨灵、吡唑醚菌酯</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rPr>
                <w:rFonts w:ascii="仿宋" w:hAnsi="仿宋" w:eastAsia="仿宋"/>
                <w:szCs w:val="21"/>
              </w:rPr>
            </w:pPr>
            <w:r>
              <w:rPr>
                <w:rFonts w:hint="eastAsia" w:ascii="仿宋" w:hAnsi="仿宋" w:eastAsia="仿宋"/>
                <w:szCs w:val="21"/>
              </w:rPr>
              <w:t xml:space="preserve">GB 23200.8-2016</w:t>
            </w:r>
            <w:r/>
          </w:p>
          <w:p>
            <w:pPr>
              <w:rPr>
                <w:rFonts w:ascii="仿宋" w:hAnsi="仿宋" w:eastAsia="仿宋"/>
                <w:szCs w:val="21"/>
              </w:rPr>
            </w:pPr>
            <w:r>
              <w:rPr>
                <w:rFonts w:hint="eastAsia" w:ascii="仿宋" w:hAnsi="仿宋" w:eastAsia="仿宋"/>
                <w:szCs w:val="21"/>
              </w:rPr>
              <w:t xml:space="preserve">GB/T 20769-2008</w:t>
            </w:r>
            <w:r/>
          </w:p>
          <w:p>
            <w:pPr>
              <w:rPr>
                <w:rFonts w:ascii="仿宋" w:hAnsi="仿宋" w:eastAsia="仿宋"/>
                <w:szCs w:val="21"/>
              </w:rPr>
            </w:pPr>
            <w:r>
              <w:rPr>
                <w:rFonts w:hint="eastAsia" w:ascii="仿宋" w:hAnsi="仿宋" w:eastAsia="仿宋"/>
                <w:szCs w:val="21"/>
              </w:rPr>
              <w:t xml:space="preserve">GB 23200.113-018</w:t>
            </w:r>
            <w:r/>
          </w:p>
          <w:p>
            <w:pPr>
              <w:rPr>
                <w:rFonts w:ascii="仿宋" w:hAnsi="仿宋" w:eastAsia="仿宋"/>
                <w:szCs w:val="21"/>
              </w:rPr>
            </w:pPr>
            <w:r>
              <w:rPr>
                <w:rFonts w:hint="eastAsia" w:ascii="仿宋" w:hAnsi="仿宋" w:eastAsia="仿宋"/>
                <w:szCs w:val="21"/>
              </w:rPr>
              <w:t xml:space="preserve">GB 23200.121-2021</w:t>
            </w:r>
            <w:r/>
          </w:p>
        </w:tc>
        <w:tc>
          <w:tcPr>
            <w:tcBorders>
              <w:left w:val="single" w:color="000000" w:sz="4" w:space="0"/>
            </w:tcBorders>
            <w:tcW w:w="2058" w:type="dxa"/>
            <w:vAlign w:val="center"/>
            <w:vMerge w:val="continue"/>
            <w:textDirection w:val="lrTb"/>
            <w:noWrap w:val="false"/>
          </w:tcPr>
          <w:p>
            <w:pPr>
              <w:jc w:val="center"/>
              <w:spacing w:line="560" w:lineRule="exact"/>
              <w:rPr>
                <w:rFonts w:ascii="仿宋" w:hAnsi="仿宋" w:eastAsia="仿宋"/>
                <w:szCs w:val="21"/>
              </w:rPr>
            </w:pPr>
            <w:r>
              <w:rPr>
                <w:rFonts w:ascii="仿宋" w:hAnsi="仿宋" w:eastAsia="仿宋"/>
                <w:szCs w:val="21"/>
              </w:rPr>
            </w:r>
            <w:r/>
          </w:p>
        </w:tc>
      </w:tr>
      <w:tr>
        <w:trPr>
          <w:cantSplit/>
          <w:jc w:val="center"/>
          <w:trHeight w:val="143"/>
        </w:trPr>
        <w:tc>
          <w:tcPr>
            <w:tcBorders>
              <w:top w:val="single" w:color="000000" w:sz="4" w:space="0"/>
              <w:bottom w:val="single" w:color="000000" w:sz="4" w:space="0"/>
              <w:right w:val="single" w:color="000000" w:sz="4" w:space="0"/>
            </w:tcBorders>
            <w:tcW w:w="5241" w:type="dxa"/>
            <w:vAlign w:val="center"/>
            <w:textDirection w:val="lrTb"/>
            <w:noWrap w:val="false"/>
          </w:tcPr>
          <w:p>
            <w:pPr>
              <w:rPr>
                <w:rFonts w:ascii="仿宋" w:hAnsi="仿宋" w:eastAsia="仿宋"/>
                <w:szCs w:val="21"/>
              </w:rPr>
            </w:pPr>
            <w:r>
              <w:rPr>
                <w:rFonts w:hint="eastAsia" w:ascii="仿宋" w:hAnsi="仿宋" w:eastAsia="仿宋"/>
                <w:szCs w:val="21"/>
              </w:rPr>
              <w:t xml:space="preserve">灭蝇胺</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rPr>
                <w:rFonts w:ascii="仿宋" w:hAnsi="仿宋" w:eastAsia="仿宋"/>
                <w:szCs w:val="21"/>
              </w:rPr>
            </w:pPr>
            <w:r>
              <w:rPr>
                <w:rFonts w:hint="eastAsia" w:ascii="仿宋" w:hAnsi="仿宋" w:eastAsia="仿宋"/>
                <w:szCs w:val="21"/>
              </w:rPr>
              <w:t xml:space="preserve">NY/T 1725-2009</w:t>
            </w:r>
            <w:r/>
          </w:p>
          <w:p>
            <w:pPr>
              <w:rPr>
                <w:rFonts w:ascii="仿宋" w:hAnsi="仿宋" w:eastAsia="仿宋"/>
                <w:szCs w:val="21"/>
              </w:rPr>
            </w:pPr>
            <w:r>
              <w:rPr>
                <w:rFonts w:hint="eastAsia" w:ascii="仿宋" w:hAnsi="仿宋" w:eastAsia="仿宋"/>
                <w:szCs w:val="21"/>
              </w:rPr>
              <w:t xml:space="preserve">GB/T 20769-2008</w:t>
            </w:r>
            <w:r/>
          </w:p>
        </w:tc>
        <w:tc>
          <w:tcPr>
            <w:tcBorders>
              <w:left w:val="single" w:color="000000" w:sz="4" w:space="0"/>
            </w:tcBorders>
            <w:tcW w:w="2058" w:type="dxa"/>
            <w:vAlign w:val="center"/>
            <w:vMerge w:val="continue"/>
            <w:textDirection w:val="lrTb"/>
            <w:noWrap w:val="false"/>
          </w:tcPr>
          <w:p>
            <w:pPr>
              <w:jc w:val="center"/>
              <w:spacing w:line="560" w:lineRule="exact"/>
              <w:rPr>
                <w:rFonts w:ascii="仿宋" w:hAnsi="仿宋" w:eastAsia="仿宋"/>
                <w:szCs w:val="21"/>
              </w:rPr>
            </w:pPr>
            <w:r>
              <w:rPr>
                <w:rFonts w:ascii="仿宋" w:hAnsi="仿宋" w:eastAsia="仿宋"/>
                <w:szCs w:val="21"/>
              </w:rPr>
            </w:r>
            <w:r/>
          </w:p>
        </w:tc>
      </w:tr>
      <w:tr>
        <w:trPr>
          <w:cantSplit/>
          <w:jc w:val="center"/>
          <w:trHeight w:val="90"/>
        </w:trPr>
        <w:tc>
          <w:tcPr>
            <w:tcBorders>
              <w:top w:val="single" w:color="000000" w:sz="4" w:space="0"/>
              <w:bottom w:val="single" w:color="000000" w:sz="4" w:space="0"/>
              <w:right w:val="single" w:color="000000" w:sz="4" w:space="0"/>
            </w:tcBorders>
            <w:tcW w:w="5241" w:type="dxa"/>
            <w:vAlign w:val="center"/>
            <w:textDirection w:val="lrTb"/>
            <w:noWrap w:val="false"/>
          </w:tcPr>
          <w:p>
            <w:pPr>
              <w:rPr>
                <w:rFonts w:ascii="仿宋" w:hAnsi="仿宋" w:eastAsia="仿宋"/>
                <w:szCs w:val="21"/>
              </w:rPr>
            </w:pPr>
            <w:r>
              <w:rPr>
                <w:rFonts w:hint="eastAsia" w:ascii="仿宋" w:hAnsi="仿宋" w:eastAsia="仿宋"/>
                <w:szCs w:val="21"/>
              </w:rPr>
              <w:t xml:space="preserve">阿维菌素</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rPr>
                <w:rFonts w:ascii="仿宋" w:hAnsi="仿宋" w:eastAsia="仿宋"/>
                <w:szCs w:val="21"/>
              </w:rPr>
            </w:pPr>
            <w:r>
              <w:rPr>
                <w:rFonts w:hint="eastAsia" w:ascii="仿宋" w:hAnsi="仿宋" w:eastAsia="仿宋"/>
                <w:szCs w:val="21"/>
              </w:rPr>
              <w:t xml:space="preserve">GB/T23200.19</w:t>
            </w:r>
            <w:r/>
          </w:p>
          <w:p>
            <w:pPr>
              <w:rPr>
                <w:rFonts w:ascii="仿宋" w:hAnsi="仿宋" w:eastAsia="仿宋"/>
                <w:szCs w:val="21"/>
              </w:rPr>
            </w:pPr>
            <w:r>
              <w:rPr>
                <w:rFonts w:hint="eastAsia" w:ascii="仿宋" w:hAnsi="仿宋" w:eastAsia="仿宋"/>
                <w:szCs w:val="21"/>
              </w:rPr>
              <w:t xml:space="preserve">GB/T 23200.121-2021</w:t>
            </w:r>
            <w:r/>
          </w:p>
        </w:tc>
        <w:tc>
          <w:tcPr>
            <w:tcBorders>
              <w:left w:val="single" w:color="000000" w:sz="4" w:space="0"/>
              <w:bottom w:val="single" w:color="000000" w:sz="4" w:space="0"/>
            </w:tcBorders>
            <w:tcW w:w="2058" w:type="dxa"/>
            <w:vAlign w:val="center"/>
            <w:vMerge w:val="continue"/>
            <w:textDirection w:val="lrTb"/>
            <w:noWrap w:val="false"/>
          </w:tcPr>
          <w:p>
            <w:pPr>
              <w:jc w:val="center"/>
              <w:spacing w:line="560" w:lineRule="exact"/>
              <w:rPr>
                <w:rFonts w:ascii="仿宋" w:hAnsi="仿宋" w:eastAsia="仿宋"/>
                <w:szCs w:val="21"/>
              </w:rPr>
            </w:pPr>
            <w:r>
              <w:rPr>
                <w:rFonts w:ascii="仿宋" w:hAnsi="仿宋" w:eastAsia="仿宋"/>
                <w:szCs w:val="21"/>
              </w:rPr>
            </w:r>
            <w:r/>
          </w:p>
        </w:tc>
      </w:tr>
    </w:tbl>
    <w:p>
      <w:pPr>
        <w:ind w:firstLine="560"/>
        <w:rPr>
          <w:rFonts w:hint="eastAsia" w:ascii="仿宋" w:hAnsi="仿宋" w:eastAsia="仿宋" w:cs="仿宋"/>
          <w:bCs/>
          <w:sz w:val="28"/>
          <w:szCs w:val="28"/>
        </w:rPr>
      </w:pPr>
      <w:r>
        <w:rPr>
          <w:rFonts w:hint="eastAsia" w:ascii="仿宋" w:hAnsi="仿宋" w:eastAsia="仿宋" w:cs="仿宋"/>
          <w:bCs/>
          <w:sz w:val="28"/>
          <w:szCs w:val="28"/>
        </w:rPr>
        <w:t xml:space="preserve">畜牧业产品</w:t>
      </w:r>
      <w:r/>
    </w:p>
    <w:tbl>
      <w:tblPr>
        <w:tblStyle w:val="707"/>
        <w:tblW w:w="0" w:type="auto"/>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347"/>
        <w:gridCol w:w="1590"/>
        <w:gridCol w:w="2701"/>
      </w:tblGrid>
      <w:tr>
        <w:trPr>
          <w:jc w:val="center"/>
          <w:trHeight w:val="472"/>
        </w:trPr>
        <w:tc>
          <w:tcPr>
            <w:tcBorders>
              <w:top w:val="single" w:color="000000" w:sz="4" w:space="0"/>
              <w:left w:val="single" w:color="000000" w:sz="4" w:space="0"/>
              <w:bottom w:val="single" w:color="auto" w:sz="4" w:space="0"/>
              <w:right w:val="single" w:color="000000" w:sz="4" w:space="0"/>
            </w:tcBorders>
            <w:tcW w:w="5347" w:type="dxa"/>
            <w:vAlign w:val="center"/>
            <w:textDirection w:val="lrTb"/>
            <w:noWrap w:val="false"/>
          </w:tcPr>
          <w:p>
            <w:pPr>
              <w:ind w:firstLine="482"/>
              <w:jc w:val="center"/>
              <w:spacing w:line="240" w:lineRule="exact"/>
              <w:rPr>
                <w:rFonts w:ascii="楷体" w:hAnsi="楷体" w:eastAsia="楷体"/>
                <w:b/>
                <w:bCs/>
                <w:szCs w:val="21"/>
              </w:rPr>
            </w:pPr>
            <w:r>
              <w:rPr>
                <w:rFonts w:hint="eastAsia" w:ascii="楷体" w:hAnsi="楷体" w:eastAsia="楷体" w:cs="方正楷体_GBK"/>
                <w:b/>
                <w:bCs/>
                <w:szCs w:val="21"/>
              </w:rPr>
              <w:t xml:space="preserve">抽检参数</w:t>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val="false"/>
          </w:tcPr>
          <w:p>
            <w:pPr>
              <w:jc w:val="center"/>
              <w:spacing w:line="240" w:lineRule="exact"/>
              <w:rPr>
                <w:rFonts w:ascii="楷体" w:hAnsi="楷体" w:eastAsia="楷体"/>
                <w:b/>
                <w:bCs/>
                <w:szCs w:val="21"/>
              </w:rPr>
            </w:pPr>
            <w:r>
              <w:rPr>
                <w:rFonts w:hint="eastAsia" w:ascii="楷体" w:hAnsi="楷体" w:eastAsia="楷体" w:cs="方正楷体_GBK"/>
                <w:b/>
                <w:bCs/>
                <w:szCs w:val="21"/>
              </w:rPr>
              <w:t xml:space="preserve">检测方法</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ind w:firstLine="482"/>
              <w:jc w:val="center"/>
              <w:spacing w:line="240" w:lineRule="exact"/>
              <w:rPr>
                <w:rFonts w:ascii="楷体" w:hAnsi="楷体" w:eastAsia="楷体"/>
                <w:b/>
                <w:bCs/>
                <w:szCs w:val="21"/>
              </w:rPr>
            </w:pPr>
            <w:r>
              <w:rPr>
                <w:rFonts w:hint="eastAsia" w:ascii="楷体" w:hAnsi="楷体" w:eastAsia="楷体" w:cs="方正楷体_GBK"/>
                <w:b/>
                <w:bCs/>
                <w:szCs w:val="21"/>
              </w:rPr>
              <w:t xml:space="preserve">判定依据</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5347" w:type="dxa"/>
            <w:vAlign w:val="center"/>
            <w:textDirection w:val="lrTb"/>
            <w:noWrap w:val="false"/>
          </w:tcPr>
          <w:p>
            <w:pPr>
              <w:rPr>
                <w:rFonts w:ascii="仿宋" w:hAnsi="仿宋" w:eastAsia="仿宋"/>
                <w:szCs w:val="21"/>
              </w:rPr>
            </w:pPr>
            <w:r>
              <w:rPr>
                <w:rFonts w:hint="eastAsia" w:ascii="仿宋" w:hAnsi="仿宋" w:eastAsia="仿宋" w:cs="方正仿宋_GBK"/>
                <w:szCs w:val="21"/>
              </w:rPr>
              <w:t xml:space="preserve">克伦特罗、沙丁胺醇、莱克多巴胺</w:t>
            </w:r>
            <w:r/>
          </w:p>
        </w:tc>
        <w:tc>
          <w:tcPr>
            <w:tcBorders>
              <w:top w:val="single" w:color="000000" w:sz="4" w:space="0"/>
              <w:left w:val="single" w:color="auto" w:sz="4" w:space="0"/>
              <w:right w:val="single" w:color="000000" w:sz="4" w:space="0"/>
            </w:tcBorders>
            <w:tcW w:w="1590" w:type="dxa"/>
            <w:vAlign w:val="center"/>
            <w:vMerge w:val="restart"/>
            <w:textDirection w:val="lrTb"/>
            <w:noWrap w:val="false"/>
          </w:tcPr>
          <w:p>
            <w:pPr>
              <w:rPr>
                <w:rFonts w:ascii="仿宋" w:hAnsi="仿宋" w:eastAsia="仿宋"/>
                <w:szCs w:val="21"/>
              </w:rPr>
            </w:pPr>
            <w:r>
              <w:rPr>
                <w:rFonts w:hint="eastAsia" w:ascii="仿宋" w:hAnsi="仿宋" w:eastAsia="仿宋" w:cs="方正仿宋_GBK"/>
                <w:szCs w:val="21"/>
              </w:rPr>
              <w:t xml:space="preserve">国家现行有效的检测方法，但方法最低检出限必须满足判定依据限量值。</w:t>
            </w:r>
            <w:r/>
          </w:p>
        </w:tc>
        <w:tc>
          <w:tcPr>
            <w:tcBorders>
              <w:top w:val="none" w:color="000000" w:sz="4" w:space="0"/>
              <w:left w:val="none" w:color="000000" w:sz="4" w:space="0"/>
              <w:bottom w:val="single" w:color="000000" w:sz="4" w:space="0"/>
              <w:right w:val="single" w:color="000000" w:sz="4" w:space="0"/>
            </w:tcBorders>
            <w:tcW w:w="2701" w:type="dxa"/>
            <w:vAlign w:val="center"/>
            <w:textDirection w:val="lrTb"/>
            <w:noWrap w:val="false"/>
          </w:tcPr>
          <w:p>
            <w:pPr>
              <w:rPr>
                <w:rFonts w:ascii="仿宋" w:hAnsi="仿宋" w:eastAsia="仿宋"/>
                <w:szCs w:val="21"/>
              </w:rPr>
            </w:pPr>
            <w:r>
              <w:rPr>
                <w:rFonts w:hint="eastAsia" w:ascii="仿宋" w:hAnsi="仿宋" w:eastAsia="仿宋" w:cs="方正仿宋_GBK"/>
                <w:szCs w:val="21"/>
              </w:rPr>
              <w:t xml:space="preserve">农业农村部公告第</w:t>
            </w:r>
            <w:r>
              <w:rPr>
                <w:rFonts w:ascii="仿宋" w:hAnsi="仿宋" w:eastAsia="仿宋"/>
                <w:szCs w:val="21"/>
              </w:rPr>
              <w:t xml:space="preserve">250</w:t>
            </w:r>
            <w:r>
              <w:rPr>
                <w:rFonts w:hint="eastAsia" w:ascii="仿宋" w:hAnsi="仿宋" w:eastAsia="仿宋" w:cs="方正仿宋_GBK"/>
                <w:szCs w:val="21"/>
              </w:rPr>
              <w:t xml:space="preserve">号</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5347" w:type="dxa"/>
            <w:vAlign w:val="center"/>
            <w:textDirection w:val="lrTb"/>
            <w:noWrap w:val="false"/>
          </w:tcPr>
          <w:p>
            <w:pPr>
              <w:rPr>
                <w:rFonts w:ascii="仿宋" w:hAnsi="仿宋" w:eastAsia="仿宋"/>
                <w:b/>
                <w:bCs/>
                <w:szCs w:val="21"/>
              </w:rPr>
            </w:pPr>
            <w:r>
              <w:rPr>
                <w:rFonts w:hint="eastAsia" w:ascii="仿宋" w:hAnsi="仿宋" w:eastAsia="仿宋" w:cs="方正仿宋_GBK"/>
                <w:szCs w:val="21"/>
              </w:rPr>
              <w:t xml:space="preserve">氯霉素、甲砜霉素、氟苯尼考和</w:t>
            </w:r>
            <w:r>
              <w:rPr>
                <w:rFonts w:hint="eastAsia" w:ascii="仿宋" w:hAnsi="仿宋" w:eastAsia="仿宋" w:cs="方正仿宋_GBK"/>
                <w:b/>
                <w:bCs/>
                <w:szCs w:val="21"/>
              </w:rPr>
              <w:t xml:space="preserve">氟苯尼考胺</w:t>
            </w:r>
            <w:r/>
          </w:p>
        </w:tc>
        <w:tc>
          <w:tcPr>
            <w:tcBorders>
              <w:left w:val="single" w:color="auto" w:sz="4" w:space="0"/>
              <w:right w:val="single" w:color="000000" w:sz="4" w:space="0"/>
            </w:tcBorders>
            <w:tcW w:w="1590" w:type="dxa"/>
            <w:vAlign w:val="center"/>
            <w:vMerge w:val="continue"/>
            <w:textDirection w:val="lrTb"/>
            <w:noWrap w:val="false"/>
          </w:tcPr>
          <w:p>
            <w:pPr>
              <w:rPr>
                <w:rFonts w:ascii="仿宋" w:hAnsi="仿宋" w:eastAsia="仿宋"/>
                <w:sz w:val="24"/>
                <w:szCs w:val="24"/>
              </w:rPr>
            </w:pPr>
            <w:r>
              <w:rPr>
                <w:rFonts w:ascii="仿宋" w:hAnsi="仿宋" w:eastAsia="仿宋"/>
                <w:sz w:val="24"/>
                <w:szCs w:val="24"/>
              </w:rPr>
            </w:r>
            <w:r/>
          </w:p>
        </w:tc>
        <w:tc>
          <w:tcPr>
            <w:tcBorders>
              <w:top w:val="none" w:color="000000" w:sz="4" w:space="0"/>
              <w:left w:val="none" w:color="000000" w:sz="4" w:space="0"/>
              <w:bottom w:val="single" w:color="000000" w:sz="4" w:space="0"/>
              <w:right w:val="single" w:color="000000" w:sz="4" w:space="0"/>
            </w:tcBorders>
            <w:tcW w:w="2701" w:type="dxa"/>
            <w:vAlign w:val="center"/>
            <w:textDirection w:val="lrTb"/>
            <w:noWrap w:val="false"/>
          </w:tcPr>
          <w:p>
            <w:pPr>
              <w:rPr>
                <w:rFonts w:ascii="仿宋" w:hAnsi="仿宋" w:eastAsia="仿宋"/>
                <w:szCs w:val="21"/>
              </w:rPr>
            </w:pPr>
            <w:r>
              <w:rPr>
                <w:rFonts w:hint="eastAsia" w:ascii="仿宋" w:hAnsi="仿宋" w:eastAsia="仿宋"/>
                <w:szCs w:val="21"/>
              </w:rPr>
              <w:t xml:space="preserve">农业农村部公告第250号</w:t>
            </w:r>
            <w:r/>
          </w:p>
          <w:p>
            <w:pPr>
              <w:rPr>
                <w:rFonts w:ascii="仿宋" w:hAnsi="仿宋" w:eastAsia="仿宋"/>
                <w:szCs w:val="21"/>
              </w:rPr>
            </w:pPr>
            <w:r>
              <w:rPr>
                <w:rFonts w:hint="eastAsia" w:ascii="仿宋" w:hAnsi="仿宋" w:eastAsia="仿宋"/>
                <w:szCs w:val="21"/>
              </w:rPr>
              <w:t xml:space="preserve">GB 31650-2019</w:t>
            </w:r>
            <w:r/>
          </w:p>
          <w:p>
            <w:pPr>
              <w:rPr>
                <w:rFonts w:ascii="仿宋" w:hAnsi="仿宋" w:eastAsia="仿宋"/>
                <w:szCs w:val="21"/>
              </w:rPr>
            </w:pPr>
            <w:r>
              <w:rPr>
                <w:rFonts w:hint="eastAsia" w:ascii="仿宋" w:hAnsi="仿宋" w:eastAsia="仿宋"/>
                <w:szCs w:val="21"/>
              </w:rPr>
              <w:t xml:space="preserve">GB 31650.1-2022</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5347" w:type="dxa"/>
            <w:vAlign w:val="center"/>
            <w:textDirection w:val="lrTb"/>
            <w:noWrap w:val="false"/>
          </w:tcPr>
          <w:p>
            <w:pPr>
              <w:rPr>
                <w:rFonts w:ascii="仿宋" w:hAnsi="仿宋" w:eastAsia="仿宋"/>
                <w:szCs w:val="21"/>
              </w:rPr>
            </w:pPr>
            <w:r>
              <w:rPr>
                <w:rFonts w:hint="eastAsia" w:ascii="仿宋" w:hAnsi="仿宋" w:eastAsia="仿宋" w:cs="方正仿宋_GBK"/>
                <w:szCs w:val="21"/>
              </w:rPr>
              <w:t xml:space="preserve">恩诺沙星、环丙沙星、诺氟沙星、氧氟沙星、培氟沙星、洛美沙星</w:t>
            </w:r>
            <w:r/>
          </w:p>
        </w:tc>
        <w:tc>
          <w:tcPr>
            <w:tcBorders>
              <w:left w:val="single" w:color="auto" w:sz="4" w:space="0"/>
              <w:right w:val="single" w:color="000000" w:sz="4" w:space="0"/>
            </w:tcBorders>
            <w:tcW w:w="1590" w:type="dxa"/>
            <w:vAlign w:val="center"/>
            <w:vMerge w:val="continue"/>
            <w:textDirection w:val="lrTb"/>
            <w:noWrap w:val="false"/>
          </w:tcPr>
          <w:p>
            <w:pPr>
              <w:rPr>
                <w:rFonts w:ascii="仿宋" w:hAnsi="仿宋" w:eastAsia="仿宋"/>
                <w:sz w:val="24"/>
                <w:szCs w:val="24"/>
              </w:rPr>
            </w:pPr>
            <w:r>
              <w:rPr>
                <w:rFonts w:ascii="仿宋" w:hAnsi="仿宋" w:eastAsia="仿宋"/>
                <w:sz w:val="24"/>
                <w:szCs w:val="24"/>
              </w:rPr>
            </w:r>
            <w:r/>
          </w:p>
        </w:tc>
        <w:tc>
          <w:tcPr>
            <w:tcBorders>
              <w:top w:val="none" w:color="000000" w:sz="4" w:space="0"/>
              <w:left w:val="none" w:color="000000" w:sz="4" w:space="0"/>
              <w:bottom w:val="single" w:color="auto" w:sz="4" w:space="0"/>
              <w:right w:val="single" w:color="000000" w:sz="4" w:space="0"/>
            </w:tcBorders>
            <w:tcW w:w="2701" w:type="dxa"/>
            <w:vAlign w:val="center"/>
            <w:textDirection w:val="lrTb"/>
            <w:noWrap w:val="false"/>
          </w:tcPr>
          <w:p>
            <w:pPr>
              <w:rPr>
                <w:rFonts w:ascii="仿宋" w:hAnsi="仿宋" w:eastAsia="仿宋"/>
                <w:szCs w:val="21"/>
              </w:rPr>
            </w:pPr>
            <w:r>
              <w:rPr>
                <w:rFonts w:hint="eastAsia" w:ascii="仿宋" w:hAnsi="仿宋" w:eastAsia="仿宋"/>
                <w:szCs w:val="21"/>
              </w:rPr>
              <w:t xml:space="preserve">GB 31650-2019</w:t>
            </w:r>
            <w:r/>
          </w:p>
          <w:p>
            <w:pPr>
              <w:rPr>
                <w:rFonts w:ascii="仿宋" w:hAnsi="仿宋" w:eastAsia="仿宋"/>
                <w:szCs w:val="21"/>
              </w:rPr>
            </w:pPr>
            <w:r>
              <w:rPr>
                <w:rFonts w:hint="eastAsia" w:ascii="仿宋" w:hAnsi="仿宋" w:eastAsia="仿宋"/>
                <w:szCs w:val="21"/>
              </w:rPr>
              <w:t xml:space="preserve">GB 31650.1-2022</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5347" w:type="dxa"/>
            <w:vAlign w:val="center"/>
            <w:textDirection w:val="lrTb"/>
            <w:noWrap w:val="false"/>
          </w:tcPr>
          <w:p>
            <w:pPr>
              <w:rPr>
                <w:rFonts w:ascii="仿宋" w:hAnsi="仿宋" w:eastAsia="仿宋"/>
                <w:szCs w:val="21"/>
              </w:rPr>
            </w:pPr>
            <w:r>
              <w:rPr>
                <w:rFonts w:hint="eastAsia" w:ascii="仿宋" w:hAnsi="仿宋" w:eastAsia="仿宋"/>
                <w:szCs w:val="21"/>
              </w:rPr>
              <w:t xml:space="preserve">金刚烷胺</w:t>
            </w:r>
            <w:r/>
          </w:p>
        </w:tc>
        <w:tc>
          <w:tcPr>
            <w:tcBorders>
              <w:left w:val="single" w:color="auto" w:sz="4" w:space="0"/>
              <w:right w:val="single" w:color="auto" w:sz="4" w:space="0"/>
            </w:tcBorders>
            <w:tcW w:w="1590" w:type="dxa"/>
            <w:vAlign w:val="center"/>
            <w:vMerge w:val="continue"/>
            <w:textDirection w:val="lrTb"/>
            <w:noWrap w:val="false"/>
          </w:tcPr>
          <w:p>
            <w:pPr>
              <w:rPr>
                <w:rFonts w:ascii="仿宋" w:hAnsi="仿宋" w:eastAsia="仿宋"/>
                <w:sz w:val="24"/>
                <w:szCs w:val="24"/>
              </w:rP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rPr>
                <w:rFonts w:ascii="仿宋" w:hAnsi="仿宋" w:eastAsia="仿宋"/>
                <w:szCs w:val="21"/>
              </w:rPr>
            </w:pPr>
            <w:r>
              <w:rPr>
                <w:rFonts w:hint="eastAsia" w:ascii="仿宋" w:hAnsi="仿宋" w:eastAsia="仿宋"/>
                <w:szCs w:val="21"/>
              </w:rPr>
              <w:t xml:space="preserve">农业农村部公告第560号</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5347" w:type="dxa"/>
            <w:vAlign w:val="center"/>
            <w:textDirection w:val="lrTb"/>
            <w:noWrap w:val="false"/>
          </w:tcPr>
          <w:p>
            <w:pPr>
              <w:rPr>
                <w:rFonts w:ascii="仿宋" w:hAnsi="仿宋" w:eastAsia="仿宋"/>
                <w:szCs w:val="21"/>
              </w:rPr>
            </w:pPr>
            <w:r>
              <w:rPr>
                <w:rFonts w:hint="eastAsia" w:ascii="仿宋" w:hAnsi="仿宋" w:eastAsia="仿宋"/>
                <w:szCs w:val="21"/>
              </w:rPr>
              <w:t xml:space="preserve">硝基呋喃类代谢物（AOZ、SEM、AMOZ 和 AHD）</w:t>
            </w:r>
            <w:r/>
          </w:p>
        </w:tc>
        <w:tc>
          <w:tcPr>
            <w:tcBorders>
              <w:left w:val="single" w:color="auto" w:sz="4" w:space="0"/>
              <w:right w:val="single" w:color="auto" w:sz="4" w:space="0"/>
            </w:tcBorders>
            <w:tcW w:w="1590" w:type="dxa"/>
            <w:vAlign w:val="center"/>
            <w:vMerge w:val="continue"/>
            <w:textDirection w:val="lrTb"/>
            <w:noWrap w:val="false"/>
          </w:tcPr>
          <w:p>
            <w:pPr>
              <w:rPr>
                <w:rFonts w:ascii="仿宋" w:hAnsi="仿宋" w:eastAsia="仿宋"/>
                <w:sz w:val="24"/>
                <w:szCs w:val="24"/>
              </w:rP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rPr>
                <w:rFonts w:ascii="仿宋" w:hAnsi="仿宋" w:eastAsia="仿宋"/>
                <w:szCs w:val="21"/>
              </w:rPr>
            </w:pPr>
            <w:r>
              <w:rPr>
                <w:rFonts w:hint="eastAsia" w:ascii="仿宋" w:hAnsi="仿宋" w:eastAsia="仿宋"/>
                <w:szCs w:val="21"/>
              </w:rPr>
              <w:t xml:space="preserve">农业农村部公告第250号</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5347" w:type="dxa"/>
            <w:vAlign w:val="center"/>
            <w:textDirection w:val="lrTb"/>
            <w:noWrap w:val="false"/>
          </w:tcPr>
          <w:p>
            <w:pPr>
              <w:rPr>
                <w:rFonts w:ascii="仿宋" w:hAnsi="仿宋" w:eastAsia="仿宋"/>
                <w:b/>
                <w:bCs/>
                <w:szCs w:val="21"/>
              </w:rPr>
            </w:pPr>
            <w:r>
              <w:rPr>
                <w:rFonts w:hint="eastAsia" w:ascii="仿宋" w:hAnsi="仿宋" w:eastAsia="仿宋"/>
                <w:b/>
                <w:bCs/>
                <w:szCs w:val="21"/>
              </w:rPr>
              <w:t xml:space="preserve">多四环素</w:t>
            </w:r>
            <w:r/>
          </w:p>
        </w:tc>
        <w:tc>
          <w:tcPr>
            <w:tcBorders>
              <w:left w:val="single" w:color="auto" w:sz="4" w:space="0"/>
              <w:right w:val="single" w:color="auto" w:sz="4" w:space="0"/>
            </w:tcBorders>
            <w:tcW w:w="1590" w:type="dxa"/>
            <w:vAlign w:val="center"/>
            <w:vMerge w:val="continue"/>
            <w:textDirection w:val="lrTb"/>
            <w:noWrap w:val="false"/>
          </w:tcPr>
          <w:p>
            <w:pPr>
              <w:rPr>
                <w:rFonts w:ascii="仿宋" w:hAnsi="仿宋" w:eastAsia="仿宋"/>
                <w:sz w:val="24"/>
                <w:szCs w:val="24"/>
              </w:rP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rPr>
                <w:rFonts w:ascii="仿宋" w:hAnsi="仿宋" w:eastAsia="仿宋"/>
                <w:szCs w:val="21"/>
              </w:rPr>
            </w:pPr>
            <w:r>
              <w:rPr>
                <w:rFonts w:hint="eastAsia" w:ascii="仿宋" w:hAnsi="仿宋" w:eastAsia="仿宋"/>
                <w:szCs w:val="21"/>
              </w:rPr>
              <w:t xml:space="preserve">GB 31650-2019</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5347" w:type="dxa"/>
            <w:vAlign w:val="center"/>
            <w:textDirection w:val="lrTb"/>
            <w:noWrap w:val="false"/>
          </w:tcPr>
          <w:p>
            <w:pPr>
              <w:rPr>
                <w:rFonts w:ascii="仿宋" w:hAnsi="仿宋" w:eastAsia="仿宋"/>
                <w:szCs w:val="21"/>
              </w:rPr>
            </w:pPr>
            <w:r>
              <w:rPr>
                <w:rFonts w:hint="eastAsia" w:ascii="仿宋" w:hAnsi="仿宋" w:eastAsia="仿宋"/>
                <w:szCs w:val="21"/>
              </w:rPr>
              <w:t xml:space="preserve">磺胺类（磺胺间甲氧嘧啶、磺胺二甲嘧啶、磺胺甲噁唑、磺胺（间）二甲氧嘧啶、磺胺喹噁啉、</w:t>
            </w:r>
            <w:r>
              <w:rPr>
                <w:rFonts w:hint="eastAsia" w:ascii="仿宋" w:hAnsi="仿宋" w:eastAsia="仿宋" w:cs="方正仿宋_GBK"/>
                <w:b/>
                <w:bCs/>
                <w:szCs w:val="21"/>
              </w:rPr>
              <w:t xml:space="preserve">甲氧苄啶</w:t>
            </w:r>
            <w:r>
              <w:rPr>
                <w:rFonts w:hint="eastAsia" w:ascii="仿宋" w:hAnsi="仿宋" w:eastAsia="仿宋"/>
                <w:szCs w:val="21"/>
              </w:rPr>
              <w:t xml:space="preserve">）</w:t>
            </w:r>
            <w:r/>
          </w:p>
        </w:tc>
        <w:tc>
          <w:tcPr>
            <w:tcBorders>
              <w:left w:val="single" w:color="auto" w:sz="4" w:space="0"/>
              <w:bottom w:val="single" w:color="000000" w:sz="4" w:space="0"/>
              <w:right w:val="single" w:color="auto" w:sz="4" w:space="0"/>
            </w:tcBorders>
            <w:tcW w:w="1590" w:type="dxa"/>
            <w:vAlign w:val="center"/>
            <w:vMerge w:val="continue"/>
            <w:textDirection w:val="lrTb"/>
            <w:noWrap w:val="false"/>
          </w:tcPr>
          <w:p>
            <w:pPr>
              <w:rPr>
                <w:rFonts w:ascii="仿宋" w:hAnsi="仿宋" w:eastAsia="仿宋"/>
                <w:sz w:val="24"/>
                <w:szCs w:val="24"/>
              </w:rP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rPr>
                <w:rFonts w:ascii="仿宋" w:hAnsi="仿宋" w:eastAsia="仿宋"/>
                <w:szCs w:val="21"/>
              </w:rPr>
            </w:pPr>
            <w:r>
              <w:rPr>
                <w:rFonts w:hint="eastAsia" w:ascii="仿宋" w:hAnsi="仿宋" w:eastAsia="仿宋"/>
                <w:szCs w:val="21"/>
              </w:rPr>
              <w:t xml:space="preserve">GB 31650-2019</w:t>
            </w:r>
            <w:r/>
          </w:p>
        </w:tc>
      </w:tr>
    </w:tbl>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注：未规定具体限量值的检测参数按照方法定量限判定。</w:t>
      </w:r>
      <w:r/>
    </w:p>
    <w:p>
      <w:pPr>
        <w:ind w:firstLine="560"/>
        <w:rPr>
          <w:rFonts w:hint="eastAsia" w:ascii="仿宋" w:hAnsi="仿宋" w:eastAsia="仿宋" w:cs="仿宋"/>
          <w:bCs/>
          <w:sz w:val="28"/>
          <w:szCs w:val="28"/>
        </w:rPr>
      </w:pPr>
      <w:r>
        <w:rPr>
          <w:rFonts w:hint="eastAsia" w:ascii="仿宋" w:hAnsi="仿宋" w:eastAsia="仿宋" w:cs="仿宋"/>
          <w:bCs/>
          <w:sz w:val="28"/>
          <w:szCs w:val="28"/>
        </w:rPr>
        <w:t xml:space="preserve">水产品</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2637"/>
        <w:gridCol w:w="2435"/>
        <w:gridCol w:w="2809"/>
        <w:gridCol w:w="1555"/>
      </w:tblGrid>
      <w:tr>
        <w:trPr>
          <w:jc w:val="center"/>
          <w:trHeight w:val="454"/>
        </w:trPr>
        <w:tc>
          <w:tcPr>
            <w:tcBorders>
              <w:top w:val="single" w:color="000000" w:sz="4" w:space="0"/>
              <w:bottom w:val="single" w:color="000000" w:sz="4" w:space="0"/>
              <w:right w:val="single" w:color="000000" w:sz="4" w:space="0"/>
            </w:tcBorders>
            <w:tcW w:w="2637" w:type="dxa"/>
            <w:vAlign w:val="center"/>
            <w:textDirection w:val="lrTb"/>
            <w:noWrap w:val="false"/>
          </w:tcPr>
          <w:p>
            <w:pPr>
              <w:jc w:val="center"/>
              <w:spacing w:line="320" w:lineRule="exact"/>
              <w:rPr>
                <w:rFonts w:ascii="楷体" w:hAnsi="楷体" w:eastAsia="楷体"/>
                <w:b/>
                <w:szCs w:val="21"/>
              </w:rPr>
            </w:pPr>
            <w:r>
              <w:rPr>
                <w:rFonts w:hint="eastAsia" w:ascii="楷体" w:hAnsi="楷体" w:eastAsia="楷体" w:cs="方正楷体_GBK"/>
                <w:b/>
                <w:szCs w:val="21"/>
              </w:rPr>
              <w:t xml:space="preserve">抽检参数</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spacing w:line="320" w:lineRule="exact"/>
              <w:rPr>
                <w:rFonts w:ascii="楷体" w:hAnsi="楷体" w:eastAsia="楷体"/>
                <w:b/>
                <w:szCs w:val="21"/>
              </w:rPr>
            </w:pPr>
            <w:r>
              <w:rPr>
                <w:rFonts w:hint="eastAsia" w:ascii="楷体" w:hAnsi="楷体" w:eastAsia="楷体" w:cs="方正楷体_GBK"/>
                <w:b/>
                <w:szCs w:val="21"/>
              </w:rPr>
              <w:t xml:space="preserve">检测方法</w:t>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jc w:val="center"/>
              <w:spacing w:line="320" w:lineRule="exact"/>
              <w:rPr>
                <w:rFonts w:ascii="楷体" w:hAnsi="楷体" w:eastAsia="楷体"/>
                <w:b/>
                <w:szCs w:val="21"/>
              </w:rPr>
            </w:pPr>
            <w:r>
              <w:rPr>
                <w:rFonts w:hint="eastAsia" w:ascii="楷体" w:hAnsi="楷体" w:eastAsia="楷体" w:cs="方正楷体_GBK"/>
                <w:b/>
                <w:szCs w:val="21"/>
              </w:rPr>
              <w:t xml:space="preserve">判定值</w:t>
            </w:r>
            <w:r/>
          </w:p>
          <w:p>
            <w:pPr>
              <w:jc w:val="center"/>
              <w:spacing w:line="320" w:lineRule="exact"/>
              <w:rPr>
                <w:rFonts w:ascii="楷体" w:hAnsi="楷体" w:eastAsia="楷体"/>
                <w:b/>
                <w:szCs w:val="21"/>
              </w:rPr>
            </w:pPr>
            <w:r>
              <w:rPr>
                <w:rFonts w:hint="eastAsia" w:ascii="楷体" w:hAnsi="楷体" w:eastAsia="楷体" w:cs="方正楷体_GBK"/>
                <w:b/>
                <w:szCs w:val="21"/>
              </w:rPr>
              <w:t xml:space="preserve">（</w:t>
            </w:r>
            <w:r>
              <w:rPr>
                <w:rFonts w:eastAsia="楷体"/>
                <w:b/>
                <w:szCs w:val="21"/>
              </w:rPr>
              <w:t xml:space="preserve">µ</w:t>
            </w:r>
            <w:r>
              <w:rPr>
                <w:rFonts w:ascii="楷体" w:hAnsi="楷体" w:eastAsia="楷体"/>
                <w:b/>
                <w:szCs w:val="21"/>
              </w:rPr>
              <w:t xml:space="preserve">g/kg</w:t>
            </w:r>
            <w:r>
              <w:rPr>
                <w:rFonts w:hint="eastAsia" w:ascii="楷体" w:hAnsi="楷体" w:eastAsia="楷体" w:cs="方正楷体_GBK"/>
                <w:b/>
                <w:szCs w:val="21"/>
              </w:rPr>
              <w:t xml:space="preserve">）</w:t>
            </w:r>
            <w:r/>
          </w:p>
        </w:tc>
        <w:tc>
          <w:tcPr>
            <w:tcBorders>
              <w:top w:val="single" w:color="000000" w:sz="4" w:space="0"/>
              <w:left w:val="single" w:color="000000" w:sz="4" w:space="0"/>
              <w:bottom w:val="single" w:color="000000" w:sz="4" w:space="0"/>
            </w:tcBorders>
            <w:tcW w:w="1555" w:type="dxa"/>
            <w:vAlign w:val="center"/>
            <w:textDirection w:val="lrTb"/>
            <w:noWrap w:val="false"/>
          </w:tcPr>
          <w:p>
            <w:pPr>
              <w:jc w:val="center"/>
              <w:spacing w:line="320" w:lineRule="exact"/>
              <w:rPr>
                <w:rFonts w:ascii="楷体" w:hAnsi="楷体" w:eastAsia="楷体"/>
                <w:b/>
                <w:szCs w:val="21"/>
              </w:rPr>
            </w:pPr>
            <w:r>
              <w:rPr>
                <w:rFonts w:hint="eastAsia" w:ascii="楷体" w:hAnsi="楷体" w:eastAsia="楷体" w:cs="方正楷体_GBK"/>
                <w:b/>
                <w:szCs w:val="21"/>
              </w:rPr>
              <w:t xml:space="preserve">判定依据</w:t>
            </w:r>
            <w:r/>
          </w:p>
        </w:tc>
      </w:tr>
      <w:tr>
        <w:trPr>
          <w:jc w:val="center"/>
          <w:trHeight w:val="407"/>
        </w:trPr>
        <w:tc>
          <w:tcPr>
            <w:tcBorders>
              <w:top w:val="single" w:color="000000" w:sz="4" w:space="0"/>
              <w:bottom w:val="single" w:color="000000" w:sz="4" w:space="0"/>
              <w:right w:val="single" w:color="000000" w:sz="4" w:space="0"/>
            </w:tcBorders>
            <w:tcW w:w="2637"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氯霉素</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spacing w:line="320" w:lineRule="exact"/>
              <w:rPr>
                <w:rFonts w:ascii="仿宋" w:hAnsi="仿宋" w:eastAsia="仿宋"/>
                <w:szCs w:val="21"/>
              </w:rPr>
            </w:pPr>
            <w:r>
              <w:rPr>
                <w:rFonts w:hint="eastAsia" w:ascii="仿宋" w:hAnsi="仿宋" w:eastAsia="仿宋"/>
                <w:szCs w:val="21"/>
              </w:rPr>
              <w:t xml:space="preserve">GB/T 20756-2006</w:t>
            </w:r>
            <w:r/>
          </w:p>
          <w:p>
            <w:pPr>
              <w:spacing w:line="320" w:lineRule="exact"/>
              <w:rPr>
                <w:rFonts w:ascii="仿宋" w:hAnsi="仿宋" w:eastAsia="仿宋"/>
                <w:szCs w:val="21"/>
              </w:rPr>
            </w:pPr>
            <w:r>
              <w:rPr>
                <w:rFonts w:hint="eastAsia" w:ascii="仿宋" w:hAnsi="仿宋" w:eastAsia="仿宋"/>
                <w:szCs w:val="21"/>
              </w:rPr>
              <w:t xml:space="preserve">GB/T 22338-2008</w:t>
            </w:r>
            <w:r/>
          </w:p>
          <w:p>
            <w:pPr>
              <w:spacing w:line="320" w:lineRule="exact"/>
              <w:rPr>
                <w:rFonts w:ascii="仿宋" w:hAnsi="仿宋" w:eastAsia="仿宋"/>
                <w:szCs w:val="21"/>
              </w:rPr>
            </w:pPr>
            <w:r>
              <w:rPr>
                <w:rFonts w:hint="eastAsia" w:ascii="仿宋" w:hAnsi="仿宋" w:eastAsia="仿宋"/>
                <w:szCs w:val="21"/>
              </w:rPr>
              <w:t xml:space="preserve">农业部781号公告-2-2006</w:t>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不得检出</w:t>
            </w:r>
            <w:r/>
          </w:p>
          <w:p>
            <w:pPr>
              <w:spacing w:line="320" w:lineRule="exact"/>
              <w:rPr>
                <w:rFonts w:ascii="仿宋" w:hAnsi="仿宋" w:eastAsia="仿宋"/>
                <w:szCs w:val="21"/>
              </w:rPr>
            </w:pPr>
            <w:r>
              <w:rPr>
                <w:rFonts w:ascii="仿宋" w:hAnsi="仿宋" w:eastAsia="仿宋"/>
                <w:szCs w:val="21"/>
              </w:rPr>
              <w:t xml:space="preserve">(</w:t>
            </w:r>
            <w:r>
              <w:rPr>
                <w:rFonts w:hint="eastAsia" w:ascii="仿宋" w:hAnsi="仿宋" w:eastAsia="仿宋" w:cs="方正仿宋_GBK"/>
                <w:szCs w:val="21"/>
              </w:rPr>
              <w:t xml:space="preserve">判定值</w:t>
            </w:r>
            <w:r>
              <w:rPr>
                <w:rFonts w:hint="eastAsia" w:ascii="仿宋" w:hAnsi="仿宋" w:eastAsia="仿宋"/>
                <w:szCs w:val="21"/>
              </w:rPr>
              <w:t xml:space="preserve">≤</w:t>
            </w:r>
            <w:r>
              <w:rPr>
                <w:rFonts w:ascii="仿宋" w:hAnsi="仿宋" w:eastAsia="仿宋"/>
                <w:szCs w:val="21"/>
              </w:rPr>
              <w:t xml:space="preserve">0.</w:t>
            </w:r>
            <w:r>
              <w:rPr>
                <w:rFonts w:hint="eastAsia" w:ascii="仿宋" w:hAnsi="仿宋" w:eastAsia="仿宋"/>
                <w:szCs w:val="21"/>
              </w:rPr>
              <w:t xml:space="preserve">2</w:t>
            </w:r>
            <w:r>
              <w:rPr>
                <w:rFonts w:ascii="仿宋" w:hAnsi="仿宋" w:eastAsia="仿宋"/>
                <w:szCs w:val="21"/>
              </w:rPr>
              <w:t xml:space="preserve">)</w:t>
            </w:r>
            <w:r/>
          </w:p>
        </w:tc>
        <w:tc>
          <w:tcPr>
            <w:tcBorders>
              <w:top w:val="single" w:color="000000" w:sz="4" w:space="0"/>
              <w:left w:val="single" w:color="000000" w:sz="4" w:space="0"/>
              <w:bottom w:val="single" w:color="000000" w:sz="4" w:space="0"/>
            </w:tcBorders>
            <w:tcW w:w="1555"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农业农村部第</w:t>
            </w:r>
            <w:r>
              <w:rPr>
                <w:rFonts w:ascii="仿宋" w:hAnsi="仿宋" w:eastAsia="仿宋"/>
                <w:szCs w:val="21"/>
              </w:rPr>
              <w:t xml:space="preserve">250</w:t>
            </w:r>
            <w:r>
              <w:rPr>
                <w:rFonts w:hint="eastAsia" w:ascii="仿宋" w:hAnsi="仿宋" w:eastAsia="仿宋" w:cs="方正仿宋_GBK"/>
                <w:szCs w:val="21"/>
              </w:rPr>
              <w:t xml:space="preserve">号公告</w:t>
            </w:r>
            <w:r/>
          </w:p>
        </w:tc>
      </w:tr>
      <w:tr>
        <w:trPr>
          <w:jc w:val="center"/>
          <w:trHeight w:val="407"/>
        </w:trPr>
        <w:tc>
          <w:tcPr>
            <w:tcBorders>
              <w:top w:val="single" w:color="000000" w:sz="4" w:space="0"/>
              <w:bottom w:val="single" w:color="000000" w:sz="4" w:space="0"/>
              <w:right w:val="single" w:color="000000" w:sz="4" w:space="0"/>
            </w:tcBorders>
            <w:tcW w:w="2637"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孔雀石绿</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spacing w:line="320" w:lineRule="exact"/>
              <w:rPr>
                <w:rFonts w:ascii="仿宋" w:hAnsi="仿宋" w:eastAsia="仿宋"/>
                <w:szCs w:val="21"/>
              </w:rPr>
            </w:pPr>
            <w:r>
              <w:rPr>
                <w:rFonts w:ascii="仿宋" w:hAnsi="仿宋" w:eastAsia="仿宋"/>
                <w:szCs w:val="21"/>
              </w:rPr>
              <w:t xml:space="preserve">GB/T19857-2005</w:t>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不得检出</w:t>
            </w:r>
            <w:r/>
          </w:p>
          <w:p>
            <w:pPr>
              <w:spacing w:line="320" w:lineRule="exact"/>
              <w:rPr>
                <w:rFonts w:ascii="仿宋" w:hAnsi="仿宋" w:eastAsia="仿宋"/>
                <w:szCs w:val="21"/>
              </w:rPr>
            </w:pPr>
            <w:r>
              <w:rPr>
                <w:rFonts w:ascii="仿宋" w:hAnsi="仿宋" w:eastAsia="仿宋"/>
                <w:szCs w:val="21"/>
              </w:rPr>
              <w:t xml:space="preserve">(</w:t>
            </w:r>
            <w:r>
              <w:rPr>
                <w:rFonts w:hint="eastAsia" w:ascii="仿宋" w:hAnsi="仿宋" w:eastAsia="仿宋" w:cs="方正仿宋_GBK"/>
                <w:szCs w:val="21"/>
              </w:rPr>
              <w:t xml:space="preserve">判定值有色孔雀石绿和无色孔雀石绿的总量</w:t>
            </w:r>
            <w:r>
              <w:rPr>
                <w:rFonts w:hint="eastAsia" w:ascii="仿宋" w:hAnsi="仿宋" w:eastAsia="仿宋"/>
                <w:szCs w:val="21"/>
              </w:rPr>
              <w:t xml:space="preserve">≤</w:t>
            </w:r>
            <w:r>
              <w:rPr>
                <w:rFonts w:ascii="仿宋" w:hAnsi="仿宋" w:eastAsia="仿宋"/>
                <w:szCs w:val="21"/>
              </w:rPr>
              <w:t xml:space="preserve">1.0)</w:t>
            </w:r>
            <w:r/>
          </w:p>
        </w:tc>
        <w:tc>
          <w:tcPr>
            <w:tcBorders>
              <w:top w:val="single" w:color="000000" w:sz="4" w:space="0"/>
              <w:left w:val="single" w:color="000000" w:sz="4" w:space="0"/>
              <w:bottom w:val="single" w:color="000000" w:sz="4" w:space="0"/>
            </w:tcBorders>
            <w:tcW w:w="1555"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农业农村部第</w:t>
            </w:r>
            <w:r>
              <w:rPr>
                <w:rFonts w:ascii="仿宋" w:hAnsi="仿宋" w:eastAsia="仿宋"/>
                <w:szCs w:val="21"/>
              </w:rPr>
              <w:t xml:space="preserve">250</w:t>
            </w:r>
            <w:r>
              <w:rPr>
                <w:rFonts w:hint="eastAsia" w:ascii="仿宋" w:hAnsi="仿宋" w:eastAsia="仿宋" w:cs="方正仿宋_GBK"/>
                <w:szCs w:val="21"/>
              </w:rPr>
              <w:t xml:space="preserve">号公告</w:t>
            </w:r>
            <w:r/>
          </w:p>
        </w:tc>
      </w:tr>
      <w:tr>
        <w:trPr>
          <w:jc w:val="center"/>
          <w:trHeight w:val="407"/>
        </w:trPr>
        <w:tc>
          <w:tcPr>
            <w:tcBorders>
              <w:top w:val="single" w:color="000000" w:sz="4" w:space="0"/>
              <w:bottom w:val="single" w:color="000000" w:sz="4" w:space="0"/>
              <w:right w:val="single" w:color="000000" w:sz="4" w:space="0"/>
            </w:tcBorders>
            <w:tcW w:w="2637"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硝基呋喃类代谢物</w:t>
            </w:r>
            <w:r>
              <w:rPr>
                <w:rFonts w:ascii="仿宋" w:hAnsi="仿宋" w:eastAsia="仿宋"/>
                <w:szCs w:val="21"/>
              </w:rPr>
              <w:t xml:space="preserve">(AOZ</w:t>
            </w:r>
            <w:r>
              <w:rPr>
                <w:rFonts w:hint="eastAsia" w:ascii="仿宋" w:hAnsi="仿宋" w:eastAsia="仿宋" w:cs="方正仿宋_GBK"/>
                <w:szCs w:val="21"/>
              </w:rPr>
              <w:t xml:space="preserve">、</w:t>
            </w:r>
            <w:r>
              <w:rPr>
                <w:rFonts w:ascii="仿宋" w:hAnsi="仿宋" w:eastAsia="仿宋"/>
                <w:szCs w:val="21"/>
              </w:rPr>
              <w:t xml:space="preserve">SEM</w:t>
            </w:r>
            <w:r>
              <w:rPr>
                <w:rFonts w:hint="eastAsia" w:ascii="仿宋" w:hAnsi="仿宋" w:eastAsia="仿宋" w:cs="方正仿宋_GBK"/>
                <w:szCs w:val="21"/>
              </w:rPr>
              <w:t xml:space="preserve">、</w:t>
            </w:r>
            <w:r>
              <w:rPr>
                <w:rFonts w:ascii="仿宋" w:hAnsi="仿宋" w:eastAsia="仿宋"/>
                <w:szCs w:val="21"/>
              </w:rPr>
              <w:t xml:space="preserve">AMOZ</w:t>
            </w:r>
            <w:r>
              <w:rPr>
                <w:rFonts w:hint="eastAsia" w:ascii="仿宋" w:hAnsi="仿宋" w:eastAsia="仿宋" w:cs="方正仿宋_GBK"/>
                <w:szCs w:val="21"/>
              </w:rPr>
              <w:t xml:space="preserve">、</w:t>
            </w:r>
            <w:r>
              <w:rPr>
                <w:rFonts w:ascii="仿宋" w:hAnsi="仿宋" w:eastAsia="仿宋"/>
                <w:szCs w:val="21"/>
              </w:rPr>
              <w:t xml:space="preserve">AHD)</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农业部</w:t>
            </w:r>
            <w:r>
              <w:rPr>
                <w:rFonts w:ascii="仿宋" w:hAnsi="仿宋" w:eastAsia="仿宋"/>
                <w:szCs w:val="21"/>
              </w:rPr>
              <w:t xml:space="preserve">783</w:t>
            </w:r>
            <w:r>
              <w:rPr>
                <w:rFonts w:hint="eastAsia" w:ascii="仿宋" w:hAnsi="仿宋" w:eastAsia="仿宋" w:cs="方正仿宋_GBK"/>
                <w:szCs w:val="21"/>
              </w:rPr>
              <w:t xml:space="preserve">号公告</w:t>
            </w:r>
            <w:r>
              <w:rPr>
                <w:rFonts w:ascii="仿宋" w:hAnsi="仿宋" w:eastAsia="仿宋"/>
                <w:szCs w:val="21"/>
              </w:rPr>
              <w:t xml:space="preserve">-1-2006</w:t>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不得检出</w:t>
            </w:r>
            <w:r/>
          </w:p>
          <w:p>
            <w:pPr>
              <w:spacing w:line="320" w:lineRule="exact"/>
              <w:rPr>
                <w:rFonts w:ascii="仿宋" w:hAnsi="仿宋" w:eastAsia="仿宋"/>
                <w:szCs w:val="21"/>
              </w:rPr>
            </w:pPr>
            <w:r>
              <w:rPr>
                <w:rFonts w:ascii="仿宋" w:hAnsi="仿宋" w:eastAsia="仿宋"/>
                <w:szCs w:val="21"/>
              </w:rPr>
              <w:t xml:space="preserve">(</w:t>
            </w:r>
            <w:r>
              <w:rPr>
                <w:rFonts w:hint="eastAsia" w:ascii="仿宋" w:hAnsi="仿宋" w:eastAsia="仿宋" w:cs="方正仿宋_GBK"/>
                <w:szCs w:val="21"/>
              </w:rPr>
              <w:t xml:space="preserve">判定值各为</w:t>
            </w:r>
            <w:r>
              <w:rPr>
                <w:rFonts w:hint="eastAsia" w:ascii="仿宋" w:hAnsi="仿宋" w:eastAsia="仿宋"/>
                <w:szCs w:val="21"/>
              </w:rPr>
              <w:t xml:space="preserve">≤</w:t>
            </w:r>
            <w:r>
              <w:rPr>
                <w:rFonts w:ascii="仿宋" w:hAnsi="仿宋" w:eastAsia="仿宋"/>
                <w:szCs w:val="21"/>
              </w:rPr>
              <w:t xml:space="preserve">1.0)</w:t>
            </w:r>
            <w:r/>
          </w:p>
        </w:tc>
        <w:tc>
          <w:tcPr>
            <w:tcBorders>
              <w:top w:val="single" w:color="000000" w:sz="4" w:space="0"/>
              <w:left w:val="single" w:color="000000" w:sz="4" w:space="0"/>
              <w:bottom w:val="single" w:color="000000" w:sz="4" w:space="0"/>
            </w:tcBorders>
            <w:tcW w:w="1555"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农业农村部第</w:t>
            </w:r>
            <w:r>
              <w:rPr>
                <w:rFonts w:ascii="仿宋" w:hAnsi="仿宋" w:eastAsia="仿宋"/>
                <w:szCs w:val="21"/>
              </w:rPr>
              <w:t xml:space="preserve">250</w:t>
            </w:r>
            <w:r>
              <w:rPr>
                <w:rFonts w:hint="eastAsia" w:ascii="仿宋" w:hAnsi="仿宋" w:eastAsia="仿宋" w:cs="方正仿宋_GBK"/>
                <w:szCs w:val="21"/>
              </w:rPr>
              <w:t xml:space="preserve">号公告</w:t>
            </w:r>
            <w:r/>
          </w:p>
        </w:tc>
      </w:tr>
      <w:tr>
        <w:trPr>
          <w:jc w:val="center"/>
          <w:trHeight w:val="407"/>
        </w:trPr>
        <w:tc>
          <w:tcPr>
            <w:tcBorders>
              <w:top w:val="single" w:color="000000" w:sz="4" w:space="0"/>
              <w:bottom w:val="single" w:color="000000" w:sz="4" w:space="0"/>
              <w:right w:val="single" w:color="000000" w:sz="4" w:space="0"/>
            </w:tcBorders>
            <w:tcW w:w="2637" w:type="dxa"/>
            <w:vAlign w:val="center"/>
            <w:textDirection w:val="lrTb"/>
            <w:noWrap w:val="false"/>
          </w:tcPr>
          <w:p>
            <w:pPr>
              <w:spacing w:line="320" w:lineRule="exact"/>
              <w:rPr>
                <w:rFonts w:ascii="仿宋" w:hAnsi="仿宋" w:eastAsia="仿宋"/>
                <w:szCs w:val="21"/>
              </w:rPr>
            </w:pPr>
            <w:r>
              <w:rPr>
                <w:rFonts w:hint="eastAsia" w:ascii="仿宋" w:hAnsi="仿宋" w:eastAsia="仿宋"/>
                <w:szCs w:val="21"/>
              </w:rPr>
              <w:t xml:space="preserve">地西泮</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spacing w:line="320" w:lineRule="exact"/>
              <w:rPr>
                <w:rFonts w:ascii="仿宋" w:hAnsi="仿宋" w:eastAsia="仿宋"/>
                <w:szCs w:val="21"/>
              </w:rPr>
            </w:pPr>
            <w:r>
              <w:rPr>
                <w:rFonts w:hint="eastAsia" w:ascii="仿宋" w:hAnsi="仿宋" w:eastAsia="仿宋"/>
                <w:szCs w:val="21"/>
              </w:rPr>
              <w:t xml:space="preserve">SN/T3235-2012</w:t>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spacing w:line="320" w:lineRule="exact"/>
              <w:rPr>
                <w:rFonts w:ascii="仿宋" w:hAnsi="仿宋" w:eastAsia="仿宋"/>
                <w:szCs w:val="21"/>
              </w:rPr>
            </w:pPr>
            <w:r>
              <w:rPr>
                <w:rFonts w:hint="eastAsia" w:ascii="仿宋" w:hAnsi="仿宋" w:eastAsia="仿宋"/>
                <w:szCs w:val="21"/>
              </w:rPr>
              <w:t xml:space="preserve">不得检出（判定限量值：0.5）</w:t>
            </w:r>
            <w:r/>
          </w:p>
        </w:tc>
        <w:tc>
          <w:tcPr>
            <w:tcBorders>
              <w:top w:val="single" w:color="000000" w:sz="4" w:space="0"/>
              <w:left w:val="single" w:color="000000" w:sz="4" w:space="0"/>
              <w:bottom w:val="single" w:color="000000" w:sz="4" w:space="0"/>
            </w:tcBorders>
            <w:tcW w:w="1555" w:type="dxa"/>
            <w:vAlign w:val="center"/>
            <w:textDirection w:val="lrTb"/>
            <w:noWrap w:val="false"/>
          </w:tcPr>
          <w:p>
            <w:pPr>
              <w:spacing w:line="320" w:lineRule="exact"/>
              <w:rPr>
                <w:rFonts w:ascii="仿宋" w:hAnsi="仿宋" w:eastAsia="仿宋"/>
                <w:szCs w:val="21"/>
              </w:rPr>
            </w:pPr>
            <w:r>
              <w:rPr>
                <w:rFonts w:hint="eastAsia" w:ascii="仿宋" w:hAnsi="仿宋" w:eastAsia="仿宋"/>
                <w:szCs w:val="21"/>
              </w:rPr>
              <w:t xml:space="preserve">GB31650-2019</w:t>
            </w:r>
            <w:r/>
          </w:p>
        </w:tc>
      </w:tr>
      <w:tr>
        <w:trPr>
          <w:jc w:val="center"/>
          <w:trHeight w:val="407"/>
        </w:trPr>
        <w:tc>
          <w:tcPr>
            <w:tcBorders>
              <w:top w:val="single" w:color="000000" w:sz="4" w:space="0"/>
              <w:bottom w:val="single" w:color="000000" w:sz="4" w:space="0"/>
              <w:right w:val="single" w:color="000000" w:sz="4" w:space="0"/>
            </w:tcBorders>
            <w:tcW w:w="2637"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诺氟沙星、氧氟沙星、培氟沙星、洛美沙星</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农业部</w:t>
            </w:r>
            <w:r>
              <w:rPr>
                <w:rFonts w:ascii="仿宋" w:hAnsi="仿宋" w:eastAsia="仿宋"/>
                <w:szCs w:val="21"/>
              </w:rPr>
              <w:t xml:space="preserve">1077</w:t>
            </w:r>
            <w:r>
              <w:rPr>
                <w:rFonts w:hint="eastAsia" w:ascii="仿宋" w:hAnsi="仿宋" w:eastAsia="仿宋" w:cs="方正仿宋_GBK"/>
                <w:szCs w:val="21"/>
              </w:rPr>
              <w:t xml:space="preserve">号公告</w:t>
            </w:r>
            <w:r>
              <w:rPr>
                <w:rFonts w:ascii="仿宋" w:hAnsi="仿宋" w:eastAsia="仿宋"/>
                <w:szCs w:val="21"/>
              </w:rPr>
              <w:t xml:space="preserve">-1-2008</w:t>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不得检出</w:t>
            </w:r>
            <w:r/>
          </w:p>
          <w:p>
            <w:pPr>
              <w:spacing w:line="320" w:lineRule="exact"/>
              <w:rPr>
                <w:rFonts w:ascii="仿宋" w:hAnsi="仿宋" w:eastAsia="仿宋"/>
                <w:szCs w:val="21"/>
              </w:rPr>
            </w:pPr>
            <w:r>
              <w:rPr>
                <w:rFonts w:ascii="仿宋" w:hAnsi="仿宋" w:eastAsia="仿宋"/>
                <w:szCs w:val="21"/>
              </w:rPr>
              <w:t xml:space="preserve">(</w:t>
            </w:r>
            <w:r>
              <w:rPr>
                <w:rFonts w:hint="eastAsia" w:ascii="仿宋" w:hAnsi="仿宋" w:eastAsia="仿宋" w:cs="方正仿宋_GBK"/>
                <w:szCs w:val="21"/>
              </w:rPr>
              <w:t xml:space="preserve">判定值各为</w:t>
            </w:r>
            <w:r>
              <w:rPr>
                <w:rFonts w:hint="eastAsia" w:ascii="仿宋" w:hAnsi="仿宋" w:eastAsia="仿宋"/>
                <w:szCs w:val="21"/>
              </w:rPr>
              <w:t xml:space="preserve">≤</w:t>
            </w:r>
            <w:r>
              <w:rPr>
                <w:rFonts w:ascii="仿宋" w:hAnsi="仿宋" w:eastAsia="仿宋"/>
                <w:szCs w:val="21"/>
              </w:rPr>
              <w:t xml:space="preserve">2.0)</w:t>
            </w:r>
            <w:r/>
          </w:p>
        </w:tc>
        <w:tc>
          <w:tcPr>
            <w:tcBorders>
              <w:top w:val="single" w:color="000000" w:sz="4" w:space="0"/>
              <w:left w:val="single" w:color="000000" w:sz="4" w:space="0"/>
              <w:bottom w:val="single" w:color="000000" w:sz="4" w:space="0"/>
            </w:tcBorders>
            <w:tcW w:w="1555" w:type="dxa"/>
            <w:vAlign w:val="center"/>
            <w:textDirection w:val="lrTb"/>
            <w:noWrap w:val="false"/>
          </w:tcPr>
          <w:p>
            <w:pPr>
              <w:spacing w:line="320" w:lineRule="exact"/>
              <w:rPr>
                <w:rFonts w:ascii="仿宋" w:hAnsi="仿宋" w:eastAsia="仿宋"/>
                <w:szCs w:val="21"/>
              </w:rPr>
            </w:pPr>
            <w:r>
              <w:rPr>
                <w:rFonts w:hint="eastAsia" w:ascii="仿宋" w:hAnsi="仿宋" w:eastAsia="仿宋"/>
                <w:szCs w:val="21"/>
              </w:rPr>
              <w:t xml:space="preserve">GB 31650.1-2022</w:t>
            </w:r>
            <w:r/>
          </w:p>
        </w:tc>
      </w:tr>
      <w:tr>
        <w:trPr>
          <w:jc w:val="center"/>
          <w:trHeight w:val="407"/>
        </w:trPr>
        <w:tc>
          <w:tcPr>
            <w:tcBorders>
              <w:top w:val="single" w:color="000000" w:sz="4" w:space="0"/>
              <w:bottom w:val="single" w:color="000000" w:sz="4" w:space="0"/>
              <w:right w:val="single" w:color="000000" w:sz="4" w:space="0"/>
            </w:tcBorders>
            <w:tcW w:w="2637"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恩诺沙星和环丙沙星</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spacing w:line="320" w:lineRule="exact"/>
              <w:rPr>
                <w:rFonts w:ascii="仿宋" w:hAnsi="仿宋" w:eastAsia="仿宋" w:cs="方正仿宋_GBK"/>
                <w:szCs w:val="21"/>
              </w:rPr>
            </w:pPr>
            <w:r>
              <w:rPr>
                <w:rFonts w:hint="eastAsia" w:ascii="仿宋" w:hAnsi="仿宋" w:eastAsia="仿宋" w:cs="方正仿宋_GBK"/>
                <w:szCs w:val="21"/>
              </w:rPr>
              <w:t xml:space="preserve">农业部</w:t>
            </w:r>
            <w:r>
              <w:rPr>
                <w:rFonts w:ascii="仿宋" w:hAnsi="仿宋" w:eastAsia="仿宋"/>
                <w:szCs w:val="21"/>
              </w:rPr>
              <w:t xml:space="preserve">1077</w:t>
            </w:r>
            <w:r>
              <w:rPr>
                <w:rFonts w:hint="eastAsia" w:ascii="仿宋" w:hAnsi="仿宋" w:eastAsia="仿宋" w:cs="方正仿宋_GBK"/>
                <w:szCs w:val="21"/>
              </w:rPr>
              <w:t xml:space="preserve">号公告</w:t>
            </w:r>
            <w:r>
              <w:rPr>
                <w:rFonts w:ascii="仿宋" w:hAnsi="仿宋" w:eastAsia="仿宋"/>
                <w:szCs w:val="21"/>
              </w:rPr>
              <w:t xml:space="preserve">-1-2008</w:t>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spacing w:line="320" w:lineRule="exact"/>
              <w:rPr>
                <w:rFonts w:ascii="仿宋" w:hAnsi="仿宋" w:eastAsia="仿宋"/>
                <w:szCs w:val="21"/>
              </w:rPr>
            </w:pPr>
            <w:r>
              <w:rPr>
                <w:rFonts w:hint="eastAsia" w:ascii="仿宋" w:hAnsi="仿宋" w:eastAsia="仿宋" w:cs="方正仿宋_GBK"/>
                <w:szCs w:val="21"/>
              </w:rPr>
              <w:t xml:space="preserve">总量</w:t>
            </w:r>
            <w:r>
              <w:rPr>
                <w:rFonts w:hint="eastAsia" w:ascii="仿宋" w:hAnsi="仿宋" w:eastAsia="仿宋"/>
                <w:szCs w:val="21"/>
              </w:rPr>
              <w:t xml:space="preserve">≤</w:t>
            </w:r>
            <w:r>
              <w:rPr>
                <w:rFonts w:ascii="仿宋" w:hAnsi="仿宋" w:eastAsia="仿宋"/>
                <w:szCs w:val="21"/>
              </w:rPr>
              <w:t xml:space="preserve">100</w:t>
            </w:r>
            <w:r/>
          </w:p>
        </w:tc>
        <w:tc>
          <w:tcPr>
            <w:tcBorders>
              <w:top w:val="single" w:color="000000" w:sz="4" w:space="0"/>
              <w:left w:val="single" w:color="000000" w:sz="4" w:space="0"/>
              <w:bottom w:val="single" w:color="000000" w:sz="4" w:space="0"/>
            </w:tcBorders>
            <w:tcW w:w="1555" w:type="dxa"/>
            <w:vAlign w:val="center"/>
            <w:textDirection w:val="lrTb"/>
            <w:noWrap w:val="false"/>
          </w:tcPr>
          <w:p>
            <w:pPr>
              <w:spacing w:line="320" w:lineRule="exact"/>
              <w:rPr>
                <w:rFonts w:ascii="仿宋" w:hAnsi="仿宋" w:eastAsia="仿宋"/>
                <w:szCs w:val="21"/>
              </w:rPr>
            </w:pPr>
            <w:r>
              <w:rPr>
                <w:rFonts w:ascii="仿宋" w:hAnsi="仿宋" w:eastAsia="仿宋"/>
                <w:szCs w:val="21"/>
              </w:rPr>
              <w:t xml:space="preserve">GB 31650-2019</w:t>
            </w:r>
            <w:r/>
          </w:p>
        </w:tc>
      </w:tr>
    </w:tbl>
    <w:p>
      <w:pPr>
        <w:ind w:left="814" w:hanging="612"/>
        <w:spacing w:line="280" w:lineRule="exact"/>
        <w:rPr>
          <w:rFonts w:hAnsi="方正楷体_GBK" w:eastAsia="方正楷体_GBK" w:cs="方正楷体_GBK"/>
          <w:szCs w:val="21"/>
        </w:rPr>
      </w:pPr>
      <w:r>
        <w:rPr>
          <w:rFonts w:hAnsi="方正楷体_GBK" w:eastAsia="方正楷体_GBK" w:cs="方正楷体_GBK"/>
          <w:szCs w:val="21"/>
        </w:rPr>
      </w:r>
      <w:r/>
    </w:p>
    <w:p>
      <w:pPr>
        <w:spacing w:line="280" w:lineRule="exact"/>
        <w:rPr>
          <w:rFonts w:hint="eastAsia" w:ascii="仿宋" w:hAnsi="仿宋" w:eastAsia="仿宋" w:cs="仿宋"/>
          <w:sz w:val="28"/>
          <w:szCs w:val="28"/>
        </w:rPr>
      </w:pPr>
      <w:r>
        <w:rPr>
          <w:rFonts w:hint="eastAsia" w:ascii="仿宋" w:hAnsi="仿宋" w:eastAsia="仿宋" w:cs="仿宋"/>
          <w:sz w:val="28"/>
          <w:szCs w:val="28"/>
        </w:rPr>
        <w:t xml:space="preserve">注  1.虾蟹类呋喃西林代谢物 SEM 不作判定。</w:t>
      </w:r>
      <w:r/>
    </w:p>
    <w:p>
      <w:pPr>
        <w:ind w:firstLine="560"/>
        <w:spacing w:line="280" w:lineRule="exact"/>
        <w:rPr>
          <w:rFonts w:hint="eastAsia" w:ascii="仿宋" w:hAnsi="仿宋" w:eastAsia="仿宋" w:cs="仿宋"/>
          <w:sz w:val="28"/>
          <w:szCs w:val="28"/>
        </w:rPr>
      </w:pPr>
      <w:r>
        <w:rPr>
          <w:rFonts w:hint="eastAsia" w:ascii="仿宋" w:hAnsi="仿宋" w:eastAsia="仿宋" w:cs="仿宋"/>
          <w:sz w:val="28"/>
          <w:szCs w:val="28"/>
        </w:rPr>
        <w:t xml:space="preserve">2.只有淡水鱼类检测地西泮。</w:t>
      </w:r>
      <w:r/>
    </w:p>
    <w:p>
      <w:pPr>
        <w:spacing w:line="280" w:lineRule="exact"/>
        <w:rPr>
          <w:rFonts w:hint="eastAsia" w:ascii="仿宋" w:hAnsi="仿宋" w:eastAsia="仿宋" w:cs="仿宋"/>
          <w:sz w:val="28"/>
          <w:szCs w:val="28"/>
        </w:rPr>
      </w:pPr>
      <w:r>
        <w:rPr>
          <w:rFonts w:hint="eastAsia" w:ascii="仿宋" w:hAnsi="仿宋" w:eastAsia="仿宋" w:cs="仿宋"/>
          <w:sz w:val="28"/>
          <w:szCs w:val="28"/>
        </w:rPr>
        <w:t xml:space="preserve">    3.国家现行有效方法也可以使用，但方法最低检出限必须满足判定依据限量值。</w:t>
      </w:r>
      <w:r/>
    </w:p>
    <w:p>
      <w:pPr>
        <w:ind w:right="567"/>
        <w:spacing w:line="360" w:lineRule="auto"/>
        <w:rPr>
          <w:rFonts w:hint="eastAsia" w:ascii="宋体" w:hAnsi="宋体" w:cs="宋体"/>
          <w:b/>
          <w:sz w:val="28"/>
          <w:szCs w:val="28"/>
        </w:rPr>
        <w:outlineLvl w:val="0"/>
      </w:pPr>
      <w:r>
        <w:rPr>
          <w:rFonts w:hint="eastAsia" w:ascii="宋体" w:hAnsi="宋体" w:cs="宋体"/>
          <w:b/>
          <w:sz w:val="28"/>
          <w:szCs w:val="28"/>
        </w:rPr>
      </w:r>
      <w:r/>
    </w:p>
    <w:p>
      <w:pPr>
        <w:ind w:right="567"/>
        <w:spacing w:line="360" w:lineRule="auto"/>
        <w:rPr>
          <w:rFonts w:hint="eastAsia" w:ascii="仿宋" w:hAnsi="仿宋" w:eastAsia="仿宋" w:cs="仿宋"/>
          <w:b/>
          <w:sz w:val="28"/>
          <w:szCs w:val="28"/>
        </w:rPr>
        <w:outlineLvl w:val="0"/>
      </w:pPr>
      <w:r>
        <w:rPr>
          <w:rFonts w:hint="eastAsia" w:ascii="仿宋" w:hAnsi="仿宋" w:eastAsia="仿宋" w:cs="仿宋"/>
          <w:b/>
          <w:sz w:val="28"/>
          <w:szCs w:val="28"/>
        </w:rPr>
        <w:t xml:space="preserve">七、监测结果报送</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（一）结果报送</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请各承检机构于抽样完成一个月内将检测结果、样品汇总表（EXCEL表汇总）报送牵头单位。未经许可，任何单位和个人不得引用和公布检测结果。违反监测数据保密要求的，依照相关规定对直接责任人员予以处分。</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承检单位在检测中发现样品含禁用药物的，应当在能力范围内出具检测报告并反馈我局监管科，同时将其结果（含原始记录、确证谱图等信息）、在检样品及抽样单一并报送局农产品质量安全监管科，由我局统一核实并组织对样品进行复查，复查结果及时报相关产业、监管、执法单位。</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承检机构应提高农产品质量安全风险发现能力，及时根据检测结果，结合被检种养殖主体的入网、用药、承诺达标合格在开具、快检筛查等情况，认真分析抽样地区农产品质量安全情况，形成风险监测分析报告或者在CATL认证范围内出具检测报告报监管科。</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风险监测报告应包括以下内容：抽样情况（包括抽样地点、环节、品种、数量及当地农产品生产和质量总体情况等）、监测结果（包括总体概况、数据分析、风险点及原因分析等）、对策措施与建议。</w:t>
      </w:r>
      <w:r/>
    </w:p>
    <w:p>
      <w:pPr>
        <w:ind w:left="200" w:right="567" w:firstLine="281"/>
        <w:spacing w:line="360" w:lineRule="auto"/>
        <w:rPr>
          <w:rFonts w:hint="eastAsia" w:ascii="仿宋" w:hAnsi="仿宋" w:eastAsia="仿宋" w:cs="仿宋"/>
          <w:b/>
          <w:sz w:val="28"/>
          <w:szCs w:val="28"/>
        </w:rPr>
        <w:outlineLvl w:val="0"/>
      </w:pPr>
      <w:r>
        <w:rPr>
          <w:rFonts w:hint="eastAsia" w:ascii="仿宋" w:hAnsi="仿宋" w:eastAsia="仿宋" w:cs="仿宋"/>
          <w:b/>
          <w:sz w:val="28"/>
          <w:szCs w:val="28"/>
        </w:rPr>
        <w:t xml:space="preserve">八、监测有关要求和注意事项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1、监测工作应当保证科学性、代表性和真实性。承检机构及配合抽样单位不得提前通知被抽检单位。</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2、抽检过程中不得向被抽检单位收取任何费用，必须按照规定支付被检主体样品费用。</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3、承检机构要严格按照抽样方法和检测方法，强化检测质量控制措施。统一判定原则，检测过程要做试剂空白和加标回收。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4、对例行监测中发现的不合格产品必须进行溯源、整改，合格后方可销售，确保上市农产品质量安全。</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5、未经区农业农村局许可，任何单位和个人不得引用和公布检测结果。</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6、各有关单位应按本方案规定做好抽检工作。监测中有关技术问题，请与局监管科联系。</w:t>
      </w:r>
      <w:r/>
    </w:p>
    <w:p>
      <w:pPr>
        <w:pStyle w:val="713"/>
        <w:ind w:right="567"/>
        <w:jc w:val="both"/>
        <w:spacing w:before="140" w:line="360" w:lineRule="auto"/>
        <w:rPr>
          <w:rFonts w:hint="eastAsia" w:ascii="仿宋" w:hAnsi="仿宋" w:eastAsia="仿宋" w:cs="仿宋"/>
          <w:b/>
          <w:sz w:val="28"/>
          <w:szCs w:val="28"/>
        </w:rPr>
        <w:outlineLvl w:val="0"/>
      </w:pPr>
      <w:r>
        <w:rPr>
          <w:rFonts w:hint="eastAsia" w:ascii="仿宋" w:hAnsi="仿宋" w:eastAsia="仿宋" w:cs="仿宋"/>
          <w:b/>
          <w:sz w:val="28"/>
          <w:szCs w:val="28"/>
        </w:rPr>
        <w:t xml:space="preserve">九、实施要求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实施方案应详实、具体、针对性强、可操作性强。要求包含但不限于以下方面：</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1、服务整体设想、策划、管理和服务的目标。</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2、服务组织机构设置及职能。</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3、服务管理规章制度。</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4、服务质量承诺及措施</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5、安全防范及能耗管理，建立各类安全管理措施及应急处理预案</w:t>
      </w:r>
      <w:r/>
    </w:p>
    <w:p>
      <w:pPr>
        <w:spacing w:line="360" w:lineRule="auto"/>
        <w:rPr>
          <w:rFonts w:hint="eastAsia" w:ascii="仿宋" w:hAnsi="仿宋" w:eastAsia="仿宋" w:cs="仿宋"/>
          <w:sz w:val="28"/>
          <w:szCs w:val="28"/>
        </w:rPr>
      </w:pPr>
      <w:r>
        <w:rPr>
          <w:rFonts w:hint="eastAsia" w:ascii="仿宋" w:hAnsi="仿宋" w:eastAsia="仿宋" w:cs="仿宋"/>
          <w:b/>
          <w:bCs/>
          <w:sz w:val="28"/>
          <w:szCs w:val="28"/>
        </w:rPr>
        <w:t xml:space="preserve">十、验收标准与要求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见招标文件第五章《拟签订的合同文本》。</w:t>
      </w:r>
      <w:r/>
    </w:p>
    <w:p>
      <w:r/>
      <w:r/>
    </w:p>
    <w:p>
      <w:r/>
      <w:r/>
    </w:p>
    <w:p>
      <w:pPr>
        <w:ind w:firstLine="2570"/>
        <w:jc w:val="both"/>
        <w:spacing w:line="520" w:lineRule="exact"/>
        <w:rPr>
          <w:rStyle w:val="1034"/>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570"/>
        <w:jc w:val="both"/>
        <w:spacing w:line="520" w:lineRule="exact"/>
        <w:rPr>
          <w:rStyle w:val="1034"/>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570"/>
        <w:jc w:val="both"/>
        <w:spacing w:line="520" w:lineRule="exact"/>
        <w:rPr>
          <w:rStyle w:val="1034"/>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570"/>
        <w:jc w:val="both"/>
        <w:spacing w:line="520" w:lineRule="exact"/>
        <w:rPr>
          <w:rStyle w:val="1034"/>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570"/>
        <w:jc w:val="both"/>
        <w:spacing w:line="480" w:lineRule="auto"/>
        <w:rPr>
          <w:rFonts w:hint="eastAsia" w:ascii="仿宋" w:hAnsi="仿宋" w:eastAsia="仿宋" w:cs="仿宋"/>
          <w:color w:val="auto"/>
          <w:sz w:val="24"/>
          <w:szCs w:val="24"/>
        </w:rPr>
      </w:pPr>
      <w:r>
        <w:rPr>
          <w:rStyle w:val="1034"/>
          <w:rFonts w:hint="eastAsia" w:ascii="仿宋" w:hAnsi="仿宋" w:eastAsia="仿宋" w:cs="仿宋"/>
          <w:color w:val="auto"/>
          <w:sz w:val="32"/>
          <w:szCs w:val="32"/>
        </w:rPr>
        <w:t xml:space="preserve">第七章  投标文件相关格式</w:t>
      </w:r>
      <w:r/>
    </w:p>
    <w:p>
      <w:pPr>
        <w:ind w:firstLine="3130"/>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一、投标函格式</w:t>
      </w:r>
      <w:r/>
    </w:p>
    <w:p>
      <w:pPr>
        <w:spacing w:line="48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江苏友信招标代理有限公司</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项目[</w:t>
      </w:r>
      <w:r>
        <w:rPr>
          <w:rFonts w:hint="eastAsia" w:ascii="仿宋" w:hAnsi="仿宋" w:eastAsia="仿宋" w:cs="仿宋"/>
          <w:color w:val="auto"/>
          <w:sz w:val="28"/>
          <w:szCs w:val="28"/>
          <w:lang w:eastAsia="zh-CN"/>
        </w:rPr>
        <w:t xml:space="preserve">项目编号：JSZC-320312-YXYX-G2026-0002</w:t>
      </w:r>
      <w:r>
        <w:rPr>
          <w:rFonts w:hint="eastAsia" w:ascii="仿宋" w:hAnsi="仿宋" w:eastAsia="仿宋" w:cs="仿宋"/>
          <w:color w:val="auto"/>
          <w:sz w:val="28"/>
          <w:szCs w:val="28"/>
        </w:rPr>
        <w:t xml:space="preserve">]招标文件，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(姓名)代表我方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（投标人的名称）全权处理本次投标的有关事宜。</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据此函，投标人承诺并同意如下： </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 投标人唯一投标报价见《开标一览表》。</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 投标人将按招标文件的规定履行合同责任和义务。</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 投标有效期为开标之日后90天。</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 投标人同意提供按照贵方可能要求的与其投标有关的一切数据或资料，完全理解贵方不一定接受最低价的投标或收到的任何投标。</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6. 投标人同意在授予合同后，按照有关规定支付公证费(如有)。</w:t>
      </w:r>
      <w:r/>
    </w:p>
    <w:p>
      <w:pPr>
        <w:ind w:right="29"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7. </w:t>
      </w: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有权将我单位本项目的《开标一览表》和《分项价格表》予以公示，公示的方式由</w:t>
      </w: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确定。</w:t>
      </w:r>
      <w:r/>
    </w:p>
    <w:p>
      <w:pPr>
        <w:ind w:right="29"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9. 与本投标有关的一切正式往来信函请寄：</w:t>
      </w:r>
      <w:r/>
    </w:p>
    <w:p>
      <w:pPr>
        <w:ind w:firstLine="12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ind w:firstLine="12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ind w:firstLine="12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传真： </w:t>
      </w:r>
      <w:r/>
    </w:p>
    <w:p>
      <w:pPr>
        <w:ind w:firstLine="36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6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50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040"/>
        <w:spacing w:line="360" w:lineRule="auto"/>
        <w:rPr>
          <w:rFonts w:hint="eastAsia" w:ascii="仿宋" w:hAnsi="仿宋" w:eastAsia="仿宋" w:cs="仿宋"/>
          <w:color w:val="000000"/>
          <w:sz w:val="28"/>
          <w:szCs w:val="28"/>
        </w:rPr>
      </w:pPr>
      <w:r>
        <w:rPr>
          <w:rFonts w:hint="eastAsia" w:ascii="仿宋" w:hAnsi="仿宋" w:eastAsia="仿宋" w:cs="仿宋"/>
          <w:color w:val="auto"/>
          <w:sz w:val="28"/>
          <w:szCs w:val="28"/>
        </w:rPr>
        <w:t xml:space="preserve">日期：   年  月  日</w:t>
      </w:r>
      <w:r/>
    </w:p>
    <w:p>
      <w:pPr>
        <w:pStyle w:val="730"/>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730"/>
        <w:jc w:val="center"/>
        <w:rPr>
          <w:rFonts w:hint="eastAsia" w:ascii="仿宋" w:hAnsi="仿宋" w:eastAsia="仿宋" w:cs="仿宋"/>
          <w:color w:val="000000"/>
          <w:sz w:val="32"/>
          <w:szCs w:val="32"/>
          <w:highlight w:val="none"/>
        </w:rPr>
      </w:pP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2．开标一览表</w:t>
      </w:r>
      <w:r/>
    </w:p>
    <w:p>
      <w:pPr>
        <w:pStyle w:val="73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spacing w:line="360" w:lineRule="auto"/>
        <w:rPr>
          <w:rFonts w:hint="eastAsia" w:ascii="仿宋" w:hAnsi="仿宋" w:eastAsia="仿宋" w:cs="仿宋"/>
          <w:sz w:val="28"/>
          <w:szCs w:val="28"/>
          <w:lang w:val="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2026年铜山区农产品质量安全风险监测项目</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项目编号：JSZC-320312-YXYX-G2026-0002</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采购包（）                                 </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货币单位：人民币元</w:t>
      </w:r>
      <w:r>
        <w:rPr>
          <w:rFonts w:hint="eastAsia" w:ascii="仿宋" w:hAnsi="仿宋" w:eastAsia="仿宋" w:cs="仿宋"/>
          <w:sz w:val="28"/>
          <w:szCs w:val="28"/>
          <w:lang w:val="en-US" w:eastAsia="zh-CN"/>
        </w:rPr>
        <w:t xml:space="preserve">   </w:t>
      </w:r>
      <w:r/>
    </w:p>
    <w:tbl>
      <w:tblPr>
        <w:tblStyle w:val="70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jc w:val="center"/>
          <w:trHeight w:val="1163"/>
        </w:trPr>
        <w:tc>
          <w:tcPr>
            <w:tcW w:w="36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83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p>
        </w:tc>
        <w:tc>
          <w:tcPr>
            <w:tcW w:w="293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价（小写）</w:t>
            </w:r>
            <w:r/>
          </w:p>
        </w:tc>
      </w:tr>
      <w:tr>
        <w:trPr>
          <w:cantSplit/>
          <w:jc w:val="center"/>
          <w:trHeight w:val="1214"/>
        </w:trPr>
        <w:tc>
          <w:tcPr>
            <w:tcW w:w="366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color w:val="000000"/>
                <w:sz w:val="28"/>
                <w:szCs w:val="28"/>
                <w:lang w:eastAsia="zh-CN"/>
              </w:rPr>
              <w:t xml:space="preserve">2026年铜山区农产品质量安全风险监测项目</w:t>
            </w:r>
            <w:r/>
          </w:p>
        </w:tc>
        <w:tc>
          <w:tcPr>
            <w:tcW w:w="283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p>
        </w:tc>
        <w:tc>
          <w:tcPr>
            <w:tcW w:w="293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452"/>
        </w:trPr>
        <w:tc>
          <w:tcPr>
            <w:tcW w:w="36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价（大写）：</w:t>
            </w:r>
            <w:r/>
          </w:p>
        </w:tc>
        <w:tc>
          <w:tcPr>
            <w:gridSpan w:val="2"/>
            <w:tcW w:w="577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pStyle w:val="987"/>
        <w:ind w:left="0" w:firstLine="0"/>
        <w:rPr>
          <w:rFonts w:hint="default" w:ascii="仿宋" w:hAnsi="仿宋" w:eastAsia="仿宋" w:cs="仿宋"/>
          <w:color w:val="000000"/>
          <w:sz w:val="28"/>
          <w:szCs w:val="28"/>
          <w:lang w:val="en-US" w:eastAsia="zh-CN"/>
        </w:rPr>
      </w:pPr>
      <w:r>
        <w:rPr>
          <w:rFonts w:hint="default" w:ascii="仿宋" w:hAnsi="仿宋" w:eastAsia="仿宋" w:cs="仿宋"/>
          <w:color w:val="000000"/>
          <w:sz w:val="28"/>
          <w:szCs w:val="28"/>
          <w:lang w:val="en-US" w:eastAsia="zh-CN"/>
        </w:rPr>
      </w:r>
      <w:r/>
    </w:p>
    <w:p>
      <w:pPr>
        <w:pStyle w:val="75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投标人</w:t>
      </w:r>
      <w:r>
        <w:rPr>
          <w:rFonts w:hint="eastAsia" w:ascii="仿宋" w:hAnsi="仿宋" w:eastAsia="仿宋" w:cs="仿宋"/>
          <w:b/>
          <w:bCs/>
          <w:color w:val="000000"/>
          <w:sz w:val="28"/>
          <w:szCs w:val="28"/>
        </w:rPr>
        <w:t xml:space="preserve">承诺：本项目由</w:t>
      </w:r>
      <w:r>
        <w:rPr>
          <w:rFonts w:hint="eastAsia" w:ascii="仿宋" w:hAnsi="仿宋" w:eastAsia="仿宋" w:cs="仿宋"/>
          <w:b/>
          <w:bCs/>
          <w:color w:val="000000"/>
          <w:sz w:val="28"/>
          <w:szCs w:val="28"/>
          <w:lang w:val="en-US" w:eastAsia="zh-CN"/>
        </w:rPr>
        <w:t xml:space="preserve">投标人</w:t>
      </w:r>
      <w:r>
        <w:rPr>
          <w:rFonts w:hint="eastAsia" w:ascii="仿宋" w:hAnsi="仿宋" w:eastAsia="仿宋" w:cs="仿宋"/>
          <w:b/>
          <w:bCs/>
          <w:color w:val="000000"/>
          <w:sz w:val="28"/>
          <w:szCs w:val="28"/>
        </w:rPr>
        <w:t xml:space="preserve">本企业提供服务</w:t>
      </w:r>
      <w:r/>
    </w:p>
    <w:p>
      <w:pPr>
        <w:pStyle w:val="987"/>
        <w:ind w:left="0" w:firstLine="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报价说明：</w:t>
      </w:r>
      <w:r/>
    </w:p>
    <w:p>
      <w:pPr>
        <w:pStyle w:val="73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1、报价包括完成项目的所有费用。采购人不再支付报价以外的任何费用。</w:t>
      </w:r>
      <w:r/>
    </w:p>
    <w:p>
      <w:pPr>
        <w:pStyle w:val="73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2、报价以总价为准，大小写不一致以大写为准；</w:t>
      </w:r>
      <w:r/>
    </w:p>
    <w:p>
      <w:pPr>
        <w:pStyle w:val="73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3、偏离说明：详见《偏离表》。</w:t>
      </w:r>
      <w:r/>
    </w:p>
    <w:p>
      <w:pPr>
        <w:pStyle w:val="73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ind w:firstLine="312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ind w:firstLine="312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730"/>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730"/>
        <w:ind w:firstLine="31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jc w:val="left"/>
        <w:widowControl/>
        <w:rPr>
          <w:rFonts w:hint="eastAsia" w:ascii="仿宋" w:hAnsi="仿宋" w:eastAsia="仿宋" w:cs="仿宋"/>
          <w:color w:val="auto"/>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30"/>
          <w:szCs w:val="30"/>
        </w:rPr>
        <w:t xml:space="preserve">三、分项价格表格式</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000000"/>
          <w:sz w:val="28"/>
          <w:szCs w:val="28"/>
          <w:lang w:eastAsia="zh-CN"/>
        </w:rPr>
        <w:t xml:space="preserve">2026年铜山区农产品质量安全风险监测项目</w:t>
      </w:r>
      <w:r>
        <w:rPr>
          <w:rFonts w:hint="eastAsia" w:ascii="仿宋" w:hAnsi="仿宋" w:eastAsia="仿宋" w:cs="仿宋"/>
          <w:color w:val="auto"/>
          <w:sz w:val="28"/>
          <w:szCs w:val="28"/>
        </w:rPr>
        <w:t xml:space="preserve"> </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项目编号：JSZC-320312-YXYX-G2026-0002</w:t>
      </w:r>
      <w:r/>
    </w:p>
    <w:p>
      <w:pPr>
        <w:pStyle w:val="759"/>
        <w:ind w:left="0" w:firstLine="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采购包（）</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货币单位：人民币元</w:t>
      </w:r>
      <w:r/>
    </w:p>
    <w:p>
      <w:pPr>
        <w:pStyle w:val="759"/>
        <w:ind w:left="0"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pStyle w:val="759"/>
        <w:ind w:left="0"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格式自拟。</w:t>
      </w:r>
      <w:r/>
    </w:p>
    <w:p>
      <w:pPr>
        <w:ind w:firstLine="285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33"/>
        <w:ind w:left="1470" w:right="147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85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9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本款说明：</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2.享受政府采购支持政策的残疾人福利性单位应满足的条件以《关于促进残疾人就业政府采购政策的通知》（财库〔2017〕141号）的规定为准。</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注：①如果不提供详细分项报价的，将视为没有实质性响应招标文件。②投标人对以上数据的真实性负责。</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有权将以上内容进行公示。</w:t>
      </w:r>
      <w:r/>
    </w:p>
    <w:p>
      <w:pPr>
        <w:ind w:firstLine="560"/>
        <w:spacing w:line="480" w:lineRule="exact"/>
        <w:rPr>
          <w:rFonts w:hint="eastAsia" w:ascii="仿宋" w:hAnsi="仿宋" w:eastAsia="仿宋" w:cs="仿宋"/>
          <w:color w:val="auto"/>
          <w:sz w:val="30"/>
          <w:szCs w:val="30"/>
        </w:rPr>
      </w:pPr>
      <w:r>
        <w:rPr>
          <w:rFonts w:hint="eastAsia" w:ascii="宋体" w:hAnsi="宋体" w:eastAsia="宋体" w:cs="宋体"/>
          <w:color w:val="auto"/>
          <w:sz w:val="24"/>
          <w:szCs w:val="24"/>
        </w:rPr>
        <w:br w:type="page" w:clear="all"/>
      </w:r>
      <w:r>
        <w:rPr>
          <w:rFonts w:hint="eastAsia" w:ascii="宋体" w:hAnsi="宋体" w:cs="宋体"/>
          <w:color w:val="auto"/>
          <w:sz w:val="24"/>
          <w:szCs w:val="24"/>
          <w:lang w:val="en-US" w:eastAsia="zh-CN"/>
        </w:rPr>
        <w:t xml:space="preserve">                  </w:t>
      </w:r>
      <w:r>
        <w:rPr>
          <w:rFonts w:hint="eastAsia" w:ascii="仿宋" w:hAnsi="仿宋" w:eastAsia="仿宋" w:cs="仿宋"/>
          <w:color w:val="auto"/>
          <w:sz w:val="30"/>
          <w:szCs w:val="30"/>
        </w:rPr>
        <w:t xml:space="preserve">四、偏离表格式</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000000"/>
          <w:sz w:val="28"/>
          <w:szCs w:val="28"/>
          <w:lang w:eastAsia="zh-CN"/>
        </w:rPr>
        <w:t xml:space="preserve">2026年铜山区农产品质量安全风险监测项目</w:t>
      </w:r>
      <w:r>
        <w:rPr>
          <w:rFonts w:hint="eastAsia" w:ascii="仿宋" w:hAnsi="仿宋" w:eastAsia="仿宋" w:cs="仿宋"/>
          <w:color w:val="auto"/>
          <w:sz w:val="28"/>
          <w:szCs w:val="28"/>
        </w:rPr>
        <w:t xml:space="preserve"> </w:t>
      </w:r>
      <w:r/>
    </w:p>
    <w:p>
      <w:pPr>
        <w:ind w:firstLine="28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lang w:eastAsia="zh-CN"/>
        </w:rPr>
        <w:t xml:space="preserve">项目编号：JSZC-320312-YXYX-G2026-0002</w:t>
      </w:r>
      <w:r/>
    </w:p>
    <w:p>
      <w:pPr>
        <w:pStyle w:val="759"/>
        <w:ind w:left="0" w:firstLine="280"/>
        <w:spacing w:line="360" w:lineRule="auto"/>
        <w:rPr>
          <w:rFonts w:hint="default" w:ascii="仿宋" w:hAnsi="仿宋" w:eastAsia="仿宋" w:cs="仿宋"/>
          <w:color w:val="auto"/>
          <w:sz w:val="28"/>
          <w:szCs w:val="28"/>
          <w:u w:val="single"/>
          <w:lang w:val="en-US" w:eastAsia="zh-CN"/>
        </w:rPr>
      </w:pPr>
      <w:r>
        <w:rPr>
          <w:rFonts w:hint="eastAsia" w:ascii="仿宋" w:hAnsi="仿宋" w:eastAsia="仿宋" w:cs="仿宋"/>
          <w:color w:val="auto"/>
          <w:sz w:val="28"/>
          <w:szCs w:val="28"/>
          <w:lang w:eastAsia="zh-CN"/>
        </w:rPr>
        <w:t xml:space="preserve">采购包（）</w:t>
      </w:r>
      <w:r/>
    </w:p>
    <w:tbl>
      <w:tblPr>
        <w:tblStyle w:val="707"/>
        <w:tblW w:w="8567" w:type="dxa"/>
        <w:tblInd w:w="339"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25"/>
        <w:gridCol w:w="1650"/>
        <w:gridCol w:w="1440"/>
        <w:gridCol w:w="1860"/>
        <w:gridCol w:w="1307"/>
        <w:gridCol w:w="1185"/>
      </w:tblGrid>
      <w:tr>
        <w:trPr>
          <w:trHeight w:val="794"/>
        </w:trPr>
        <w:tc>
          <w:tcPr>
            <w:tcW w:w="1125"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序号</w:t>
            </w:r>
            <w:r/>
          </w:p>
        </w:tc>
        <w:tc>
          <w:tcPr>
            <w:tcW w:w="165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偏离内容</w:t>
            </w:r>
            <w:r/>
          </w:p>
        </w:tc>
        <w:tc>
          <w:tcPr>
            <w:tcW w:w="144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招标文件的要求</w:t>
            </w:r>
            <w:r/>
          </w:p>
        </w:tc>
        <w:tc>
          <w:tcPr>
            <w:tcW w:w="186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投标文件中的内容</w:t>
            </w:r>
            <w:r/>
          </w:p>
        </w:tc>
        <w:tc>
          <w:tcPr>
            <w:tcW w:w="1307"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lang w:val="en-US" w:eastAsia="zh-CN"/>
              </w:rPr>
              <w:t xml:space="preserve">(</w:t>
            </w:r>
            <w:r>
              <w:rPr>
                <w:rFonts w:hint="eastAsia" w:ascii="仿宋" w:hAnsi="仿宋" w:eastAsia="仿宋" w:cs="仿宋"/>
                <w:caps/>
                <w:color w:val="auto"/>
                <w:sz w:val="28"/>
                <w:szCs w:val="28"/>
              </w:rPr>
              <w:t xml:space="preserve">正/负/无</w:t>
            </w:r>
            <w:r>
              <w:rPr>
                <w:rFonts w:hint="eastAsia" w:ascii="仿宋" w:hAnsi="仿宋" w:eastAsia="仿宋" w:cs="仿宋"/>
                <w:caps/>
                <w:color w:val="auto"/>
                <w:sz w:val="28"/>
                <w:szCs w:val="28"/>
                <w:lang w:val="en-US" w:eastAsia="zh-CN"/>
              </w:rPr>
              <w:t xml:space="preserve">)</w:t>
            </w:r>
            <w:r>
              <w:rPr>
                <w:rFonts w:hint="eastAsia" w:ascii="仿宋" w:hAnsi="仿宋" w:eastAsia="仿宋" w:cs="仿宋"/>
                <w:caps/>
                <w:color w:val="auto"/>
                <w:sz w:val="28"/>
                <w:szCs w:val="28"/>
              </w:rPr>
              <w:t xml:space="preserve">偏离</w:t>
            </w:r>
            <w:r/>
          </w:p>
        </w:tc>
        <w:tc>
          <w:tcPr>
            <w:tcW w:w="1185"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说明</w:t>
            </w:r>
            <w:r/>
          </w:p>
        </w:tc>
      </w:tr>
      <w:tr>
        <w:trPr>
          <w:trHeight w:val="794"/>
        </w:trPr>
        <w:tc>
          <w:tcPr>
            <w:tcW w:w="112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5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4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07"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8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112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5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4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07"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8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112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5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4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07"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8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112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5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4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07"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8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112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5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4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07"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8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112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5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4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07"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8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ind w:firstLine="562"/>
        <w:spacing w:line="360" w:lineRule="auto"/>
        <w:rPr>
          <w:rFonts w:hint="eastAsia" w:ascii="仿宋" w:hAnsi="仿宋" w:eastAsia="仿宋" w:cs="仿宋"/>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30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9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9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pStyle w:val="730"/>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30"/>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30"/>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30"/>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30"/>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jc w:val="left"/>
        <w:widowControl/>
        <w:rPr>
          <w:rFonts w:hint="eastAsia" w:ascii="仿宋" w:hAnsi="仿宋" w:eastAsia="仿宋" w:cs="仿宋"/>
          <w:color w:val="auto"/>
          <w:sz w:val="28"/>
          <w:szCs w:val="28"/>
        </w:rPr>
      </w:pPr>
      <w:r>
        <w:rPr>
          <w:rFonts w:hint="eastAsia" w:ascii="宋体" w:hAnsi="宋体" w:eastAsia="宋体" w:cs="宋体"/>
          <w:bCs/>
          <w:color w:val="auto"/>
          <w:sz w:val="24"/>
          <w:szCs w:val="24"/>
        </w:rPr>
        <w:t xml:space="preserve"> </w:t>
      </w:r>
      <w:r>
        <w:rPr>
          <w:rFonts w:hint="eastAsia" w:ascii="宋体" w:hAnsi="宋体" w:cs="宋体"/>
          <w:bCs/>
          <w:color w:val="auto"/>
          <w:sz w:val="24"/>
          <w:szCs w:val="24"/>
          <w:lang w:val="en-US" w:eastAsia="zh-CN"/>
        </w:rPr>
        <w:t xml:space="preserve">                   </w:t>
      </w:r>
      <w:r>
        <w:rPr>
          <w:rFonts w:hint="eastAsia" w:ascii="宋体" w:hAnsi="宋体" w:eastAsia="宋体" w:cs="宋体"/>
          <w:bCs/>
          <w:color w:val="auto"/>
          <w:sz w:val="24"/>
          <w:szCs w:val="24"/>
        </w:rPr>
        <w:t xml:space="preserve">  </w:t>
      </w:r>
      <w:r>
        <w:rPr>
          <w:rFonts w:hint="eastAsia" w:ascii="仿宋" w:hAnsi="仿宋" w:eastAsia="仿宋" w:cs="仿宋"/>
          <w:bCs/>
          <w:color w:val="auto"/>
          <w:sz w:val="28"/>
          <w:szCs w:val="28"/>
        </w:rPr>
        <w:t xml:space="preserve">五、法定代表人授权书格式</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委托人：</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地  址：</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               职务：</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统一社会信用代码：</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                   性别：男（女）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年龄：  岁                 民族：   族</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职务：</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身份证号：</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       ）全权代表我企业（公司）参与（</w:t>
      </w:r>
      <w:r>
        <w:rPr>
          <w:rFonts w:hint="eastAsia" w:ascii="仿宋" w:hAnsi="仿宋" w:eastAsia="仿宋" w:cs="仿宋"/>
          <w:color w:val="000000"/>
          <w:sz w:val="28"/>
          <w:szCs w:val="28"/>
          <w:lang w:eastAsia="zh-CN"/>
        </w:rPr>
        <w:t xml:space="preserve">2026年铜山区农产品质量安全风险监测项目</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eastAsia="zh-CN"/>
        </w:rPr>
        <w:t xml:space="preserve">项目编号：JSZC-320312-YXYX-G2026-0002</w:t>
      </w:r>
      <w:r>
        <w:rPr>
          <w:rFonts w:hint="eastAsia" w:ascii="仿宋" w:hAnsi="仿宋" w:eastAsia="仿宋" w:cs="仿宋"/>
          <w:color w:val="auto"/>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特此授权委托。</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委托人（盖单位电子签章）：       受托人（签字或盖章）：</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法定代表人（签字或盖章）： </w:t>
      </w:r>
      <w:r/>
    </w:p>
    <w:p>
      <w:pPr>
        <w:ind w:right="600"/>
        <w:jc w:val="right"/>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年   月   日 </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(受托人身份证复印件附后)</w:t>
      </w:r>
      <w:r/>
    </w:p>
    <w:p>
      <w:pPr>
        <w:ind w:firstLine="447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47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0"/>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jc w:val="both"/>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800"/>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六、中小企业声明函格式</w:t>
      </w:r>
      <w:r/>
    </w:p>
    <w:p>
      <w:pPr>
        <w:ind w:firstLine="62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r>
      <w:r/>
    </w:p>
    <w:p>
      <w:pPr>
        <w:ind w:firstLine="624"/>
        <w:spacing w:line="360" w:lineRule="auto"/>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项目名称：</w:t>
      </w:r>
      <w:r>
        <w:rPr>
          <w:rFonts w:hint="eastAsia" w:ascii="仿宋" w:hAnsi="仿宋" w:eastAsia="仿宋" w:cs="仿宋"/>
          <w:color w:val="000000"/>
          <w:sz w:val="28"/>
          <w:szCs w:val="28"/>
          <w:lang w:eastAsia="zh-CN"/>
        </w:rPr>
        <w:t xml:space="preserve">2026年铜山区农产品质量安全风险监测项目</w:t>
      </w:r>
      <w:r/>
    </w:p>
    <w:p>
      <w:pPr>
        <w:ind w:firstLine="624"/>
        <w:spacing w:line="360" w:lineRule="auto"/>
        <w:rPr>
          <w:rFonts w:hint="eastAsia" w:ascii="仿宋" w:hAnsi="仿宋" w:eastAsia="仿宋" w:cs="仿宋"/>
          <w:color w:val="auto"/>
          <w:spacing w:val="6"/>
          <w:sz w:val="28"/>
          <w:szCs w:val="28"/>
          <w:lang w:eastAsia="zh-CN"/>
        </w:rPr>
      </w:pPr>
      <w:r>
        <w:rPr>
          <w:rFonts w:hint="eastAsia" w:ascii="仿宋" w:hAnsi="仿宋" w:eastAsia="仿宋" w:cs="仿宋"/>
          <w:color w:val="auto"/>
          <w:spacing w:val="6"/>
          <w:sz w:val="28"/>
          <w:szCs w:val="28"/>
          <w:lang w:eastAsia="zh-CN"/>
        </w:rPr>
        <w:t xml:space="preserve">项目编号：JSZC-320312-YXYX-G2026-0002</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本公司郑重声明，根据《政府采购促进中小企业发展管理办法》（财库﹝2020﹞46 号）的规定，本公司参加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u w:val="single"/>
        </w:rPr>
        <w:t xml:space="preserve">（项目名称）</w:t>
      </w:r>
      <w:r>
        <w:rPr>
          <w:rFonts w:hint="eastAsia" w:ascii="仿宋" w:hAnsi="仿宋" w:eastAsia="仿宋" w:cs="仿宋"/>
          <w:color w:val="auto"/>
          <w:sz w:val="28"/>
          <w:szCs w:val="28"/>
        </w:rPr>
        <w:t xml:space="preserve">采购活动，服务全部由符合政策要求的中小企业承接。相关企业的具体情况如下：</w:t>
      </w:r>
      <w:r/>
    </w:p>
    <w:p>
      <w:pPr>
        <w:ind w:firstLine="600"/>
        <w:spacing w:line="360" w:lineRule="auto"/>
        <w:rPr>
          <w:rFonts w:hint="eastAsia" w:ascii="仿宋" w:hAnsi="仿宋" w:eastAsia="仿宋" w:cs="仿宋"/>
          <w:color w:val="auto"/>
          <w:spacing w:val="6"/>
          <w:sz w:val="28"/>
          <w:szCs w:val="28"/>
        </w:rPr>
      </w:pPr>
      <w:r>
        <w:rPr>
          <w:rFonts w:hint="eastAsia" w:ascii="仿宋" w:hAnsi="仿宋" w:eastAsia="仿宋" w:cs="仿宋"/>
          <w:color w:val="auto"/>
          <w:sz w:val="28"/>
          <w:szCs w:val="28"/>
          <w:u w:val="single"/>
        </w:rPr>
        <w:t xml:space="preserve">（标的名称）</w:t>
      </w:r>
      <w:r>
        <w:rPr>
          <w:rFonts w:hint="eastAsia" w:ascii="仿宋" w:hAnsi="仿宋" w:eastAsia="仿宋" w:cs="仿宋"/>
          <w:color w:val="auto"/>
          <w:sz w:val="28"/>
          <w:szCs w:val="28"/>
        </w:rPr>
        <w:t xml:space="preserve">，属于</w:t>
      </w:r>
      <w:r>
        <w:rPr>
          <w:rFonts w:hint="eastAsia" w:ascii="仿宋" w:hAnsi="仿宋" w:eastAsia="仿宋" w:cs="仿宋"/>
          <w:color w:val="auto"/>
          <w:sz w:val="28"/>
          <w:szCs w:val="28"/>
          <w:u w:val="single"/>
        </w:rPr>
        <w:t xml:space="preserve">（采购文件中明确的所属行业）</w:t>
      </w:r>
      <w:r>
        <w:rPr>
          <w:rFonts w:hint="eastAsia" w:ascii="仿宋" w:hAnsi="仿宋" w:eastAsia="仿宋" w:cs="仿宋"/>
          <w:color w:val="auto"/>
          <w:sz w:val="28"/>
          <w:szCs w:val="28"/>
        </w:rPr>
        <w:t xml:space="preserve">； 承建（承接）企业为</w:t>
      </w:r>
      <w:r>
        <w:rPr>
          <w:rFonts w:hint="eastAsia" w:ascii="仿宋" w:hAnsi="仿宋" w:eastAsia="仿宋" w:cs="仿宋"/>
          <w:color w:val="auto"/>
          <w:sz w:val="28"/>
          <w:szCs w:val="28"/>
          <w:u w:val="single"/>
        </w:rPr>
        <w:t xml:space="preserve">（企业名称）</w:t>
      </w:r>
      <w:r>
        <w:rPr>
          <w:rFonts w:hint="eastAsia" w:ascii="仿宋" w:hAnsi="仿宋" w:eastAsia="仿宋" w:cs="仿宋"/>
          <w:color w:val="auto"/>
          <w:sz w:val="28"/>
          <w:szCs w:val="28"/>
        </w:rPr>
        <w:t xml:space="preserve">，从业人员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人，营业收入为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万元，资产总额为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万元，属于（中型企业、小型企业、微型企业）；</w:t>
      </w:r>
      <w:r/>
    </w:p>
    <w:p>
      <w:pPr>
        <w:ind w:firstLine="600"/>
        <w:spacing w:line="360" w:lineRule="auto"/>
        <w:rPr>
          <w:rFonts w:hint="eastAsia" w:ascii="仿宋" w:hAnsi="仿宋" w:eastAsia="仿宋" w:cs="仿宋"/>
          <w:color w:val="auto"/>
          <w:spacing w:val="6"/>
          <w:sz w:val="28"/>
          <w:szCs w:val="28"/>
        </w:rPr>
      </w:pPr>
      <w:r>
        <w:rPr>
          <w:rFonts w:hint="eastAsia" w:ascii="仿宋" w:hAnsi="仿宋" w:eastAsia="仿宋" w:cs="仿宋"/>
          <w:color w:val="auto"/>
          <w:sz w:val="28"/>
          <w:szCs w:val="28"/>
        </w:rPr>
        <w:t xml:space="preserve">以上企业，不属于大企业的分支机构，不存在控股股东为大企业的情形，也不存在与大企业的负责人为同一人的情形。</w:t>
      </w:r>
      <w:r/>
    </w:p>
    <w:p>
      <w:pPr>
        <w:ind w:firstLine="600"/>
        <w:spacing w:line="360" w:lineRule="auto"/>
        <w:rPr>
          <w:rFonts w:hint="eastAsia" w:ascii="仿宋" w:hAnsi="仿宋" w:eastAsia="仿宋" w:cs="仿宋"/>
          <w:color w:val="auto"/>
          <w:spacing w:val="6"/>
          <w:sz w:val="28"/>
          <w:szCs w:val="28"/>
        </w:rPr>
      </w:pPr>
      <w:r>
        <w:rPr>
          <w:rFonts w:hint="eastAsia" w:ascii="仿宋" w:hAnsi="仿宋" w:eastAsia="仿宋" w:cs="仿宋"/>
          <w:color w:val="auto"/>
          <w:sz w:val="28"/>
          <w:szCs w:val="28"/>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企业名称（盖单位电子签章）：</w:t>
      </w:r>
      <w:r/>
    </w:p>
    <w:p>
      <w:pPr>
        <w:ind w:firstLine="600"/>
        <w:jc w:val="left"/>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p>
    <w:p>
      <w:pPr>
        <w:ind w:firstLine="600"/>
        <w:jc w:val="left"/>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
          <w:bCs/>
          <w:color w:val="auto"/>
          <w:sz w:val="28"/>
          <w:szCs w:val="28"/>
        </w:rPr>
        <w:t xml:space="preserve">本项目采购的服务属于</w:t>
      </w:r>
      <w:r>
        <w:rPr>
          <w:rFonts w:hint="eastAsia" w:ascii="仿宋" w:hAnsi="仿宋" w:eastAsia="仿宋" w:cs="仿宋"/>
          <w:b/>
          <w:bCs/>
          <w:color w:val="000000" w:themeColor="text1"/>
          <w:sz w:val="28"/>
          <w:szCs w:val="28"/>
          <w:u w:val="none"/>
          <w:lang w:eastAsia="zh-CN"/>
          <w14:textFill>
            <w14:solidFill>
              <w14:schemeClr w14:val="tx1"/>
            </w14:solidFill>
          </w14:textFill>
        </w:rPr>
        <w:t xml:space="preserve">：</w:t>
      </w:r>
      <w:r>
        <w:rPr>
          <w:rFonts w:hint="eastAsia" w:ascii="仿宋" w:hAnsi="仿宋" w:eastAsia="仿宋" w:cs="仿宋"/>
          <w:sz w:val="28"/>
          <w:szCs w:val="28"/>
          <w:u w:val="single"/>
        </w:rPr>
        <w:t xml:space="preserve">其他未列明行业</w:t>
      </w:r>
      <w:r>
        <w:rPr>
          <w:rFonts w:hint="eastAsia" w:ascii="仿宋" w:hAnsi="仿宋" w:eastAsia="仿宋" w:cs="仿宋"/>
          <w:color w:val="000000" w:themeColor="text1"/>
          <w:sz w:val="28"/>
          <w:szCs w:val="28"/>
          <w14:textFill>
            <w14:solidFill>
              <w14:schemeClr w14:val="tx1"/>
            </w14:solidFill>
          </w14:textFill>
        </w:rPr>
        <w:t xml:space="preserve">。</w:t>
      </w:r>
      <w:r/>
    </w:p>
    <w:p>
      <w:pPr>
        <w:ind w:firstLine="600"/>
        <w:jc w:val="left"/>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56"/>
        <w:ind w:firstLine="562"/>
        <w:spacing w:line="360" w:lineRule="auto"/>
        <w:rPr>
          <w:rFonts w:hint="eastAsia" w:ascii="仿宋" w:hAnsi="仿宋" w:eastAsia="仿宋" w:cs="仿宋"/>
          <w:b w:val="0"/>
          <w:bCs/>
          <w:color w:val="000000" w:themeColor="text1"/>
          <w:sz w:val="28"/>
          <w:szCs w:val="28"/>
          <w14:textFill>
            <w14:solidFill>
              <w14:schemeClr w14:val="tx1"/>
            </w14:solidFill>
          </w14:textFill>
        </w:rPr>
      </w:pPr>
      <w:r>
        <w:rPr>
          <w:rFonts w:hint="eastAsia" w:ascii="仿宋" w:hAnsi="仿宋" w:eastAsia="仿宋" w:cs="仿宋"/>
          <w:b w:val="0"/>
          <w:bCs/>
          <w:color w:val="000000" w:themeColor="text1"/>
          <w:sz w:val="28"/>
          <w:szCs w:val="28"/>
          <w14:textFill>
            <w14:solidFill>
              <w14:schemeClr w14:val="tx1"/>
            </w14:solidFill>
          </w14:textFill>
        </w:rPr>
        <w:t xml:space="preserve">备注：</w:t>
      </w:r>
      <w:r/>
    </w:p>
    <w:p>
      <w:pPr>
        <w:pStyle w:val="756"/>
        <w:ind w:firstLine="562"/>
        <w:spacing w:line="360" w:lineRule="auto"/>
        <w:rPr>
          <w:rFonts w:hint="eastAsia" w:ascii="仿宋" w:hAnsi="仿宋" w:eastAsia="仿宋" w:cs="仿宋"/>
          <w:b w:val="0"/>
          <w:bCs/>
          <w:color w:val="000000" w:themeColor="text1"/>
          <w:sz w:val="28"/>
          <w:szCs w:val="28"/>
          <w14:textFill>
            <w14:solidFill>
              <w14:schemeClr w14:val="tx1"/>
            </w14:solidFill>
          </w14:textFill>
        </w:rPr>
      </w:pPr>
      <w:r>
        <w:rPr>
          <w:rFonts w:hint="eastAsia" w:ascii="仿宋" w:hAnsi="仿宋" w:eastAsia="仿宋" w:cs="仿宋"/>
          <w:b w:val="0"/>
          <w:bCs/>
          <w:color w:val="000000" w:themeColor="text1"/>
          <w:sz w:val="28"/>
          <w:szCs w:val="28"/>
          <w14:textFill>
            <w14:solidFill>
              <w14:schemeClr w14:val="tx1"/>
            </w14:solidFill>
          </w14:textFill>
        </w:rPr>
        <w:t xml:space="preserve">1、从业人员、营业收入、资产总额填报上一年度数据，无上一年度数据的新成立企业可不填报。</w:t>
      </w:r>
      <w:r/>
    </w:p>
    <w:p>
      <w:pPr>
        <w:pStyle w:val="756"/>
        <w:ind w:firstLine="562"/>
        <w:spacing w:line="360" w:lineRule="auto"/>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8"/>
          <w:szCs w:val="28"/>
          <w14:textFill>
            <w14:solidFill>
              <w14:schemeClr w14:val="tx1"/>
            </w14:solidFill>
          </w14:textFill>
        </w:rPr>
        <w:t xml:space="preserve">2、中小企业声明</w:t>
      </w:r>
      <w:r>
        <w:rPr>
          <w:rFonts w:hint="eastAsia" w:ascii="仿宋" w:hAnsi="仿宋" w:eastAsia="仿宋" w:cs="仿宋"/>
          <w:b w:val="0"/>
          <w:bCs/>
          <w:color w:val="000000" w:themeColor="text1"/>
          <w:sz w:val="28"/>
          <w:szCs w:val="28"/>
          <w:lang w:eastAsia="zh-CN"/>
          <w14:textFill>
            <w14:solidFill>
              <w14:schemeClr w14:val="tx1"/>
            </w14:solidFill>
          </w14:textFill>
        </w:rPr>
        <w:t xml:space="preserve">函</w:t>
      </w:r>
      <w:r>
        <w:rPr>
          <w:rFonts w:hint="eastAsia" w:ascii="仿宋" w:hAnsi="仿宋" w:eastAsia="仿宋" w:cs="仿宋"/>
          <w:b w:val="0"/>
          <w:bCs/>
          <w:color w:val="000000" w:themeColor="text1"/>
          <w:sz w:val="28"/>
          <w:szCs w:val="28"/>
          <w14:textFill>
            <w14:solidFill>
              <w14:schemeClr w14:val="tx1"/>
            </w14:solidFill>
          </w14:textFill>
        </w:rPr>
        <w:t xml:space="preserve">查询渠道用微信搜索“中小企业规模类型自测小程序”</w:t>
      </w:r>
      <w:r>
        <w:rPr>
          <w:rFonts w:hint="eastAsia" w:ascii="仿宋" w:hAnsi="仿宋" w:eastAsia="仿宋" w:cs="仿宋"/>
          <w:b w:val="0"/>
          <w:bCs/>
          <w:color w:val="000000" w:themeColor="text1"/>
          <w:sz w:val="28"/>
          <w:szCs w:val="28"/>
          <w:lang w:eastAsia="zh-CN"/>
          <w14:textFill>
            <w14:solidFill>
              <w14:schemeClr w14:val="tx1"/>
            </w14:solidFill>
          </w14:textFill>
        </w:rPr>
        <w:t xml:space="preserve">，</w:t>
      </w:r>
      <w:r>
        <w:rPr>
          <w:rFonts w:hint="eastAsia" w:ascii="仿宋" w:hAnsi="仿宋" w:eastAsia="仿宋" w:cs="仿宋"/>
          <w:b w:val="0"/>
          <w:bCs/>
          <w:color w:val="000000" w:themeColor="text1"/>
          <w:sz w:val="28"/>
          <w:szCs w:val="28"/>
          <w14:textFill>
            <w14:solidFill>
              <w14:schemeClr w14:val="tx1"/>
            </w14:solidFill>
          </w14:textFill>
        </w:rPr>
        <w:t xml:space="preserve">测试者可按照小程序填写测试企业有关信息并完成自测后，保存自测结果自行打印。</w:t>
      </w:r>
      <w:r/>
    </w:p>
    <w:p>
      <w:pPr>
        <w:pStyle w:val="730"/>
        <w:ind w:firstLine="2800"/>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残疾人福利性单位声明函</w:t>
      </w:r>
      <w:r/>
    </w:p>
    <w:p>
      <w:pPr>
        <w:pStyle w:val="730"/>
        <w:jc w:val="center"/>
        <w:spacing w:line="588" w:lineRule="exact"/>
        <w:rPr>
          <w:rFonts w:hint="eastAsia" w:ascii="仿宋" w:hAnsi="仿宋" w:eastAsia="仿宋" w:cs="仿宋"/>
          <w:b/>
          <w:color w:val="000000"/>
          <w:spacing w:val="6"/>
          <w:sz w:val="32"/>
          <w:szCs w:val="32"/>
        </w:rPr>
      </w:pPr>
      <w:r>
        <w:rPr>
          <w:rFonts w:hint="eastAsia" w:ascii="仿宋" w:hAnsi="仿宋" w:eastAsia="仿宋" w:cs="仿宋"/>
          <w:b/>
          <w:color w:val="000000"/>
          <w:spacing w:val="6"/>
          <w:sz w:val="32"/>
          <w:szCs w:val="32"/>
        </w:rPr>
      </w:r>
      <w:r/>
    </w:p>
    <w:p>
      <w:pPr>
        <w:pStyle w:val="73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2026年铜山区农产品质量安全风险监测项目</w:t>
      </w:r>
      <w:r/>
    </w:p>
    <w:p>
      <w:pPr>
        <w:pStyle w:val="73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项目编号：JSZC-320312-YXYX-G2026-0002</w:t>
      </w:r>
      <w:r/>
    </w:p>
    <w:p>
      <w:pPr>
        <w:pStyle w:val="730"/>
        <w:ind w:firstLine="504"/>
        <w:spacing w:line="360" w:lineRule="auto"/>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rPr>
        <w:t xml:space="preserve">〔2017〕 141</w:t>
      </w:r>
      <w:r>
        <w:rPr>
          <w:rFonts w:hint="eastAsia" w:ascii="仿宋" w:hAnsi="仿宋" w:eastAsia="仿宋" w:cs="仿宋"/>
          <w:color w:val="000000"/>
          <w:spacing w:val="6"/>
          <w:sz w:val="28"/>
          <w:szCs w:val="28"/>
        </w:rPr>
        <w:t xml:space="preserve">号）的规定，本单位为</w:t>
      </w:r>
      <w:r>
        <w:rPr>
          <w:rFonts w:hint="eastAsia" w:ascii="仿宋" w:hAnsi="仿宋" w:eastAsia="仿宋" w:cs="仿宋"/>
          <w:color w:val="000000"/>
          <w:spacing w:val="6"/>
          <w:sz w:val="28"/>
          <w:szCs w:val="28"/>
          <w:u w:val="single"/>
        </w:rPr>
        <w:t xml:space="preserve">符合</w:t>
      </w:r>
      <w:r>
        <w:rPr>
          <w:rFonts w:hint="eastAsia" w:ascii="仿宋" w:hAnsi="仿宋" w:eastAsia="仿宋" w:cs="仿宋"/>
          <w:color w:val="000000"/>
          <w:spacing w:val="6"/>
          <w:sz w:val="28"/>
          <w:szCs w:val="28"/>
          <w:u w:val="single"/>
          <w:lang w:val="en-US" w:eastAsia="zh-CN"/>
        </w:rPr>
        <w:t xml:space="preserve">/不符合</w:t>
      </w:r>
      <w:r>
        <w:rPr>
          <w:rFonts w:hint="eastAsia" w:ascii="仿宋" w:hAnsi="仿宋" w:eastAsia="仿宋" w:cs="仿宋"/>
          <w:color w:val="000000"/>
          <w:spacing w:val="6"/>
          <w:sz w:val="28"/>
          <w:szCs w:val="28"/>
        </w:rPr>
        <w:t xml:space="preserve">条件的残疾人福利性单位，且本单位参加</w:t>
      </w:r>
      <w:r>
        <w:rPr>
          <w:rFonts w:hint="eastAsia" w:ascii="仿宋" w:hAnsi="仿宋" w:eastAsia="仿宋" w:cs="仿宋"/>
          <w:color w:val="000000"/>
          <w:sz w:val="28"/>
          <w:szCs w:val="28"/>
          <w:u w:val="single"/>
          <w:lang w:eastAsia="zh-CN"/>
        </w:rPr>
        <w:t xml:space="preserve">2026年铜山区农产品质量安全风险监测项目</w:t>
      </w:r>
      <w:r>
        <w:rPr>
          <w:rFonts w:hint="eastAsia" w:ascii="仿宋" w:hAnsi="仿宋" w:eastAsia="仿宋" w:cs="仿宋"/>
          <w:color w:val="000000"/>
          <w:spacing w:val="6"/>
          <w:sz w:val="28"/>
          <w:szCs w:val="28"/>
          <w:u w:val="single"/>
        </w:rPr>
        <w:t xml:space="preserve">[</w:t>
      </w:r>
      <w:r>
        <w:rPr>
          <w:rFonts w:hint="eastAsia" w:ascii="仿宋" w:hAnsi="仿宋" w:eastAsia="仿宋" w:cs="仿宋"/>
          <w:color w:val="000000"/>
          <w:spacing w:val="6"/>
          <w:sz w:val="28"/>
          <w:szCs w:val="28"/>
          <w:u w:val="single"/>
          <w:lang w:eastAsia="zh-CN"/>
        </w:rPr>
        <w:t xml:space="preserve">项目编号：JSZC-320312-YXYX-G2026-0002</w:t>
      </w:r>
      <w:r>
        <w:rPr>
          <w:rFonts w:hint="eastAsia" w:ascii="仿宋" w:hAnsi="仿宋" w:eastAsia="仿宋" w:cs="仿宋"/>
          <w:color w:val="000000"/>
          <w:spacing w:val="6"/>
          <w:sz w:val="28"/>
          <w:szCs w:val="28"/>
          <w:u w:val="single"/>
        </w:rPr>
        <w:t xml:space="preserve">]</w:t>
      </w:r>
      <w:r>
        <w:rPr>
          <w:rFonts w:hint="eastAsia" w:ascii="仿宋" w:hAnsi="仿宋" w:eastAsia="仿宋" w:cs="仿宋"/>
          <w:color w:val="000000"/>
          <w:spacing w:val="6"/>
          <w:sz w:val="28"/>
          <w:szCs w:val="28"/>
        </w:rPr>
        <w:t xml:space="preserve">采购活动提供本单位制造的货物（由本单位承担工程/提供服务），或者提供其他残疾人福利性单位制造的货物（不包括使用非残疾人福利性单位注册商标的货物）。</w:t>
      </w:r>
      <w:r/>
    </w:p>
    <w:p>
      <w:pPr>
        <w:pStyle w:val="730"/>
        <w:ind w:firstLine="504"/>
        <w:spacing w:line="360" w:lineRule="auto"/>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本单位对上述声明的真实性负责。如有虚假，将依法承担相应责任。</w:t>
      </w:r>
      <w:r/>
    </w:p>
    <w:p>
      <w:pPr>
        <w:pStyle w:val="730"/>
        <w:ind w:firstLine="50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730"/>
        <w:ind w:firstLine="280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ind w:firstLine="28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730"/>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730"/>
        <w:ind w:firstLine="3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8. 投标人参加政府采购活动前3年内在经营活动中没有重大违法记录的书面声明</w:t>
      </w:r>
      <w:r/>
    </w:p>
    <w:p>
      <w:pPr>
        <w:pStyle w:val="730"/>
        <w:ind w:firstLine="560"/>
        <w:jc w:val="left"/>
        <w:keepLines w:val="0"/>
        <w:keepNext w:val="0"/>
        <w:pageBreakBefore w:val="0"/>
        <w:spacing w:before="100" w:beforeAutospacing="1" w:after="100" w:afterAutospacing="1"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我单位在参加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2026年铜山区农产品质量安全风险监测项目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eastAsia="zh-CN"/>
        </w:rPr>
        <w:t xml:space="preserve">项目编号：JSZC-320312-YXYX-G2026-0002</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01"/>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我单位对上述声明的真实性负责。如有虚假，将依法承担相应责任。</w:t>
      </w:r>
      <w:r/>
    </w:p>
    <w:p>
      <w:pPr>
        <w:pStyle w:val="730"/>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ind w:firstLine="3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730"/>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73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   年  月  日</w:t>
      </w:r>
      <w:r/>
    </w:p>
    <w:p>
      <w:pPr>
        <w:pStyle w:val="730"/>
        <w:ind w:firstLine="399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730"/>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730"/>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730"/>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748"/>
        <w:rPr>
          <w:rFonts w:hint="eastAsia" w:ascii="仿宋" w:hAnsi="仿宋" w:eastAsia="仿宋" w:cs="仿宋"/>
          <w:color w:val="000000"/>
        </w:rPr>
      </w:pPr>
      <w:r>
        <w:rPr>
          <w:rFonts w:hint="eastAsia" w:ascii="仿宋" w:hAnsi="仿宋" w:eastAsia="仿宋" w:cs="仿宋"/>
          <w:color w:val="000000"/>
        </w:rPr>
      </w:r>
      <w:r/>
    </w:p>
    <w:p>
      <w:pPr>
        <w:pStyle w:val="730"/>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730"/>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987"/>
        <w:rPr>
          <w:rFonts w:hint="eastAsia" w:ascii="仿宋" w:hAnsi="仿宋" w:eastAsia="仿宋" w:cs="仿宋"/>
          <w:color w:val="000000"/>
        </w:rPr>
      </w:pPr>
      <w:r>
        <w:rPr>
          <w:rFonts w:hint="eastAsia" w:ascii="仿宋" w:hAnsi="仿宋" w:eastAsia="仿宋" w:cs="仿宋"/>
          <w:color w:val="000000"/>
        </w:rPr>
      </w:r>
      <w:r/>
    </w:p>
    <w:p>
      <w:pPr>
        <w:pStyle w:val="987"/>
        <w:rPr>
          <w:rFonts w:hint="eastAsia" w:ascii="仿宋" w:hAnsi="仿宋" w:eastAsia="仿宋" w:cs="仿宋"/>
          <w:color w:val="000000"/>
        </w:rPr>
      </w:pPr>
      <w:r>
        <w:rPr>
          <w:rFonts w:hint="eastAsia" w:ascii="仿宋" w:hAnsi="仿宋" w:eastAsia="仿宋" w:cs="仿宋"/>
          <w:color w:val="000000"/>
        </w:rPr>
      </w:r>
      <w:r/>
    </w:p>
    <w:p>
      <w:pPr>
        <w:pStyle w:val="730"/>
        <w:numPr>
          <w:ilvl w:val="0"/>
          <w:numId w:val="6"/>
        </w:numPr>
        <w:jc w:val="center"/>
        <w:rPr>
          <w:rFonts w:hint="eastAsia" w:ascii="仿宋" w:hAnsi="仿宋" w:eastAsia="仿宋" w:cs="仿宋"/>
          <w:bCs/>
          <w:color w:val="000000"/>
          <w:sz w:val="30"/>
          <w:szCs w:val="30"/>
        </w:rPr>
      </w:pPr>
      <w:r>
        <w:rPr>
          <w:rFonts w:hint="eastAsia" w:ascii="仿宋" w:hAnsi="仿宋" w:eastAsia="仿宋" w:cs="仿宋"/>
          <w:bCs/>
          <w:color w:val="000000"/>
          <w:sz w:val="28"/>
          <w:szCs w:val="28"/>
        </w:rPr>
        <w:br w:type="page" w:clear="all"/>
      </w:r>
      <w:r>
        <w:rPr>
          <w:rFonts w:hint="eastAsia" w:ascii="仿宋" w:hAnsi="仿宋" w:eastAsia="仿宋" w:cs="仿宋"/>
          <w:bCs/>
          <w:color w:val="000000"/>
          <w:sz w:val="30"/>
          <w:szCs w:val="30"/>
        </w:rPr>
        <w:t xml:space="preserve">具备履行合同所必需的设备和专业技术能力的书面声明</w:t>
      </w:r>
      <w:r/>
    </w:p>
    <w:p>
      <w:pPr>
        <w:pStyle w:val="730"/>
        <w:jc w:val="center"/>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（附证明材料</w:t>
      </w:r>
      <w:r>
        <w:rPr>
          <w:rFonts w:hint="eastAsia" w:ascii="仿宋" w:hAnsi="仿宋" w:eastAsia="仿宋" w:cs="仿宋"/>
          <w:bCs/>
          <w:color w:val="000000"/>
          <w:sz w:val="30"/>
          <w:szCs w:val="30"/>
          <w:lang w:eastAsia="zh-CN"/>
        </w:rPr>
        <w:t xml:space="preserve">扫描件</w:t>
      </w:r>
      <w:r>
        <w:rPr>
          <w:rFonts w:hint="eastAsia" w:ascii="仿宋" w:hAnsi="仿宋" w:eastAsia="仿宋" w:cs="仿宋"/>
          <w:bCs/>
          <w:color w:val="000000"/>
          <w:sz w:val="30"/>
          <w:szCs w:val="30"/>
        </w:rPr>
        <w:t xml:space="preserve">）</w:t>
      </w:r>
      <w:r/>
    </w:p>
    <w:p>
      <w:pPr>
        <w:pStyle w:val="730"/>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73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2026年铜山区农产品质量安全风险监测项目</w:t>
      </w:r>
      <w:r>
        <w:rPr>
          <w:rFonts w:hint="eastAsia" w:ascii="仿宋" w:hAnsi="仿宋" w:eastAsia="仿宋" w:cs="仿宋"/>
          <w:color w:val="000000"/>
          <w:sz w:val="28"/>
          <w:szCs w:val="28"/>
        </w:rPr>
        <w:t xml:space="preserve"> </w:t>
      </w:r>
      <w:r/>
    </w:p>
    <w:p>
      <w:pPr>
        <w:pStyle w:val="73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项目编号：JSZC-320312-YXYX-G2026-0002</w:t>
      </w:r>
      <w:r/>
    </w:p>
    <w:p>
      <w:pPr>
        <w:pStyle w:val="75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本单位郑重声明：本单位具备履行合同（项目名称：</w:t>
      </w:r>
      <w:r>
        <w:rPr>
          <w:rFonts w:hint="eastAsia" w:ascii="仿宋" w:hAnsi="仿宋" w:eastAsia="仿宋" w:cs="仿宋"/>
          <w:color w:val="000000"/>
          <w:sz w:val="28"/>
          <w:szCs w:val="28"/>
          <w:u w:val="single"/>
          <w:lang w:eastAsia="zh-CN"/>
        </w:rPr>
        <w:t xml:space="preserve">2026年铜山区农产品质量安全风险监测项目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项目编号：JSZC-320312-YXYX-G2026-0002</w:t>
      </w:r>
      <w:r>
        <w:rPr>
          <w:rFonts w:hint="eastAsia" w:ascii="仿宋" w:hAnsi="仿宋" w:eastAsia="仿宋" w:cs="仿宋"/>
          <w:color w:val="000000"/>
          <w:sz w:val="28"/>
          <w:szCs w:val="28"/>
        </w:rPr>
        <w:t xml:space="preserve">）所必需的设备和专业技术能力，具体为：</w:t>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w:t>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730"/>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专业技术能力：</w:t>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73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730"/>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特此声明。</w:t>
      </w:r>
      <w:r/>
    </w:p>
    <w:p>
      <w:pPr>
        <w:pStyle w:val="730"/>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p>
    <w:p>
      <w:pPr>
        <w:pStyle w:val="730"/>
        <w:ind w:firstLine="480"/>
        <w:jc w:val="lef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ind w:firstLine="480"/>
        <w:jc w:val="lef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ind w:firstLine="364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730"/>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730"/>
        <w:ind w:firstLine="3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pStyle w:val="7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2"/>
        <w:spacing w:line="480" w:lineRule="exact"/>
        <w:rPr>
          <w:rFonts w:hint="eastAsia" w:ascii="仿宋" w:hAnsi="仿宋" w:eastAsia="仿宋" w:cs="仿宋"/>
          <w:color w:val="auto"/>
          <w:sz w:val="30"/>
          <w:szCs w:val="30"/>
        </w:rPr>
      </w:pPr>
      <w:r>
        <w:rPr>
          <w:rFonts w:hint="eastAsia" w:ascii="仿宋" w:hAnsi="仿宋" w:eastAsia="仿宋" w:cs="仿宋"/>
          <w:color w:val="000000"/>
          <w:sz w:val="24"/>
        </w:rPr>
        <w:br w:type="page" w:clear="all"/>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auto"/>
          <w:sz w:val="30"/>
          <w:szCs w:val="30"/>
        </w:rPr>
        <w:t xml:space="preserve">预付款保函支付条款模板</w:t>
      </w:r>
      <w:r/>
    </w:p>
    <w:p>
      <w:pPr>
        <w:pStyle w:val="75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符合条件一：提交预付款保函的</w:t>
      </w:r>
      <w:r/>
    </w:p>
    <w:p>
      <w:pPr>
        <w:ind w:firstLine="602"/>
        <w:spacing w:line="48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（1）合同签订且乙方向甲方出具预付款保函后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        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乙方需提交的支付文件：乙方出具的全额正式发票。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（2）验收合格后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符合条件二：不提交预付款保函的</w:t>
      </w:r>
      <w:r/>
    </w:p>
    <w:p>
      <w:pPr>
        <w:ind w:firstLine="602"/>
        <w:spacing w:line="48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（1）合同签订后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乙方需提交的支付文件：乙方出具的全额正式发票。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（2）验收合格后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w:t>
      </w:r>
      <w:r/>
    </w:p>
    <w:p>
      <w:pPr>
        <w:ind w:left="140"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1、付款条件一中，出具预付款保函后支付的合同款应当与保函金额一致。</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2、付款条件二中，预付款比例设定应符合《关于做好政府采购支持企业发展有关事项的通知》(苏财购〔2020〕52号)要求。</w:t>
      </w:r>
      <w:r/>
    </w:p>
    <w:p>
      <w:pPr>
        <w:pStyle w:val="1033"/>
        <w:ind w:left="0" w:right="14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33"/>
        <w:ind w:left="0" w:right="14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33"/>
        <w:ind w:left="0" w:right="147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52"/>
        <w:rPr>
          <w:rFonts w:hint="eastAsia" w:ascii="宋体" w:hAnsi="宋体" w:eastAsia="宋体" w:cs="宋体"/>
          <w:color w:val="auto"/>
          <w:sz w:val="30"/>
          <w:szCs w:val="30"/>
        </w:rPr>
      </w:pPr>
      <w:r>
        <w:rPr>
          <w:rFonts w:hint="eastAsia" w:ascii="宋体" w:hAnsi="宋体" w:eastAsia="宋体" w:cs="宋体"/>
          <w:color w:val="auto"/>
          <w:sz w:val="30"/>
          <w:szCs w:val="30"/>
        </w:rPr>
      </w:r>
      <w:r/>
    </w:p>
    <w:p>
      <w:r/>
      <w:r/>
    </w:p>
    <w:sectPr>
      <w:headerReference w:type="default" r:id="rId10"/>
      <w:footerReference w:type="default" r:id="rId13"/>
      <w:footnotePr/>
      <w:endnotePr/>
      <w:type w:val="continuous"/>
      <w:pgSz w:w="11906" w:h="16838" w:orient="portrait"/>
      <w:pgMar w:top="1440" w:right="1423" w:bottom="1440" w:left="142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楷体_GBK">
    <w:panose1 w:val="020B0503020202020204"/>
  </w:font>
  <w:font w:name="楷体">
    <w:panose1 w:val="02010609060101010101"/>
  </w:font>
  <w:font w:name="华文楷体">
    <w:panose1 w:val="02010600040101010101"/>
  </w:font>
  <w:font w:name="Wingdings">
    <w:panose1 w:val="05000000000000000000"/>
  </w:font>
  <w:font w:name="仿宋">
    <w:panose1 w:val="02010609060101010101"/>
  </w:font>
  <w:font w:name="Tahoma">
    <w:panose1 w:val="020B0604030504040204"/>
  </w:font>
  <w:font w:name="楷体_GB2312">
    <w:panose1 w:val="02010609060101010101"/>
  </w:font>
  <w:font w:name="Symbol">
    <w:panose1 w:val="05050102010706020507"/>
  </w:font>
  <w:font w:name="新宋体">
    <w:panose1 w:val="02010609030101010101"/>
  </w:font>
  <w:font w:name="黑体">
    <w:panose1 w:val="02010609060101010101"/>
  </w:font>
  <w:font w:name="仿宋_GB2312">
    <w:panose1 w:val="02010609060101010101"/>
  </w:font>
  <w:font w:name="Verdana">
    <w:panose1 w:val="020B0604030504040204"/>
  </w:font>
  <w:font w:name="Cambria">
    <w:panose1 w:val="02040503050406030204"/>
  </w:font>
  <w:font w:name="Courier New">
    <w:panose1 w:val="02070309020205020404"/>
  </w:font>
  <w:font w:name="Noto Sans CJK JP Regular">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ind w:right="360" w:firstLine="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both"/>
      <w:rPr>
        <w:rFonts w:ascii="楷体_GB2312" w:hAnsi="楷体_GB2312"/>
      </w:rPr>
    </w:pPr>
    <w:r>
      <w:rPr>
        <w:rFonts w:ascii="楷体_GB2312" w:hAnsi="楷体_GB231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left"/>
      <w:rPr>
        <w:rFonts w:ascii="宋体" w:hAnsi="宋体"/>
        <w:b/>
        <w:i/>
      </w:rPr>
      <w:pBdr>
        <w:bottom w:val="none" w:color="auto" w:sz="0" w:space="1"/>
      </w:pBdr>
    </w:pPr>
    <w:r>
      <w:rPr>
        <w:rFonts w:ascii="宋体" w:hAnsi="宋体"/>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条"/>
      <w:lvlJc w:val="left"/>
      <w:pPr/>
    </w:lvl>
    <w:lvl w:ilvl="1">
      <w:start w:val="1"/>
      <w:numFmt w:val="bullet"/>
      <w:pStyle w:val="99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8"/>
      <w:numFmt w:val="chineseCounting"/>
      <w:pStyle w:val="939"/>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1037"/>
    <w:uiPriority w:val="0"/>
    <w:qFormat/>
    <w:rPr>
      <w:rFonts w:hint="default" w:ascii="Times New Roman" w:hAnsi="Times New Roman" w:eastAsia="宋体" w:cs="Times New Roman"/>
    </w:rPr>
  </w:style>
  <w:style w:type="paragraph" w:styleId="697">
    <w:name w:val="Heading 1"/>
    <w:basedOn w:val="696"/>
    <w:next w:val="696"/>
    <w:link w:val="763"/>
    <w:uiPriority w:val="9"/>
    <w:qFormat/>
    <w:pPr>
      <w:keepLines/>
      <w:keepNext/>
      <w:spacing w:before="480" w:after="200"/>
      <w:outlineLvl w:val="0"/>
    </w:pPr>
    <w:rPr>
      <w:rFonts w:hint="default" w:ascii="Arial" w:hAnsi="Arial" w:eastAsia="Arial" w:cs="Arial"/>
      <w:sz w:val="40"/>
      <w:szCs w:val="40"/>
    </w:rPr>
  </w:style>
  <w:style w:type="paragraph" w:styleId="698">
    <w:name w:val="Heading 2"/>
    <w:basedOn w:val="696"/>
    <w:next w:val="696"/>
    <w:link w:val="764"/>
    <w:uiPriority w:val="9"/>
    <w:unhideWhenUsed/>
    <w:qFormat/>
    <w:pPr>
      <w:keepLines/>
      <w:keepNext/>
      <w:spacing w:before="360" w:after="200"/>
      <w:outlineLvl w:val="1"/>
    </w:pPr>
    <w:rPr>
      <w:rFonts w:hint="default" w:ascii="Arial" w:hAnsi="Arial" w:eastAsia="Arial" w:cs="Arial"/>
      <w:sz w:val="34"/>
    </w:rPr>
  </w:style>
  <w:style w:type="paragraph" w:styleId="699">
    <w:name w:val="Heading 3"/>
    <w:next w:val="696"/>
    <w:link w:val="765"/>
    <w:uiPriority w:val="9"/>
    <w:unhideWhenUsed/>
    <w:qFormat/>
    <w:pPr>
      <w:keepLines/>
      <w:keepNext/>
      <w:spacing w:before="320" w:after="200"/>
      <w:outlineLvl w:val="2"/>
    </w:pPr>
    <w:rPr>
      <w:rFonts w:hint="default" w:ascii="Arial" w:hAnsi="Arial" w:eastAsia="Arial" w:cs="Arial"/>
      <w:sz w:val="30"/>
      <w:szCs w:val="30"/>
    </w:rPr>
  </w:style>
  <w:style w:type="paragraph" w:styleId="700">
    <w:name w:val="Heading 4"/>
    <w:next w:val="696"/>
    <w:link w:val="766"/>
    <w:uiPriority w:val="9"/>
    <w:unhideWhenUsed/>
    <w:qFormat/>
    <w:pPr>
      <w:keepLines/>
      <w:keepNext/>
      <w:spacing w:before="320" w:after="200"/>
      <w:outlineLvl w:val="3"/>
    </w:pPr>
    <w:rPr>
      <w:rFonts w:hint="default" w:ascii="Arial" w:hAnsi="Arial" w:eastAsia="Arial" w:cs="Arial"/>
      <w:b/>
      <w:bCs/>
      <w:sz w:val="26"/>
      <w:szCs w:val="26"/>
    </w:rPr>
  </w:style>
  <w:style w:type="paragraph" w:styleId="701">
    <w:name w:val="Heading 5"/>
    <w:next w:val="696"/>
    <w:link w:val="767"/>
    <w:uiPriority w:val="9"/>
    <w:unhideWhenUsed/>
    <w:qFormat/>
    <w:pPr>
      <w:keepLines/>
      <w:keepNext/>
      <w:spacing w:before="320" w:after="200"/>
      <w:outlineLvl w:val="4"/>
    </w:pPr>
    <w:rPr>
      <w:rFonts w:hint="default" w:ascii="Arial" w:hAnsi="Arial" w:eastAsia="Arial" w:cs="Arial"/>
      <w:b/>
      <w:bCs/>
      <w:sz w:val="24"/>
      <w:szCs w:val="24"/>
    </w:rPr>
  </w:style>
  <w:style w:type="paragraph" w:styleId="702">
    <w:name w:val="Heading 6"/>
    <w:next w:val="696"/>
    <w:link w:val="768"/>
    <w:uiPriority w:val="9"/>
    <w:unhideWhenUsed/>
    <w:qFormat/>
    <w:pPr>
      <w:keepLines/>
      <w:keepNext/>
      <w:spacing w:before="320" w:after="200"/>
      <w:outlineLvl w:val="5"/>
    </w:pPr>
    <w:rPr>
      <w:rFonts w:hint="default" w:ascii="Arial" w:hAnsi="Arial" w:eastAsia="Arial" w:cs="Arial"/>
      <w:b/>
      <w:bCs/>
      <w:sz w:val="22"/>
      <w:szCs w:val="22"/>
    </w:rPr>
  </w:style>
  <w:style w:type="paragraph" w:styleId="703">
    <w:name w:val="Heading 7"/>
    <w:next w:val="696"/>
    <w:link w:val="76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04">
    <w:name w:val="Heading 8"/>
    <w:next w:val="696"/>
    <w:link w:val="770"/>
    <w:uiPriority w:val="9"/>
    <w:unhideWhenUsed/>
    <w:qFormat/>
    <w:pPr>
      <w:keepLines/>
      <w:keepNext/>
      <w:spacing w:before="320" w:after="200"/>
      <w:outlineLvl w:val="7"/>
    </w:pPr>
    <w:rPr>
      <w:rFonts w:hint="default" w:ascii="Arial" w:hAnsi="Arial" w:eastAsia="Arial" w:cs="Arial"/>
      <w:i/>
      <w:iCs/>
      <w:sz w:val="22"/>
      <w:szCs w:val="22"/>
    </w:rPr>
  </w:style>
  <w:style w:type="paragraph" w:styleId="705">
    <w:name w:val="Heading 9"/>
    <w:next w:val="696"/>
    <w:link w:val="771"/>
    <w:uiPriority w:val="9"/>
    <w:unhideWhenUsed/>
    <w:qFormat/>
    <w:pPr>
      <w:keepLines/>
      <w:keepNext/>
      <w:spacing w:before="320" w:after="200"/>
      <w:outlineLvl w:val="8"/>
    </w:pPr>
    <w:rPr>
      <w:rFonts w:hint="default"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itle"/>
    <w:basedOn w:val="696"/>
    <w:next w:val="696"/>
    <w:link w:val="773"/>
    <w:uiPriority w:val="10"/>
    <w:qFormat/>
    <w:pPr>
      <w:contextualSpacing/>
      <w:spacing w:before="300" w:after="200"/>
    </w:pPr>
    <w:rPr>
      <w:rFonts w:hint="default" w:ascii="Times New Roman" w:hAnsi="Times New Roman" w:eastAsia="宋体" w:cs="Times New Roman"/>
      <w:sz w:val="48"/>
      <w:szCs w:val="48"/>
    </w:rPr>
  </w:style>
  <w:style w:type="paragraph" w:styleId="709">
    <w:name w:val="toc 7"/>
    <w:next w:val="696"/>
    <w:uiPriority w:val="39"/>
    <w:unhideWhenUsed/>
    <w:qFormat/>
    <w:pPr>
      <w:ind w:left="1701" w:right="0" w:firstLine="0"/>
      <w:spacing w:after="57"/>
    </w:pPr>
    <w:rPr>
      <w:rFonts w:hint="default" w:ascii="Times New Roman" w:hAnsi="Times New Roman" w:eastAsia="宋体" w:cs="Times New Roman"/>
    </w:rPr>
  </w:style>
  <w:style w:type="paragraph" w:styleId="710">
    <w:name w:val="Normal Indent"/>
    <w:basedOn w:val="696"/>
    <w:uiPriority w:val="0"/>
    <w:qFormat/>
    <w:pPr>
      <w:ind w:firstLine="420"/>
    </w:pPr>
  </w:style>
  <w:style w:type="paragraph" w:styleId="711">
    <w:name w:val="Caption"/>
    <w:next w:val="696"/>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12">
    <w:name w:val="index 5"/>
    <w:basedOn w:val="696"/>
    <w:next w:val="696"/>
    <w:uiPriority w:val="0"/>
    <w:qFormat/>
    <w:pPr>
      <w:ind w:left="798"/>
      <w:jc w:val="left"/>
    </w:pPr>
    <w:rPr>
      <w:rFonts w:ascii="Calibri"/>
    </w:rPr>
  </w:style>
  <w:style w:type="paragraph" w:styleId="713">
    <w:name w:val="Body Text"/>
    <w:basedOn w:val="696"/>
    <w:uiPriority w:val="0"/>
    <w:qFormat/>
    <w:pPr>
      <w:spacing w:after="120"/>
    </w:pPr>
    <w:rPr>
      <w:rFonts w:ascii="Calibri" w:hAnsi="Calibri"/>
    </w:rPr>
  </w:style>
  <w:style w:type="paragraph" w:styleId="714">
    <w:name w:val="Body Text Indent"/>
    <w:basedOn w:val="696"/>
    <w:next w:val="715"/>
    <w:uiPriority w:val="99"/>
    <w:unhideWhenUsed/>
    <w:qFormat/>
    <w:pPr>
      <w:ind w:left="420"/>
      <w:spacing w:after="120"/>
    </w:pPr>
  </w:style>
  <w:style w:type="paragraph" w:styleId="715">
    <w:name w:val="envelope return"/>
    <w:basedOn w:val="696"/>
    <w:uiPriority w:val="0"/>
    <w:qFormat/>
    <w:rPr>
      <w:rFonts w:ascii="Arial" w:hAnsi="Arial"/>
    </w:rPr>
  </w:style>
  <w:style w:type="paragraph" w:styleId="716">
    <w:name w:val="Block Text"/>
    <w:basedOn w:val="696"/>
    <w:uiPriority w:val="0"/>
    <w:qFormat/>
    <w:pPr>
      <w:ind w:left="420" w:right="33"/>
    </w:pPr>
    <w:rPr>
      <w:sz w:val="24"/>
    </w:rPr>
  </w:style>
  <w:style w:type="paragraph" w:styleId="717">
    <w:name w:val="toc 5"/>
    <w:next w:val="696"/>
    <w:uiPriority w:val="39"/>
    <w:unhideWhenUsed/>
    <w:qFormat/>
    <w:pPr>
      <w:ind w:left="1134" w:right="0" w:firstLine="0"/>
      <w:spacing w:after="57"/>
    </w:pPr>
    <w:rPr>
      <w:rFonts w:hint="default" w:ascii="Times New Roman" w:hAnsi="Times New Roman" w:eastAsia="宋体" w:cs="Times New Roman"/>
    </w:rPr>
  </w:style>
  <w:style w:type="paragraph" w:styleId="718">
    <w:name w:val="toc 3"/>
    <w:next w:val="696"/>
    <w:uiPriority w:val="39"/>
    <w:unhideWhenUsed/>
    <w:qFormat/>
    <w:pPr>
      <w:ind w:left="567" w:right="0" w:firstLine="0"/>
      <w:spacing w:after="57"/>
    </w:pPr>
    <w:rPr>
      <w:rFonts w:hint="default" w:ascii="Times New Roman" w:hAnsi="Times New Roman" w:eastAsia="宋体" w:cs="Times New Roman"/>
    </w:rPr>
  </w:style>
  <w:style w:type="paragraph" w:styleId="719">
    <w:name w:val="toc 8"/>
    <w:next w:val="696"/>
    <w:uiPriority w:val="39"/>
    <w:unhideWhenUsed/>
    <w:qFormat/>
    <w:pPr>
      <w:ind w:left="1984" w:right="0" w:firstLine="0"/>
      <w:spacing w:after="57"/>
    </w:pPr>
    <w:rPr>
      <w:rFonts w:hint="default" w:ascii="Times New Roman" w:hAnsi="Times New Roman" w:eastAsia="宋体" w:cs="Times New Roman"/>
    </w:rPr>
  </w:style>
  <w:style w:type="paragraph" w:styleId="720">
    <w:name w:val="endnote text"/>
    <w:link w:val="908"/>
    <w:uiPriority w:val="99"/>
    <w:semiHidden/>
    <w:unhideWhenUsed/>
    <w:qFormat/>
    <w:pPr>
      <w:spacing w:after="0" w:line="240" w:lineRule="auto"/>
    </w:pPr>
    <w:rPr>
      <w:rFonts w:hint="default" w:ascii="Times New Roman" w:hAnsi="Times New Roman" w:eastAsia="宋体" w:cs="Times New Roman"/>
      <w:sz w:val="20"/>
    </w:rPr>
  </w:style>
  <w:style w:type="paragraph" w:styleId="721">
    <w:name w:val="Footer"/>
    <w:basedOn w:val="696"/>
    <w:link w:val="78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22">
    <w:name w:val="Header"/>
    <w:basedOn w:val="696"/>
    <w:link w:val="77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23">
    <w:name w:val="toc 1"/>
    <w:basedOn w:val="696"/>
    <w:next w:val="696"/>
    <w:uiPriority w:val="39"/>
    <w:unhideWhenUsed/>
    <w:qFormat/>
    <w:pPr>
      <w:ind w:left="0" w:right="0" w:firstLine="0"/>
      <w:spacing w:after="57"/>
    </w:pPr>
    <w:rPr>
      <w:rFonts w:hint="default" w:ascii="Times New Roman" w:hAnsi="Times New Roman" w:eastAsia="宋体" w:cs="Times New Roman"/>
    </w:rPr>
  </w:style>
  <w:style w:type="paragraph" w:styleId="724">
    <w:name w:val="toc 4"/>
    <w:next w:val="696"/>
    <w:uiPriority w:val="39"/>
    <w:unhideWhenUsed/>
    <w:qFormat/>
    <w:pPr>
      <w:ind w:left="850" w:right="0" w:firstLine="0"/>
      <w:spacing w:after="57"/>
    </w:pPr>
    <w:rPr>
      <w:rFonts w:hint="default" w:ascii="Times New Roman" w:hAnsi="Times New Roman" w:eastAsia="宋体" w:cs="Times New Roman"/>
    </w:rPr>
  </w:style>
  <w:style w:type="paragraph" w:styleId="725">
    <w:name w:val="Subtitle"/>
    <w:link w:val="774"/>
    <w:uiPriority w:val="11"/>
    <w:qFormat/>
    <w:pPr>
      <w:spacing w:before="200" w:after="200"/>
    </w:pPr>
    <w:rPr>
      <w:rFonts w:hint="default" w:ascii="Times New Roman" w:hAnsi="Times New Roman" w:eastAsia="宋体" w:cs="Times New Roman"/>
      <w:sz w:val="24"/>
      <w:szCs w:val="24"/>
    </w:rPr>
  </w:style>
  <w:style w:type="paragraph" w:styleId="726">
    <w:name w:val="footnote text"/>
    <w:basedOn w:val="696"/>
    <w:next w:val="712"/>
    <w:link w:val="907"/>
    <w:uiPriority w:val="99"/>
    <w:semiHidden/>
    <w:unhideWhenUsed/>
    <w:qFormat/>
    <w:pPr>
      <w:spacing w:after="40" w:line="240" w:lineRule="auto"/>
    </w:pPr>
    <w:rPr>
      <w:rFonts w:hint="default" w:ascii="Times New Roman" w:hAnsi="Times New Roman" w:eastAsia="宋体" w:cs="Times New Roman"/>
      <w:sz w:val="18"/>
    </w:rPr>
  </w:style>
  <w:style w:type="paragraph" w:styleId="727">
    <w:name w:val="toc 6"/>
    <w:basedOn w:val="696"/>
    <w:next w:val="696"/>
    <w:uiPriority w:val="39"/>
    <w:unhideWhenUsed/>
    <w:qFormat/>
    <w:pPr>
      <w:ind w:left="1417" w:right="0" w:firstLine="0"/>
      <w:spacing w:after="57"/>
    </w:pPr>
    <w:rPr>
      <w:rFonts w:hint="default" w:ascii="Times New Roman" w:hAnsi="Times New Roman" w:eastAsia="宋体" w:cs="Times New Roman"/>
    </w:rPr>
  </w:style>
  <w:style w:type="paragraph" w:styleId="728">
    <w:name w:val="table of figures"/>
    <w:next w:val="696"/>
    <w:uiPriority w:val="99"/>
    <w:unhideWhenUsed/>
    <w:qFormat/>
    <w:pPr>
      <w:spacing w:after="0" w:afterAutospacing="0"/>
    </w:pPr>
    <w:rPr>
      <w:rFonts w:hint="default" w:ascii="Times New Roman" w:hAnsi="Times New Roman" w:eastAsia="宋体" w:cs="Times New Roman"/>
    </w:rPr>
  </w:style>
  <w:style w:type="paragraph" w:styleId="729">
    <w:name w:val="toc 2"/>
    <w:basedOn w:val="730"/>
    <w:next w:val="696"/>
    <w:uiPriority w:val="0"/>
    <w:qFormat/>
    <w:pPr>
      <w:ind w:left="900"/>
      <w:jc w:val="left"/>
      <w:spacing w:line="410" w:lineRule="exact"/>
    </w:pPr>
    <w:rPr>
      <w:rFonts w:ascii="Noto Sans CJK JP Regular" w:hAnsi="Noto Sans CJK JP Regular" w:eastAsia="Noto Sans CJK JP Regular"/>
      <w:sz w:val="24"/>
      <w:lang w:eastAsia="en-US"/>
    </w:rPr>
  </w:style>
  <w:style w:type="paragraph" w:styleId="730" w:customStyle="1">
    <w:name w:val="正文112"/>
    <w:next w:val="731"/>
    <w:link w:val="9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customStyle="1">
    <w:name w:val="正文文本12"/>
    <w:basedOn w:val="730"/>
    <w:next w:val="732"/>
    <w:link w:val="957"/>
    <w:uiPriority w:val="0"/>
    <w:qFormat/>
    <w:pPr>
      <w:spacing w:after="120"/>
    </w:pPr>
  </w:style>
  <w:style w:type="paragraph" w:styleId="732" w:customStyle="1">
    <w:name w:val="标题 41"/>
    <w:basedOn w:val="733"/>
    <w:next w:val="730"/>
    <w:link w:val="933"/>
    <w:uiPriority w:val="0"/>
    <w:qFormat/>
    <w:pPr>
      <w:keepLines/>
      <w:keepNext/>
      <w:spacing w:before="280" w:after="290" w:line="376" w:lineRule="auto"/>
      <w:outlineLvl w:val="3"/>
    </w:pPr>
    <w:rPr>
      <w:rFonts w:ascii="Cambria" w:hAnsi="Cambria" w:eastAsia="宋体"/>
      <w:sz w:val="28"/>
      <w:szCs w:val="28"/>
    </w:rPr>
  </w:style>
  <w:style w:type="paragraph" w:styleId="733" w:customStyle="1">
    <w:name w:val="标题1"/>
    <w:basedOn w:val="730"/>
    <w:next w:val="696"/>
    <w:uiPriority w:val="0"/>
    <w:qFormat/>
    <w:pPr>
      <w:jc w:val="center"/>
      <w:spacing w:before="300" w:after="300"/>
      <w:outlineLvl w:val="0"/>
    </w:pPr>
    <w:rPr>
      <w:rFonts w:ascii="Cambria" w:hAnsi="Cambria" w:eastAsia="仿宋_GB2312"/>
      <w:b/>
      <w:bCs/>
      <w:sz w:val="36"/>
      <w:szCs w:val="32"/>
    </w:rPr>
  </w:style>
  <w:style w:type="paragraph" w:styleId="734">
    <w:name w:val="toc 9"/>
    <w:next w:val="696"/>
    <w:uiPriority w:val="39"/>
    <w:unhideWhenUsed/>
    <w:qFormat/>
    <w:pPr>
      <w:ind w:left="2268" w:right="0" w:firstLine="0"/>
      <w:spacing w:after="57"/>
    </w:pPr>
    <w:rPr>
      <w:rFonts w:hint="default" w:ascii="Times New Roman" w:hAnsi="Times New Roman" w:eastAsia="宋体" w:cs="Times New Roman"/>
    </w:rPr>
  </w:style>
  <w:style w:type="paragraph" w:styleId="735">
    <w:name w:val="Body Text First Indent"/>
    <w:basedOn w:val="713"/>
    <w:next w:val="736"/>
    <w:uiPriority w:val="99"/>
    <w:unhideWhenUsed/>
    <w:qFormat/>
    <w:pPr>
      <w:ind w:firstLine="420"/>
    </w:pPr>
    <w:rPr>
      <w:sz w:val="24"/>
    </w:rPr>
  </w:style>
  <w:style w:type="paragraph" w:styleId="736">
    <w:name w:val="Body Text First Indent 2"/>
    <w:basedOn w:val="714"/>
    <w:next w:val="696"/>
    <w:uiPriority w:val="99"/>
    <w:unhideWhenUsed/>
    <w:qFormat/>
    <w:pPr>
      <w:ind w:firstLine="420"/>
    </w:p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page number"/>
    <w:basedOn w:val="706"/>
    <w:uiPriority w:val="0"/>
    <w:qFormat/>
  </w:style>
  <w:style w:type="character" w:styleId="740">
    <w:name w:val="Hyperlink"/>
    <w:basedOn w:val="706"/>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paragraph" w:styleId="742" w:customStyle="1">
    <w:name w:val="页脚1"/>
    <w:basedOn w:val="743"/>
    <w:link w:val="972"/>
    <w:uiPriority w:val="0"/>
    <w:qFormat/>
    <w:pPr>
      <w:jc w:val="left"/>
      <w:tabs>
        <w:tab w:val="center" w:pos="4153" w:leader="none"/>
        <w:tab w:val="right" w:pos="8306" w:leader="none"/>
      </w:tabs>
    </w:pPr>
    <w:rPr>
      <w:sz w:val="18"/>
      <w:szCs w:val="18"/>
    </w:rPr>
  </w:style>
  <w:style w:type="paragraph" w:styleId="743" w:customStyle="1">
    <w:name w:val="正文113"/>
    <w:next w:val="744"/>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44" w:customStyle="1">
    <w:name w:val="BodyText1I2"/>
    <w:basedOn w:val="745"/>
    <w:uiPriority w:val="0"/>
    <w:qFormat/>
    <w:pPr>
      <w:ind w:firstLine="420"/>
      <w:spacing w:line="240" w:lineRule="auto"/>
    </w:pPr>
    <w:rPr>
      <w:sz w:val="21"/>
    </w:rPr>
  </w:style>
  <w:style w:type="paragraph" w:styleId="745" w:customStyle="1">
    <w:name w:val="BodyTextIndent"/>
    <w:basedOn w:val="743"/>
    <w:uiPriority w:val="0"/>
    <w:qFormat/>
    <w:pPr>
      <w:ind w:left="420" w:firstLine="200"/>
      <w:spacing w:after="120" w:line="360" w:lineRule="auto"/>
    </w:pPr>
    <w:rPr>
      <w:rFonts w:ascii="Verdana" w:hAnsi="Verdana"/>
      <w:sz w:val="24"/>
      <w:szCs w:val="28"/>
    </w:rPr>
  </w:style>
  <w:style w:type="paragraph" w:styleId="746" w:customStyle="1">
    <w:name w:val="一级条标题"/>
    <w:basedOn w:val="747"/>
    <w:next w:val="7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7" w:customStyle="1">
    <w:name w:val="章标题"/>
    <w:basedOn w:val="748"/>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48" w:customStyle="1">
    <w:name w:val="正文1"/>
    <w:basedOn w:val="749"/>
    <w:next w:val="752"/>
    <w:uiPriority w:val="0"/>
    <w:qFormat/>
    <w:pPr>
      <w:ind w:firstLine="361"/>
      <w:spacing w:line="360" w:lineRule="auto"/>
    </w:pPr>
    <w:rPr>
      <w:rFonts w:ascii="宋体" w:hAnsi="宋体"/>
    </w:rPr>
  </w:style>
  <w:style w:type="paragraph" w:styleId="749" w:customStyle="1">
    <w:name w:val="正文111"/>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脚注文本11"/>
    <w:basedOn w:val="730"/>
    <w:next w:val="751"/>
    <w:uiPriority w:val="0"/>
    <w:qFormat/>
    <w:pPr>
      <w:jc w:val="left"/>
    </w:pPr>
    <w:rPr>
      <w:rFonts w:ascii="宋体" w:eastAsia="Times New Roman"/>
      <w:sz w:val="18"/>
      <w:szCs w:val="18"/>
    </w:rPr>
  </w:style>
  <w:style w:type="paragraph" w:styleId="751" w:customStyle="1">
    <w:name w:val="索引 511"/>
    <w:basedOn w:val="730"/>
    <w:next w:val="749"/>
    <w:uiPriority w:val="0"/>
    <w:qFormat/>
    <w:pPr>
      <w:ind w:left="798"/>
      <w:jc w:val="left"/>
    </w:pPr>
    <w:rPr>
      <w:rFonts w:ascii="Calibri" w:hAnsi="Calibri"/>
    </w:rPr>
  </w:style>
  <w:style w:type="paragraph" w:styleId="752" w:customStyle="1">
    <w:name w:val="正文文本1"/>
    <w:basedOn w:val="748"/>
    <w:next w:val="753"/>
    <w:uiPriority w:val="0"/>
    <w:qFormat/>
    <w:pPr>
      <w:spacing w:after="120"/>
    </w:pPr>
    <w:rPr>
      <w:rFonts w:ascii="Calibri" w:hAnsi="Calibri"/>
    </w:rPr>
  </w:style>
  <w:style w:type="paragraph" w:styleId="753" w:customStyle="1">
    <w:name w:val="正文文本 21"/>
    <w:basedOn w:val="730"/>
    <w:link w:val="982"/>
    <w:uiPriority w:val="0"/>
    <w:qFormat/>
    <w:pPr>
      <w:spacing w:after="120" w:line="480" w:lineRule="auto"/>
    </w:pPr>
    <w:rPr>
      <w:sz w:val="20"/>
      <w:szCs w:val="20"/>
    </w:rPr>
  </w:style>
  <w:style w:type="paragraph" w:styleId="754" w:customStyle="1">
    <w:name w:val="段"/>
    <w:basedOn w:val="730"/>
    <w:next w:val="748"/>
    <w:uiPriority w:val="0"/>
    <w:qFormat/>
    <w:pPr>
      <w:ind w:firstLine="200"/>
      <w:jc w:val="both"/>
    </w:pPr>
    <w:rPr>
      <w:rFonts w:hint="default" w:ascii="宋体" w:hAnsi="Calibri" w:eastAsia="宋体" w:cs="Times New Roman"/>
      <w:sz w:val="21"/>
      <w:szCs w:val="22"/>
      <w:lang w:val="en-US" w:eastAsia="zh-CN" w:bidi="ar-SA"/>
    </w:rPr>
  </w:style>
  <w:style w:type="paragraph" w:styleId="755" w:customStyle="1">
    <w:name w:val="目录 11"/>
    <w:basedOn w:val="756"/>
    <w:next w:val="748"/>
    <w:uiPriority w:val="0"/>
    <w:qFormat/>
    <w:pPr>
      <w:jc w:val="left"/>
      <w:spacing w:after="100" w:line="259" w:lineRule="auto"/>
      <w:widowControl/>
    </w:pPr>
    <w:rPr>
      <w:rFonts w:ascii="Calibri" w:hAnsi="Calibri" w:eastAsia="宋体"/>
      <w:sz w:val="22"/>
      <w:szCs w:val="22"/>
    </w:rPr>
  </w:style>
  <w:style w:type="paragraph" w:styleId="756" w:customStyle="1">
    <w:name w:val="正文11"/>
    <w:next w:val="7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7" w:customStyle="1">
    <w:name w:val="正文文本11"/>
    <w:basedOn w:val="749"/>
    <w:next w:val="746"/>
    <w:uiPriority w:val="0"/>
    <w:qFormat/>
    <w:pPr>
      <w:spacing w:after="120"/>
    </w:pPr>
  </w:style>
  <w:style w:type="paragraph" w:styleId="758" w:customStyle="1">
    <w:name w:val="标题 111"/>
    <w:next w:val="75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759" w:customStyle="1">
    <w:name w:val="文本块111"/>
    <w:basedOn w:val="696"/>
    <w:uiPriority w:val="0"/>
    <w:unhideWhenUsed/>
    <w:qFormat/>
    <w:pPr>
      <w:ind w:left="420" w:right="33"/>
      <w:jc w:val="left"/>
    </w:pPr>
    <w:rPr>
      <w:sz w:val="24"/>
      <w:szCs w:val="20"/>
    </w:rPr>
  </w:style>
  <w:style w:type="paragraph" w:styleId="760" w:customStyle="1">
    <w:name w:val="标题 21"/>
    <w:basedOn w:val="748"/>
    <w:next w:val="756"/>
    <w:link w:val="956"/>
    <w:uiPriority w:val="0"/>
    <w:qFormat/>
    <w:pPr>
      <w:keepLines/>
      <w:keepNext/>
      <w:spacing w:before="260" w:after="260" w:line="412" w:lineRule="auto"/>
      <w:outlineLvl w:val="1"/>
    </w:pPr>
    <w:rPr>
      <w:rFonts w:ascii="Arial" w:hAnsi="Arial" w:eastAsia="黑体"/>
      <w:sz w:val="32"/>
      <w:szCs w:val="32"/>
    </w:rPr>
  </w:style>
  <w:style w:type="paragraph" w:styleId="761" w:customStyle="1">
    <w:name w:val="文本块1"/>
    <w:basedOn w:val="762"/>
    <w:uiPriority w:val="0"/>
    <w:qFormat/>
    <w:pPr>
      <w:ind w:left="1440" w:right="1440"/>
      <w:spacing w:after="120"/>
    </w:pPr>
    <w:rPr>
      <w:rFonts w:ascii="Calibri" w:hAnsi="Calibri"/>
    </w:rPr>
  </w:style>
  <w:style w:type="paragraph" w:styleId="762" w:customStyle="1">
    <w:name w:val="正文13"/>
    <w:next w:val="76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63" w:customStyle="1">
    <w:name w:val="Heading 1 Char"/>
    <w:link w:val="697"/>
    <w:uiPriority w:val="9"/>
    <w:qFormat/>
    <w:rPr>
      <w:rFonts w:ascii="Arial" w:hAnsi="Arial" w:eastAsia="Arial" w:cs="Arial"/>
      <w:sz w:val="40"/>
      <w:szCs w:val="40"/>
    </w:rPr>
  </w:style>
  <w:style w:type="character" w:styleId="764" w:customStyle="1">
    <w:name w:val="Heading 2 Char"/>
    <w:link w:val="698"/>
    <w:uiPriority w:val="9"/>
    <w:qFormat/>
    <w:rPr>
      <w:rFonts w:ascii="Arial" w:hAnsi="Arial" w:eastAsia="Arial" w:cs="Arial"/>
      <w:sz w:val="34"/>
    </w:rPr>
  </w:style>
  <w:style w:type="character" w:styleId="765" w:customStyle="1">
    <w:name w:val="Heading 3 Char"/>
    <w:link w:val="699"/>
    <w:uiPriority w:val="9"/>
    <w:qFormat/>
    <w:rPr>
      <w:rFonts w:ascii="Arial" w:hAnsi="Arial" w:eastAsia="Arial" w:cs="Arial"/>
      <w:sz w:val="30"/>
      <w:szCs w:val="30"/>
    </w:rPr>
  </w:style>
  <w:style w:type="character" w:styleId="766" w:customStyle="1">
    <w:name w:val="Heading 4 Char"/>
    <w:link w:val="700"/>
    <w:uiPriority w:val="9"/>
    <w:qFormat/>
    <w:rPr>
      <w:rFonts w:ascii="Arial" w:hAnsi="Arial" w:eastAsia="Arial" w:cs="Arial"/>
      <w:b/>
      <w:bCs/>
      <w:sz w:val="26"/>
      <w:szCs w:val="26"/>
    </w:rPr>
  </w:style>
  <w:style w:type="character" w:styleId="767" w:customStyle="1">
    <w:name w:val="Heading 5 Char"/>
    <w:link w:val="701"/>
    <w:uiPriority w:val="9"/>
    <w:qFormat/>
    <w:rPr>
      <w:rFonts w:ascii="Arial" w:hAnsi="Arial" w:eastAsia="Arial" w:cs="Arial"/>
      <w:b/>
      <w:bCs/>
      <w:sz w:val="24"/>
      <w:szCs w:val="24"/>
    </w:rPr>
  </w:style>
  <w:style w:type="character" w:styleId="768" w:customStyle="1">
    <w:name w:val="Heading 6 Char"/>
    <w:link w:val="702"/>
    <w:uiPriority w:val="9"/>
    <w:qFormat/>
    <w:rPr>
      <w:rFonts w:ascii="Arial" w:hAnsi="Arial" w:eastAsia="Arial" w:cs="Arial"/>
      <w:b/>
      <w:bCs/>
      <w:sz w:val="22"/>
      <w:szCs w:val="22"/>
    </w:rPr>
  </w:style>
  <w:style w:type="character" w:styleId="769" w:customStyle="1">
    <w:name w:val="Heading 7 Char"/>
    <w:link w:val="703"/>
    <w:uiPriority w:val="9"/>
    <w:qFormat/>
    <w:rPr>
      <w:rFonts w:ascii="Arial" w:hAnsi="Arial" w:eastAsia="Arial" w:cs="Arial"/>
      <w:b/>
      <w:bCs/>
      <w:i/>
      <w:iCs/>
      <w:sz w:val="22"/>
      <w:szCs w:val="22"/>
    </w:rPr>
  </w:style>
  <w:style w:type="character" w:styleId="770" w:customStyle="1">
    <w:name w:val="Heading 8 Char"/>
    <w:link w:val="704"/>
    <w:uiPriority w:val="9"/>
    <w:qFormat/>
    <w:rPr>
      <w:rFonts w:ascii="Arial" w:hAnsi="Arial" w:eastAsia="Arial" w:cs="Arial"/>
      <w:i/>
      <w:iCs/>
      <w:sz w:val="22"/>
      <w:szCs w:val="22"/>
    </w:rPr>
  </w:style>
  <w:style w:type="character" w:styleId="771" w:customStyle="1">
    <w:name w:val="Heading 9 Char"/>
    <w:link w:val="705"/>
    <w:uiPriority w:val="9"/>
    <w:qFormat/>
    <w:rPr>
      <w:rFonts w:ascii="Arial" w:hAnsi="Arial" w:eastAsia="Arial" w:cs="Arial"/>
      <w:i/>
      <w:iCs/>
      <w:sz w:val="21"/>
      <w:szCs w:val="21"/>
    </w:rPr>
  </w:style>
  <w:style w:type="paragraph" w:styleId="772">
    <w:name w:val="List Paragraph"/>
    <w:basedOn w:val="696"/>
    <w:uiPriority w:val="34"/>
    <w:qFormat/>
    <w:pPr>
      <w:contextualSpacing/>
      <w:ind w:left="720"/>
    </w:pPr>
    <w:rPr>
      <w:rFonts w:hint="default" w:ascii="Times New Roman" w:hAnsi="Times New Roman" w:eastAsia="宋体" w:cs="Times New Roman"/>
    </w:rPr>
  </w:style>
  <w:style w:type="character" w:styleId="773" w:customStyle="1">
    <w:name w:val="Title Char"/>
    <w:link w:val="708"/>
    <w:uiPriority w:val="10"/>
    <w:qFormat/>
    <w:rPr>
      <w:sz w:val="48"/>
      <w:szCs w:val="48"/>
    </w:rPr>
  </w:style>
  <w:style w:type="character" w:styleId="774" w:customStyle="1">
    <w:name w:val="Subtitle Char"/>
    <w:link w:val="725"/>
    <w:uiPriority w:val="11"/>
    <w:qFormat/>
    <w:rPr>
      <w:sz w:val="24"/>
      <w:szCs w:val="24"/>
    </w:rPr>
  </w:style>
  <w:style w:type="paragraph" w:styleId="775">
    <w:name w:val="Quote"/>
    <w:link w:val="776"/>
    <w:uiPriority w:val="29"/>
    <w:qFormat/>
    <w:pPr>
      <w:ind w:left="720" w:right="720"/>
    </w:pPr>
    <w:rPr>
      <w:rFonts w:hint="default" w:ascii="Times New Roman" w:hAnsi="Times New Roman" w:eastAsia="宋体" w:cs="Times New Roman"/>
      <w:i/>
    </w:rPr>
  </w:style>
  <w:style w:type="character" w:styleId="776" w:customStyle="1">
    <w:name w:val="Quote Char"/>
    <w:link w:val="775"/>
    <w:uiPriority w:val="29"/>
    <w:qFormat/>
    <w:rPr>
      <w:i/>
    </w:rPr>
  </w:style>
  <w:style w:type="paragraph" w:styleId="777">
    <w:name w:val="Intense Quote"/>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78" w:customStyle="1">
    <w:name w:val="Intense Quote Char"/>
    <w:link w:val="777"/>
    <w:uiPriority w:val="30"/>
    <w:qFormat/>
    <w:rPr>
      <w:i/>
    </w:rPr>
  </w:style>
  <w:style w:type="character" w:styleId="779" w:customStyle="1">
    <w:name w:val="Header Char"/>
    <w:link w:val="722"/>
    <w:uiPriority w:val="99"/>
    <w:qFormat/>
  </w:style>
  <w:style w:type="character" w:styleId="780" w:customStyle="1">
    <w:name w:val="Footer Char"/>
    <w:link w:val="721"/>
    <w:uiPriority w:val="99"/>
    <w:qFormat/>
  </w:style>
  <w:style w:type="character" w:styleId="781" w:customStyle="1">
    <w:name w:val="Caption Char"/>
    <w:link w:val="721"/>
    <w:uiPriority w:val="99"/>
    <w:qFormat/>
  </w:style>
  <w:style w:type="table" w:styleId="7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link w:val="726"/>
    <w:uiPriority w:val="99"/>
    <w:qFormat/>
    <w:rPr>
      <w:sz w:val="18"/>
    </w:rPr>
  </w:style>
  <w:style w:type="character" w:styleId="908" w:customStyle="1">
    <w:name w:val="Endnote Text Char"/>
    <w:link w:val="720"/>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paragraph" w:styleId="910" w:customStyle="1">
    <w:name w:val="标题 11"/>
    <w:basedOn w:val="730"/>
    <w:next w:val="696"/>
    <w:link w:val="1034"/>
    <w:uiPriority w:val="0"/>
    <w:qFormat/>
    <w:pPr>
      <w:keepLines/>
      <w:keepNext/>
      <w:spacing w:before="340" w:after="330" w:line="578" w:lineRule="auto"/>
      <w:outlineLvl w:val="0"/>
    </w:pPr>
    <w:rPr>
      <w:b/>
      <w:bCs/>
      <w:sz w:val="44"/>
      <w:szCs w:val="44"/>
    </w:rPr>
  </w:style>
  <w:style w:type="paragraph" w:styleId="911" w:customStyle="1">
    <w:name w:val="标题 31"/>
    <w:basedOn w:val="730"/>
    <w:next w:val="912"/>
    <w:link w:val="955"/>
    <w:uiPriority w:val="0"/>
    <w:qFormat/>
    <w:pPr>
      <w:keepLines/>
      <w:keepNext/>
      <w:spacing w:before="260" w:after="260" w:line="416" w:lineRule="auto"/>
      <w:outlineLvl w:val="2"/>
    </w:pPr>
    <w:rPr>
      <w:b/>
      <w:bCs/>
      <w:sz w:val="32"/>
      <w:szCs w:val="32"/>
    </w:rPr>
  </w:style>
  <w:style w:type="paragraph" w:styleId="912" w:customStyle="1">
    <w:name w:val="正文缩进1"/>
    <w:basedOn w:val="730"/>
    <w:link w:val="971"/>
    <w:uiPriority w:val="0"/>
    <w:qFormat/>
    <w:pPr>
      <w:ind w:firstLine="420"/>
    </w:pPr>
  </w:style>
  <w:style w:type="paragraph" w:styleId="913" w:customStyle="1">
    <w:name w:val="标题 51"/>
    <w:basedOn w:val="730"/>
    <w:next w:val="730"/>
    <w:link w:val="983"/>
    <w:uiPriority w:val="0"/>
    <w:qFormat/>
    <w:pPr>
      <w:keepLines/>
      <w:keepNext/>
      <w:spacing w:before="280" w:after="290" w:line="376" w:lineRule="auto"/>
      <w:outlineLvl w:val="4"/>
    </w:pPr>
    <w:rPr>
      <w:b/>
      <w:bCs/>
      <w:sz w:val="28"/>
      <w:szCs w:val="28"/>
    </w:rPr>
  </w:style>
  <w:style w:type="paragraph" w:styleId="914" w:customStyle="1">
    <w:name w:val="标题 61"/>
    <w:basedOn w:val="730"/>
    <w:next w:val="730"/>
    <w:link w:val="934"/>
    <w:uiPriority w:val="0"/>
    <w:qFormat/>
    <w:pPr>
      <w:keepLines/>
      <w:keepNext/>
      <w:spacing w:before="240" w:after="64" w:line="320" w:lineRule="auto"/>
      <w:outlineLvl w:val="5"/>
    </w:pPr>
    <w:rPr>
      <w:rFonts w:ascii="Arial" w:hAnsi="Arial" w:eastAsia="黑体"/>
      <w:b/>
      <w:bCs/>
      <w:sz w:val="20"/>
      <w:szCs w:val="20"/>
    </w:rPr>
  </w:style>
  <w:style w:type="character" w:styleId="915" w:customStyle="1">
    <w:name w:val="默认段落字体1"/>
    <w:link w:val="730"/>
    <w:uiPriority w:val="0"/>
    <w:semiHidden/>
    <w:qFormat/>
  </w:style>
  <w:style w:type="table" w:styleId="916"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sz w:val="20"/>
      <w:szCs w:val="20"/>
    </w:rPr>
    <w:tblPr/>
  </w:style>
  <w:style w:type="character" w:styleId="917" w:customStyle="1">
    <w:name w:val="超链接1"/>
    <w:basedOn w:val="915"/>
    <w:link w:val="730"/>
    <w:uiPriority w:val="0"/>
    <w:qFormat/>
    <w:rPr>
      <w:color w:val="333333"/>
      <w:u w:val="none"/>
    </w:rPr>
  </w:style>
  <w:style w:type="character" w:styleId="918" w:customStyle="1">
    <w:name w:val="批注引用1"/>
    <w:link w:val="730"/>
    <w:uiPriority w:val="0"/>
    <w:qFormat/>
    <w:rPr>
      <w:sz w:val="21"/>
      <w:szCs w:val="21"/>
    </w:rPr>
  </w:style>
  <w:style w:type="character" w:styleId="919" w:customStyle="1">
    <w:name w:val="已访问的超链接1"/>
    <w:link w:val="730"/>
    <w:uiPriority w:val="0"/>
    <w:qFormat/>
    <w:rPr>
      <w:rFonts w:ascii="Verdana" w:hAnsi="Verdana"/>
      <w:color w:val="000000"/>
      <w:sz w:val="20"/>
      <w:szCs w:val="20"/>
      <w:u w:val="none"/>
      <w:lang w:eastAsia="en-US"/>
    </w:rPr>
  </w:style>
  <w:style w:type="character" w:styleId="920" w:customStyle="1">
    <w:name w:val="页码1"/>
    <w:basedOn w:val="915"/>
    <w:link w:val="730"/>
    <w:uiPriority w:val="0"/>
    <w:qFormat/>
    <w:rPr>
      <w:rFonts w:ascii="Verdana" w:hAnsi="Verdana"/>
      <w:sz w:val="20"/>
      <w:szCs w:val="20"/>
      <w:lang w:eastAsia="en-US"/>
    </w:rPr>
  </w:style>
  <w:style w:type="character" w:styleId="921" w:customStyle="1">
    <w:name w:val="页码2"/>
    <w:basedOn w:val="915"/>
    <w:link w:val="730"/>
    <w:uiPriority w:val="0"/>
    <w:qFormat/>
  </w:style>
  <w:style w:type="character" w:styleId="922" w:customStyle="1">
    <w:name w:val="font91"/>
    <w:basedOn w:val="915"/>
    <w:link w:val="730"/>
    <w:uiPriority w:val="0"/>
    <w:qFormat/>
    <w:rPr>
      <w:rFonts w:ascii="宋体" w:hAnsi="宋体" w:eastAsia="宋体"/>
      <w:color w:val="000000"/>
      <w:sz w:val="21"/>
      <w:szCs w:val="21"/>
      <w:u w:val="none"/>
    </w:rPr>
  </w:style>
  <w:style w:type="character" w:styleId="923" w:customStyle="1">
    <w:name w:val="批注文字 Char"/>
    <w:link w:val="924"/>
    <w:uiPriority w:val="0"/>
    <w:qFormat/>
    <w:rPr>
      <w:sz w:val="21"/>
      <w:szCs w:val="24"/>
    </w:rPr>
  </w:style>
  <w:style w:type="paragraph" w:styleId="924" w:customStyle="1">
    <w:name w:val="批注文字1"/>
    <w:basedOn w:val="730"/>
    <w:link w:val="923"/>
    <w:uiPriority w:val="0"/>
    <w:qFormat/>
    <w:pPr>
      <w:jc w:val="left"/>
    </w:pPr>
  </w:style>
  <w:style w:type="character" w:styleId="925" w:customStyle="1">
    <w:name w:val="列出段落 Char"/>
    <w:link w:val="926"/>
    <w:uiPriority w:val="0"/>
    <w:qFormat/>
    <w:rPr>
      <w:rFonts w:ascii="Calibri" w:hAnsi="Calibri" w:eastAsia="宋体"/>
      <w:sz w:val="21"/>
      <w:szCs w:val="22"/>
      <w:lang w:val="en-US" w:eastAsia="zh-CN" w:bidi="ar-SA"/>
    </w:rPr>
  </w:style>
  <w:style w:type="paragraph" w:styleId="926" w:customStyle="1">
    <w:name w:val="列出段落"/>
    <w:basedOn w:val="730"/>
    <w:link w:val="925"/>
    <w:uiPriority w:val="0"/>
    <w:qFormat/>
    <w:pPr>
      <w:ind w:firstLine="420"/>
    </w:pPr>
    <w:rPr>
      <w:rFonts w:ascii="Calibri" w:hAnsi="Calibri"/>
      <w:sz w:val="22"/>
      <w:szCs w:val="22"/>
    </w:rPr>
  </w:style>
  <w:style w:type="character" w:styleId="927" w:customStyle="1">
    <w:name w:val="font141"/>
    <w:link w:val="730"/>
    <w:uiPriority w:val="0"/>
    <w:qFormat/>
    <w:rPr>
      <w:rFonts w:ascii="宋体" w:hAnsi="宋体" w:eastAsia="宋体"/>
      <w:color w:val="ff0000"/>
      <w:sz w:val="20"/>
      <w:szCs w:val="20"/>
      <w:u w:val="none"/>
    </w:rPr>
  </w:style>
  <w:style w:type="character" w:styleId="928" w:customStyle="1">
    <w:name w:val="页眉 Char"/>
    <w:link w:val="929"/>
    <w:uiPriority w:val="0"/>
    <w:qFormat/>
    <w:rPr>
      <w:sz w:val="18"/>
      <w:szCs w:val="18"/>
    </w:rPr>
  </w:style>
  <w:style w:type="paragraph" w:styleId="929" w:customStyle="1">
    <w:name w:val="页眉1"/>
    <w:basedOn w:val="730"/>
    <w:link w:val="928"/>
    <w:uiPriority w:val="0"/>
    <w:qFormat/>
    <w:pPr>
      <w:jc w:val="center"/>
      <w:tabs>
        <w:tab w:val="center" w:pos="4153" w:leader="none"/>
        <w:tab w:val="right" w:pos="8306" w:leader="none"/>
      </w:tabs>
      <w:pBdr>
        <w:bottom w:val="single" w:color="000000" w:sz="6" w:space="1"/>
      </w:pBdr>
    </w:pPr>
    <w:rPr>
      <w:sz w:val="18"/>
      <w:szCs w:val="18"/>
    </w:rPr>
  </w:style>
  <w:style w:type="character" w:styleId="930" w:customStyle="1">
    <w:name w:val="tit2"/>
    <w:link w:val="730"/>
    <w:uiPriority w:val="0"/>
    <w:qFormat/>
    <w:rPr>
      <w:b/>
      <w:bCs/>
      <w:sz w:val="48"/>
      <w:szCs w:val="48"/>
    </w:rPr>
  </w:style>
  <w:style w:type="character" w:styleId="931" w:customStyle="1">
    <w:name w:val="style1"/>
    <w:basedOn w:val="915"/>
    <w:link w:val="730"/>
    <w:uiPriority w:val="0"/>
    <w:qFormat/>
  </w:style>
  <w:style w:type="character" w:styleId="932" w:customStyle="1">
    <w:name w:val="强调1"/>
    <w:link w:val="730"/>
    <w:uiPriority w:val="0"/>
    <w:qFormat/>
    <w:rPr>
      <w:i/>
      <w:iCs/>
    </w:rPr>
  </w:style>
  <w:style w:type="character" w:styleId="933" w:customStyle="1">
    <w:name w:val="标题 4 Char"/>
    <w:basedOn w:val="915"/>
    <w:link w:val="732"/>
    <w:uiPriority w:val="0"/>
    <w:semiHidden/>
    <w:qFormat/>
    <w:rPr>
      <w:rFonts w:ascii="Cambria" w:hAnsi="Cambria" w:eastAsia="宋体"/>
      <w:b/>
      <w:bCs/>
      <w:sz w:val="28"/>
      <w:szCs w:val="28"/>
    </w:rPr>
  </w:style>
  <w:style w:type="character" w:styleId="934" w:customStyle="1">
    <w:name w:val="标题 6 Char"/>
    <w:basedOn w:val="915"/>
    <w:link w:val="914"/>
    <w:uiPriority w:val="0"/>
    <w:qFormat/>
    <w:rPr>
      <w:rFonts w:ascii="Arial" w:hAnsi="Arial" w:eastAsia="黑体"/>
      <w:b/>
      <w:bCs/>
      <w:sz w:val="21"/>
    </w:rPr>
  </w:style>
  <w:style w:type="character" w:styleId="935" w:customStyle="1">
    <w:name w:val="标题 1 Char"/>
    <w:basedOn w:val="915"/>
    <w:link w:val="910"/>
    <w:uiPriority w:val="0"/>
    <w:qFormat/>
    <w:rPr>
      <w:b/>
      <w:bCs/>
      <w:sz w:val="44"/>
      <w:szCs w:val="44"/>
    </w:rPr>
  </w:style>
  <w:style w:type="character" w:styleId="936" w:customStyle="1">
    <w:name w:val="纯文本 Char"/>
    <w:link w:val="937"/>
    <w:uiPriority w:val="0"/>
    <w:qFormat/>
    <w:rPr>
      <w:rFonts w:ascii="宋体" w:hAnsi="Courier New"/>
      <w:sz w:val="21"/>
    </w:rPr>
  </w:style>
  <w:style w:type="paragraph" w:styleId="937" w:customStyle="1">
    <w:name w:val="纯文本11"/>
    <w:basedOn w:val="730"/>
    <w:link w:val="936"/>
    <w:uiPriority w:val="0"/>
    <w:qFormat/>
    <w:rPr>
      <w:rFonts w:ascii="宋体" w:hAnsi="Courier New"/>
      <w:sz w:val="20"/>
      <w:szCs w:val="20"/>
    </w:rPr>
  </w:style>
  <w:style w:type="character" w:styleId="938" w:customStyle="1">
    <w:name w:val="二级目录 Char Char"/>
    <w:link w:val="939"/>
    <w:uiPriority w:val="0"/>
    <w:qFormat/>
    <w:rPr>
      <w:b/>
      <w:sz w:val="30"/>
      <w:szCs w:val="28"/>
      <w:lang w:val="en-US" w:eastAsia="zh-CN" w:bidi="ar-SA"/>
    </w:rPr>
  </w:style>
  <w:style w:type="paragraph" w:styleId="939" w:customStyle="1">
    <w:name w:val="二级目录"/>
    <w:next w:val="730"/>
    <w:link w:val="938"/>
    <w:uiPriority w:val="0"/>
    <w:qFormat/>
    <w:pPr>
      <w:numPr>
        <w:ilvl w:val="0"/>
        <w:numId w:val="1"/>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940" w:customStyle="1">
    <w:name w:val="font41"/>
    <w:basedOn w:val="915"/>
    <w:link w:val="730"/>
    <w:uiPriority w:val="0"/>
    <w:qFormat/>
    <w:rPr>
      <w:rFonts w:ascii="宋体" w:hAnsi="宋体" w:eastAsia="宋体"/>
      <w:color w:val="000000"/>
      <w:sz w:val="20"/>
      <w:szCs w:val="20"/>
      <w:u w:val="none"/>
    </w:rPr>
  </w:style>
  <w:style w:type="character" w:styleId="941" w:customStyle="1">
    <w:name w:val="正文文本 3 Char"/>
    <w:basedOn w:val="915"/>
    <w:link w:val="942"/>
    <w:uiPriority w:val="0"/>
    <w:qFormat/>
    <w:rPr>
      <w:rFonts w:ascii="楷体_GB2312" w:hAnsi="Arial" w:eastAsia="楷体_GB2312"/>
      <w:b/>
      <w:bCs/>
      <w:color w:val="000000"/>
      <w:sz w:val="24"/>
    </w:rPr>
  </w:style>
  <w:style w:type="paragraph" w:styleId="942" w:customStyle="1">
    <w:name w:val="正文文本 31"/>
    <w:basedOn w:val="730"/>
    <w:link w:val="941"/>
    <w:uiPriority w:val="0"/>
    <w:qFormat/>
    <w:rPr>
      <w:rFonts w:ascii="楷体_GB2312" w:hAnsi="Arial" w:eastAsia="楷体_GB2312"/>
      <w:b/>
      <w:bCs/>
      <w:color w:val="000000"/>
      <w:sz w:val="24"/>
      <w:szCs w:val="20"/>
    </w:rPr>
  </w:style>
  <w:style w:type="character" w:styleId="943" w:customStyle="1">
    <w:name w:val="font11"/>
    <w:link w:val="730"/>
    <w:uiPriority w:val="0"/>
    <w:qFormat/>
    <w:rPr>
      <w:rFonts w:ascii="宋体" w:hAnsi="宋体" w:eastAsia="宋体"/>
      <w:b/>
      <w:color w:val="000000"/>
      <w:sz w:val="20"/>
      <w:szCs w:val="20"/>
      <w:u w:val="none"/>
    </w:rPr>
  </w:style>
  <w:style w:type="character" w:styleId="944" w:customStyle="1">
    <w:name w:val="z-窗体顶端 Char"/>
    <w:basedOn w:val="915"/>
    <w:link w:val="945"/>
    <w:uiPriority w:val="0"/>
    <w:qFormat/>
    <w:rPr>
      <w:sz w:val="21"/>
    </w:rPr>
  </w:style>
  <w:style w:type="paragraph" w:styleId="945" w:customStyle="1">
    <w:name w:val="z-窗体顶端"/>
    <w:basedOn w:val="730"/>
    <w:link w:val="944"/>
    <w:uiPriority w:val="0"/>
    <w:qFormat/>
    <w:pPr>
      <w:ind w:firstLine="420"/>
    </w:pPr>
    <w:rPr>
      <w:sz w:val="20"/>
      <w:szCs w:val="20"/>
    </w:rPr>
  </w:style>
  <w:style w:type="character" w:styleId="946" w:customStyle="1">
    <w:name w:val="displayarti"/>
    <w:link w:val="730"/>
    <w:uiPriority w:val="0"/>
    <w:qFormat/>
    <w:rPr>
      <w:rFonts w:ascii="Verdana" w:hAnsi="Verdana"/>
      <w:color w:val="ffffff"/>
      <w:sz w:val="20"/>
      <w:szCs w:val="20"/>
      <w:shd w:val="clear" w:color="auto" w:fill="a00000"/>
      <w:lang w:eastAsia="en-US"/>
    </w:rPr>
  </w:style>
  <w:style w:type="character" w:styleId="947" w:customStyle="1">
    <w:name w:val="日期 Char"/>
    <w:basedOn w:val="915"/>
    <w:link w:val="948"/>
    <w:uiPriority w:val="0"/>
    <w:qFormat/>
    <w:rPr>
      <w:rFonts w:eastAsia="仿宋_GB2312"/>
      <w:sz w:val="28"/>
    </w:rPr>
  </w:style>
  <w:style w:type="paragraph" w:styleId="948" w:customStyle="1">
    <w:name w:val="日期1"/>
    <w:basedOn w:val="730"/>
    <w:next w:val="730"/>
    <w:link w:val="947"/>
    <w:uiPriority w:val="0"/>
    <w:qFormat/>
    <w:rPr>
      <w:rFonts w:eastAsia="仿宋_GB2312"/>
      <w:sz w:val="28"/>
      <w:szCs w:val="20"/>
    </w:rPr>
  </w:style>
  <w:style w:type="character" w:styleId="949" w:customStyle="1">
    <w:name w:val="正文文本缩进 2 Char"/>
    <w:basedOn w:val="915"/>
    <w:link w:val="950"/>
    <w:uiPriority w:val="0"/>
    <w:qFormat/>
    <w:rPr>
      <w:rFonts w:ascii="仿宋_GB2312" w:eastAsia="仿宋_GB2312"/>
      <w:sz w:val="24"/>
      <w:szCs w:val="24"/>
    </w:rPr>
  </w:style>
  <w:style w:type="paragraph" w:styleId="950" w:customStyle="1">
    <w:name w:val="正文文本缩进 21"/>
    <w:basedOn w:val="730"/>
    <w:link w:val="949"/>
    <w:uiPriority w:val="0"/>
    <w:qFormat/>
    <w:pPr>
      <w:ind w:firstLine="475"/>
      <w:spacing w:line="10" w:lineRule="atLeast"/>
    </w:pPr>
    <w:rPr>
      <w:rFonts w:ascii="仿宋_GB2312" w:eastAsia="仿宋_GB2312"/>
      <w:sz w:val="24"/>
    </w:rPr>
  </w:style>
  <w:style w:type="character" w:styleId="951" w:customStyle="1">
    <w:name w:val="font21"/>
    <w:link w:val="730"/>
    <w:uiPriority w:val="0"/>
    <w:qFormat/>
    <w:rPr>
      <w:rFonts w:ascii="宋体" w:hAnsi="宋体" w:eastAsia="宋体"/>
      <w:color w:val="000000"/>
      <w:sz w:val="20"/>
      <w:szCs w:val="20"/>
      <w:u w:val="none"/>
    </w:rPr>
  </w:style>
  <w:style w:type="character" w:styleId="952" w:customStyle="1">
    <w:name w:val="gpa"/>
    <w:link w:val="730"/>
    <w:uiPriority w:val="0"/>
    <w:qFormat/>
    <w:rPr>
      <w:rFonts w:ascii="Arial" w:hAnsi="Arial"/>
      <w:sz w:val="15"/>
      <w:szCs w:val="15"/>
      <w:lang w:eastAsia="en-US"/>
    </w:rPr>
  </w:style>
  <w:style w:type="character" w:styleId="953" w:customStyle="1">
    <w:name w:val="f141"/>
    <w:link w:val="730"/>
    <w:uiPriority w:val="0"/>
    <w:qFormat/>
    <w:rPr>
      <w:sz w:val="21"/>
      <w:szCs w:val="21"/>
    </w:rPr>
  </w:style>
  <w:style w:type="character" w:styleId="954" w:customStyle="1">
    <w:name w:val="font151"/>
    <w:link w:val="730"/>
    <w:uiPriority w:val="0"/>
    <w:qFormat/>
    <w:rPr>
      <w:rFonts w:ascii="宋体" w:hAnsi="宋体" w:eastAsia="宋体"/>
      <w:b/>
      <w:color w:val="000000"/>
      <w:sz w:val="20"/>
      <w:szCs w:val="20"/>
      <w:u w:val="none"/>
    </w:rPr>
  </w:style>
  <w:style w:type="character" w:styleId="955" w:customStyle="1">
    <w:name w:val="标题 3 Char"/>
    <w:basedOn w:val="915"/>
    <w:link w:val="911"/>
    <w:uiPriority w:val="0"/>
    <w:qFormat/>
    <w:rPr>
      <w:b/>
      <w:bCs/>
      <w:sz w:val="32"/>
      <w:szCs w:val="32"/>
    </w:rPr>
  </w:style>
  <w:style w:type="character" w:styleId="956" w:customStyle="1">
    <w:name w:val="标题 2 Char"/>
    <w:link w:val="760"/>
    <w:uiPriority w:val="0"/>
    <w:qFormat/>
    <w:rPr>
      <w:rFonts w:ascii="Arial" w:hAnsi="Arial" w:eastAsia="黑体"/>
      <w:sz w:val="32"/>
      <w:szCs w:val="32"/>
      <w:lang w:val="en-US" w:eastAsia="zh-CN" w:bidi="ar-SA"/>
    </w:rPr>
  </w:style>
  <w:style w:type="character" w:styleId="957" w:customStyle="1">
    <w:name w:val="正文文本 Char"/>
    <w:link w:val="731"/>
    <w:uiPriority w:val="0"/>
    <w:qFormat/>
    <w:rPr>
      <w:sz w:val="21"/>
      <w:szCs w:val="24"/>
    </w:rPr>
  </w:style>
  <w:style w:type="character" w:styleId="958" w:customStyle="1">
    <w:name w:val="文档结构图 Char"/>
    <w:basedOn w:val="915"/>
    <w:link w:val="959"/>
    <w:uiPriority w:val="0"/>
    <w:qFormat/>
    <w:rPr>
      <w:sz w:val="21"/>
      <w:shd w:val="clear" w:color="auto" w:fill="000080"/>
    </w:rPr>
  </w:style>
  <w:style w:type="paragraph" w:styleId="959" w:customStyle="1">
    <w:name w:val="文档结构图1"/>
    <w:basedOn w:val="730"/>
    <w:link w:val="958"/>
    <w:uiPriority w:val="0"/>
    <w:qFormat/>
    <w:pPr>
      <w:shd w:val="clear" w:color="auto" w:fill="000080"/>
    </w:pPr>
    <w:rPr>
      <w:sz w:val="20"/>
      <w:szCs w:val="20"/>
    </w:rPr>
  </w:style>
  <w:style w:type="character" w:styleId="960" w:customStyle="1">
    <w:name w:val="m1"/>
    <w:basedOn w:val="915"/>
    <w:link w:val="730"/>
    <w:uiPriority w:val="0"/>
    <w:qFormat/>
    <w:rPr>
      <w:color w:val="0000ff"/>
    </w:rPr>
  </w:style>
  <w:style w:type="character" w:styleId="961" w:customStyle="1">
    <w:name w:val="apple-converted-space"/>
    <w:basedOn w:val="915"/>
    <w:link w:val="730"/>
    <w:uiPriority w:val="0"/>
    <w:qFormat/>
  </w:style>
  <w:style w:type="character" w:styleId="962" w:customStyle="1">
    <w:name w:val="批注框文本 Char"/>
    <w:link w:val="963"/>
    <w:uiPriority w:val="0"/>
    <w:qFormat/>
    <w:rPr>
      <w:sz w:val="18"/>
      <w:szCs w:val="18"/>
    </w:rPr>
  </w:style>
  <w:style w:type="paragraph" w:styleId="963" w:customStyle="1">
    <w:name w:val="批注框文本1"/>
    <w:basedOn w:val="730"/>
    <w:link w:val="962"/>
    <w:uiPriority w:val="0"/>
    <w:qFormat/>
    <w:rPr>
      <w:sz w:val="18"/>
      <w:szCs w:val="18"/>
    </w:rPr>
  </w:style>
  <w:style w:type="character" w:styleId="964" w:customStyle="1">
    <w:name w:val="font01"/>
    <w:basedOn w:val="915"/>
    <w:link w:val="730"/>
    <w:uiPriority w:val="0"/>
    <w:qFormat/>
    <w:rPr>
      <w:rFonts w:ascii="Times New Roman" w:hAnsi="Times New Roman"/>
      <w:color w:val="000000"/>
      <w:sz w:val="21"/>
      <w:szCs w:val="21"/>
      <w:u w:val="none"/>
    </w:rPr>
  </w:style>
  <w:style w:type="character" w:styleId="965" w:customStyle="1">
    <w:name w:val="正文文本缩进 Char"/>
    <w:basedOn w:val="915"/>
    <w:link w:val="966"/>
    <w:uiPriority w:val="0"/>
    <w:qFormat/>
    <w:rPr>
      <w:rFonts w:ascii="楷体_GB2312" w:eastAsia="楷体_GB2312"/>
      <w:sz w:val="32"/>
    </w:rPr>
  </w:style>
  <w:style w:type="paragraph" w:styleId="966" w:customStyle="1">
    <w:name w:val="正文文本缩进1"/>
    <w:basedOn w:val="730"/>
    <w:next w:val="967"/>
    <w:link w:val="965"/>
    <w:uiPriority w:val="0"/>
    <w:qFormat/>
    <w:pPr>
      <w:ind w:firstLine="630"/>
    </w:pPr>
    <w:rPr>
      <w:rFonts w:ascii="楷体_GB2312" w:eastAsia="楷体_GB2312"/>
      <w:sz w:val="32"/>
      <w:szCs w:val="20"/>
    </w:rPr>
  </w:style>
  <w:style w:type="paragraph" w:styleId="967" w:customStyle="1">
    <w:name w:val="寄信人地址1"/>
    <w:basedOn w:val="730"/>
    <w:uiPriority w:val="0"/>
    <w:qFormat/>
    <w:rPr>
      <w:rFonts w:ascii="Arial" w:hAnsi="Arial"/>
    </w:rPr>
  </w:style>
  <w:style w:type="character" w:styleId="968" w:customStyle="1">
    <w:name w:val="纯文本 字符"/>
    <w:link w:val="730"/>
    <w:uiPriority w:val="0"/>
    <w:qFormat/>
    <w:rPr>
      <w:rFonts w:ascii="宋体" w:hAnsi="Courier New"/>
      <w:sz w:val="24"/>
      <w:szCs w:val="21"/>
    </w:rPr>
  </w:style>
  <w:style w:type="character" w:styleId="969" w:customStyle="1">
    <w:name w:val="批注主题 Char"/>
    <w:link w:val="970"/>
    <w:uiPriority w:val="0"/>
    <w:qFormat/>
    <w:rPr>
      <w:b/>
      <w:bCs/>
      <w:sz w:val="21"/>
      <w:szCs w:val="24"/>
    </w:rPr>
  </w:style>
  <w:style w:type="paragraph" w:styleId="970" w:customStyle="1">
    <w:name w:val="批注主题1"/>
    <w:basedOn w:val="924"/>
    <w:next w:val="924"/>
    <w:link w:val="969"/>
    <w:uiPriority w:val="0"/>
    <w:qFormat/>
    <w:rPr>
      <w:b/>
      <w:bCs/>
    </w:rPr>
  </w:style>
  <w:style w:type="character" w:styleId="971" w:customStyle="1">
    <w:name w:val="正文缩进 Char"/>
    <w:link w:val="912"/>
    <w:uiPriority w:val="0"/>
    <w:qFormat/>
    <w:rPr>
      <w:sz w:val="21"/>
      <w:szCs w:val="24"/>
    </w:rPr>
  </w:style>
  <w:style w:type="character" w:styleId="972" w:customStyle="1">
    <w:name w:val="页脚 Char"/>
    <w:link w:val="742"/>
    <w:uiPriority w:val="0"/>
    <w:qFormat/>
    <w:rPr>
      <w:sz w:val="18"/>
      <w:szCs w:val="18"/>
    </w:rPr>
  </w:style>
  <w:style w:type="character" w:styleId="973" w:customStyle="1">
    <w:name w:val="Comment Text Char"/>
    <w:link w:val="730"/>
    <w:uiPriority w:val="0"/>
    <w:qFormat/>
    <w:rPr>
      <w:rFonts w:ascii="Calibri" w:hAnsi="Calibri" w:eastAsia="宋体"/>
      <w:sz w:val="22"/>
      <w:szCs w:val="22"/>
      <w:lang w:eastAsia="en-US"/>
    </w:rPr>
  </w:style>
  <w:style w:type="character" w:styleId="974" w:customStyle="1">
    <w:name w:val="HTML 预设格式 Char"/>
    <w:basedOn w:val="915"/>
    <w:link w:val="975"/>
    <w:uiPriority w:val="0"/>
    <w:qFormat/>
    <w:rPr>
      <w:rFonts w:ascii="宋体" w:hAnsi="宋体"/>
      <w:sz w:val="24"/>
    </w:rPr>
  </w:style>
  <w:style w:type="paragraph" w:styleId="975" w:customStyle="1">
    <w:name w:val="HTML 预设格式1"/>
    <w:basedOn w:val="730"/>
    <w:link w:val="9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character" w:styleId="976" w:customStyle="1">
    <w:name w:val="bsharetext"/>
    <w:basedOn w:val="915"/>
    <w:link w:val="730"/>
    <w:uiPriority w:val="0"/>
    <w:qFormat/>
  </w:style>
  <w:style w:type="character" w:styleId="977" w:customStyle="1">
    <w:name w:val="列出段落 Char Char"/>
    <w:link w:val="978"/>
    <w:uiPriority w:val="0"/>
    <w:qFormat/>
    <w:rPr>
      <w:sz w:val="21"/>
      <w:szCs w:val="24"/>
    </w:rPr>
  </w:style>
  <w:style w:type="paragraph" w:styleId="978" w:customStyle="1">
    <w:name w:val="列出段落1"/>
    <w:basedOn w:val="730"/>
    <w:link w:val="977"/>
    <w:uiPriority w:val="0"/>
    <w:qFormat/>
    <w:pPr>
      <w:ind w:firstLine="420"/>
    </w:pPr>
  </w:style>
  <w:style w:type="character" w:styleId="979" w:customStyle="1">
    <w:name w:val="正文文本缩进 3 Char"/>
    <w:basedOn w:val="915"/>
    <w:link w:val="980"/>
    <w:uiPriority w:val="0"/>
    <w:qFormat/>
    <w:rPr>
      <w:sz w:val="24"/>
    </w:rPr>
  </w:style>
  <w:style w:type="paragraph" w:styleId="980" w:customStyle="1">
    <w:name w:val="正文文本缩进 31"/>
    <w:basedOn w:val="730"/>
    <w:link w:val="979"/>
    <w:uiPriority w:val="0"/>
    <w:qFormat/>
    <w:pPr>
      <w:ind w:left="360"/>
      <w:spacing w:line="400" w:lineRule="exact"/>
    </w:pPr>
    <w:rPr>
      <w:sz w:val="24"/>
      <w:szCs w:val="20"/>
    </w:rPr>
  </w:style>
  <w:style w:type="character" w:styleId="981" w:customStyle="1">
    <w:name w:val="selected"/>
    <w:link w:val="730"/>
    <w:uiPriority w:val="0"/>
    <w:qFormat/>
    <w:rPr>
      <w:rFonts w:ascii="Verdana" w:hAnsi="Verdana"/>
      <w:sz w:val="20"/>
      <w:szCs w:val="20"/>
      <w:shd w:val="clear" w:color="auto" w:fill="b00006"/>
      <w:lang w:eastAsia="en-US"/>
    </w:rPr>
  </w:style>
  <w:style w:type="character" w:styleId="982" w:customStyle="1">
    <w:name w:val="正文文本 2 Char"/>
    <w:basedOn w:val="915"/>
    <w:link w:val="753"/>
    <w:uiPriority w:val="0"/>
    <w:qFormat/>
    <w:rPr>
      <w:sz w:val="21"/>
    </w:rPr>
  </w:style>
  <w:style w:type="character" w:styleId="983" w:customStyle="1">
    <w:name w:val="标题 5 Char"/>
    <w:basedOn w:val="915"/>
    <w:link w:val="913"/>
    <w:uiPriority w:val="0"/>
    <w:qFormat/>
    <w:rPr>
      <w:b/>
      <w:bCs/>
      <w:sz w:val="28"/>
      <w:szCs w:val="28"/>
    </w:rPr>
  </w:style>
  <w:style w:type="paragraph" w:styleId="984" w:customStyle="1">
    <w:name w:val="目录 81"/>
    <w:basedOn w:val="730"/>
    <w:next w:val="730"/>
    <w:uiPriority w:val="0"/>
    <w:qFormat/>
    <w:pPr>
      <w:ind w:left="2940"/>
    </w:pPr>
  </w:style>
  <w:style w:type="paragraph" w:styleId="985" w:customStyle="1">
    <w:name w:val="目录 21"/>
    <w:basedOn w:val="730"/>
    <w:next w:val="730"/>
    <w:uiPriority w:val="0"/>
    <w:qFormat/>
    <w:pPr>
      <w:ind w:left="420"/>
    </w:pPr>
    <w:rPr>
      <w:sz w:val="20"/>
      <w:szCs w:val="20"/>
    </w:rPr>
  </w:style>
  <w:style w:type="paragraph" w:styleId="986" w:customStyle="1">
    <w:name w:val="目录 111"/>
    <w:basedOn w:val="730"/>
    <w:next w:val="749"/>
    <w:uiPriority w:val="0"/>
    <w:qFormat/>
  </w:style>
  <w:style w:type="paragraph" w:styleId="987" w:customStyle="1">
    <w:name w:val="文本块11"/>
    <w:basedOn w:val="988"/>
    <w:uiPriority w:val="0"/>
    <w:qFormat/>
    <w:pPr>
      <w:ind w:left="420" w:right="33"/>
      <w:jc w:val="left"/>
    </w:pPr>
    <w:rPr>
      <w:sz w:val="24"/>
      <w:szCs w:val="20"/>
    </w:rPr>
  </w:style>
  <w:style w:type="paragraph" w:styleId="988" w:customStyle="1">
    <w:name w:val="正文12"/>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正文首行缩进111"/>
    <w:basedOn w:val="731"/>
    <w:uiPriority w:val="0"/>
    <w:qFormat/>
    <w:pPr>
      <w:ind w:firstLine="420"/>
      <w:spacing w:after="120"/>
    </w:pPr>
    <w:rPr>
      <w:rFonts w:ascii="Times New Roman" w:eastAsia="宋体"/>
      <w:sz w:val="24"/>
      <w:szCs w:val="24"/>
    </w:rPr>
  </w:style>
  <w:style w:type="paragraph" w:styleId="990" w:customStyle="1">
    <w:name w:val="目录 31"/>
    <w:basedOn w:val="730"/>
    <w:next w:val="730"/>
    <w:uiPriority w:val="0"/>
    <w:qFormat/>
    <w:pPr>
      <w:ind w:left="840"/>
    </w:pPr>
    <w:rPr>
      <w:sz w:val="20"/>
      <w:szCs w:val="20"/>
    </w:rPr>
  </w:style>
  <w:style w:type="paragraph" w:styleId="991" w:customStyle="1">
    <w:name w:val="纯文本2"/>
    <w:basedOn w:val="730"/>
    <w:uiPriority w:val="0"/>
    <w:qFormat/>
    <w:pPr>
      <w:spacing w:line="360" w:lineRule="auto"/>
    </w:pPr>
    <w:rPr>
      <w:rFonts w:ascii="宋体" w:hAnsi="Courier New"/>
      <w:sz w:val="20"/>
      <w:szCs w:val="20"/>
    </w:rPr>
  </w:style>
  <w:style w:type="paragraph" w:styleId="992" w:customStyle="1">
    <w:name w:val=" Char Char Char Char Char Char Char Char Char Char"/>
    <w:basedOn w:val="730"/>
    <w:uiPriority w:val="0"/>
    <w:qFormat/>
    <w:pPr>
      <w:jc w:val="left"/>
      <w:spacing w:after="160" w:line="240" w:lineRule="exact"/>
      <w:widowControl/>
    </w:pPr>
    <w:rPr>
      <w:rFonts w:ascii="Verdana" w:hAnsi="Verdana" w:eastAsia="仿宋_GB2312"/>
      <w:sz w:val="24"/>
      <w:szCs w:val="20"/>
      <w:lang w:eastAsia="en-US"/>
    </w:rPr>
  </w:style>
  <w:style w:type="paragraph" w:styleId="993" w:customStyle="1">
    <w:name w:val="ft00"/>
    <w:basedOn w:val="730"/>
    <w:uiPriority w:val="0"/>
    <w:qFormat/>
    <w:pPr>
      <w:jc w:val="left"/>
      <w:spacing w:before="100" w:beforeAutospacing="1" w:after="100" w:afterAutospacing="1"/>
      <w:widowControl/>
    </w:pPr>
    <w:rPr>
      <w:rFonts w:ascii="宋体" w:hAnsi="宋体"/>
      <w:sz w:val="24"/>
    </w:rPr>
  </w:style>
  <w:style w:type="paragraph" w:styleId="994" w:customStyle="1">
    <w:name w:val="正文首行缩进 21"/>
    <w:basedOn w:val="995"/>
    <w:uiPriority w:val="0"/>
    <w:qFormat/>
    <w:pPr>
      <w:ind w:firstLine="420"/>
    </w:pPr>
  </w:style>
  <w:style w:type="paragraph" w:styleId="995" w:customStyle="1">
    <w:name w:val="正文文本缩进12"/>
    <w:basedOn w:val="696"/>
    <w:next w:val="996"/>
    <w:uiPriority w:val="0"/>
    <w:qFormat/>
    <w:pPr>
      <w:ind w:left="420"/>
      <w:spacing w:after="120"/>
    </w:pPr>
    <w:rPr>
      <w:sz w:val="24"/>
    </w:rPr>
  </w:style>
  <w:style w:type="paragraph" w:styleId="996" w:customStyle="1">
    <w:name w:val="寄信人地址11"/>
    <w:basedOn w:val="696"/>
    <w:uiPriority w:val="0"/>
    <w:qFormat/>
    <w:rPr>
      <w:rFonts w:ascii="Arial" w:hAnsi="Arial"/>
    </w:rPr>
  </w:style>
  <w:style w:type="paragraph" w:styleId="997" w:customStyle="1">
    <w:name w:val="正文首行缩进1"/>
    <w:basedOn w:val="757"/>
    <w:next w:val="994"/>
    <w:uiPriority w:val="0"/>
    <w:qFormat/>
    <w:pPr>
      <w:ind w:firstLine="420"/>
      <w:spacing w:after="120"/>
    </w:pPr>
    <w:rPr>
      <w:rFonts w:ascii="Times New Roman" w:eastAsia="宋体"/>
      <w:sz w:val="24"/>
      <w:szCs w:val="24"/>
    </w:rPr>
  </w:style>
  <w:style w:type="paragraph" w:styleId="998">
    <w:name w:val="No Spacing"/>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一级无"/>
    <w:basedOn w:val="730"/>
    <w:uiPriority w:val="0"/>
    <w:qFormat/>
    <w:pPr>
      <w:numPr>
        <w:ilvl w:val="1"/>
        <w:numId w:val="2"/>
      </w:numPr>
      <w:jc w:val="left"/>
      <w:widowControl/>
      <w:tabs>
        <w:tab w:val="left" w:pos="1200" w:leader="none"/>
        <w:tab w:val="left" w:pos="1440" w:leader="none"/>
      </w:tabs>
      <w:outlineLvl w:val="2"/>
    </w:pPr>
    <w:rPr>
      <w:rFonts w:ascii="宋体"/>
      <w:sz w:val="21"/>
      <w:szCs w:val="21"/>
    </w:rPr>
  </w:style>
  <w:style w:type="paragraph" w:styleId="1000" w:customStyle="1">
    <w:name w:val="普通(网站)1"/>
    <w:basedOn w:val="756"/>
    <w:uiPriority w:val="0"/>
    <w:qFormat/>
    <w:pPr>
      <w:jc w:val="left"/>
      <w:spacing w:before="100" w:beforeAutospacing="1" w:after="100" w:afterAutospacing="1"/>
      <w:widowControl/>
    </w:pPr>
    <w:rPr>
      <w:rFonts w:ascii="宋体" w:hAnsi="宋体"/>
      <w:sz w:val="24"/>
    </w:rPr>
  </w:style>
  <w:style w:type="paragraph" w:styleId="1001" w:customStyle="1">
    <w:name w:val="普通(网站)2"/>
    <w:basedOn w:val="730"/>
    <w:uiPriority w:val="0"/>
    <w:qFormat/>
    <w:pPr>
      <w:jc w:val="left"/>
      <w:spacing w:before="100" w:beforeAutospacing="1" w:after="100" w:afterAutospacing="1"/>
      <w:widowControl/>
    </w:pPr>
    <w:rPr>
      <w:rFonts w:ascii="宋体" w:hAnsi="宋体"/>
      <w:sz w:val="24"/>
    </w:rPr>
  </w:style>
  <w:style w:type="paragraph" w:styleId="1002" w:customStyle="1">
    <w:name w:val="p0"/>
    <w:basedOn w:val="730"/>
    <w:uiPriority w:val="0"/>
    <w:qFormat/>
    <w:pPr>
      <w:widowControl/>
    </w:pPr>
    <w:rPr>
      <w:sz w:val="21"/>
      <w:szCs w:val="21"/>
    </w:rPr>
  </w:style>
  <w:style w:type="paragraph" w:styleId="1003" w:customStyle="1">
    <w:name w:val="索引 51"/>
    <w:basedOn w:val="748"/>
    <w:next w:val="748"/>
    <w:uiPriority w:val="0"/>
    <w:qFormat/>
    <w:pPr>
      <w:ind w:left="798"/>
      <w:jc w:val="left"/>
    </w:pPr>
    <w:rPr>
      <w:rFonts w:ascii="Calibri" w:hAnsi="Calibri"/>
    </w:rPr>
  </w:style>
  <w:style w:type="paragraph" w:styleId="1004" w:customStyle="1">
    <w:name w:val="投标文件正文"/>
    <w:basedOn w:val="730"/>
    <w:uiPriority w:val="0"/>
    <w:qFormat/>
    <w:pPr>
      <w:ind w:firstLine="560"/>
      <w:spacing w:line="440" w:lineRule="exact"/>
    </w:pPr>
    <w:rPr>
      <w:rFonts w:ascii="仿宋_GB2312" w:hAnsi="Calibri" w:eastAsia="仿宋_GB2312"/>
      <w:bCs/>
      <w:sz w:val="28"/>
      <w:szCs w:val="28"/>
    </w:rPr>
  </w:style>
  <w:style w:type="paragraph" w:styleId="1005" w:customStyle="1">
    <w:name w:val="Char Char Char Char Char 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06" w:customStyle="1">
    <w:name w:val="TOC 标题1"/>
    <w:basedOn w:val="910"/>
    <w:next w:val="730"/>
    <w:uiPriority w:val="0"/>
    <w:qFormat/>
    <w:pPr>
      <w:jc w:val="left"/>
      <w:spacing w:before="480" w:after="0" w:line="276" w:lineRule="auto"/>
      <w:widowControl/>
      <w:outlineLvl w:val="9"/>
    </w:pPr>
    <w:rPr>
      <w:rFonts w:ascii="Cambria" w:hAnsi="Cambria" w:eastAsia="宋体"/>
      <w:color w:val="365f91"/>
      <w:sz w:val="28"/>
      <w:szCs w:val="28"/>
    </w:rPr>
  </w:style>
  <w:style w:type="paragraph" w:styleId="1007" w:customStyle="1">
    <w:name w:val="列出段落4"/>
    <w:basedOn w:val="730"/>
    <w:uiPriority w:val="0"/>
    <w:qFormat/>
    <w:pPr>
      <w:ind w:firstLine="420"/>
      <w:jc w:val="left"/>
      <w:spacing w:line="360" w:lineRule="auto"/>
    </w:pPr>
    <w:rPr>
      <w:sz w:val="21"/>
      <w:szCs w:val="21"/>
    </w:rPr>
  </w:style>
  <w:style w:type="paragraph" w:styleId="1008" w:customStyle="1">
    <w:name w:val="脚注文本1"/>
    <w:basedOn w:val="1009"/>
    <w:next w:val="1003"/>
    <w:uiPriority w:val="0"/>
    <w:qFormat/>
    <w:pPr>
      <w:jc w:val="left"/>
    </w:pPr>
    <w:rPr>
      <w:rFonts w:ascii="宋体" w:eastAsia="Times New Roman"/>
      <w:sz w:val="18"/>
      <w:szCs w:val="18"/>
    </w:rPr>
  </w:style>
  <w:style w:type="paragraph" w:styleId="1009" w:customStyle="1">
    <w:name w:val="正文1111"/>
    <w:next w:val="10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标题 211"/>
    <w:basedOn w:val="756"/>
    <w:next w:val="1009"/>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101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表格文字"/>
    <w:basedOn w:val="730"/>
    <w:next w:val="1013"/>
    <w:uiPriority w:val="0"/>
    <w:qFormat/>
    <w:pPr>
      <w:jc w:val="left"/>
    </w:pPr>
    <w:rPr>
      <w:bCs/>
      <w:spacing w:val="10"/>
      <w:sz w:val="20"/>
      <w:szCs w:val="20"/>
    </w:rPr>
  </w:style>
  <w:style w:type="paragraph" w:styleId="1013" w:customStyle="1">
    <w:name w:val="正文文本111"/>
    <w:basedOn w:val="696"/>
    <w:next w:val="746"/>
    <w:uiPriority w:val="1"/>
    <w:qFormat/>
    <w:pPr>
      <w:spacing w:after="120"/>
    </w:pPr>
  </w:style>
  <w:style w:type="paragraph" w:styleId="1014" w:customStyle="1">
    <w:name w:val="MM Topic 3"/>
    <w:basedOn w:val="730"/>
    <w:uiPriority w:val="0"/>
    <w:qFormat/>
    <w:pPr>
      <w:keepLines/>
      <w:keepNext/>
      <w:spacing w:before="260" w:after="260" w:line="416" w:lineRule="auto"/>
      <w:outlineLvl w:val="2"/>
    </w:pPr>
    <w:rPr>
      <w:b/>
      <w:bCs/>
      <w:sz w:val="32"/>
      <w:szCs w:val="32"/>
    </w:rPr>
  </w:style>
  <w:style w:type="paragraph" w:styleId="1015" w:customStyle="1">
    <w:name w:val="普通正文"/>
    <w:basedOn w:val="730"/>
    <w:uiPriority w:val="0"/>
    <w:qFormat/>
    <w:pPr>
      <w:ind w:firstLine="480"/>
      <w:jc w:val="left"/>
      <w:spacing w:before="120" w:after="120" w:line="360" w:lineRule="auto"/>
    </w:pPr>
    <w:rPr>
      <w:rFonts w:ascii="Arial" w:hAnsi="Arial"/>
      <w:sz w:val="24"/>
    </w:rPr>
  </w:style>
  <w:style w:type="paragraph" w:styleId="1016" w:customStyle="1">
    <w:name w:val="BodyText"/>
    <w:basedOn w:val="730"/>
    <w:uiPriority w:val="0"/>
    <w:qFormat/>
    <w:pPr>
      <w:jc w:val="both"/>
      <w:spacing w:after="0"/>
    </w:pPr>
    <w:rPr>
      <w:rFonts w:ascii="楷体_GB2312" w:hAnsi="Arial" w:eastAsia="楷体_GB2312"/>
      <w:sz w:val="28"/>
    </w:rPr>
  </w:style>
  <w:style w:type="paragraph" w:styleId="1017" w:customStyle="1">
    <w:name w:val="首行缩进"/>
    <w:basedOn w:val="730"/>
    <w:next w:val="730"/>
    <w:uiPriority w:val="0"/>
    <w:qFormat/>
    <w:pPr>
      <w:ind w:firstLine="480"/>
      <w:spacing w:line="360" w:lineRule="auto"/>
    </w:pPr>
    <w:rPr>
      <w:rFonts w:ascii="宋体" w:hAnsi="宋体"/>
      <w:sz w:val="24"/>
    </w:rPr>
  </w:style>
  <w:style w:type="paragraph" w:styleId="1018" w:customStyle="1">
    <w:name w:val="列出段落2"/>
    <w:basedOn w:val="730"/>
    <w:uiPriority w:val="0"/>
    <w:qFormat/>
    <w:pPr>
      <w:ind w:firstLine="420"/>
    </w:pPr>
    <w:rPr>
      <w:rFonts w:ascii="Arial" w:hAnsi="Arial"/>
      <w:color w:val="000000"/>
      <w:sz w:val="28"/>
      <w:szCs w:val="10"/>
    </w:rPr>
  </w:style>
  <w:style w:type="paragraph" w:styleId="1019" w:customStyle="1">
    <w:name w:val="正文首行缩进11"/>
    <w:basedOn w:val="757"/>
    <w:uiPriority w:val="0"/>
    <w:qFormat/>
    <w:pPr>
      <w:ind w:firstLine="420"/>
      <w:spacing w:after="120"/>
    </w:pPr>
    <w:rPr>
      <w:rFonts w:ascii="Times New Roman" w:eastAsia="宋体"/>
      <w:sz w:val="24"/>
      <w:szCs w:val="24"/>
    </w:rPr>
  </w:style>
  <w:style w:type="paragraph" w:styleId="1020" w:customStyle="1">
    <w:name w:val="_Style 9"/>
    <w:basedOn w:val="730"/>
    <w:uiPriority w:val="0"/>
    <w:qFormat/>
    <w:rPr>
      <w:rFonts w:ascii="Tahoma" w:hAnsi="Tahoma"/>
      <w:sz w:val="24"/>
      <w:szCs w:val="20"/>
    </w:rPr>
  </w:style>
  <w:style w:type="paragraph" w:styleId="1021" w:customStyle="1">
    <w:name w:val="List Paragraph1"/>
    <w:basedOn w:val="730"/>
    <w:uiPriority w:val="0"/>
    <w:qFormat/>
    <w:pPr>
      <w:ind w:firstLine="420"/>
    </w:pPr>
  </w:style>
  <w:style w:type="paragraph" w:styleId="1022" w:customStyle="1">
    <w:name w:val="Char Char Char Char Char Char Char Char Char Char"/>
    <w:basedOn w:val="730"/>
    <w:uiPriority w:val="0"/>
    <w:qFormat/>
    <w:pPr>
      <w:spacing w:line="360" w:lineRule="auto"/>
    </w:pPr>
    <w:rPr>
      <w:sz w:val="24"/>
      <w:szCs w:val="20"/>
    </w:rPr>
  </w:style>
  <w:style w:type="paragraph" w:styleId="1023" w:customStyle="1">
    <w:name w:val="纯文本1"/>
    <w:basedOn w:val="730"/>
    <w:uiPriority w:val="0"/>
    <w:qFormat/>
    <w:rPr>
      <w:rFonts w:ascii="宋体" w:hAnsi="Courier New"/>
      <w:sz w:val="20"/>
      <w:szCs w:val="20"/>
    </w:rPr>
  </w:style>
  <w:style w:type="paragraph" w:styleId="1024" w:customStyle="1">
    <w:name w:val="Char Char1 Char Char Char Char Char Char"/>
    <w:basedOn w:val="730"/>
    <w:uiPriority w:val="0"/>
    <w:qFormat/>
    <w:pPr>
      <w:jc w:val="center"/>
      <w:widowControl/>
    </w:pPr>
    <w:rPr>
      <w:rFonts w:ascii="宋体" w:hAnsi="宋体"/>
      <w:b/>
      <w:sz w:val="24"/>
      <w:szCs w:val="20"/>
      <w:lang w:eastAsia="en-US"/>
    </w:rPr>
  </w:style>
  <w:style w:type="paragraph" w:styleId="1025" w:customStyle="1">
    <w:name w:val="Table Paragraph"/>
    <w:basedOn w:val="730"/>
    <w:uiPriority w:val="0"/>
    <w:qFormat/>
    <w:pPr>
      <w:jc w:val="left"/>
    </w:pPr>
    <w:rPr>
      <w:rFonts w:ascii="Calibri" w:hAnsi="Calibri"/>
      <w:sz w:val="22"/>
      <w:szCs w:val="22"/>
      <w:lang w:eastAsia="en-US"/>
    </w:rPr>
  </w:style>
  <w:style w:type="paragraph" w:styleId="1026"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1027" w:customStyle="1">
    <w:name w:val="99-标书-正文"/>
    <w:uiPriority w:val="0"/>
    <w:qFormat/>
    <w:pPr>
      <w:ind w:firstLine="480"/>
      <w:jc w:val="both"/>
      <w:spacing w:line="360" w:lineRule="auto"/>
    </w:pPr>
    <w:rPr>
      <w:rFonts w:hint="default" w:ascii="宋体" w:hAnsi="宋体" w:eastAsia="Calibri" w:cs="Times New Roman"/>
      <w:color w:val="000000"/>
      <w:sz w:val="24"/>
      <w:szCs w:val="21"/>
      <w:lang w:val="en-US" w:eastAsia="zh-CN" w:bidi="ar-SA"/>
    </w:rPr>
  </w:style>
  <w:style w:type="paragraph" w:styleId="1028" w:customStyle="1">
    <w:name w:val="默认段落字体 Para Char Char Char Char Char Char Char Char Char1 Char Char Char Char Char Char Char"/>
    <w:basedOn w:val="959"/>
    <w:uiPriority w:val="0"/>
    <w:qFormat/>
    <w:rPr>
      <w:rFonts w:ascii="Tahoma" w:hAnsi="Tahoma"/>
      <w:sz w:val="24"/>
    </w:rPr>
  </w:style>
  <w:style w:type="paragraph" w:styleId="1029" w:customStyle="1">
    <w:name w:val="表"/>
    <w:basedOn w:val="730"/>
    <w:uiPriority w:val="0"/>
    <w:qFormat/>
    <w:pPr>
      <w:jc w:val="center"/>
      <w:spacing w:line="312" w:lineRule="exact"/>
    </w:pPr>
    <w:rPr>
      <w:rFonts w:eastAsia="仿宋"/>
      <w:color w:val="080808"/>
    </w:rPr>
  </w:style>
  <w:style w:type="paragraph" w:styleId="1030" w:customStyle="1">
    <w:name w:val="默认段落字体 Para Char Char Char Char Char Char Char"/>
    <w:basedOn w:val="730"/>
    <w:uiPriority w:val="0"/>
    <w:qFormat/>
    <w:rPr>
      <w:rFonts w:ascii="Tahoma" w:hAnsi="Tahoma"/>
      <w:sz w:val="24"/>
      <w:szCs w:val="20"/>
    </w:rPr>
  </w:style>
  <w:style w:type="table" w:styleId="1031" w:customStyle="1">
    <w:name w:val="网格型1"/>
    <w:basedOn w:val="916"/>
    <w:uiPriority w:val="0"/>
    <w:qFormat/>
    <w:tblPr/>
  </w:style>
  <w:style w:type="paragraph" w:styleId="1032" w:customStyle="1">
    <w:name w:val="索引 411"/>
    <w:basedOn w:val="696"/>
    <w:next w:val="696"/>
    <w:uiPriority w:val="0"/>
    <w:qFormat/>
    <w:pPr>
      <w:ind w:left="1260"/>
    </w:pPr>
  </w:style>
  <w:style w:type="paragraph" w:styleId="1033" w:customStyle="1">
    <w:name w:val="文本块2"/>
    <w:basedOn w:val="696"/>
    <w:uiPriority w:val="6"/>
    <w:unhideWhenUsed/>
    <w:qFormat/>
    <w:pPr>
      <w:ind w:left="1440" w:right="1440"/>
      <w:spacing w:after="120"/>
    </w:pPr>
  </w:style>
  <w:style w:type="character" w:styleId="1034" w:customStyle="1">
    <w:name w:val="标题 1 字符"/>
    <w:link w:val="910"/>
    <w:uiPriority w:val="0"/>
    <w:qFormat/>
    <w:rPr>
      <w:rFonts w:eastAsia="新宋体"/>
      <w:b/>
      <w:bCs/>
      <w:sz w:val="30"/>
      <w:szCs w:val="44"/>
    </w:rPr>
  </w:style>
  <w:style w:type="paragraph" w:styleId="1035" w:customStyle="1">
    <w:name w:val="页脚11"/>
    <w:basedOn w:val="696"/>
    <w:uiPriority w:val="99"/>
    <w:qFormat/>
    <w:pPr>
      <w:jc w:val="left"/>
      <w:tabs>
        <w:tab w:val="center" w:pos="4153" w:leader="none"/>
        <w:tab w:val="right" w:pos="8306" w:leader="none"/>
      </w:tabs>
    </w:pPr>
    <w:rPr>
      <w:sz w:val="18"/>
      <w:szCs w:val="18"/>
    </w:rPr>
  </w:style>
  <w:style w:type="character" w:styleId="1036" w:customStyle="1">
    <w:name w:val="页码11"/>
    <w:basedOn w:val="1037"/>
    <w:link w:val="696"/>
    <w:uiPriority w:val="0"/>
    <w:qFormat/>
    <w:rPr>
      <w:rFonts w:hint="default" w:ascii="Times New Roman" w:hAnsi="Times New Roman" w:eastAsia="宋体" w:cs="Times New Roman"/>
    </w:rPr>
  </w:style>
  <w:style w:type="character" w:styleId="1037" w:customStyle="1">
    <w:name w:val="默认段落字体11"/>
    <w:link w:val="696"/>
    <w:uiPriority w:val="1"/>
    <w:unhideWhenUsed/>
    <w:qFormat/>
  </w:style>
  <w:style w:type="paragraph" w:styleId="1038" w:customStyle="1">
    <w:name w:val="PlainText"/>
    <w:basedOn w:val="696"/>
    <w:uiPriority w:val="0"/>
    <w:qFormat/>
    <w:pPr>
      <w:jc w:val="left"/>
    </w:pPr>
    <w:rPr>
      <w:rFonts w:ascii="宋体" w:hAnsi="Courier New"/>
      <w:szCs w:val="20"/>
    </w:rPr>
  </w:style>
  <w:style w:type="paragraph" w:styleId="103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0" w:customStyle="1">
    <w:name w:val="目录 1111"/>
    <w:basedOn w:val="696"/>
    <w:next w:val="696"/>
    <w:uiPriority w:val="39"/>
    <w:unhideWhenUsed/>
    <w:qFormat/>
    <w:pPr>
      <w:jc w:val="left"/>
      <w:spacing w:after="100" w:line="259" w:lineRule="auto"/>
      <w:widowControl/>
    </w:pPr>
    <w:rPr>
      <w:rFonts w:ascii="Calibri" w:hAnsi="Calibri" w:eastAsia="宋体"/>
      <w:sz w:val="22"/>
      <w:szCs w:val="22"/>
    </w:rPr>
  </w:style>
  <w:style w:type="table" w:styleId="1041" w:customStyle="1">
    <w:name w:val="网格型12"/>
    <w:basedOn w:val="1042"/>
    <w:uiPriority w:val="39"/>
    <w:qFormat/>
    <w:tblPr/>
  </w:style>
  <w:style w:type="table" w:styleId="1042" w:customStyle="1">
    <w:name w:val="普通表格111"/>
    <w:uiPriority w:val="0"/>
    <w:semiHidden/>
    <w:qFormat/>
    <w:tblPr/>
  </w:style>
  <w:style w:type="paragraph" w:styleId="1043" w:customStyle="1">
    <w:name w:val="正文文本缩进11"/>
    <w:basedOn w:val="988"/>
    <w:next w:val="967"/>
    <w:uiPriority w:val="0"/>
    <w:qFormat/>
    <w:pPr>
      <w:ind w:left="420"/>
      <w:spacing w:after="120"/>
    </w:p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友信</dc:creator>
  <cp:lastModifiedBy>杨伯永</cp:lastModifiedBy>
  <cp:revision>18</cp:revision>
  <dcterms:created xsi:type="dcterms:W3CDTF">2023-10-31T07:11:00Z</dcterms:created>
  <dcterms:modified xsi:type="dcterms:W3CDTF">2026-04-01T06:22:52Z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402D26217CA6438F94ECC059981125E3_12</vt:lpwstr>
  </property>
  <property fmtid="{D5CDD505-2E9C-101B-9397-08002B2CF9AE}" pid="4" name="KSOTemplateDocerSaveRecord">
    <vt:lpwstr>eyJoZGlkIjoiOGUyNzk0MWIxNjU5NmYzNmZjZjU5YjU2YTVhMGRmYWYiLCJ1c2VySWQiOiI3NTc2NDgzMjMifQ==</vt:lpwstr>
  </property>
</Properties>
</file>