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rPr>
          <w:highlight w:val="none"/>
        </w:rPr>
      </w:pPr>
      <w:r>
        <w:rPr>
          <w:highlight w:val="none"/>
        </w:rPr>
      </w:r>
      <w:r/>
    </w:p>
    <w:p>
      <w:pPr>
        <w:pStyle w:val="909"/>
        <w:jc w:val="right"/>
        <w:rPr>
          <w:highlight w:val="none"/>
        </w:rPr>
      </w:pPr>
      <w:r>
        <w:rPr>
          <w:rFonts w:ascii="仿宋_GB2312" w:eastAsia="仿宋_GB2312"/>
          <w:b/>
          <w:sz w:val="44"/>
          <w:szCs w:val="44"/>
          <w:highlight w:val="none"/>
        </w:rPr>
        <mc:AlternateContent>
          <mc:Choice Requires="wpg">
            <w:drawing>
              <wp:inline xmlns:wp="http://schemas.openxmlformats.org/drawingml/2006/wordprocessingDrawing" distT="0" distB="0" distL="0" distR="0">
                <wp:extent cx="2479612" cy="63055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479612"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2pt;height:49.7pt;mso-wrap-distance-left:0.0pt;mso-wrap-distance-top:0.0pt;mso-wrap-distance-right:0.0pt;mso-wrap-distance-bottom:0.0pt;" stroked="f">
                <v:path textboxrect="0,0,0,0"/>
                <v:imagedata r:id="rId19" o:title=""/>
              </v:shape>
            </w:pict>
          </mc:Fallback>
        </mc:AlternateContent>
      </w:r>
      <w:r>
        <w:rPr>
          <w:highlight w:val="none"/>
        </w:rPr>
      </w:r>
      <w:r/>
    </w:p>
    <w:p>
      <w:pPr>
        <w:pStyle w:val="909"/>
        <w:rPr>
          <w:highlight w:val="none"/>
        </w:rPr>
      </w:pPr>
      <w:r>
        <w:rPr>
          <w:highlight w:val="none"/>
        </w:rPr>
      </w:r>
      <w:r/>
    </w:p>
    <w:p>
      <w:pPr>
        <w:pStyle w:val="927"/>
        <w:rPr>
          <w:highlight w:val="none"/>
        </w:rPr>
      </w:pPr>
      <w:r>
        <w:rPr>
          <w:highlight w:val="none"/>
        </w:rPr>
      </w:r>
      <w:r/>
    </w:p>
    <w:p>
      <w:pPr>
        <w:pStyle w:val="928"/>
        <w:tabs>
          <w:tab w:val="left" w:pos="810" w:leader="none"/>
          <w:tab w:val="left" w:pos="907" w:leader="none"/>
          <w:tab w:val="left" w:pos="1265" w:leader="none"/>
        </w:tabs>
        <w:rPr>
          <w:highlight w:val="none"/>
        </w:rPr>
      </w:pPr>
      <w:r>
        <w:rPr>
          <w:highlight w:val="none"/>
        </w:rPr>
      </w:r>
      <w:r/>
    </w:p>
    <w:p>
      <w:pPr>
        <w:pStyle w:val="930"/>
        <w:rPr>
          <w:highlight w:val="none"/>
        </w:rPr>
      </w:pPr>
      <w:r>
        <w:rPr>
          <w:highlight w:val="none"/>
        </w:rPr>
      </w:r>
      <w:r/>
    </w:p>
    <w:p>
      <w:pPr>
        <w:pStyle w:val="909"/>
        <w:ind w:firstLine="320"/>
        <w:jc w:val="right"/>
        <w:rPr>
          <w:highlight w:val="none"/>
        </w:rPr>
      </w:pPr>
      <w:r>
        <w:rPr>
          <w:highlight w:val="none"/>
        </w:rPr>
      </w:r>
      <w:r/>
    </w:p>
    <w:p>
      <w:pPr>
        <w:pStyle w:val="909"/>
        <w:jc w:val="center"/>
        <w:rPr>
          <w:rFonts w:ascii="宋体" w:hAnsi="宋体"/>
          <w:b/>
          <w:spacing w:val="76"/>
          <w:sz w:val="96"/>
          <w:szCs w:val="22"/>
          <w:highlight w:val="none"/>
        </w:rPr>
      </w:pPr>
      <w:r>
        <w:rPr>
          <w:rFonts w:hint="eastAsia" w:ascii="宋体" w:hAnsi="宋体" w:cs="宋体"/>
          <w:spacing w:val="76"/>
          <w:sz w:val="144"/>
          <w:highlight w:val="none"/>
        </w:rPr>
        <w:t xml:space="preserve">招标文件</w:t>
      </w:r>
      <w:r>
        <w:rPr>
          <w:rFonts w:ascii="宋体" w:hAnsi="宋体"/>
          <w:b/>
          <w:spacing w:val="76"/>
          <w:sz w:val="96"/>
          <w:szCs w:val="22"/>
          <w:highlight w:val="none"/>
        </w:rPr>
      </w:r>
      <w:r/>
    </w:p>
    <w:p>
      <w:pPr>
        <w:pStyle w:val="909"/>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09"/>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09"/>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09"/>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09"/>
        <w:spacing w:line="500" w:lineRule="exact"/>
        <w:rPr>
          <w:rFonts w:ascii="宋体" w:hAnsi="宋体" w:cs="宋体"/>
          <w:b/>
          <w:bCs/>
          <w:sz w:val="30"/>
          <w:szCs w:val="30"/>
          <w:highlight w:val="none"/>
        </w:rPr>
      </w:pPr>
      <w:r>
        <w:rPr>
          <w:rFonts w:ascii="宋体" w:hAnsi="宋体" w:cs="宋体"/>
          <w:b/>
          <w:bCs/>
          <w:sz w:val="30"/>
          <w:szCs w:val="30"/>
          <w:highlight w:val="none"/>
        </w:rPr>
      </w:r>
      <w:r/>
    </w:p>
    <w:p>
      <w:pPr>
        <w:pStyle w:val="909"/>
        <w:ind w:firstLine="904"/>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项目名称：徐州市铜山区人民医院医院管理系统（二期）</w:t>
      </w:r>
      <w:r>
        <w:rPr>
          <w:rFonts w:ascii="宋体" w:hAnsi="宋体" w:cs="宋体"/>
          <w:b/>
          <w:bCs/>
          <w:sz w:val="30"/>
          <w:szCs w:val="30"/>
          <w:highlight w:val="none"/>
        </w:rPr>
      </w:r>
      <w:r/>
    </w:p>
    <w:p>
      <w:pPr>
        <w:pStyle w:val="909"/>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项目编号：</w:t>
      </w:r>
      <w:r>
        <w:rPr>
          <w:rFonts w:hint="eastAsia" w:ascii="宋体" w:hAnsi="宋体" w:cs="宋体"/>
          <w:b/>
          <w:bCs/>
          <w:sz w:val="30"/>
          <w:szCs w:val="30"/>
          <w:highlight w:val="none"/>
          <w:lang w:eastAsia="zh-CN"/>
        </w:rPr>
        <w:t xml:space="preserve">JSZC-320312-JSZR-G2026-0018</w:t>
      </w:r>
      <w:r>
        <w:rPr>
          <w:rFonts w:hint="eastAsia" w:ascii="宋体" w:hAnsi="宋体" w:eastAsia="宋体" w:cs="宋体"/>
          <w:b/>
          <w:bCs/>
          <w:sz w:val="30"/>
          <w:szCs w:val="30"/>
          <w:highlight w:val="none"/>
          <w:lang w:eastAsia="zh-CN"/>
        </w:rPr>
      </w:r>
      <w:r/>
    </w:p>
    <w:p>
      <w:pPr>
        <w:pStyle w:val="909"/>
        <w:ind w:firstLine="904"/>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 购 人：徐州市铜山区人民医院</w:t>
      </w:r>
      <w:r>
        <w:rPr>
          <w:rFonts w:ascii="宋体" w:hAnsi="宋体" w:cs="宋体"/>
          <w:b/>
          <w:bCs/>
          <w:sz w:val="30"/>
          <w:szCs w:val="30"/>
          <w:highlight w:val="none"/>
        </w:rPr>
      </w:r>
      <w:r/>
    </w:p>
    <w:p>
      <w:pPr>
        <w:pStyle w:val="972"/>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72"/>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72"/>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72"/>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72"/>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72"/>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72"/>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72"/>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09"/>
        <w:ind w:firstLine="1205"/>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rPr>
          <w:rFonts w:ascii="宋体" w:hAnsi="宋体" w:cs="宋体"/>
          <w:b/>
          <w:bCs/>
          <w:sz w:val="30"/>
          <w:szCs w:val="30"/>
          <w:highlight w:val="none"/>
        </w:rPr>
      </w:r>
      <w:r/>
    </w:p>
    <w:p>
      <w:pPr>
        <w:pStyle w:val="1058"/>
        <w:ind w:firstLine="0"/>
        <w:jc w:val="center"/>
        <w:spacing w:line="500" w:lineRule="exact"/>
        <w:rPr>
          <w:rFonts w:ascii="宋体" w:hAnsi="宋体" w:cs="宋体"/>
          <w:b/>
          <w:sz w:val="44"/>
          <w:highlight w:val="none"/>
        </w:rPr>
      </w:pPr>
      <w:r>
        <w:rPr>
          <w:rFonts w:hint="eastAsia" w:ascii="宋体" w:hAnsi="宋体" w:cs="宋体"/>
          <w:b/>
          <w:bCs/>
          <w:sz w:val="30"/>
          <w:szCs w:val="30"/>
          <w:highlight w:val="none"/>
        </w:rPr>
        <w:t xml:space="preserve">二〇二</w:t>
      </w:r>
      <w:r>
        <w:rPr>
          <w:rFonts w:hint="eastAsia" w:ascii="宋体" w:hAnsi="宋体" w:cs="宋体"/>
          <w:b/>
          <w:bCs/>
          <w:sz w:val="30"/>
          <w:szCs w:val="30"/>
          <w:highlight w:val="none"/>
          <w:lang w:val="en-US" w:eastAsia="zh-CN"/>
        </w:rPr>
        <w:t xml:space="preserve">六</w:t>
      </w:r>
      <w:r>
        <w:rPr>
          <w:rFonts w:hint="eastAsia" w:ascii="宋体" w:hAnsi="宋体" w:cs="宋体"/>
          <w:b/>
          <w:bCs/>
          <w:sz w:val="30"/>
          <w:szCs w:val="30"/>
          <w:highlight w:val="none"/>
        </w:rPr>
        <w:t xml:space="preserve">年</w:t>
      </w:r>
      <w:r>
        <w:rPr>
          <w:rFonts w:hint="eastAsia" w:ascii="宋体" w:hAnsi="宋体" w:cs="宋体"/>
          <w:b/>
          <w:bCs/>
          <w:sz w:val="30"/>
          <w:szCs w:val="30"/>
          <w:highlight w:val="none"/>
          <w:lang w:val="en-US" w:eastAsia="zh-CN"/>
        </w:rPr>
        <w:t xml:space="preserve">三</w:t>
      </w:r>
      <w:r>
        <w:rPr>
          <w:rFonts w:hint="eastAsia" w:ascii="宋体" w:hAnsi="宋体" w:cs="宋体"/>
          <w:b/>
          <w:bCs/>
          <w:sz w:val="30"/>
          <w:szCs w:val="30"/>
          <w:highlight w:val="none"/>
        </w:rPr>
        <w:t xml:space="preserve">月</w:t>
      </w:r>
      <w:r>
        <w:rPr>
          <w:rFonts w:ascii="宋体" w:hAnsi="宋体" w:cs="宋体"/>
          <w:b/>
          <w:sz w:val="44"/>
          <w:highlight w:val="none"/>
        </w:rPr>
      </w:r>
      <w:r/>
    </w:p>
    <w:p>
      <w:pPr>
        <w:pStyle w:val="1058"/>
        <w:ind w:firstLine="0"/>
        <w:jc w:val="center"/>
        <w:rPr>
          <w:rFonts w:ascii="宋体" w:hAnsi="宋体" w:cs="宋体"/>
          <w:b/>
          <w:sz w:val="44"/>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highlight w:val="none"/>
        </w:rPr>
      </w:r>
      <w:r/>
    </w:p>
    <w:p>
      <w:pPr>
        <w:pStyle w:val="1058"/>
        <w:ind w:firstLine="0"/>
        <w:jc w:val="center"/>
        <w:rPr>
          <w:rFonts w:ascii="宋体" w:hAnsi="宋体" w:cs="宋体"/>
          <w:sz w:val="44"/>
          <w:highlight w:val="none"/>
        </w:rPr>
      </w:pPr>
      <w:r>
        <w:rPr>
          <w:rFonts w:hint="eastAsia" w:ascii="宋体" w:hAnsi="宋体" w:cs="宋体"/>
          <w:sz w:val="44"/>
          <w:highlight w:val="none"/>
        </w:rPr>
        <w:t xml:space="preserve">总目录</w:t>
      </w:r>
      <w:r>
        <w:rPr>
          <w:rFonts w:ascii="宋体" w:hAnsi="宋体" w:cs="宋体"/>
          <w:sz w:val="44"/>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第一章 投标邀请</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第二章 投标人须知</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第三章 投标资料表</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第四章 评标标准</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第六章 采购需求</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rPr>
          <w:rFonts w:ascii="宋体" w:hAnsi="宋体" w:cs="宋体"/>
          <w:sz w:val="30"/>
          <w:szCs w:val="30"/>
          <w:highlight w:val="none"/>
        </w:rPr>
      </w:r>
      <w:r/>
    </w:p>
    <w:p>
      <w:pPr>
        <w:pStyle w:val="909"/>
        <w:rPr>
          <w:rFonts w:ascii="宋体" w:hAnsi="宋体" w:cs="宋体"/>
          <w:sz w:val="30"/>
          <w:szCs w:val="30"/>
          <w:highlight w:val="none"/>
        </w:rPr>
      </w:pPr>
      <w:r>
        <w:rPr>
          <w:rFonts w:ascii="宋体" w:hAnsi="宋体" w:cs="宋体"/>
          <w:sz w:val="30"/>
          <w:szCs w:val="30"/>
          <w:highlight w:val="none"/>
        </w:rPr>
      </w:r>
      <w:r/>
    </w:p>
    <w:p>
      <w:pPr>
        <w:pStyle w:val="909"/>
        <w:rPr>
          <w:rFonts w:ascii="宋体" w:hAnsi="宋体" w:cs="宋体"/>
          <w:sz w:val="30"/>
          <w:szCs w:val="30"/>
          <w:highlight w:val="none"/>
        </w:rPr>
      </w:pPr>
      <w:r>
        <w:rPr>
          <w:rFonts w:ascii="宋体" w:hAnsi="宋体" w:cs="宋体"/>
          <w:sz w:val="30"/>
          <w:szCs w:val="30"/>
          <w:highlight w:val="none"/>
        </w:rPr>
      </w:r>
      <w:r/>
    </w:p>
    <w:p>
      <w:pPr>
        <w:pStyle w:val="909"/>
        <w:jc w:val="left"/>
        <w:widowControl/>
        <w:rPr>
          <w:rFonts w:ascii="宋体" w:hAnsi="宋体" w:cs="宋体"/>
          <w:sz w:val="28"/>
          <w:szCs w:val="28"/>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8"/>
          <w:szCs w:val="28"/>
          <w:highlight w:val="none"/>
        </w:rPr>
      </w:r>
      <w:r/>
    </w:p>
    <w:p>
      <w:pPr>
        <w:pStyle w:val="909"/>
        <w:jc w:val="center"/>
        <w:rPr>
          <w:rFonts w:ascii="宋体" w:hAnsi="宋体" w:cs="宋体"/>
          <w:sz w:val="24"/>
          <w:highlight w:val="none"/>
        </w:rPr>
      </w:pPr>
      <w:r>
        <w:rPr>
          <w:rFonts w:hint="eastAsia" w:ascii="宋体" w:hAnsi="宋体" w:cs="宋体"/>
          <w:sz w:val="30"/>
          <w:szCs w:val="30"/>
          <w:highlight w:val="none"/>
        </w:rPr>
        <w:t xml:space="preserve">第一章  投标邀请</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u w:val="single"/>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徐州市铜山区人民医院医院管理系统（二期）</w:t>
      </w:r>
      <w:r>
        <w:rPr>
          <w:rFonts w:hint="eastAsia" w:ascii="宋体" w:hAnsi="宋体" w:cs="宋体"/>
          <w:sz w:val="24"/>
          <w:highlight w:val="none"/>
        </w:rPr>
        <w:t xml:space="preserve">项目进行公开招标采购，现欢迎符合相关条件的供应商投标。</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一、项目名称和项目编号</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项目名称：徐州市铜山区人民医院医院管理系统（二期）</w:t>
      </w:r>
      <w:r>
        <w:rPr>
          <w:rFonts w:ascii="宋体" w:hAnsi="宋体" w:cs="宋体"/>
          <w:sz w:val="24"/>
          <w:highlight w:val="none"/>
        </w:rPr>
      </w:r>
      <w:r/>
    </w:p>
    <w:p>
      <w:pPr>
        <w:pStyle w:val="909"/>
        <w:ind w:firstLine="480"/>
        <w:spacing w:line="360" w:lineRule="auto"/>
        <w:rPr>
          <w:rFonts w:hint="eastAsia"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eastAsia="宋体" w:cs="宋体"/>
          <w:sz w:val="24"/>
          <w:highlight w:val="none"/>
          <w:lang w:eastAsia="zh-CN"/>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二、投标人的资格要求：</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见本项目公开招标公告。</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三、获取招标文件</w:t>
      </w:r>
      <w:r>
        <w:rPr>
          <w:rFonts w:ascii="宋体" w:hAnsi="宋体" w:cs="宋体"/>
          <w:sz w:val="24"/>
          <w:highlight w:val="none"/>
        </w:rPr>
      </w:r>
      <w:r/>
    </w:p>
    <w:p>
      <w:pPr>
        <w:pStyle w:val="909"/>
        <w:ind w:firstLine="480"/>
        <w:jc w:val="left"/>
        <w:spacing w:line="360" w:lineRule="auto"/>
        <w:rPr>
          <w:rFonts w:ascii="宋体" w:hAnsi="宋体" w:cs="宋体"/>
          <w:sz w:val="24"/>
          <w:highlight w:val="none"/>
        </w:rPr>
      </w:pPr>
      <w:r>
        <w:rPr>
          <w:rFonts w:hint="eastAsia" w:ascii="宋体" w:hAnsi="宋体" w:cs="宋体"/>
          <w:sz w:val="24"/>
          <w:highlight w:val="none"/>
        </w:rPr>
        <w:t xml:space="preserve">1. 本项目采用网上注册登记方式。</w:t>
      </w:r>
      <w:r>
        <w:rPr>
          <w:rFonts w:ascii="宋体" w:hAnsi="宋体" w:cs="宋体"/>
          <w:sz w:val="24"/>
          <w:highlight w:val="none"/>
        </w:rPr>
      </w:r>
      <w:r/>
    </w:p>
    <w:p>
      <w:pPr>
        <w:pStyle w:val="909"/>
        <w:ind w:firstLine="480"/>
        <w:jc w:val="left"/>
        <w:spacing w:line="360" w:lineRule="auto"/>
        <w:rPr>
          <w:rFonts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rPr>
          <w:rFonts w:ascii="宋体" w:hAnsi="宋体" w:cs="宋体"/>
          <w:sz w:val="24"/>
          <w:highlight w:val="none"/>
        </w:rPr>
      </w:r>
      <w:r/>
    </w:p>
    <w:p>
      <w:pPr>
        <w:pStyle w:val="909"/>
        <w:ind w:firstLine="480"/>
        <w:jc w:val="left"/>
        <w:spacing w:line="360" w:lineRule="auto"/>
        <w:rPr>
          <w:rFonts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 w:val="24"/>
          <w:highlight w:val="none"/>
        </w:rPr>
      </w:r>
      <w:r/>
    </w:p>
    <w:p>
      <w:pPr>
        <w:pStyle w:val="909"/>
        <w:ind w:firstLine="482"/>
        <w:jc w:val="left"/>
        <w:spacing w:line="360" w:lineRule="auto"/>
        <w:rPr>
          <w:rFonts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w:t>
      </w:r>
      <w:r>
        <w:rPr>
          <w:rFonts w:hint="eastAsia" w:ascii="宋体" w:hAnsi="宋体" w:cs="宋体"/>
          <w:color w:val="000000"/>
          <w:sz w:val="24"/>
          <w:highlight w:val="none"/>
        </w:rPr>
        <w:t xml:space="preserve">https://czj.xz.gov.cn/zfcg/index.html</w:t>
      </w:r>
      <w:r>
        <w:rPr>
          <w:rFonts w:hint="eastAsia" w:ascii="宋体" w:hAnsi="宋体" w:cs="宋体"/>
          <w:sz w:val="24"/>
          <w:highlight w:val="none"/>
        </w:rPr>
        <w:t xml:space="preserve">）--业务工作--用户登录，点击“苏采云”进入系统。</w:t>
      </w:r>
      <w:r>
        <w:rPr>
          <w:rFonts w:ascii="宋体" w:hAnsi="宋体" w:cs="宋体"/>
          <w:sz w:val="24"/>
          <w:highlight w:val="none"/>
        </w:rPr>
      </w:r>
      <w:r/>
    </w:p>
    <w:p>
      <w:pPr>
        <w:pStyle w:val="909"/>
        <w:ind w:firstLine="480"/>
        <w:jc w:val="left"/>
        <w:spacing w:line="360" w:lineRule="auto"/>
      </w:pPr>
      <w:r>
        <w:rPr>
          <w:rFonts w:ascii="宋体" w:hAnsi="宋体" w:cs="宋体"/>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pStyle w:val="909"/>
        <w:ind w:firstLine="480"/>
        <w:jc w:val="left"/>
        <w:spacing w:line="360" w:lineRule="auto"/>
        <w:rPr>
          <w:rFonts w:ascii="宋体" w:hAnsi="宋体" w:cs="宋体"/>
          <w:sz w:val="24"/>
          <w:highlight w:val="none"/>
        </w:rPr>
      </w:pPr>
      <w:r>
        <w:rPr>
          <w:rFonts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相关服务-资料下载”，点击进入《江苏省政府采购管理交易系统（苏采云）供应商操作手册及政府采购客户端》，进行下载。</w:t>
      </w:r>
      <w:r>
        <w:rPr>
          <w:rFonts w:ascii="宋体" w:hAnsi="宋体" w:cs="宋体"/>
          <w:sz w:val="24"/>
          <w:highlight w:val="none"/>
        </w:rPr>
      </w:r>
      <w:r/>
    </w:p>
    <w:p>
      <w:pPr>
        <w:pStyle w:val="909"/>
        <w:ind w:firstLine="480"/>
        <w:jc w:val="left"/>
        <w:spacing w:line="360" w:lineRule="auto"/>
        <w:rPr>
          <w:rFonts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rPr>
          <w:rFonts w:ascii="宋体" w:hAnsi="宋体" w:cs="宋体"/>
          <w:sz w:val="24"/>
          <w:highlight w:val="none"/>
        </w:rPr>
      </w:r>
      <w:r/>
    </w:p>
    <w:p>
      <w:pPr>
        <w:pStyle w:val="909"/>
        <w:ind w:firstLine="480"/>
        <w:jc w:val="left"/>
        <w:spacing w:line="360" w:lineRule="auto"/>
        <w:rPr>
          <w:rFonts w:ascii="宋体" w:hAnsi="宋体" w:cs="宋体"/>
          <w:sz w:val="24"/>
          <w:highlight w:val="none"/>
        </w:rPr>
      </w:pPr>
      <w:r>
        <w:rPr>
          <w:rFonts w:hint="eastAsia" w:ascii="宋体" w:hAnsi="宋体" w:cs="宋体"/>
          <w:sz w:val="24"/>
          <w:highlight w:val="none"/>
        </w:rPr>
        <w:t xml:space="preserve">3.“苏采云”系统使用谷歌浏览器参与不见面开标。</w:t>
      </w:r>
      <w:r>
        <w:rPr>
          <w:rFonts w:ascii="宋体" w:hAnsi="宋体" w:cs="宋体"/>
          <w:sz w:val="24"/>
          <w:highlight w:val="none"/>
        </w:rPr>
      </w:r>
      <w:r/>
    </w:p>
    <w:p>
      <w:pPr>
        <w:pStyle w:val="909"/>
        <w:ind w:firstLine="480"/>
        <w:jc w:val="left"/>
        <w:spacing w:line="360" w:lineRule="auto"/>
        <w:rPr>
          <w:rFonts w:ascii="宋体" w:hAnsi="宋体" w:cs="宋体"/>
          <w:sz w:val="24"/>
          <w:highlight w:val="none"/>
        </w:rPr>
      </w:pPr>
      <w:r>
        <w:rPr>
          <w:rFonts w:hint="eastAsia" w:ascii="宋体" w:hAnsi="宋体" w:cs="宋体"/>
          <w:sz w:val="24"/>
          <w:highlight w:val="none"/>
        </w:rPr>
        <w:t xml:space="preserve">4.售价：免费。</w:t>
      </w:r>
      <w:r>
        <w:rPr>
          <w:rFonts w:ascii="宋体" w:hAnsi="宋体" w:cs="宋体"/>
          <w:sz w:val="24"/>
          <w:highlight w:val="none"/>
        </w:rPr>
      </w:r>
      <w:r/>
    </w:p>
    <w:p>
      <w:pPr>
        <w:pStyle w:val="909"/>
        <w:ind w:firstLine="480"/>
        <w:jc w:val="left"/>
        <w:spacing w:line="360" w:lineRule="auto"/>
        <w:rPr>
          <w:rFonts w:ascii="宋体" w:hAnsi="宋体" w:cs="宋体"/>
          <w:sz w:val="24"/>
          <w:highlight w:val="none"/>
        </w:rPr>
      </w:pPr>
      <w:r>
        <w:rPr>
          <w:rFonts w:hint="eastAsia" w:ascii="宋体" w:hAnsi="宋体" w:cs="宋体"/>
          <w:sz w:val="24"/>
          <w:highlight w:val="none"/>
        </w:rPr>
        <w:t xml:space="preserve">四、投标有关信息</w:t>
      </w:r>
      <w:r>
        <w:rPr>
          <w:rFonts w:ascii="宋体" w:hAnsi="宋体" w:cs="宋体"/>
          <w:sz w:val="24"/>
          <w:highlight w:val="none"/>
        </w:rPr>
      </w:r>
      <w:r/>
    </w:p>
    <w:p>
      <w:pPr>
        <w:pStyle w:val="909"/>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2026年</w:t>
      </w:r>
      <w:r>
        <w:rPr>
          <w:rFonts w:hint="eastAsia" w:cs="宋体"/>
          <w:sz w:val="24"/>
          <w:highlight w:val="none"/>
          <w:lang w:val="en-US" w:eastAsia="zh-CN"/>
        </w:rPr>
        <w:t xml:space="preserve">4</w:t>
      </w:r>
      <w:r>
        <w:rPr>
          <w:rFonts w:hint="eastAsia" w:cs="宋体"/>
          <w:sz w:val="24"/>
          <w:highlight w:val="none"/>
        </w:rPr>
        <w:t xml:space="preserve">月16日北京时间10：00</w:t>
      </w:r>
      <w:r>
        <w:rPr>
          <w:rFonts w:cs="宋体"/>
          <w:sz w:val="24"/>
          <w:highlight w:val="none"/>
        </w:rPr>
      </w:r>
      <w:r/>
    </w:p>
    <w:p>
      <w:pPr>
        <w:pStyle w:val="909"/>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2026年</w:t>
      </w:r>
      <w:r>
        <w:rPr>
          <w:rFonts w:hint="eastAsia" w:cs="宋体"/>
          <w:sz w:val="24"/>
          <w:highlight w:val="none"/>
          <w:lang w:val="en-US" w:eastAsia="zh-CN"/>
        </w:rPr>
        <w:t xml:space="preserve">4</w:t>
      </w:r>
      <w:r>
        <w:rPr>
          <w:rFonts w:hint="eastAsia" w:cs="宋体"/>
          <w:sz w:val="24"/>
          <w:highlight w:val="none"/>
        </w:rPr>
        <w:t xml:space="preserve">月16日北京时间10：00</w:t>
      </w:r>
      <w:r>
        <w:rPr>
          <w:rFonts w:cs="宋体"/>
          <w:sz w:val="24"/>
          <w:highlight w:val="none"/>
        </w:rPr>
      </w:r>
      <w:r/>
    </w:p>
    <w:p>
      <w:pPr>
        <w:pStyle w:val="909"/>
        <w:ind w:firstLine="480"/>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w:t>
      </w:r>
      <w:r>
        <w:rPr>
          <w:rFonts w:hint="eastAsia" w:ascii="宋体" w:hAnsi="宋体" w:cs="宋体"/>
          <w:color w:val="000000"/>
          <w:sz w:val="24"/>
          <w:szCs w:val="24"/>
          <w:highlight w:val="none"/>
        </w:rPr>
        <w:t xml:space="preserve">“苏采云”系统“开标大厅”或进入徐州政府采购网--业务工作--用户登录，点击“苏采云”进入系统“开标大厅”。</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五、采购人</w:t>
      </w:r>
      <w:r>
        <w:rPr>
          <w:rFonts w:ascii="宋体" w:hAnsi="宋体" w:cs="宋体"/>
          <w:sz w:val="24"/>
          <w:highlight w:val="none"/>
        </w:rPr>
      </w:r>
      <w:r/>
    </w:p>
    <w:p>
      <w:pPr>
        <w:pStyle w:val="909"/>
        <w:ind w:firstLine="480"/>
        <w:spacing w:line="360" w:lineRule="auto"/>
        <w:rPr>
          <w:rFonts w:ascii="宋体" w:hAnsi="宋体"/>
          <w:sz w:val="24"/>
          <w:highlight w:val="none"/>
        </w:rPr>
      </w:pPr>
      <w:r>
        <w:rPr>
          <w:rFonts w:hint="eastAsia"/>
          <w:sz w:val="24"/>
          <w:highlight w:val="none"/>
        </w:rPr>
        <w:t xml:space="preserve">1.</w:t>
      </w:r>
      <w:r>
        <w:rPr>
          <w:rFonts w:hint="eastAsia" w:ascii="宋体" w:hAnsi="宋体"/>
          <w:sz w:val="24"/>
          <w:highlight w:val="none"/>
        </w:rPr>
        <w:t xml:space="preserve">名称：徐州市铜山区人民医院</w:t>
      </w:r>
      <w:r>
        <w:rPr>
          <w:rFonts w:ascii="宋体" w:hAnsi="宋体"/>
          <w:sz w:val="24"/>
          <w:highlight w:val="none"/>
        </w:rPr>
      </w:r>
      <w:r/>
    </w:p>
    <w:p>
      <w:pPr>
        <w:pStyle w:val="909"/>
        <w:ind w:firstLine="480"/>
        <w:spacing w:line="360" w:lineRule="auto"/>
        <w:rPr>
          <w:rFonts w:ascii="宋体" w:hAnsi="宋体"/>
          <w:sz w:val="24"/>
          <w:highlight w:val="none"/>
        </w:rPr>
      </w:pPr>
      <w:r>
        <w:rPr>
          <w:rFonts w:hint="eastAsia"/>
          <w:sz w:val="24"/>
          <w:highlight w:val="none"/>
        </w:rPr>
        <w:t xml:space="preserve">2</w:t>
      </w:r>
      <w:r>
        <w:rPr>
          <w:rFonts w:hint="eastAsia" w:ascii="宋体" w:hAnsi="宋体"/>
          <w:sz w:val="24"/>
          <w:highlight w:val="none"/>
        </w:rPr>
        <w:t xml:space="preserve">.地址：</w:t>
      </w:r>
      <w:r>
        <w:rPr>
          <w:rFonts w:hint="eastAsia" w:ascii="宋体" w:hAnsi="宋体" w:cs="宋体"/>
          <w:sz w:val="24"/>
          <w:highlight w:val="none"/>
          <w:shd w:val="clear" w:color="auto" w:fill="ffffff"/>
          <w:lang w:bidi="ar"/>
        </w:rPr>
        <w:t xml:space="preserve">徐州市淮海西路267号</w:t>
      </w:r>
      <w:r>
        <w:rPr>
          <w:rFonts w:ascii="宋体" w:hAnsi="宋体"/>
          <w:sz w:val="24"/>
          <w:highlight w:val="none"/>
        </w:rPr>
      </w:r>
      <w:r/>
    </w:p>
    <w:p>
      <w:pPr>
        <w:pStyle w:val="909"/>
        <w:ind w:firstLine="480"/>
        <w:spacing w:line="360" w:lineRule="auto"/>
        <w:rPr>
          <w:sz w:val="24"/>
          <w:highlight w:val="none"/>
        </w:rPr>
      </w:pPr>
      <w:r>
        <w:rPr>
          <w:rFonts w:hint="eastAsia"/>
          <w:sz w:val="24"/>
          <w:highlight w:val="none"/>
        </w:rPr>
        <w:t xml:space="preserve">3</w:t>
      </w:r>
      <w:r>
        <w:rPr>
          <w:rFonts w:hint="eastAsia" w:ascii="宋体" w:hAnsi="宋体"/>
          <w:sz w:val="24"/>
          <w:highlight w:val="none"/>
        </w:rPr>
        <w:t xml:space="preserve">.联系方法： </w:t>
      </w:r>
      <w:bookmarkStart w:id="0" w:name="OLE_LINK4"/>
      <w:r>
        <w:rPr>
          <w:rFonts w:hint="eastAsia" w:ascii="宋体" w:hAnsi="宋体"/>
          <w:sz w:val="24"/>
          <w:highlight w:val="none"/>
        </w:rPr>
        <w:t xml:space="preserve">0516-</w:t>
      </w:r>
      <w:bookmarkEnd w:id="0"/>
      <w:r>
        <w:rPr>
          <w:rFonts w:hint="eastAsia" w:ascii="宋体" w:hAnsi="宋体"/>
          <w:sz w:val="24"/>
          <w:highlight w:val="none"/>
        </w:rPr>
        <w:t xml:space="preserve">85827348</w:t>
      </w:r>
      <w:r>
        <w:rPr>
          <w:sz w:val="24"/>
          <w:highlight w:val="none"/>
        </w:rPr>
      </w:r>
      <w:r/>
    </w:p>
    <w:p>
      <w:pPr>
        <w:pStyle w:val="909"/>
        <w:ind w:firstLine="480"/>
        <w:spacing w:line="360" w:lineRule="auto"/>
        <w:rPr>
          <w:sz w:val="24"/>
          <w:highlight w:val="none"/>
        </w:rPr>
      </w:pPr>
      <w:r>
        <w:rPr>
          <w:rFonts w:hint="eastAsia"/>
          <w:sz w:val="24"/>
          <w:highlight w:val="none"/>
        </w:rPr>
        <w:t xml:space="preserve">4</w:t>
      </w:r>
      <w:r>
        <w:rPr>
          <w:rFonts w:hint="eastAsia" w:ascii="宋体" w:hAnsi="宋体"/>
          <w:sz w:val="24"/>
          <w:highlight w:val="none"/>
        </w:rPr>
        <w:t xml:space="preserve">.采购项目联系人：毛雨      电话：0516-85827348 </w:t>
      </w:r>
      <w:r>
        <w:rPr>
          <w:sz w:val="24"/>
          <w:highlight w:val="none"/>
        </w:rPr>
      </w:r>
      <w:r/>
    </w:p>
    <w:p>
      <w:pPr>
        <w:pStyle w:val="909"/>
        <w:spacing w:line="360" w:lineRule="auto"/>
        <w:rPr>
          <w:rFonts w:ascii="宋体" w:hAnsi="宋体"/>
          <w:sz w:val="24"/>
          <w:highlight w:val="none"/>
        </w:rPr>
      </w:pPr>
      <w:r>
        <w:rPr>
          <w:rFonts w:hint="eastAsia" w:ascii="宋体" w:hAnsi="宋体"/>
          <w:sz w:val="24"/>
          <w:highlight w:val="none"/>
        </w:rPr>
        <w:t xml:space="preserve">六、采购代理机构</w:t>
      </w:r>
      <w:r>
        <w:rPr>
          <w:rFonts w:ascii="宋体" w:hAnsi="宋体"/>
          <w:sz w:val="24"/>
          <w:highlight w:val="none"/>
        </w:rPr>
      </w:r>
      <w:r/>
    </w:p>
    <w:p>
      <w:pPr>
        <w:pStyle w:val="909"/>
        <w:ind w:firstLine="480"/>
        <w:spacing w:line="360" w:lineRule="auto"/>
        <w:rPr>
          <w:rFonts w:ascii="宋体" w:hAnsi="宋体"/>
          <w:sz w:val="24"/>
          <w:highlight w:val="none"/>
        </w:rPr>
      </w:pPr>
      <w:r>
        <w:rPr>
          <w:rFonts w:hint="eastAsia"/>
          <w:sz w:val="24"/>
          <w:highlight w:val="none"/>
        </w:rPr>
        <w:t xml:space="preserve">1</w:t>
      </w:r>
      <w:r>
        <w:rPr>
          <w:rFonts w:hint="eastAsia" w:ascii="宋体" w:hAnsi="宋体"/>
          <w:sz w:val="24"/>
          <w:highlight w:val="none"/>
        </w:rPr>
        <w:t xml:space="preserve">.名称：江苏中瑞建设项目管理有限公司</w:t>
      </w:r>
      <w:r>
        <w:rPr>
          <w:rFonts w:ascii="宋体" w:hAnsi="宋体"/>
          <w:sz w:val="24"/>
          <w:highlight w:val="none"/>
        </w:rPr>
      </w:r>
      <w:r/>
    </w:p>
    <w:p>
      <w:pPr>
        <w:pStyle w:val="909"/>
        <w:ind w:firstLine="480"/>
        <w:spacing w:line="360" w:lineRule="auto"/>
        <w:rPr>
          <w:rFonts w:ascii="宋体" w:hAnsi="宋体"/>
          <w:sz w:val="24"/>
          <w:highlight w:val="none"/>
        </w:rPr>
      </w:pPr>
      <w:r>
        <w:rPr>
          <w:rFonts w:hint="eastAsia"/>
          <w:sz w:val="24"/>
          <w:highlight w:val="none"/>
        </w:rPr>
        <w:t xml:space="preserve">2</w:t>
      </w:r>
      <w:r>
        <w:rPr>
          <w:rFonts w:hint="eastAsia" w:ascii="宋体" w:hAnsi="宋体"/>
          <w:sz w:val="24"/>
          <w:highlight w:val="none"/>
        </w:rPr>
        <w:t xml:space="preserve">.地址：徐州市云龙区郭庄路世茂广场SOHO3号楼17楼</w:t>
      </w:r>
      <w:r>
        <w:rPr>
          <w:rFonts w:ascii="宋体" w:hAnsi="宋体"/>
          <w:sz w:val="24"/>
          <w:highlight w:val="none"/>
        </w:rPr>
      </w:r>
      <w:r/>
    </w:p>
    <w:p>
      <w:pPr>
        <w:pStyle w:val="909"/>
        <w:ind w:firstLine="480"/>
        <w:spacing w:line="360" w:lineRule="auto"/>
        <w:rPr>
          <w:rFonts w:ascii="宋体" w:hAnsi="宋体"/>
          <w:sz w:val="24"/>
          <w:highlight w:val="none"/>
        </w:rPr>
      </w:pPr>
      <w:r>
        <w:rPr>
          <w:rFonts w:hint="eastAsia" w:ascii="宋体" w:hAnsi="宋体"/>
          <w:sz w:val="24"/>
          <w:highlight w:val="none"/>
        </w:rPr>
        <w:t xml:space="preserve">3.联系方法：0516-83906677      邮编：221000</w:t>
      </w:r>
      <w:r>
        <w:rPr>
          <w:rFonts w:ascii="宋体" w:hAnsi="宋体"/>
          <w:sz w:val="24"/>
          <w:highlight w:val="none"/>
        </w:rPr>
      </w:r>
      <w:r/>
    </w:p>
    <w:p>
      <w:pPr>
        <w:pStyle w:val="909"/>
        <w:ind w:firstLine="480"/>
        <w:spacing w:line="360" w:lineRule="auto"/>
        <w:rPr>
          <w:rFonts w:ascii="宋体" w:hAnsi="宋体"/>
          <w:sz w:val="24"/>
          <w:highlight w:val="none"/>
        </w:rPr>
      </w:pPr>
      <w:r>
        <w:rPr>
          <w:rFonts w:hint="eastAsia" w:ascii="宋体" w:hAnsi="宋体"/>
          <w:sz w:val="24"/>
          <w:highlight w:val="none"/>
        </w:rPr>
        <w:t xml:space="preserve">4.采购项目联系人：孙萌</w:t>
      </w:r>
      <w:r>
        <w:rPr>
          <w:rFonts w:hint="eastAsia" w:ascii="宋体" w:hAnsi="宋体"/>
          <w:sz w:val="24"/>
          <w:highlight w:val="none"/>
          <w:lang w:eastAsia="zh-CN"/>
        </w:rPr>
        <w:t xml:space="preserve">、</w:t>
      </w:r>
      <w:r>
        <w:rPr>
          <w:rFonts w:hint="eastAsia" w:ascii="宋体" w:hAnsi="宋体"/>
          <w:sz w:val="24"/>
          <w:highlight w:val="none"/>
        </w:rPr>
        <w:t xml:space="preserve">苏柏铭   电话：0516-83906677</w:t>
      </w:r>
      <w:r>
        <w:rPr>
          <w:rFonts w:ascii="宋体" w:hAnsi="宋体"/>
          <w:sz w:val="24"/>
          <w:highlight w:val="none"/>
        </w:rPr>
      </w:r>
      <w:r/>
    </w:p>
    <w:p>
      <w:pPr>
        <w:pStyle w:val="909"/>
        <w:ind w:firstLine="480"/>
        <w:spacing w:line="360" w:lineRule="auto"/>
        <w:rPr>
          <w:rFonts w:ascii="宋体" w:hAnsi="宋体"/>
          <w:sz w:val="24"/>
          <w:highlight w:val="none"/>
        </w:rPr>
      </w:pPr>
      <w:r>
        <w:rPr>
          <w:rFonts w:ascii="宋体" w:hAnsi="宋体"/>
          <w:sz w:val="24"/>
          <w:highlight w:val="none"/>
        </w:rPr>
      </w:r>
      <w:r/>
    </w:p>
    <w:p>
      <w:pPr>
        <w:pStyle w:val="909"/>
        <w:jc w:val="right"/>
        <w:spacing w:line="400" w:lineRule="exact"/>
        <w:rPr>
          <w:rFonts w:ascii="宋体" w:hAnsi="宋体" w:cs="宋体"/>
          <w:highlight w:val="none"/>
        </w:rPr>
      </w:pPr>
      <w:r>
        <w:rPr>
          <w:rFonts w:ascii="宋体" w:hAnsi="宋体" w:cs="宋体"/>
          <w:highlight w:val="none"/>
        </w:rPr>
      </w:r>
      <w:r/>
    </w:p>
    <w:p>
      <w:pPr>
        <w:pStyle w:val="909"/>
        <w:jc w:val="center"/>
        <w:spacing w:line="400" w:lineRule="exact"/>
        <w:rPr>
          <w:rFonts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rPr>
          <w:rFonts w:ascii="宋体" w:hAnsi="宋体" w:cs="宋体"/>
          <w:sz w:val="30"/>
          <w:szCs w:val="30"/>
          <w:highlight w:val="none"/>
        </w:rPr>
      </w:r>
      <w:r/>
    </w:p>
    <w:p>
      <w:pPr>
        <w:pStyle w:val="909"/>
        <w:jc w:val="center"/>
        <w:rPr>
          <w:rFonts w:ascii="宋体" w:hAnsi="宋体" w:cs="宋体"/>
          <w:sz w:val="30"/>
          <w:szCs w:val="30"/>
          <w:highlight w:val="none"/>
        </w:rPr>
      </w:pPr>
      <w:r>
        <w:rPr>
          <w:rFonts w:ascii="宋体" w:hAnsi="宋体" w:cs="宋体"/>
          <w:sz w:val="30"/>
          <w:szCs w:val="30"/>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t xml:space="preserve">目录</w:t>
      </w:r>
      <w:r>
        <w:rPr>
          <w:rFonts w:ascii="宋体" w:hAnsi="宋体" w:cs="宋体"/>
          <w:sz w:val="30"/>
          <w:szCs w:val="30"/>
          <w:highlight w:val="none"/>
        </w:rPr>
      </w:r>
      <w:r/>
    </w:p>
    <w:p>
      <w:pPr>
        <w:pStyle w:val="909"/>
        <w:ind w:left="420"/>
        <w:spacing w:line="360" w:lineRule="auto"/>
        <w:rPr>
          <w:rFonts w:ascii="宋体" w:hAnsi="宋体" w:cs="宋体"/>
          <w:sz w:val="30"/>
          <w:szCs w:val="30"/>
          <w:highlight w:val="none"/>
        </w:rPr>
      </w:pP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一、总则</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二、招标</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三、投标</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四、开标、评标</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五、中标和合同</w:t>
      </w:r>
      <w:r>
        <w:rPr>
          <w:rFonts w:ascii="宋体" w:hAnsi="宋体" w:cs="宋体"/>
          <w:sz w:val="30"/>
          <w:szCs w:val="30"/>
          <w:highlight w:val="none"/>
        </w:rPr>
      </w:r>
      <w:r/>
    </w:p>
    <w:p>
      <w:pPr>
        <w:pStyle w:val="909"/>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rPr>
          <w:rFonts w:ascii="宋体" w:hAnsi="宋体" w:cs="宋体"/>
          <w:sz w:val="30"/>
          <w:szCs w:val="30"/>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rPr>
          <w:rFonts w:ascii="宋体" w:hAnsi="宋体" w:cs="宋体"/>
          <w:sz w:val="30"/>
          <w:szCs w:val="30"/>
          <w:highlight w:val="none"/>
        </w:rPr>
      </w:r>
      <w:r/>
    </w:p>
    <w:p>
      <w:pPr>
        <w:pStyle w:val="909"/>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t xml:space="preserve">二、招标</w:t>
      </w:r>
      <w:r>
        <w:rPr>
          <w:rFonts w:ascii="宋体" w:hAnsi="宋体" w:cs="宋体"/>
          <w:sz w:val="30"/>
          <w:szCs w:val="30"/>
          <w:highlight w:val="none"/>
        </w:rPr>
      </w:r>
      <w:r/>
    </w:p>
    <w:p>
      <w:pPr>
        <w:pStyle w:val="909"/>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招标文件包括以下内容：</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第三章 投标资料表</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第四章 评标标准</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第五章 拟签订的合同文本</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第六章 采购需求</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第七章 投标文件相关格式</w:t>
      </w:r>
      <w:r>
        <w:rPr>
          <w:rFonts w:ascii="宋体" w:hAnsi="宋体" w:cs="宋体"/>
          <w:sz w:val="24"/>
          <w:highlight w:val="none"/>
        </w:rPr>
      </w:r>
      <w:r/>
    </w:p>
    <w:p>
      <w:pPr>
        <w:pStyle w:val="909"/>
        <w:ind w:firstLine="36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rPr>
          <w:rFonts w:ascii="宋体" w:hAnsi="宋体" w:cs="宋体"/>
          <w:sz w:val="24"/>
          <w:highlight w:val="none"/>
        </w:rPr>
      </w:r>
      <w:r/>
    </w:p>
    <w:p>
      <w:pPr>
        <w:pStyle w:val="909"/>
        <w:ind w:firstLine="36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 见招标文件第三章《投标资料表》。</w:t>
      </w:r>
      <w:r>
        <w:rPr>
          <w:rFonts w:ascii="宋体" w:hAnsi="宋体" w:cs="宋体"/>
          <w:sz w:val="24"/>
          <w:highlight w:val="none"/>
        </w:rPr>
      </w:r>
      <w:r/>
    </w:p>
    <w:p>
      <w:pPr>
        <w:pStyle w:val="909"/>
        <w:ind w:firstLine="36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rPr>
          <w:rFonts w:ascii="宋体" w:hAnsi="宋体" w:cs="宋体"/>
          <w:sz w:val="24"/>
          <w:highlight w:val="none"/>
        </w:rPr>
      </w:r>
      <w:r/>
    </w:p>
    <w:p>
      <w:pPr>
        <w:pStyle w:val="909"/>
        <w:ind w:firstLine="480"/>
        <w:jc w:val="left"/>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rPr>
          <w:rFonts w:ascii="宋体" w:hAnsi="宋体" w:cs="宋体"/>
          <w:sz w:val="24"/>
          <w:highlight w:val="none"/>
        </w:rPr>
      </w:r>
      <w:r/>
    </w:p>
    <w:p>
      <w:pPr>
        <w:pStyle w:val="909"/>
        <w:ind w:firstLine="360"/>
        <w:rPr>
          <w:rFonts w:ascii="宋体" w:hAnsi="宋体" w:cs="宋体"/>
          <w:sz w:val="24"/>
          <w:highlight w:val="none"/>
        </w:rPr>
      </w:pP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jc w:val="left"/>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rPr>
          <w:rFonts w:ascii="宋体" w:hAnsi="宋体" w:cs="宋体"/>
          <w:sz w:val="24"/>
          <w:highlight w:val="none"/>
        </w:rPr>
      </w:r>
      <w:r/>
    </w:p>
    <w:p>
      <w:pPr>
        <w:pStyle w:val="909"/>
        <w:ind w:firstLine="360"/>
        <w:rPr>
          <w:rFonts w:ascii="宋体" w:hAnsi="宋体" w:cs="宋体"/>
          <w:sz w:val="24"/>
          <w:highlight w:val="none"/>
        </w:rPr>
      </w:pPr>
      <w:r>
        <w:rPr>
          <w:rFonts w:ascii="宋体" w:hAnsi="宋体" w:cs="宋体"/>
          <w:sz w:val="24"/>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t xml:space="preserve">三、投标</w:t>
      </w:r>
      <w:r>
        <w:rPr>
          <w:rFonts w:ascii="宋体" w:hAnsi="宋体" w:cs="宋体"/>
          <w:sz w:val="30"/>
          <w:szCs w:val="30"/>
          <w:highlight w:val="none"/>
        </w:rPr>
      </w:r>
      <w:r/>
    </w:p>
    <w:p>
      <w:pPr>
        <w:pStyle w:val="909"/>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 投标人</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rPr>
          <w:rFonts w:ascii="宋体" w:hAnsi="宋体" w:cs="宋体"/>
          <w:sz w:val="24"/>
          <w:highlight w:val="none"/>
        </w:rPr>
      </w:r>
      <w:r/>
    </w:p>
    <w:p>
      <w:pPr>
        <w:pStyle w:val="909"/>
        <w:ind w:firstLine="465"/>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rPr>
          <w:rFonts w:ascii="宋体" w:hAnsi="宋体" w:cs="宋体"/>
          <w:sz w:val="24"/>
          <w:highlight w:val="none"/>
        </w:rPr>
      </w:r>
      <w:r/>
    </w:p>
    <w:p>
      <w:pPr>
        <w:pStyle w:val="909"/>
        <w:ind w:firstLine="240"/>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rPr>
          <w:rFonts w:ascii="宋体" w:hAnsi="宋体" w:cs="宋体"/>
          <w:sz w:val="24"/>
          <w:highlight w:val="none"/>
        </w:rPr>
      </w:r>
      <w:r/>
    </w:p>
    <w:p>
      <w:pPr>
        <w:pStyle w:val="909"/>
        <w:ind w:firstLine="24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rPr>
          <w:rFonts w:ascii="宋体" w:hAnsi="宋体" w:cs="宋体"/>
          <w:sz w:val="24"/>
          <w:highlight w:val="none"/>
        </w:rPr>
      </w:r>
      <w:r/>
    </w:p>
    <w:p>
      <w:pPr>
        <w:pStyle w:val="972"/>
        <w:ind w:left="0" w:firstLine="480"/>
        <w:rPr>
          <w:rFonts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rPr>
          <w:rFonts w:ascii="宋体" w:hAnsi="宋体" w:eastAsia="宋体" w:cs="宋体"/>
          <w:sz w:val="24"/>
          <w:highlight w:val="none"/>
        </w:rPr>
      </w:r>
      <w:r/>
    </w:p>
    <w:p>
      <w:pPr>
        <w:pStyle w:val="972"/>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rPr>
          <w:rFonts w:ascii="宋体" w:hAnsi="宋体" w:eastAsia="宋体" w:cs="宋体"/>
          <w:sz w:val="24"/>
          <w:highlight w:val="none"/>
        </w:rPr>
      </w:r>
      <w:r/>
    </w:p>
    <w:p>
      <w:pPr>
        <w:pStyle w:val="972"/>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rPr>
          <w:rFonts w:ascii="宋体" w:hAnsi="宋体" w:eastAsia="宋体" w:cs="宋体"/>
          <w:sz w:val="24"/>
          <w:highlight w:val="none"/>
        </w:rPr>
      </w:r>
      <w:r/>
    </w:p>
    <w:p>
      <w:pPr>
        <w:pStyle w:val="972"/>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rPr>
          <w:rFonts w:ascii="宋体" w:hAnsi="宋体" w:eastAsia="宋体" w:cs="宋体"/>
          <w:sz w:val="24"/>
          <w:highlight w:val="none"/>
        </w:rPr>
      </w:r>
      <w:r/>
    </w:p>
    <w:p>
      <w:pPr>
        <w:pStyle w:val="972"/>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rPr>
          <w:rFonts w:ascii="宋体" w:hAnsi="宋体" w:eastAsia="宋体" w:cs="宋体"/>
          <w:sz w:val="24"/>
          <w:highlight w:val="none"/>
        </w:rPr>
      </w:r>
      <w:r/>
    </w:p>
    <w:p>
      <w:pPr>
        <w:pStyle w:val="909"/>
        <w:ind w:firstLine="24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rPr>
          <w:rFonts w:ascii="宋体" w:hAnsi="宋体" w:cs="宋体"/>
          <w:sz w:val="24"/>
          <w:highlight w:val="none"/>
        </w:rPr>
      </w:r>
      <w:r/>
    </w:p>
    <w:p>
      <w:pPr>
        <w:pStyle w:val="909"/>
        <w:ind w:firstLine="24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rPr>
          <w:rFonts w:ascii="宋体" w:hAnsi="宋体" w:cs="宋体"/>
          <w:sz w:val="24"/>
          <w:highlight w:val="none"/>
        </w:rPr>
      </w:r>
      <w:r/>
    </w:p>
    <w:p>
      <w:pPr>
        <w:pStyle w:val="909"/>
        <w:ind w:firstLine="482"/>
        <w:rPr>
          <w:rFonts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rPr>
          <w:rFonts w:ascii="宋体" w:hAnsi="宋体" w:cs="宋体"/>
          <w:b/>
          <w:bCs/>
          <w:sz w:val="24"/>
          <w:highlight w:val="none"/>
        </w:rPr>
      </w:r>
      <w:r/>
    </w:p>
    <w:p>
      <w:pPr>
        <w:pStyle w:val="909"/>
        <w:ind w:firstLine="482"/>
        <w:rPr>
          <w:rFonts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投标人在投标截止时间前，可以对所提交的投标文件进行补充、修改或者撤回。</w:t>
      </w:r>
      <w:r>
        <w:rPr>
          <w:rFonts w:ascii="宋体" w:hAnsi="宋体" w:cs="宋体"/>
          <w:b/>
          <w:i/>
          <w:highlight w:val="none"/>
          <w:u w:val="single"/>
        </w:rPr>
      </w:r>
      <w:r/>
    </w:p>
    <w:p>
      <w:pPr>
        <w:pStyle w:val="909"/>
        <w:jc w:val="left"/>
        <w:widowControl/>
        <w:rPr>
          <w:rFonts w:ascii="宋体" w:hAnsi="宋体" w:cs="宋体"/>
          <w:sz w:val="24"/>
          <w:highlight w:val="none"/>
        </w:rPr>
      </w:pPr>
      <w:r>
        <w:rPr>
          <w:rFonts w:ascii="宋体" w:hAnsi="宋体" w:cs="宋体"/>
          <w:sz w:val="24"/>
          <w:highlight w:val="none"/>
        </w:rPr>
      </w:r>
      <w:r/>
    </w:p>
    <w:p>
      <w:pPr>
        <w:pStyle w:val="909"/>
        <w:ind w:firstLine="360"/>
        <w:jc w:val="left"/>
        <w:widowControl/>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 投标报价要求</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rPr>
          <w:rFonts w:ascii="宋体" w:hAnsi="宋体" w:cs="宋体"/>
          <w:sz w:val="24"/>
          <w:highlight w:val="none"/>
        </w:rPr>
      </w:r>
      <w:r/>
    </w:p>
    <w:p>
      <w:pPr>
        <w:pStyle w:val="909"/>
        <w:ind w:firstLine="480"/>
        <w:jc w:val="left"/>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bCs/>
          <w:sz w:val="24"/>
          <w:highlight w:val="none"/>
        </w:rPr>
        <w:t xml:space="preserve">采购人不支付报价以外的任何费用。</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投标人只能提交一个投标报价，提交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个以上投标报价的投标文件在符合性审查时按照投标无效处理。</w:t>
      </w:r>
      <w:r>
        <w:rPr>
          <w:rFonts w:ascii="宋体" w:hAnsi="宋体" w:cs="宋体"/>
          <w:sz w:val="24"/>
          <w:highlight w:val="none"/>
        </w:rPr>
      </w:r>
      <w:r/>
    </w:p>
    <w:p>
      <w:pPr>
        <w:pStyle w:val="909"/>
        <w:ind w:firstLine="480"/>
        <w:rPr>
          <w:rFonts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rPr>
          <w:rFonts w:ascii="宋体" w:hAnsi="宋体" w:cs="宋体"/>
          <w:bCs/>
          <w:sz w:val="24"/>
          <w:highlight w:val="none"/>
        </w:rPr>
      </w:r>
      <w:r/>
    </w:p>
    <w:p>
      <w:pPr>
        <w:pStyle w:val="909"/>
        <w:ind w:firstLine="480"/>
        <w:rPr>
          <w:rFonts w:ascii="宋体" w:hAnsi="宋体" w:cs="宋体"/>
          <w:bCs/>
          <w:sz w:val="24"/>
          <w:highlight w:val="none"/>
        </w:rPr>
      </w:pPr>
      <w:r>
        <w:rPr>
          <w:rFonts w:ascii="宋体" w:hAnsi="宋体" w:cs="宋体"/>
          <w:bCs/>
          <w:sz w:val="24"/>
          <w:highlight w:val="none"/>
        </w:rPr>
      </w:r>
      <w:r/>
    </w:p>
    <w:p>
      <w:pPr>
        <w:pStyle w:val="909"/>
        <w:ind w:firstLine="482"/>
        <w:rPr>
          <w:rFonts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.投标人不需缴纳投标保证金。</w:t>
      </w:r>
      <w:r>
        <w:rPr>
          <w:rFonts w:ascii="宋体" w:hAnsi="宋体" w:cs="宋体"/>
          <w:b/>
          <w:bCs/>
          <w:sz w:val="24"/>
          <w:highlight w:val="none"/>
        </w:rPr>
      </w:r>
      <w:r/>
    </w:p>
    <w:p>
      <w:pPr>
        <w:pStyle w:val="909"/>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 本项目不允许转包、分包。</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 相同品牌产品投标</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非单一产品采购项目，采购人应当根据采购项目的技术构成、产品价格比重等合理确定核心产品，并在招标文件中载明。多家投标人提供的核心产品品牌相同的，按前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（一）不同投标人的投标文件由同一单位或者个人编制；</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（二）不同投标人委托同一单位或者个人办理投标事宜；</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（五）不同投标人的投标文件相互混装。</w:t>
      </w:r>
      <w:r>
        <w:rPr>
          <w:rFonts w:ascii="宋体" w:hAnsi="宋体" w:cs="宋体"/>
          <w:sz w:val="24"/>
          <w:highlight w:val="none"/>
        </w:rPr>
      </w:r>
      <w:r/>
    </w:p>
    <w:p>
      <w:pPr>
        <w:pStyle w:val="909"/>
        <w:jc w:val="left"/>
        <w:rPr>
          <w:rFonts w:ascii="宋体" w:hAnsi="宋体" w:cs="宋体"/>
          <w:sz w:val="24"/>
          <w:highlight w:val="none"/>
        </w:rPr>
      </w:pPr>
      <w:r>
        <w:rPr>
          <w:rFonts w:ascii="宋体" w:hAnsi="宋体" w:cs="宋体"/>
          <w:sz w:val="24"/>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t xml:space="preserve">四、开标、评标</w:t>
      </w:r>
      <w:r>
        <w:rPr>
          <w:rFonts w:ascii="宋体" w:hAnsi="宋体" w:cs="宋体"/>
          <w:sz w:val="30"/>
          <w:szCs w:val="30"/>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rPr>
          <w:rFonts w:ascii="宋体" w:hAnsi="宋体" w:cs="宋体"/>
          <w:sz w:val="24"/>
          <w:highlight w:val="none"/>
        </w:rPr>
      </w:r>
      <w:r/>
    </w:p>
    <w:p>
      <w:pPr>
        <w:pStyle w:val="909"/>
        <w:ind w:firstLine="480"/>
        <w:jc w:val="left"/>
        <w:widowControl/>
        <w:rPr>
          <w:rFonts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rPr>
          <w:rFonts w:ascii="宋体" w:hAnsi="宋体" w:cs="宋体"/>
          <w:b/>
          <w:bCs/>
          <w:sz w:val="24"/>
          <w:highlight w:val="none"/>
        </w:rPr>
      </w:r>
      <w:r/>
    </w:p>
    <w:p>
      <w:pPr>
        <w:pStyle w:val="909"/>
        <w:ind w:firstLine="480"/>
        <w:jc w:val="left"/>
        <w:widowControl/>
        <w:rPr>
          <w:rFonts w:ascii="宋体" w:hAnsi="宋体" w:cs="宋体"/>
          <w:sz w:val="24"/>
          <w:highlight w:val="none"/>
        </w:rPr>
      </w:pP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投标人未参加开标的，视同认可开标结果。</w:t>
      </w:r>
      <w:r>
        <w:rPr>
          <w:rFonts w:ascii="宋体" w:hAnsi="宋体" w:cs="宋体"/>
          <w:sz w:val="24"/>
          <w:highlight w:val="none"/>
        </w:rPr>
      </w:r>
      <w:r/>
    </w:p>
    <w:p>
      <w:pPr>
        <w:pStyle w:val="909"/>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rPr>
          <w:rFonts w:ascii="宋体" w:hAnsi="宋体" w:cs="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rPr>
          <w:rFonts w:ascii="宋体" w:hAnsi="宋体"/>
          <w:sz w:val="24"/>
          <w:highlight w:val="none"/>
        </w:rPr>
      </w:r>
      <w:r/>
    </w:p>
    <w:p>
      <w:pPr>
        <w:pStyle w:val="909"/>
        <w:ind w:firstLine="48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rPr>
          <w:rFonts w:ascii="宋体" w:hAnsi="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rPr>
          <w:rFonts w:ascii="宋体" w:hAnsi="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（二）宣布评标纪律；</w:t>
      </w:r>
      <w:r>
        <w:rPr>
          <w:rFonts w:ascii="宋体" w:hAnsi="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（三）公布投标人名单，告知评审专家应当回避的情形；</w:t>
      </w:r>
      <w:r>
        <w:rPr>
          <w:rFonts w:ascii="宋体" w:hAnsi="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（四）组织评标委员会推选评标组长，采购人代表不得担任组长；</w:t>
      </w:r>
      <w:r>
        <w:rPr>
          <w:rFonts w:ascii="宋体" w:hAnsi="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（五）在评标期间采取必要的通讯管理措施，保证评标活动不受外界干扰；</w:t>
      </w:r>
      <w:r>
        <w:rPr>
          <w:rFonts w:ascii="宋体" w:hAnsi="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（六）根据评标委员会的要求介绍政府采购相关政策法规、招标文件；</w:t>
      </w:r>
      <w:r>
        <w:rPr>
          <w:rFonts w:ascii="宋体" w:hAnsi="宋体"/>
          <w:sz w:val="24"/>
          <w:highlight w:val="none"/>
        </w:rPr>
      </w:r>
      <w:r/>
    </w:p>
    <w:p>
      <w:pPr>
        <w:pStyle w:val="909"/>
        <w:ind w:firstLine="480"/>
        <w:jc w:val="left"/>
        <w:widowControl/>
        <w:rPr>
          <w:rFonts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（八）核对评标结果，有《</w:t>
      </w:r>
      <w:r>
        <w:rPr>
          <w:rFonts w:hint="eastAsia"/>
          <w:highlight w:val="none"/>
        </w:rPr>
        <w:fldChar w:fldCharType="begin"/>
      </w:r>
      <w:r>
        <w:rPr>
          <w:highlight w:val="none"/>
        </w:rPr>
        <w:instrText xml:space="preserve"> HYPERLINK "http://www.caigou2003.com/" \t "_blank"</w:instrText>
      </w:r>
      <w:r>
        <w:rPr>
          <w:rFonts w:hint="eastAsia"/>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（十）处理与评标有关的其他事项。</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ascii="宋体" w:hAnsi="宋体"/>
          <w:sz w:val="24"/>
          <w:highlight w:val="none"/>
        </w:rPr>
      </w:r>
      <w:r/>
    </w:p>
    <w:p>
      <w:pPr>
        <w:pStyle w:val="909"/>
        <w:ind w:firstLine="36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（一）审查、评价投标文件是否符合招标文件的商务、技术等实质性要求；</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（二）要求投标人对投标文件有关事项作出澄清或者说明；</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（三）对投标文件进行比较和评价；</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（四）确定中标候选人名单，以及根据采购人委托直接确定中标人；</w:t>
      </w:r>
      <w:r>
        <w:rPr>
          <w:rFonts w:ascii="宋体" w:hAnsi="宋体"/>
          <w:sz w:val="24"/>
          <w:highlight w:val="none"/>
        </w:rPr>
      </w:r>
      <w:r/>
    </w:p>
    <w:p>
      <w:pPr>
        <w:pStyle w:val="909"/>
        <w:ind w:firstLine="360"/>
        <w:jc w:val="left"/>
        <w:widowControl/>
        <w:rPr>
          <w:rFonts w:ascii="宋体" w:hAnsi="宋体"/>
          <w:sz w:val="24"/>
          <w:highlight w:val="none"/>
        </w:rPr>
      </w:pPr>
      <w:r>
        <w:rPr>
          <w:rFonts w:hint="eastAsia" w:ascii="宋体" w:hAnsi="宋体"/>
          <w:sz w:val="24"/>
          <w:highlight w:val="none"/>
        </w:rPr>
        <w:t xml:space="preserve">（五）向采购人、采购代理机构或者有关部门报告评标中发现的违法行为。</w:t>
      </w:r>
      <w:r>
        <w:rPr>
          <w:rFonts w:ascii="宋体" w:hAnsi="宋体"/>
          <w:sz w:val="24"/>
          <w:highlight w:val="none"/>
        </w:rPr>
      </w:r>
      <w:r/>
    </w:p>
    <w:p>
      <w:pPr>
        <w:pStyle w:val="909"/>
        <w:ind w:firstLine="480"/>
        <w:jc w:val="left"/>
        <w:widowControl/>
        <w:rPr>
          <w:rFonts w:ascii="宋体" w:hAnsi="宋体"/>
          <w:sz w:val="24"/>
          <w:highlight w:val="none"/>
        </w:rPr>
      </w:pPr>
      <w:r>
        <w:rPr>
          <w:rFonts w:ascii="宋体" w:hAnsi="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评标方法、评标标准。 </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rPr>
          <w:rFonts w:ascii="宋体" w:hAnsi="宋体" w:cs="宋体"/>
          <w:sz w:val="24"/>
          <w:highlight w:val="none"/>
        </w:rPr>
      </w:r>
      <w:r/>
    </w:p>
    <w:p>
      <w:pPr>
        <w:pStyle w:val="909"/>
        <w:ind w:firstLine="480"/>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rPr>
          <w:rFonts w:ascii="宋体" w:hAnsi="宋体" w:cs="宋体"/>
          <w:sz w:val="24"/>
          <w:highlight w:val="none"/>
        </w:rPr>
      </w:r>
      <w:r/>
    </w:p>
    <w:p>
      <w:pPr>
        <w:pStyle w:val="909"/>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（二）大写金额和小写金额不一致的，以大写金额为准；</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同时出现两种以上不一致的，按照前款规定的顺序修正。修正后的报价按照第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条第二款的规定经投标人确认后产生约束力，投标人不确认的，其投标无效。</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jc w:val="left"/>
        <w:rPr>
          <w:rFonts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 w:val="24"/>
          <w:highlight w:val="none"/>
        </w:rPr>
      </w:r>
      <w:r/>
    </w:p>
    <w:p>
      <w:pPr>
        <w:pStyle w:val="909"/>
        <w:ind w:firstLine="420"/>
        <w:rPr>
          <w:highlight w:val="none"/>
        </w:rPr>
      </w:pPr>
      <w:r>
        <w:rPr>
          <w:highlight w:val="none"/>
        </w:rPr>
      </w:r>
      <w:r/>
    </w:p>
    <w:p>
      <w:pPr>
        <w:pStyle w:val="909"/>
        <w:ind w:firstLine="480"/>
        <w:rPr>
          <w:rFonts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（一）投标文件未按招标文件要求签署、盖章的；</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（二）不具备招标文件中规定的资格要求的；</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（四）投标文件含有采购人不能接受的附加条件的；</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（五）投标人未在规定时间内解密电子投标文件的；</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（六）投标文件未按招标文件规定的内容和要求填写的；没有在投标系统指定位置上传对应文件、材料的；</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（七）不同投标人投标文件内容存在非正常一致、项目组成员出现同一人、投标文件中错误（ 或异常）一致或雷同、电子文档信息一致或雷同的、投标报价呈规律性差异的；</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（八）法律法规和招标文件规定的其他无效情形。</w:t>
      </w: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ind w:firstLine="480"/>
        <w:jc w:val="left"/>
        <w:rPr>
          <w:rFonts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ascii="宋体" w:hAnsi="宋体" w:cs="宋体"/>
          <w:sz w:val="24"/>
          <w:highlight w:val="none"/>
        </w:rPr>
      </w:r>
      <w:r/>
    </w:p>
    <w:p>
      <w:pPr>
        <w:pStyle w:val="909"/>
        <w:ind w:firstLine="420"/>
        <w:rPr>
          <w:highlight w:val="none"/>
        </w:rPr>
      </w:pPr>
      <w:r>
        <w:rPr>
          <w:highlight w:val="none"/>
        </w:rPr>
      </w:r>
      <w:r/>
    </w:p>
    <w:p>
      <w:pPr>
        <w:pStyle w:val="909"/>
        <w:ind w:firstLine="480"/>
        <w:jc w:val="left"/>
        <w:widowControl/>
        <w:rPr>
          <w:rFonts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.废标条款。</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出现下列情形之一的，应予废标：</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（二）出现影响采购公正的违法、违规行为的；</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（三）投标人的报价均超过了采购预算，采购人不能支付的；</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（四）因重大变故，采购任务取消的。</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t xml:space="preserve">五、中标和合同</w:t>
      </w:r>
      <w:r>
        <w:rPr>
          <w:rFonts w:ascii="宋体" w:hAnsi="宋体" w:cs="宋体"/>
          <w:sz w:val="30"/>
          <w:szCs w:val="30"/>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rPr>
          <w:rFonts w:ascii="宋体" w:hAnsi="宋体" w:cs="宋体"/>
          <w:sz w:val="24"/>
          <w:highlight w:val="none"/>
        </w:rPr>
      </w:r>
      <w:r/>
    </w:p>
    <w:p>
      <w:pPr>
        <w:pStyle w:val="909"/>
        <w:ind w:firstLine="465"/>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rPr>
          <w:rFonts w:ascii="宋体" w:hAnsi="宋体" w:cs="宋体"/>
          <w:sz w:val="24"/>
          <w:highlight w:val="none"/>
        </w:rPr>
      </w:r>
      <w:r/>
    </w:p>
    <w:p>
      <w:pPr>
        <w:pStyle w:val="909"/>
        <w:ind w:firstLine="465"/>
        <w:jc w:val="left"/>
        <w:widowControl/>
        <w:rPr>
          <w:rFonts w:ascii="宋体" w:hAnsi="宋体" w:cs="宋体"/>
          <w:sz w:val="24"/>
          <w:highlight w:val="none"/>
        </w:rPr>
      </w:pPr>
      <w:r>
        <w:rPr>
          <w:rFonts w:ascii="宋体" w:hAnsi="宋体" w:cs="宋体"/>
          <w:sz w:val="24"/>
          <w:highlight w:val="none"/>
        </w:rPr>
      </w:r>
      <w:r/>
    </w:p>
    <w:p>
      <w:pPr>
        <w:pStyle w:val="909"/>
        <w:ind w:firstLine="480"/>
        <w:jc w:val="left"/>
        <w:rPr>
          <w:rFonts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.签订政府采购合同</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rPr>
          <w:rFonts w:ascii="宋体" w:hAnsi="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highlight w:val="none"/>
        </w:rPr>
        <w:t xml:space="preserve">容。</w:t>
      </w:r>
      <w:r>
        <w:rPr>
          <w:highlight w:val="none"/>
        </w:rPr>
      </w:r>
      <w:r/>
    </w:p>
    <w:p>
      <w:pPr>
        <w:pStyle w:val="909"/>
        <w:rPr>
          <w:highlight w:val="none"/>
        </w:rPr>
      </w:pPr>
      <w:r>
        <w:rPr>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rPr>
          <w:rFonts w:ascii="宋体" w:hAnsi="宋体" w:cs="宋体"/>
          <w:sz w:val="24"/>
          <w:highlight w:val="none"/>
        </w:rPr>
      </w:r>
      <w:r/>
    </w:p>
    <w:p>
      <w:pPr>
        <w:pStyle w:val="909"/>
        <w:rPr>
          <w:rFonts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rPr>
          <w:rFonts w:ascii="宋体" w:hAnsi="宋体" w:cs="宋体"/>
          <w:sz w:val="24"/>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left="42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rPr>
          <w:rFonts w:ascii="宋体" w:hAnsi="宋体" w:cs="宋体"/>
          <w:sz w:val="30"/>
          <w:szCs w:val="30"/>
          <w:highlight w:val="none"/>
        </w:rPr>
      </w:r>
      <w:r/>
    </w:p>
    <w:p>
      <w:pPr>
        <w:pStyle w:val="909"/>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 询问和质疑</w:t>
      </w:r>
      <w:r>
        <w:rPr>
          <w:rFonts w:ascii="宋体" w:hAnsi="宋体" w:cs="宋体"/>
          <w:sz w:val="24"/>
          <w:highlight w:val="none"/>
        </w:rPr>
      </w:r>
      <w:r/>
    </w:p>
    <w:p>
      <w:pPr>
        <w:pStyle w:val="909"/>
        <w:ind w:firstLine="480"/>
        <w:rPr>
          <w:rFonts w:ascii="宋体" w:hAnsi="宋体" w:cs="宋体"/>
          <w:sz w:val="24"/>
          <w:highlight w:val="none"/>
        </w:rPr>
      </w:pPr>
      <w:r>
        <w:rPr>
          <w:rFonts w:hint="eastAsia" w:ascii="宋体" w:hAnsi="宋体" w:cs="宋体"/>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询问和质疑由采购代理机构依法处理。</w:t>
      </w:r>
      <w:r>
        <w:rPr>
          <w:rFonts w:ascii="宋体" w:hAnsi="宋体" w:cs="宋体"/>
          <w:sz w:val="24"/>
          <w:highlight w:val="none"/>
        </w:rPr>
      </w:r>
      <w:r/>
    </w:p>
    <w:p>
      <w:pPr>
        <w:pStyle w:val="909"/>
        <w:rPr>
          <w:rFonts w:ascii="宋体" w:hAnsi="宋体" w:cs="宋体"/>
          <w:sz w:val="30"/>
          <w:szCs w:val="30"/>
          <w:highlight w:val="none"/>
        </w:rPr>
      </w:pPr>
      <w:r>
        <w:rPr>
          <w:rFonts w:ascii="宋体" w:hAnsi="宋体" w:cs="宋体"/>
          <w:sz w:val="30"/>
          <w:szCs w:val="30"/>
          <w:highlight w:val="none"/>
        </w:rPr>
      </w:r>
      <w:r/>
    </w:p>
    <w:p>
      <w:pPr>
        <w:pStyle w:val="909"/>
        <w:rPr>
          <w:rFonts w:ascii="宋体" w:hAnsi="宋体" w:cs="宋体"/>
          <w:sz w:val="30"/>
          <w:szCs w:val="30"/>
          <w:highlight w:val="none"/>
        </w:rPr>
      </w:pPr>
      <w:r>
        <w:rPr>
          <w:rFonts w:ascii="宋体" w:hAnsi="宋体" w:cs="宋体"/>
          <w:sz w:val="30"/>
          <w:szCs w:val="30"/>
          <w:highlight w:val="none"/>
        </w:rPr>
      </w:r>
      <w:r/>
    </w:p>
    <w:p>
      <w:pPr>
        <w:pStyle w:val="967"/>
        <w:rPr>
          <w:rFonts w:ascii="宋体" w:hAnsi="宋体" w:cs="宋体"/>
          <w:sz w:val="30"/>
          <w:szCs w:val="30"/>
          <w:highlight w:val="none"/>
        </w:rPr>
      </w:pPr>
      <w:r>
        <w:rPr>
          <w:rFonts w:ascii="宋体" w:hAnsi="宋体" w:cs="宋体"/>
          <w:sz w:val="30"/>
          <w:szCs w:val="30"/>
          <w:highlight w:val="none"/>
        </w:rPr>
      </w:r>
      <w:r/>
    </w:p>
    <w:p>
      <w:pPr>
        <w:pStyle w:val="909"/>
        <w:rPr>
          <w:highlight w:val="none"/>
        </w:rPr>
      </w:pPr>
      <w:r>
        <w:rPr>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t xml:space="preserve">第三章  投标资料表</w:t>
      </w:r>
      <w:r>
        <w:rPr>
          <w:rFonts w:ascii="宋体" w:hAnsi="宋体" w:cs="宋体"/>
          <w:sz w:val="30"/>
          <w:szCs w:val="30"/>
          <w:highlight w:val="none"/>
        </w:rPr>
      </w:r>
      <w:r/>
    </w:p>
    <w:p>
      <w:pPr>
        <w:pStyle w:val="1066"/>
        <w:ind w:firstLine="480"/>
        <w:rPr>
          <w:rFonts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rPr>
          <w:rFonts w:ascii="宋体" w:hAnsi="宋体" w:eastAsia="宋体" w:cs="宋体"/>
          <w:sz w:val="24"/>
          <w:highlight w:val="none"/>
        </w:rPr>
      </w:r>
      <w:r/>
    </w:p>
    <w:p>
      <w:pPr>
        <w:pStyle w:val="909"/>
        <w:rPr>
          <w:highlight w:val="none"/>
        </w:rPr>
      </w:pPr>
      <w:r>
        <w:rPr>
          <w:highlight w:val="none"/>
        </w:rPr>
      </w:r>
      <w:r/>
    </w:p>
    <w:tbl>
      <w:tblPr>
        <w:tblW w:w="9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条款项号</w:t>
            </w:r>
            <w:r>
              <w:rPr>
                <w:rFonts w:ascii="宋体" w:hAnsi="宋体" w:cs="宋体"/>
                <w:sz w:val="24"/>
                <w:highlight w:val="none"/>
              </w:rPr>
            </w:r>
            <w:r/>
          </w:p>
        </w:tc>
        <w:tc>
          <w:tcPr>
            <w:tcW w:w="7670"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内容</w:t>
            </w:r>
            <w:r>
              <w:rPr>
                <w:rFonts w:ascii="宋体" w:hAnsi="宋体" w:cs="宋体"/>
                <w:sz w:val="24"/>
                <w:highlight w:val="none"/>
              </w:rPr>
            </w:r>
            <w:r/>
          </w:p>
        </w:tc>
      </w:tr>
      <w:tr>
        <w:trPr/>
        <w:tc>
          <w:tcPr>
            <w:tcW w:w="1368" w:type="dxa"/>
            <w:vAlign w:val="top"/>
            <w:textDirection w:val="lrTb"/>
            <w:noWrap w:val="false"/>
          </w:tcPr>
          <w:p>
            <w:pPr>
              <w:pStyle w:val="909"/>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一、总则</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本项目采购人：徐州市铜山区人民医院</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采购人确定的采购项目属性：货物 </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本项目采购代理机构：江苏中瑞建设项目管理有限公司</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二、招标</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采购项目预算金额人民币448.00万元</w:t>
            </w:r>
            <w:r>
              <w:rPr>
                <w:rFonts w:hint="eastAsia" w:ascii="宋体" w:hAnsi="宋体"/>
                <w:sz w:val="24"/>
                <w:highlight w:val="none"/>
              </w:rPr>
              <w:t xml:space="preserve">。</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本项目对样品的要求：详见采购需求。</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投标有效期：</w:t>
            </w:r>
            <w:r>
              <w:rPr>
                <w:rFonts w:hint="eastAsia" w:cs="宋体"/>
                <w:sz w:val="24"/>
                <w:highlight w:val="none"/>
              </w:rPr>
              <w:t xml:space="preserve">90</w:t>
            </w:r>
            <w:r>
              <w:rPr>
                <w:rFonts w:hint="eastAsia" w:ascii="宋体" w:hAnsi="宋体" w:cs="宋体"/>
                <w:sz w:val="24"/>
                <w:highlight w:val="none"/>
              </w:rPr>
              <w:t xml:space="preserve">天。</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招标文件售价：免费。</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sz w:val="24"/>
                <w:highlight w:val="none"/>
              </w:rPr>
              <w:t xml:space="preserve">招标代理服务费由中标人支付，标准见《招标代理服务收费标准》（见附件）。</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现场考察：不组织现场考察。</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开标前答疑会：不召开开标前答疑会。</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p>
            <w:pPr>
              <w:pStyle w:val="909"/>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rPr>
                <w:rFonts w:ascii="宋体" w:hAnsi="宋体" w:cs="宋体"/>
                <w:bCs/>
                <w:sz w:val="24"/>
                <w:highlight w:val="none"/>
              </w:rPr>
            </w:r>
            <w:r/>
          </w:p>
        </w:tc>
      </w:tr>
      <w:tr>
        <w:trPr>
          <w:trHeight w:val="283"/>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rPr>
                <w:rFonts w:ascii="宋体" w:hAnsi="宋体" w:cs="宋体"/>
                <w:bCs/>
                <w:sz w:val="24"/>
                <w:highlight w:val="none"/>
              </w:rPr>
            </w:r>
            <w:r/>
          </w:p>
          <w:p>
            <w:pPr>
              <w:pStyle w:val="909"/>
              <w:jc w:val="left"/>
              <w:spacing w:line="360" w:lineRule="auto"/>
              <w:rPr>
                <w:rFonts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rPr>
                <w:rFonts w:ascii="宋体" w:hAnsi="宋体" w:cs="宋体"/>
                <w:sz w:val="24"/>
                <w:highlight w:val="none"/>
              </w:rPr>
            </w:r>
            <w:r/>
          </w:p>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二、查询渠道：</w:t>
            </w:r>
            <w:r>
              <w:rPr>
                <w:rFonts w:ascii="宋体" w:hAnsi="宋体" w:cs="宋体"/>
                <w:sz w:val="24"/>
                <w:highlight w:val="none"/>
              </w:rPr>
            </w:r>
            <w:r/>
          </w:p>
          <w:p>
            <w:pPr>
              <w:pStyle w:val="909"/>
              <w:jc w:val="left"/>
              <w:spacing w:line="360" w:lineRule="auto"/>
              <w:rPr>
                <w:rFonts w:ascii="宋体" w:hAnsi="宋体"/>
                <w:sz w:val="24"/>
                <w:highlight w:val="none"/>
              </w:rPr>
            </w:pPr>
            <w:r>
              <w:rPr>
                <w:rFonts w:hint="eastAsia" w:ascii="宋体" w:hAnsi="宋体"/>
                <w:sz w:val="24"/>
                <w:highlight w:val="none"/>
              </w:rPr>
              <w:t xml:space="preserve">1、“信用中国”网（www.creditchina.gov.cn）；</w:t>
            </w:r>
            <w:r>
              <w:rPr>
                <w:rFonts w:ascii="宋体" w:hAnsi="宋体"/>
                <w:sz w:val="24"/>
                <w:highlight w:val="none"/>
              </w:rPr>
            </w:r>
            <w:r/>
          </w:p>
          <w:p>
            <w:pPr>
              <w:pStyle w:val="909"/>
              <w:jc w:val="left"/>
              <w:spacing w:line="360" w:lineRule="auto"/>
              <w:rPr>
                <w:rFonts w:ascii="宋体" w:hAnsi="宋体"/>
                <w:sz w:val="24"/>
                <w:highlight w:val="none"/>
              </w:rPr>
            </w:pPr>
            <w:r>
              <w:rPr>
                <w:rFonts w:hint="eastAsia" w:ascii="宋体" w:hAnsi="宋体"/>
                <w:sz w:val="24"/>
                <w:highlight w:val="none"/>
              </w:rPr>
              <w:t xml:space="preserve">2、“中国政府采购”网（www.ccgp.gov.cn）；</w:t>
            </w:r>
            <w:r>
              <w:rPr>
                <w:rFonts w:ascii="宋体" w:hAnsi="宋体"/>
                <w:sz w:val="24"/>
                <w:highlight w:val="none"/>
              </w:rPr>
            </w:r>
            <w:r/>
          </w:p>
          <w:p>
            <w:pPr>
              <w:pStyle w:val="909"/>
              <w:jc w:val="left"/>
              <w:spacing w:line="360" w:lineRule="auto"/>
              <w:rPr>
                <w:rFonts w:ascii="宋体" w:hAnsi="宋体"/>
                <w:sz w:val="24"/>
                <w:highlight w:val="none"/>
              </w:rPr>
            </w:pPr>
            <w:r>
              <w:rPr>
                <w:rFonts w:hint="eastAsia" w:ascii="宋体" w:hAnsi="宋体"/>
                <w:sz w:val="24"/>
                <w:highlight w:val="none"/>
              </w:rPr>
              <w:t xml:space="preserve">3、“信用江苏”网（http://credit.jiangsu.gov.cn）；</w:t>
            </w:r>
            <w:r>
              <w:rPr>
                <w:rFonts w:ascii="宋体" w:hAnsi="宋体"/>
                <w:sz w:val="24"/>
                <w:highlight w:val="none"/>
              </w:rPr>
            </w:r>
            <w:r/>
          </w:p>
          <w:p>
            <w:pPr>
              <w:pStyle w:val="909"/>
              <w:jc w:val="left"/>
              <w:spacing w:line="360" w:lineRule="auto"/>
              <w:rPr>
                <w:rFonts w:ascii="宋体" w:hAnsi="宋体"/>
                <w:sz w:val="24"/>
                <w:highlight w:val="none"/>
              </w:rPr>
            </w:pPr>
            <w:r>
              <w:rPr>
                <w:rFonts w:hint="eastAsia" w:ascii="宋体" w:hAnsi="宋体"/>
                <w:sz w:val="24"/>
                <w:highlight w:val="none"/>
              </w:rPr>
              <w:t xml:space="preserve">4、“信用中国（江苏徐州）”网（www.xuzhoucredit.gov.cn）；</w:t>
            </w:r>
            <w:r>
              <w:rPr>
                <w:rFonts w:ascii="宋体" w:hAnsi="宋体"/>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三、截止时点（查询环节）：资格审查结束前。</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四、信用信息查询记录和证据留存的具体方式：</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ascii="宋体" w:hAnsi="宋体" w:cs="宋体"/>
                <w:sz w:val="24"/>
                <w:highlight w:val="none"/>
              </w:rPr>
              <w:t xml:space="preserve">网页截屏打印，与其他采购文件一并保存。</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五、信用信息的使用规则：</w:t>
            </w:r>
            <w:r>
              <w:rPr>
                <w:rFonts w:ascii="宋体" w:hAnsi="宋体" w:cs="宋体"/>
                <w:bCs/>
                <w:sz w:val="24"/>
                <w:highlight w:val="none"/>
              </w:rPr>
            </w:r>
            <w:r/>
          </w:p>
          <w:p>
            <w:pPr>
              <w:pStyle w:val="909"/>
              <w:jc w:val="left"/>
              <w:spacing w:line="360" w:lineRule="auto"/>
              <w:rPr>
                <w:rFonts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highlight w:val="none"/>
              </w:rPr>
            </w:r>
            <w:r/>
          </w:p>
        </w:tc>
      </w:tr>
      <w:tr>
        <w:trPr/>
        <w:tc>
          <w:tcPr>
            <w:tcW w:w="1368" w:type="dxa"/>
            <w:vAlign w:val="top"/>
            <w:textDirection w:val="lrTb"/>
            <w:noWrap w:val="false"/>
          </w:tcPr>
          <w:p>
            <w:pPr>
              <w:pStyle w:val="909"/>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bCs/>
                <w:sz w:val="24"/>
                <w:highlight w:val="none"/>
              </w:rPr>
              <w:t xml:space="preserve">三、投标</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bCs/>
                <w:sz w:val="24"/>
                <w:highlight w:val="none"/>
              </w:rPr>
            </w:pPr>
            <w:r>
              <w:rPr>
                <w:rFonts w:hint="eastAsia" w:ascii="宋体" w:hAnsi="宋体" w:cs="宋体"/>
                <w:bCs/>
                <w:sz w:val="24"/>
                <w:highlight w:val="none"/>
              </w:rPr>
              <w:t xml:space="preserve">投标人的资格要求：</w:t>
            </w:r>
            <w:r>
              <w:rPr>
                <w:rFonts w:ascii="宋体" w:hAnsi="宋体" w:cs="宋体"/>
                <w:bCs/>
                <w:sz w:val="24"/>
                <w:highlight w:val="none"/>
              </w:rPr>
            </w:r>
            <w:r/>
          </w:p>
          <w:p>
            <w:pPr>
              <w:pStyle w:val="909"/>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ascii="宋体" w:hAnsi="宋体" w:cs="宋体"/>
                <w:bCs/>
                <w:sz w:val="24"/>
                <w:highlight w:val="none"/>
              </w:rPr>
              <w:t xml:space="preserve">符合</w:t>
            </w:r>
            <w:r>
              <w:rPr>
                <w:rFonts w:hint="eastAsia" w:ascii="宋体" w:hAnsi="宋体" w:cs="宋体"/>
                <w:sz w:val="24"/>
                <w:highlight w:val="none"/>
              </w:rPr>
              <w:t xml:space="preserve">《中华人民共和国政府采购法》第二十二条规定；</w:t>
            </w:r>
            <w:r>
              <w:rPr>
                <w:rFonts w:ascii="宋体" w:hAnsi="宋体" w:cs="宋体"/>
                <w:sz w:val="24"/>
                <w:highlight w:val="none"/>
              </w:rPr>
            </w:r>
            <w:r/>
          </w:p>
          <w:p>
            <w:pPr>
              <w:pStyle w:val="909"/>
              <w:spacing w:line="360" w:lineRule="auto"/>
              <w:rPr>
                <w:rFonts w:ascii="宋体" w:hAnsi="宋体" w:cs="宋体"/>
                <w:bCs/>
                <w:sz w:val="24"/>
                <w:highlight w:val="none"/>
              </w:rPr>
            </w:pPr>
            <w:r>
              <w:rPr>
                <w:rFonts w:hint="eastAsia" w:cs="宋体"/>
                <w:sz w:val="24"/>
                <w:highlight w:val="none"/>
              </w:rPr>
              <w:t xml:space="preserve">2</w:t>
            </w:r>
            <w:r>
              <w:rPr>
                <w:rFonts w:hint="eastAsia" w:ascii="宋体" w:hAnsi="宋体" w:cs="宋体"/>
                <w:sz w:val="24"/>
                <w:highlight w:val="none"/>
              </w:rPr>
              <w:t xml:space="preserve">、落实政府采购政策需满足的资格要求：</w:t>
            </w:r>
            <w:bookmarkStart w:id="1" w:name="OLE_LINK3"/>
            <w:r>
              <w:rPr>
                <w:rFonts w:hint="eastAsia" w:ascii="宋体" w:hAnsi="宋体" w:cs="宋体"/>
                <w:b/>
                <w:color w:val="000000"/>
                <w:sz w:val="24"/>
                <w:highlight w:val="none"/>
              </w:rPr>
              <w:t xml:space="preserve">此项目不属于专门面向中小企业采购的项目</w:t>
            </w:r>
            <w:bookmarkEnd w:id="1"/>
            <w:r>
              <w:rPr>
                <w:rFonts w:ascii="宋体" w:hAnsi="宋体" w:cs="宋体"/>
                <w:bCs/>
                <w:sz w:val="24"/>
                <w:highlight w:val="none"/>
              </w:rPr>
            </w:r>
            <w:r/>
          </w:p>
          <w:p>
            <w:pPr>
              <w:pStyle w:val="909"/>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、本项目的特定资格要求：无</w:t>
            </w:r>
            <w:r>
              <w:rPr>
                <w:rFonts w:ascii="宋体" w:hAnsi="宋体" w:cs="宋体"/>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说明：</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、本项目不接受联合体参与投标。</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rPr>
              <w:t xml:space="preserve">、单位负责人为同一人或者存在直接控股、管理关系的不同供应商，不得参加同一合同项下的政府采购活动。</w:t>
            </w:r>
            <w:r>
              <w:rPr>
                <w:rFonts w:ascii="宋体" w:hAnsi="宋体" w:cs="宋体"/>
                <w:bCs/>
                <w:sz w:val="24"/>
                <w:highlight w:val="none"/>
              </w:rPr>
            </w:r>
            <w:r/>
          </w:p>
          <w:p>
            <w:pPr>
              <w:pStyle w:val="909"/>
              <w:jc w:val="left"/>
              <w:spacing w:line="360" w:lineRule="auto"/>
              <w:rPr>
                <w:highlight w:val="none"/>
              </w:rPr>
            </w:pPr>
            <w:r>
              <w:rPr>
                <w:rFonts w:hint="eastAsia" w:cs="宋体"/>
                <w:bCs/>
                <w:sz w:val="24"/>
                <w:highlight w:val="none"/>
              </w:rPr>
              <w:t xml:space="preserve">3</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rPr>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highlight w:val="none"/>
              </w:rPr>
              <w:fldChar w:fldCharType="begin"/>
            </w:r>
            <w:r>
              <w:rPr>
                <w:highlight w:val="none"/>
              </w:rPr>
              <w:instrText xml:space="preserve"> HYPERLINK "http://jszfcg.jsczt.cn/"</w:instrText>
            </w:r>
            <w:r>
              <w:rPr>
                <w:rFonts w:hint="eastAsia"/>
                <w:highlight w:val="none"/>
              </w:rPr>
              <w:fldChar w:fldCharType="separate"/>
            </w:r>
            <w:r>
              <w:rPr>
                <w:rFonts w:hint="eastAsia" w:cs="宋体"/>
                <w:bCs/>
                <w:sz w:val="24"/>
                <w:highlight w:val="none"/>
              </w:rPr>
              <w:t xml:space="preserve">http</w:t>
            </w:r>
            <w:r>
              <w:rPr>
                <w:rFonts w:hint="eastAsia" w:ascii="宋体" w:hAnsi="宋体" w:cs="宋体"/>
                <w:bCs/>
                <w:sz w:val="24"/>
                <w:highlight w:val="none"/>
              </w:rPr>
              <w:t xml:space="preserve">://</w:t>
            </w:r>
            <w:r>
              <w:rPr>
                <w:rFonts w:hint="eastAsia" w:cs="宋体"/>
                <w:bCs/>
                <w:sz w:val="24"/>
                <w:highlight w:val="none"/>
              </w:rPr>
              <w:t xml:space="preserve">jszfcg</w:t>
            </w:r>
            <w:r>
              <w:rPr>
                <w:rFonts w:hint="eastAsia" w:ascii="宋体" w:hAnsi="宋体" w:cs="宋体"/>
                <w:bCs/>
                <w:sz w:val="24"/>
                <w:highlight w:val="none"/>
              </w:rPr>
              <w:t xml:space="preserve">.</w:t>
            </w:r>
            <w:r>
              <w:rPr>
                <w:rFonts w:hint="eastAsia" w:cs="宋体"/>
                <w:bCs/>
                <w:sz w:val="24"/>
                <w:highlight w:val="none"/>
              </w:rPr>
              <w:t xml:space="preserve">jsc</w:t>
            </w:r>
            <w:bookmarkStart w:id="2" w:name="_Hlt91509263"/>
            <w:r/>
            <w:bookmarkStart w:id="3" w:name="_Hlt91509264"/>
            <w:r>
              <w:rPr>
                <w:rFonts w:hint="eastAsia" w:cs="宋体"/>
                <w:bCs/>
                <w:sz w:val="24"/>
                <w:highlight w:val="none"/>
              </w:rPr>
              <w:t xml:space="preserve">z</w:t>
            </w:r>
            <w:bookmarkEnd w:id="2"/>
            <w:r/>
            <w:bookmarkEnd w:id="3"/>
            <w:r>
              <w:rPr>
                <w:rFonts w:hint="eastAsia" w:cs="宋体"/>
                <w:bCs/>
                <w:sz w:val="24"/>
                <w:highlight w:val="none"/>
              </w:rPr>
              <w:t xml:space="preserve">t</w:t>
            </w:r>
            <w:r>
              <w:rPr>
                <w:rFonts w:hint="eastAsia" w:ascii="宋体" w:hAnsi="宋体" w:cs="宋体"/>
                <w:bCs/>
                <w:sz w:val="24"/>
                <w:highlight w:val="none"/>
              </w:rPr>
              <w:t xml:space="preserve">.</w:t>
            </w:r>
            <w:r>
              <w:rPr>
                <w:rFonts w:hint="eastAsia" w:cs="宋体"/>
                <w:bCs/>
                <w:sz w:val="24"/>
                <w:highlight w:val="none"/>
              </w:rPr>
              <w:t xml:space="preserve">cn</w:t>
            </w:r>
            <w:r>
              <w:rPr>
                <w:rFonts w:hint="eastAsia" w:ascii="宋体" w:hAnsi="宋体" w:cs="宋体"/>
                <w:bCs/>
                <w:sz w:val="24"/>
                <w:highlight w:val="none"/>
              </w:rPr>
              <w:t xml:space="preserve">/</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）--已报名项目--报名详情页面内相应链接进行下载；供应商操作手册及政府采购客户端工具也可通过</w:t>
            </w:r>
            <w:r>
              <w:rPr>
                <w:rFonts w:ascii="SimSun" w:hAnsi="SimSun" w:eastAsia="SimSun" w:cs="SimSun"/>
                <w:color w:val="000000"/>
                <w:sz w:val="24"/>
              </w:rPr>
              <w:t xml:space="preserve">“徐州政府采购网-办事指南-相关服务-资料下载”</w:t>
            </w:r>
            <w:r>
              <w:rPr>
                <w:rFonts w:hint="eastAsia" w:ascii="宋体" w:hAnsi="宋体" w:cs="宋体"/>
                <w:bCs/>
                <w:sz w:val="24"/>
                <w:highlight w:val="none"/>
              </w:rPr>
              <w:t xml:space="preserve">，点击进入《江苏省政府采购管理交易系统（苏采云）供应商操作手册及政府采购客户端》，进行下载。</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w:t>
            </w:r>
            <w:r>
              <w:rPr>
                <w:rFonts w:ascii="宋体" w:hAnsi="宋体" w:cs="宋体"/>
                <w:bCs/>
                <w:sz w:val="24"/>
                <w:highlight w:val="none"/>
              </w:rPr>
            </w:r>
            <w:r/>
          </w:p>
        </w:tc>
      </w:tr>
      <w:tr>
        <w:trPr>
          <w:trHeight w:val="90"/>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一、基本目录</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t xml:space="preserve">《开标一览表》（加盖电子签章，政府采购客户端工具输入报价自动生成</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ascii="宋体" w:hAnsi="宋体" w:cs="宋体"/>
                <w:bCs/>
                <w:sz w:val="24"/>
                <w:highlight w:val="none"/>
              </w:rPr>
            </w:r>
            <w:r/>
          </w:p>
          <w:p>
            <w:pPr>
              <w:pStyle w:val="909"/>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2、所投产品的环境标志产品认证证书原件的扫描件（如有）。</w:t>
            </w:r>
            <w:r>
              <w:rPr>
                <w:rFonts w:ascii="宋体" w:hAnsi="宋体" w:cs="宋体"/>
                <w:b/>
                <w:bCs/>
                <w:sz w:val="24"/>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rPr>
                <w:rFonts w:ascii="宋体" w:hAnsi="宋体" w:cs="宋体"/>
                <w:sz w:val="24"/>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cs="宋体"/>
                <w:sz w:val="24"/>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（2）环境标志产品认证证书是否符合要求，采购人评标时查询中国政府采购网（www.ccgp.gov.cn）相关内容后确定。</w:t>
            </w:r>
            <w:r>
              <w:rPr>
                <w:rFonts w:ascii="宋体" w:hAnsi="宋体" w:cs="宋体"/>
                <w:sz w:val="24"/>
                <w:highlight w:val="none"/>
              </w:rPr>
            </w:r>
            <w:r/>
          </w:p>
          <w:p>
            <w:pPr>
              <w:pStyle w:val="909"/>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3、所投产品的节能产品认证证书原件的扫描件（如有）。</w:t>
            </w:r>
            <w:r>
              <w:rPr>
                <w:rFonts w:ascii="宋体" w:hAnsi="宋体" w:cs="宋体"/>
                <w:b/>
                <w:bCs/>
                <w:sz w:val="24"/>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rPr>
                <w:rFonts w:ascii="宋体" w:hAnsi="宋体" w:cs="宋体"/>
                <w:sz w:val="24"/>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ascii="宋体" w:hAnsi="宋体" w:cs="宋体"/>
                <w:sz w:val="24"/>
                <w:highlight w:val="none"/>
              </w:rPr>
            </w:r>
            <w:r/>
          </w:p>
          <w:p>
            <w:pPr>
              <w:pStyle w:val="937"/>
              <w:ind w:left="0"/>
              <w:spacing w:line="360" w:lineRule="auto"/>
              <w:rPr>
                <w:highlight w:val="none"/>
              </w:rPr>
            </w:pPr>
            <w:r>
              <w:rPr>
                <w:rFonts w:hint="eastAsia" w:ascii="宋体" w:hAnsi="宋体" w:cs="宋体"/>
                <w:szCs w:val="24"/>
                <w:highlight w:val="none"/>
              </w:rPr>
              <w:t xml:space="preserve">（2）节能产品认证证书是否符合要求，采购人评标时查询中国政府采购网（www.ccgp.gov.cn）相关内容后确定。</w:t>
            </w:r>
            <w:r>
              <w:rPr>
                <w:highlight w:val="none"/>
              </w:rPr>
            </w:r>
            <w:r/>
          </w:p>
          <w:p>
            <w:pPr>
              <w:pStyle w:val="909"/>
              <w:jc w:val="left"/>
              <w:spacing w:line="360" w:lineRule="auto"/>
              <w:rPr>
                <w:rFonts w:ascii="宋体" w:hAnsi="宋体" w:cs="宋体"/>
                <w:bCs/>
                <w:sz w:val="24"/>
                <w:highlight w:val="none"/>
              </w:rPr>
            </w:pPr>
            <w:r>
              <w:rPr>
                <w:rFonts w:hint="eastAsia" w:ascii="宋体" w:hAnsi="宋体" w:cs="宋体"/>
                <w:b/>
                <w:sz w:val="24"/>
                <w:highlight w:val="none"/>
              </w:rPr>
              <w:t xml:space="preserve">二、资格条件（必须提供，否则投标将被拒绝）</w:t>
            </w:r>
            <w:r>
              <w:rPr>
                <w:rFonts w:hint="eastAsia" w:ascii="宋体" w:hAnsi="宋体" w:cs="宋体"/>
                <w:bCs/>
                <w:sz w:val="24"/>
                <w:highlight w:val="none"/>
              </w:rPr>
              <w:t xml:space="preserve">：</w:t>
            </w:r>
            <w:r>
              <w:rPr>
                <w:rFonts w:ascii="宋体" w:hAnsi="宋体" w:cs="宋体"/>
                <w:bCs/>
                <w:sz w:val="24"/>
                <w:highlight w:val="none"/>
              </w:rPr>
            </w:r>
            <w:r/>
          </w:p>
          <w:p>
            <w:pPr>
              <w:pStyle w:val="909"/>
              <w:spacing w:line="360" w:lineRule="auto"/>
              <w:rPr>
                <w:sz w:val="24"/>
                <w:szCs w:val="32"/>
                <w:highlight w:val="none"/>
              </w:rPr>
            </w:pPr>
            <w:r>
              <w:rPr>
                <w:sz w:val="24"/>
                <w:szCs w:val="32"/>
                <w:highlight w:val="none"/>
              </w:rPr>
              <w:t xml:space="preserve">1</w:t>
            </w:r>
            <w:r>
              <w:rPr>
                <w:rFonts w:hint="eastAsia"/>
                <w:sz w:val="24"/>
                <w:szCs w:val="32"/>
                <w:highlight w:val="none"/>
              </w:rPr>
              <w:t xml:space="preserve">、</w:t>
            </w:r>
            <w:bookmarkStart w:id="4" w:name="OLE_LINK5"/>
            <w:r>
              <w:rPr>
                <w:rFonts w:hint="eastAsia"/>
                <w:sz w:val="24"/>
                <w:szCs w:val="32"/>
                <w:highlight w:val="none"/>
              </w:rPr>
              <w:t xml:space="preserve">具有独立承担民事责任的能力：</w:t>
            </w:r>
            <w:r>
              <w:rPr>
                <w:rFonts w:hint="eastAsia" w:ascii="宋体" w:hAnsi="宋体" w:cs="宋体"/>
                <w:sz w:val="24"/>
                <w:highlight w:val="none"/>
              </w:rPr>
              <w:t xml:space="preserve">投标人合法有效的法人或者其他组织的营业执照等证明文件，自然人的身份证明。以上证明文件提供原件的扫描件。</w:t>
            </w:r>
            <w:bookmarkEnd w:id="4"/>
            <w:r>
              <w:rPr>
                <w:sz w:val="24"/>
                <w:szCs w:val="32"/>
                <w:highlight w:val="none"/>
              </w:rPr>
            </w:r>
            <w:r/>
          </w:p>
          <w:p>
            <w:pPr>
              <w:pStyle w:val="909"/>
              <w:spacing w:line="360" w:lineRule="auto"/>
              <w:rPr>
                <w:sz w:val="24"/>
                <w:szCs w:val="32"/>
                <w:highlight w:val="none"/>
              </w:rPr>
            </w:pPr>
            <w:r>
              <w:rPr>
                <w:sz w:val="24"/>
                <w:szCs w:val="32"/>
                <w:highlight w:val="none"/>
              </w:rPr>
              <w:t xml:space="preserve">2</w:t>
            </w:r>
            <w:r>
              <w:rPr>
                <w:rFonts w:hint="eastAsia"/>
                <w:sz w:val="24"/>
                <w:szCs w:val="32"/>
                <w:highlight w:val="none"/>
              </w:rPr>
              <w:t xml:space="preserve">、</w:t>
            </w:r>
            <w:bookmarkStart w:id="5" w:name="OLE_LINK12"/>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即提供投标人的本项目开标时间前6个月内任何时间的资产负债表、利润表扫描件各一份；或提供合法有效的经第三方机构审计的202</w:t>
            </w:r>
            <w:r>
              <w:rPr>
                <w:rFonts w:hint="eastAsia"/>
                <w:sz w:val="24"/>
                <w:szCs w:val="32"/>
                <w:highlight w:val="none"/>
              </w:rPr>
              <w:t xml:space="preserve">4</w:t>
            </w:r>
            <w:r>
              <w:rPr>
                <w:sz w:val="24"/>
                <w:szCs w:val="32"/>
                <w:highlight w:val="none"/>
              </w:rPr>
              <w:t xml:space="preserve">年度或2025</w:t>
            </w:r>
            <w:r>
              <w:rPr>
                <w:sz w:val="24"/>
                <w:szCs w:val="32"/>
                <w:highlight w:val="none"/>
              </w:rPr>
              <w:t xml:space="preserve">年度财务审计报告扫描件（应包括审计报告正文、资产负债表、现金流量表、利润表）；</w:t>
            </w:r>
            <w:bookmarkEnd w:id="5"/>
            <w:r>
              <w:rPr>
                <w:sz w:val="24"/>
                <w:szCs w:val="32"/>
                <w:highlight w:val="none"/>
              </w:rPr>
            </w:r>
            <w:r/>
          </w:p>
          <w:p>
            <w:pPr>
              <w:pStyle w:val="909"/>
              <w:spacing w:line="360" w:lineRule="auto"/>
              <w:rPr>
                <w:sz w:val="24"/>
                <w:szCs w:val="32"/>
                <w:highlight w:val="none"/>
              </w:rPr>
            </w:pPr>
            <w:r>
              <w:rPr>
                <w:sz w:val="24"/>
                <w:szCs w:val="32"/>
                <w:highlight w:val="none"/>
              </w:rPr>
              <w:t xml:space="preserve">3</w:t>
            </w:r>
            <w:r>
              <w:rPr>
                <w:rFonts w:hint="eastAsia"/>
                <w:sz w:val="24"/>
                <w:szCs w:val="32"/>
                <w:highlight w:val="none"/>
              </w:rPr>
              <w:t xml:space="preserve">、</w:t>
            </w:r>
            <w:bookmarkStart w:id="6" w:name="OLE_LINK13"/>
            <w:r>
              <w:rPr>
                <w:rFonts w:hint="eastAsia"/>
                <w:sz w:val="24"/>
                <w:szCs w:val="32"/>
                <w:highlight w:val="none"/>
              </w:rPr>
              <w:t xml:space="preserve">有依法缴纳税收和社会保障资金的良好记录：</w:t>
            </w:r>
            <w:r>
              <w:rPr>
                <w:sz w:val="24"/>
                <w:szCs w:val="32"/>
                <w:highlight w:val="none"/>
              </w:rPr>
            </w:r>
            <w:r/>
          </w:p>
          <w:p>
            <w:pPr>
              <w:pStyle w:val="909"/>
              <w:spacing w:line="360" w:lineRule="auto"/>
              <w:rPr>
                <w:sz w:val="24"/>
                <w:szCs w:val="32"/>
                <w:highlight w:val="none"/>
              </w:rPr>
            </w:pP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rPr>
              <w:t xml:space="preserve">，</w:t>
            </w:r>
            <w:r>
              <w:rPr>
                <w:sz w:val="24"/>
                <w:szCs w:val="32"/>
                <w:highlight w:val="none"/>
              </w:rPr>
              <w:t xml:space="preserve">提供相应文件扫描件证明其依法免税或不需要缴纳社会保障资金</w:t>
            </w:r>
            <w:r>
              <w:rPr>
                <w:rFonts w:hint="eastAsia"/>
                <w:sz w:val="24"/>
                <w:szCs w:val="32"/>
                <w:highlight w:val="none"/>
              </w:rPr>
              <w:t xml:space="preserve">）</w:t>
            </w:r>
            <w:r>
              <w:rPr>
                <w:sz w:val="24"/>
                <w:szCs w:val="32"/>
                <w:highlight w:val="none"/>
              </w:rPr>
              <w:t xml:space="preserve">；</w:t>
            </w:r>
            <w:bookmarkEnd w:id="6"/>
            <w:r>
              <w:rPr>
                <w:sz w:val="24"/>
                <w:szCs w:val="32"/>
                <w:highlight w:val="none"/>
              </w:rPr>
            </w:r>
            <w:r/>
          </w:p>
          <w:p>
            <w:pPr>
              <w:pStyle w:val="909"/>
              <w:spacing w:line="360" w:lineRule="auto"/>
              <w:rPr>
                <w:sz w:val="24"/>
                <w:szCs w:val="32"/>
                <w:highlight w:val="none"/>
              </w:rPr>
            </w:pPr>
            <w:r>
              <w:rPr>
                <w:sz w:val="24"/>
                <w:szCs w:val="32"/>
                <w:highlight w:val="none"/>
              </w:rPr>
              <w:t xml:space="preserve">4</w:t>
            </w:r>
            <w:r>
              <w:rPr>
                <w:rFonts w:hint="eastAsia"/>
                <w:sz w:val="24"/>
                <w:szCs w:val="32"/>
                <w:highlight w:val="none"/>
              </w:rPr>
              <w:t xml:space="preserve">、</w:t>
            </w:r>
            <w:bookmarkStart w:id="7" w:name="OLE_LINK14"/>
            <w:r>
              <w:rPr>
                <w:rFonts w:hint="eastAsia"/>
                <w:sz w:val="24"/>
                <w:szCs w:val="32"/>
                <w:highlight w:val="none"/>
              </w:rPr>
              <w:t xml:space="preserve">具有履行合同所必需的设备和专业技术能力的证明材料：投标文件中提供《具备履行合同所必需的设备和专业技术能力的书面声明》。</w:t>
            </w:r>
            <w:r>
              <w:rPr>
                <w:sz w:val="24"/>
                <w:szCs w:val="32"/>
                <w:highlight w:val="none"/>
              </w:rPr>
              <w:t xml:space="preserve">（加盖电子签章，格式见招标文件第七章《投标文件相关格式》）；</w:t>
            </w:r>
            <w:bookmarkEnd w:id="7"/>
            <w:r>
              <w:rPr>
                <w:sz w:val="24"/>
                <w:szCs w:val="32"/>
                <w:highlight w:val="none"/>
              </w:rPr>
            </w:r>
            <w:r/>
          </w:p>
          <w:p>
            <w:pPr>
              <w:pStyle w:val="909"/>
              <w:spacing w:line="360" w:lineRule="auto"/>
              <w:rPr>
                <w:sz w:val="24"/>
                <w:szCs w:val="32"/>
                <w:highlight w:val="none"/>
              </w:rPr>
            </w:pPr>
            <w:r>
              <w:rPr>
                <w:sz w:val="24"/>
                <w:szCs w:val="32"/>
                <w:highlight w:val="none"/>
              </w:rPr>
              <w:t xml:space="preserve">5</w:t>
            </w:r>
            <w:r>
              <w:rPr>
                <w:rFonts w:hint="eastAsia"/>
                <w:sz w:val="24"/>
                <w:szCs w:val="32"/>
                <w:highlight w:val="none"/>
              </w:rPr>
              <w:t xml:space="preserve">、</w:t>
            </w:r>
            <w:bookmarkStart w:id="8" w:name="OLE_LINK15"/>
            <w:r>
              <w:rPr>
                <w:rFonts w:hint="eastAsia"/>
                <w:sz w:val="24"/>
                <w:szCs w:val="32"/>
                <w:highlight w:val="none"/>
              </w:rPr>
              <w:t xml:space="preserve">参加政府采购活动前三年内，在经营活动中没有重大违法记录：即提供</w:t>
            </w:r>
            <w:r>
              <w:rPr>
                <w:sz w:val="24"/>
                <w:szCs w:val="32"/>
                <w:highlight w:val="none"/>
              </w:rPr>
              <w:t xml:space="preserve">投标人参加政府采购活动前3年内在经营活动中没有重大违法记录的书面声明，加盖电子签章，格式见本文件第七章《投标文件相关格式》；</w:t>
            </w:r>
            <w:bookmarkEnd w:id="8"/>
            <w:r>
              <w:rPr>
                <w:sz w:val="24"/>
                <w:szCs w:val="32"/>
                <w:highlight w:val="none"/>
              </w:rPr>
            </w:r>
            <w:r/>
          </w:p>
          <w:p>
            <w:pPr>
              <w:pStyle w:val="909"/>
              <w:spacing w:line="360" w:lineRule="auto"/>
              <w:rPr>
                <w:rFonts w:ascii="宋体" w:hAnsi="宋体" w:cs="宋体"/>
                <w:b/>
                <w:sz w:val="24"/>
                <w:highlight w:val="none"/>
              </w:rPr>
            </w:pPr>
            <w:r>
              <w:rPr>
                <w:rFonts w:hint="eastAsia" w:ascii="宋体" w:hAnsi="宋体" w:cs="宋体"/>
                <w:b/>
                <w:sz w:val="24"/>
                <w:highlight w:val="none"/>
              </w:rPr>
              <w:t xml:space="preserve">三、符合条件（必须提供，否则在符合性审查时按照投标无效处理）</w:t>
            </w:r>
            <w:r>
              <w:rPr>
                <w:rFonts w:ascii="宋体" w:hAnsi="宋体" w:cs="宋体"/>
                <w:b/>
                <w:sz w:val="24"/>
                <w:highlight w:val="none"/>
              </w:rPr>
            </w:r>
            <w:r/>
          </w:p>
          <w:p>
            <w:pPr>
              <w:pStyle w:val="909"/>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rPr>
                <w:rFonts w:ascii="宋体" w:hAnsi="宋体" w:cs="宋体"/>
                <w:b/>
                <w:bCs/>
                <w:sz w:val="24"/>
                <w:highlight w:val="none"/>
              </w:rPr>
            </w:r>
            <w:r/>
          </w:p>
          <w:p>
            <w:pPr>
              <w:pStyle w:val="909"/>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9" w:name="OLE_LINK7"/>
            <w:r>
              <w:rPr>
                <w:rFonts w:hint="eastAsia" w:ascii="宋体" w:hAnsi="宋体" w:cs="宋体"/>
                <w:b/>
                <w:bCs/>
                <w:sz w:val="24"/>
                <w:highlight w:val="none"/>
              </w:rPr>
              <w:t xml:space="preserve">《开标一览表》</w:t>
            </w:r>
            <w:r>
              <w:rPr>
                <w:rFonts w:hint="eastAsia" w:ascii="宋体" w:hAnsi="宋体" w:cs="宋体"/>
                <w:b/>
                <w:bCs/>
                <w:sz w:val="24"/>
                <w:highlight w:val="none"/>
                <w:lang w:eastAsia="zh-CN"/>
              </w:rPr>
              <w:t xml:space="preserve">。</w:t>
            </w:r>
            <w:r>
              <w:rPr>
                <w:rFonts w:hint="eastAsia" w:ascii="宋体" w:hAnsi="宋体" w:cs="宋体"/>
                <w:b/>
                <w:sz w:val="24"/>
                <w:highlight w:val="none"/>
              </w:rPr>
              <w:t xml:space="preserve">加盖电子签章，格式见本文件第七章《投标文件相关格式》。</w:t>
            </w:r>
            <w:r>
              <w:rPr>
                <w:rFonts w:hint="eastAsia" w:ascii="宋体" w:hAnsi="宋体" w:cs="宋体"/>
                <w:b/>
                <w:bCs/>
                <w:sz w:val="24"/>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2</w:t>
            </w:r>
            <w:r>
              <w:rPr>
                <w:rFonts w:hint="eastAsia" w:ascii="宋体" w:hAnsi="宋体" w:cs="宋体"/>
                <w:b/>
                <w:bCs/>
                <w:sz w:val="24"/>
                <w:highlight w:val="none"/>
                <w:lang w:val="en-US" w:eastAsia="zh-CN"/>
              </w:rPr>
              <w:t xml:space="preserve">.</w:t>
            </w:r>
            <w:r>
              <w:rPr>
                <w:rFonts w:hint="eastAsia" w:ascii="宋体" w:hAnsi="宋体" w:cs="宋体"/>
                <w:b/>
                <w:sz w:val="24"/>
                <w:highlight w:val="none"/>
              </w:rPr>
              <w:t xml:space="preserve">《分项价格表》。加盖电子签章，格式见本文件第七章《投标文件相关格式》。</w:t>
            </w:r>
            <w:bookmarkEnd w:id="9"/>
            <w:r>
              <w:rPr>
                <w:rFonts w:ascii="宋体" w:hAnsi="宋体" w:cs="宋体"/>
                <w:sz w:val="24"/>
                <w:highlight w:val="none"/>
              </w:rPr>
            </w:r>
            <w:r/>
          </w:p>
          <w:p>
            <w:pPr>
              <w:pStyle w:val="909"/>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（二）商务资信</w:t>
            </w:r>
            <w:r>
              <w:rPr>
                <w:rFonts w:ascii="宋体" w:hAnsi="宋体" w:cs="宋体"/>
                <w:b/>
                <w:bCs/>
                <w:sz w:val="24"/>
                <w:highlight w:val="none"/>
              </w:rPr>
            </w:r>
            <w:r/>
          </w:p>
          <w:p>
            <w:pPr>
              <w:pStyle w:val="909"/>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10" w:name="OLE_LINK8"/>
            <w:r>
              <w:rPr>
                <w:rFonts w:hint="eastAsia" w:ascii="宋体" w:hAnsi="宋体" w:cs="宋体"/>
                <w:b/>
                <w:bCs/>
                <w:sz w:val="24"/>
                <w:highlight w:val="none"/>
              </w:rPr>
              <w:t xml:space="preserve">《投标函》（加盖电子签章，格式见招标文件第七章《投标文件相关格式》。）</w:t>
            </w:r>
            <w:bookmarkEnd w:id="10"/>
            <w:r>
              <w:rPr>
                <w:rFonts w:ascii="宋体" w:hAnsi="宋体" w:cs="宋体"/>
                <w:b/>
                <w:bCs/>
                <w:sz w:val="24"/>
                <w:highlight w:val="none"/>
              </w:rPr>
            </w:r>
            <w:r/>
          </w:p>
          <w:p>
            <w:pPr>
              <w:pStyle w:val="909"/>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bookmarkStart w:id="11" w:name="OLE_LINK9"/>
            <w:r>
              <w:rPr>
                <w:rFonts w:hint="eastAsia" w:ascii="宋体" w:hAnsi="宋体" w:cs="宋体"/>
                <w:b/>
                <w:sz w:val="24"/>
                <w:highlight w:val="none"/>
              </w:rPr>
              <w:t xml:space="preserve">《授权委托书及法定代表人身份证明书》。加盖电子签章，格式见本文件第七章《投标文件相关格式》</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如法定代表人本人参与投标，则只需要提供《法定代表人身份证明书》</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w:t>
            </w:r>
            <w:bookmarkEnd w:id="11"/>
            <w:r>
              <w:rPr>
                <w:rFonts w:ascii="宋体" w:hAnsi="宋体" w:cs="宋体"/>
                <w:b/>
                <w:bCs/>
                <w:sz w:val="24"/>
                <w:highlight w:val="none"/>
              </w:rPr>
            </w:r>
            <w:r/>
          </w:p>
          <w:p>
            <w:pPr>
              <w:pStyle w:val="909"/>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rPr>
                <w:rFonts w:ascii="宋体" w:hAnsi="宋体" w:cs="宋体"/>
                <w:b/>
                <w:bCs/>
                <w:sz w:val="24"/>
                <w:highlight w:val="none"/>
              </w:rPr>
            </w:r>
            <w:r/>
          </w:p>
          <w:p>
            <w:pPr>
              <w:pStyle w:val="909"/>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12" w:name="OLE_LINK10"/>
            <w:r>
              <w:rPr>
                <w:rFonts w:hint="eastAsia" w:ascii="宋体" w:hAnsi="宋体" w:cs="宋体"/>
                <w:b/>
                <w:bCs/>
                <w:sz w:val="24"/>
                <w:highlight w:val="none"/>
              </w:rPr>
              <w:t xml:space="preserve">《偏离表》（加盖电子签章，格式见招标文件第七章《投标文件相关格式》。）</w:t>
            </w:r>
            <w:bookmarkEnd w:id="12"/>
            <w:r>
              <w:rPr>
                <w:highlight w:val="none"/>
              </w:rPr>
            </w:r>
            <w:r/>
          </w:p>
          <w:p>
            <w:pPr>
              <w:pStyle w:val="909"/>
              <w:spacing w:line="360" w:lineRule="auto"/>
              <w:rPr>
                <w:rFonts w:cs="宋体"/>
                <w:bCs/>
                <w:sz w:val="24"/>
                <w:highlight w:val="none"/>
              </w:rPr>
            </w:pPr>
            <w:r>
              <w:rPr>
                <w:rFonts w:hint="eastAsia" w:ascii="宋体" w:hAnsi="宋体" w:cs="宋体"/>
                <w:bCs/>
                <w:sz w:val="24"/>
                <w:highlight w:val="none"/>
              </w:rPr>
              <w:t xml:space="preserve">四、技术部分</w:t>
            </w:r>
            <w:r>
              <w:rPr>
                <w:rFonts w:cs="宋体"/>
                <w:bCs/>
                <w:sz w:val="24"/>
                <w:highlight w:val="none"/>
              </w:rPr>
            </w:r>
            <w:r/>
          </w:p>
          <w:p>
            <w:pPr>
              <w:pStyle w:val="909"/>
              <w:spacing w:line="360" w:lineRule="auto"/>
              <w:rPr>
                <w:rFonts w:cs="宋体"/>
                <w:bCs/>
                <w:sz w:val="24"/>
                <w:highlight w:val="none"/>
              </w:rPr>
            </w:pPr>
            <w:r>
              <w:rPr>
                <w:rFonts w:hint="eastAsia" w:cs="宋体"/>
                <w:bCs/>
                <w:sz w:val="24"/>
                <w:highlight w:val="none"/>
              </w:rPr>
              <w:t xml:space="preserve">1、技术参数响应说明（所投产品的技术规格（技术性能））。要求见招标文件第六章《采购需求》及第四章《评标标准》）。</w:t>
            </w:r>
            <w:r>
              <w:rPr>
                <w:rFonts w:cs="宋体"/>
                <w:bCs/>
                <w:sz w:val="24"/>
                <w:highlight w:val="none"/>
              </w:rPr>
            </w:r>
            <w:r/>
          </w:p>
          <w:p>
            <w:pPr>
              <w:pStyle w:val="909"/>
              <w:spacing w:line="360" w:lineRule="auto"/>
              <w:rPr>
                <w:rFonts w:cs="宋体"/>
                <w:bCs/>
                <w:sz w:val="24"/>
                <w:highlight w:val="none"/>
              </w:rPr>
            </w:pPr>
            <w:r>
              <w:rPr>
                <w:rFonts w:hint="eastAsia" w:cs="宋体"/>
                <w:bCs/>
                <w:sz w:val="24"/>
                <w:highlight w:val="none"/>
              </w:rPr>
              <w:t xml:space="preserve">2、《项目实施方案》。（要求见招标文件第六章《采购需求》及第四章《评标标准》）。</w:t>
            </w:r>
            <w:r>
              <w:rPr>
                <w:rFonts w:cs="宋体"/>
                <w:bCs/>
                <w:sz w:val="24"/>
                <w:highlight w:val="none"/>
              </w:rPr>
            </w:r>
            <w:r/>
          </w:p>
          <w:p>
            <w:pPr>
              <w:pStyle w:val="909"/>
              <w:spacing w:line="360" w:lineRule="auto"/>
              <w:rPr>
                <w:rFonts w:cs="宋体"/>
                <w:bCs/>
                <w:sz w:val="24"/>
                <w:highlight w:val="none"/>
              </w:rPr>
            </w:pPr>
            <w:r>
              <w:rPr>
                <w:rFonts w:hint="eastAsia" w:cs="宋体"/>
                <w:bCs/>
                <w:sz w:val="24"/>
                <w:highlight w:val="none"/>
              </w:rPr>
              <w:t xml:space="preserve">3、《售后服务方案》（要求见招标文件第六章《采购需求》及第四章《评标标准》）。</w:t>
            </w:r>
            <w:r>
              <w:rPr>
                <w:rFonts w:cs="宋体"/>
                <w:bCs/>
                <w:sz w:val="24"/>
                <w:highlight w:val="none"/>
              </w:rPr>
            </w:r>
            <w:r/>
          </w:p>
          <w:p>
            <w:pPr>
              <w:pStyle w:val="909"/>
              <w:spacing w:line="360" w:lineRule="auto"/>
              <w:rPr>
                <w:rFonts w:cs="宋体"/>
                <w:bCs/>
                <w:sz w:val="24"/>
                <w:highlight w:val="none"/>
              </w:rPr>
            </w:pPr>
            <w:r>
              <w:rPr>
                <w:rFonts w:hint="eastAsia" w:cs="宋体"/>
                <w:bCs/>
                <w:sz w:val="24"/>
                <w:highlight w:val="none"/>
              </w:rPr>
              <w:t xml:space="preserve">4、《</w:t>
            </w:r>
            <w:r>
              <w:rPr>
                <w:rFonts w:hint="eastAsia" w:ascii="宋体" w:hAnsi="宋体" w:cs="宋体"/>
                <w:sz w:val="24"/>
                <w:highlight w:val="none"/>
              </w:rPr>
              <w:t xml:space="preserve">技术培训方案</w:t>
            </w:r>
            <w:r>
              <w:rPr>
                <w:rFonts w:hint="eastAsia" w:cs="宋体"/>
                <w:bCs/>
                <w:sz w:val="24"/>
                <w:highlight w:val="none"/>
              </w:rPr>
              <w:t xml:space="preserve">》。（要求见招标文件第六章《采购需求》及第四章《评标标准》）。</w:t>
            </w:r>
            <w:r>
              <w:rPr>
                <w:rFonts w:cs="宋体"/>
                <w:bCs/>
                <w:sz w:val="24"/>
                <w:highlight w:val="none"/>
              </w:rPr>
            </w:r>
            <w:r/>
          </w:p>
          <w:p>
            <w:pPr>
              <w:pStyle w:val="909"/>
              <w:spacing w:line="360" w:lineRule="auto"/>
              <w:rPr>
                <w:rFonts w:cs="宋体"/>
                <w:bCs/>
                <w:sz w:val="24"/>
                <w:highlight w:val="none"/>
              </w:rPr>
            </w:pPr>
            <w:r>
              <w:rPr>
                <w:rFonts w:hint="eastAsia" w:cs="宋体"/>
                <w:bCs/>
                <w:sz w:val="24"/>
                <w:highlight w:val="none"/>
              </w:rPr>
              <w:t xml:space="preserve">5、评分细则中评分得分需提供的相关证明文件扫描件；</w:t>
            </w:r>
            <w:r>
              <w:rPr>
                <w:rFonts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五、商务部分</w:t>
            </w:r>
            <w:r>
              <w:rPr>
                <w:rFonts w:ascii="宋体" w:hAnsi="宋体" w:cs="宋体"/>
                <w:bCs/>
                <w:sz w:val="24"/>
                <w:highlight w:val="none"/>
              </w:rPr>
            </w:r>
            <w:r/>
          </w:p>
          <w:p>
            <w:pPr>
              <w:pStyle w:val="909"/>
              <w:spacing w:line="360" w:lineRule="auto"/>
              <w:rPr>
                <w:rFonts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、《投标人业绩》。</w:t>
            </w:r>
            <w:r>
              <w:rPr>
                <w:rFonts w:hint="eastAsia" w:cs="宋体"/>
                <w:bCs/>
                <w:sz w:val="24"/>
                <w:highlight w:val="none"/>
              </w:rPr>
              <w:t xml:space="preserve">（要求见招标文件第六章《采购需求》及第四章《评标标准》）。</w:t>
            </w:r>
            <w:r>
              <w:rPr>
                <w:rFonts w:cs="宋体"/>
                <w:bCs/>
                <w:sz w:val="24"/>
                <w:highlight w:val="none"/>
              </w:rPr>
            </w:r>
            <w:r/>
          </w:p>
          <w:p>
            <w:pPr>
              <w:pStyle w:val="937"/>
              <w:ind w:left="0"/>
              <w:spacing w:line="240" w:lineRule="auto"/>
              <w:rPr>
                <w:highlight w:val="none"/>
              </w:rPr>
            </w:pPr>
            <w:r>
              <w:rPr>
                <w:rFonts w:hint="eastAsia" w:cs="宋体"/>
                <w:bCs/>
                <w:highlight w:val="none"/>
              </w:rPr>
              <w:t xml:space="preserve">2、</w:t>
            </w:r>
            <w:r>
              <w:rPr>
                <w:rFonts w:hint="eastAsia" w:ascii="宋体" w:hAnsi="宋体" w:cs="宋体"/>
                <w:bCs/>
                <w:highlight w:val="none"/>
              </w:rPr>
              <w:t xml:space="preserve">《投标人评价》。</w:t>
            </w:r>
            <w:r>
              <w:rPr>
                <w:rFonts w:hint="eastAsia" w:cs="宋体"/>
                <w:bCs/>
                <w:highlight w:val="none"/>
              </w:rPr>
              <w:t xml:space="preserve">（要求见招标文件第六章《采购需求》及第四章《评标标准》）。</w:t>
            </w:r>
            <w:r>
              <w:rPr>
                <w:highlight w:val="none"/>
              </w:rPr>
            </w:r>
            <w:r/>
          </w:p>
          <w:p>
            <w:pPr>
              <w:ind w:left="0" w:right="33" w:firstLine="0"/>
              <w:spacing w:before="240" w:after="240" w:line="24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、《拟派服务团队配备情况》。（要求见招标文件第六章《采购需求》及第四章《评标标准》）。</w:t>
            </w:r>
            <w:r/>
          </w:p>
          <w:p>
            <w:pPr>
              <w:ind w:left="0" w:right="0" w:firstLine="0"/>
              <w:jc w:val="both"/>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4、采购清单中要求的其他证明文件及材料扫描件，投标人应提供的其他证明文件及材料扫描件，《投标人评价》。</w:t>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六、</w:t>
            </w:r>
            <w:r>
              <w:rPr>
                <w:rFonts w:hint="eastAsia" w:ascii="宋体" w:hAnsi="宋体" w:cs="仿宋"/>
                <w:color w:val="000000"/>
                <w:sz w:val="24"/>
                <w:highlight w:val="none"/>
              </w:rPr>
              <w:t xml:space="preserve">价格折扣文件格式</w:t>
            </w:r>
            <w:r>
              <w:rPr>
                <w:rFonts w:ascii="宋体" w:hAnsi="宋体" w:cs="宋体"/>
                <w:bCs/>
                <w:sz w:val="24"/>
                <w:highlight w:val="none"/>
              </w:rPr>
            </w:r>
            <w:r/>
          </w:p>
          <w:p>
            <w:pPr>
              <w:pStyle w:val="909"/>
              <w:ind w:firstLine="482"/>
              <w:spacing w:line="360" w:lineRule="auto"/>
              <w:rPr>
                <w:rFonts w:ascii="宋体" w:hAnsi="宋体" w:cs="仿宋"/>
                <w:color w:val="000000"/>
                <w:sz w:val="24"/>
                <w:highlight w:val="none"/>
              </w:rPr>
            </w:pPr>
            <w:r>
              <w:rPr>
                <w:rFonts w:hint="eastAsia" w:ascii="宋体" w:hAnsi="宋体" w:cs="仿宋"/>
                <w:b/>
                <w:bCs/>
                <w:color w:val="000000"/>
                <w:sz w:val="24"/>
                <w:highlight w:val="none"/>
                <w:lang w:eastAsia="zh-CN"/>
              </w:rPr>
              <w:t xml:space="preserve">（</w:t>
            </w:r>
            <w:r>
              <w:rPr>
                <w:rFonts w:hint="eastAsia" w:ascii="宋体" w:hAnsi="宋体" w:cs="仿宋"/>
                <w:b/>
                <w:bCs/>
                <w:color w:val="000000"/>
                <w:sz w:val="24"/>
                <w:highlight w:val="none"/>
                <w:lang w:val="en-US" w:eastAsia="zh-CN"/>
              </w:rPr>
              <w:t xml:space="preserve">一</w:t>
            </w:r>
            <w:r>
              <w:rPr>
                <w:rFonts w:hint="eastAsia" w:ascii="宋体" w:hAnsi="宋体" w:cs="仿宋"/>
                <w:b/>
                <w:bCs/>
                <w:color w:val="000000"/>
                <w:sz w:val="24"/>
                <w:highlight w:val="none"/>
                <w:lang w:eastAsia="zh-CN"/>
              </w:rPr>
              <w:t xml:space="preserve">）</w:t>
            </w:r>
            <w:r>
              <w:rPr>
                <w:rFonts w:hint="eastAsia" w:ascii="宋体" w:hAnsi="宋体" w:cs="仿宋"/>
                <w:b/>
                <w:bCs/>
                <w:color w:val="000000"/>
                <w:sz w:val="24"/>
                <w:highlight w:val="none"/>
              </w:rPr>
              <w:t xml:space="preserve">投标人《中小企业声明函》（如有，填写完整，加盖电子签章，格式见招标文件第七章《投标文件相关格式》）。查询渠道参考工业和信息化部发布的中小企业规模自测小程序。中小企业规模自测小程序详见《中小企业声明函》。</w:t>
            </w:r>
            <w:r>
              <w:rPr>
                <w:rFonts w:ascii="宋体" w:hAnsi="宋体" w:cs="仿宋"/>
                <w:color w:val="000000"/>
                <w:sz w:val="24"/>
                <w:highlight w:val="none"/>
              </w:rPr>
            </w:r>
            <w:r/>
          </w:p>
          <w:p>
            <w:pPr>
              <w:pStyle w:val="909"/>
              <w:ind w:firstLine="480"/>
              <w:jc w:val="left"/>
              <w:spacing w:line="360" w:lineRule="auto"/>
              <w:rPr>
                <w:sz w:val="24"/>
                <w:szCs w:val="32"/>
                <w:highlight w:val="none"/>
              </w:rPr>
            </w:pPr>
            <w:r>
              <w:rPr>
                <w:sz w:val="24"/>
                <w:szCs w:val="32"/>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注：中小企业（含中型、小型、微型企业，下同），应当同时符合以下条件：</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rPr>
                <w:rFonts w:ascii="宋体" w:hAnsi="宋体" w:cs="宋体"/>
                <w:bCs/>
                <w:sz w:val="24"/>
                <w:highlight w:val="none"/>
              </w:rPr>
            </w:r>
            <w:r/>
          </w:p>
          <w:p>
            <w:pPr>
              <w:pStyle w:val="909"/>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rPr>
                <w:rFonts w:ascii="宋体" w:hAnsi="宋体" w:cs="宋体"/>
                <w:bCs/>
                <w:sz w:val="24"/>
                <w:highlight w:val="none"/>
              </w:rPr>
            </w:r>
            <w:r/>
          </w:p>
          <w:p>
            <w:pPr>
              <w:pStyle w:val="90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rPr>
                <w:rFonts w:ascii="宋体" w:hAnsi="宋体" w:cs="宋体"/>
                <w:bCs/>
                <w:sz w:val="24"/>
                <w:highlight w:val="none"/>
              </w:rPr>
            </w:r>
            <w:r/>
          </w:p>
          <w:p>
            <w:pPr>
              <w:pStyle w:val="90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cs="宋体"/>
                <w:bCs/>
                <w:sz w:val="24"/>
                <w:highlight w:val="none"/>
              </w:rPr>
              <w:t xml:space="preserve">2020</w:t>
            </w:r>
            <w:r>
              <w:rPr>
                <w:rFonts w:hint="eastAsia" w:ascii="宋体" w:hAnsi="宋体" w:cs="宋体"/>
                <w:bCs/>
                <w:sz w:val="24"/>
                <w:highlight w:val="none"/>
              </w:rPr>
              <w:t xml:space="preserve">]</w:t>
            </w:r>
            <w:r>
              <w:rPr>
                <w:rFonts w:hint="eastAsia" w:cs="宋体"/>
                <w:bCs/>
                <w:sz w:val="24"/>
                <w:highlight w:val="none"/>
              </w:rPr>
              <w:t xml:space="preserve">46</w:t>
            </w:r>
            <w:r>
              <w:rPr>
                <w:rFonts w:hint="eastAsia" w:ascii="宋体" w:hAnsi="宋体" w:cs="宋体"/>
                <w:bCs/>
                <w:sz w:val="24"/>
                <w:highlight w:val="none"/>
              </w:rPr>
              <w:t xml:space="preserve">号）和《工业和信息化部、国家统计局、国家发展和改革委员会、财政部关于印发中小企业划型标准规定的通知》（工信部联企业[</w:t>
            </w:r>
            <w:r>
              <w:rPr>
                <w:rFonts w:hint="eastAsia" w:cs="宋体"/>
                <w:bCs/>
                <w:sz w:val="24"/>
                <w:highlight w:val="none"/>
              </w:rPr>
              <w:t xml:space="preserve">2011</w:t>
            </w:r>
            <w:r>
              <w:rPr>
                <w:rFonts w:hint="eastAsia" w:ascii="宋体" w:hAnsi="宋体" w:cs="宋体"/>
                <w:bCs/>
                <w:sz w:val="24"/>
                <w:highlight w:val="none"/>
              </w:rPr>
              <w:t xml:space="preserve">]</w:t>
            </w:r>
            <w:r>
              <w:rPr>
                <w:rFonts w:hint="eastAsia" w:cs="宋体"/>
                <w:bCs/>
                <w:sz w:val="24"/>
                <w:highlight w:val="none"/>
              </w:rPr>
              <w:t xml:space="preserve">300</w:t>
            </w:r>
            <w:r>
              <w:rPr>
                <w:rFonts w:hint="eastAsia" w:ascii="宋体" w:hAnsi="宋体" w:cs="宋体"/>
                <w:bCs/>
                <w:sz w:val="24"/>
                <w:highlight w:val="none"/>
              </w:rPr>
              <w:t xml:space="preserve">号）的规定为准。</w:t>
            </w:r>
            <w:r>
              <w:rPr>
                <w:rFonts w:ascii="宋体" w:hAnsi="宋体" w:cs="宋体"/>
                <w:bCs/>
                <w:sz w:val="24"/>
                <w:highlight w:val="none"/>
              </w:rPr>
            </w:r>
            <w:r/>
          </w:p>
          <w:p>
            <w:pPr>
              <w:pStyle w:val="909"/>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highlight w:val="none"/>
              </w:rPr>
              <w:t xml:space="preserve">2014</w:t>
            </w:r>
            <w:r>
              <w:rPr>
                <w:rFonts w:hint="eastAsia" w:ascii="宋体" w:hAnsi="宋体" w:cs="宋体"/>
                <w:bCs/>
                <w:sz w:val="24"/>
                <w:highlight w:val="none"/>
              </w:rPr>
              <w:t xml:space="preserve">〕</w:t>
            </w:r>
            <w:r>
              <w:rPr>
                <w:rFonts w:hint="eastAsia" w:cs="宋体"/>
                <w:bCs/>
                <w:sz w:val="24"/>
                <w:highlight w:val="none"/>
              </w:rPr>
              <w:t xml:space="preserve">68</w:t>
            </w:r>
            <w:r>
              <w:rPr>
                <w:rFonts w:hint="eastAsia" w:ascii="宋体" w:hAnsi="宋体" w:cs="宋体"/>
                <w:bCs/>
                <w:sz w:val="24"/>
                <w:highlight w:val="none"/>
              </w:rPr>
              <w:t xml:space="preserve">号）的规定为准。</w:t>
            </w:r>
            <w:r>
              <w:rPr>
                <w:rFonts w:ascii="宋体" w:hAnsi="宋体" w:cs="宋体"/>
                <w:bCs/>
                <w:sz w:val="24"/>
                <w:highlight w:val="none"/>
              </w:rPr>
            </w:r>
            <w:r/>
          </w:p>
          <w:p>
            <w:pPr>
              <w:pStyle w:val="909"/>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投标人为享受政府采购支持政策的残疾人福利性单位的，提供《残疾人福利性单位声明函》（加盖电子签章，格式见招标文件第七章《投标文件相关格式》）。</w:t>
            </w:r>
            <w:r>
              <w:rPr>
                <w:rFonts w:ascii="宋体" w:hAnsi="宋体" w:cs="宋体"/>
                <w:bCs/>
                <w:sz w:val="24"/>
                <w:highlight w:val="none"/>
              </w:rPr>
            </w:r>
            <w:r/>
          </w:p>
          <w:p>
            <w:pPr>
              <w:pStyle w:val="909"/>
              <w:ind w:firstLine="480"/>
              <w:spacing w:line="360" w:lineRule="auto"/>
              <w:rPr>
                <w:rFonts w:ascii="宋体" w:hAnsi="宋体" w:cs="宋体"/>
                <w:bCs/>
                <w:sz w:val="24"/>
                <w:highlight w:val="none"/>
              </w:rPr>
            </w:pPr>
            <w:r>
              <w:rPr>
                <w:rFonts w:hint="eastAsia" w:ascii="宋体" w:hAnsi="宋体" w:cs="宋体"/>
                <w:bCs/>
                <w:sz w:val="24"/>
                <w:highlight w:val="none"/>
              </w:rPr>
              <w:t xml:space="preserve">享受政府采购支持政策的残疾人福利性单位应当同时满足以下条件：</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）安置的残疾人占本单位在职职工人数的比例不低于</w:t>
            </w:r>
            <w:r>
              <w:rPr>
                <w:rFonts w:hint="eastAsia" w:cs="宋体"/>
                <w:bCs/>
                <w:sz w:val="24"/>
                <w:highlight w:val="none"/>
              </w:rPr>
              <w:t xml:space="preserve">25</w:t>
            </w:r>
            <w:r>
              <w:rPr>
                <w:rFonts w:hint="eastAsia" w:ascii="宋体" w:hAnsi="宋体" w:cs="宋体"/>
                <w:bCs/>
                <w:sz w:val="24"/>
                <w:highlight w:val="none"/>
              </w:rPr>
              <w:t xml:space="preserve">%（含</w:t>
            </w:r>
            <w:r>
              <w:rPr>
                <w:rFonts w:hint="eastAsia" w:cs="宋体"/>
                <w:bCs/>
                <w:sz w:val="24"/>
                <w:highlight w:val="none"/>
              </w:rPr>
              <w:t xml:space="preserve">25</w:t>
            </w:r>
            <w:r>
              <w:rPr>
                <w:rFonts w:hint="eastAsia" w:ascii="宋体" w:hAnsi="宋体" w:cs="宋体"/>
                <w:bCs/>
                <w:sz w:val="24"/>
                <w:highlight w:val="none"/>
              </w:rPr>
              <w:t xml:space="preserve">%），并且安置的残疾人人数不少于</w:t>
            </w:r>
            <w:r>
              <w:rPr>
                <w:rFonts w:hint="eastAsia" w:cs="宋体"/>
                <w:bCs/>
                <w:sz w:val="24"/>
                <w:highlight w:val="none"/>
              </w:rPr>
              <w:t xml:space="preserve">10</w:t>
            </w:r>
            <w:r>
              <w:rPr>
                <w:rFonts w:hint="eastAsia" w:ascii="宋体" w:hAnsi="宋体" w:cs="宋体"/>
                <w:bCs/>
                <w:sz w:val="24"/>
                <w:highlight w:val="none"/>
              </w:rPr>
              <w:t xml:space="preserve">人（含</w:t>
            </w:r>
            <w:r>
              <w:rPr>
                <w:rFonts w:hint="eastAsia" w:cs="宋体"/>
                <w:bCs/>
                <w:sz w:val="24"/>
                <w:highlight w:val="none"/>
              </w:rPr>
              <w:t xml:space="preserve">10</w:t>
            </w:r>
            <w:r>
              <w:rPr>
                <w:rFonts w:hint="eastAsia" w:ascii="宋体" w:hAnsi="宋体" w:cs="宋体"/>
                <w:bCs/>
                <w:sz w:val="24"/>
                <w:highlight w:val="none"/>
              </w:rPr>
              <w:t xml:space="preserve">人）；</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）依法与安置的每位残疾人签订了一年以上（含一年）的劳动合同或服务协议；</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）为安置的每位残疾人按月足额缴纳了基本养老保险、基本医疗保险、失业保险、工伤保险和生育保险等社会保险费；</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　　前款所称残疾人是指法定劳动年龄内，持有《中华人民共和国残疾人证》或者《中华人民共和国残疾军人证（</w:t>
            </w:r>
            <w:r>
              <w:rPr>
                <w:rFonts w:hint="eastAsia" w:cs="宋体"/>
                <w:bCs/>
                <w:sz w:val="24"/>
                <w:highlight w:val="none"/>
              </w:rPr>
              <w:t xml:space="preserve">1</w:t>
            </w:r>
            <w:r>
              <w:rPr>
                <w:rFonts w:hint="eastAsia" w:ascii="宋体" w:hAnsi="宋体" w:cs="宋体"/>
                <w:bCs/>
                <w:sz w:val="24"/>
                <w:highlight w:val="none"/>
              </w:rPr>
              <w:t xml:space="preserve">至</w:t>
            </w:r>
            <w:r>
              <w:rPr>
                <w:rFonts w:hint="eastAsia" w:cs="宋体"/>
                <w:bCs/>
                <w:sz w:val="24"/>
                <w:highlight w:val="none"/>
              </w:rPr>
              <w:t xml:space="preserve">8</w:t>
            </w:r>
            <w:r>
              <w:rPr>
                <w:rFonts w:hint="eastAsia" w:ascii="宋体" w:hAnsi="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   具体以《三部门联合发布关于促进残疾人就业政府采购政策的通知》（财库〔</w:t>
            </w:r>
            <w:r>
              <w:rPr>
                <w:rFonts w:hint="eastAsia" w:cs="宋体"/>
                <w:bCs/>
                <w:sz w:val="24"/>
                <w:highlight w:val="none"/>
              </w:rPr>
              <w:t xml:space="preserve">2017</w:t>
            </w:r>
            <w:r>
              <w:rPr>
                <w:rFonts w:hint="eastAsia" w:ascii="宋体" w:hAnsi="宋体" w:cs="宋体"/>
                <w:bCs/>
                <w:sz w:val="24"/>
                <w:highlight w:val="none"/>
              </w:rPr>
              <w:t xml:space="preserve">〕</w:t>
            </w:r>
            <w:r>
              <w:rPr>
                <w:rFonts w:hint="eastAsia" w:cs="宋体"/>
                <w:bCs/>
                <w:sz w:val="24"/>
                <w:highlight w:val="none"/>
              </w:rPr>
              <w:t xml:space="preserve">141</w:t>
            </w:r>
            <w:r>
              <w:rPr>
                <w:rFonts w:hint="eastAsia" w:ascii="宋体" w:hAnsi="宋体" w:cs="宋体"/>
                <w:bCs/>
                <w:sz w:val="24"/>
                <w:highlight w:val="none"/>
              </w:rPr>
              <w:t xml:space="preserve">号）规定为准。</w:t>
            </w:r>
            <w:r>
              <w:rPr>
                <w:rFonts w:ascii="宋体" w:hAnsi="宋体" w:cs="宋体"/>
                <w:bCs/>
                <w:sz w:val="24"/>
                <w:highlight w:val="none"/>
              </w:rPr>
            </w:r>
            <w:r/>
          </w:p>
          <w:p>
            <w:pPr>
              <w:pStyle w:val="946"/>
              <w:rPr>
                <w:highlight w:val="none"/>
              </w:rPr>
            </w:pPr>
            <w:r>
              <w:rPr>
                <w:highlight w:val="none"/>
              </w:rPr>
            </w:r>
            <w:r/>
          </w:p>
          <w:p>
            <w:pPr>
              <w:pStyle w:val="909"/>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eastAsia="zh-CN"/>
              </w:rPr>
              <w:t xml:space="preserve">（</w:t>
            </w:r>
            <w:r>
              <w:rPr>
                <w:rFonts w:hint="eastAsia"/>
                <w:sz w:val="24"/>
                <w:szCs w:val="24"/>
                <w:highlight w:val="none"/>
                <w:lang w:val="en-US" w:eastAsia="zh-CN"/>
              </w:rPr>
              <w:t xml:space="preserve">二</w:t>
            </w:r>
            <w:r>
              <w:rPr>
                <w:rFonts w:hint="eastAsia"/>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rPr>
                <w:rFonts w:hint="eastAsia" w:ascii="宋体" w:hAnsi="宋体" w:eastAsia="宋体" w:cs="宋体"/>
                <w:b w:val="0"/>
                <w:bCs/>
                <w:color w:val="000000"/>
                <w:sz w:val="24"/>
                <w:szCs w:val="24"/>
                <w:highlight w:val="none"/>
              </w:rPr>
            </w:r>
            <w:r/>
          </w:p>
          <w:p>
            <w:pPr>
              <w:pStyle w:val="909"/>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rPr>
                <w:rFonts w:hint="eastAsia" w:ascii="宋体" w:hAnsi="宋体" w:eastAsia="宋体" w:cs="宋体"/>
                <w:b w:val="0"/>
                <w:bCs/>
                <w:color w:val="000000"/>
                <w:sz w:val="24"/>
                <w:szCs w:val="24"/>
                <w:highlight w:val="none"/>
                <w:lang w:val="en-US" w:eastAsia="zh-CN"/>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color w:val="000000"/>
                <w:sz w:val="24"/>
                <w:szCs w:val="24"/>
                <w:highlight w:val="none"/>
              </w:rPr>
            </w:r>
            <w:r/>
          </w:p>
          <w:p>
            <w:pPr>
              <w:pStyle w:val="909"/>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rPr>
                <w:rFonts w:hint="eastAsia" w:ascii="宋体" w:hAnsi="宋体" w:eastAsia="宋体" w:cs="宋体"/>
                <w:b w:val="0"/>
                <w:bCs/>
                <w:color w:val="000000"/>
                <w:sz w:val="24"/>
                <w:szCs w:val="24"/>
                <w:highlight w:val="none"/>
              </w:rPr>
            </w:r>
            <w:r/>
          </w:p>
          <w:p>
            <w:pPr>
              <w:pStyle w:val="909"/>
              <w:spacing w:line="360" w:lineRule="auto"/>
              <w:rPr>
                <w:rFonts w:hint="eastAsia" w:eastAsia="宋体"/>
                <w:highlight w:val="none"/>
                <w:lang w:eastAsia="zh-CN"/>
              </w:rP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rPr>
                <w:rFonts w:hint="eastAsia" w:eastAsia="宋体"/>
                <w:highlight w:val="none"/>
                <w:lang w:eastAsia="zh-CN"/>
              </w:rPr>
            </w:r>
            <w:r/>
          </w:p>
          <w:p>
            <w:pPr>
              <w:pStyle w:val="909"/>
              <w:rPr>
                <w:highlight w:val="none"/>
              </w:rPr>
            </w:pPr>
            <w:r>
              <w:rPr>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注：</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、投标人应对以上文件的合法性、真实性负责。</w:t>
            </w:r>
            <w:r>
              <w:rPr>
                <w:rFonts w:ascii="宋体" w:hAnsi="宋体" w:cs="宋体"/>
                <w:bCs/>
                <w:sz w:val="24"/>
                <w:highlight w:val="none"/>
              </w:rPr>
            </w:r>
            <w:r/>
          </w:p>
          <w:p>
            <w:pPr>
              <w:pStyle w:val="909"/>
              <w:spacing w:line="360" w:lineRule="auto"/>
              <w:rPr>
                <w:highlight w:val="none"/>
              </w:rPr>
            </w:pPr>
            <w:r>
              <w:rPr>
                <w:rFonts w:hint="eastAsia" w:cs="宋体"/>
                <w:bCs/>
                <w:sz w:val="24"/>
                <w:highlight w:val="none"/>
              </w:rPr>
              <w:t xml:space="preserve">2</w:t>
            </w:r>
            <w:r>
              <w:rPr>
                <w:rFonts w:hint="eastAsia" w:ascii="宋体" w:hAnsi="宋体" w:cs="宋体"/>
                <w:bCs/>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投标文件的退还：投标文件不退还投标人，若采购人索取中标人的数据电文形式的投标文件，须在双方签订政府采购合同后，由采购代理机构提供给采购人。</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投标文件的密封、签署、盖章要求：</w:t>
            </w:r>
            <w:r>
              <w:rPr>
                <w:rFonts w:ascii="宋体" w:hAnsi="宋体" w:cs="宋体"/>
                <w:sz w:val="24"/>
                <w:highlight w:val="none"/>
              </w:rPr>
            </w:r>
            <w:r/>
          </w:p>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rPr>
                <w:rFonts w:ascii="宋体" w:hAnsi="宋体" w:cs="宋体"/>
                <w:sz w:val="24"/>
                <w:highlight w:val="none"/>
              </w:rPr>
            </w:r>
            <w:r/>
          </w:p>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rPr>
                <w:rFonts w:ascii="宋体" w:hAnsi="宋体" w:cs="宋体"/>
                <w:sz w:val="24"/>
                <w:highlight w:val="none"/>
              </w:rPr>
            </w:r>
            <w:r/>
          </w:p>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rPr>
                <w:rFonts w:ascii="宋体" w:hAnsi="宋体" w:cs="宋体"/>
                <w:sz w:val="24"/>
                <w:highlight w:val="none"/>
              </w:rPr>
            </w:r>
            <w:r/>
          </w:p>
        </w:tc>
      </w:tr>
      <w:tr>
        <w:trPr>
          <w:trHeight w:val="274"/>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b/>
                <w:bCs/>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bCs/>
                <w:sz w:val="24"/>
                <w:highlight w:val="none"/>
              </w:rPr>
              <w:t xml:space="preserve">本项目</w:t>
            </w:r>
            <w:r>
              <w:rPr>
                <w:rFonts w:hint="eastAsia" w:ascii="宋体" w:hAnsi="宋体"/>
                <w:sz w:val="24"/>
                <w:highlight w:val="none"/>
              </w:rPr>
              <w:t xml:space="preserve">不接受超448.00万元（人民币）</w:t>
            </w:r>
            <w:r>
              <w:rPr>
                <w:rFonts w:hint="eastAsia" w:ascii="宋体" w:hAnsi="宋体" w:cs="宋体"/>
                <w:bCs/>
                <w:sz w:val="24"/>
                <w:highlight w:val="none"/>
              </w:rPr>
              <w:t xml:space="preserve">（采购项目预算金额）</w:t>
            </w:r>
            <w:bookmarkStart w:id="13" w:name="OLE_LINK1"/>
            <w:r>
              <w:rPr>
                <w:rFonts w:hint="eastAsia" w:ascii="宋体" w:hAnsi="宋体" w:cs="宋体"/>
                <w:b/>
                <w:bCs/>
                <w:sz w:val="24"/>
                <w:highlight w:val="none"/>
              </w:rPr>
              <w:t xml:space="preserve">。</w:t>
            </w:r>
            <w:bookmarkEnd w:id="13"/>
            <w:r>
              <w:rPr>
                <w:rFonts w:hint="eastAsia" w:ascii="宋体" w:hAnsi="宋体" w:cs="宋体"/>
                <w:b/>
                <w:bCs/>
                <w:sz w:val="24"/>
                <w:highlight w:val="none"/>
              </w:rPr>
              <w:t xml:space="preserve">本项目不接受超过采购预算的报价。</w:t>
            </w:r>
            <w:r>
              <w:rPr>
                <w:rFonts w:hint="eastAsia" w:ascii="宋体" w:hAnsi="宋体" w:cs="宋体"/>
                <w:bCs/>
                <w:sz w:val="24"/>
                <w:highlight w:val="none"/>
              </w:rPr>
              <w:t xml:space="preserve">报价包括全部费用。采购人不再支付报价以外的任何费用。</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21</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b/>
                <w:bCs/>
                <w:sz w:val="24"/>
                <w:highlight w:val="none"/>
              </w:rPr>
              <w:t xml:space="preserve">投标人不需缴纳投标保证金。</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b/>
                <w:bCs/>
                <w:sz w:val="24"/>
                <w:highlight w:val="none"/>
              </w:rPr>
              <w:t xml:space="preserve">投标截止时间：2026年</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月16</w:t>
            </w:r>
            <w:r>
              <w:rPr>
                <w:rFonts w:hint="eastAsia" w:ascii="宋体" w:hAnsi="宋体" w:cs="宋体"/>
                <w:b/>
                <w:bCs/>
                <w:sz w:val="24"/>
                <w:highlight w:val="none"/>
              </w:rPr>
              <w:t xml:space="preserve">日北京时间10：00</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投标文件的提交与接收：</w:t>
            </w:r>
            <w:r>
              <w:rPr>
                <w:rFonts w:ascii="宋体" w:hAnsi="宋体" w:cs="宋体"/>
                <w:sz w:val="24"/>
                <w:highlight w:val="none"/>
              </w:rPr>
            </w:r>
            <w:r/>
          </w:p>
          <w:p>
            <w:pPr>
              <w:pStyle w:val="909"/>
              <w:ind w:left="480" w:hanging="480"/>
              <w:jc w:val="left"/>
              <w:spacing w:line="360" w:lineRule="auto"/>
              <w:widowControl/>
              <w:rPr>
                <w:rFonts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：提交投标文件截止时间（2026年</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月16日</w:t>
            </w:r>
            <w:r>
              <w:rPr>
                <w:rFonts w:hint="eastAsia" w:cs="宋体"/>
                <w:b/>
                <w:bCs/>
                <w:sz w:val="24"/>
                <w:highlight w:val="none"/>
              </w:rPr>
              <w:t xml:space="preserve">北京时间10：00</w:t>
            </w:r>
            <w:r>
              <w:rPr>
                <w:rFonts w:hint="eastAsia" w:ascii="宋体" w:hAnsi="宋体" w:cs="宋体"/>
                <w:b/>
                <w:bCs/>
                <w:sz w:val="24"/>
                <w:highlight w:val="none"/>
              </w:rPr>
              <w:t xml:space="preserve">）前。</w:t>
            </w:r>
            <w:r>
              <w:rPr>
                <w:rFonts w:ascii="宋体" w:hAnsi="宋体" w:cs="宋体"/>
                <w:b/>
                <w:bCs/>
                <w:sz w:val="24"/>
                <w:highlight w:val="none"/>
              </w:rPr>
            </w:r>
            <w:r/>
          </w:p>
          <w:p>
            <w:pPr>
              <w:pStyle w:val="909"/>
              <w:jc w:val="left"/>
              <w:spacing w:line="360" w:lineRule="auto"/>
              <w:widowControl/>
              <w:rPr>
                <w:rFonts w:ascii="宋体" w:hAnsi="宋体" w:cs="宋体"/>
                <w:b/>
                <w:bCs/>
                <w:sz w:val="24"/>
                <w:highlight w:val="none"/>
              </w:rPr>
            </w:pPr>
            <w:r>
              <w:rPr>
                <w:rFonts w:hint="eastAsia" w:ascii="宋体" w:hAnsi="宋体" w:cs="宋体"/>
                <w:sz w:val="24"/>
                <w:highlight w:val="none"/>
              </w:rPr>
              <w:t xml:space="preserve">2、投标文件提交与接收地点：</w:t>
            </w:r>
            <w:r>
              <w:rPr>
                <w:rFonts w:hint="eastAsia" w:ascii="宋体" w:hAnsi="宋体" w:cs="宋体"/>
                <w:b/>
                <w:bCs/>
                <w:sz w:val="24"/>
                <w:highlight w:val="none"/>
              </w:rPr>
              <w:t xml:space="preserve">投标人应当通过“苏采云”系统提交数据电文形式的投标文件（即电子投标），“苏采云”系统自动接收，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rPr>
                <w:rFonts w:ascii="宋体" w:hAnsi="宋体" w:cs="宋体"/>
                <w:b/>
                <w:bCs/>
                <w:sz w:val="24"/>
                <w:highlight w:val="none"/>
              </w:rPr>
            </w:r>
            <w:r/>
          </w:p>
          <w:p>
            <w:pPr>
              <w:pStyle w:val="909"/>
              <w:jc w:val="left"/>
              <w:spacing w:line="360" w:lineRule="auto"/>
              <w:widowControl/>
              <w:rPr>
                <w:rFonts w:ascii="宋体" w:hAnsi="宋体" w:cs="宋体"/>
                <w:sz w:val="24"/>
                <w:highlight w:val="none"/>
              </w:rPr>
            </w:pPr>
            <w:r>
              <w:rPr>
                <w:rFonts w:hint="eastAsia" w:ascii="宋体" w:hAnsi="宋体" w:cs="宋体"/>
                <w:b/>
                <w:bCs/>
                <w:sz w:val="24"/>
                <w:highlight w:val="none"/>
              </w:rPr>
              <w:t xml:space="preserve">3、特别说明：政府采购客户端工具需要导出加密的投标文件（后缀名为zip）。投标文件不得超过150M！（以系统为准）名为“.kedt”）后，离线编制投标文件。采购文件（后缀名为“.kedt”）。</w:t>
            </w:r>
            <w:r>
              <w:rPr>
                <w:rFonts w:ascii="宋体" w:hAnsi="宋体" w:cs="宋体"/>
                <w:sz w:val="24"/>
                <w:highlight w:val="none"/>
              </w:rPr>
            </w:r>
            <w:r/>
          </w:p>
        </w:tc>
      </w:tr>
      <w:tr>
        <w:trPr>
          <w:trHeight w:val="582"/>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招标文件对本项目分包的规定：采购人不允许采用分包方式履行合同。</w:t>
            </w:r>
            <w:r>
              <w:rPr>
                <w:rFonts w:ascii="宋体" w:hAnsi="宋体" w:cs="宋体"/>
                <w:sz w:val="24"/>
                <w:highlight w:val="none"/>
              </w:rPr>
            </w:r>
            <w:r/>
          </w:p>
        </w:tc>
      </w:tr>
      <w:tr>
        <w:trPr/>
        <w:tc>
          <w:tcPr>
            <w:tcW w:w="1368" w:type="dxa"/>
            <w:vAlign w:val="top"/>
            <w:textDirection w:val="lrTb"/>
            <w:noWrap w:val="false"/>
          </w:tcPr>
          <w:p>
            <w:pPr>
              <w:pStyle w:val="909"/>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四、开标、评标</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开标时间及地点：</w:t>
            </w:r>
            <w:r>
              <w:rPr>
                <w:rFonts w:ascii="宋体" w:hAnsi="宋体" w:cs="宋体"/>
                <w:b/>
                <w:bCs/>
                <w:sz w:val="24"/>
                <w:highlight w:val="none"/>
              </w:rPr>
            </w:r>
            <w:r/>
          </w:p>
          <w:p>
            <w:pPr>
              <w:pStyle w:val="932"/>
              <w:jc w:val="left"/>
              <w:spacing w:line="360" w:lineRule="auto"/>
              <w:widowControl/>
              <w:rPr>
                <w:rFonts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rPr>
              <w:t xml:space="preserve">、开标时间：2026年</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月16日北京时间10：00</w:t>
            </w:r>
            <w:r>
              <w:rPr>
                <w:rFonts w:ascii="宋体" w:hAnsi="宋体" w:cs="宋体"/>
                <w:b/>
                <w:bCs/>
                <w:sz w:val="24"/>
                <w:highlight w:val="none"/>
              </w:rPr>
            </w:r>
            <w:r/>
          </w:p>
          <w:p>
            <w:pPr>
              <w:pStyle w:val="909"/>
              <w:jc w:val="left"/>
              <w:spacing w:line="360" w:lineRule="auto"/>
              <w:widowControl/>
              <w:rPr>
                <w:rFonts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rPr>
              <w:t xml:space="preserve">、</w:t>
            </w:r>
            <w:r>
              <w:rPr>
                <w:rFonts w:hint="eastAsia" w:ascii="宋体" w:hAnsi="宋体"/>
                <w:b/>
                <w:bCs/>
                <w:sz w:val="24"/>
                <w:highlight w:val="none"/>
              </w:rPr>
              <w:t xml:space="preserve">开标地点：“苏采云”系统（网址： </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jszfcg</w:t>
            </w:r>
            <w:r>
              <w:rPr>
                <w:rFonts w:hint="eastAsia" w:ascii="宋体" w:hAnsi="宋体"/>
                <w:b/>
                <w:bCs/>
                <w:sz w:val="24"/>
                <w:highlight w:val="none"/>
              </w:rPr>
              <w:t xml:space="preserve">.</w:t>
            </w:r>
            <w:r>
              <w:rPr>
                <w:rFonts w:hint="eastAsia"/>
                <w:b/>
                <w:bCs/>
                <w:sz w:val="24"/>
                <w:highlight w:val="none"/>
              </w:rPr>
              <w:t xml:space="preserve">jsczt</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/）“开标大厅”或进入徐州政府采购网（网址：</w:t>
            </w:r>
            <w:r>
              <w:rPr>
                <w:rFonts w:hint="eastAsia" w:ascii="宋体" w:hAnsi="宋体" w:cs="宋体"/>
                <w:color w:val="000000"/>
                <w:sz w:val="24"/>
                <w:highlight w:val="none"/>
              </w:rPr>
              <w:t xml:space="preserve">https://czj.xz.gov.cn/zfcg/index.html</w:t>
            </w:r>
            <w:r>
              <w:rPr>
                <w:rFonts w:hint="eastAsia" w:ascii="宋体" w:hAnsi="宋体"/>
                <w:b/>
                <w:bCs/>
                <w:sz w:val="24"/>
                <w:highlight w:val="none"/>
              </w:rPr>
              <w:t xml:space="preserve">）--业务工作--用户登录，点击“苏采云”进入系统“开标大厅”。</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 w:val="24"/>
                <w:highlight w:val="none"/>
              </w:rPr>
            </w:r>
            <w:r/>
          </w:p>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909"/>
              <w:jc w:val="left"/>
              <w:spacing w:line="360" w:lineRule="auto"/>
              <w:widowControl/>
              <w:rPr>
                <w:rFonts w:ascii="宋体" w:hAnsi="宋体" w:cs="宋体"/>
                <w:sz w:val="24"/>
                <w:highlight w:val="none"/>
              </w:rPr>
            </w:pPr>
            <w:r>
              <w:rPr>
                <w:rFonts w:hint="eastAsia" w:ascii="宋体" w:hAnsi="宋体" w:cs="宋体"/>
                <w:sz w:val="24"/>
                <w:highlight w:val="none"/>
              </w:rPr>
              <w:t xml:space="preserve">本项目的评标方法：综合评分法。</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五、中标和合同</w:t>
            </w:r>
            <w:r>
              <w:rPr>
                <w:rFonts w:ascii="宋体" w:hAnsi="宋体" w:cs="宋体"/>
                <w:sz w:val="24"/>
                <w:highlight w:val="none"/>
              </w:rPr>
            </w:r>
            <w:r/>
          </w:p>
        </w:tc>
      </w:tr>
      <w:tr>
        <w:trPr>
          <w:trHeight w:val="1509"/>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909"/>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rPr>
                <w:highlight w:val="none"/>
              </w:rPr>
            </w:r>
            <w:r/>
          </w:p>
        </w:tc>
      </w:tr>
      <w:tr>
        <w:trPr>
          <w:trHeight w:val="1278"/>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六、询问和质疑</w:t>
            </w:r>
            <w:r>
              <w:rPr>
                <w:rFonts w:ascii="宋体" w:hAnsi="宋体" w:cs="宋体"/>
                <w:sz w:val="24"/>
                <w:highlight w:val="none"/>
              </w:rPr>
            </w:r>
            <w:r/>
          </w:p>
        </w:tc>
      </w:tr>
      <w:tr>
        <w:trPr/>
        <w:tc>
          <w:tcPr>
            <w:tcW w:w="1368" w:type="dxa"/>
            <w:vAlign w:val="center"/>
            <w:textDirection w:val="lrTb"/>
            <w:noWrap w:val="false"/>
          </w:tcPr>
          <w:p>
            <w:pPr>
              <w:pStyle w:val="909"/>
              <w:jc w:val="center"/>
              <w:spacing w:line="360" w:lineRule="auto"/>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909"/>
              <w:jc w:val="left"/>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 w:val="24"/>
                <w:highlight w:val="none"/>
              </w:rPr>
            </w:r>
            <w:r/>
          </w:p>
          <w:p>
            <w:pPr>
              <w:pStyle w:val="909"/>
              <w:jc w:val="left"/>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rPr>
                <w:rFonts w:ascii="宋体" w:hAnsi="宋体" w:cs="宋体"/>
                <w:sz w:val="24"/>
                <w:highlight w:val="none"/>
              </w:rPr>
            </w:r>
            <w:r/>
          </w:p>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质疑接收人：苏柏铭、孙萌   联系电话：</w:t>
            </w:r>
            <w:r>
              <w:rPr>
                <w:rFonts w:hint="eastAsia" w:cs="宋体"/>
                <w:sz w:val="24"/>
                <w:highlight w:val="none"/>
              </w:rPr>
              <w:t xml:space="preserve">0516-83906677</w:t>
            </w:r>
            <w:r>
              <w:rPr>
                <w:rFonts w:ascii="宋体" w:hAnsi="宋体" w:cs="宋体"/>
                <w:sz w:val="24"/>
                <w:highlight w:val="none"/>
              </w:rPr>
            </w:r>
            <w:r/>
          </w:p>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地址：徐州市云龙区郭庄路世茂广场SOHO3号楼17楼</w:t>
            </w:r>
            <w:r>
              <w:rPr>
                <w:rFonts w:ascii="宋体" w:hAnsi="宋体" w:cs="宋体"/>
                <w:sz w:val="24"/>
                <w:highlight w:val="none"/>
              </w:rPr>
            </w:r>
            <w:r/>
          </w:p>
        </w:tc>
      </w:tr>
      <w:tr>
        <w:trPr/>
        <w:tc>
          <w:tcPr>
            <w:tcW w:w="1368" w:type="dxa"/>
            <w:vAlign w:val="top"/>
            <w:vMerge w:val="restart"/>
            <w:textDirection w:val="lrTb"/>
            <w:noWrap w:val="false"/>
          </w:tcPr>
          <w:p>
            <w:pPr>
              <w:pStyle w:val="909"/>
              <w:jc w:val="center"/>
              <w:spacing w:line="360" w:lineRule="auto"/>
              <w:rPr>
                <w:rFonts w:ascii="宋体" w:hAnsi="宋体" w:cs="宋体"/>
                <w:sz w:val="24"/>
                <w:highlight w:val="none"/>
              </w:rPr>
            </w:pPr>
            <w:r>
              <w:rPr>
                <w:rFonts w:hint="eastAsia" w:ascii="宋体" w:hAnsi="宋体" w:cs="宋体"/>
                <w:b/>
                <w:bCs/>
                <w:sz w:val="24"/>
                <w:highlight w:val="none"/>
              </w:rPr>
              <w:t xml:space="preserve">附加说明</w:t>
            </w:r>
            <w:r>
              <w:rPr>
                <w:rFonts w:ascii="宋体" w:hAnsi="宋体" w:cs="宋体"/>
                <w:sz w:val="24"/>
                <w:highlight w:val="none"/>
              </w:rPr>
            </w:r>
            <w:r/>
          </w:p>
        </w:tc>
        <w:tc>
          <w:tcPr>
            <w:tcW w:w="7670" w:type="dxa"/>
            <w:vAlign w:val="top"/>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rPr>
                <w:rFonts w:ascii="宋体" w:hAnsi="宋体" w:cs="宋体"/>
                <w:sz w:val="24"/>
                <w:highlight w:val="none"/>
              </w:rPr>
            </w:r>
            <w:r/>
          </w:p>
        </w:tc>
      </w:tr>
      <w:tr>
        <w:trPr/>
        <w:tc>
          <w:tcPr>
            <w:tcW w:w="1368" w:type="dxa"/>
            <w:vAlign w:val="top"/>
            <w:vMerge w:val="continue"/>
            <w:textDirection w:val="lrTb"/>
            <w:noWrap w:val="false"/>
          </w:tcPr>
          <w:p>
            <w:pPr>
              <w:pStyle w:val="909"/>
              <w:jc w:val="center"/>
              <w:spacing w:line="360" w:lineRule="auto"/>
              <w:rPr>
                <w:rFonts w:ascii="宋体" w:hAnsi="宋体" w:cs="宋体"/>
                <w:b/>
                <w:bCs/>
                <w:sz w:val="24"/>
                <w:highlight w:val="none"/>
              </w:rPr>
            </w:pPr>
            <w:r>
              <w:rPr>
                <w:rFonts w:ascii="宋体" w:hAnsi="宋体" w:cs="宋体"/>
                <w:b/>
                <w:bCs/>
                <w:sz w:val="24"/>
                <w:highlight w:val="none"/>
              </w:rPr>
            </w:r>
            <w:r/>
          </w:p>
        </w:tc>
        <w:tc>
          <w:tcPr>
            <w:tcW w:w="7670" w:type="dxa"/>
            <w:vAlign w:val="top"/>
            <w:textDirection w:val="lrTb"/>
            <w:noWrap w:val="false"/>
          </w:tcPr>
          <w:p>
            <w:pPr>
              <w:pStyle w:val="931"/>
              <w:spacing w:line="312"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rPr>
                <w:rFonts w:ascii="宋体" w:hAnsi="宋体" w:cs="宋体"/>
                <w:sz w:val="24"/>
                <w:highlight w:val="none"/>
              </w:rPr>
            </w:r>
            <w:r/>
          </w:p>
          <w:p>
            <w:pPr>
              <w:pStyle w:val="931"/>
              <w:spacing w:line="312"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 w:val="24"/>
                <w:highlight w:val="none"/>
              </w:rPr>
            </w:r>
            <w:r/>
          </w:p>
          <w:p>
            <w:pPr>
              <w:pStyle w:val="931"/>
              <w:spacing w:line="312" w:lineRule="auto"/>
              <w:rPr>
                <w:rFonts w:ascii="宋体" w:hAnsi="宋体" w:cs="宋体"/>
                <w:b/>
                <w:bCs/>
                <w:sz w:val="24"/>
                <w:highlight w:val="none"/>
              </w:rPr>
            </w:pPr>
            <w:r>
              <w:rPr>
                <w:rFonts w:hint="eastAsia" w:ascii="宋体" w:hAnsi="宋体" w:cs="宋体"/>
                <w:b/>
                <w:bCs/>
                <w:sz w:val="24"/>
                <w:highlight w:val="none"/>
              </w:rPr>
              <w:t xml:space="preserve">3、</w:t>
            </w:r>
            <w:r>
              <w:rPr>
                <w:rFonts w:hint="eastAsia" w:ascii="宋体" w:hAnsi="宋体"/>
                <w:b/>
                <w:bCs/>
                <w:sz w:val="24"/>
                <w:highlight w:val="none"/>
                <w:lang w:val="en-US" w:eastAsia="zh-CN"/>
              </w:rPr>
              <w:t xml:space="preserve">评审过程中出现下列情形之一的，评审委员会应当启动异常低价投标（响应）审查程序：</w:t>
            </w:r>
            <w:r>
              <w:rPr>
                <w:rFonts w:ascii="宋体" w:hAnsi="宋体" w:cs="宋体"/>
                <w:b/>
                <w:bCs/>
                <w:sz w:val="24"/>
                <w:highlight w:val="none"/>
              </w:rPr>
            </w:r>
            <w:r/>
          </w:p>
          <w:p>
            <w:pPr>
              <w:pStyle w:val="909"/>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①</w:t>
            </w:r>
            <w:r>
              <w:rPr>
                <w:rFonts w:hint="eastAsia" w:ascii="宋体" w:hAnsi="宋体" w:eastAsia="宋体"/>
                <w:b/>
                <w:bCs/>
                <w:color w:val="000000"/>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rPr>
                <w:rFonts w:hint="eastAsia" w:ascii="宋体" w:hAnsi="宋体" w:eastAsia="宋体"/>
                <w:b/>
                <w:bCs/>
                <w:color w:val="000000"/>
                <w:sz w:val="24"/>
                <w:highlight w:val="none"/>
                <w:lang w:val="en-US" w:eastAsia="zh-CN"/>
              </w:rPr>
            </w:r>
            <w:r/>
          </w:p>
          <w:p>
            <w:pPr>
              <w:pStyle w:val="909"/>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②</w:t>
            </w:r>
            <w:r>
              <w:rPr>
                <w:rFonts w:hint="eastAsia" w:ascii="宋体" w:hAnsi="宋体" w:eastAsia="宋体"/>
                <w:b/>
                <w:bCs/>
                <w:color w:val="000000"/>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rPr>
                <w:rFonts w:hint="eastAsia" w:ascii="宋体" w:hAnsi="宋体" w:eastAsia="宋体"/>
                <w:b/>
                <w:bCs/>
                <w:color w:val="000000"/>
                <w:sz w:val="24"/>
                <w:highlight w:val="none"/>
                <w:lang w:val="en-US" w:eastAsia="zh-CN"/>
              </w:rPr>
            </w:r>
            <w:r/>
          </w:p>
          <w:p>
            <w:pPr>
              <w:pStyle w:val="909"/>
              <w:ind w:firstLine="360"/>
              <w:jc w:val="left"/>
              <w:spacing w:line="360" w:lineRule="auto"/>
              <w:widowControl/>
              <w:rPr>
                <w:rFonts w:hint="eastAsia"/>
                <w:color w:val="000000"/>
                <w:sz w:val="28"/>
                <w:szCs w:val="36"/>
                <w:highlight w:val="none"/>
              </w:rPr>
            </w:pPr>
            <w:r>
              <w:rPr>
                <w:rFonts w:ascii="宋体" w:hAnsi="宋体" w:eastAsia="宋体"/>
                <w:b/>
                <w:bCs/>
                <w:color w:val="000000"/>
                <w:sz w:val="24"/>
                <w:highlight w:val="none"/>
                <w:lang w:val="en-US" w:eastAsia="zh-CN"/>
              </w:rPr>
              <w:t xml:space="preserve">③</w:t>
            </w:r>
            <w:r>
              <w:rPr>
                <w:rFonts w:hint="eastAsia" w:ascii="宋体" w:hAnsi="宋体" w:eastAsia="宋体"/>
                <w:b/>
                <w:bCs/>
                <w:color w:val="000000"/>
                <w:sz w:val="24"/>
                <w:highlight w:val="none"/>
                <w:lang w:val="en-US" w:eastAsia="zh-CN"/>
              </w:rPr>
              <w:t xml:space="preserve">投标(响应)报价低于采购项目最高限价45%的，即投标(响应)报价&lt;采购项目最高限价×45%</w:t>
            </w:r>
            <w:r>
              <w:rPr>
                <w:rFonts w:hint="eastAsia" w:ascii="宋体" w:hAnsi="宋体"/>
                <w:b/>
                <w:bCs/>
                <w:color w:val="000000"/>
                <w:sz w:val="24"/>
                <w:highlight w:val="none"/>
                <w:lang w:val="en-US" w:eastAsia="zh-CN"/>
              </w:rPr>
              <w:t xml:space="preserve">；</w:t>
            </w:r>
            <w:r>
              <w:rPr>
                <w:rFonts w:hint="eastAsia"/>
                <w:color w:val="000000"/>
                <w:sz w:val="28"/>
                <w:szCs w:val="36"/>
                <w:highlight w:val="none"/>
              </w:rPr>
            </w:r>
            <w:r/>
          </w:p>
          <w:p>
            <w:pPr>
              <w:pStyle w:val="909"/>
              <w:ind w:firstLine="360"/>
              <w:jc w:val="left"/>
              <w:spacing w:line="360" w:lineRule="auto"/>
              <w:widowControl/>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fldChar w:fldCharType="begin"/>
            </w:r>
            <w:r>
              <w:rPr>
                <w:rFonts w:hint="eastAsia" w:ascii="宋体" w:hAnsi="宋体" w:eastAsia="宋体"/>
                <w:b/>
                <w:bCs/>
                <w:color w:val="000000"/>
                <w:sz w:val="24"/>
                <w:highlight w:val="none"/>
                <w:lang w:val="en-US" w:eastAsia="zh-CN"/>
              </w:rPr>
              <w:instrText xml:space="preserve"> = 4 \* GB3 \* MERGEFORMAT </w:instrText>
            </w:r>
            <w:r>
              <w:rPr>
                <w:rFonts w:hint="eastAsia" w:ascii="宋体" w:hAnsi="宋体" w:eastAsia="宋体"/>
                <w:b/>
                <w:bCs/>
                <w:color w:val="000000"/>
                <w:sz w:val="24"/>
                <w:highlight w:val="none"/>
                <w:lang w:val="en-US" w:eastAsia="zh-CN"/>
              </w:rPr>
              <w:fldChar w:fldCharType="separate"/>
            </w:r>
            <w:r>
              <w:rPr>
                <w:rFonts w:ascii="宋体" w:hAnsi="宋体" w:eastAsia="宋体"/>
                <w:b/>
                <w:bCs/>
                <w:color w:val="000000"/>
                <w:sz w:val="24"/>
                <w:highlight w:val="none"/>
                <w:lang w:val="en-US" w:eastAsia="zh-CN"/>
              </w:rPr>
              <w:t xml:space="preserve">④</w:t>
            </w:r>
            <w:r>
              <w:rPr>
                <w:rFonts w:hint="eastAsia" w:ascii="宋体" w:hAnsi="宋体" w:eastAsia="宋体"/>
                <w:b/>
                <w:bCs/>
                <w:color w:val="000000"/>
                <w:sz w:val="24"/>
                <w:highlight w:val="none"/>
                <w:lang w:val="en-US" w:eastAsia="zh-CN"/>
              </w:rPr>
              <w:fldChar w:fldCharType="end"/>
            </w:r>
            <w:r>
              <w:rPr>
                <w:rFonts w:hint="eastAsia" w:ascii="宋体" w:hAnsi="宋体" w:eastAsia="宋体"/>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评审委员会依据专业经验，参考同类项目中标(成交)价格类似产品市场价格</w:t>
            </w:r>
            <w:r>
              <w:rPr>
                <w:rFonts w:hint="eastAsia" w:ascii="宋体" w:hAnsi="宋体"/>
                <w:b/>
                <w:bCs/>
                <w:color w:val="000000"/>
                <w:sz w:val="24"/>
                <w:highlight w:val="none"/>
                <w:lang w:val="en-US" w:eastAsia="zh-CN"/>
              </w:rPr>
              <w:t xml:space="preserve">水</w:t>
            </w:r>
            <w:r>
              <w:rPr>
                <w:rFonts w:hint="eastAsia" w:ascii="宋体" w:hAnsi="宋体" w:eastAsia="宋体"/>
                <w:b/>
                <w:bCs/>
                <w:color w:val="000000"/>
                <w:sz w:val="24"/>
                <w:highlight w:val="none"/>
                <w:lang w:val="en-US" w:eastAsia="zh-CN"/>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r>
            <w:r/>
          </w:p>
          <w:p>
            <w:pPr>
              <w:pStyle w:val="954"/>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
                <w:bCs/>
                <w:color w:val="000000"/>
                <w:sz w:val="24"/>
                <w:szCs w:val="24"/>
                <w:highlight w:val="none"/>
                <w:lang w:val="en-US" w:eastAsia="zh-CN" w:bidi="ar-SA"/>
              </w:rPr>
            </w:r>
            <w:r/>
          </w:p>
          <w:p>
            <w:pPr>
              <w:pStyle w:val="931"/>
              <w:spacing w:line="312" w:lineRule="auto"/>
              <w:rPr>
                <w:rFonts w:ascii="宋体" w:hAnsi="宋体" w:cs="宋体"/>
                <w:b/>
                <w:bCs/>
                <w:sz w:val="24"/>
                <w:highlight w:val="none"/>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rPr>
                <w:rFonts w:ascii="宋体" w:hAnsi="宋体" w:cs="宋体"/>
                <w:b/>
                <w:bCs/>
                <w:sz w:val="24"/>
                <w:highlight w:val="none"/>
              </w:rPr>
            </w:r>
            <w:r/>
          </w:p>
          <w:p>
            <w:pPr>
              <w:pStyle w:val="931"/>
              <w:spacing w:line="312" w:lineRule="auto"/>
              <w:rPr>
                <w:rFonts w:ascii="宋体" w:hAnsi="宋体" w:cs="宋体"/>
                <w:sz w:val="24"/>
                <w:highlight w:val="none"/>
              </w:rPr>
            </w:pPr>
            <w:r>
              <w:rPr>
                <w:rFonts w:hint="eastAsia" w:ascii="宋体" w:hAnsi="宋体" w:cs="宋体"/>
                <w:sz w:val="24"/>
                <w:highlight w:val="none"/>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 w:val="24"/>
                <w:highlight w:val="none"/>
              </w:rPr>
            </w:r>
            <w:r/>
          </w:p>
        </w:tc>
      </w:tr>
    </w:tbl>
    <w:p>
      <w:pPr>
        <w:pStyle w:val="909"/>
        <w:spacing w:line="360" w:lineRule="auto"/>
        <w:rPr>
          <w:rFonts w:ascii="宋体" w:hAnsi="宋体"/>
          <w:sz w:val="24"/>
          <w:highlight w:val="none"/>
        </w:rPr>
      </w:pPr>
      <w:r>
        <w:rPr>
          <w:rFonts w:ascii="宋体" w:hAnsi="宋体"/>
          <w:sz w:val="24"/>
          <w:highlight w:val="none"/>
        </w:rPr>
      </w:r>
      <w:r/>
    </w:p>
    <w:p>
      <w:pPr>
        <w:pStyle w:val="909"/>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975"/>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rPr>
          <w:rFonts w:ascii="宋体" w:hAnsi="宋体" w:cs="宋体"/>
          <w:b/>
          <w:sz w:val="24"/>
          <w:highlight w:val="none"/>
        </w:rPr>
      </w:r>
      <w:r/>
    </w:p>
    <w:p>
      <w:pPr>
        <w:pStyle w:val="909"/>
        <w:ind w:firstLine="480"/>
        <w:spacing w:line="519" w:lineRule="atLeast"/>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本章附件：</w:t>
      </w:r>
      <w:r>
        <w:rPr>
          <w:rFonts w:ascii="宋体" w:hAnsi="宋体" w:cs="宋体"/>
          <w:b/>
          <w:sz w:val="24"/>
          <w:highlight w:val="none"/>
        </w:rPr>
        <w:t xml:space="preserve">招标代理服务收费标准</w:t>
      </w:r>
      <w:r>
        <w:rPr>
          <w:highlight w:val="none"/>
        </w:rPr>
      </w:r>
      <w:r/>
    </w:p>
    <w:tbl>
      <w:tblPr>
        <w:tblW w:w="860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Mar>
              <w:left w:w="108" w:type="dxa"/>
              <w:top w:w="0" w:type="dxa"/>
              <w:right w:w="108" w:type="dxa"/>
              <w:bottom w:w="0" w:type="dxa"/>
            </w:tcMar>
            <w:tcW w:w="5887"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中标或成交金额</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费率</w:t>
            </w:r>
            <w:r>
              <w:rPr>
                <w:highlight w:val="none"/>
              </w:rPr>
            </w:r>
            <w:r/>
          </w:p>
        </w:tc>
      </w:tr>
      <w:tr>
        <w:trPr>
          <w:trHeight w:val="489"/>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最低收费金额(每个委托项目)</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5000元</w:t>
            </w:r>
            <w:r>
              <w:rPr>
                <w:highlight w:val="none"/>
              </w:rPr>
            </w:r>
            <w:r/>
          </w:p>
        </w:tc>
      </w:tr>
      <w:tr>
        <w:trPr>
          <w:trHeight w:val="434"/>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50万元以</w:t>
            </w:r>
            <w:r>
              <w:rPr>
                <w:rFonts w:hint="eastAsia" w:ascii="宋体" w:hAnsi="宋体" w:cs="宋体"/>
                <w:sz w:val="24"/>
                <w:highlight w:val="none"/>
              </w:rPr>
              <w:t xml:space="preserve">下</w:t>
            </w:r>
            <w:r>
              <w:rPr>
                <w:rFonts w:ascii="宋体" w:hAnsi="宋体" w:cs="宋体"/>
                <w:sz w:val="24"/>
                <w:highlight w:val="none"/>
              </w:rPr>
              <w:t xml:space="preserve">（含50万元）</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1.60%</w:t>
            </w:r>
            <w:r>
              <w:rPr>
                <w:highlight w:val="none"/>
              </w:rPr>
            </w:r>
            <w:r/>
          </w:p>
        </w:tc>
      </w:tr>
      <w:tr>
        <w:trPr>
          <w:trHeight w:val="414"/>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50-400万元（含400万元）</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1.50%</w:t>
            </w:r>
            <w:r>
              <w:rPr>
                <w:highlight w:val="none"/>
              </w:rPr>
            </w:r>
            <w:r/>
          </w:p>
        </w:tc>
      </w:tr>
      <w:tr>
        <w:trPr>
          <w:trHeight w:val="605"/>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400-1000万元（含1000万元）</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1000-5000万元（含5000万元）</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0.80%</w:t>
            </w:r>
            <w:r>
              <w:rPr>
                <w:highlight w:val="none"/>
              </w:rPr>
            </w:r>
            <w:r/>
          </w:p>
        </w:tc>
      </w:tr>
      <w:tr>
        <w:trPr>
          <w:trHeight w:val="486"/>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5000-1亿元（含1亿元）</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0.25%</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1-10亿（含10亿元）</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0.05%</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10-50亿元（含50亿元）</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0.01%</w:t>
            </w:r>
            <w:r>
              <w:rPr>
                <w:highlight w:val="none"/>
              </w:rPr>
            </w:r>
            <w:r/>
          </w:p>
        </w:tc>
      </w:tr>
      <w:tr>
        <w:trPr>
          <w:trHeight w:val="480"/>
        </w:trPr>
        <w:tc>
          <w:tcPr>
            <w:tcMar>
              <w:left w:w="108" w:type="dxa"/>
              <w:top w:w="0" w:type="dxa"/>
              <w:right w:w="108" w:type="dxa"/>
              <w:bottom w:w="0" w:type="dxa"/>
            </w:tcMar>
            <w:tcW w:w="5887" w:type="dxa"/>
            <w:vAlign w:val="center"/>
            <w:textDirection w:val="lrTb"/>
            <w:noWrap w:val="false"/>
          </w:tcPr>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50亿元</w:t>
            </w:r>
            <w:r>
              <w:rPr>
                <w:rFonts w:hint="eastAsia" w:ascii="宋体" w:hAnsi="宋体" w:cs="宋体"/>
                <w:sz w:val="24"/>
                <w:highlight w:val="none"/>
              </w:rPr>
              <w:t xml:space="preserve">以上</w:t>
            </w:r>
            <w:r>
              <w:rPr>
                <w:highlight w:val="none"/>
              </w:rPr>
            </w:r>
            <w:r/>
          </w:p>
        </w:tc>
        <w:tc>
          <w:tcPr>
            <w:tcMar>
              <w:top w:w="0" w:type="dxa"/>
              <w:bottom w:w="0" w:type="dxa"/>
            </w:tcMar>
            <w:tcW w:w="2713" w:type="dxa"/>
            <w:vAlign w:val="center"/>
            <w:textDirection w:val="lrTb"/>
            <w:noWrap w:val="false"/>
          </w:tcPr>
          <w:p>
            <w:pPr>
              <w:pStyle w:val="909"/>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w:t>
            </w:r>
            <w:r>
              <w:rPr>
                <w:rFonts w:hint="eastAsia" w:ascii="宋体" w:hAnsi="宋体" w:cs="宋体"/>
                <w:sz w:val="24"/>
                <w:highlight w:val="none"/>
                <w:lang w:val="en-US" w:eastAsia="zh-CN"/>
              </w:rPr>
              <w:t xml:space="preserve">05</w:t>
            </w:r>
            <w:r>
              <w:rPr>
                <w:rFonts w:ascii="宋体" w:hAnsi="宋体" w:cs="宋体"/>
                <w:sz w:val="24"/>
                <w:highlight w:val="none"/>
              </w:rPr>
              <w:t xml:space="preserve">%</w:t>
            </w:r>
            <w:r>
              <w:rPr>
                <w:highlight w:val="none"/>
              </w:rPr>
            </w:r>
            <w:r/>
          </w:p>
        </w:tc>
      </w:tr>
    </w:tbl>
    <w:p>
      <w:pPr>
        <w:pStyle w:val="9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说明：</w:t>
      </w:r>
      <w:r>
        <w:rPr>
          <w:highlight w:val="none"/>
        </w:rPr>
      </w:r>
      <w:r/>
    </w:p>
    <w:p>
      <w:pPr>
        <w:pStyle w:val="90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1.按上表计算的收费为代理服务全过程的收费金额。各社会代理机构不另外收取采购文件制作售卖费用。</w:t>
      </w:r>
      <w:r>
        <w:rPr>
          <w:highlight w:val="none"/>
        </w:rPr>
      </w:r>
      <w:r/>
    </w:p>
    <w:p>
      <w:pPr>
        <w:pStyle w:val="90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2.代理服务费按差额定率累进法计算。</w:t>
      </w:r>
      <w:r>
        <w:rPr>
          <w:highlight w:val="none"/>
        </w:rPr>
      </w:r>
      <w:r/>
    </w:p>
    <w:p>
      <w:pPr>
        <w:pStyle w:val="90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3.代理服务费基准金额（按差额定率累进法计算的）=中标金额（按差额定率累进法计算的）*费率（%）。</w:t>
      </w:r>
      <w:r>
        <w:rPr>
          <w:highlight w:val="none"/>
        </w:rPr>
      </w:r>
      <w:r/>
    </w:p>
    <w:p>
      <w:pPr>
        <w:pStyle w:val="90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4.代理服务费应收取金额=代理服务费基准金额（按差额定率累进法计算的）的合计数。</w:t>
      </w:r>
      <w:r>
        <w:rPr>
          <w:highlight w:val="none"/>
        </w:rPr>
      </w:r>
      <w:r/>
    </w:p>
    <w:p>
      <w:pPr>
        <w:pStyle w:val="90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5.定点类等无金额或事先不能计算出价格总额的项目，按中标（成交）金额100万元计算服务费。</w:t>
      </w:r>
      <w:r>
        <w:rPr>
          <w:highlight w:val="none"/>
        </w:rPr>
      </w:r>
      <w:r/>
    </w:p>
    <w:p>
      <w:pPr>
        <w:pStyle w:val="90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6.有分包（分</w:t>
      </w:r>
      <w:r>
        <w:rPr>
          <w:rFonts w:hint="eastAsia" w:ascii="宋体" w:hAnsi="宋体" w:cs="宋体"/>
          <w:sz w:val="24"/>
          <w:highlight w:val="none"/>
        </w:rPr>
        <w:t xml:space="preserve">采购包</w:t>
      </w:r>
      <w:r>
        <w:rPr>
          <w:rFonts w:ascii="宋体" w:hAnsi="宋体" w:cs="宋体"/>
          <w:sz w:val="24"/>
          <w:highlight w:val="none"/>
        </w:rPr>
        <w:t xml:space="preserve">）的按一个项目计算。</w:t>
      </w:r>
      <w:r>
        <w:rPr>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7.以上价格为协会指导价，双方可根据项目难易程度和优质优价原则协商确定。</w:t>
      </w:r>
      <w:r>
        <w:rPr>
          <w:rFonts w:ascii="宋体" w:hAnsi="宋体" w:cs="宋体"/>
          <w:sz w:val="24"/>
          <w:highlight w:val="none"/>
        </w:rPr>
      </w:r>
      <w:r/>
    </w:p>
    <w:p>
      <w:pPr>
        <w:pStyle w:val="927"/>
        <w:rPr>
          <w:highlight w:val="none"/>
        </w:rPr>
      </w:pPr>
      <w:r>
        <w:rPr>
          <w:rFonts w:hint="eastAsia" w:ascii="宋体" w:hAnsi="宋体" w:cs="宋体"/>
          <w:sz w:val="24"/>
          <w:highlight w:val="none"/>
        </w:rPr>
        <w:t xml:space="preserve">8.账户信息</w:t>
      </w:r>
      <w:r>
        <w:rPr>
          <w:highlight w:val="none"/>
        </w:rPr>
      </w:r>
      <w:r/>
    </w:p>
    <w:p>
      <w:pPr>
        <w:pStyle w:val="927"/>
        <w:rPr>
          <w:highlight w:val="none"/>
        </w:rPr>
      </w:pPr>
      <w:r>
        <w:rPr>
          <w:highlight w:val="none"/>
        </w:rPr>
      </w:r>
      <w:r/>
    </w:p>
    <w:p>
      <w:pPr>
        <w:pStyle w:val="909"/>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收款人：江苏中瑞建设项目管理有限公司 </w:t>
      </w:r>
      <w:r>
        <w:rPr>
          <w:rFonts w:ascii="宋体" w:hAnsi="宋体" w:cs="宋体"/>
          <w:sz w:val="24"/>
          <w:highlight w:val="none"/>
        </w:rPr>
      </w:r>
      <w:r/>
    </w:p>
    <w:p>
      <w:pPr>
        <w:pStyle w:val="909"/>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开户银行：中国建设银行徐州永安支行</w:t>
      </w:r>
      <w:r>
        <w:rPr>
          <w:rFonts w:ascii="宋体" w:hAnsi="宋体" w:cs="宋体"/>
          <w:sz w:val="24"/>
          <w:highlight w:val="none"/>
        </w:rPr>
      </w:r>
      <w:r/>
    </w:p>
    <w:p>
      <w:pPr>
        <w:pStyle w:val="975"/>
        <w:ind w:firstLine="480"/>
        <w:spacing w:line="360" w:lineRule="auto"/>
        <w:rPr>
          <w:highlight w:val="none"/>
        </w:rPr>
      </w:pPr>
      <w:r>
        <w:rPr>
          <w:rFonts w:hint="eastAsia" w:ascii="宋体" w:hAnsi="宋体" w:cs="宋体"/>
          <w:sz w:val="24"/>
          <w:highlight w:val="none"/>
        </w:rPr>
        <w:t xml:space="preserve">银行账号：32001718336052501620</w:t>
      </w:r>
      <w:r>
        <w:rPr>
          <w:highlight w:val="none"/>
        </w:rPr>
      </w:r>
      <w:r/>
    </w:p>
    <w:p>
      <w:pPr>
        <w:pStyle w:val="930"/>
        <w:rPr>
          <w:highlight w:val="none"/>
        </w:rPr>
      </w:pPr>
      <w:r>
        <w:rPr>
          <w:highlight w:val="none"/>
        </w:rPr>
      </w:r>
      <w:r/>
    </w:p>
    <w:p>
      <w:pPr>
        <w:pStyle w:val="909"/>
        <w:rPr>
          <w:highlight w:val="none"/>
        </w:rPr>
      </w:pPr>
      <w:r>
        <w:rPr>
          <w:highlight w:val="none"/>
        </w:rPr>
      </w:r>
      <w:r/>
    </w:p>
    <w:p>
      <w:pPr>
        <w:pStyle w:val="974"/>
        <w:rPr>
          <w:highlight w:val="none"/>
        </w:rPr>
      </w:pPr>
      <w:r>
        <w:rPr>
          <w:highlight w:val="none"/>
        </w:rPr>
      </w:r>
      <w:r/>
    </w:p>
    <w:p>
      <w:pPr>
        <w:pStyle w:val="909"/>
        <w:numPr>
          <w:ilvl w:val="0"/>
          <w:numId w:val="2"/>
        </w:numPr>
        <w:jc w:val="center"/>
        <w:widowControl/>
        <w:rPr>
          <w:rFonts w:ascii="宋体" w:hAnsi="宋体" w:cs="宋体"/>
          <w:b/>
          <w:bCs/>
          <w:sz w:val="30"/>
          <w:szCs w:val="30"/>
          <w:highlight w:val="none"/>
        </w:rPr>
      </w:pPr>
      <w:r>
        <w:rPr>
          <w:rFonts w:hint="eastAsia" w:ascii="宋体" w:hAnsi="宋体" w:cs="宋体"/>
          <w:b/>
          <w:bCs/>
          <w:sz w:val="30"/>
          <w:szCs w:val="30"/>
          <w:highlight w:val="none"/>
        </w:rPr>
        <w:t xml:space="preserve">评标标准</w:t>
      </w:r>
      <w:r>
        <w:rPr>
          <w:rFonts w:ascii="宋体" w:hAnsi="宋体" w:cs="宋体"/>
          <w:b/>
          <w:bCs/>
          <w:sz w:val="30"/>
          <w:szCs w:val="30"/>
          <w:highlight w:val="none"/>
        </w:rPr>
      </w:r>
      <w:r/>
    </w:p>
    <w:tbl>
      <w:tblPr>
        <w:tblW w:w="9225"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7818"/>
      </w:tblGrid>
      <w:tr>
        <w:trPr>
          <w:trHeight w:val="323"/>
        </w:trPr>
        <w:tc>
          <w:tcPr>
            <w:tcMar>
              <w:left w:w="108" w:type="dxa"/>
              <w:top w:w="0" w:type="dxa"/>
              <w:right w:w="108" w:type="dxa"/>
              <w:bottom w:w="0" w:type="dxa"/>
            </w:tcMar>
            <w:tcW w:w="1407" w:type="dxa"/>
            <w:vAlign w:val="center"/>
            <w:textDirection w:val="lrTb"/>
            <w:noWrap w:val="false"/>
          </w:tcPr>
          <w:p>
            <w:pPr>
              <w:pStyle w:val="909"/>
              <w:jc w:val="center"/>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项目及分值</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09"/>
              <w:jc w:val="center"/>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评  分  依  据</w:t>
            </w:r>
            <w:r>
              <w:rPr>
                <w:rFonts w:ascii="Arial" w:hAnsi="Arial"/>
                <w:sz w:val="22"/>
                <w:highlight w:val="none"/>
              </w:rPr>
            </w:r>
            <w:r/>
          </w:p>
        </w:tc>
      </w:tr>
      <w:tr>
        <w:trPr>
          <w:trHeight w:val="791"/>
        </w:trPr>
        <w:tc>
          <w:tcPr>
            <w:tcMar>
              <w:left w:w="108" w:type="dxa"/>
              <w:top w:w="0" w:type="dxa"/>
              <w:right w:w="108" w:type="dxa"/>
              <w:bottom w:w="0" w:type="dxa"/>
            </w:tcMar>
            <w:tcW w:w="1407" w:type="dxa"/>
            <w:vAlign w:val="center"/>
            <w:textDirection w:val="lrTb"/>
            <w:noWrap w:val="false"/>
          </w:tcPr>
          <w:p>
            <w:pPr>
              <w:pStyle w:val="909"/>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价格部分</w:t>
            </w:r>
            <w:r>
              <w:rPr>
                <w:rFonts w:ascii="Arial" w:hAnsi="Arial"/>
                <w:sz w:val="22"/>
                <w:highlight w:val="none"/>
              </w:rPr>
            </w:r>
            <w:r/>
          </w:p>
          <w:p>
            <w:pPr>
              <w:pStyle w:val="909"/>
              <w:jc w:val="center"/>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0分）</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09"/>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各投标人价格得分=最低报价（投标人的最低评审价格）÷各投标人评审价格×</w:t>
            </w:r>
            <w:r>
              <w:rPr>
                <w:rFonts w:hint="eastAsia"/>
                <w:sz w:val="24"/>
                <w:highlight w:val="none"/>
              </w:rPr>
              <w:t xml:space="preserve">3</w:t>
            </w:r>
            <w:r>
              <w:rPr>
                <w:sz w:val="24"/>
                <w:highlight w:val="none"/>
              </w:rPr>
              <w:t xml:space="preserve">0（分值计算结果保留两位小数）。</w:t>
            </w:r>
            <w:r>
              <w:rPr>
                <w:sz w:val="24"/>
                <w:highlight w:val="none"/>
              </w:rPr>
            </w:r>
            <w:r/>
          </w:p>
          <w:p>
            <w:pPr>
              <w:pStyle w:val="909"/>
              <w:spacing w:line="360" w:lineRule="auto"/>
              <w:rPr>
                <w:rFonts w:hint="eastAsia"/>
                <w:sz w:val="24"/>
                <w:highlight w:val="none"/>
              </w:rPr>
            </w:pPr>
            <w:r>
              <w:rPr>
                <w:rFonts w:hint="eastAsia"/>
                <w:sz w:val="24"/>
                <w:highlight w:val="none"/>
              </w:rPr>
              <w:t xml:space="preserve">注：1.投标人所提供的货物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rFonts w:hint="eastAsia"/>
                <w:sz w:val="24"/>
                <w:highlight w:val="none"/>
              </w:rPr>
            </w:r>
            <w:r/>
          </w:p>
          <w:p>
            <w:pPr>
              <w:pStyle w:val="909"/>
              <w:ind w:firstLine="480"/>
              <w:spacing w:line="360" w:lineRule="auto"/>
              <w:rPr>
                <w:rFonts w:hint="eastAsia"/>
                <w:sz w:val="24"/>
                <w:highlight w:val="none"/>
              </w:rPr>
            </w:pPr>
            <w:r>
              <w:rPr>
                <w:rFonts w:hint="eastAsia"/>
                <w:sz w:val="24"/>
                <w:highlight w:val="none"/>
                <w:lang w:val="en-US" w:eastAsia="zh-CN"/>
              </w:rPr>
              <w:t xml:space="preserve">2.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sz w:val="24"/>
                <w:highlight w:val="none"/>
              </w:rPr>
              <w:t xml:space="preserve">该投标人的评审价格=《开标一览表》中的“总价”*（100%-</w:t>
            </w:r>
            <w:r>
              <w:rPr>
                <w:rFonts w:hint="eastAsia"/>
                <w:sz w:val="24"/>
                <w:highlight w:val="none"/>
                <w:lang w:val="en-US" w:eastAsia="zh-CN"/>
              </w:rPr>
              <w:t xml:space="preserve">2</w:t>
            </w:r>
            <w:r>
              <w:rPr>
                <w:rFonts w:hint="eastAsia"/>
                <w:sz w:val="24"/>
                <w:highlight w:val="none"/>
              </w:rPr>
              <w:t xml:space="preserve">0%）。</w:t>
            </w:r>
            <w:r>
              <w:rPr>
                <w:rFonts w:hint="eastAsia"/>
                <w:sz w:val="24"/>
                <w:highlight w:val="none"/>
              </w:rPr>
            </w:r>
            <w:r/>
          </w:p>
          <w:p>
            <w:pPr>
              <w:pStyle w:val="958"/>
              <w:ind w:left="0" w:firstLine="480"/>
              <w:spacing w:line="360" w:lineRule="auto"/>
              <w:rPr>
                <w:rFonts w:hint="eastAsia"/>
                <w:sz w:val="24"/>
                <w:highlight w:val="none"/>
              </w:rPr>
            </w:pPr>
            <w:r>
              <w:rPr>
                <w:rFonts w:hint="eastAsia" w:ascii="宋体" w:hAnsi="宋体" w:eastAsia="宋体" w:cs="宋体"/>
                <w:sz w:val="24"/>
                <w:highlight w:val="none"/>
                <w:lang w:val="en-US" w:eastAsia="zh-CN"/>
              </w:rPr>
              <w:t xml:space="preserve">3</w:t>
            </w:r>
            <w:r>
              <w:rPr>
                <w:rFonts w:hint="eastAsia" w:ascii="宋体" w:hAnsi="宋体" w:cs="宋体"/>
                <w:sz w:val="24"/>
                <w:highlight w:val="none"/>
                <w:lang w:val="en-US" w:eastAsia="zh-CN"/>
              </w:rPr>
              <w:t xml:space="preserve">.投标人同时满足上述第1条及第2条规定的优惠政策的，</w:t>
            </w:r>
            <w:r>
              <w:rPr>
                <w:rFonts w:hint="eastAsia"/>
                <w:sz w:val="24"/>
                <w:highlight w:val="none"/>
              </w:rPr>
              <w:t xml:space="preserve">给予</w:t>
            </w:r>
            <w:r>
              <w:rPr>
                <w:rFonts w:hint="eastAsia"/>
                <w:sz w:val="24"/>
                <w:highlight w:val="none"/>
                <w:lang w:val="en-US" w:eastAsia="zh-CN"/>
              </w:rPr>
              <w:t xml:space="preserve">3</w:t>
            </w:r>
            <w:r>
              <w:rPr>
                <w:rFonts w:hint="eastAsia"/>
                <w:sz w:val="24"/>
                <w:highlight w:val="none"/>
              </w:rPr>
              <w:t xml:space="preserve">0%的价格扣除，用扣除后的价格参加评审。该投标人的评审价格=《开标一览表》中的“总价”*（100%-</w:t>
            </w:r>
            <w:r>
              <w:rPr>
                <w:rFonts w:hint="eastAsia"/>
                <w:sz w:val="24"/>
                <w:highlight w:val="none"/>
                <w:lang w:val="en-US" w:eastAsia="zh-CN"/>
              </w:rPr>
              <w:t xml:space="preserve">3</w:t>
            </w:r>
            <w:r>
              <w:rPr>
                <w:rFonts w:hint="eastAsia"/>
                <w:sz w:val="24"/>
                <w:highlight w:val="none"/>
              </w:rPr>
              <w:t xml:space="preserve">0%）。</w:t>
            </w:r>
            <w:r>
              <w:rPr>
                <w:rFonts w:hint="eastAsia"/>
                <w:sz w:val="24"/>
                <w:highlight w:val="none"/>
              </w:rPr>
            </w:r>
            <w:r/>
          </w:p>
          <w:p>
            <w:pPr>
              <w:pStyle w:val="909"/>
              <w:ind w:firstLine="480"/>
              <w:spacing w:line="360" w:lineRule="auto"/>
              <w:rPr>
                <w:highlight w:val="none"/>
              </w:rPr>
            </w:pPr>
            <w:r>
              <w:rPr>
                <w:rFonts w:hint="eastAsia"/>
                <w:sz w:val="24"/>
                <w:szCs w:val="24"/>
                <w:highlight w:val="none"/>
                <w:lang w:val="en-US" w:eastAsia="zh-CN"/>
              </w:rPr>
              <w:t xml:space="preserve">享受价格评审优惠不改变最终中标价格，政府采购合同仍按照中标供应商的报价签订。</w:t>
            </w:r>
            <w:r>
              <w:rPr>
                <w:highlight w:val="none"/>
              </w:rPr>
            </w:r>
            <w:r/>
          </w:p>
        </w:tc>
      </w:tr>
      <w:tr>
        <w:trPr>
          <w:trHeight w:val="1107"/>
        </w:trPr>
        <w:tc>
          <w:tcPr>
            <w:tcMar>
              <w:left w:w="108" w:type="dxa"/>
              <w:top w:w="0" w:type="dxa"/>
              <w:right w:w="108" w:type="dxa"/>
              <w:bottom w:w="0" w:type="dxa"/>
            </w:tcMar>
            <w:tcW w:w="1407" w:type="dxa"/>
            <w:vAlign w:val="center"/>
            <w:textDirection w:val="lrTb"/>
            <w:noWrap w:val="false"/>
          </w:tcPr>
          <w:p>
            <w:pPr>
              <w:pStyle w:val="909"/>
              <w:jc w:val="center"/>
              <w:rPr>
                <w:rFonts w:ascii="Arial" w:hAnsi="Arial"/>
                <w:sz w:val="22"/>
                <w:highlight w:val="none"/>
              </w:rPr>
              <w:pBdr>
                <w:top w:val="none" w:color="000000" w:sz="0" w:space="0"/>
                <w:left w:val="none" w:color="000000" w:sz="0" w:space="0"/>
                <w:bottom w:val="none" w:color="000000" w:sz="0" w:space="0"/>
                <w:right w:val="none" w:color="000000" w:sz="0" w:space="0"/>
              </w:pBdr>
            </w:pPr>
            <w:r/>
            <w:bookmarkStart w:id="14" w:name="OLE_LINK11"/>
            <w:r>
              <w:rPr>
                <w:rFonts w:hint="eastAsia" w:ascii="宋体" w:hAnsi="宋体" w:cs="宋体"/>
                <w:sz w:val="24"/>
                <w:highlight w:val="none"/>
              </w:rPr>
              <w:t xml:space="preserve">投标人业绩</w:t>
            </w:r>
            <w:bookmarkEnd w:id="14"/>
            <w:r>
              <w:rPr>
                <w:rFonts w:ascii="宋体" w:hAnsi="宋体" w:cs="宋体"/>
                <w:sz w:val="24"/>
                <w:highlight w:val="none"/>
              </w:rPr>
              <w:t xml:space="preserve">（</w:t>
            </w:r>
            <w:r>
              <w:rPr>
                <w:rFonts w:hint="eastAsia" w:ascii="宋体" w:hAnsi="宋体" w:cs="宋体"/>
                <w:sz w:val="24"/>
                <w:highlight w:val="none"/>
              </w:rPr>
              <w:t xml:space="preserve">4</w:t>
            </w:r>
            <w:r>
              <w:rPr>
                <w:rFonts w:ascii="宋体" w:hAnsi="宋体" w:cs="宋体"/>
                <w:sz w:val="24"/>
                <w:highlight w:val="none"/>
              </w:rPr>
              <w:t xml:space="preserve">分）</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15" w:name="OLE_LINK6"/>
            <w:r>
              <w:rPr>
                <w:rFonts w:ascii="宋体" w:hAnsi="宋体" w:cs="宋体"/>
                <w:sz w:val="24"/>
                <w:highlight w:val="none"/>
              </w:rPr>
              <w:t xml:space="preserve">提供投标人为乙方（卖方），合同签订日期在202</w:t>
            </w:r>
            <w:r>
              <w:rPr>
                <w:rFonts w:hint="eastAsia" w:ascii="宋体" w:hAnsi="宋体" w:cs="宋体"/>
                <w:sz w:val="24"/>
                <w:highlight w:val="none"/>
                <w:lang w:val="en-US" w:eastAsia="zh-CN"/>
              </w:rPr>
              <w:t xml:space="preserve">3</w:t>
            </w:r>
            <w:r>
              <w:rPr>
                <w:rFonts w:ascii="宋体" w:hAnsi="宋体" w:cs="宋体"/>
                <w:sz w:val="24"/>
                <w:highlight w:val="none"/>
              </w:rPr>
              <w:t xml:space="preserve">年1月1日以后</w:t>
            </w:r>
            <w:r>
              <w:rPr>
                <w:rFonts w:hint="eastAsia" w:ascii="宋体" w:hAnsi="宋体" w:cs="宋体"/>
                <w:sz w:val="24"/>
                <w:highlight w:val="none"/>
              </w:rPr>
              <w:t xml:space="preserve">相似或类似</w:t>
            </w:r>
            <w:r>
              <w:rPr>
                <w:rFonts w:ascii="宋体" w:hAnsi="宋体" w:cs="宋体"/>
                <w:sz w:val="24"/>
                <w:highlight w:val="none"/>
              </w:rPr>
              <w:t xml:space="preserve">业绩，每提供一个得</w:t>
            </w:r>
            <w:r>
              <w:rPr>
                <w:rFonts w:hint="eastAsia" w:ascii="宋体" w:hAnsi="宋体" w:cs="宋体"/>
                <w:sz w:val="24"/>
                <w:highlight w:val="none"/>
              </w:rPr>
              <w:t xml:space="preserve">2</w:t>
            </w:r>
            <w:r>
              <w:rPr>
                <w:rFonts w:ascii="宋体" w:hAnsi="宋体" w:cs="宋体"/>
                <w:sz w:val="24"/>
                <w:highlight w:val="none"/>
              </w:rPr>
              <w:t xml:space="preserve">分，最高得</w:t>
            </w:r>
            <w:r>
              <w:rPr>
                <w:rFonts w:hint="eastAsia" w:ascii="宋体" w:hAnsi="宋体" w:cs="宋体"/>
                <w:sz w:val="24"/>
                <w:highlight w:val="none"/>
              </w:rPr>
              <w:t xml:space="preserve">4</w:t>
            </w:r>
            <w:r>
              <w:rPr>
                <w:rFonts w:ascii="宋体" w:hAnsi="宋体" w:cs="宋体"/>
                <w:sz w:val="24"/>
                <w:highlight w:val="none"/>
              </w:rPr>
              <w:t xml:space="preserve">分（合同必须明确签订日期等关键信息，合同关键信息不完整的不得分）。</w:t>
            </w:r>
            <w:r>
              <w:rPr>
                <w:rFonts w:ascii="宋体" w:hAnsi="宋体" w:cs="宋体"/>
                <w:sz w:val="24"/>
                <w:highlight w:val="none"/>
              </w:rPr>
            </w:r>
            <w:r/>
          </w:p>
          <w:p>
            <w:pPr>
              <w:pStyle w:val="909"/>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本项最高得4分，最低得0分。</w:t>
            </w:r>
            <w:r>
              <w:rPr>
                <w:rFonts w:ascii="宋体" w:hAnsi="宋体" w:cs="宋体"/>
                <w:sz w:val="24"/>
                <w:highlight w:val="none"/>
              </w:rPr>
            </w:r>
            <w:r/>
          </w:p>
          <w:p>
            <w:pPr>
              <w:pStyle w:val="909"/>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投标文件中提供合同原件的扫描件并</w:t>
            </w:r>
            <w:r>
              <w:rPr>
                <w:rFonts w:hint="eastAsia" w:ascii="宋体" w:hAnsi="宋体" w:cs="宋体"/>
                <w:b/>
                <w:bCs/>
                <w:sz w:val="24"/>
                <w:highlight w:val="none"/>
              </w:rPr>
              <w:t xml:space="preserve">加盖单位公章</w:t>
            </w:r>
            <w:r>
              <w:rPr>
                <w:rFonts w:ascii="宋体" w:hAnsi="宋体" w:cs="宋体"/>
                <w:b/>
                <w:sz w:val="24"/>
                <w:highlight w:val="none"/>
              </w:rPr>
              <w:t xml:space="preserve">。</w:t>
            </w:r>
            <w:bookmarkEnd w:id="15"/>
            <w:r>
              <w:rPr>
                <w:rFonts w:ascii="Arial" w:hAnsi="Arial"/>
                <w:sz w:val="22"/>
                <w:highlight w:val="none"/>
              </w:rPr>
            </w:r>
            <w:r/>
          </w:p>
        </w:tc>
      </w:tr>
      <w:tr>
        <w:trPr>
          <w:trHeight w:val="1107"/>
        </w:trPr>
        <w:tc>
          <w:tcPr>
            <w:tcMar>
              <w:left w:w="108" w:type="dxa"/>
              <w:top w:w="0" w:type="dxa"/>
              <w:right w:w="108" w:type="dxa"/>
              <w:bottom w:w="0" w:type="dxa"/>
            </w:tcMar>
            <w:tcW w:w="1407" w:type="dxa"/>
            <w:vAlign w:val="center"/>
            <w:textDirection w:val="lrTb"/>
            <w:noWrap w:val="false"/>
          </w:tcPr>
          <w:p>
            <w:pPr>
              <w:pStyle w:val="909"/>
              <w:spacing w:line="520" w:lineRule="exact"/>
              <w:rPr>
                <w:rFonts w:hint="eastAsia" w:ascii="宋体" w:hAnsi="宋体" w:cs="宋体"/>
                <w:sz w:val="24"/>
                <w:highlight w:val="none"/>
              </w:rPr>
            </w:pPr>
            <w:r>
              <w:rPr>
                <w:rFonts w:hint="eastAsia" w:ascii="宋体" w:hAnsi="宋体" w:cs="宋体"/>
                <w:sz w:val="24"/>
                <w:highlight w:val="none"/>
              </w:rPr>
              <w:t xml:space="preserve">投标人评价（4分）</w:t>
            </w:r>
            <w:r>
              <w:rPr>
                <w:rFonts w:hint="eastAsia" w:ascii="宋体" w:hAnsi="宋体" w:cs="宋体"/>
                <w:sz w:val="24"/>
                <w:highlight w:val="none"/>
              </w:rPr>
            </w:r>
            <w:r/>
          </w:p>
        </w:tc>
        <w:tc>
          <w:tcPr>
            <w:tcMar>
              <w:left w:w="108" w:type="dxa"/>
              <w:top w:w="0" w:type="dxa"/>
              <w:right w:w="108" w:type="dxa"/>
              <w:bottom w:w="0" w:type="dxa"/>
            </w:tcMar>
            <w:tcW w:w="7818" w:type="dxa"/>
            <w:vAlign w:val="center"/>
            <w:textDirection w:val="lrTb"/>
            <w:noWrap w:val="false"/>
          </w:tcPr>
          <w:p>
            <w:pPr>
              <w:pStyle w:val="909"/>
              <w:spacing w:line="360" w:lineRule="auto"/>
              <w:rPr>
                <w:rFonts w:ascii="宋体" w:hAnsi="宋体" w:cs="宋体"/>
                <w:sz w:val="24"/>
                <w:highlight w:val="none"/>
              </w:rPr>
            </w:pPr>
            <w:r>
              <w:rPr>
                <w:rFonts w:hint="eastAsia" w:ascii="宋体" w:hAnsi="宋体" w:cs="宋体"/>
                <w:sz w:val="24"/>
                <w:highlight w:val="none"/>
              </w:rPr>
              <w:t xml:space="preserve">1、投标人具有有效期内的ISO9001质量管理体系认证证书、ISO20000信息技术服务管理体系认证证书，每提供一份证书得1分，最高得2分，不提供不得分。</w:t>
            </w:r>
            <w:r>
              <w:rPr>
                <w:rFonts w:hint="eastAsia" w:ascii="宋体" w:hAnsi="宋体" w:cs="宋体"/>
                <w:sz w:val="24"/>
                <w:highlight w:val="none"/>
              </w:rPr>
              <w:br w:type="textWrapping" w:clear="all"/>
            </w:r>
            <w:r>
              <w:rPr>
                <w:rFonts w:hint="eastAsia" w:ascii="宋体" w:hAnsi="宋体" w:cs="宋体"/>
                <w:sz w:val="24"/>
                <w:highlight w:val="none"/>
              </w:rPr>
              <w:t xml:space="preserve">2、投标人具有有效期内的CCRC信息系统安全集成服务资质三级及以上证书的得1分，CMMI软件开发成熟度模型三级证书的得1分，不提供不得分。</w:t>
            </w:r>
            <w:r>
              <w:rPr>
                <w:rFonts w:hint="eastAsia" w:ascii="宋体" w:hAnsi="宋体" w:cs="宋体"/>
                <w:sz w:val="24"/>
                <w:highlight w:val="none"/>
              </w:rPr>
              <w:br w:type="textWrapping" w:clear="all"/>
            </w:r>
            <w:r>
              <w:rPr>
                <w:rFonts w:hint="eastAsia" w:ascii="宋体" w:hAnsi="宋体" w:cs="宋体"/>
                <w:sz w:val="24"/>
                <w:highlight w:val="none"/>
              </w:rPr>
              <w:t xml:space="preserve">本项最高得4分，最低得0分。</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b/>
                <w:bCs/>
                <w:sz w:val="24"/>
                <w:highlight w:val="none"/>
              </w:rPr>
              <w:t xml:space="preserve">投标文件内提供相应证书的原件扫描件复印件并加盖单位公章。</w:t>
            </w:r>
            <w:r>
              <w:rPr>
                <w:rFonts w:ascii="宋体" w:hAnsi="宋体" w:cs="宋体"/>
                <w:sz w:val="24"/>
                <w:highlight w:val="none"/>
              </w:rPr>
            </w:r>
            <w:r/>
          </w:p>
        </w:tc>
      </w:tr>
      <w:tr>
        <w:trPr>
          <w:trHeight w:val="1107"/>
        </w:trPr>
        <w:tc>
          <w:tcPr>
            <w:tcMar>
              <w:left w:w="108" w:type="dxa"/>
              <w:top w:w="0" w:type="dxa"/>
              <w:right w:w="108" w:type="dxa"/>
              <w:bottom w:w="0" w:type="dxa"/>
            </w:tcMar>
            <w:tcW w:w="1407" w:type="dxa"/>
            <w:vAlign w:val="center"/>
            <w:textDirection w:val="lrTb"/>
            <w:noWrap w:val="false"/>
          </w:tcPr>
          <w:p>
            <w:pPr>
              <w:pStyle w:val="909"/>
              <w:jc w:val="center"/>
              <w:spacing w:line="360" w:lineRule="auto"/>
              <w:rPr>
                <w:rFonts w:hint="eastAsia" w:ascii="宋体" w:hAnsi="宋体" w:cs="宋体"/>
                <w:color w:val="ff0000"/>
                <w:sz w:val="24"/>
                <w:highlight w:val="none"/>
              </w:rPr>
            </w:pPr>
            <w:r>
              <w:rPr>
                <w:rFonts w:hint="eastAsia" w:ascii="宋体" w:hAnsi="宋体" w:cs="宋体"/>
                <w:color w:val="000000"/>
                <w:sz w:val="24"/>
                <w:highlight w:val="none"/>
              </w:rPr>
              <w:t xml:space="preserve">拟派服务团队配备情况</w:t>
            </w:r>
            <w:r>
              <w:rPr>
                <w:rFonts w:hint="eastAsia" w:ascii="宋体" w:hAnsi="宋体" w:cs="宋体"/>
                <w:sz w:val="24"/>
                <w:highlight w:val="none"/>
              </w:rPr>
              <w:t xml:space="preserve">（2分）</w:t>
            </w:r>
            <w:r>
              <w:rPr>
                <w:rFonts w:hint="eastAsia" w:ascii="宋体" w:hAnsi="宋体" w:cs="宋体"/>
                <w:color w:val="ff0000"/>
                <w:sz w:val="24"/>
                <w:highlight w:val="none"/>
              </w:rPr>
            </w:r>
            <w:r/>
          </w:p>
        </w:tc>
        <w:tc>
          <w:tcPr>
            <w:tcMar>
              <w:left w:w="108" w:type="dxa"/>
              <w:top w:w="0" w:type="dxa"/>
              <w:right w:w="108" w:type="dxa"/>
              <w:bottom w:w="0" w:type="dxa"/>
            </w:tcMar>
            <w:tcW w:w="7818" w:type="dxa"/>
            <w:vAlign w:val="center"/>
            <w:textDirection w:val="lrTb"/>
            <w:noWrap w:val="false"/>
          </w:tcPr>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1、参与本项目的项目经理同时具有信息系统项目管理师（高级）证书、电子信息工程师（高级）证书的，满足得1分，否则不得分。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2、其他项目团队人员具备IT服务工程师(ITSS)、CISAW信息安全保障人员认证证书的，每提供一个得0.5分，最多可得1分。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本项最高得2分，最低得0分</w:t>
            </w:r>
            <w:r>
              <w:rPr>
                <w:rFonts w:hint="eastAsia" w:ascii="宋体" w:hAnsi="宋体" w:cs="宋体"/>
                <w:sz w:val="24"/>
                <w:highlight w:val="none"/>
              </w:rPr>
            </w:r>
            <w:r/>
          </w:p>
          <w:p>
            <w:pPr>
              <w:pStyle w:val="909"/>
              <w:spacing w:line="360" w:lineRule="auto"/>
              <w:rPr>
                <w:rFonts w:hint="eastAsia" w:ascii="宋体" w:hAnsi="宋体" w:cs="宋体"/>
                <w:color w:val="ff0000"/>
                <w:sz w:val="24"/>
                <w:highlight w:val="none"/>
              </w:rPr>
            </w:pPr>
            <w:r>
              <w:rPr>
                <w:rFonts w:hint="eastAsia" w:ascii="宋体" w:hAnsi="宋体" w:cs="宋体"/>
                <w:sz w:val="24"/>
                <w:highlight w:val="none"/>
              </w:rPr>
              <w:t xml:space="preserve">以上均需提供</w:t>
            </w:r>
            <w:r>
              <w:rPr>
                <w:rFonts w:hint="eastAsia"/>
                <w:sz w:val="24"/>
                <w:szCs w:val="32"/>
                <w:highlight w:val="none"/>
              </w:rPr>
              <w:t xml:space="preserve">本项目开标时间前6个月内任何1个月（不含开标当月）的社保缴费证明</w:t>
            </w:r>
            <w:r>
              <w:rPr>
                <w:rFonts w:hint="eastAsia" w:ascii="宋体" w:hAnsi="宋体" w:cs="宋体"/>
                <w:sz w:val="24"/>
                <w:highlight w:val="none"/>
              </w:rPr>
              <w:t xml:space="preserve">并加盖投标人公章方可得分，不提供不得分。</w:t>
            </w:r>
            <w:r>
              <w:rPr>
                <w:rFonts w:hint="eastAsia" w:ascii="宋体" w:hAnsi="宋体" w:cs="宋体"/>
                <w:b/>
                <w:bCs/>
                <w:sz w:val="24"/>
                <w:highlight w:val="none"/>
              </w:rPr>
              <w:t xml:space="preserve">提供证书原件彩色扫描件并加盖投标人公章。（以上人员一人一证，不可重复计分）</w:t>
            </w:r>
            <w:r>
              <w:rPr>
                <w:rFonts w:hint="eastAsia" w:ascii="宋体" w:hAnsi="宋体" w:cs="宋体"/>
                <w:color w:val="ff0000"/>
                <w:sz w:val="24"/>
                <w:highlight w:val="none"/>
              </w:rPr>
            </w:r>
            <w:r/>
          </w:p>
        </w:tc>
      </w:tr>
      <w:tr>
        <w:trPr>
          <w:trHeight w:val="977"/>
        </w:trPr>
        <w:tc>
          <w:tcPr>
            <w:tcMar>
              <w:left w:w="108" w:type="dxa"/>
              <w:top w:w="0" w:type="dxa"/>
              <w:right w:w="108" w:type="dxa"/>
              <w:bottom w:w="0" w:type="dxa"/>
            </w:tcMar>
            <w:tcW w:w="1407" w:type="dxa"/>
            <w:vAlign w:val="center"/>
            <w:textDirection w:val="lrTb"/>
            <w:noWrap w:val="false"/>
          </w:tcPr>
          <w:p>
            <w:pPr>
              <w:pStyle w:val="909"/>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技术参数</w:t>
            </w:r>
            <w:r>
              <w:rPr>
                <w:rFonts w:ascii="宋体" w:hAnsi="宋体" w:cs="宋体"/>
                <w:sz w:val="24"/>
                <w:highlight w:val="none"/>
              </w:rPr>
            </w:r>
            <w:r/>
          </w:p>
          <w:p>
            <w:pPr>
              <w:pStyle w:val="909"/>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响应</w:t>
            </w:r>
            <w:r>
              <w:rPr>
                <w:rFonts w:ascii="宋体" w:hAnsi="宋体" w:cs="宋体"/>
                <w:sz w:val="24"/>
                <w:highlight w:val="none"/>
              </w:rPr>
            </w:r>
            <w:r/>
          </w:p>
          <w:p>
            <w:pPr>
              <w:pStyle w:val="909"/>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（24分）</w:t>
            </w:r>
            <w:r>
              <w:rPr>
                <w:rFonts w:ascii="宋体" w:hAnsi="宋体" w:cs="宋体"/>
                <w:sz w:val="24"/>
                <w:highlight w:val="none"/>
              </w:rPr>
            </w:r>
            <w:r/>
          </w:p>
        </w:tc>
        <w:tc>
          <w:tcPr>
            <w:tcMar>
              <w:left w:w="108" w:type="dxa"/>
              <w:top w:w="0" w:type="dxa"/>
              <w:right w:w="108" w:type="dxa"/>
              <w:bottom w:w="0" w:type="dxa"/>
            </w:tcMar>
            <w:tcW w:w="7818" w:type="dxa"/>
            <w:vAlign w:val="center"/>
            <w:textDirection w:val="lrTb"/>
            <w:noWrap w:val="false"/>
          </w:tcPr>
          <w:p>
            <w:pPr>
              <w:pStyle w:val="944"/>
              <w:spacing w:line="360" w:lineRule="auto"/>
              <w:tabs>
                <w:tab w:val="center" w:pos="4153" w:leader="none"/>
                <w:tab w:val="right" w:pos="8306" w:leader="none"/>
              </w:tabs>
              <w:rPr>
                <w:rFonts w:hint="eastAsia" w:ascii="宋体" w:hAnsi="宋体" w:cs="宋体"/>
                <w:sz w:val="24"/>
                <w:highlight w:val="none"/>
              </w:rPr>
            </w:pPr>
            <w:r>
              <w:rPr>
                <w:rFonts w:hint="eastAsia" w:ascii="宋体" w:hAnsi="宋体" w:cs="宋体"/>
                <w:sz w:val="24"/>
                <w:highlight w:val="none"/>
              </w:rPr>
              <w:t xml:space="preserve">完全满足招标文件要求的，得基本分24分；</w:t>
            </w:r>
            <w:r>
              <w:rPr>
                <w:rFonts w:hint="eastAsia" w:ascii="宋体" w:hAnsi="宋体" w:cs="宋体"/>
                <w:sz w:val="24"/>
                <w:highlight w:val="none"/>
              </w:rPr>
              <w:br w:type="textWrapping" w:clear="all"/>
            </w:r>
            <w:r>
              <w:rPr>
                <w:rFonts w:hint="eastAsia" w:ascii="宋体" w:hAnsi="宋体" w:cs="宋体"/>
                <w:sz w:val="24"/>
                <w:highlight w:val="none"/>
              </w:rPr>
              <w:t xml:space="preserve">加“</w:t>
            </w:r>
            <w:r>
              <w:rPr>
                <w:rFonts w:hint="eastAsia" w:ascii="仿宋" w:hAnsi="仿宋" w:eastAsia="仿宋" w:cs="仿宋"/>
                <w:sz w:val="24"/>
                <w:highlight w:val="none"/>
              </w:rPr>
              <w:t xml:space="preserve">▲</w:t>
            </w:r>
            <w:r>
              <w:rPr>
                <w:rFonts w:hint="eastAsia" w:ascii="宋体" w:hAnsi="宋体" w:cs="宋体"/>
                <w:sz w:val="24"/>
                <w:highlight w:val="none"/>
              </w:rPr>
              <w:t xml:space="preserve">”响应指标为次重要指标，每有一项“</w:t>
            </w:r>
            <w:r>
              <w:rPr>
                <w:rFonts w:hint="eastAsia" w:ascii="仿宋" w:hAnsi="仿宋" w:eastAsia="仿宋" w:cs="仿宋"/>
                <w:sz w:val="24"/>
                <w:highlight w:val="none"/>
              </w:rPr>
              <w:t xml:space="preserve">▲</w:t>
            </w:r>
            <w:r>
              <w:rPr>
                <w:rFonts w:hint="eastAsia" w:ascii="宋体" w:hAnsi="宋体" w:cs="宋体"/>
                <w:sz w:val="24"/>
                <w:highlight w:val="none"/>
              </w:rPr>
              <w:t xml:space="preserve">”响应指标或是演示视频不满足或负偏离的，从基本分中减2分，扣完为止；</w:t>
            </w:r>
            <w:r>
              <w:rPr>
                <w:rFonts w:hint="eastAsia" w:ascii="宋体" w:hAnsi="宋体" w:cs="宋体"/>
                <w:sz w:val="24"/>
                <w:highlight w:val="none"/>
              </w:rPr>
            </w:r>
            <w:r/>
          </w:p>
          <w:p>
            <w:pPr>
              <w:pStyle w:val="944"/>
              <w:spacing w:line="360" w:lineRule="auto"/>
              <w:tabs>
                <w:tab w:val="center" w:pos="4153" w:leader="none"/>
                <w:tab w:val="right" w:pos="8306" w:leader="none"/>
              </w:tabs>
              <w:rPr>
                <w:rFonts w:ascii="宋体" w:hAnsi="宋体" w:cs="宋体"/>
                <w:sz w:val="24"/>
                <w:highlight w:val="none"/>
              </w:rPr>
            </w:pPr>
            <w:r>
              <w:rPr>
                <w:rFonts w:hint="eastAsia" w:ascii="宋体" w:hAnsi="宋体" w:cs="宋体"/>
                <w:sz w:val="24"/>
                <w:highlight w:val="none"/>
              </w:rPr>
              <w:t xml:space="preserve">其他技术参数，每有一项“响应指标”不符合的，从基本分中减1分，扣完为止；</w:t>
            </w:r>
            <w:r>
              <w:rPr>
                <w:rFonts w:hint="eastAsia" w:ascii="宋体" w:hAnsi="宋体" w:cs="宋体"/>
                <w:sz w:val="24"/>
                <w:highlight w:val="none"/>
              </w:rPr>
              <w:br w:type="textWrapping" w:clear="all"/>
            </w:r>
            <w:r>
              <w:rPr>
                <w:rFonts w:hint="eastAsia" w:ascii="宋体" w:hAnsi="宋体" w:cs="宋体"/>
                <w:sz w:val="24"/>
                <w:highlight w:val="none"/>
              </w:rPr>
              <w:t xml:space="preserve">本项最高得24分，最低得0分。</w:t>
            </w:r>
            <w:r>
              <w:rPr>
                <w:rFonts w:hint="eastAsia" w:ascii="宋体" w:hAnsi="宋体" w:cs="宋体"/>
                <w:sz w:val="24"/>
                <w:highlight w:val="none"/>
              </w:rPr>
              <w:br w:type="textWrapping" w:clear="all"/>
            </w:r>
            <w:r>
              <w:rPr>
                <w:rFonts w:hint="eastAsia" w:ascii="宋体" w:hAnsi="宋体" w:cs="宋体"/>
                <w:sz w:val="24"/>
                <w:highlight w:val="none"/>
              </w:rPr>
              <w:t xml:space="preserve">说明：相关要求和说明见招标文件第六章《采购需求》。</w:t>
            </w:r>
            <w:r>
              <w:rPr>
                <w:rFonts w:ascii="宋体" w:hAnsi="宋体" w:cs="宋体"/>
                <w:sz w:val="24"/>
                <w:highlight w:val="none"/>
              </w:rPr>
            </w:r>
            <w:r/>
          </w:p>
          <w:p>
            <w:pPr>
              <w:pStyle w:val="944"/>
              <w:spacing w:line="360" w:lineRule="auto"/>
              <w:tabs>
                <w:tab w:val="center" w:pos="4153" w:leader="none"/>
                <w:tab w:val="right" w:pos="8306" w:leader="none"/>
              </w:tabs>
              <w:rPr>
                <w:rFonts w:ascii="宋体" w:hAnsi="宋体" w:cs="宋体"/>
                <w:sz w:val="24"/>
                <w:highlight w:val="none"/>
              </w:rPr>
            </w:pPr>
            <w:r>
              <w:rPr>
                <w:rFonts w:hint="eastAsia" w:ascii="宋体" w:hAnsi="宋体" w:cs="宋体"/>
                <w:sz w:val="24"/>
                <w:highlight w:val="none"/>
              </w:rPr>
              <w:t xml:space="preserve">注：需提供演示视频的。演示视频上传至苏采云平台（平台支持.mp4或.avi格式，视频不超过50MB，以压缩包形式上传，具体以苏采云平台要求的为准），演示总时间不超过10分钟，与投标文件一同上传苏采云，采用其它方式(如PPT、Word、DEMO等非视频形式)演示的或不演示的或视频无法打开的，不得分。</w:t>
            </w:r>
            <w:r>
              <w:rPr>
                <w:rFonts w:ascii="宋体" w:hAnsi="宋体" w:cs="宋体"/>
                <w:sz w:val="24"/>
                <w:highlight w:val="none"/>
              </w:rPr>
            </w:r>
            <w:r/>
          </w:p>
        </w:tc>
      </w:tr>
      <w:tr>
        <w:trPr>
          <w:trHeight w:val="1579"/>
        </w:trPr>
        <w:tc>
          <w:tcPr>
            <w:tcMar>
              <w:left w:w="108" w:type="dxa"/>
              <w:top w:w="0" w:type="dxa"/>
              <w:right w:w="108" w:type="dxa"/>
              <w:bottom w:w="0" w:type="dxa"/>
            </w:tcMar>
            <w:tcW w:w="1407" w:type="dxa"/>
            <w:vAlign w:val="center"/>
            <w:textDirection w:val="lrTb"/>
            <w:noWrap w:val="false"/>
          </w:tcPr>
          <w:p>
            <w:pPr>
              <w:pStyle w:val="909"/>
              <w:jc w:val="center"/>
              <w:rPr>
                <w:rFonts w:ascii="宋体" w:hAnsi="宋体" w:cs="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highlight w:val="none"/>
              </w:rPr>
              <w:t xml:space="preserve">项目实施方案（12分）</w:t>
            </w:r>
            <w:r>
              <w:rPr>
                <w:rFonts w:ascii="宋体" w:hAnsi="宋体" w:cs="宋体"/>
                <w:sz w:val="24"/>
                <w:szCs w:val="22"/>
                <w:highlight w:val="none"/>
              </w:rPr>
            </w:r>
            <w:r/>
          </w:p>
        </w:tc>
        <w:tc>
          <w:tcPr>
            <w:tcMar>
              <w:left w:w="108" w:type="dxa"/>
              <w:top w:w="0" w:type="dxa"/>
              <w:right w:w="108" w:type="dxa"/>
              <w:bottom w:w="0" w:type="dxa"/>
            </w:tcMar>
            <w:tcW w:w="7818" w:type="dxa"/>
            <w:vAlign w:val="center"/>
            <w:textDirection w:val="lrTb"/>
            <w:noWrap w:val="false"/>
          </w:tcPr>
          <w:p>
            <w:pPr>
              <w:pStyle w:val="966"/>
              <w:spacing w:line="360" w:lineRule="auto"/>
              <w:widowControl/>
              <w:rPr>
                <w:rFonts w:ascii="宋体" w:hAnsi="宋体" w:cs="宋体"/>
                <w:sz w:val="24"/>
                <w:szCs w:val="22"/>
                <w:highlight w:val="none"/>
              </w:rPr>
            </w:pPr>
            <w:r/>
            <w:bookmarkStart w:id="16" w:name="OLE_LINK16"/>
            <w:r>
              <w:rPr>
                <w:rFonts w:hint="eastAsia" w:ascii="宋体" w:hAnsi="宋体" w:cs="宋体"/>
                <w:sz w:val="24"/>
                <w:szCs w:val="22"/>
                <w:highlight w:val="none"/>
              </w:rPr>
              <w:t xml:space="preserve">根据投标人投标文件中提供的项目实施方案，内容包含但不限于时间进度安排、人员安排、具体实施安装方案、管理措施及安全保障措施、实施流程、文档交付等，对内容的全面性、针对性、可行性进行评价。</w:t>
            </w:r>
            <w:r>
              <w:rPr>
                <w:rFonts w:ascii="宋体" w:hAnsi="宋体" w:cs="宋体"/>
                <w:sz w:val="24"/>
                <w:szCs w:val="22"/>
                <w:highlight w:val="none"/>
              </w:rPr>
            </w:r>
            <w:r/>
          </w:p>
          <w:p>
            <w:pPr>
              <w:pStyle w:val="909"/>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全面性（5分）：全面具体详实得5分；较全面详实得3分；全面性一般得2分；不全面得1分。</w:t>
            </w:r>
            <w:r>
              <w:rPr>
                <w:rFonts w:ascii="宋体" w:hAnsi="宋体" w:cs="宋体"/>
                <w:sz w:val="24"/>
                <w:highlight w:val="none"/>
              </w:rPr>
            </w:r>
            <w:r/>
          </w:p>
          <w:p>
            <w:pPr>
              <w:pStyle w:val="909"/>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针对性（4分）：针对性强得4分；针对性较强得2分；针对性一般得1分；针对性不强得0分。</w:t>
            </w:r>
            <w:r>
              <w:rPr>
                <w:rFonts w:ascii="宋体" w:hAnsi="宋体" w:cs="宋体"/>
                <w:sz w:val="24"/>
                <w:highlight w:val="none"/>
              </w:rPr>
            </w:r>
            <w:r/>
          </w:p>
          <w:p>
            <w:pPr>
              <w:pStyle w:val="966"/>
              <w:spacing w:line="360" w:lineRule="auto"/>
              <w:widowControl/>
              <w:rPr>
                <w:rFonts w:ascii="宋体" w:hAnsi="宋体" w:cs="宋体"/>
                <w:sz w:val="24"/>
                <w:highlight w:val="none"/>
              </w:rPr>
            </w:pPr>
            <w:r>
              <w:rPr>
                <w:rFonts w:hint="eastAsia" w:ascii="宋体" w:hAnsi="宋体" w:cs="宋体"/>
                <w:sz w:val="24"/>
                <w:highlight w:val="none"/>
              </w:rPr>
              <w:t xml:space="preserve">可行性（3分）：符合实际切实可行得3分；可行性较强得2分；可行性一般得1分；可行性欠缺得0分；</w:t>
            </w:r>
            <w:r>
              <w:rPr>
                <w:rFonts w:ascii="宋体" w:hAnsi="宋体" w:cs="宋体"/>
                <w:sz w:val="24"/>
                <w:highlight w:val="none"/>
              </w:rPr>
            </w:r>
            <w:r/>
          </w:p>
          <w:p>
            <w:pPr>
              <w:pStyle w:val="966"/>
              <w:spacing w:line="360" w:lineRule="auto"/>
              <w:widowControl/>
              <w:rPr>
                <w:rFonts w:ascii="宋体" w:hAnsi="宋体" w:cs="宋体"/>
                <w:sz w:val="24"/>
                <w:szCs w:val="22"/>
                <w:highlight w:val="none"/>
              </w:rPr>
            </w:pPr>
            <w:r>
              <w:rPr>
                <w:rFonts w:hint="eastAsia" w:ascii="宋体" w:hAnsi="宋体" w:cs="宋体"/>
                <w:sz w:val="24"/>
                <w:highlight w:val="none"/>
              </w:rPr>
              <w:t xml:space="preserve">未提供得0分，本项最高得12分，最低得0分。</w:t>
            </w:r>
            <w:bookmarkEnd w:id="16"/>
            <w:r>
              <w:rPr>
                <w:rFonts w:ascii="宋体" w:hAnsi="宋体" w:cs="宋体"/>
                <w:sz w:val="24"/>
                <w:szCs w:val="22"/>
                <w:highlight w:val="none"/>
              </w:rPr>
            </w:r>
            <w:r/>
          </w:p>
        </w:tc>
      </w:tr>
      <w:tr>
        <w:trPr>
          <w:trHeight w:val="2029"/>
        </w:trPr>
        <w:tc>
          <w:tcPr>
            <w:tcMar>
              <w:left w:w="108" w:type="dxa"/>
              <w:top w:w="0" w:type="dxa"/>
              <w:right w:w="108" w:type="dxa"/>
              <w:bottom w:w="0" w:type="dxa"/>
            </w:tcMar>
            <w:tcW w:w="1407" w:type="dxa"/>
            <w:vAlign w:val="center"/>
            <w:textDirection w:val="lrTb"/>
            <w:noWrap w:val="false"/>
          </w:tcPr>
          <w:p>
            <w:pPr>
              <w:pStyle w:val="966"/>
              <w:jc w:val="center"/>
              <w:widowControl/>
              <w:rPr>
                <w:rFonts w:ascii="宋体" w:hAnsi="宋体" w:cs="宋体"/>
                <w:sz w:val="24"/>
                <w:szCs w:val="22"/>
                <w:highlight w:val="none"/>
              </w:rPr>
            </w:pPr>
            <w:r>
              <w:rPr>
                <w:rFonts w:hint="eastAsia" w:ascii="宋体" w:hAnsi="宋体" w:cs="宋体"/>
                <w:sz w:val="24"/>
                <w:szCs w:val="22"/>
                <w:highlight w:val="none"/>
              </w:rPr>
              <w:t xml:space="preserve">售后服务方案</w:t>
            </w:r>
            <w:r>
              <w:rPr>
                <w:rFonts w:ascii="宋体" w:hAnsi="宋体" w:cs="宋体"/>
                <w:sz w:val="24"/>
                <w:szCs w:val="22"/>
                <w:highlight w:val="none"/>
              </w:rPr>
            </w:r>
            <w:r/>
          </w:p>
          <w:p>
            <w:pPr>
              <w:pStyle w:val="909"/>
              <w:rPr>
                <w:rFonts w:ascii="Arial" w:hAnsi="Arial"/>
                <w:sz w:val="22"/>
                <w:highlight w:val="none"/>
              </w:rPr>
            </w:pPr>
            <w:r>
              <w:rPr>
                <w:rFonts w:hint="eastAsia" w:ascii="宋体" w:hAnsi="宋体" w:cs="宋体"/>
                <w:sz w:val="24"/>
                <w:szCs w:val="22"/>
                <w:highlight w:val="none"/>
              </w:rPr>
              <w:t xml:space="preserve">（12分）</w:t>
            </w:r>
            <w:r>
              <w:rPr>
                <w:rFonts w:ascii="Arial" w:hAnsi="Arial"/>
                <w:sz w:val="22"/>
                <w:highlight w:val="none"/>
              </w:rPr>
            </w:r>
            <w:r/>
          </w:p>
        </w:tc>
        <w:tc>
          <w:tcPr>
            <w:tcMar>
              <w:left w:w="108" w:type="dxa"/>
              <w:top w:w="0" w:type="dxa"/>
              <w:right w:w="108" w:type="dxa"/>
              <w:bottom w:w="0" w:type="dxa"/>
            </w:tcMar>
            <w:tcW w:w="7818" w:type="dxa"/>
            <w:vAlign w:val="center"/>
            <w:textDirection w:val="lrTb"/>
            <w:noWrap w:val="false"/>
          </w:tcPr>
          <w:p>
            <w:pPr>
              <w:pStyle w:val="966"/>
              <w:spacing w:line="360" w:lineRule="auto"/>
              <w:widowControl/>
              <w:rPr>
                <w:rFonts w:ascii="宋体" w:hAnsi="宋体" w:cs="宋体"/>
                <w:sz w:val="24"/>
                <w:highlight w:val="none"/>
              </w:rPr>
            </w:pPr>
            <w:r>
              <w:rPr>
                <w:rFonts w:hint="eastAsia" w:ascii="宋体" w:hAnsi="宋体" w:cs="宋体"/>
                <w:sz w:val="24"/>
                <w:highlight w:val="none"/>
              </w:rPr>
              <w:t xml:space="preserve">针对本项目制定的售后服务方案，内容至少包含售后服务方式、售后服务组织及架构、服务人员、服务范围、响应时间、后续维保报价以及设备常用配件报价、质保期等内容的</w:t>
            </w:r>
            <w:r>
              <w:rPr>
                <w:rFonts w:hint="eastAsia" w:ascii="宋体" w:hAnsi="宋体" w:cs="宋体"/>
                <w:sz w:val="24"/>
                <w:szCs w:val="22"/>
                <w:highlight w:val="none"/>
              </w:rPr>
              <w:t xml:space="preserve">全面性、针对性、可行性进行评价。</w:t>
            </w:r>
            <w:r>
              <w:rPr>
                <w:rFonts w:ascii="宋体" w:hAnsi="宋体" w:cs="宋体"/>
                <w:sz w:val="24"/>
                <w:highlight w:val="none"/>
              </w:rPr>
            </w:r>
            <w:r/>
          </w:p>
          <w:p>
            <w:pPr>
              <w:pStyle w:val="909"/>
              <w:spacing w:line="312"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17" w:name="OLE_LINK2"/>
            <w:r>
              <w:rPr>
                <w:rFonts w:hint="eastAsia" w:ascii="宋体" w:hAnsi="宋体" w:cs="宋体"/>
                <w:sz w:val="24"/>
                <w:highlight w:val="none"/>
              </w:rPr>
              <w:t xml:space="preserve">全面性（5分）：全面具体详实得5分；较全面详实得3分；全面性一般得2分；不全面得1分。</w:t>
            </w:r>
            <w:r>
              <w:rPr>
                <w:rFonts w:ascii="宋体" w:hAnsi="宋体" w:cs="宋体"/>
                <w:sz w:val="24"/>
                <w:highlight w:val="none"/>
              </w:rPr>
            </w:r>
            <w:r/>
          </w:p>
          <w:p>
            <w:pPr>
              <w:pStyle w:val="909"/>
              <w:spacing w:line="312"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End w:id="17"/>
            <w:r>
              <w:rPr>
                <w:rFonts w:hint="eastAsia" w:ascii="宋体" w:hAnsi="宋体" w:cs="宋体"/>
                <w:sz w:val="24"/>
                <w:highlight w:val="none"/>
              </w:rPr>
              <w:t xml:space="preserve">针对性（4分）：针对性强得4分；针对性较强得2分；针对性一般得1分；针对性不强得0分。</w:t>
            </w:r>
            <w:r>
              <w:rPr>
                <w:rFonts w:ascii="宋体" w:hAnsi="宋体" w:cs="宋体"/>
                <w:sz w:val="24"/>
                <w:highlight w:val="none"/>
              </w:rPr>
            </w:r>
            <w:r/>
          </w:p>
          <w:p>
            <w:pPr>
              <w:pStyle w:val="966"/>
              <w:spacing w:line="360" w:lineRule="auto"/>
              <w:widowControl/>
              <w:rPr>
                <w:rFonts w:ascii="宋体" w:hAnsi="宋体" w:cs="宋体"/>
                <w:sz w:val="24"/>
                <w:highlight w:val="none"/>
              </w:rPr>
            </w:pPr>
            <w:r>
              <w:rPr>
                <w:rFonts w:hint="eastAsia" w:ascii="宋体" w:hAnsi="宋体" w:cs="宋体"/>
                <w:sz w:val="24"/>
                <w:highlight w:val="none"/>
              </w:rPr>
              <w:t xml:space="preserve">可行性（3分）：符合实际切实可行得3分；可行性较强得2分；可行性一般得1分；可行性欠缺得0分；</w:t>
            </w:r>
            <w:r>
              <w:rPr>
                <w:rFonts w:ascii="宋体" w:hAnsi="宋体" w:cs="宋体"/>
                <w:sz w:val="24"/>
                <w:highlight w:val="none"/>
              </w:rPr>
            </w:r>
            <w:r/>
          </w:p>
          <w:p>
            <w:pPr>
              <w:pStyle w:val="966"/>
              <w:spacing w:line="360" w:lineRule="auto"/>
              <w:widowControl/>
              <w:rPr>
                <w:highlight w:val="none"/>
              </w:rPr>
            </w:pPr>
            <w:r>
              <w:rPr>
                <w:rFonts w:hint="eastAsia" w:ascii="宋体" w:hAnsi="宋体" w:cs="宋体"/>
                <w:sz w:val="24"/>
                <w:highlight w:val="none"/>
              </w:rPr>
              <w:t xml:space="preserve">未提供得0分，本项最高得12分，最低得0分。</w:t>
            </w:r>
            <w:r>
              <w:rPr>
                <w:highlight w:val="none"/>
              </w:rPr>
            </w:r>
            <w:r/>
          </w:p>
        </w:tc>
      </w:tr>
      <w:tr>
        <w:trPr>
          <w:trHeight w:val="829"/>
        </w:trPr>
        <w:tc>
          <w:tcPr>
            <w:tcW w:w="1407" w:type="dxa"/>
            <w:vAlign w:val="center"/>
            <w:textDirection w:val="lrTb"/>
            <w:noWrap w:val="false"/>
          </w:tcPr>
          <w:p>
            <w:pPr>
              <w:pStyle w:val="909"/>
              <w:jc w:val="center"/>
              <w:spacing w:line="312" w:lineRule="auto"/>
              <w:widowControl/>
              <w:rPr>
                <w:rFonts w:ascii="宋体" w:hAnsi="宋体" w:cs="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技术培训方案（12分）</w:t>
            </w:r>
            <w:r>
              <w:rPr>
                <w:rFonts w:ascii="宋体" w:hAnsi="宋体" w:cs="宋体"/>
                <w:sz w:val="24"/>
                <w:szCs w:val="22"/>
                <w:highlight w:val="none"/>
              </w:rPr>
            </w:r>
            <w:r/>
          </w:p>
        </w:tc>
        <w:tc>
          <w:tcPr>
            <w:tcMar>
              <w:left w:w="108" w:type="dxa"/>
              <w:top w:w="0" w:type="dxa"/>
              <w:right w:w="108" w:type="dxa"/>
              <w:bottom w:w="0" w:type="dxa"/>
            </w:tcMar>
            <w:tcW w:w="7818" w:type="dxa"/>
            <w:vAlign w:val="center"/>
            <w:textDirection w:val="lrTb"/>
            <w:noWrap w:val="false"/>
          </w:tcPr>
          <w:p>
            <w:pPr>
              <w:pStyle w:val="966"/>
              <w:spacing w:line="360" w:lineRule="auto"/>
              <w:widowControl/>
              <w:rPr>
                <w:rFonts w:ascii="宋体" w:hAnsi="宋体" w:cs="宋体"/>
                <w:sz w:val="24"/>
                <w:highlight w:val="none"/>
              </w:rPr>
            </w:pPr>
            <w:r>
              <w:rPr>
                <w:rFonts w:hint="eastAsia" w:ascii="宋体" w:hAnsi="宋体" w:cs="宋体"/>
                <w:sz w:val="24"/>
                <w:highlight w:val="none"/>
              </w:rPr>
              <w:t xml:space="preserve">针对本项目制定的技术支持及培训方案内容的</w:t>
            </w:r>
            <w:r>
              <w:rPr>
                <w:rFonts w:hint="eastAsia" w:ascii="宋体" w:hAnsi="宋体" w:cs="宋体"/>
                <w:sz w:val="24"/>
                <w:szCs w:val="22"/>
                <w:highlight w:val="none"/>
              </w:rPr>
              <w:t xml:space="preserve">全面性、可行性进行评价。</w:t>
            </w:r>
            <w:r>
              <w:rPr>
                <w:rFonts w:ascii="宋体" w:hAnsi="宋体" w:cs="宋体"/>
                <w:sz w:val="24"/>
                <w:highlight w:val="none"/>
              </w:rPr>
            </w:r>
            <w:r/>
          </w:p>
          <w:p>
            <w:pPr>
              <w:pStyle w:val="909"/>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全面性（5分）：全面具体详实得5分；较全面详实得3分；全面性一般得2分；不全面得1分。</w:t>
            </w:r>
            <w:r>
              <w:rPr>
                <w:rFonts w:ascii="宋体" w:hAnsi="宋体" w:cs="宋体"/>
                <w:sz w:val="24"/>
                <w:highlight w:val="none"/>
              </w:rPr>
            </w:r>
            <w:r/>
          </w:p>
          <w:p>
            <w:pPr>
              <w:pStyle w:val="937"/>
              <w:ind w:left="0"/>
              <w:spacing w:line="360" w:lineRule="auto"/>
              <w:rPr>
                <w:highlight w:val="none"/>
              </w:rPr>
            </w:pPr>
            <w:r>
              <w:rPr>
                <w:rFonts w:hint="eastAsia" w:ascii="宋体" w:hAnsi="宋体" w:cs="宋体"/>
                <w:highlight w:val="none"/>
              </w:rPr>
              <w:t xml:space="preserve">针对性（4分）：针对性强得4分；针对性较强得2分；针对性一般得1分；针对性不强得0分。</w:t>
            </w:r>
            <w:r>
              <w:rPr>
                <w:highlight w:val="none"/>
              </w:rPr>
            </w:r>
            <w:r/>
          </w:p>
          <w:p>
            <w:pPr>
              <w:pStyle w:val="909"/>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可行性（3分）：方案符合实际切实可行得3分；可行性较强得2分；可行性一般得1分；可行性欠缺得0分；</w:t>
            </w:r>
            <w:r>
              <w:rPr>
                <w:rFonts w:ascii="宋体" w:hAnsi="宋体" w:cs="宋体"/>
                <w:sz w:val="24"/>
                <w:highlight w:val="none"/>
              </w:rPr>
            </w:r>
            <w:r/>
          </w:p>
          <w:p>
            <w:pPr>
              <w:pStyle w:val="909"/>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未提供得0分，本项最高得12分，最低得0分。</w:t>
            </w:r>
            <w:r>
              <w:rPr>
                <w:rFonts w:ascii="宋体" w:hAnsi="宋体" w:cs="宋体"/>
                <w:sz w:val="24"/>
                <w:highlight w:val="none"/>
              </w:rPr>
            </w:r>
            <w:r/>
          </w:p>
        </w:tc>
      </w:tr>
    </w:tbl>
    <w:p>
      <w:pPr>
        <w:pStyle w:val="909"/>
        <w:rPr>
          <w:sz w:val="24"/>
          <w:highlight w:val="none"/>
        </w:rPr>
      </w:pPr>
      <w:r>
        <w:rPr>
          <w:sz w:val="24"/>
          <w:highlight w:val="none"/>
        </w:rPr>
      </w:r>
      <w:r/>
    </w:p>
    <w:p>
      <w:pPr>
        <w:pStyle w:val="909"/>
        <w:rPr>
          <w:sz w:val="24"/>
          <w:highlight w:val="none"/>
        </w:rPr>
      </w:pPr>
      <w:r>
        <w:rPr>
          <w:sz w:val="24"/>
          <w:highlight w:val="none"/>
        </w:rPr>
      </w:r>
      <w:r/>
    </w:p>
    <w:p>
      <w:pPr>
        <w:pStyle w:val="968"/>
        <w:widowControl/>
        <w:rPr>
          <w:rFonts w:ascii="宋体" w:hAnsi="宋体"/>
          <w:b/>
          <w:bCs/>
          <w:sz w:val="24"/>
          <w:highlight w:val="none"/>
        </w:rPr>
      </w:pPr>
      <w:r>
        <w:rPr>
          <w:rFonts w:ascii="宋体" w:hAnsi="宋体"/>
          <w:b/>
          <w:bCs/>
          <w:sz w:val="24"/>
          <w:highlight w:val="none"/>
        </w:rPr>
        <w:t xml:space="preserve">注：本项目采用综合评分法，评标结果精确到小数点后两位。</w:t>
      </w:r>
      <w:r>
        <w:rPr>
          <w:rFonts w:ascii="宋体" w:hAnsi="宋体"/>
          <w:b/>
          <w:bCs/>
          <w:sz w:val="24"/>
          <w:highlight w:val="none"/>
        </w:rPr>
      </w:r>
      <w:r/>
    </w:p>
    <w:p>
      <w:pPr>
        <w:pStyle w:val="909"/>
        <w:jc w:val="center"/>
        <w:pageBreakBefore/>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rPr>
          <w:rFonts w:ascii="宋体" w:hAnsi="宋体" w:cs="宋体"/>
          <w:sz w:val="30"/>
          <w:szCs w:val="30"/>
          <w:highlight w:val="none"/>
        </w:rPr>
      </w:r>
      <w:r/>
    </w:p>
    <w:p>
      <w:pPr>
        <w:pStyle w:val="909"/>
        <w:jc w:val="center"/>
        <w:spacing w:line="360" w:lineRule="auto"/>
        <w:rPr>
          <w:rFonts w:ascii="宋体" w:hAnsi="宋体" w:cs="宋体"/>
          <w:b/>
          <w:sz w:val="24"/>
          <w:highlight w:val="none"/>
        </w:rPr>
      </w:pPr>
      <w:r>
        <w:rPr>
          <w:rFonts w:hint="eastAsia" w:ascii="宋体" w:hAnsi="宋体" w:cs="宋体"/>
          <w:b/>
          <w:sz w:val="24"/>
          <w:highlight w:val="none"/>
        </w:rPr>
        <w:t xml:space="preserve">（以采购人与成交供应商最终签订版本为准）</w:t>
      </w:r>
      <w:r>
        <w:rPr>
          <w:rFonts w:ascii="宋体" w:hAnsi="宋体" w:cs="宋体"/>
          <w:b/>
          <w:sz w:val="24"/>
          <w:highlight w:val="none"/>
        </w:rPr>
      </w:r>
      <w:r/>
    </w:p>
    <w:p>
      <w:pPr>
        <w:pStyle w:val="972"/>
        <w:ind w:left="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09"/>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rPr>
          <w:rFonts w:ascii="仿宋" w:hAnsi="仿宋" w:eastAsia="仿宋" w:cs="仿宋"/>
          <w:highlight w:val="none"/>
        </w:rPr>
      </w:r>
      <w:r/>
    </w:p>
    <w:p>
      <w:pPr>
        <w:pStyle w:val="909"/>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rPr>
          <w:rFonts w:ascii="仿宋" w:hAnsi="仿宋" w:eastAsia="仿宋" w:cs="仿宋"/>
          <w:highlight w:val="none"/>
        </w:rPr>
      </w:r>
      <w:r/>
    </w:p>
    <w:p>
      <w:pPr>
        <w:pStyle w:val="909"/>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rPr>
          <w:rFonts w:ascii="仿宋" w:hAnsi="仿宋" w:eastAsia="仿宋" w:cs="仿宋"/>
          <w:highlight w:val="none"/>
        </w:rPr>
      </w:r>
      <w:r/>
    </w:p>
    <w:p>
      <w:pPr>
        <w:pStyle w:val="909"/>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rPr>
          <w:rFonts w:ascii="仿宋" w:hAnsi="仿宋" w:eastAsia="仿宋" w:cs="仿宋"/>
          <w:highlight w:val="none"/>
        </w:rPr>
      </w:r>
      <w:r/>
    </w:p>
    <w:p>
      <w:pPr>
        <w:pStyle w:val="909"/>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rPr>
          <w:rFonts w:ascii="仿宋" w:hAnsi="仿宋" w:eastAsia="仿宋" w:cs="仿宋"/>
          <w:highlight w:val="none"/>
        </w:rPr>
      </w:r>
      <w:r/>
    </w:p>
    <w:p>
      <w:pPr>
        <w:pStyle w:val="909"/>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rPr>
          <w:rFonts w:ascii="仿宋" w:hAnsi="仿宋" w:eastAsia="仿宋" w:cs="仿宋"/>
          <w:highlight w:val="none"/>
        </w:rPr>
      </w:r>
      <w:r/>
    </w:p>
    <w:p>
      <w:pPr>
        <w:pStyle w:val="909"/>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rPr>
          <w:rFonts w:ascii="仿宋" w:hAnsi="仿宋" w:eastAsia="仿宋" w:cs="仿宋"/>
          <w:highlight w:val="none"/>
        </w:rPr>
      </w:r>
      <w:r/>
    </w:p>
    <w:p>
      <w:pPr>
        <w:pStyle w:val="909"/>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rPr>
          <w:rFonts w:ascii="仿宋" w:hAnsi="仿宋" w:eastAsia="仿宋" w:cs="仿宋"/>
          <w:highlight w:val="none"/>
        </w:rPr>
      </w:r>
      <w:r/>
    </w:p>
    <w:p>
      <w:pPr>
        <w:pStyle w:val="909"/>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rPr>
          <w:rFonts w:ascii="仿宋" w:hAnsi="仿宋" w:eastAsia="仿宋" w:cs="仿宋"/>
          <w:highlight w:val="none"/>
        </w:rPr>
      </w:r>
      <w:r/>
    </w:p>
    <w:p>
      <w:pPr>
        <w:pStyle w:val="909"/>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rPr>
          <w:rFonts w:ascii="仿宋" w:hAnsi="仿宋" w:eastAsia="仿宋" w:cs="仿宋"/>
          <w:highlight w:val="none"/>
        </w:rPr>
      </w:r>
      <w:r/>
    </w:p>
    <w:p>
      <w:pPr>
        <w:pStyle w:val="909"/>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rPr>
          <w:rFonts w:ascii="仿宋" w:hAnsi="仿宋" w:eastAsia="仿宋" w:cs="仿宋"/>
          <w:bCs/>
          <w:highlight w:val="none"/>
        </w:rPr>
      </w:r>
      <w:r/>
    </w:p>
    <w:p>
      <w:pPr>
        <w:pStyle w:val="909"/>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rPr>
          <w:rFonts w:ascii="仿宋" w:hAnsi="仿宋" w:eastAsia="仿宋" w:cs="仿宋"/>
          <w:bCs/>
          <w:highlight w:val="none"/>
        </w:rPr>
      </w:r>
      <w:r/>
    </w:p>
    <w:p>
      <w:pPr>
        <w:pStyle w:val="909"/>
        <w:jc w:val="center"/>
        <w:rPr>
          <w:rFonts w:ascii="黑体" w:eastAsia="黑体"/>
          <w:b/>
          <w:sz w:val="72"/>
          <w:szCs w:val="72"/>
          <w:highlight w:val="none"/>
        </w:rPr>
      </w:pPr>
      <w:r>
        <w:rPr>
          <w:rFonts w:ascii="黑体" w:eastAsia="黑体"/>
          <w:b/>
          <w:sz w:val="72"/>
          <w:szCs w:val="72"/>
          <w:highlight w:val="none"/>
        </w:rPr>
      </w:r>
      <w:r/>
    </w:p>
    <w:p>
      <w:pPr>
        <w:pStyle w:val="909"/>
        <w:jc w:val="center"/>
        <w:rPr>
          <w:rFonts w:ascii="黑体" w:eastAsia="黑体"/>
          <w:b/>
          <w:sz w:val="72"/>
          <w:szCs w:val="72"/>
          <w:highlight w:val="none"/>
        </w:rPr>
      </w:pPr>
      <w:r>
        <w:rPr>
          <w:rFonts w:ascii="黑体" w:eastAsia="黑体"/>
          <w:b/>
          <w:sz w:val="72"/>
          <w:szCs w:val="72"/>
          <w:highlight w:val="none"/>
        </w:rPr>
      </w:r>
      <w:r/>
    </w:p>
    <w:p>
      <w:pPr>
        <w:pStyle w:val="931"/>
        <w:ind w:firstLine="420"/>
        <w:jc w:val="center"/>
        <w:spacing w:line="520" w:lineRule="exact"/>
        <w:rPr>
          <w:rFonts w:ascii="宋体" w:hAnsi="宋体"/>
          <w:sz w:val="30"/>
          <w:szCs w:val="30"/>
          <w:highlight w:val="none"/>
        </w:rPr>
      </w:pPr>
      <w:r>
        <w:rPr>
          <w:rFonts w:ascii="宋体" w:hAnsi="宋体"/>
          <w:sz w:val="30"/>
          <w:szCs w:val="30"/>
          <w:highlight w:val="none"/>
        </w:rPr>
        <w:t xml:space="preserve">合同通用条款</w:t>
      </w:r>
      <w:r>
        <w:rPr>
          <w:rFonts w:ascii="宋体" w:hAnsi="宋体"/>
          <w:sz w:val="30"/>
          <w:szCs w:val="30"/>
          <w:highlight w:val="none"/>
        </w:rPr>
      </w:r>
      <w:r/>
    </w:p>
    <w:p>
      <w:pPr>
        <w:pStyle w:val="931"/>
        <w:ind w:firstLine="600"/>
        <w:jc w:val="center"/>
        <w:spacing w:line="520" w:lineRule="exact"/>
        <w:rPr>
          <w:rFonts w:ascii="宋体" w:hAnsi="宋体"/>
          <w:sz w:val="30"/>
          <w:szCs w:val="30"/>
          <w:highlight w:val="none"/>
        </w:rPr>
      </w:pPr>
      <w:r>
        <w:rPr>
          <w:rFonts w:ascii="宋体" w:hAnsi="宋体"/>
          <w:sz w:val="30"/>
          <w:szCs w:val="30"/>
          <w:highlight w:val="none"/>
        </w:rPr>
      </w:r>
      <w:r/>
    </w:p>
    <w:p>
      <w:pPr>
        <w:pStyle w:val="931"/>
        <w:ind w:firstLine="600"/>
        <w:jc w:val="center"/>
        <w:spacing w:line="520" w:lineRule="exact"/>
        <w:rPr>
          <w:rFonts w:ascii="宋体" w:hAnsi="宋体"/>
          <w:sz w:val="24"/>
          <w:highlight w:val="none"/>
        </w:rPr>
      </w:pPr>
      <w:r>
        <w:rPr>
          <w:rFonts w:ascii="宋体" w:hAnsi="宋体"/>
          <w:sz w:val="24"/>
          <w:highlight w:val="none"/>
        </w:rPr>
        <w:t xml:space="preserve">目录</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第一条    定义</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第二条    合同范围</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第三条    价格</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第四条    支付</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第五条    交货</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第六条    包装和标记</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第七条    技术资料</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第八条    安装</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第九条    验收</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第十条    售后服务和技术培训</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第十一条  索赔</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第十二条  不可抗力</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第十三条  合同的终止</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第十四条  争议的解决</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第十五条  适用法律</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第十六条  权利保证</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第十七条  保密</w:t>
      </w:r>
      <w:r>
        <w:rPr>
          <w:rFonts w:ascii="宋体" w:hAnsi="宋体"/>
          <w:sz w:val="24"/>
          <w:highlight w:val="none"/>
        </w:rPr>
      </w:r>
      <w:r/>
    </w:p>
    <w:p>
      <w:pPr>
        <w:pStyle w:val="931"/>
        <w:ind w:firstLine="600"/>
        <w:spacing w:line="520" w:lineRule="exact"/>
        <w:rPr>
          <w:rFonts w:ascii="宋体" w:hAnsi="宋体"/>
          <w:sz w:val="24"/>
          <w:highlight w:val="none"/>
        </w:rPr>
      </w:pPr>
      <w:r>
        <w:rPr>
          <w:rFonts w:ascii="宋体" w:hAnsi="宋体"/>
          <w:sz w:val="24"/>
          <w:highlight w:val="none"/>
        </w:rPr>
        <w:t xml:space="preserve">第十八条  合同生效及其他</w:t>
      </w:r>
      <w:r>
        <w:rPr>
          <w:rFonts w:ascii="宋体" w:hAnsi="宋体"/>
          <w:sz w:val="24"/>
          <w:highlight w:val="none"/>
        </w:rPr>
      </w:r>
      <w:r/>
    </w:p>
    <w:p>
      <w:pPr>
        <w:pStyle w:val="931"/>
        <w:spacing w:line="520" w:lineRule="exact"/>
        <w:rPr>
          <w:rFonts w:ascii="宋体" w:hAnsi="宋体"/>
          <w:sz w:val="30"/>
          <w:szCs w:val="30"/>
          <w:highlight w:val="none"/>
        </w:rPr>
      </w:pPr>
      <w:r>
        <w:rPr>
          <w:rFonts w:ascii="宋体" w:hAnsi="宋体"/>
          <w:sz w:val="30"/>
          <w:szCs w:val="30"/>
          <w:highlight w:val="none"/>
        </w:rPr>
      </w:r>
      <w:r/>
    </w:p>
    <w:p>
      <w:pPr>
        <w:pStyle w:val="931"/>
        <w:ind w:firstLine="600"/>
        <w:jc w:val="center"/>
        <w:spacing w:line="520" w:lineRule="exact"/>
        <w:rPr>
          <w:rFonts w:ascii="宋体" w:hAnsi="宋体" w:cs="宋体"/>
          <w:sz w:val="24"/>
          <w:highlight w:val="none"/>
        </w:rPr>
      </w:pPr>
      <w:r>
        <w:rPr>
          <w:rFonts w:ascii="宋体" w:hAnsi="宋体"/>
          <w:sz w:val="30"/>
          <w:szCs w:val="30"/>
          <w:highlight w:val="none"/>
        </w:rPr>
        <w:br w:type="page" w:clear="all"/>
      </w:r>
      <w:r>
        <w:rPr>
          <w:rFonts w:hint="eastAsia" w:ascii="宋体" w:hAnsi="宋体" w:cs="宋体"/>
          <w:sz w:val="24"/>
          <w:highlight w:val="none"/>
        </w:rPr>
        <w:t xml:space="preserve">合同通用条款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第一条  定义</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除本合同上下文中另有规定外，下列各词语定义如下：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1.1“买方”见《合同专用条款》。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1.2“卖方”见《合同专用条款》。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1.3“工作现场”见《合同专用条款》。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1.4“合同标的”见合同附件4。</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1.5“技术资料”是指与合同标的的安装、试运行、验收、操作以及维修有关的技术指标、规格、图纸和文件。</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1.6“技术培训”是指在合同标的的安装、试运行、验收、操作、维修以及其他方面卖方给予买方的培训。</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1.7“安装”是指有关合同标的、备件和材料的安装工作。</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1.8“试运行”是指为验明合同标的的技术性能，在安装完毕后对合同标的进行的测试。</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1.10“合同货币”见《合同专用条款》。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1.11“合同价格”见合同附件4。</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1.12“合同生效日”见《合同协议书》（合同附件1）第5 条。</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1.13“日”是指日历天数。</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1.14“月”是指日历月数。</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第二条 合同范围</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2.1买方同意从卖方购买、卖方同意向买方出售和提供的合同标的以及相关售后服务、技术培训和技术资料。</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第三条 价格</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3.1 合同单价见《合同专用条款》。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3.2 合同单价是固定价格。</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第四条 支付</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4.1买方应按照《合同专用条款》的规定进行支付。如果卖方未能按照《合同专用条款》的要求提交支付文件，由此产生的所有责任和发生的所有费用，均由卖方承担。</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4.2卖方有义务根据合同的规定向买方支付违约金和/或赔偿金时，买方有权从任何一笔应付款或卖方的履约保证金中予以扣除。</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第五条 交货</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5.1交货期限、批次和交货条件见《合同专用条款》。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5.2交货地点见《合同专用条款》。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5.3在《合同专用条款》规定的期限内，卖方应将合同号、合同标的的名称、数量、金额、包装件数以及交货的时间以书面方式通知买方。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5.4卖方应按下列规定交付合同标的：</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5.4.1卖方负责将合同标的送至《合同专用条款》规定的交货地点。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5.4.2买方出具的收据日期是合同标的的实际交货日期。</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5.5如果卖方未能按照合同规定的交货期限交货，卖方应按《合同专用条款》的规定支付违约金或提供其他救济。</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第六条 包装与标记</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6.1除非合同中另有规定，合同标的应保持产品制造企业原包装完好。</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6.2在合同标的的每件包装中都应附有下列单据：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A. 装箱明细单；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B. 质量合格证；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C. 技术资料。</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第七条 技术资料</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7.1 技术资料交付的期限和方式见《合同专用条款》。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第八条 安装</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8.1 合同标的的安装期限见《合同专用条款》。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第九条 验收</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9.1合同标的的试运行、验收见《合同专用条款》。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9.2如果合同附件2 所规定的所有技术性能在验收中都已经达到，双方应在验收合格后5 日内签署验收书。</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9.3买方派出1-3名技术人员参加项目实施，卖方应积极配合买方派出的1-3名技术人员监督管理。</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第十条 售后服务和技术培训</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10.1售后服务和技术培训见合同附件3。</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第十一条 索赔</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A. 卖方替换不符合合同规定的合同标的。</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B. 按质量低劣的程度、买方受损害的程度及损失的数额对合同标的进行降价。</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C. 拒收合同标的。</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D. 赔偿由卖方违约引起的其他损失。</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第十二条 不可抗力</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12.1如果合同任何一方受到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12.3合同双方应在不可抗力事件结束或其影响消除后立即继续履行其合同义务，如果不可抗力事件的影响持续超过《合同专用条款》规定的期限，合同任何一方均有权发出书面通知，书面通知到达对方后合同终止。</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第十三条 合同的终止</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A. 卖方在合同规定的交货期限后未能按《合同专用条款》中规定的最终期限交付合同标的和/或技术资料；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B. 合同标的未能达到合同附件2 规定的技术性能；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C. 卖方未能履行合同项下任何其他义务，并且在收到买方违约通知后未能按《合同专用条款》中规定的期限对其违约行为作出补救。</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13.2如果一方破产或发生资不抵债的情况，合同另一方有权在任何时候发出书面通知终止合同。此种情况下合同的终止不妨碍或影响行使任何可能的其他救济手段。</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13.3如果买方认定卖方在投标或执行合同中有腐败或欺诈行为，买方有权在任何时候发出书面通知终止合同。</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A.“腐败行为”系指在招标、采购和合同执行等过程中，为谋求利益、影响相关人员而提供、给予、接受或索取任何有价物的行为。</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B.“欺诈行为”系指为了影响招标、采购和合同执行等过程而隐瞒事实，从而给买方造成损害的行为，其中包括投标人之间的串通行为。</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13.4 在买方全部或部分终止合同的情况下，卖方应按《合同专用条款》的规定对买方给予补偿。</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第十四条 争议的解决</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14.1 因执行本合同所发生的或者与本合同有关的一切争议由合同双方通过友好协商解决，如果不能协商一致，按《合同专用条款》规定的方式解决。</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第十五条 适用法律</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15.1 本合同的执行和争议的解决适用中华人民共和国的法律并按中华人民共和国的法律进行解释。</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第十六条  权利保证</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16.1卖方应保证买方在使用合同标的时不受第三方提出侵犯其专利权、版权、商标权或其他权利的起诉。一旦出现侵权，卖方承担全部责任。</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第十七条  保密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17.2上述秘密，卖方只能用于本合同，而且只能由卖方相应的人员使用；没有必要接触的卖方人员，不得接触。</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17.3卖方应当采取适当有效的方式保护所获取的上述秘密。</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第十八条 合同生效及其他</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18.1 本合同在合同协议书（合同附件1）规定的条件全部满足后生效。</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18.3 合同双方各自承担与本合同有关的应负税费。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18.4合同双方除非《合同专用条款》另有规定，所有合同文件及相关的修订和合同双方之间的书面联络，应使用中文书写并按中文解释。</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18.5对本合同的任何补充、增添或修改以书面方式进行。</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18.6没有另一方的事先书面同意，合同任何一方不得将合同项下的任何权利和义务转让给第三方。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18.8合同条款中的标题和边注仅供参考使用，不应视为合同的一部分，也不影响本文的解释。</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18.9合同构成买方和卖方之间就合同主要内容方面的完整协议，并且取代合同签订前所有关于这方面的通讯、协商、协议（不论是书面的，还是口头的）。</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18.11合同双方之间的一切联络往来应以书面形式按《合同专用条款》中规定的通讯地址发往合同另一方。有关重要事项的传真应及时用挂号信或快件确认。</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jc w:val="center"/>
        <w:spacing w:line="520" w:lineRule="exact"/>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合同专用条款</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《合同专用条款》中的条款项号是与《合同通用条款》中的条款项号对应的，其增加的内容和条款，是对《合同通用条款》的补充、修改和完善，如果有矛盾的话，以《合同专用条款》为准。</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第一条 定义</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 “买方”为。</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1.2 “卖方”为。</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1.3 “工作现场”为</w:t>
      </w:r>
      <w:r>
        <w:rPr>
          <w:rFonts w:hint="eastAsia" w:ascii="宋体" w:hAnsi="宋体" w:cs="宋体"/>
          <w:sz w:val="24"/>
          <w:highlight w:val="none"/>
          <w:u w:val="single"/>
        </w:rPr>
        <w:t xml:space="preserve">买方指定地点</w:t>
      </w:r>
      <w:r>
        <w:rPr>
          <w:rFonts w:hint="eastAsia" w:ascii="宋体" w:hAnsi="宋体" w:cs="宋体"/>
          <w:sz w:val="24"/>
          <w:highlight w:val="none"/>
        </w:rPr>
        <w:t xml:space="preserve">。</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1.4 “合同货币”即</w:t>
      </w:r>
      <w:r>
        <w:rPr>
          <w:rFonts w:hint="eastAsia" w:ascii="宋体" w:hAnsi="宋体" w:cs="宋体"/>
          <w:sz w:val="24"/>
          <w:highlight w:val="none"/>
          <w:u w:val="single"/>
        </w:rPr>
        <w:t xml:space="preserve">人民币</w:t>
      </w:r>
      <w:r>
        <w:rPr>
          <w:rFonts w:hint="eastAsia" w:ascii="宋体" w:hAnsi="宋体" w:cs="宋体"/>
          <w:sz w:val="24"/>
          <w:highlight w:val="none"/>
        </w:rPr>
        <w:t xml:space="preserve">。</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第二条 合同范围</w:t>
      </w:r>
      <w:r>
        <w:rPr>
          <w:rFonts w:ascii="宋体" w:hAnsi="宋体" w:cs="宋体"/>
          <w:sz w:val="24"/>
          <w:highlight w:val="none"/>
        </w:rPr>
        <w:t xml:space="preserve">及服务期限</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2.1买方同意从卖方购买、卖方同意向买方出售的合同标的是。详见合同附件。</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第三条 价格</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3.1合同总价为￥大写：人民币。</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480"/>
        <w:spacing w:line="520" w:lineRule="exact"/>
        <w:rPr>
          <w:rFonts w:ascii="宋体" w:hAnsi="宋体" w:cs="宋体"/>
          <w:sz w:val="24"/>
          <w:highlight w:val="none"/>
        </w:rPr>
      </w:pPr>
      <w:r>
        <w:rPr>
          <w:rFonts w:hint="eastAsia" w:ascii="宋体" w:hAnsi="宋体" w:cs="宋体"/>
          <w:sz w:val="24"/>
          <w:highlight w:val="none"/>
        </w:rPr>
        <w:t xml:space="preserve">第四条  支付</w:t>
      </w:r>
      <w:r>
        <w:rPr>
          <w:rFonts w:ascii="宋体" w:hAnsi="宋体" w:cs="宋体"/>
          <w:sz w:val="24"/>
          <w:highlight w:val="none"/>
        </w:rPr>
      </w:r>
      <w:r/>
    </w:p>
    <w:p>
      <w:pPr>
        <w:pStyle w:val="909"/>
        <w:ind w:firstLine="482"/>
        <w:spacing w:line="480" w:lineRule="auto"/>
        <w:rPr>
          <w:highlight w:val="none"/>
        </w:rPr>
      </w:pPr>
      <w:r>
        <w:rPr>
          <w:rFonts w:hint="eastAsia" w:ascii="宋体" w:hAnsi="宋体" w:cs="宋体"/>
          <w:b/>
          <w:bCs/>
          <w:sz w:val="24"/>
          <w:highlight w:val="none"/>
        </w:rPr>
        <w:t xml:space="preserve">合同单价为人民币大写金额</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元（小写金额：</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元），经双方协商一致，选择以下第</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种付款方式：</w:t>
      </w:r>
      <w:r>
        <w:rPr>
          <w:highlight w:val="none"/>
        </w:rPr>
      </w:r>
      <w:r/>
    </w:p>
    <w:p>
      <w:pPr>
        <w:pStyle w:val="931"/>
        <w:ind w:firstLine="600"/>
        <w:spacing w:line="520" w:lineRule="exact"/>
        <w:rPr>
          <w:rFonts w:ascii="宋体" w:hAnsi="宋体" w:cs="宋体"/>
          <w:b/>
          <w:bCs/>
          <w:sz w:val="24"/>
          <w:highlight w:val="none"/>
        </w:rPr>
      </w:pPr>
      <w:r>
        <w:rPr>
          <w:rFonts w:hint="eastAsia" w:ascii="宋体" w:hAnsi="宋体" w:cs="宋体"/>
          <w:b/>
          <w:bCs/>
          <w:sz w:val="24"/>
          <w:highlight w:val="none"/>
        </w:rPr>
        <w:t xml:space="preserve">（一）付款方式一：提交预付款保函的</w:t>
      </w:r>
      <w:r>
        <w:rPr>
          <w:rFonts w:ascii="宋体" w:hAnsi="宋体" w:cs="宋体"/>
          <w:b/>
          <w:bCs/>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合同价款的百分之五十（50%）即￥，大写：人民币元整，在双方签订合同15天</w:t>
      </w:r>
      <w:r>
        <w:rPr>
          <w:rFonts w:hint="eastAsia" w:ascii="宋体" w:hAnsi="宋体" w:cs="宋体"/>
          <w:b/>
          <w:sz w:val="24"/>
          <w:highlight w:val="none"/>
        </w:rPr>
        <w:t xml:space="preserve">后</w:t>
      </w:r>
      <w:r>
        <w:rPr>
          <w:rFonts w:hint="eastAsia" w:ascii="宋体" w:hAnsi="宋体" w:cs="宋体"/>
          <w:sz w:val="24"/>
          <w:highlight w:val="none"/>
        </w:rPr>
        <w:t xml:space="preserve">，乙方向甲方出具等额预付款保函后，办理政府采购资金结算手续，</w:t>
      </w:r>
      <w:r>
        <w:rPr>
          <w:rFonts w:hint="eastAsia" w:ascii="宋体" w:hAnsi="宋体" w:cs="宋体"/>
          <w:b/>
          <w:sz w:val="24"/>
          <w:highlight w:val="none"/>
        </w:rPr>
        <w:t xml:space="preserve">政府相关采购资金到位后，三日内</w:t>
      </w:r>
      <w:r>
        <w:rPr>
          <w:rFonts w:hint="eastAsia" w:ascii="宋体" w:hAnsi="宋体" w:cs="宋体"/>
          <w:sz w:val="24"/>
          <w:highlight w:val="none"/>
        </w:rPr>
        <w:t xml:space="preserve">支付给乙方。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合同总价的百分之五十（50%）即￥，大写：人民币，合同标的全部交付并安装完毕验收15天</w:t>
      </w:r>
      <w:r>
        <w:rPr>
          <w:rFonts w:hint="eastAsia" w:ascii="宋体" w:hAnsi="宋体" w:cs="宋体"/>
          <w:b/>
          <w:sz w:val="24"/>
          <w:highlight w:val="none"/>
        </w:rPr>
        <w:t xml:space="preserve">后</w:t>
      </w:r>
      <w:r>
        <w:rPr>
          <w:rFonts w:hint="eastAsia" w:ascii="宋体" w:hAnsi="宋体" w:cs="宋体"/>
          <w:sz w:val="24"/>
          <w:highlight w:val="none"/>
        </w:rPr>
        <w:t xml:space="preserve">，由买方办理政府采购资金结算手续，</w:t>
      </w:r>
      <w:r>
        <w:rPr>
          <w:rFonts w:hint="eastAsia" w:ascii="宋体" w:hAnsi="宋体" w:cs="宋体"/>
          <w:b/>
          <w:sz w:val="24"/>
          <w:highlight w:val="none"/>
        </w:rPr>
        <w:t xml:space="preserve">政府采购资金到位后，三日内</w:t>
      </w:r>
      <w:r>
        <w:rPr>
          <w:rFonts w:hint="eastAsia" w:ascii="宋体" w:hAnsi="宋体" w:cs="宋体"/>
          <w:sz w:val="24"/>
          <w:highlight w:val="none"/>
        </w:rPr>
        <w:t xml:space="preserve">支付给卖方。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卖方需提交的支付文件包括：</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卖方出具的全额正式发票及验收合格证明；</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b/>
          <w:bCs/>
          <w:sz w:val="24"/>
          <w:highlight w:val="none"/>
        </w:rPr>
        <w:t xml:space="preserve">（二）付款方式二：不提交预付款保函的</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合同价款的百分之三十（30%）即￥，大写：人民币元整，在双方签订合同7天</w:t>
      </w:r>
      <w:r>
        <w:rPr>
          <w:rFonts w:hint="eastAsia" w:ascii="宋体" w:hAnsi="宋体" w:cs="宋体"/>
          <w:b/>
          <w:sz w:val="24"/>
          <w:highlight w:val="none"/>
        </w:rPr>
        <w:t xml:space="preserve">后</w:t>
      </w:r>
      <w:r>
        <w:rPr>
          <w:rFonts w:hint="eastAsia" w:ascii="宋体" w:hAnsi="宋体" w:cs="宋体"/>
          <w:sz w:val="24"/>
          <w:highlight w:val="none"/>
        </w:rPr>
        <w:t xml:space="preserve">，办理政府采购资金结算手续，</w:t>
      </w:r>
      <w:r>
        <w:rPr>
          <w:rFonts w:hint="eastAsia" w:ascii="宋体" w:hAnsi="宋体" w:cs="宋体"/>
          <w:b/>
          <w:sz w:val="24"/>
          <w:highlight w:val="none"/>
        </w:rPr>
        <w:t xml:space="preserve">政府相关采购资金到位后，三日内</w:t>
      </w:r>
      <w:r>
        <w:rPr>
          <w:rFonts w:hint="eastAsia" w:ascii="宋体" w:hAnsi="宋体" w:cs="宋体"/>
          <w:sz w:val="24"/>
          <w:highlight w:val="none"/>
        </w:rPr>
        <w:t xml:space="preserve">支付给乙方。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卖方需提交的支付文件包括：</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卖方出具的对应金额的正式发票；</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合同总价的百分之七十（70%）即￥，大写：人民币，合同标的全部交付并安装完毕验收7天</w:t>
      </w:r>
      <w:r>
        <w:rPr>
          <w:rFonts w:hint="eastAsia" w:ascii="宋体" w:hAnsi="宋体" w:cs="宋体"/>
          <w:b/>
          <w:sz w:val="24"/>
          <w:highlight w:val="none"/>
        </w:rPr>
        <w:t xml:space="preserve">后</w:t>
      </w:r>
      <w:r>
        <w:rPr>
          <w:rFonts w:hint="eastAsia" w:ascii="宋体" w:hAnsi="宋体" w:cs="宋体"/>
          <w:sz w:val="24"/>
          <w:highlight w:val="none"/>
        </w:rPr>
        <w:t xml:space="preserve">，由买方办理政府采购资金结算手续，</w:t>
      </w:r>
      <w:r>
        <w:rPr>
          <w:rFonts w:hint="eastAsia" w:ascii="宋体" w:hAnsi="宋体" w:cs="宋体"/>
          <w:b/>
          <w:sz w:val="24"/>
          <w:highlight w:val="none"/>
        </w:rPr>
        <w:t xml:space="preserve">政府采购资金到位后，三日内</w:t>
      </w:r>
      <w:r>
        <w:rPr>
          <w:rFonts w:hint="eastAsia" w:ascii="宋体" w:hAnsi="宋体" w:cs="宋体"/>
          <w:sz w:val="24"/>
          <w:highlight w:val="none"/>
        </w:rPr>
        <w:t xml:space="preserve">支付给卖方。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卖方需提交的支付文件包括：</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卖方出具的全额正式发票及验收合格证明；</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第五条 交货</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5.1卖方应于合同生效后，在收到采购人发货通知</w:t>
      </w:r>
      <w:r>
        <w:rPr>
          <w:rFonts w:hint="eastAsia" w:ascii="宋体" w:hAnsi="宋体" w:cs="宋体"/>
          <w:sz w:val="24"/>
          <w:highlight w:val="none"/>
          <w:u w:val="single"/>
        </w:rPr>
        <w:t xml:space="preserve">    </w:t>
      </w:r>
      <w:r>
        <w:rPr>
          <w:rFonts w:hint="eastAsia" w:ascii="宋体" w:hAnsi="宋体" w:cs="宋体"/>
          <w:sz w:val="24"/>
          <w:highlight w:val="none"/>
        </w:rPr>
        <w:t xml:space="preserve">日内完成供货，或按招标人要求完成供货，并确保正常使用。</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5.2 交货地点为</w:t>
      </w:r>
      <w:r>
        <w:rPr>
          <w:rFonts w:hint="eastAsia" w:ascii="宋体" w:hAnsi="宋体" w:cs="宋体"/>
          <w:sz w:val="24"/>
          <w:highlight w:val="none"/>
          <w:u w:val="single"/>
        </w:rPr>
        <w:t xml:space="preserve">买方指定地点</w:t>
      </w:r>
      <w:r>
        <w:rPr>
          <w:rFonts w:hint="eastAsia" w:ascii="宋体" w:hAnsi="宋体" w:cs="宋体"/>
          <w:sz w:val="24"/>
          <w:highlight w:val="none"/>
        </w:rPr>
        <w:t xml:space="preserve">。</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5.3如果卖方未能按照合同规定的交货期限交货，卖方应按每天迟交合同标的金额的百分之二 (2%）的比率支付违约金。违约金的支付不能免除卖方继续交付相关合同标的的义务，因此给买方造成的损失超过违约金的，卖方另行赔偿。</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第六条 技术资料</w:t>
      </w:r>
      <w:r>
        <w:rPr>
          <w:rFonts w:ascii="宋体" w:hAnsi="宋体" w:cs="宋体"/>
          <w:sz w:val="24"/>
          <w:highlight w:val="none"/>
        </w:rPr>
      </w:r>
      <w:r/>
    </w:p>
    <w:p>
      <w:pPr>
        <w:pStyle w:val="931"/>
        <w:ind w:firstLine="720"/>
        <w:spacing w:line="520" w:lineRule="exact"/>
        <w:rPr>
          <w:rFonts w:hint="eastAsia" w:ascii="宋体" w:hAnsi="宋体" w:cs="宋体"/>
          <w:sz w:val="24"/>
          <w:highlight w:val="none"/>
        </w:rPr>
      </w:pPr>
      <w:r>
        <w:rPr>
          <w:rFonts w:hint="eastAsia" w:ascii="宋体" w:hAnsi="宋体" w:cs="宋体"/>
          <w:sz w:val="24"/>
          <w:highlight w:val="none"/>
        </w:rPr>
        <w:t xml:space="preserve">6.1 技术资料随合同标的同时交付给买方。</w:t>
      </w:r>
      <w:r>
        <w:rPr>
          <w:rFonts w:hint="eastAsia" w:ascii="宋体" w:hAnsi="宋体" w:cs="宋体"/>
          <w:sz w:val="24"/>
          <w:highlight w:val="none"/>
        </w:rPr>
      </w:r>
      <w:r/>
    </w:p>
    <w:p>
      <w:pPr>
        <w:pStyle w:val="931"/>
        <w:ind w:firstLine="720"/>
        <w:spacing w:line="520" w:lineRule="exact"/>
        <w:rPr>
          <w:rFonts w:ascii="宋体" w:hAnsi="宋体" w:cs="宋体"/>
          <w:sz w:val="24"/>
          <w:highlight w:val="none"/>
        </w:rPr>
      </w:pPr>
      <w:r>
        <w:rPr>
          <w:rFonts w:hint="eastAsia" w:ascii="宋体" w:hAnsi="宋体" w:cs="宋体"/>
          <w:sz w:val="24"/>
          <w:highlight w:val="none"/>
        </w:rPr>
        <w:t xml:space="preserve">6.2本合同正常完成后，乙方为执行该合同而实际制作的文档或其它和该合同有关的资料的所有权与知识产权归甲方所有。</w:t>
      </w:r>
      <w:r>
        <w:rPr>
          <w:rFonts w:ascii="宋体" w:hAnsi="宋体" w:cs="宋体"/>
          <w:sz w:val="24"/>
          <w:highlight w:val="none"/>
        </w:rPr>
      </w:r>
      <w:r/>
    </w:p>
    <w:p>
      <w:pPr>
        <w:pStyle w:val="909"/>
        <w:ind w:firstLine="720"/>
        <w:spacing w:line="500" w:lineRule="exact"/>
        <w:tabs>
          <w:tab w:val="left" w:pos="420" w:leader="none"/>
          <w:tab w:val="left" w:pos="900" w:leader="none"/>
        </w:tabs>
        <w:rPr>
          <w:rFonts w:ascii="宋体" w:hAnsi="宋体" w:cs="宋体"/>
          <w:sz w:val="24"/>
          <w:highlight w:val="none"/>
        </w:rPr>
      </w:pPr>
      <w:r>
        <w:rPr>
          <w:rFonts w:hint="eastAsia" w:ascii="宋体" w:hAnsi="宋体" w:cs="宋体"/>
          <w:sz w:val="24"/>
          <w:highlight w:val="none"/>
        </w:rPr>
        <w:t xml:space="preserve">6.3支撑该系统开发和运行的第三方编制的软件的知识产权仍属于第三方。</w:t>
      </w:r>
      <w:r>
        <w:rPr>
          <w:rFonts w:ascii="宋体" w:hAnsi="宋体" w:cs="宋体"/>
          <w:sz w:val="24"/>
          <w:highlight w:val="none"/>
        </w:rPr>
      </w:r>
      <w:r/>
    </w:p>
    <w:p>
      <w:pPr>
        <w:pStyle w:val="909"/>
        <w:ind w:firstLine="360"/>
        <w:spacing w:line="500" w:lineRule="exact"/>
        <w:tabs>
          <w:tab w:val="left" w:pos="4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6.4乙方提供设备软件产品（包括文档），仅限于甲方使用，未经乙方书面许可不能对外转让；设备软件不加密，不限制使用时间。</w:t>
      </w:r>
      <w:r>
        <w:rPr>
          <w:rFonts w:hint="eastAsia"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第七条 验收</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7.1合同标的的试运行、验收应在卖方的协助下进行。合同标的全部交付后，卖方可向买方书面提出试运行、验收要求，买方在接到书面要求后日进行试运行、验收。如果试运行和/或验收因卖方原因发生迟延和/ 或在其他情况下发生额外费用，买方有权就因迟延发生的损害和损失和/或任何额外费用请求赔偿。</w:t>
      </w:r>
      <w:r>
        <w:rPr>
          <w:rFonts w:ascii="宋体" w:hAnsi="宋体" w:cs="宋体"/>
          <w:sz w:val="24"/>
          <w:highlight w:val="none"/>
        </w:rPr>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7.2履约验收</w:t>
      </w:r>
      <w:r/>
    </w:p>
    <w:p>
      <w:pPr>
        <w:ind w:left="0" w:right="0" w:firstLine="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1、验收时间：</w:t>
      </w:r>
      <w:r>
        <w:rPr>
          <w:rFonts w:ascii="SimSun" w:hAnsi="SimSun" w:eastAsia="SimSun" w:cs="SimSun"/>
          <w:color w:val="000000"/>
          <w:sz w:val="24"/>
        </w:rPr>
        <w:t xml:space="preserve">预计2026年10月验收</w:t>
      </w:r>
      <w:r>
        <w:rPr>
          <w:rFonts w:ascii="Times New Roman" w:hAnsi="Times New Roman" w:eastAsia="Times New Roman" w:cs="Times New Roman"/>
          <w:color w:val="000000"/>
          <w:sz w:val="24"/>
        </w:rPr>
        <w:t xml:space="preserve">。</w:t>
      </w:r>
      <w:r/>
    </w:p>
    <w:p>
      <w:pPr>
        <w:ind w:left="0" w:right="0" w:firstLine="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2、验收地点：徐州市铜山区人民医院。</w:t>
      </w:r>
      <w:r/>
    </w:p>
    <w:p>
      <w:pPr>
        <w:ind w:left="0" w:right="0" w:firstLine="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3、验收方式：由采购人组织相关验收小组人员现场进行验收。</w:t>
      </w:r>
      <w:r/>
    </w:p>
    <w:p>
      <w:pPr>
        <w:ind w:left="0" w:right="0" w:firstLine="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内容：根据采购清单明细进行验收，包括重症监护管理系统、手麻系统、透析管理系统、心电系统、病理管理系统、医保合规检测系统、CA电子签名系统（含硬件）、病案无纸化归档系统、防统方系统、统一预约管理系统、急诊管理系统、系统对接</w:t>
      </w:r>
      <w:r>
        <w:rPr>
          <w:rFonts w:ascii="Times New Roman" w:hAnsi="Times New Roman" w:eastAsia="Times New Roman" w:cs="Times New Roman"/>
          <w:color w:val="000000"/>
          <w:sz w:val="24"/>
        </w:rPr>
        <w:t xml:space="preserve">。</w:t>
      </w:r>
      <w:r/>
    </w:p>
    <w:p>
      <w:pPr>
        <w:ind w:left="0" w:right="0" w:firstLine="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5、验收标准：符合国家 / 行业标准，根据采购文件、投标文件、履约验收方案等，形成验收报告。</w:t>
      </w:r>
      <w:r>
        <w:rPr>
          <w:sz w:val="24"/>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第八条 索赔</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8.1买方有权选择本条款规定的任意或全部救济方式。</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8.2卖方应在收到买方索赔要求后7日内作出书面回复，否则该索赔要求将被视为已被卖方接受。卖方应在买方发出索赔要求后7日内，按照买方选择的救济方法解决索赔事宜。</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8.3如卖方货物的品质与国家标准、合同约定的要求不符，或未达到当地行政职能部门质量监督的检验结果，或证实是有缺陷的，包括潜在缺陷等时，买方有权向卖方提出索赔。由于产品质量问题导致环境损害或其他损害的，卖方应承担全部损害赔偿责任。</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索赔方式除上述规定之外，买方还有权选择以下方式进行索赔：</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解除合同（退货）。买方选择退货方式要求卖方承担违约责任的，卖方须赔偿买方20000元，承担由此发生的一切损失和费用，包括但不限于买方直接损失、利息、银行手续费、运费、保险费、仓储费、装卸费以及为保护退回货物所需的其他必要费用。</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（2）更换。买方选择更换方式要求卖方承担违约责任的，卖方须用符合规格、质量和性能要求的货物更换有缺陷的部分，并赔偿买方10000元，且承担一切费用和风险并负担买方所发生的一切直接费用。</w:t>
      </w:r>
      <w:r>
        <w:rPr>
          <w:rFonts w:ascii="宋体" w:hAnsi="宋体" w:cs="宋体"/>
          <w:sz w:val="24"/>
          <w:highlight w:val="none"/>
        </w:rPr>
      </w:r>
      <w:r/>
    </w:p>
    <w:p>
      <w:pPr>
        <w:pStyle w:val="931"/>
        <w:ind w:firstLine="600"/>
        <w:spacing w:line="520" w:lineRule="exact"/>
        <w:rPr>
          <w:highlight w:val="none"/>
        </w:rPr>
      </w:pPr>
      <w:r>
        <w:rPr>
          <w:rFonts w:hint="eastAsia" w:ascii="宋体" w:hAnsi="宋体" w:cs="宋体"/>
          <w:sz w:val="24"/>
          <w:highlight w:val="none"/>
        </w:rPr>
        <w:t xml:space="preserve">（3）弥补损失。因卖方违约，买方有权从尚未支付的合同价款或履约保证金中扣除卖方应承担的违约金、赔偿金以及买方因急需更换或紧急维修而支付的各种费用以及因索赔而发生的合理费用，包括律师费用。如果这些金额不足以补偿索赔金额，买方有权向卖方提出对不足部分的赔偿。</w:t>
      </w:r>
      <w:r>
        <w:rPr>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8.4 合同履行过程中，卖方不得以任何理由提高货物单价，如卖方擅自提高单价或要求买方提高单价，买方有权拒绝卖方的提价要求，并要求卖方按约定继续履行合同；针对此情况，买方也有权解除合同，并要求卖方支付违约金100000元。</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第九条 不可抗力</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9.1如果不可抗力事件的影响持续超过20日，合同任何一方均有权发出书面通知终止合同，附佐证材料经甲乙双方签字确认后生效。</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第十条 合同的终止</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10.1如果卖方有下述违约行为，买方可以全部或部分地终止合同：</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卖方在合同规定的交货期限后</w:t>
      </w:r>
      <w:r>
        <w:rPr>
          <w:rFonts w:hint="eastAsia" w:ascii="宋体" w:hAnsi="宋体" w:cs="宋体"/>
          <w:sz w:val="24"/>
          <w:highlight w:val="none"/>
          <w:u w:val="single"/>
        </w:rPr>
        <w:t xml:space="preserve">10</w:t>
      </w:r>
      <w:r>
        <w:rPr>
          <w:rFonts w:hint="eastAsia" w:ascii="宋体" w:hAnsi="宋体" w:cs="宋体"/>
          <w:sz w:val="24"/>
          <w:highlight w:val="none"/>
        </w:rPr>
        <w:t xml:space="preserve">日内仍未能交付合同标的和/ 或技术资料；或者卖方未能履行合同项下任何其他义务，并且在收到买方违约通知后</w:t>
      </w:r>
      <w:r>
        <w:rPr>
          <w:rFonts w:hint="eastAsia" w:ascii="宋体" w:hAnsi="宋体" w:cs="宋体"/>
          <w:sz w:val="24"/>
          <w:highlight w:val="none"/>
          <w:u w:val="single"/>
        </w:rPr>
        <w:t xml:space="preserve">5</w:t>
      </w:r>
      <w:r>
        <w:rPr>
          <w:rFonts w:hint="eastAsia" w:ascii="宋体" w:hAnsi="宋体" w:cs="宋体"/>
          <w:sz w:val="24"/>
          <w:highlight w:val="none"/>
        </w:rPr>
        <w:t xml:space="preserve">日内仍未能对其违约行为作出补救。</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10.2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第十一条 争议的解决</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11.1本合同生效起，如任何一方违约，如果不能协商一致，合同任何一方有权向买方所在地人民法院提起诉讼。守约方为维护权益向违约方的律师费、公证费、鉴定费、保全费和诉讼费等一切费用由违约方承担。</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第十二条 合同生效及其他</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12.1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12.2 合同双方的通讯地址：</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买方：                卖方：</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地址：                地址：</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邮编：                邮编：</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电话：                电话：</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传真：                传真： </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spacing w:line="520" w:lineRule="exact"/>
        <w:rPr>
          <w:rFonts w:ascii="宋体" w:hAnsi="宋体" w:cs="宋体"/>
          <w:sz w:val="24"/>
          <w:highlight w:val="none"/>
        </w:rPr>
      </w:pPr>
      <w:r>
        <w:rPr>
          <w:rFonts w:ascii="宋体" w:hAnsi="宋体" w:cs="宋体"/>
          <w:sz w:val="24"/>
          <w:highlight w:val="none"/>
        </w:rPr>
      </w:r>
      <w:r/>
    </w:p>
    <w:p>
      <w:pPr>
        <w:pStyle w:val="931"/>
        <w:spacing w:line="520" w:lineRule="exact"/>
        <w:rPr>
          <w:rFonts w:ascii="宋体" w:hAnsi="宋体" w:cs="宋体"/>
          <w:sz w:val="24"/>
          <w:highlight w:val="none"/>
        </w:rPr>
      </w:pPr>
      <w:r>
        <w:rPr>
          <w:rFonts w:ascii="宋体" w:hAnsi="宋体" w:cs="宋体"/>
          <w:sz w:val="24"/>
          <w:highlight w:val="none"/>
        </w:rPr>
      </w:r>
      <w:r/>
    </w:p>
    <w:p>
      <w:pPr>
        <w:pStyle w:val="931"/>
        <w:spacing w:line="520" w:lineRule="exact"/>
        <w:rPr>
          <w:rFonts w:ascii="宋体" w:hAnsi="宋体" w:cs="宋体"/>
          <w:sz w:val="24"/>
          <w:highlight w:val="none"/>
        </w:rPr>
      </w:pPr>
      <w:r>
        <w:rPr>
          <w:rFonts w:ascii="宋体" w:hAnsi="宋体" w:cs="宋体"/>
          <w:sz w:val="24"/>
          <w:highlight w:val="none"/>
        </w:rPr>
      </w:r>
      <w:r/>
    </w:p>
    <w:p>
      <w:pPr>
        <w:pStyle w:val="931"/>
        <w:spacing w:line="520" w:lineRule="exact"/>
        <w:rPr>
          <w:rFonts w:ascii="宋体" w:hAnsi="宋体" w:cs="宋体"/>
          <w:sz w:val="24"/>
          <w:highlight w:val="none"/>
        </w:rPr>
      </w:pPr>
      <w:r>
        <w:rPr>
          <w:rFonts w:ascii="宋体" w:hAnsi="宋体" w:cs="宋体"/>
          <w:sz w:val="24"/>
          <w:highlight w:val="none"/>
        </w:rPr>
      </w:r>
      <w:r/>
    </w:p>
    <w:p>
      <w:pPr>
        <w:pStyle w:val="934"/>
        <w:rPr>
          <w:rFonts w:hAnsi="宋体" w:cs="宋体"/>
          <w:sz w:val="24"/>
          <w:highlight w:val="none"/>
        </w:rPr>
      </w:pPr>
      <w:r>
        <w:rPr>
          <w:rFonts w:hAnsi="宋体" w:cs="宋体"/>
          <w:sz w:val="24"/>
          <w:highlight w:val="none"/>
        </w:rPr>
      </w:r>
      <w:r/>
    </w:p>
    <w:p>
      <w:pPr>
        <w:pStyle w:val="935"/>
        <w:rPr>
          <w:rFonts w:ascii="宋体" w:hAnsi="宋体" w:cs="宋体"/>
          <w:sz w:val="24"/>
          <w:highlight w:val="none"/>
        </w:rPr>
      </w:pPr>
      <w:r>
        <w:rPr>
          <w:rFonts w:ascii="宋体" w:hAnsi="宋体" w:cs="宋体"/>
          <w:sz w:val="24"/>
          <w:highlight w:val="none"/>
        </w:rPr>
      </w:r>
      <w:r/>
    </w:p>
    <w:p>
      <w:pPr>
        <w:pStyle w:val="931"/>
        <w:rPr>
          <w:rFonts w:ascii="宋体" w:hAnsi="宋体" w:cs="宋体"/>
          <w:sz w:val="24"/>
          <w:highlight w:val="none"/>
        </w:rPr>
      </w:pPr>
      <w:r>
        <w:rPr>
          <w:rFonts w:ascii="宋体" w:hAnsi="宋体" w:cs="宋体"/>
          <w:sz w:val="24"/>
          <w:highlight w:val="none"/>
        </w:rPr>
      </w:r>
      <w:r/>
    </w:p>
    <w:p>
      <w:pPr>
        <w:pStyle w:val="934"/>
        <w:rPr>
          <w:rFonts w:hAnsi="宋体" w:cs="宋体"/>
          <w:sz w:val="24"/>
          <w:highlight w:val="none"/>
        </w:rPr>
      </w:pPr>
      <w:r>
        <w:rPr>
          <w:rFonts w:hAnsi="宋体" w:cs="宋体"/>
          <w:sz w:val="24"/>
          <w:highlight w:val="none"/>
        </w:rPr>
      </w:r>
      <w:r/>
    </w:p>
    <w:p>
      <w:pPr>
        <w:pStyle w:val="935"/>
        <w:rPr>
          <w:rFonts w:ascii="宋体" w:hAnsi="宋体" w:cs="宋体"/>
          <w:sz w:val="24"/>
          <w:highlight w:val="none"/>
        </w:rPr>
      </w:pPr>
      <w:r>
        <w:rPr>
          <w:rFonts w:ascii="宋体" w:hAnsi="宋体" w:cs="宋体"/>
          <w:sz w:val="24"/>
          <w:highlight w:val="none"/>
        </w:rPr>
      </w:r>
      <w:r/>
    </w:p>
    <w:p>
      <w:pPr>
        <w:pStyle w:val="931"/>
        <w:rPr>
          <w:rFonts w:ascii="宋体" w:hAnsi="宋体" w:cs="宋体"/>
          <w:sz w:val="24"/>
          <w:highlight w:val="none"/>
        </w:rPr>
      </w:pPr>
      <w:r>
        <w:rPr>
          <w:rFonts w:ascii="宋体" w:hAnsi="宋体" w:cs="宋体"/>
          <w:sz w:val="24"/>
          <w:highlight w:val="none"/>
        </w:rPr>
      </w:r>
      <w:r/>
    </w:p>
    <w:p>
      <w:pPr>
        <w:pStyle w:val="934"/>
        <w:rPr>
          <w:rFonts w:hAnsi="宋体" w:cs="宋体"/>
          <w:sz w:val="24"/>
          <w:highlight w:val="none"/>
        </w:rPr>
      </w:pPr>
      <w:r>
        <w:rPr>
          <w:rFonts w:hAnsi="宋体" w:cs="宋体"/>
          <w:sz w:val="24"/>
          <w:highlight w:val="none"/>
        </w:rPr>
      </w:r>
      <w:r/>
    </w:p>
    <w:p>
      <w:pPr>
        <w:pStyle w:val="931"/>
        <w:spacing w:line="520" w:lineRule="exact"/>
        <w:rPr>
          <w:rFonts w:ascii="宋体" w:hAnsi="宋体" w:cs="宋体"/>
          <w:sz w:val="24"/>
          <w:highlight w:val="none"/>
        </w:rPr>
      </w:pPr>
      <w:r>
        <w:rPr>
          <w:rFonts w:hint="eastAsia" w:ascii="宋体" w:hAnsi="宋体" w:cs="宋体"/>
          <w:sz w:val="24"/>
          <w:highlight w:val="none"/>
        </w:rPr>
        <w:t xml:space="preserve">合同附件</w:t>
      </w:r>
      <w:r>
        <w:rPr>
          <w:rFonts w:ascii="宋体" w:hAnsi="宋体" w:cs="宋体"/>
          <w:sz w:val="24"/>
          <w:highlight w:val="none"/>
        </w:rPr>
      </w:r>
      <w:r/>
    </w:p>
    <w:p>
      <w:pPr>
        <w:pStyle w:val="931"/>
        <w:ind w:firstLine="600"/>
        <w:jc w:val="center"/>
        <w:spacing w:line="520" w:lineRule="exact"/>
        <w:rPr>
          <w:rFonts w:ascii="宋体" w:hAnsi="宋体" w:cs="宋体"/>
          <w:sz w:val="24"/>
          <w:highlight w:val="none"/>
        </w:rPr>
      </w:pPr>
      <w:r>
        <w:rPr>
          <w:rFonts w:ascii="宋体" w:hAnsi="宋体" w:cs="宋体"/>
          <w:sz w:val="24"/>
          <w:highlight w:val="none"/>
        </w:rPr>
      </w:r>
      <w:r/>
    </w:p>
    <w:p>
      <w:pPr>
        <w:pStyle w:val="931"/>
        <w:ind w:firstLine="600"/>
        <w:jc w:val="center"/>
        <w:spacing w:line="520" w:lineRule="exact"/>
        <w:rPr>
          <w:rFonts w:ascii="宋体" w:hAnsi="宋体" w:cs="宋体"/>
          <w:sz w:val="24"/>
          <w:highlight w:val="none"/>
        </w:rPr>
      </w:pPr>
      <w:r>
        <w:rPr>
          <w:rFonts w:hint="eastAsia" w:ascii="宋体" w:hAnsi="宋体" w:cs="宋体"/>
          <w:sz w:val="24"/>
          <w:highlight w:val="none"/>
        </w:rPr>
        <w:t xml:space="preserve">目录</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合同附件1：合同协议书</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合同附件2：技术规格和技术性能</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（要求见招标文件第六章《采购需求》；合同见卖方投标文件。）</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合同附件3：售后服务和技术培训</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（要求见招标文件第六章《采购需求》；合同见卖方投标文件。）</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合同附件4：供货范围和价格清单</w:t>
      </w:r>
      <w:r>
        <w:rPr>
          <w:rFonts w:ascii="宋体" w:hAnsi="宋体" w:cs="宋体"/>
          <w:sz w:val="24"/>
          <w:highlight w:val="none"/>
        </w:rPr>
      </w:r>
      <w:r/>
    </w:p>
    <w:p>
      <w:pPr>
        <w:pStyle w:val="931"/>
        <w:ind w:firstLine="600"/>
        <w:spacing w:line="520" w:lineRule="exact"/>
        <w:rPr>
          <w:rFonts w:ascii="宋体" w:hAnsi="宋体" w:cs="宋体"/>
          <w:sz w:val="24"/>
          <w:highlight w:val="none"/>
        </w:rPr>
      </w:pPr>
      <w:r>
        <w:rPr>
          <w:rFonts w:hint="eastAsia" w:ascii="宋体" w:hAnsi="宋体" w:cs="宋体"/>
          <w:sz w:val="24"/>
          <w:highlight w:val="none"/>
        </w:rPr>
        <w:t xml:space="preserve">（要求见招标文件第七章《投标文件相关格式》中《开标一览表》和《分项价格表》；合同见卖方投标文件。）</w:t>
      </w:r>
      <w:r>
        <w:rPr>
          <w:rFonts w:ascii="宋体" w:hAnsi="宋体" w:cs="宋体"/>
          <w:sz w:val="24"/>
          <w:highlight w:val="none"/>
        </w:rPr>
      </w:r>
      <w:r/>
    </w:p>
    <w:p>
      <w:pPr>
        <w:pStyle w:val="909"/>
        <w:rPr>
          <w:highlight w:val="none"/>
        </w:rPr>
      </w:pPr>
      <w:r>
        <w:rPr>
          <w:highlight w:val="none"/>
        </w:rPr>
      </w:r>
      <w:r/>
    </w:p>
    <w:p>
      <w:pPr>
        <w:pStyle w:val="909"/>
        <w:rPr>
          <w:highlight w:val="none"/>
        </w:rPr>
      </w:pPr>
      <w:r>
        <w:rPr>
          <w:highlight w:val="none"/>
        </w:rPr>
      </w:r>
      <w:r/>
    </w:p>
    <w:p>
      <w:pPr>
        <w:pStyle w:val="971"/>
        <w:rPr>
          <w:highlight w:val="none"/>
        </w:rPr>
      </w:pPr>
      <w:r>
        <w:rPr>
          <w:highlight w:val="none"/>
        </w:rPr>
      </w:r>
      <w:r/>
    </w:p>
    <w:p>
      <w:pPr>
        <w:pStyle w:val="909"/>
        <w:rPr>
          <w:highlight w:val="none"/>
        </w:rPr>
      </w:pPr>
      <w:r>
        <w:rPr>
          <w:highlight w:val="none"/>
        </w:rPr>
      </w:r>
      <w:r/>
    </w:p>
    <w:p>
      <w:pPr>
        <w:pStyle w:val="971"/>
        <w:rPr>
          <w:highlight w:val="none"/>
        </w:rPr>
      </w:pPr>
      <w:r>
        <w:rPr>
          <w:highlight w:val="none"/>
        </w:rPr>
      </w:r>
      <w:r/>
    </w:p>
    <w:p>
      <w:pPr>
        <w:pStyle w:val="909"/>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rPr>
          <w:highlight w:val="none"/>
        </w:rPr>
      </w:pPr>
      <w:r>
        <w:rPr>
          <w:highlight w:val="none"/>
        </w:rPr>
      </w:r>
      <w:r/>
    </w:p>
    <w:p>
      <w:pPr>
        <w:pStyle w:val="993"/>
        <w:ind w:left="0" w:firstLine="0"/>
        <w:rPr>
          <w:highlight w:val="none"/>
        </w:rPr>
      </w:pPr>
      <w:r>
        <w:rPr>
          <w:highlight w:val="none"/>
        </w:rPr>
      </w:r>
      <w:r/>
    </w:p>
    <w:p>
      <w:pPr>
        <w:pStyle w:val="909"/>
        <w:jc w:val="center"/>
        <w:spacing w:before="120" w:after="120" w:line="400" w:lineRule="exact"/>
        <w:rPr>
          <w:b/>
          <w:sz w:val="32"/>
          <w:szCs w:val="32"/>
          <w:highlight w:val="none"/>
        </w:rPr>
      </w:pPr>
      <w:r>
        <w:rPr>
          <w:rFonts w:hint="eastAsia" w:ascii="宋体" w:hAnsi="宋体" w:cs="宋体"/>
          <w:b/>
          <w:sz w:val="32"/>
          <w:szCs w:val="32"/>
          <w:highlight w:val="none"/>
        </w:rPr>
        <w:t xml:space="preserve">第六章  采购需求</w:t>
      </w:r>
      <w:r>
        <w:rPr>
          <w:b/>
          <w:sz w:val="32"/>
          <w:szCs w:val="32"/>
          <w:highlight w:val="none"/>
        </w:rPr>
      </w:r>
      <w:r/>
    </w:p>
    <w:p>
      <w:pPr>
        <w:pStyle w:val="909"/>
        <w:spacing w:line="360" w:lineRule="auto"/>
        <w:rPr>
          <w:rFonts w:ascii="宋体" w:hAnsi="宋体" w:cs="宋体"/>
          <w:sz w:val="24"/>
          <w:highlight w:val="none"/>
        </w:rPr>
      </w:pPr>
      <w:r>
        <w:rPr>
          <w:rFonts w:hint="eastAsia" w:ascii="宋体" w:hAnsi="宋体" w:cs="宋体"/>
          <w:b/>
          <w:sz w:val="24"/>
          <w:highlight w:val="none"/>
        </w:rPr>
        <w:t xml:space="preserve">一、采购标的</w:t>
      </w:r>
      <w:r>
        <w:rPr>
          <w:rFonts w:ascii="宋体" w:hAnsi="宋体" w:cs="宋体"/>
          <w:sz w:val="24"/>
          <w:highlight w:val="none"/>
        </w:rPr>
      </w:r>
      <w:r/>
    </w:p>
    <w:p>
      <w:pPr>
        <w:pStyle w:val="931"/>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1、项目名称：徐州市铜山区人民医院管理系统（二期）。</w:t>
      </w:r>
      <w:r>
        <w:rPr>
          <w:rFonts w:ascii="宋体" w:hAnsi="宋体" w:cs="宋体"/>
          <w:color w:val="000000"/>
          <w:sz w:val="24"/>
          <w:highlight w:val="none"/>
        </w:rPr>
      </w:r>
      <w:r/>
    </w:p>
    <w:p>
      <w:pPr>
        <w:pStyle w:val="931"/>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2、预算金额：448万元人民币。</w:t>
      </w:r>
      <w:r>
        <w:rPr>
          <w:rFonts w:ascii="宋体" w:hAnsi="宋体" w:cs="宋体"/>
          <w:color w:val="000000"/>
          <w:sz w:val="24"/>
          <w:highlight w:val="none"/>
        </w:rPr>
      </w:r>
      <w:r/>
    </w:p>
    <w:p>
      <w:pPr>
        <w:pStyle w:val="931"/>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3、本次采购的为非进口产品。</w:t>
      </w:r>
      <w:r>
        <w:rPr>
          <w:rFonts w:ascii="宋体" w:hAnsi="宋体" w:cs="宋体"/>
          <w:color w:val="000000"/>
          <w:sz w:val="24"/>
          <w:highlight w:val="none"/>
        </w:rPr>
      </w:r>
      <w:r/>
    </w:p>
    <w:p>
      <w:pPr>
        <w:pStyle w:val="931"/>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4、本项目要求投标人提供演示视频（要求见评分细则和采购需求）。中标人履行合同时，提供的产品应与投标时演示内容一致，否则采购人有权单方面停止合同，并追究相关损失责任。</w:t>
      </w:r>
      <w:r>
        <w:rPr>
          <w:rFonts w:ascii="宋体" w:hAnsi="宋体" w:cs="宋体"/>
          <w:color w:val="000000"/>
          <w:sz w:val="24"/>
          <w:highlight w:val="none"/>
        </w:rPr>
      </w:r>
      <w:r/>
    </w:p>
    <w:p>
      <w:pPr>
        <w:pStyle w:val="909"/>
        <w:spacing w:line="360" w:lineRule="auto"/>
        <w:rPr>
          <w:rFonts w:ascii="宋体" w:hAnsi="宋体" w:cs="宋体"/>
          <w:b/>
          <w:sz w:val="24"/>
          <w:highlight w:val="none"/>
        </w:rPr>
      </w:pPr>
      <w:r>
        <w:rPr>
          <w:rFonts w:hint="eastAsia" w:ascii="宋体" w:hAnsi="宋体" w:cs="宋体"/>
          <w:b/>
          <w:sz w:val="24"/>
          <w:highlight w:val="none"/>
        </w:rPr>
        <w:t xml:space="preserve">二、采购项目投标报价</w:t>
      </w:r>
      <w:r>
        <w:rPr>
          <w:rFonts w:ascii="宋体" w:hAnsi="宋体" w:cs="宋体"/>
          <w:b/>
          <w:sz w:val="24"/>
          <w:highlight w:val="none"/>
        </w:rPr>
      </w:r>
      <w:r/>
    </w:p>
    <w:p>
      <w:pPr>
        <w:pStyle w:val="909"/>
        <w:ind w:firstLine="482"/>
        <w:spacing w:line="360" w:lineRule="auto"/>
        <w:rPr>
          <w:rFonts w:ascii="宋体" w:hAnsi="宋体"/>
          <w:color w:val="000000"/>
          <w:sz w:val="24"/>
          <w:highlight w:val="none"/>
        </w:rPr>
      </w:pPr>
      <w:r>
        <w:rPr>
          <w:rFonts w:hint="eastAsia" w:ascii="宋体" w:hAnsi="宋体" w:cs="宋体"/>
          <w:b/>
          <w:bCs/>
          <w:sz w:val="24"/>
          <w:highlight w:val="none"/>
        </w:rPr>
        <w:t xml:space="preserve">本项目不接受超过448.00万元人民币（采购项目预算金额）的投标报价。</w:t>
      </w:r>
      <w:r>
        <w:rPr>
          <w:rFonts w:hint="eastAsia" w:ascii="宋体" w:hAnsi="宋体" w:cs="宋体"/>
          <w:color w:val="000000"/>
          <w:sz w:val="24"/>
          <w:highlight w:val="none"/>
        </w:rPr>
        <w:t xml:space="preserve">投标报价包含</w:t>
      </w:r>
      <w:r>
        <w:rPr>
          <w:rFonts w:hint="eastAsia" w:ascii="宋体" w:hAnsi="宋体" w:cs="宋体"/>
          <w:sz w:val="24"/>
          <w:highlight w:val="none"/>
        </w:rPr>
        <w:t xml:space="preserve">完成本项目产品设计、系统集成、软件使用许可、接口开发、配套硬件、制造、包装、仓储、运输、装缷、保险、安装、调试、专用工具、伴随服务、技术图纸资料、利润、税金、培训、售后服务发生的所有含税费用，以及政策性文件规定、市场变化因素及合同包含的所有风险、责任等各项应有费用以及直至服务期满过程中涉及到的其他一切费用</w:t>
      </w:r>
      <w:r>
        <w:rPr>
          <w:rFonts w:hint="eastAsia" w:ascii="宋体" w:hAnsi="宋体" w:cs="宋体"/>
          <w:color w:val="000000"/>
          <w:sz w:val="24"/>
          <w:highlight w:val="none"/>
        </w:rPr>
        <w:t xml:space="preserve">，采购人不再支付其他任何费用。</w:t>
      </w:r>
      <w:r>
        <w:rPr>
          <w:rFonts w:ascii="宋体" w:hAnsi="宋体"/>
          <w:color w:val="000000"/>
          <w:sz w:val="24"/>
          <w:highlight w:val="none"/>
        </w:rPr>
      </w:r>
      <w:r/>
    </w:p>
    <w:p>
      <w:pPr>
        <w:pStyle w:val="909"/>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三、总体要求</w:t>
      </w:r>
      <w:r>
        <w:rPr>
          <w:rFonts w:ascii="宋体" w:hAnsi="宋体" w:cs="宋体"/>
          <w:color w:val="000000"/>
          <w:sz w:val="24"/>
          <w:highlight w:val="none"/>
        </w:rPr>
      </w:r>
      <w:r/>
    </w:p>
    <w:p>
      <w:pPr>
        <w:pStyle w:val="909"/>
        <w:ind w:firstLine="56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本项目须按照顶</w:t>
      </w:r>
      <w:r>
        <w:rPr>
          <w:rFonts w:hint="eastAsia" w:ascii="宋体" w:hAnsi="宋体" w:cs="宋体"/>
          <w:color w:val="000000"/>
          <w:sz w:val="24"/>
          <w:highlight w:val="none"/>
        </w:rPr>
        <w:t xml:space="preserve">层设计、分步实施、持续改进的总体策略，秉承“以患者为中心、以业务人员为主体，全面提升决策、管理和诊疗水平”的设计理念，在国务院办公厅《关于推动公立医院高质量发展的意见》的背景下，遵循相关标准规范（等级医院评审、电子病历应用水平评级、医院信息互联互通标准化成熟度测评、医院智慧服务分级评估、信息安全等级保护等），立足医院实际业务需求，打造医疗、服务、管理“三位一体”的智慧医院系统，不断提高医院治理现代化水平，形成线上线下一体化的现代医院服务与管理模式，为患者提供更高质量、更高效率、更加安全、更加体贴的医疗服务。</w:t>
      </w:r>
      <w:r>
        <w:rPr>
          <w:rFonts w:ascii="宋体" w:hAnsi="宋体" w:cs="宋体"/>
          <w:color w:val="000000"/>
          <w:sz w:val="24"/>
          <w:highlight w:val="none"/>
        </w:rPr>
      </w:r>
      <w:r/>
    </w:p>
    <w:p>
      <w:pPr>
        <w:pStyle w:val="1258"/>
        <w:spacing w:line="360" w:lineRule="auto"/>
        <w:rPr>
          <w:rFonts w:ascii="宋体" w:hAnsi="宋体" w:eastAsia="宋体" w:cs="宋体"/>
          <w:sz w:val="24"/>
          <w:highlight w:val="none"/>
        </w:rPr>
      </w:pPr>
      <w:r>
        <w:rPr>
          <w:rFonts w:ascii="宋体" w:hAnsi="宋体" w:eastAsia="宋体" w:cs="宋体"/>
          <w:sz w:val="24"/>
          <w:highlight w:val="none"/>
        </w:rPr>
      </w:r>
      <w:r/>
    </w:p>
    <w:p>
      <w:pPr>
        <w:pStyle w:val="909"/>
        <w:spacing w:line="360" w:lineRule="auto"/>
        <w:rPr>
          <w:rFonts w:ascii="宋体" w:hAnsi="宋体" w:cs="宋体"/>
          <w:sz w:val="24"/>
          <w:highlight w:val="none"/>
        </w:rPr>
      </w:pPr>
      <w:r>
        <w:rPr>
          <w:rFonts w:ascii="宋体" w:hAnsi="宋体" w:cs="宋体"/>
          <w:sz w:val="24"/>
          <w:highlight w:val="none"/>
        </w:rPr>
      </w:r>
      <w:r/>
    </w:p>
    <w:p>
      <w:pPr>
        <w:pStyle w:val="909"/>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四、遵循标准</w:t>
      </w:r>
      <w:r>
        <w:rPr>
          <w:rFonts w:ascii="宋体" w:hAnsi="宋体" w:cs="宋体"/>
          <w:b/>
          <w:bCs/>
          <w:color w:val="000000"/>
          <w:sz w:val="24"/>
          <w:highlight w:val="none"/>
        </w:rPr>
      </w:r>
      <w:r/>
    </w:p>
    <w:p>
      <w:pPr>
        <w:pStyle w:val="909"/>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本项目在《医院信息化建设应用技术指引》明确医院信息化技术的基础上，满足国家卫生健康委员会规划与信息司、统计信息中心正式对外发布的《全国医院信息化建设标准与规范（试行）》，同时遵循国际、国内（行业）、国际相关规范标准。</w:t>
      </w: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66"/>
        <w:jc w:val="left"/>
        <w:spacing w:line="360" w:lineRule="auto"/>
        <w:rPr>
          <w:rFonts w:ascii="宋体" w:hAnsi="宋体" w:cs="宋体"/>
          <w:b/>
          <w:bCs/>
          <w:sz w:val="24"/>
          <w:highlight w:val="none"/>
        </w:rPr>
      </w:pPr>
      <w:r>
        <w:rPr>
          <w:rFonts w:hint="eastAsia" w:ascii="宋体" w:hAnsi="宋体" w:cs="宋体"/>
          <w:b/>
          <w:bCs/>
          <w:sz w:val="24"/>
          <w:highlight w:val="none"/>
        </w:rPr>
        <w:t xml:space="preserve">五、采购需求清单（其中“数量”要求为不允许负偏离的实质性要求和条件，如有负偏离，在符合性审查时按照投标无效处理。）</w:t>
      </w:r>
      <w:r>
        <w:rPr>
          <w:rFonts w:ascii="宋体" w:hAnsi="宋体" w:cs="宋体"/>
          <w:b/>
          <w:bCs/>
          <w:sz w:val="24"/>
          <w:highlight w:val="none"/>
        </w:rPr>
      </w:r>
      <w:r/>
    </w:p>
    <w:tbl>
      <w:tblPr>
        <w:tblW w:w="9015"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2902"/>
        <w:gridCol w:w="3098"/>
        <w:gridCol w:w="1942"/>
      </w:tblGrid>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系统名称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子系统名称</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数量</w:t>
            </w:r>
            <w:r>
              <w:rPr>
                <w:rFonts w:hint="eastAsia" w:ascii="宋体" w:hAnsi="宋体" w:cs="宋体"/>
                <w:b/>
                <w:bCs/>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重症监护管理系统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重症监护管理系统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手麻系统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手麻系统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透析管理系统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透析管理系统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心电系统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心电系统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病理管理系统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病理管理系统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医保合规检测系统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医保合规检测系统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vMerge w:val="restart"/>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CA电子签名系统（含硬件）</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CA电子签名系统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90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vMerge w:val="continue"/>
            <w:textDirection w:val="lrTb"/>
            <w:noWrap/>
          </w:tcPr>
          <w:p>
            <w:pPr>
              <w:pStyle w:val="90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智能签名屏（PDA）</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36台</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病案无纸化归档系统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病案无纸化归档系统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防统方系统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防统方系统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vMerge w:val="restart"/>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统一预约管理系统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排队叫号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90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vMerge w:val="continue"/>
            <w:textDirection w:val="lrTb"/>
            <w:noWrap/>
          </w:tcPr>
          <w:p>
            <w:pPr>
              <w:pStyle w:val="909"/>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医技预约管理系统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急诊管理系统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急诊管理系统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1套</w:t>
            </w:r>
            <w:r>
              <w:rPr>
                <w:rFonts w:hint="eastAsia" w:ascii="宋体" w:hAnsi="宋体" w:cs="宋体"/>
                <w:color w:val="000000"/>
                <w:sz w:val="22"/>
                <w:szCs w:val="22"/>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系统对接</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09"/>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909"/>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1套</w:t>
            </w:r>
            <w:r>
              <w:rPr>
                <w:rFonts w:ascii="宋体" w:hAnsi="宋体" w:cs="宋体"/>
                <w:color w:val="000000"/>
                <w:sz w:val="22"/>
                <w:szCs w:val="22"/>
                <w:highlight w:val="none"/>
              </w:rPr>
            </w:r>
            <w:r/>
          </w:p>
        </w:tc>
      </w:tr>
    </w:tbl>
    <w:p>
      <w:pPr>
        <w:pStyle w:val="909"/>
        <w:rPr>
          <w:highlight w:val="none"/>
        </w:rPr>
      </w:pPr>
      <w:r>
        <w:rPr>
          <w:highlight w:val="none"/>
        </w:rPr>
      </w:r>
      <w:r/>
    </w:p>
    <w:p>
      <w:pPr>
        <w:pStyle w:val="968"/>
        <w:ind w:left="160"/>
        <w:spacing w:line="360" w:lineRule="auto"/>
        <w:rPr>
          <w:rFonts w:ascii="宋体" w:hAnsi="宋体" w:cs="宋体"/>
          <w:b/>
          <w:bCs/>
          <w:sz w:val="24"/>
          <w:highlight w:val="none"/>
        </w:rPr>
      </w:pPr>
      <w:r>
        <w:rPr>
          <w:rFonts w:hint="eastAsia" w:ascii="宋体" w:hAnsi="宋体" w:cs="宋体"/>
          <w:b/>
          <w:bCs/>
          <w:sz w:val="24"/>
          <w:highlight w:val="none"/>
        </w:rPr>
        <w:t xml:space="preserve">六、主要技术参数及要求(加“▲”的指标为次重要响应指标，其他为一般响应指标，加“▲”的指标需要在投标文件中提供系统功能截图，需提供视频演示的按要求提供，未按照招标文件要求提供的视为不满足，其中“数量”要求为不允许负偏离的实质性要求和条件，如有负偏离，在符合性审查时按照投标无效处理。)</w:t>
      </w:r>
      <w:r>
        <w:rPr>
          <w:rFonts w:ascii="宋体" w:hAnsi="宋体" w:cs="宋体"/>
          <w:b/>
          <w:bCs/>
          <w:sz w:val="24"/>
          <w:highlight w:val="none"/>
        </w:rPr>
      </w:r>
      <w:r/>
    </w:p>
    <w:p>
      <w:pPr>
        <w:pStyle w:val="968"/>
        <w:ind w:firstLine="482"/>
        <w:jc w:val="left"/>
        <w:spacing w:line="360" w:lineRule="auto"/>
        <w:rPr>
          <w:rFonts w:ascii="宋体" w:hAnsi="宋体" w:cs="宋体"/>
          <w:b/>
          <w:bCs/>
          <w:sz w:val="24"/>
          <w:highlight w:val="none"/>
        </w:rPr>
        <w:outlineLvl w:val="0"/>
      </w:pPr>
      <w:r>
        <w:rPr>
          <w:rFonts w:hint="eastAsia" w:ascii="宋体" w:hAnsi="宋体" w:cs="宋体"/>
          <w:b/>
          <w:bCs/>
          <w:color w:val="000000"/>
          <w:sz w:val="24"/>
          <w:highlight w:val="none"/>
        </w:rPr>
        <w:t xml:space="preserve">（一）重症监护管理系统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1、管理类功能</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1.1数据采集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自动采集：自动采集床旁监护仪的数据并持久化存储，自动记录重症监护期间所有体征趋势。从监护仪等设备采集病人心率、呼吸、血氧、脉搏、无创血压、有创血压、体温、中心静脉平均压等多种生命体征参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手动录入：对无法提供数据接口的设备可以采取手工录入。</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数据修正：允许人工修正由于外界干扰造成数据不准的生命体征数据，并且系统自动记录数据修正痕迹，用于事件追溯。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报警功能：支持报警功能，可以根据设定自动报警、发出提示信息，可对单个病人进行自定义设置。</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自定义采集频率：支持多种方式采集频率设置，即系统级采集频率和单病人采集频率。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多品牌支持：支持多种品牌的监护仪设备采集，自动获取到的监护体征数据按医疗规范要求的时间间隔自动在护理单上快捷录入生命体征；数据实时传送到服务器数据库内存储。</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其它：支持多种采集方式，包括但不限于对接第三方中央监护、内网集中采集、专网集中采集、床旁一对一及一对多等各种形式。</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1.2信息集成</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患者信息：同步病人的住院登记信息，本功能需要HIS的接口支持。</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医嘱信息：同步病人在院期间所有医嘱执行信息，本功能需要HIS的接口支持。</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字典信息：同步HIS重症相关字典信息，支持医院数据标准化建设。</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PACS集成：与医院现有PACS系统进行接口对接，查看患者检查结果等信息，本功能需要PACS的接口支持。</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LIS集成：与医院现有LIS系统完整集成，查看或获取患者检验结果信息，本功能需要LIS的接口支持。</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EMR集成：提供与医院现有EMR系统完整集成，浏览患者病历信息，本功能需要EMR的接口支持。</w:t>
      </w:r>
      <w:r>
        <w:rPr>
          <w:rFonts w:hint="eastAsia" w:ascii="宋体" w:hAnsi="宋体" w:cs="宋体"/>
          <w:sz w:val="24"/>
          <w:highlight w:val="none"/>
        </w:rPr>
      </w:r>
      <w:r/>
    </w:p>
    <w:p>
      <w:pPr>
        <w:pStyle w:val="969"/>
        <w:rPr>
          <w:highlight w:val="none"/>
          <w:lang w:eastAsia="zh-CN"/>
        </w:rPr>
      </w:pPr>
      <w:r>
        <w:rPr>
          <w:highlight w:val="none"/>
          <w:lang w:eastAsia="zh-CN"/>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第三方系统调阅重症护理单：支持以静态页形式供第三方系统查阅重症护理单。</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1.3文书批量录入</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护理单：支持同时录入多个病人的护理单的体温、心率、呼吸、血压、spo2、cvp等指标。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体温单：支持同时录入多个病人的体温单的体温、脉搏、心率、呼吸、疼痛值、大便次数、尿量、液体入量等指标。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血糖单：支持同时录入多个病人的血糖值。</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自动质控：基于医嘱信息，自动完成质控统计，无需人工干预。</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1.4工作站首页</w:t>
      </w:r>
      <w:r>
        <w:rPr>
          <w:rFonts w:ascii="宋体" w:hAnsi="宋体" w:cs="宋体"/>
          <w:b/>
          <w:bCs/>
          <w:sz w:val="24"/>
          <w:highlight w:val="none"/>
        </w:rPr>
      </w:r>
      <w:r/>
    </w:p>
    <w:p>
      <w:pPr>
        <w:pStyle w:val="968"/>
        <w:ind w:firstLine="480"/>
        <w:spacing w:line="360" w:lineRule="auto"/>
        <w:rPr>
          <w:highlight w:val="none"/>
        </w:rPr>
      </w:pPr>
      <w:r>
        <w:rPr>
          <w:rFonts w:hint="eastAsia" w:ascii="宋体" w:hAnsi="宋体" w:cs="宋体"/>
          <w:sz w:val="24"/>
          <w:highlight w:val="none"/>
        </w:rPr>
        <w:t xml:space="preserve">床位列表：展示病床使用情况，展示病床绑定病人的基本信息、监护仪及责任医生护士相关信息。</w:t>
      </w:r>
      <w:r>
        <w:rPr>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转入转归：对全科病人进行图形化展示，支持点击图形查看具体病人的相关信息。</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1.5质控统计</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需按照国家要求十五项质控指标，自动化提取医嘱数据进行统计，医嘱提取内容需支持自定义配置，质控数值应支持溯源，可查看每个统计数值对应的数据来源及明细，溯源数据需支持筛选；</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所有统计项目应支持以数值或图形化展示，方便医护人员查看；应支持自定义设置时间段筛选质控数据；</w:t>
      </w:r>
      <w:r>
        <w:rPr>
          <w:rFonts w:hint="eastAsia" w:ascii="宋体" w:hAnsi="宋体" w:cs="宋体"/>
          <w:sz w:val="24"/>
          <w:highlight w:val="none"/>
        </w:rPr>
      </w:r>
      <w:r/>
    </w:p>
    <w:p>
      <w:pPr>
        <w:pStyle w:val="969"/>
        <w:rPr>
          <w:highlight w:val="none"/>
          <w:lang w:eastAsia="zh-CN"/>
        </w:rPr>
      </w:pPr>
      <w:r>
        <w:rPr>
          <w:highlight w:val="none"/>
          <w:lang w:eastAsia="zh-CN"/>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支持导出。</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1.6其他</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网络监测：监测系统网络状态。</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锁屏：一键锁屏功能。</w:t>
      </w:r>
      <w:r>
        <w:rPr>
          <w:rFonts w:hint="eastAsia" w:ascii="宋体" w:hAnsi="宋体" w:cs="宋体"/>
          <w:sz w:val="24"/>
          <w:highlight w:val="none"/>
        </w:rPr>
      </w:r>
      <w:r/>
    </w:p>
    <w:p>
      <w:pPr>
        <w:pStyle w:val="969"/>
        <w:rPr>
          <w:highlight w:val="none"/>
          <w:lang w:eastAsia="zh-CN"/>
        </w:rPr>
      </w:pPr>
      <w:r>
        <w:rPr>
          <w:highlight w:val="none"/>
          <w:lang w:eastAsia="zh-CN"/>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全屏：收起左侧菜单和顶部浏览器工具栏，使操作面板最大化。</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计算器：快捷完成医疗公式计算，支持复制。</w:t>
      </w:r>
      <w:r>
        <w:rPr>
          <w:rFonts w:hint="eastAsia"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消息管理：交班信息录入、消息提醒、处理消息等。计算结果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密码管理：修改密码、重置密码。</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退出登陆：退出系统。</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2、病人管理</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2.1床旁护理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患者出入科：自动同步his数据，完成患者出入科。</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患者信息：患者信息查询、编辑，默认从his获取病人信息，同时支持手动录入病人。</w:t>
      </w:r>
      <w:r>
        <w:rPr>
          <w:rFonts w:hint="eastAsia"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体征数据采集：自动采集床旁监护仪数据，支持自定义患者采集频率。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体征数据抓取：支持选择时间一键抓取任何时间点的生命体征，辅助记录。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体征数据报警：支持自动分析生命体征并对异常指标进行报警，支持一键记录异常体征到护理记录。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检验检查：支持对接检验检查系统获取数据，展示患者检验检查报告。</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病历集成：支持对接EMR病历系统，集成患者病历，通过重症系统查看。</w:t>
      </w:r>
      <w:r>
        <w:rPr>
          <w:rFonts w:ascii="宋体" w:hAnsi="宋体" w:cs="宋体"/>
          <w:sz w:val="24"/>
          <w:highlight w:val="none"/>
        </w:rPr>
      </w:r>
      <w:r/>
    </w:p>
    <w:p>
      <w:pPr>
        <w:pStyle w:val="968"/>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患者日志：支持自动提取医嘱数据，生成患者日志，对护理过程中单次事件及持续性事件进行智能分析，生成日志数据，并针对危急值或关键事件进行消息提醒。患者日志统计需支持溯源功能，可查看每个统计数值对应的数据来源及明细；支持导出</w:t>
      </w:r>
      <w:r>
        <w:rPr>
          <w:rFonts w:hint="eastAsia" w:ascii="宋体" w:hAnsi="宋体" w:cs="宋体"/>
          <w:b/>
          <w:bCs/>
          <w:sz w:val="24"/>
          <w:highlight w:val="none"/>
        </w:rPr>
        <w:t xml:space="preserve">（提供功能截图）。</w:t>
      </w:r>
      <w:r>
        <w:rPr>
          <w:rFonts w:hint="eastAsia" w:ascii="宋体" w:hAnsi="宋体" w:cs="宋体"/>
          <w:b/>
          <w:bCs/>
          <w:sz w:val="24"/>
          <w:highlight w:val="none"/>
        </w:rPr>
      </w:r>
      <w:r/>
    </w:p>
    <w:p>
      <w:pPr>
        <w:pStyle w:val="969"/>
        <w:rPr>
          <w:highlight w:val="none"/>
          <w:lang w:eastAsia="zh-CN"/>
        </w:rPr>
      </w:pPr>
      <w:r>
        <w:rPr>
          <w:highlight w:val="none"/>
          <w:lang w:eastAsia="zh-CN"/>
        </w:rPr>
      </w:r>
      <w:r/>
    </w:p>
    <w:p>
      <w:pPr>
        <w:pStyle w:val="968"/>
        <w:rPr>
          <w:highlight w:val="none"/>
        </w:rPr>
      </w:pPr>
      <w:r>
        <w:rPr>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手术信息：支持记录病人的手术信息，可自动同步。</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关键事件：应支持自动提取患者数据，生成患者关键事件，以时间轴形式展示，包括患者出入科（分娩、死亡、手术、外出等重大事件）、医嘱执行、异常生命体征指标、异常检验指标等，以及对应的时间点；并支持点击时间轴事件，精准跳转至关键事件对应的系统页面</w:t>
      </w:r>
      <w:r>
        <w:rPr>
          <w:rFonts w:hint="eastAsia" w:ascii="宋体" w:hAnsi="宋体" w:cs="宋体"/>
          <w:b/>
          <w:bCs/>
          <w:color w:val="ff0000"/>
          <w:sz w:val="24"/>
          <w:highlight w:val="none"/>
        </w:rPr>
        <w:t xml:space="preserve">（提供视频演示）</w:t>
      </w:r>
      <w:r>
        <w:rPr>
          <w:rFonts w:hint="eastAsia" w:ascii="宋体" w:hAnsi="宋体" w:cs="宋体"/>
          <w:color w:val="ff0000"/>
          <w:sz w:val="24"/>
          <w:highlight w:val="none"/>
        </w:rPr>
        <w:t xml:space="preserve">。</w:t>
      </w:r>
      <w:r>
        <w:rPr>
          <w:rFonts w:ascii="宋体" w:hAnsi="宋体" w:cs="宋体"/>
          <w:sz w:val="24"/>
          <w:highlight w:val="none"/>
        </w:rPr>
      </w:r>
      <w:r/>
    </w:p>
    <w:p>
      <w:pPr>
        <w:pStyle w:val="968"/>
        <w:ind w:firstLine="480"/>
        <w:spacing w:line="360" w:lineRule="auto"/>
        <w:rPr>
          <w:highlight w:val="none"/>
        </w:rPr>
      </w:pPr>
      <w:r>
        <w:rPr>
          <w:rFonts w:hint="eastAsia" w:ascii="宋体" w:hAnsi="宋体" w:cs="宋体"/>
          <w:sz w:val="24"/>
          <w:highlight w:val="none"/>
        </w:rPr>
        <w:t xml:space="preserve">护理模板维护：提供专业的可维护的模板，方便护士记录病人的病情、护理措施。</w:t>
      </w:r>
      <w:r>
        <w:rPr>
          <w:highlight w:val="none"/>
        </w:rPr>
      </w:r>
      <w:r/>
    </w:p>
    <w:p>
      <w:pPr>
        <w:pStyle w:val="968"/>
        <w:ind w:firstLine="480"/>
        <w:spacing w:line="360" w:lineRule="auto"/>
        <w:rPr>
          <w:highlight w:val="none"/>
        </w:rPr>
      </w:pPr>
      <w:r>
        <w:rPr>
          <w:rFonts w:hint="eastAsia" w:ascii="宋体" w:hAnsi="宋体" w:cs="宋体"/>
          <w:sz w:val="24"/>
          <w:highlight w:val="none"/>
        </w:rPr>
        <w:t xml:space="preserve">医嘱管理：查询病人的已执行医嘱，复核药嘱信息并自动记录到护理记录单入量信息，支持单条复核和批量复核。</w:t>
      </w:r>
      <w:r>
        <w:rPr>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患者标签：支持对患者进行大标签。</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2.2床位管理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床位安排：支持拖拽式安排病人上床、下床、换床、分配监护仪、换监护仪、出科、再入科等操作。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预约列表：支持床位的预约和查询。</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2.3出科登记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支持患者的外出登记。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2.4护理评估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获得性肺炎评估单：对病人获得性肺炎风险进行评估，针对获得性肺炎风险高的病人有效预防肺炎的发生，并支持打印。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保护性约束知情同意书：针对特殊条件病人进行保护性约束，有效预防病人受伤的危险的发生，并支持打印。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入院宣教：对病人进行入科宣教，提高患者满意度，便于更好的开展优质护理工作。减轻病人焦虑消除陌生感，尽快熟悉和适应医院环境，以稳定的情绪配合治疗，并支持打印。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预防跌倒告知书：针对可能发生跌倒的病人进行预防跌倒告知，有效避免病人发生跌倒的危险，并支持打印。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患者转科交接单：转科病人病情内容描述，信息传递准确、详细，提高科室之间交接的效率，杜绝危重症病人院内转科交接时交代不清的现象，并支持打印。</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手术患者交接记录单：完善病房与手术室转交接患者的工作流程,确保手术患者,手术方式，手术部位的安全,预防手术患者交接过程中护理差错事故的发生，并支持打印。</w:t>
      </w:r>
      <w:r>
        <w:rPr>
          <w:rFonts w:hint="eastAsia"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护理工作告知程序：支持记录护理工作告知程序记录，并支持打印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自费材料、诊疗项目告知同意书：支持记录自费材料、诊疗项目告知同意书记录，并支持打印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出院指导记录单：支持记录出院指导记录单记录，并支持打印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患者病情介绍及家属沟通：支持记录患者病情介绍及家属沟通记录，并支持打印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患者出院评估：支持记录患者出院评估记录，并支持打印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2.5压疮监测</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压疮记录：支持记录病人压疮记录，包括发生时间、位置、大小、严重程度、护理措施等；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压疮评分：根据选择的压疮评分评分项目自动计算总分；支持选择对应的护理错误措施，对评分进行图形化界面的统计分析，并支持打印。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2.6护理计划</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医护人员结合临床反馈和实际应用情况制定护理计划和护理目标，针对护理措施执行效果进行评价。提供各类护理计划的知识库支撑，对护理计划定义、预期目标、预期目标定义、护理措施进行维护。支持护理计划执行状态跟踪，包含计划、进行中、已完成；支持对护理计划执行效果进行评价，包括未达标、部分达标、全部达标等</w:t>
      </w:r>
      <w:r>
        <w:rPr>
          <w:rFonts w:hint="eastAsia" w:ascii="宋体" w:hAnsi="宋体" w:cs="宋体"/>
          <w:b/>
          <w:bCs/>
          <w:color w:val="ff0000"/>
          <w:sz w:val="24"/>
          <w:highlight w:val="none"/>
        </w:rPr>
        <w:t xml:space="preserve">（提供视频演示）</w:t>
      </w:r>
      <w:r>
        <w:rPr>
          <w:rFonts w:hint="eastAsia" w:ascii="宋体" w:hAnsi="宋体" w:cs="宋体"/>
          <w:sz w:val="24"/>
          <w:highlight w:val="none"/>
        </w:rPr>
        <w:t xml:space="preserve">。</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2.7交接班</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支持提取生命体征信息并一键生成交接班报告，支持查询历史交班记录，支持sbar交班模式，并支持打印。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3、护士工作站</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3.1重症评分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包括评分管理、评分记录单、CPOT评分、RASS评分、apacheⅡ、morse、braden、adl、VTE、导管滑脱、面部表情疼痛评分、格拉斯哥评分、导管风险因素、导管风险脱落等多种专业评分。支持修改评分和评分打印。支持自动评分，自动抓取监测数值，系统根据数值及原有算法自动计算出分值，支持手动输入并自动计算分值，支持一键复制评分，对评分进行图形化界面的统计分析，支持评分同步至护理记录，并支持打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3.2护理文书</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整体护理：支持对生命体征、基础护理、呼吸机、出入量、口服鼻饲、签名、医嘱信息的维护。</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护理记录单：支持病人生命体征的管理，包括神志、瞳孔、呼吸音等基本情况，支持病人生命体征异常值报警显示；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对病人的出量及入量进行录入、修改及出入量自动统计；</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对病人进行引流管、静脉置管、动脉置管等管路自动维护；</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支持行复制，监护数据自动抓取，手动抓取，实时统计，入量余量交接，实时累加，医嘱自动同步，模板化录入；</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记录护理措施及其他的护理单，支持生命体征一键导入、护理措施模板等各种便捷录入方式。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血液净化记录单：记录血液净化信息及维护记录，并支持打印。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入科护理评估单：对病人进行入科护理评估，明确护理对象所需要解决的护理问题或需要，并支持打印。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围手术期护理记录单：手术期间记录患者生命体征、用药及其他的记录单，并支持打印。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ECMO护理记录单：记录病人ECMO使用情况及检测项目，并支持打印。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术后患者护理记录单：记录手术后患者生命体征、瞳孔和病情记录等信息的护理单，并支持打印。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CVC导管维护记录单：记录患者CVC导管维护记录信息，并支持打印。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PICC导管维护记录单：记录患者PICC导管维护记录信息，并支持打印。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ROPT导管维护记录单：记录患者ROPT导管维护记录信息，并支持打印。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中心静脉导管拔管评估表：对病人中心静脉导管进行拔管指征和评价结论等的信息记录，并支持打印。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呼吸机撤机指征评估表：对病人呼吸机撤机进行拔管指征和评价结论等的信息记录，并支持打印。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导尿管拔管评估表：对病人导尿管拔管进行拔管指征和评价结论等的信息记录，并支持打印。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血糖监测单：记录患者血糖信息，并支持打印。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体温单：记录患者体温、呼吸、血压、以及出入量等信息的护理单，支持记录关键事件，支持项目从护理单一键导入，并支持打印。支持对接电子病历系统，实现体温单数据全院共享，该功能需电子病历系统提供接口。</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心电监护观察记录单：记录病人心电监护观察，并支持打印。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下肢周径测量表：记录患者发生下肢静脉血栓信息的测量表，并支持打印。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输血记录单：记录病人输血信息，并支持打印。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气管切开护理记录单：记录病人气管切开、套管等的信息，并支持打印。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血浆置换治疗记录：记录病人血浆置换的治疗记录，并支持打印。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血液灌流治疗记录：记录病人血液灌流的治疗记录，并支持打印。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介入治疗患者交接记录单：支持记录介入治疗患者交接记录单记录，并支持打印。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内窥镜手术患者交接记录单：支持记录内窥镜手术患者交接记录单记录，并支持打印。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PICCO监测记录单：支持记录PICCO监测记录单记录，并支持打印。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PICC穿刺记录单：支持记录PICC穿刺记录单记录。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PORT维护：支持记录PORT维护记录，并支持打印。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CRRT维护：支持CRRT治疗记录，并支持打印。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PICC穿刺核查表：支持记录PICC穿刺核查表记录，并支持打印。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血液净化治疗医嘱单：记录血液净化治疗医嘱单记录，并支持打印。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血液导管拔管评估表：支持记录血液导管拔管评估表记录。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气管插管保留或拔管指征评估表：支持记录气管插管保留或拔管指征评估表记录。</w:t>
      </w:r>
      <w:r>
        <w:rPr>
          <w:rFonts w:ascii="宋体" w:hAnsi="宋体" w:cs="宋体"/>
          <w:sz w:val="24"/>
          <w:highlight w:val="none"/>
        </w:rPr>
      </w:r>
      <w:r/>
    </w:p>
    <w:p>
      <w:pPr>
        <w:pStyle w:val="968"/>
        <w:ind w:firstLine="480"/>
        <w:spacing w:line="360" w:lineRule="auto"/>
        <w:rPr>
          <w:highlight w:val="none"/>
        </w:rPr>
      </w:pPr>
      <w:r>
        <w:rPr>
          <w:rFonts w:hint="eastAsia" w:ascii="宋体" w:hAnsi="宋体" w:cs="宋体"/>
          <w:sz w:val="24"/>
          <w:highlight w:val="none"/>
        </w:rPr>
        <w:t xml:space="preserve">导尿管保留或撤管指征评估表：支持导尿管保留或撤管指征评估表记录。</w:t>
      </w:r>
      <w:r>
        <w:rPr>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3.3排班管理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支持对人员类别进行快速排班，可根据提前设置好的排班规则，进行方便快捷的整月排班，支持打印。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4、医生工作站</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4.1重症评分</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包括apacheⅡ、Glasgow昏迷评分、braden压疮、COOT、BI、MORSE、谵妄等多种专业评分。支持修改评分和评分打印。支持自动评分，自动抓取监测数值，系统根据数值及原有算法自动计算出分值，支持手动输入并自动计算分值，支持一键复制评分，对评分进行图形化界面的统计分析，支持评分同步至护理记录，并支持打印。</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4.2排班管理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支持对人员类别进行快速排班，可根据提前设置好的排班规则，进行方便快捷的整月排班，支持打印。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4.3患者日志视图</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VTE：系统应支持自动提取VTE医嘱数据，并生成结构化的患者日志，支持基于患者日志进行数据汇总展示患者VTE情况，并展示具体治疗方式等。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抗生素：系统应支持自动提取抗生素医嘱数据，并生成结构化的患者日志，支持基于患者日志进行数据汇总展示患者抗生素使用记录，并支持以时间轴、甘特图等清晰易懂的形式展示给医生。</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肠内营养：系统应支持自动提取肠内营养医嘱数据，并生成结构化的患者日志，支持基于患者日志进行数据汇总展示患者肠内营养使用明细，包括类型、热量等，方便医生查询浏览。</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5、管理工作站</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5.1科室交班</w:t>
      </w:r>
      <w:r>
        <w:rPr>
          <w:rFonts w:ascii="宋体" w:hAnsi="宋体" w:cs="宋体"/>
          <w:b/>
          <w:bCs/>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▲智能生成内容：系统从监护仪、检验、医嘱等各模块，自动汇总指定时段内患者的关键变化（如新入、转出、危急值、生命体征趋势、重点用药调整、未完成医嘱）。</w:t>
      </w:r>
      <w:r>
        <w:rPr>
          <w:rFonts w:hint="eastAsia" w:ascii="宋体" w:hAnsi="宋体" w:cs="宋体"/>
          <w:color w:val="ff0000"/>
          <w:sz w:val="24"/>
          <w:highlight w:val="none"/>
        </w:rPr>
      </w:r>
      <w:r/>
    </w:p>
    <w:p>
      <w:pPr>
        <w:pStyle w:val="968"/>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灵活模板与标记：科室可自定义交班报告的必填项和格式。支持在自动生成的内容上，进行手动高亮、勾选和补充文字，以突出重点。</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闭环交接与确认：严格流程：交班人提交 → 接班人确认，双方需电子签名，系统记录操作时间，确保责任可溯。状态清晰显示（待交班/已交班/已接收），防止遗漏。</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便捷查询与多方式：可随时快速查询历史任何班次的交班记录。除全科外，支持按医疗组、护理组或病区一键生成对应交班报告。</w:t>
      </w:r>
      <w:r>
        <w:rPr>
          <w:rFonts w:hint="eastAsia" w:ascii="宋体" w:hAnsi="宋体" w:cs="宋体"/>
          <w:color w:val="000000"/>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5.2质量控制</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5.2.1质控分析</w:t>
      </w:r>
      <w:r>
        <w:rPr>
          <w:rFonts w:ascii="宋体" w:hAnsi="宋体" w:cs="宋体"/>
          <w:b/>
          <w:bCs/>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指标库的灵活定义：</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▲核心指标内置：系统预置您提及的每日在院患者数、有创机械通气数、导管非计划拔管（UEX）率、呼吸机相关性肺炎（VAP）发病率、中心静脉导管相关血流感染（CLABSI）发病率等ICU核心质控指标的计算公式。</w:t>
      </w:r>
      <w:r>
        <w:rPr>
          <w:rFonts w:hint="eastAsia" w:ascii="宋体" w:hAnsi="宋体" w:cs="宋体"/>
          <w:color w:val="ff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自定义指标扩展：允许科室管理员自定义新的质控指标（如早期活动执行率、谵妄评估率等），并通过图形化界面设定其数据来源（关联特定的护理记录项、评估表或医嘱）。</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智能数据捕获与计算：</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自动采集：所有统计数据应自动从护理记录单、医嘱、事件上报等模块抓取原始数据，无需人工二次填报。</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实时计算：指标数据能够按日、按周、按月自动计算并更新，生成动态的仪表盘。</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直观的多维展示与钻取：</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可视化仪表盘：通过趋势折线图、柱状对比图、仪表盘、柏拉图等多种图形，清晰展示指标随时间的变化趋势、不同班次或病区的对比情况。</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键数据溯源：点击任一图表中的数据点（如某日的“非计划拔管数”），可一键穿透查看构成该数据的所有明细列表（如患者姓名、发生时间、导管类型、原因记录等原始记录），实现从结果到过程的全程追溯。</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异常值高亮：系统自动识别并高亮显示超出目标阈值的异常指标，便于快速定位问题。</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便捷的报告与导出：</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标准化报告模板：提供月度/季度质控报告的标准模板，可一键生成包含核心指标分析、趋势解读的报告草稿。</w:t>
      </w:r>
      <w:r>
        <w:rPr>
          <w:rFonts w:hint="eastAsia" w:ascii="宋体" w:hAnsi="宋体" w:cs="宋体"/>
          <w:color w:val="000000"/>
          <w:sz w:val="24"/>
          <w:highlight w:val="none"/>
        </w:rPr>
      </w:r>
      <w:r/>
    </w:p>
    <w:p>
      <w:pPr>
        <w:pStyle w:val="9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多格式导出：支持将图表和数据表格以 PDF（用于存档/打印）、Excel（用于深度分析） 等格式导出。</w:t>
      </w:r>
      <w:r>
        <w:rPr>
          <w:rFonts w:ascii="宋体" w:hAnsi="宋体" w:cs="宋体"/>
          <w:color w:val="000000"/>
          <w:sz w:val="24"/>
          <w:highlight w:val="none"/>
        </w:rPr>
      </w:r>
      <w:r/>
    </w:p>
    <w:p>
      <w:pPr>
        <w:pStyle w:val="968"/>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ICU患者收治率和ICU患者收治率床日率：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全院收治数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收治床日数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全员床日数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床日率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急性生理与慢性健康评分患者收治率（入ICU24小时内）：</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APACHEⅡ未评分例数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APACHEⅡ10分以下例数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APACHEⅡ10-15分例数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APACHEⅡ15-20分例数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APACHEⅡ20-25分例数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APACHEⅡ25分以上例数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APACHEⅡ评分≥15分患者收治率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感染性休克集束化治疗（bundle）完成率：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入ICU诊断为感染性休克例数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集束化治疗1h以内完成例数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集束化治疗3h以内完成例数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集束化治疗6h以内完成例数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感染性休克1h集束化治疗(bundle)完成率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感染性休克3h集束化治疗(bundle)完成率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感染性休克6h集束化治疗(bundle)完成率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ICU抗菌药物治疗前病原学送检率：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病原学送检例数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使用抗菌药物例数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抗菌药物治疗前病原学送检率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ICU深静脉血栓(DVT)预防率：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深静脉血栓预防例数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深静脉血栓(DVT)预防率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ICU患者病死率：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预计病死率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死亡患者数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ICU患者预计病死率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ICU患者实际病死率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ICU患者标化病死指数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ICU非计划气管插管拔管率：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气管插管非计划拔管例数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气管插管拔管例数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非计划气管插管拔管率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ICU气管插管拔管后48h内再插管率：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气管插管拔管48h再插管例数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气管插管拔管例数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气管插管拔管后48h内再插管率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非计划转入ICU率：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非计划转入ICU患者数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非计划转入ICU率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转出ICU后48h内重返率：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48小时重回科室患者数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转出人数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转出ICU后48h内重返率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ICU呼吸机相关性肺炎（VAP）发病率：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VAP发生例数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有创机械通气天数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ICU呼吸机相关性肺炎（VAP）发病率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ICU血管内导管相关血流感染（CRBSI）发病率：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血管内导管相关血流感染例数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血管内导管留置天数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ICU血管内导管相关血流感染（CRBSI）发病率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ICU导尿管相关泌尿系感染（CAUTI）发病率：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导尿管相关泌尿系感染例数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导尿管留置天数</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ICU导尿管相关泌尿系感染（CAUTI）发病率</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5.2.2质控病人列表</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支持查询质控病人的质控数据并支持导出。</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5.2.3护理质控</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支持按天、按月两个维度对科室进行质控指标统计，通过图形化界面和表格两种方式清晰明了的展示相关数据，支持数据导出。支持数据溯源，一键展示数据明细。统计项目如下：</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在科：当日在科或当日出科患者数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收治：当日入科患者数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日班护理患者数：统计日日班护理单有数据的患者总数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日班责任护士数：统计日日班录入护理单签名的责任护士数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晚班护理患者数：统计日晚班护理单有数据的患者总数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晚班责任护士数：统计日晚班录入护理单签名的责任护士数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夜班护理患者数：统计日夜班护理单有数据的患者总数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夜班责任护士数：统计日夜班录入护理单签名的责任护士数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住院患者身体约束日数：统计日当天患者日志存在‘约束’事件的患者总例数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气管导管留置总日数：统计日当天患者日志存在‘气管插管’事件的患者总例数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气管插管非计划拔管例次数：统计日当天患者日志存在‘气管插管’非计划结束事件的患者总例数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气管插管非计划拔管后24h再插管例次数：统计日当天患者日志存在‘气管插管’事件，且该事件前24h内存在气管插管非计划结束事件的患者总例数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CVC留置总日数：统计日当天患者日志存在‘CVC’事件的患者总例数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CVC非计划拔管总例次：统计日当天患者日志存在‘CVC’非计划结束事件的患者总例数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PICC留置总日数：统计日当天患者日志存在‘PICC’事件的患者总例数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PICC非计划拔管总例次：统计日当天患者日志存在‘PICC’非计划结束事件的患者总例数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导尿管留置总日数：统计日当天患者日志存在‘尿管’事件的患者总例数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导尿管非计划拔管总例次：统计日当天患者日志存在‘尿管’非计划结束事件的患者总例数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胃肠管（经口鼻）留置总日数：统计日当天患者日志存在‘普通胃管’事件的患者总例数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胃肠管（经口鼻）非计划拔管总例次：统计日当天患者日志存在‘普通胃管’非计划结束事件的患者总例数</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有创机械通气总日数：统计日当天患者日志存在‘有创机械通气’事件的患者总例数</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5.3医嘱控制</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支持对患者用药明细的查询质控，包括药名，计划执行时间、执行时间；支持自定义检验项，查询检验项目的列表数据及图形数据。</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5.4统计分析</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病人统计：统计历史收治病人次数并列表展示，支持通过住院号等信息一键检索历史治疗档案查询。</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出入科统计：支持按天、按月两个维度统计，统计出入科人数和科室分布，支持趋势图、饼图、表格等多种方式展示。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药品统计：统计一段时间内药品使用次数和量的top20榜单，和药品全量列表。</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床位使用统计：支持按天、按月两个维度统计，统计总床位使用小时数和各床位使用小时数，支持趋势图、饼图、表格等多种方式展示。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智能检索：系统应支持按照自定义条件多维度钻取病人数据，深度挖掘追踪病人信息。支持自动提取医嘱，并关联自定义配置的检验指标项目，查看患者用药以及对应关联项目的检验结果数据的图形化统计；支持以时间段进行筛选</w:t>
      </w:r>
      <w:r>
        <w:rPr>
          <w:rFonts w:hint="eastAsia" w:ascii="宋体" w:hAnsi="宋体" w:cs="宋体"/>
          <w:b/>
          <w:bCs/>
          <w:color w:val="ff0000"/>
          <w:sz w:val="24"/>
          <w:highlight w:val="none"/>
        </w:rPr>
        <w:t xml:space="preserve">（提供视频演示）</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出入量统计：支持按小时、按天两个维度统计出入科数据。以图形和表格的方式展示。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感染性休克：支持按天查询感染性修改数据，以图形和表格的方式展示。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非计划拔管：支持按下天查询非计划拔管数据。</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工作量统计：支持按天、按月两个维度统计工作量。以图形和表格的方式展示</w:t>
      </w:r>
      <w:r>
        <w:rPr>
          <w:rFonts w:hint="eastAsia" w:ascii="宋体" w:hAnsi="宋体" w:cs="宋体"/>
          <w:sz w:val="24"/>
          <w:highlight w:val="none"/>
        </w:rPr>
      </w:r>
      <w:r/>
    </w:p>
    <w:p>
      <w:pPr>
        <w:pStyle w:val="96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5.5管道维护</w:t>
      </w:r>
      <w:r>
        <w:rPr>
          <w:rFonts w:hint="eastAsia" w:ascii="宋体" w:hAnsi="宋体" w:cs="宋体"/>
          <w:b/>
          <w:bCs/>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管道全景可视化视图：</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图形化界面：以人体示意图或床位示意图为背景，直观展示患者身上所有置入管道（如气管插管、中心静脉导管、动脉导管、胸腔引流管、胃管、尿管等）的实时位置、类型、置入/更换日期、深度/长度。</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状态标识：通过颜色、图标或动画清晰区分管道状态（如正常使用、计划拔除、已拔除、需维护、疑似异常）。</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全生命周期闭环管理：</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电子化记录：支持在床旁通过图形界面，快速完成置管、冲封管、更换敷料、调整位置、拔管等操作的电子记录，自动记录操作者、时间及观察结果（如敷料情况、引流液性状）。</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智能提醒：系统自动计算并提醒 “下次维护时间”（如敷料更换、导管更换时间窗） 及 “预计拔管评估时间”，避免遗漏。</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拔管评估与计划：内置拔管评估清单（如自主呼吸试验评估、膀胱训练评估），引导医护人员规范评估并记录拔管依据。</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异常监控与预警：</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非计划事件上报：发生非计划拔管、导管堵塞、疑似感染或移位时，支持一键快速上报不良事件，并关联患者当前状态。</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风险预警：结合患者躁动评分（如RASS）或高危因素，系统对非计划拔管高风险患者进行预警提示。</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数据追溯与统计：</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单管追溯：点击视图上任一管道，可查看其完整的生命周期日志（从置管到拔除的所有操作记录）。</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质控统计：数据自动汇总至质控模块，用于统计 “导管留置总日数”、“非计划拔管率”、“导管相关感染率” 等核心指标。</w:t>
      </w:r>
      <w:r>
        <w:rPr>
          <w:rFonts w:hint="eastAsia" w:ascii="宋体" w:hAnsi="宋体" w:cs="宋体"/>
          <w:color w:val="000000"/>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6、系统设置</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6.1模板管理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护理措施：支持设置多套模板以便在文书单据中快速录入相关内容，支持模板分类管理及根据分类快速检索模板。</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ICU日志：支持按照科室质控及日常护理需求，设置患者日志模板。</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6.2系统设置</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用户管理：对从his同步过来的用户信息进行增删改查、启用禁用等操作，支持手动添加用户。</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角色管理：设置多种角色与用户一一匹配，以区分不同用户的权限列表。</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排班设置：支持设置参与排班的人员类别、院区、人员、排班类型、排班规则。</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操作日志：自动记录系统医护人员的行为数据，支持全流程行为追溯。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报警设置：设置系统级生命体征报警。</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任务管理：支持在线管理系统运行的定时任务，包括新增、删除、暂停、恢复、立即执行、修改、查询执行日志。</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医嘱设置：支持医嘱关键词维护，系统自动识别医嘱信息，自动生成患者日志，自动进行质控统计。</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通用设置：支持设置系统级监护仪采集频率、修改数据有效期及护理床位等信息。</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6.3字典管理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全院字典：支持科室、病区、床位、监护仪等字典的设置。</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评分字典：包括braden、morse、glasgow、肌力评分等几十种重症通用评分设置。</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重症系统字典：包括血型、神志、护理等级、瞳孔反射、入量类型、出量类型、导管类型、入住ICU主要疾病诊断分类系数等设置。</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诊断分类系数字典：支持设置ICU主要疾病诊断分类系数。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计算器字典：支持自动配置医疗常用计算公式。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标签库字典：配置病人、床位等数据标签。</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通用字典：支持系统基本字典项的设置。</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7、信息提醒</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危急值报警：支持出现危急值自动报警及人工处理。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事件提醒：支持关键事件自动提醒及人工处理。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支持医嘱执行提醒、导管事件预警提醒、评分提醒（进行评分时，根据总分对比评分知识库，自动生成下次评分提醒）等。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代办事项：支持代办事项自动提醒及人工处理。</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8、实时体征</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单患者生命体征：支持查看单个患者的实时体征监护仪波形数据，实时查看患者的生命体征数值，并针对患者异常生命体征进行危急值报警；支持自定义配置生命体征正常值范围。</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全科患者生命体征：支持查看全科患者的实时体征监护仪波形数据，实时查看患者的生命体征数值，并针对患者异常生命体征进行危急值报警；支持自定义配置生命体征正常值范围</w:t>
      </w:r>
      <w:r>
        <w:rPr>
          <w:rFonts w:hint="eastAsia" w:ascii="宋体" w:hAnsi="宋体" w:cs="宋体"/>
          <w:sz w:val="24"/>
          <w:highlight w:val="none"/>
        </w:rPr>
      </w:r>
      <w:r/>
    </w:p>
    <w:p>
      <w:pPr>
        <w:pStyle w:val="968"/>
        <w:numPr>
          <w:ilvl w:val="0"/>
          <w:numId w:val="3"/>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智能化操作录入（所见即所得，完全定制化护理单据）</w:t>
      </w:r>
      <w:r>
        <w:rPr>
          <w:rFonts w:hint="eastAsia" w:ascii="宋体" w:hAnsi="宋体" w:cs="宋体"/>
          <w:b/>
          <w:bCs/>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智能录入与联想：</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所见即所得填写：设计界面即填写界面，护理人员在预设的表单上直接点选或输入，操作直观。</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数据智能联想与带入：基于患者当前状态和历史数据，自动带入常用值或合理默认值（如带入最近一次体温、默认录入时间为当前时间）。</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流程引导：对于复杂操作（如中心静脉导管维护），系统可按照标准操作流程（SOP）分步引导填写，确保记录完整规范。</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高度定制与复用：</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单据模板库：建立科室级模板库，可根据不同病种（如颅脑损伤、心脏术后）或护理重点（如呼吸机管理、CRRT监护）快速调用不同的记录模板。</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个人常用项：允许护理人员自定义个人常用的短语、选项或模板片段，实现一键录入。</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数据联动与结构化存储：</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在表单中录入的数据，能自动结构化存储，并实时同步至患者全景视图、交班报告及质控分析模块，作为原始数据源。</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例如，在定制化的“呼吸机监护单”中记录的参数，可自动绘制成趋势图，并用于质控指标计算。</w:t>
      </w:r>
      <w:r>
        <w:rPr>
          <w:rFonts w:hint="eastAsia" w:ascii="宋体" w:hAnsi="宋体" w:cs="宋体"/>
          <w:color w:val="000000"/>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10、其他</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10.1快捷方式</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快捷菜单：支持根据用户角色展示对应的快捷菜单，帮助医护人员快速跳转操作页面。</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时间轴：支持自动提取患者数据，生成患者关键时间，以时间轴形式展示，包括患者出入科（分娩、死亡、手术、外出等重大事件）、医嘱执行、异常生命体征指标、异常检验指标等，以及对应的时间点。并支持点击时间轴事件，精准跳转至关键事件对应的系统页面。</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床位列表：支持显示在科患者床头卡，快速查看患者基本信息及患者标签。</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10.2公告</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支持自定义维护公告内容，发布公告循环提醒推送。</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ascii="宋体" w:hAnsi="宋体" w:cs="宋体"/>
          <w:b/>
          <w:bCs/>
          <w:sz w:val="24"/>
          <w:highlight w:val="none"/>
        </w:rPr>
      </w:r>
      <w:r/>
    </w:p>
    <w:p>
      <w:pPr>
        <w:pStyle w:val="968"/>
        <w:ind w:firstLine="482"/>
        <w:jc w:val="left"/>
        <w:spacing w:line="360" w:lineRule="auto"/>
        <w:rPr>
          <w:rFonts w:ascii="宋体" w:hAnsi="宋体" w:cs="宋体"/>
          <w:b/>
          <w:bCs/>
          <w:sz w:val="24"/>
          <w:highlight w:val="none"/>
        </w:rPr>
        <w:outlineLvl w:val="0"/>
      </w:pPr>
      <w:r>
        <w:rPr>
          <w:rFonts w:hint="eastAsia" w:ascii="宋体" w:hAnsi="宋体" w:cs="宋体"/>
          <w:b/>
          <w:bCs/>
          <w:sz w:val="24"/>
          <w:highlight w:val="none"/>
        </w:rPr>
        <w:t xml:space="preserve">（二）手麻系统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1、麻醉临床信息记录</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1.1设备数据采集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全时段自动采集麻醉相关设备数据，包括监护仪，麻醉机等，记入相应麻醉记录中。</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1.2麻醉相关文书及记录</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按现行记录单定制，自动调取患者基本信息，提供打印、预览、存档、修改功能。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通过接口获取门诊及住院患者基本信息、手术相关信息、既往史及既往麻醉记录，生成麻醉相关文书及记录。可根据医院要求自定义模板。</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术中患者麻醉监护数据等异常情况预警，支持抢救时密集体征记录、监控，短时间内操作记录等。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具有麻醉医疗文书质控体系，提供文书完成情况主动提醒功能。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麻醉文书、处方、记录单管理，同步护理，满足医院术前、术中、术后工作流程，生成对应麻醉文书，麻醉开始时间、结束时间、麻醉事件经过，给药时间、给药方式等，符合逻辑关系，全院共享。</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支持局麻、急诊抢救等非常规记录，未知患者相关信息补录，补登记。</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具有紧急抢救手术开通绿色通道功能，同步至麻醉、护士工作站。</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1.3术后分析总结</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麻醉总结，麻醉相关评分，麻醉取消原因统计，支持术前术中文书调用。</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患者转出管理，协助麻醉医师，提醒麻醉恢复室床位空闲情况，术中转间、PACU转术间管理、记录延续功能。</w:t>
      </w:r>
      <w:r>
        <w:rPr>
          <w:rFonts w:hint="eastAsia" w:ascii="宋体" w:hAnsi="宋体" w:cs="宋体"/>
          <w:sz w:val="24"/>
          <w:highlight w:val="none"/>
        </w:rPr>
      </w:r>
      <w:r/>
    </w:p>
    <w:p>
      <w:pPr>
        <w:pStyle w:val="969"/>
        <w:rPr>
          <w:highlight w:val="none"/>
          <w:lang w:eastAsia="zh-CN"/>
        </w:rPr>
      </w:pPr>
      <w:r>
        <w:rPr>
          <w:highlight w:val="none"/>
          <w:lang w:eastAsia="zh-CN"/>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1.4麻醉恢复及麻醉监护室记录</w:t>
      </w:r>
      <w:r>
        <w:rPr>
          <w:rFonts w:ascii="宋体" w:hAnsi="宋体" w:cs="宋体"/>
          <w:b/>
          <w:bCs/>
          <w:sz w:val="24"/>
          <w:highlight w:val="none"/>
        </w:rPr>
      </w:r>
      <w:r/>
    </w:p>
    <w:p>
      <w:pPr>
        <w:pStyle w:val="9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按现行记录单定制，自动调取患者基本信息，提供打印、预览、存档、修改功能。</w:t>
      </w:r>
      <w:r>
        <w:rPr>
          <w:rFonts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智能记录与评分</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模板化记录单：系统完全按照医院现行PACU/AICU记录单格式定制，提供打印、预览、存档功能。</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自动信息带入：记录单自动调取患者基本信息、手术信息、麻醉方式、术中关键事件及用药。</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结构化评分：内置并引导执行Aldrete评分或改良Aldrete评分，系统可根据录入的生命体征、意识、活动度等参数自动计算总分，并判断是否符合转出标准。支持自定义其他评分量表。</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全流程闭环交接管理：</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入室快速交接：PACU护士可通过扫描患者腕带或手术号，快速调出患者信息，并与麻醉医生进行电子化床旁交接，系统记录交接内容、时间及双方签名。</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标准化转出流程：</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转回病房：当评分达标后，系统生成电子转科交接单，包含恢复室观察摘要、注意事项等，经PACU医生/护士电子签名后，通知病房护士电子签收，完成闭环。</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转入麻醉监护室（AICU）：支持一键生成 “手术室/PACU → AICU”交接单，并附带完整的术中及复苏记录。</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转回手术室（如病情需要）：记录原因及评估，生成返回手术室的快速通道记录，并与手术室系统联动。</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实时状态看板：提供PACU/AICU全景视图，清晰展示每个患者的当前状态（如“复苏中”、“待转出”、“转出中”），以及预计可转出时间，便于床位统筹管理。</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安全与质控</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修改留痕：所有记录的修改均需授权，并保存修改日志（何人、何时、为何修改）。</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质控数据自动生成：系统自动统计 “平均复苏时间”、“符合评分标准转出率”、“并发症发生率” 等关键质控指标，为科室管理提供数据支持。</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1.5处方</w:t>
      </w:r>
      <w:r>
        <w:rPr>
          <w:rFonts w:hint="eastAsia" w:ascii="宋体" w:hAnsi="宋体" w:cs="宋体"/>
          <w:b/>
          <w:bCs/>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处方模板与智能生成：</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模板化处方：系统提供常用静脉药物、肠内营养、抗生素等标准处方模板，可一键调用，并根据患者体重、体表面积等自动计算推荐剂量。</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自动信息带入：开具处方时，自动调取并显示患者基本信息（姓名、年龄、病案号、床位号）、当前体重、身高、过敏史及关键的实验室结果（如肝肾功能）。</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所见即所得设计：处方格式完全参照医院现行纸质记录单样式，支持打印、预览，确保与现有流程无缝对接。</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输液与余液的全流程管理：</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精准余液显示与计算：</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系统需实时显示每一袋/瓶输液（包括静脉药物、营养液等）的 “理论余液量” 与 “实际记录量” 。</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护士执行输注或结束输注时，通过移动终端或床旁设备扫描输液袋条码，并记录实际输注量和结束时间，系统据此自动、精准地计算和更新余液量。</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闭环追溯：提供完整的 “处方 → 摆药 → 配制 → 执行 → 结束” 全流程电子记录，可追溯每个环节的操作人员与时间。</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安全与核对机制：</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配伍禁忌与剂量警示：系统在下达处方时，自动进行药物配伍禁忌检查，并对超出常规剂量范围的药物进行醒目提示，需医生确认或填写原因。</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双人核对记录：对于高危药物，系统支持在关键环节（如配制前、输注前）记录双人核对信息（电子签名），确保安全。</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存档与修改：</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完整存档：所有处方及执行记录作为电子病历的一部分永久存档，不可篡改，符合法规要求。</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有痕修改：处方如需修改或停止，必须由授权医生操作，系统保留原始记录并生成修改日志（记录修改人、时间、原因及新内容）。</w:t>
      </w:r>
      <w:r>
        <w:rPr>
          <w:rFonts w:hint="eastAsia" w:ascii="宋体" w:hAnsi="宋体" w:cs="宋体"/>
          <w:color w:val="000000"/>
          <w:sz w:val="24"/>
          <w:highlight w:val="none"/>
        </w:rPr>
      </w:r>
      <w:r/>
    </w:p>
    <w:p>
      <w:pPr>
        <w:pStyle w:val="968"/>
        <w:spacing w:line="360" w:lineRule="auto"/>
        <w:rPr>
          <w:rFonts w:ascii="宋体" w:hAnsi="宋体" w:cs="宋体"/>
          <w:b/>
          <w:bCs/>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2、护理临床信息记录</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2.1患者交接记录</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按现行记录单定制，自动调取患者基本信息，提供打印、预览、存档、修改功能。</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提供患者术前、后病房交接记录，可与移动护理系统集成。</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2.2手术清点记录</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按现行记录单定制，自动调取患者基本信息，提供打印、预览、存档、修改功能。</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手术器械及敷料、高值、低值耗材及植入性耗材可动态化追溯。</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2.3手术护理记录</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按现行记录单定制，自动调取患者基本信息，提供打印、预览、存档、修改功能。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可调用LIS、HIS系统及其它EMR数据集成。</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为紧急抢救手术开放绿色通道，同步麻醉。</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支持术中护理人员交班功能，记录交班时间、事项。</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3、手术综合信息管理</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3.1麻醉及护理动态排班信息管理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通过HIS手术申请接口实现手术医嘱接收，支持批量接收一定时间段内手术医嘱信息，获取患者信息、主刀医生、对应手术名称，手术类型包括隔离、感染、急诊等根据不同科室手术性质，智能化个性化安排护理人员和对应术间。术间变更，手术取消申请等流程，支持统计。</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对麻醉医生进行排班、取消、特殊事项标记等功能。实现麻醉、护理排班同步。</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3.2手术室信息大屏管理</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手术进程监控管理，了解术间使用情况、患者手术进程查询、监控、预警、通讯。支持医护大屏在医护麻办公室、员工通道显示术间状态、手术实时进程及紧急通知。</w:t>
      </w:r>
      <w:r>
        <w:rPr>
          <w:rFonts w:hint="eastAsia" w:ascii="宋体" w:hAnsi="宋体" w:cs="宋体"/>
          <w:sz w:val="24"/>
          <w:highlight w:val="none"/>
        </w:rPr>
      </w:r>
      <w:r/>
    </w:p>
    <w:p>
      <w:pPr>
        <w:pStyle w:val="969"/>
        <w:rPr>
          <w:rFonts w:hint="eastAsia" w:ascii="宋体" w:hAnsi="宋体" w:cs="宋体"/>
          <w:sz w:val="24"/>
          <w:highlight w:val="none"/>
          <w:lang w:eastAsia="zh-CN"/>
        </w:rPr>
      </w:pPr>
      <w:r>
        <w:rPr>
          <w:rFonts w:hint="eastAsia" w:ascii="宋体" w:hAnsi="宋体" w:cs="宋体"/>
          <w:sz w:val="24"/>
          <w:highlight w:val="none"/>
          <w:lang w:eastAsia="zh-CN"/>
        </w:rPr>
      </w:r>
      <w:r/>
    </w:p>
    <w:p>
      <w:pPr>
        <w:pStyle w:val="968"/>
        <w:rPr>
          <w:highlight w:val="none"/>
        </w:rPr>
      </w:pPr>
      <w:r>
        <w:rPr>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3.3手术三方核查</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护理、麻醉相关文书安全核查，三方核查；术者、护士、麻醉医师在患者麻醉前、准备切皮、结束缝合多个时间点进行三方核查。</w:t>
      </w:r>
      <w:r>
        <w:rPr>
          <w:rFonts w:hint="eastAsia" w:ascii="宋体" w:hAnsi="宋体" w:cs="宋体"/>
          <w:sz w:val="24"/>
          <w:highlight w:val="none"/>
        </w:rPr>
      </w:r>
      <w:r/>
    </w:p>
    <w:p>
      <w:pPr>
        <w:pStyle w:val="969"/>
        <w:rPr>
          <w:highlight w:val="none"/>
          <w:lang w:eastAsia="zh-CN"/>
        </w:rPr>
      </w:pPr>
      <w:r>
        <w:rPr>
          <w:highlight w:val="none"/>
          <w:lang w:eastAsia="zh-CN"/>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3.4科室管理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查询手术信息，包括手术情况，麻醉情况，用药情况等各类信息。手术信息数据自动统计及术中时间点管理。手术开台时间统计、首台手术准点开台率、科室手术量等。麻醉信息数据自动统计：科室麻醉方法统计、麻醉方法时长及数量、麻醉手术开始准时率统计等。可以按不同参数进行统计、检索，生成各种数据表单。护理、麻醉绩效管理，记录全科工作量。</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麻醉与护理考勤、绩效管理，明细、麻醉信息，首台、多次、麻醉医生及护士工作量，麻醉药品、麻醉方式、ASA分级，麻醉医生管理等，支持临床模块，根据不同的权限调用相关麻醉及护理信息列表。</w:t>
      </w:r>
      <w:r>
        <w:rPr>
          <w:rFonts w:hint="eastAsia" w:ascii="宋体" w:hAnsi="宋体" w:cs="宋体"/>
          <w:sz w:val="24"/>
          <w:highlight w:val="none"/>
        </w:rPr>
      </w:r>
      <w:r/>
    </w:p>
    <w:p>
      <w:pPr>
        <w:pStyle w:val="968"/>
        <w:rPr>
          <w:highlight w:val="none"/>
        </w:rPr>
      </w:pPr>
      <w:r>
        <w:rPr>
          <w:highlight w:val="none"/>
        </w:rPr>
      </w:r>
      <w:r/>
    </w:p>
    <w:p>
      <w:pPr>
        <w:pStyle w:val="968"/>
        <w:ind w:firstLine="482"/>
        <w:spacing w:line="360" w:lineRule="auto"/>
        <w:rPr>
          <w:rFonts w:hint="eastAsia" w:ascii="宋体" w:hAnsi="宋体" w:cs="宋体"/>
          <w:b/>
          <w:bCs/>
          <w:color w:val="000000"/>
          <w:sz w:val="24"/>
          <w:highlight w:val="none"/>
        </w:rPr>
      </w:pPr>
      <w:r>
        <w:rPr>
          <w:rFonts w:hint="eastAsia" w:ascii="宋体" w:hAnsi="宋体" w:cs="宋体"/>
          <w:b/>
          <w:bCs/>
          <w:sz w:val="24"/>
          <w:highlight w:val="none"/>
        </w:rPr>
        <w:t xml:space="preserve">3</w:t>
      </w:r>
      <w:r>
        <w:rPr>
          <w:rFonts w:hint="eastAsia" w:ascii="宋体" w:hAnsi="宋体" w:cs="宋体"/>
          <w:b/>
          <w:bCs/>
          <w:color w:val="000000"/>
          <w:sz w:val="24"/>
          <w:highlight w:val="none"/>
        </w:rPr>
        <w:t xml:space="preserve">.5血气使用统计</w:t>
      </w:r>
      <w:r>
        <w:rPr>
          <w:rFonts w:hint="eastAsia" w:ascii="宋体" w:hAnsi="宋体" w:cs="宋体"/>
          <w:b/>
          <w:bCs/>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多维统计与分析：</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▲核心指标统计：系统应能自动统计选定时间段内的血气总使用次数、人均使用次数、手术类型与血气使用频次的关联分析。</w:t>
      </w:r>
      <w:r>
        <w:rPr>
          <w:rFonts w:hint="eastAsia" w:ascii="宋体" w:hAnsi="宋体" w:cs="宋体"/>
          <w:color w:val="ff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参数趋势分析：支持对关键血气参数（如pH、PaO₂、PaCO₂、Lac等）进行统计分布分析（如最大值、最小值、平均值、异常值比例），并可图形化展示其变化趋势。</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危急值专项分析：单独统计并高亮显示血气报告中出现的危急值，可按危急值类型、手术科室、麻醉医生等进行归类分析，用于质量改进。</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灵活的筛选与查询：</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多维度筛选：除按手术时间范围筛选外，还应支持按手术类型、麻醉方式、手术医生、麻醉医生、患者ASA分级、术前诊断等多维度进行组合筛选和交叉查询。</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时间粒度选择：支持按日、周、月、季度、年或自定义任意时间段进行数据汇总和对比分析。</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智能化报告与追溯：</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一键生成报告：可一键生成《围术期血气分析使用报告》，内容包括：使用概况、参数分析、危急值汇总、建议改进点等，支持以PDF或Excel格式导出。</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完整数据追溯：在查询结果列表中，点击任一患者的某次血气记录，应能一键穿透至该患者的完整手术麻醉记录单及该次血气的原始报告单，实现从统计结果到原始病历的全程追溯。</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可视化展示：</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通过折线图、柱状图、散点图、数据透视表等多种形式，直观展示血气使用的频率趋势、参数分布、危急值发生情况等，便于快速洞察问题。</w:t>
      </w:r>
      <w:r>
        <w:rPr>
          <w:rFonts w:hint="eastAsia" w:ascii="宋体" w:hAnsi="宋体" w:cs="宋体"/>
          <w:color w:val="000000"/>
          <w:sz w:val="24"/>
          <w:highlight w:val="none"/>
        </w:rPr>
      </w:r>
      <w:r/>
    </w:p>
    <w:p>
      <w:pPr>
        <w:pStyle w:val="96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3.6手术间利用率统计</w:t>
      </w:r>
      <w:r>
        <w:rPr>
          <w:rFonts w:hint="eastAsia" w:ascii="宋体" w:hAnsi="宋体" w:cs="宋体"/>
          <w:b/>
          <w:bCs/>
          <w:color w:val="000000"/>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sz w:val="24"/>
          <w:highlight w:val="none"/>
        </w:rPr>
        <w:t xml:space="preserve">▲</w:t>
      </w:r>
      <w:r>
        <w:rPr>
          <w:rFonts w:hint="eastAsia" w:ascii="宋体" w:hAnsi="宋体" w:cs="宋体"/>
          <w:color w:val="ff0000"/>
          <w:sz w:val="24"/>
          <w:highlight w:val="none"/>
        </w:rPr>
        <w:t xml:space="preserve">多维度利用率定义与计算：</w:t>
      </w:r>
      <w:r>
        <w:rPr>
          <w:rFonts w:hint="eastAsia" w:ascii="宋体" w:hAnsi="宋体" w:cs="宋体"/>
          <w:color w:val="ff0000"/>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核心利用率：支持按 “占用时间 / 计划开放时间” 自动计算各手术间的日、月、年利用率。</w:t>
      </w:r>
      <w:r>
        <w:rPr>
          <w:rFonts w:hint="eastAsia" w:ascii="宋体" w:hAnsi="宋体" w:cs="宋体"/>
          <w:color w:val="ff0000"/>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有效利用率：可进一步分析 “手术时间 / 占用时间” （剔除非手术等待、消毒等时间），衡量实际产效。</w:t>
      </w:r>
      <w:r>
        <w:rPr>
          <w:rFonts w:hint="eastAsia" w:ascii="宋体" w:hAnsi="宋体" w:cs="宋体"/>
          <w:color w:val="ff0000"/>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时间段分析：支持按 “上午/下午/晚间” 或自定义时段（如08:00-12:00）分别统计利用率，识别忙闲规律。</w:t>
      </w:r>
      <w:r>
        <w:rPr>
          <w:rFonts w:hint="eastAsia" w:ascii="宋体" w:hAnsi="宋体" w:cs="宋体"/>
          <w:color w:val="ff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深度分析与对比：</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术间对比：以柱状图或排名列表形式，直观对比不同手术间在同一时期的利用率，识别高效与低效单元。</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趋势分析：以折线图展示单个或多个手术间利用率随时间（日/周/月）的变化趋势。</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原因关联：支持下钻查看利用率过低或过高的具体日期，关联查询当日的手术排程列表、首台延迟原因、接台间隔时长、手术取消记录等明细，辅助分析根源。</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可视化与报告：</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热力图展示：提供以“日期为行、手术间为列”的周/月热力图，颜色深浅直观显示每日利用率高低，全局概览一目了然。</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多维度看板：仪表盘集成关键指标，如 “平均利用率”、“利用率标准差”、“峰值利用率” 等。</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一键导出：所有图表及明细数据可一键导出为 PDF报告或Excel文件，用于汇报与存档。</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自定义与预警：</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目标值管理：允许管理员为不同手术间设定利用率目标值，系统自动标出未达标的单元。</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异常预警：当某手术间连续多日利用率低于设定阈值，或出现异常波动时，系统可进行提示。</w:t>
      </w: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8"/>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r>
      <w:r/>
    </w:p>
    <w:p>
      <w:pPr>
        <w:pStyle w:val="969"/>
        <w:rPr>
          <w:highlight w:val="none"/>
          <w:lang w:eastAsia="zh-CN"/>
        </w:rPr>
      </w:pPr>
      <w:r>
        <w:rPr>
          <w:highlight w:val="none"/>
          <w:lang w:eastAsia="zh-CN"/>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4、手术综合安全管理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支持根据医院的实际情况建立规范的手术质控流程及手术特殊事件的上报流程，可为上级部门提供质控数据。</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根据当地麻醉质控的要求，以及医院的实际情况，建立《麻醉科医疗质量控制平台》，建立规范的麻醉质控流程及麻醉特殊事件的处理流程。可以为各个临床专科或者麻醉质量控制中心按照权限及要求提供相关麻醉数据。</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5、信息集成</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5.1HIS及电子病历等</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统一导入手术名称、手术诊断、科室和医护人员信息。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支持EMR病案首页信息集成。</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生成的各项病案单据可以自动归档到病案系统。</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支持与医院的其他信息系统对接。</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5.2电子病历评审</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符合医院五级电子病历及互联互通评审要求。</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6、信息安全</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定制化权限管理，支持不同角色身份的管理权限。</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系统字典维护：支持药品、器械、耗材、麻醉事件等全院字典或多院区不同层级人员的个性化字典维护。</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手麻系统安全管理，等级安全密码，数据加密。有完善的重要数据备份、恢复方案，符合等保三级要求。</w:t>
      </w:r>
      <w:r>
        <w:rPr>
          <w:rFonts w:ascii="宋体" w:hAnsi="宋体" w:cs="宋体"/>
          <w:sz w:val="24"/>
          <w:highlight w:val="none"/>
        </w:rPr>
      </w:r>
      <w:r/>
    </w:p>
    <w:p>
      <w:pPr>
        <w:pStyle w:val="909"/>
        <w:rPr>
          <w:b/>
          <w:bCs/>
          <w:highlight w:val="none"/>
        </w:rPr>
      </w:pPr>
      <w:r>
        <w:rPr>
          <w:b/>
          <w:bCs/>
          <w:highlight w:val="none"/>
        </w:rPr>
      </w:r>
      <w:r/>
    </w:p>
    <w:p>
      <w:pPr>
        <w:pStyle w:val="1015"/>
        <w:spacing w:line="360" w:lineRule="auto"/>
        <w:rPr>
          <w:rFonts w:ascii="宋体" w:hAnsi="宋体" w:cs="宋体"/>
          <w:b/>
          <w:bCs/>
          <w:sz w:val="24"/>
          <w:highlight w:val="none"/>
        </w:rPr>
      </w:pPr>
      <w:r>
        <w:rPr>
          <w:rFonts w:ascii="宋体" w:hAnsi="宋体" w:cs="宋体"/>
          <w:b/>
          <w:bCs/>
          <w:sz w:val="24"/>
          <w:highlight w:val="none"/>
        </w:rPr>
      </w:r>
      <w:r/>
    </w:p>
    <w:p>
      <w:pPr>
        <w:pStyle w:val="968"/>
        <w:spacing w:line="360" w:lineRule="auto"/>
        <w:rPr>
          <w:rFonts w:hint="eastAsia" w:ascii="宋体" w:hAnsi="宋体" w:cs="宋体"/>
          <w:b/>
          <w:bCs/>
          <w:sz w:val="24"/>
          <w:highlight w:val="none"/>
        </w:rPr>
        <w:outlineLvl w:val="0"/>
      </w:pPr>
      <w:r>
        <w:rPr>
          <w:rFonts w:hint="eastAsia" w:ascii="宋体" w:hAnsi="宋体" w:cs="宋体"/>
          <w:b/>
          <w:bCs/>
          <w:sz w:val="24"/>
          <w:highlight w:val="none"/>
        </w:rPr>
        <w:t xml:space="preserve">（三）血液透析与腹膜透析管理系统</w:t>
      </w:r>
      <w:r>
        <w:rPr>
          <w:rFonts w:hint="eastAsia" w:ascii="宋体" w:hAnsi="宋体" w:cs="宋体"/>
          <w:b/>
          <w:bCs/>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 1. 血液透析管理系统</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 管理看板</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透析进程总览：支持整体查看透析前、中、后概况，并对血管通路、透析方式及特殊情况等进行统计。可以卡片形式展示患者透析节点与进度，支持按院区、接诊区、日期及时段进行筛选。（提供视频演示）</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质控数据总览：集中展示血管通路、透析方式、特殊情况、患者统计及质控达标率等数据，支持按年度、季度、月度时间维度进行统计分析。（提供视频演示）</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管理驾驶舱：需支持血透中心核心管理数据的集中展示，便于管理者快速掌握中心整体运行状况。</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患者360度全景视图：集中展示患者透析全历程及相关指标变化趋势。（投标时需提供供应商或软件厂商包含“360度全景视图”相关功能的《计算机软件著作权登记证书》复印件）</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1.2 电子病历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记录患者基本信息，包括病人来源、入室时间、透析类型、首次透析方式与时间、总透析次数等。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支持按标准操作流程（SOP）模板样式及自定义结构化样式显示病历。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包含患者主诉、既往病史、体格检查、病历文本、化验检查等内容，支持按模板格式添加。</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对患者病情及诊疗过程进行连续性记录，内容应包括病情变化、重要辅助检查结果及临床意义、上级医师查房意见、会诊意见、诊疗措施及效果、医嘱更改及理由、医患沟通重要事项等，支持通过自定义模板添加。</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支持诊断信息管理，提供诊断知识库选择添加，也支持自定义诊断内容。</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(6) 支持开立长期医嘱、设置常用医嘱组套。支持按在用/停用、院外/透中等状态进行分类筛选，并支持批量新增医嘱及长期医嘱停用。</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(7) 出入院记录应作为完整病历的摘要，反映疾病概况与诊疗要点。</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(8) 门诊手术记录须包括动静脉内瘘手术及中心静脉置管手术记录。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(9) 支持患者透析治疗方案的增、删、改、停及模板化管理，新建方案时可套用现有模板。</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(10) 血管通路记录应包括通路详情、列表、通路照片（支持多张）及穿刺信息。</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 患者历史透析记录应支持按简要和详细两种模式显示，并支持记录单查看与打印。</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(12) 支持从实验室信息系统（LIS）导入并整合转换后的化验数据，也支持在未对接LIS时手工录入。</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(13) 支持患者相关医疗文书扫描件的上传与管理。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1.3 排班管理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护士为患者安排透析床位，应支持以下功能：1)自动排床；2)手动排床；3)拖拽排床；4)排床模板（支持右键设置备注，并可配置备注信息显示）；5)排床时对患者感染情况与已排床数量进行校验与提示。</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支持医保合理安排：可配置不同医保类型，按周/月/年维度统计不同透析方式的消耗次数。依据各地区医保规则，指导科室对患者治疗方式进行合理安排。</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1.4 透析管理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可根据日期、班次、区域筛选查看对应患者的耗材、药品及透析机耗材使用情况，支持完整表格或自定义小条格式打印，提供分类总量统计及数据导出功能。</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管理患者每次透析信息，包括：透析病情、医嘱、透后小结、过程记录、护理评估、耗材使用及并发症记录。系统能自动生成或关联以下信息：1)血管通路信息自动从病历获取；2)执行医嘱自动从透析医嘱获取；3)透析医嘱自动从治疗方案获取；4)自动计算目标脱水量；5)根据系统绑定自动记录耗材；6)支持患者加透治疗；7)提供便捷历史透析记录查询供医生参考；8)治疗完成后病历自动归档锁定；9)归档后自动进行库存出库并记录耗材，库存低于阈值时提醒；10)支持打印上机小条、医嘱小条，便于医护核对。</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透析记录单管理应包含查询、预览、打印、批量打印、导出及批量导出等功能。</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可设定医嘱（多为临时医嘱）特定使用日期，透析当日系统自动拉取。</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包括科室交接班与患者交接班，支持交接班数据自动预生成。</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(6) ▲透析单智能审核：针对透析治疗过程中的101项表单参数，每项均可自定义审核规则。系统基于患者历史数据进行大数据分析，对每次治疗参数进行审核校验并提示风险等级，以提升医疗安全。（投标时需提供供应商或软件厂商包含“透析单智能审核”功能的《计算机软件著作权登记证书》复印件）</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1.5 库存管理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实现透析所需药品及耗材的基础信息管理。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以单中心为单位，实现药品的入库、退货、出库、退库、库存查询、使用记录及盘点管理，准确记录并生成入库单，实时更新库存。</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以单中心为单位，实现耗材的入库、退货、出库、退库、库存查询、使用记录及盘点管理，准确记录并生成入库单，实时更新库存。</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系统记录每笔入库信息并形成入库单。可显示患者每次透析使用的个人库存药品明细，支持药品使用跟踪、库存状况统计及详细清单生成。支持库存盘点，可为药品设定库存阈值，低于阈值时以红色标识预警。</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1.6 费用管理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支持治疗套餐定制，为耗材自动记录与统计提供关联设置。患者进行相应治疗时，套餐内耗材自动填入其透析记录单。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费用基础组套应包括：治疗模式、透析器、血滤器、灌流器、血管通路类型、透析机类型等。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以患者为中心统一管理透析等相关费用，系统记录每笔费用并可随时查询。</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1.7 设备管理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支持床位与分区的绑定设置，支持床位与透析设备的绑定及解绑。</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设备管理涵盖透析机、水处理机及其他设备，包括基本信息、运行记录、保养记录、维修记录、设备交班、消毒记录等。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1.8 辅助模块</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整合多项化验指标与患者用药情况进行综合对比分析，包括生命体征、生化检验、贫血管理、CKD-MBD管理、血钾管理等，并支持自由配置。</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应包括感染指标异常预警、化验指标异常预警及周期性化验提醒功能。</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低血压预警：通过AI算法，依据患者治疗与体征数据预测本次透析发生低血压的概率，超过预警阈值时警示医生，并通过知识库推荐干预措施，医生可调整并记录。（投标时需提供供应商或软件厂商包含“低血压预警”相关功能的《计算机软件著作权登记证书》复印件）</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支持自定义系统内查询字段，进行多条件综合查询，并支持导出查询结果。</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支持医护人员根据患者情况制定规律性宣教计划，记录宣教内容、时间及完成情况，支持平板签字以提高患者依从性。</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1.9 统计分析</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包括所有患者的基础数据统计（男女比例、年龄分布、透龄、感染比例、干体重调整记录、透析频次），便于掌握科室患者概况。</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支持《肾病专业医疗质量控制指标（2020版）》血透部分各项质控指标的统计、汇总与导出。</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包括患者治疗基础信息统计（血管通路、死亡原因、转归、诊断），为掌握科室治疗状况提供数据支持。</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对科室透析情况进行统计（例次、评估、并发症、记录查询、医嘱查询、血压查询）。</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提供多种统计报表：化验检查完成率统计（支持时间范围及逻辑说明）、医患比/护患比统计、HIV/梅毒转阳统计等。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1.10 院感管理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包括：透析用水化学污染物监测、内毒素监测及细菌培养监测。</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支持根据中高风险地区数据，自动筛查系统内匹配的患者信息。</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1.11 质控上报</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支持按时间范围、季度或月份生成质控数据包，并可一键上传至全国肾脏病数据登记系统（CNRDS）平台，或导出离线包供外网上报。</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1.12 系统管理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完成科室人员的注册与管理，未注册用户无法登录。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支持系统用户角色定义与权限分配。</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系统管理员可为不同角色动态分配操作权限，控制粒度至各功能模块的增、删、改、查级别。</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提供完善的数据字典管理与维护功能。</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支持相关系统参数与设置配置。</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1.13 自助测量</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支持与带数据输出功能的体重秤对接，基于x86硬件平台及Windows系统，实现患者通过人脸识别或透析卡自助测量透前/透后体重并自动记录。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支持与带数据输出功能的血压计对接，基于x86硬件平台及Windows系统，实现患者通过人脸识别或透析卡自助测量透前/透后血压并自动记录。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自助测量过程支持语音流程提示与结果播报，语音功能可单独关闭。</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1.14 大屏系统</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支持按患者签到顺序进行叫号接诊，屏幕显示支持隐私保护，并可通过大屏电视语音播报叫号信息。</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医护人员可通过移动工作站远程呼叫等候区家属，以协助完成治疗相关工作。</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可根据系统设置，按时间与班次循环播放患者排班信息。</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可在设定时间段内，于等候区大屏播放医护人员选定的宣教视频。</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1.15 移动工作站</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接诊时，系统根据透析方式自动显示预设医嘱，减少手工输入。</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医生下达的医嘱实时同步至床旁工作站，护士可核对并执行。</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护士在床旁通过触控操作记录治疗数据与生命体征，全面替代纸质单据。</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支持护士在床旁完成透前、透中、透后评估并记录。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支持自动或手动记录床旁耗材使用及费用。</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(6) 支持护士记录患者下机后体征、小结及透析机消毒信息。</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(7) 支持快速填写透析机消毒记录。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(8) 支持床旁快速查询患者病历，包括处方、病程、化验、血压、药库、排床、排班、透前准备及交接班等。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(9) 支持医护人员在床旁查看并及时调整患者透析方案。</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(10) 支持护士通过移动工作站按计划为患者进行宣教。</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 提供便捷的历史记录查找与修改功能。</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(12) 支持在透析方案中设定包含多种抗凝剂及持续时长的组合治疗方案。</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 2. 腹膜透析管理系统</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本系统要求与上述血液透析管理系统基于同一平台，数据互联互通，患者可相互转化。患者管理、电子病历等通用功能需要跟血透系统里相应功能一致，在此不予赘述，一下仅列举腹透特色部分。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2.1 患者管理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患者档案：支持患者信息从血透系统直接转入，并自动带入检验、检查等相关信息。可录入患者姓名、性别、身份证号、联系方式、住址、病案号、医保号、感染状况等基本信息。</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病历详情：支持按患者姓名、拼音首字母、状态及治疗区域查询并查阅电子病历。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2.2 随访管理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随访计划：支持安排与查询需随访的患者，可查看过期未随访记录，并支持延期等快捷操作。</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随访信息：记录随访基本信息，包括次数、类型、内容、查体项目、一般状态、病症体征等，并可初步安排下次随访。</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用药情况：根据随访时患者病情调整其长期用药方案。</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检验信息：可根据患者状况添加关键检验指标记录。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随访小结：支持通过模板快速生成包含本次评估结果与后续治疗计划的总结。</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(6) 透析充分性：支持输入血肌酐、尿肌酐等值，自动计算腹膜Kt/V等指标并保存。</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(7) 腹膜平衡试验：支持记录试验模式及标准试验下的相关数值。</w:t>
      </w:r>
      <w:r>
        <w:rPr>
          <w:rFonts w:hint="eastAsia" w:ascii="宋体" w:hAnsi="宋体" w:cs="宋体"/>
          <w:color w:val="ff0000"/>
          <w:sz w:val="24"/>
          <w:highlight w:val="none"/>
        </w:rPr>
        <w:t xml:space="preserve">（提供视频演示）</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(8) 非感染并发症：支持记录腹透过程中的非感染性并发症。</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(9) 合并透析模式：支持记录腹透期间合并的其他血液净化治疗模式。</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2.3 临床辅助</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临床辅助：可结合患者化验记录、身体状况及用药情况进行综合分析，辅助用药调整。</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智能提醒：实时监控患者感染状况、指标异常及化验周期，异常时发出警示。</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患者宣教：支持创建包含文本、视频、PPT、PDF、DOC等格式的宣教目录模板，并可查询患者宣教记录。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2.4 用药记录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用药指导：查询患者全部用药记录，包括当前用药及历史停药记录。</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2.5 饮食指导</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每日配餐：系统内置饮食知识库，可根据患者身体状况及血肌酐值计算每日理想饮食构成与具体份量，并可生成一周食谱（含早、中、晚餐及晚点）。</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食品百科：涵盖数千种食品，分为主食、肉蛋、豆制品、蔬菜菌藻、水果、奶类等12大类，各类可按钾、钠、钙、磷、蛋白质、热量含量排序筛选。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饮食处方：根据患者标签及病历信息筛选符合条件的饮食方案，确认后生成正式处方指导患者饮食。</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2.6 运动指导</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运动处方：系统内置运动知识库，可根据患者标签及病历信息筛选符合条件的运动方案，确认后生成正式处方，提供一周运动指导建议。</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2.7 查询统计</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 质控统计：支持按年、半年、季、月多维度统计腹透SOP规定的质控项目，包括但不限于总Kt/V及总Ccr记录完成率、腹膜平衡试验完成率、各项定时检验完成率（血常规、生化、iPTH等）、高血压控制率、各项指标控制率（Kt/V、Ccr、贫血、白蛋白、CKD-MBD相关指标）、腹膜炎发生率、患者治疗时间、消毒合格率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(2) 患者统计：统计患者基本资料，包括男女比例、年龄分布、透龄、感染比例及来源、新增感染等。</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(3) 病历统计：统计患者转归、诊断、腹透通路、死亡原因、住院原因及记录查询导出。</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(4) 统计透析充分性达标率。</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(5) 统计总Kt/V达标率。</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(6) 统计总Ccr达标率。</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(7) 统计腹膜平衡实验结果分布。</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(8) 统计非感染并发症发生率。</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(9) 统计腹透导管出口评分。</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(10) 统计腹膜炎发生原因。</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 统计腹膜炎病原菌分类。</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(12) 统计腹膜炎培养结果。</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(13) 统计感染预后类型。</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(14) 化验统计：支持科室层面统计不同化验项目在各数值区间的分布；支持患者个人层面化验趋势分析；支持定制化组合导出化验数据。</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(15) 化验查询导出：支持按年、半年、季、月或自定义日期范围，自由设定模板导出化验数据。</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(16) 随访统计：支持科室层面统计随访次数趋势、随访类型与内容占比、患者随访频率；支持患者个人层面统计血压、体重等项目趋势或分布。</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(17) 随访血压分类统计：可自定义血压分段（正常、轻、中、重度高血压），并按不同时间维度统计科室患者血压分布。</w:t>
      </w:r>
      <w:r>
        <w:rPr>
          <w:rFonts w:hint="eastAsia" w:ascii="宋体" w:hAnsi="宋体" w:cs="宋体"/>
          <w:sz w:val="24"/>
          <w:highlight w:val="none"/>
        </w:rPr>
      </w:r>
      <w:r/>
    </w:p>
    <w:p>
      <w:pPr>
        <w:pStyle w:val="968"/>
        <w:spacing w:line="360" w:lineRule="auto"/>
        <w:rPr>
          <w:rFonts w:ascii="宋体" w:hAnsi="宋体" w:cs="宋体"/>
          <w:b/>
          <w:bCs/>
          <w:sz w:val="24"/>
          <w:highlight w:val="none"/>
        </w:rPr>
      </w:pPr>
      <w:r>
        <w:rPr>
          <w:rFonts w:ascii="宋体" w:hAnsi="宋体" w:cs="宋体"/>
          <w:b/>
          <w:bCs/>
          <w:sz w:val="24"/>
          <w:highlight w:val="none"/>
        </w:rPr>
      </w:r>
      <w:r/>
    </w:p>
    <w:p>
      <w:pPr>
        <w:pStyle w:val="968"/>
        <w:ind w:firstLine="482"/>
        <w:jc w:val="left"/>
        <w:spacing w:line="360" w:lineRule="auto"/>
        <w:rPr>
          <w:rFonts w:ascii="宋体" w:hAnsi="宋体" w:cs="宋体"/>
          <w:b/>
          <w:bCs/>
          <w:sz w:val="24"/>
          <w:highlight w:val="none"/>
        </w:rPr>
        <w:outlineLvl w:val="0"/>
      </w:pPr>
      <w:r>
        <w:rPr>
          <w:rFonts w:hint="eastAsia" w:ascii="宋体" w:hAnsi="宋体" w:cs="宋体"/>
          <w:b/>
          <w:bCs/>
          <w:sz w:val="24"/>
          <w:highlight w:val="none"/>
        </w:rPr>
        <w:t xml:space="preserve">（四）心电系统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1、预约登记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登记新病人资料，检查部位能够自由组合，能够根据检查项目自动计算费用。根据登记先后顺序自动排队叫号，可灵活定义叫号方式。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支持临床、门诊医生工作站、体检工作站电子申请单集成。减少患者信息的重复登记及文字录入，实时显示检查科室工作状态，方便安排患者检查。</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能够从HIS系统获得病人ID、基本信息、交费信息、诊断信息、检查要求等。在数据库中建立病人唯一ID，方便管理。自动产生发放心电图病人检查号，可灵活提供集中登记、分部门登记等多种方式。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支持条形码扫描或就诊卡等多种识别模式。</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2、预约叫号</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系统支持大屏幕液晶显示，语音呼叫功能，支持定制显示内容和风格。</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具有播放科室宣传资料或患者检查须知功能，具有医生手动呼叫和自动呼叫等多种模式。</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3、心电分析</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患者按照顺序依次接受心电图检查，紧急患者系统自动预判危急值语音、高亮提示医生快速处理，支持扫描排队号的条码后进行检查，同时转换心电图数据并传输到服务器中。</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心电医生诊断工作站不仅可以集中在心电图中心处理，也可在医院任何一个客户端接收临床传输来的心电病历进行专业的心电图诊断、处理分析功能。心电图诊断报告系统要有权限管理，不同使用医生权利不同，支持多级审核。</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新病历到达即时提醒功能。当临床采集的病历发送过来时，心电医生工作站自动发出声音，提示医生有新病例到达，提供统一病人多次检查的回顾浏览、同步比较，支持4人以上平均波形比较，支持2次检查的整体波形对比，支持胸部导联、四肢导联分项比较。</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导联同屏多种显示方式，支持每组波形中任意波形单击放大功能，每个单击放大QRS波群测量参数不少于30种，并且支持放大镜局部动态放大，电压1.25\2.5\5\10\20\40mm\mV调节，走纸速度调节，标尺测量。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支持软件内部滤波，完全支持25\35\75\100\150HZ滤波，并可还原至采集终端设置的滤波频率。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危急值提醒功能：提供心电危急值项目字典，当心电图机采集数据时，自动判别数据危急程度，对于已经判断出存在危险情况的病人即时在软件界面发出提醒，以便诊断方及时处理。对于已确认为危急数据的病例，手动或自动列为危急病例，实时向医嘱方发出提醒，请求及时处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心电信息网络系统中的医生报告系统具有自动分析，具有自动测量给出诊断提示或结果的功能，具有标准的树状心电图诊断摸板和可自定义的诊断模板，以辅助医生快速诊断心电图。软件能够直接显示心电图机上的自动分析结论，并提供编辑修改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软件提供报告合并功能，可将相同或不同患者的检查报告进行合并处理。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具备导联名称替换功能，方便医生进行自主式检查。</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具备12导心电波形导出右胸、后壁波形功能。</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4、管理及统计</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可根据医生工作量、检查工作量、设备工作量、病区开单量等进行管理统计，支持用户自定义查询统计功能。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可对每日科室工作情况、病人资料、心电图结论等进行统计，生成表格报表的方式。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可根据医院需求灵活定制检索条件、统计报表，导入导出格式内容等。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可对科室内部所有设备的心电图像进行浏览，心电图诊断报告的审核及浏览权限分配，心电图报告修改痕迹保留，以及进修医生、操作医生、诊断医生、审核医生、浏览医生操作的权限分配。</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5、网络功能</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心电信息网络系统需连接医院内各种不同品牌与型号的心电图设备，能采集原始数据，以标准的数据格式输出，实现独立波形数据放大分析，不能以截屏、拷贝、拍照等方式获取数据。心电系统中心服务器集中存储所有心电图数据，支持与HIS、LIS、PACS、EMR、体检等系统集成，相互调阅患者信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需具备心电图机有线与无线连接解决方案。</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为临床医生提供WEB浏览功：能实现B/S构架下网络化查询，电子测量，患者心电图多次对比，资料自主保存，以及二次分析功能。</w:t>
      </w:r>
      <w:r>
        <w:rPr>
          <w:rFonts w:ascii="宋体" w:hAnsi="宋体" w:cs="宋体"/>
          <w:sz w:val="24"/>
          <w:highlight w:val="none"/>
        </w:rPr>
      </w:r>
      <w:r/>
    </w:p>
    <w:p>
      <w:pPr>
        <w:pStyle w:val="1015"/>
        <w:ind w:left="0"/>
        <w:spacing w:line="360" w:lineRule="auto"/>
        <w:rPr>
          <w:rFonts w:ascii="宋体" w:hAnsi="宋体" w:cs="宋体"/>
          <w:sz w:val="24"/>
          <w:highlight w:val="none"/>
        </w:rPr>
      </w:pPr>
      <w:r>
        <w:rPr>
          <w:rFonts w:ascii="宋体" w:hAnsi="宋体" w:cs="宋体"/>
          <w:sz w:val="24"/>
          <w:highlight w:val="none"/>
        </w:rPr>
      </w:r>
      <w:r/>
    </w:p>
    <w:p>
      <w:pPr>
        <w:pStyle w:val="968"/>
        <w:ind w:firstLine="241"/>
        <w:jc w:val="left"/>
        <w:spacing w:line="360" w:lineRule="auto"/>
        <w:rPr>
          <w:rFonts w:ascii="宋体" w:hAnsi="宋体" w:cs="宋体"/>
          <w:b/>
          <w:bCs/>
          <w:sz w:val="24"/>
          <w:highlight w:val="none"/>
        </w:rPr>
        <w:outlineLvl w:val="0"/>
      </w:pPr>
      <w:r>
        <w:rPr>
          <w:rFonts w:hint="eastAsia" w:ascii="宋体" w:hAnsi="宋体" w:cs="宋体"/>
          <w:b/>
          <w:bCs/>
          <w:sz w:val="24"/>
          <w:highlight w:val="none"/>
        </w:rPr>
        <w:t xml:space="preserve">（五）病理管理系统</w:t>
      </w:r>
      <w:r>
        <w:rPr>
          <w:rFonts w:ascii="宋体" w:hAnsi="宋体" w:cs="宋体"/>
          <w:b/>
          <w:bCs/>
          <w:sz w:val="24"/>
          <w:highlight w:val="none"/>
        </w:rPr>
      </w:r>
      <w:r/>
    </w:p>
    <w:p>
      <w:pPr>
        <w:pStyle w:val="968"/>
        <w:numPr>
          <w:ilvl w:val="0"/>
          <w:numId w:val="4"/>
        </w:num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病理质控与资料管理系统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1.1登记工作站软件（数量：1套）</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可手工登记送检病例信息，可从HIS系统中提取病人基本信息。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记录不合格标本拒收原因，并提供不合格情况统计。</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可按病例库进行登记，病例库可以自定义，可以指定默认的病例库。</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系统需支持按预设编号规则自动生成病理号（支持顺序递增或提取最大号），允许人工干预调整编号</w:t>
      </w:r>
      <w:r>
        <w:rPr>
          <w:rFonts w:hint="eastAsia" w:ascii="Segoe UI" w:hAnsi="Segoe UI" w:cs="Segoe UI"/>
          <w:sz w:val="24"/>
          <w:highlight w:val="none"/>
          <w:shd w:val="clear" w:color="auto" w:fill="ffffff"/>
        </w:rPr>
        <w:t xml:space="preserve">。</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具备病理号重复检测机制，发现重号时实时预警并提示修正</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系统应内置同名患者自动检索功能，发现同名病例时主动提示历史检查记录，并支持通过住院号/唯一编号进行二次匹配，确保患者身份精准识别与历史数据调阅</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系统需自动生成门诊患者回执单，明确标注报告领取时间、地点等关键信息</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记录送检标本的明细信息，包括标本名称、离体时间、固定时间、接收时间等。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登记后自动生成病例状态为“已登记”。</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1.2取材工作站软件（数量：1套）</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系统自动提示所有已登记但尚未取材的病例列表，或是有补取要求的病例列表。补取列表中的病例界面可显示开单医生及补取医嘱说明。</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系统应内置同名患者自动检索功能，发现同名病例时主动提示历史检查记录，并支持通过住院号/唯一编号进行二次匹配，确保患者身份精准识别与历史数据调阅</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系统需内置冰冻检查自动识别功能，在取材环节主动提示当前病例是否存在历史冰冻检查记录，并支持调阅完整冰冻诊断结果，为医师确定取材方案提供数据支撑</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系统应实时自动计算当前病例的待包埋蜡块数量及总取材块数，实现取材工作量的数字化统计；同时支持记录特殊处理要求（如"用完"、"脱钙"、"保留"等附言内容），确保取材意图的完整传递</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取材明细列表适应不同的取材序号队列。</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取材明细的材块数具有单位（块、条、堆等），统计时只统计前面的数字。</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取材记录员和取材明细关联，以区分常规取材和补取会由不同的人进行记录。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针对小标本取材描述提供专用模板。</w:t>
      </w:r>
      <w:r>
        <w:rPr>
          <w:rFonts w:ascii="宋体" w:hAnsi="宋体" w:cs="宋体"/>
          <w:sz w:val="24"/>
          <w:highlight w:val="none"/>
        </w:rPr>
      </w:r>
      <w:r/>
    </w:p>
    <w:p>
      <w:pPr>
        <w:pStyle w:val="968"/>
        <w:ind w:firstLine="480"/>
        <w:spacing w:line="360" w:lineRule="auto"/>
        <w:rPr>
          <w:rFonts w:ascii="宋体" w:hAnsi="宋体" w:cs="宋体"/>
          <w:b/>
          <w:bCs/>
          <w:color w:val="ff0000"/>
          <w:sz w:val="24"/>
          <w:highlight w:val="none"/>
        </w:rPr>
      </w:pPr>
      <w:r>
        <w:rPr>
          <w:rFonts w:hint="eastAsia" w:ascii="宋体" w:hAnsi="宋体" w:cs="宋体"/>
          <w:sz w:val="24"/>
          <w:highlight w:val="none"/>
        </w:rPr>
        <w:t xml:space="preserve">提供按照不同器官系统、不同标本切除方式分类的取材大体描述模板，用户可方便地在取材记录界面上直接进行模板内容的增加、修改和删除。在录入取材组织名称时，其常用词会根据取材常用词树的第一级部位同步更新</w:t>
      </w:r>
      <w:r>
        <w:rPr>
          <w:rFonts w:hint="eastAsia" w:ascii="宋体" w:hAnsi="宋体" w:cs="宋体"/>
          <w:b/>
          <w:bCs/>
          <w:color w:val="ff0000"/>
          <w:sz w:val="24"/>
          <w:highlight w:val="none"/>
        </w:rPr>
        <w:t xml:space="preserve">（提供视频演示）。</w:t>
      </w:r>
      <w:r>
        <w:rPr>
          <w:rFonts w:ascii="宋体" w:hAnsi="宋体" w:cs="宋体"/>
          <w:b/>
          <w:bCs/>
          <w:color w:val="ff0000"/>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在录入大体描述时，可以提取标本名称。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进行大体标本照相，通过与取材工作站相连的专业大体标本拍摄台，图像与病例直接关联保存。对大体标本照片可进行取材明细标注、文字标注和测量工作。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可以进行材块核对，记录核对人，核对时间。</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提供取材工作交接管理工具，区分当日取材和非当日取材，可按照取材医生分别整理。</w:t>
      </w:r>
      <w:r>
        <w:rPr>
          <w:rFonts w:ascii="宋体" w:hAnsi="宋体" w:cs="宋体"/>
          <w:sz w:val="24"/>
          <w:highlight w:val="none"/>
        </w:rPr>
      </w:r>
      <w:r/>
    </w:p>
    <w:p>
      <w:pPr>
        <w:pStyle w:val="968"/>
        <w:ind w:firstLine="482"/>
        <w:spacing w:line="360" w:lineRule="auto"/>
        <w:rPr>
          <w:rFonts w:ascii="宋体" w:hAnsi="宋体" w:cs="宋体"/>
          <w:sz w:val="24"/>
          <w:highlight w:val="none"/>
        </w:rPr>
      </w:pPr>
      <w:r>
        <w:rPr>
          <w:rFonts w:hint="eastAsia" w:ascii="宋体" w:hAnsi="宋体" w:cs="宋体"/>
          <w:b/>
          <w:bCs/>
          <w:sz w:val="24"/>
          <w:highlight w:val="none"/>
        </w:rPr>
        <w:t xml:space="preserve">1.3病理常规及细胞学综合报告工作站软件（数量：2套）</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可查看病例的基本信息、临床诊断信息、大体标本的照片和描述、取材的明细记录等内容。录入镜下所见、病理诊断、免疫组化结果、液基细胞学等诊断报告项目。报告常用词、报告格式自定义功能。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使用带标准TWAIN32接口的数码摄像头，可实时浏览、采集和保存镜下图像。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根据登录用户身份，自动提示“我的未审核报告”“我的未打印报告”“我的未写报告”“我的延期报告”“我的申请复片”“我的待复片”“我的外借返回病例”“我的收藏夹”“科内会诊”“需随访病例”等列表。</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系统应内置同名患者自动检索功能，发现同名病例时主动提示历史检查记录，并支持通过住院号/唯一编号进行二次匹配，确保患者身份精准识别与历史数据调阅</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在查看病人的历史检查时可浏览对应病理号的镜下图像及取材明细。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同一病理号（或冰冻号）不限次数的独立冰冻报告，每一份冰冻报告单独记录收到时间、取材医生、取材块数、制片人、报告医生、审核医生、报告时间等项目，每一份冰冻报告可单独进行审核并提供给临床进行查看。</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color w:val="ff0000"/>
          <w:sz w:val="24"/>
          <w:highlight w:val="none"/>
        </w:rPr>
        <w:t xml:space="preserve">▲</w:t>
      </w:r>
      <w:r>
        <w:rPr>
          <w:rFonts w:hint="eastAsia" w:ascii="宋体" w:hAnsi="宋体" w:cs="宋体"/>
          <w:sz w:val="24"/>
          <w:highlight w:val="none"/>
        </w:rPr>
        <w:t xml:space="preserve">针对同一病理号（或冰冻号）多次的独立冰冻报告，在发放冰冻报告时系统可保证同一病理号前面的冰冻报告已发放</w:t>
      </w:r>
      <w:r>
        <w:rPr>
          <w:rFonts w:hint="eastAsia" w:ascii="宋体" w:hAnsi="宋体" w:cs="宋体"/>
          <w:b/>
          <w:bCs/>
          <w:sz w:val="24"/>
          <w:highlight w:val="none"/>
        </w:rPr>
        <w:t xml:space="preserve">（提供功能截图）</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冰冻超时报告可提示医生进行“迟发原因”的输入，可自定义迟发原因并进行下拉框选择。</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可按时间段统计术中冰冻的送检例数、送检次数及取材块数。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提供“冰冻-石蜡”诊断对照功能。可进行冰冻诊断符合率的统计。</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可进行冰冻制片时间的统计，还可进行冰冻制片及时率的统计。</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可进行冰冻报告发放时间的统计，并显示冰冻超时报告的迟发原因。</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可进行术中快速病理诊断及时率的统计（冰冻报告超时规则按照质控要求自动排除“多台同时送检且时间在45分钟之内”的特殊情况）</w:t>
      </w:r>
      <w:r>
        <w:rPr>
          <w:rFonts w:hint="eastAsia" w:ascii="宋体" w:hAnsi="宋体" w:cs="宋体"/>
          <w:b/>
          <w:bCs/>
          <w:color w:val="ff0000"/>
          <w:sz w:val="24"/>
          <w:highlight w:val="none"/>
        </w:rPr>
        <w:t xml:space="preserve">（提供视频演示）</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可查看取材明细列表，在列表中可进行淋巴结转移情况标记，并将标记说明一键快速导入到病理诊断中。</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可将标本名称和冰冻诊断提取到病理诊断中。</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适应病理报告三级医生负责制，提供定向复片、多级复片功能，初诊意见和复片意见单独保存备查。上级医生可对初诊意见进行结果评价，可以统计复片数和复片准确率。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针对七类小标本和十三类大标本肿瘤疾病，提供国际先进的“结构化报告”标准报告模版。</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采用包括TBS2004在内的多种分级报告系统，用户点选选项即可快速输出液基细胞学报告。</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报告打印时能设置病例库对“阴阳性”“临床符合”“冰冻符合”进行检查，如果无内容不能打印。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病理诊断结果与性别冲突监控提示功能：如男性病例出现“宫颈、卵巢等”描述、女性病例出现“阴茎、睾丸等”描述时，系统自动进行弹框提醒。</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镜下所见及病理诊断结果与标本名称左右部位冲突监控提示功能：如标本名称为“左乳腺”，病理诊断中出现“右”，系统将自行弹框提醒。</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color w:val="ff0000"/>
          <w:sz w:val="24"/>
          <w:highlight w:val="none"/>
        </w:rPr>
        <w:t xml:space="preserve">▲</w:t>
      </w:r>
      <w:r>
        <w:rPr>
          <w:rFonts w:hint="eastAsia" w:ascii="宋体" w:hAnsi="宋体" w:cs="宋体"/>
          <w:sz w:val="24"/>
          <w:highlight w:val="none"/>
        </w:rPr>
        <w:t xml:space="preserve">病理诊断结果智能匹配提示功能：用户可自定义特殊词汇和相应提示内容，在病理诊断中出现这些词汇时，系统自动进行弹框提示</w:t>
      </w:r>
      <w:r>
        <w:rPr>
          <w:rFonts w:hint="eastAsia" w:ascii="宋体" w:hAnsi="宋体" w:cs="宋体"/>
          <w:b/>
          <w:bCs/>
          <w:sz w:val="24"/>
          <w:highlight w:val="none"/>
        </w:rPr>
        <w:t xml:space="preserve">（提供功能截图）</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病理诊断结果智能预警功能：如病理诊断出现“癌”“瘤”“阳性”，则字体将变红提醒。</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在查看取材明细时，碰到任务来源是“冰冻”时，系统自动变为红色进行提示。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可进行报告质量的评价。</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可发出内部医嘱要求，包括重切、深切、补取、免疫组化等，发出的内部医嘱在相应的工作站点上有相应提示，可查看内部医嘱相应的执行情况（医嘱状态）和结果。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系统应允许医师在开立技术医嘱时批量选择多个蜡块号，一次性完成批量重切或深切医嘱的开立</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提供免疫组化预开单及开单审核管理功能。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Segoe UI" w:hAnsi="Segoe UI" w:cs="Segoe UI"/>
          <w:sz w:val="24"/>
          <w:highlight w:val="none"/>
          <w:shd w:val="clear" w:color="auto" w:fill="ffffff"/>
        </w:rPr>
        <w:t xml:space="preserve">系统</w:t>
      </w:r>
      <w:r>
        <w:rPr>
          <w:rFonts w:ascii="Segoe UI" w:hAnsi="Segoe UI" w:eastAsia="Segoe UI" w:cs="Segoe UI"/>
          <w:sz w:val="24"/>
          <w:highlight w:val="none"/>
          <w:shd w:val="clear" w:color="auto" w:fill="ffffff"/>
        </w:rPr>
        <w:t xml:space="preserve">开单时自动匹配科室现有标记物项目库，若涉及未开展项目则强制拦截并提示"该标记物未纳入科室检测目录"</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医师开立特检医嘱时，系统需自动关联展示该病例历史特检医嘱信息</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提供单独的特检医嘱查询列表，可按照医嘱类型、医嘱状态及申请医生来查找已开免疫组化医嘱的病例，从医嘱查询页双击病理号列或特检号列就能打开这一病例。</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ascii="Segoe UI" w:hAnsi="Segoe UI" w:eastAsia="Segoe UI" w:cs="Segoe UI"/>
          <w:sz w:val="24"/>
          <w:highlight w:val="none"/>
          <w:shd w:val="clear" w:color="auto" w:fill="ffffff"/>
        </w:rPr>
        <w:t xml:space="preserve">系统须支持将免疫组化检测结果一键导入至诊断报告指定字段（如特殊检查、病理诊断或补充报告），导入时允许自定义标记物显示顺序</w:t>
      </w:r>
      <w:r>
        <w:rPr>
          <w:rFonts w:hint="eastAsia" w:ascii="宋体" w:hAnsi="宋体" w:cs="宋体"/>
          <w:sz w:val="24"/>
          <w:highlight w:val="none"/>
        </w:rPr>
        <w:t xml:space="preserve">。</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提供同一病理号（或免疫号）不限次数的独立免疫组化补充报告，每一份免疫组化补充报告单独记录报告医生、审核医生、报告时间等项目，每一份免疫组化补充报告可单独进行审核并提供给临床进行查看。</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通过病例状态颜色来标记当前病例在病理科所处的流程状态，如“已登记”“已取材”“已包埋”“已制片”“已写报告”“已审核”等。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提供报告应发时间管理，用户可自定义不同标本类型对应的报告应发时间，并能自定义接收标本时间分隔点。系统采用特殊颜色来标记“最后一天”“报告超期”“报告延期”等报告发放时间状态。</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开免疫组化等内部医嘱时可指定系统进行报告发放时间到期提醒，同时可打印“缓发报告通知单”。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内部医嘱状态可自动关联到“缓发报告原因”，并提供给临床进行查看。</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提供常规免疫组化和鉴别诊断类免疫组化自动关联“缓发报告原因”的差异化处理。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提供病理报告审核后的“犹豫期”自定义设定，并可自定义设定临床查看审核后的病理报告的“缓冲期”。</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可发出科内会诊申请，系统会自动加入“科内会诊”列表并进行提示，其他医生登录系统后可以快速定位这些会诊病例，可增加、修改、删除自己的科内会诊意见。</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可对病例进行随访标记，系统会自动加入“需随访病例”列表并进行提示，可录入并保存随访结果，并可继续随访或结束随访。</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可对感兴趣的病例进行自定义收藏分类管理，系统会自动加入到“我的收藏夹”列表并进行提示，医生可以导出自己的收藏夹病例列表。</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根据多个条件来组合查询或统计病例、可进行模糊查询或精确查询。可提供“拼音码”来查询姓名。查询或统计出的结果可以导出为EXCEL文件，用户可自定义导出项目字段。可控制每个医生病理报告的查询天数。</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提供按照“部位”“病名”关键词区分的疾病索引管理，并进行精确的疾病种类统计。</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提供多种病理科工作量统计报表，包括医生工作量、技师工作量、科室工作量、技术医嘱工作量、特检医嘱工作量、临床送检工作量、外院送检工作量等。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提供多种符合率统计报表，包括冰冻诊断符合率、临床诊断符合率、会诊符合率等。</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提供多种报告时间统计报表，包括冰冻报告发放时间统计、报告发放及时率的统计、未发报告统计、超期报告统计、报告实际发放天数统计、报告实际发放天数汇总。</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提供同一病人的“小标本—大标本”或“细胞学—常规”诊断对照功能，并能导出为EXCEL文件。</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提供报告格式自动扩页功能，以适应内容较多的病理报告或尸检病理报告。</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提供用户分级权限体系，适应病理科不同级别的医生相互之间的报告修改、审核的权限嵌套关系。</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提供每日病理报告签收单管理，通过扫描病理报告单上的条码，自动按照“病区”或“送检科室”排序整理报告签收单进行打印，用于临床接收病理报告后签字返回病理科进行存档。</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重要报告痕迹后台记录和溯源查询功能。</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1.4HIS系统双向接口软件（数量：1套）</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从HIS中提取病人基本信息，减少录入工作量和出错情况；</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将审核后的病理报告或未发报告原因发送至HIS系统，通过HIS系统的浏览工作站提供给临床查看。</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2、300万像素CCD数码摄像头（数量：2个）</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像素量级：300万物理像素；ISO感光度：等效于ISO200～ISO12800；曝光时间：0.2毫秒至2秒；显示帧频：最快65帧/秒,36帧/秒@全分辨率模式；量子效率：峰值76%@550±10nm；图像格式：BMP、JPEG、TIFF、PNG等；光学端口：C-Mount；数据端口：USB3.0；运行环境：0～30℃相对湿度小于60%(无冷凝)。</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可与病理信息系统进行深度整合，无需进行二次开发或调用外部接口程序，即可在病理信息系统内直接进行图像采集操作。</w:t>
      </w:r>
      <w:r>
        <w:rPr>
          <w:rFonts w:ascii="宋体" w:hAnsi="宋体" w:cs="宋体"/>
          <w:sz w:val="24"/>
          <w:highlight w:val="none"/>
        </w:rPr>
      </w:r>
      <w:r/>
    </w:p>
    <w:p>
      <w:pPr>
        <w:pStyle w:val="968"/>
        <w:ind w:firstLine="482"/>
        <w:spacing w:line="360" w:lineRule="auto"/>
        <w:rPr>
          <w:rFonts w:ascii="宋体" w:hAnsi="宋体" w:cs="宋体"/>
          <w:sz w:val="24"/>
          <w:highlight w:val="none"/>
        </w:rPr>
      </w:pPr>
      <w:r>
        <w:rPr>
          <w:rFonts w:hint="eastAsia" w:ascii="宋体" w:hAnsi="宋体" w:cs="宋体"/>
          <w:b/>
          <w:bCs/>
          <w:sz w:val="24"/>
          <w:highlight w:val="none"/>
        </w:rPr>
        <w:t xml:space="preserve">3、摄像接口（数量：2个）</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1倍C型通用显微接口，从镜头安装基准面到焦点的距离是17.526mm，用于摄像头和三目显微镜的连接。</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ascii="宋体" w:hAnsi="宋体" w:cs="宋体"/>
          <w:b/>
          <w:bCs/>
          <w:sz w:val="24"/>
          <w:highlight w:val="none"/>
        </w:rPr>
      </w:r>
      <w:r/>
    </w:p>
    <w:p>
      <w:pPr>
        <w:pStyle w:val="968"/>
        <w:ind w:firstLine="482"/>
        <w:spacing w:line="360" w:lineRule="auto"/>
        <w:rPr>
          <w:rFonts w:ascii="宋体" w:hAnsi="宋体" w:cs="宋体"/>
          <w:b/>
          <w:bCs/>
          <w:sz w:val="24"/>
          <w:highlight w:val="none"/>
        </w:rPr>
        <w:outlineLvl w:val="0"/>
      </w:pPr>
      <w:r>
        <w:rPr>
          <w:rFonts w:hint="eastAsia" w:ascii="宋体" w:hAnsi="宋体" w:cs="宋体"/>
          <w:b/>
          <w:bCs/>
          <w:sz w:val="24"/>
          <w:highlight w:val="none"/>
        </w:rPr>
        <w:t xml:space="preserve">（六）医保合规检测系统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1、知识库与规则库管理</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1.1基础规则库</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具有院内医保审核规则库动态维护，提供简单的图像化操作页面，可针对医保审核规则进行新增、修改等操作。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具有自定义不同错误类型（明确违规、高度疑似、一般疑似等）、医疗类型（诊疗、药品、耗材等）的医保审核规则，方便统一管理。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符合国家医疗保障局两库框架，规则知识库需包含以下内容：</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政策类：依据医疗保障政策及管理要求制定，通过该类规则可判断监管对象发生的不符合相关要求的行为。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医疗类：依据疾病诊疗规范、药品合理使用以及相互关联作用的标准制定，通过筛选、挖掘和分析诊疗和用药相关的数据，对医疗服务行为的合理性进行判断。</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管理类：依据各级医保部门在日常管理工作中的经验及医疗卫生行业管理要求制定，通过大数据分析等手段判断背离常规就医或诊疗行为。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支持配置规则医生或科室白名单功能，对具体科室或医生进行规则放行，不做违规处理。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支持针对规则有效对象属性进行配置，灵活配置规则对事前、事中、事后生效。</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系统初始化医保审核规则库，至少包含项目互斥、限价、限年龄、限次数、超住院时长收费、依赖主项目收费、体检式住院（检查费用占住院总费用比例异常）、手术计费不规范、麻醉计费不规范、超医保限定天数支付、限适应症、限险种类型、限就医类型等审核规则。</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1.2地方特色规则库</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支持针对院方所在地区，单独更新维护地方特色规则库，展示规则内容、规则依据文件等信息。</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1.3飞检规则库</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基于医保局飞行检查工作方案动态更新飞检规则库，展示飞检规则内容、飞检规则来源等信息，重点关注。</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1.4常见问题库</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支持根据医院实际使用情况动态更新常见问题库的功能，如某条规则触发超一定频次时更新到常见问题库中并对院方进行提醒后针对性学习。</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1.5医保药品目录管理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医保药品目录可以查询医保药品目录的基本信息，包括药品编码，药品名称，支付类别，医保剂型、医保支付范围等信息，其中药品名称和编码支持模糊查询。</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1.6医保耗材目录管理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医保耗材目录可以查询医保耗材目录的基本信息，包括收费项目名称、收费项目等级，耗材名称等信息，其中收费项目名称和耗材名称支持模糊查询。</w:t>
      </w:r>
      <w:r>
        <w:rPr>
          <w:rFonts w:ascii="宋体" w:hAnsi="宋体" w:cs="宋体"/>
          <w:sz w:val="24"/>
          <w:highlight w:val="none"/>
        </w:rPr>
      </w:r>
      <w:r/>
    </w:p>
    <w:p>
      <w:pPr>
        <w:pStyle w:val="968"/>
        <w:ind w:firstLine="482"/>
        <w:spacing w:line="360" w:lineRule="auto"/>
        <w:rPr>
          <w:rFonts w:ascii="宋体" w:hAnsi="宋体" w:cs="宋体"/>
          <w:sz w:val="24"/>
          <w:highlight w:val="none"/>
        </w:rPr>
      </w:pPr>
      <w:r>
        <w:rPr>
          <w:rFonts w:hint="eastAsia" w:ascii="宋体" w:hAnsi="宋体" w:cs="宋体"/>
          <w:b/>
          <w:bCs/>
          <w:sz w:val="24"/>
          <w:highlight w:val="none"/>
        </w:rPr>
        <w:t xml:space="preserve">1.7医保诊疗项目目录管理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医保诊疗项目目录可以查询医保这诊疗项目目录的基本信息，包括收费项目名称、收费项目编码，项目内涵、说明、文件依据等信息，其中收费项目名称、收费项目编码、项目内涵、说明支持模糊查询。</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1.8医保政策管理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支持维护各级各地发布的医保相关政策、通知公告、飞检报告等各类文件，支持在线查看和下载。</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2、事前提醒</w:t>
      </w:r>
      <w:r>
        <w:rPr>
          <w:rFonts w:ascii="宋体" w:hAnsi="宋体" w:cs="宋体"/>
          <w:b/>
          <w:bCs/>
          <w:sz w:val="24"/>
          <w:highlight w:val="none"/>
        </w:rPr>
      </w:r>
      <w:r/>
    </w:p>
    <w:p>
      <w:pPr>
        <w:pStyle w:val="96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2.1门诊事前提醒</w:t>
      </w:r>
      <w:r>
        <w:rPr>
          <w:rFonts w:hint="eastAsia" w:ascii="宋体" w:hAnsi="宋体" w:cs="宋体"/>
          <w:b/>
          <w:bCs/>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cs="宋体"/>
          <w:b/>
          <w:bCs/>
          <w:sz w:val="24"/>
          <w:highlight w:val="none"/>
        </w:rPr>
        <w:t xml:space="preserve">  </w:t>
      </w:r>
      <w:r>
        <w:rPr>
          <w:rFonts w:hint="eastAsia" w:ascii="宋体" w:hAnsi="宋体" w:cs="宋体"/>
          <w:color w:val="000000"/>
          <w:sz w:val="24"/>
          <w:highlight w:val="none"/>
        </w:rPr>
        <w:t xml:space="preserve">  </w:t>
      </w:r>
      <w:r>
        <w:rPr>
          <w:rFonts w:hint="eastAsia" w:ascii="宋体" w:hAnsi="宋体" w:cs="宋体"/>
          <w:bCs/>
          <w:sz w:val="24"/>
          <w:highlight w:val="none"/>
        </w:rPr>
        <w:t xml:space="preserve">▲</w:t>
      </w:r>
      <w:r>
        <w:rPr>
          <w:rFonts w:hint="eastAsia" w:ascii="宋体" w:hAnsi="宋体" w:cs="宋体"/>
          <w:color w:val="000000"/>
          <w:sz w:val="24"/>
          <w:highlight w:val="none"/>
        </w:rPr>
        <w:t xml:space="preserve">支持医生在开具处方、开医嘱时，通过规则审核是否存在违反医保规定，并在HIS端展示审核返回违规行为的内容；</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支持对接HIS系统，当出现强制拦截的规则时，医嘱不可执行或收费，如遇特殊情况支持填写理由后继续使用；</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对医保限定相关的预警，可以勾选条件后继续执行，也可以将项目转自费进行收取；</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支持对违规填写理由后继续使用；</w:t>
      </w:r>
      <w:r>
        <w:rPr>
          <w:rFonts w:hint="eastAsia" w:ascii="宋体" w:hAnsi="宋体" w:cs="宋体"/>
          <w:color w:val="000000"/>
          <w:sz w:val="24"/>
          <w:highlight w:val="none"/>
        </w:rPr>
      </w:r>
      <w:r/>
    </w:p>
    <w:p>
      <w:pPr>
        <w:pStyle w:val="968"/>
        <w:ind w:firstLine="240"/>
        <w:rPr>
          <w:rFonts w:ascii="宋体" w:hAnsi="宋体" w:cs="宋体"/>
          <w:color w:val="000000"/>
          <w:sz w:val="24"/>
          <w:highlight w:val="none"/>
        </w:rPr>
      </w:pPr>
      <w:r>
        <w:rPr>
          <w:rFonts w:hint="eastAsia" w:ascii="宋体" w:hAnsi="宋体" w:cs="宋体"/>
          <w:color w:val="000000"/>
          <w:sz w:val="24"/>
          <w:highlight w:val="none"/>
        </w:rPr>
        <w:t xml:space="preserve">支持查看违规下具体的费用明细，包括违规数量、违规金额、开单科室、开单医生、计费时间等。</w:t>
      </w:r>
      <w:r>
        <w:rPr>
          <w:rFonts w:ascii="宋体" w:hAnsi="宋体" w:cs="宋体"/>
          <w:color w:val="000000"/>
          <w:sz w:val="24"/>
          <w:highlight w:val="none"/>
        </w:rPr>
      </w:r>
      <w:r/>
    </w:p>
    <w:p>
      <w:pPr>
        <w:pStyle w:val="96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2.2住院事前提醒</w:t>
      </w:r>
      <w:r>
        <w:rPr>
          <w:rFonts w:hint="eastAsia" w:ascii="宋体" w:hAnsi="宋体" w:cs="宋体"/>
          <w:b/>
          <w:bCs/>
          <w:sz w:val="24"/>
          <w:highlight w:val="none"/>
        </w:rPr>
      </w:r>
      <w:r/>
    </w:p>
    <w:p>
      <w:pPr>
        <w:pStyle w:val="969"/>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支持护士在执行医嘱、收费时，通过规则审核是否存在违反医保规定，并在HIS端展示审核返回违规行为的内容；</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w:t>
      </w:r>
      <w:r>
        <w:rPr>
          <w:rFonts w:hint="eastAsia" w:ascii="宋体" w:hAnsi="宋体" w:cs="宋体"/>
          <w:sz w:val="24"/>
          <w:highlight w:val="none"/>
        </w:rPr>
        <w:t xml:space="preserve">支持对接HIS系统，当出现强制拦截的规则时，医嘱不可执行或收费，如遇特殊情况支持填写理由后继续使用；</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对医保限定相关的预警，可以勾选条件后继续执行，也可以将项目转自费进行收取；</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支持对违规填写理由后继续使用；</w:t>
      </w:r>
      <w:r>
        <w:rPr>
          <w:rFonts w:hint="eastAsia"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支持查看违规下具体的费用明细，包括违规数量、违规金额、开单科室、开单医生、计费时间等。</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2.3事前提醒统计</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具有将所有事前违规提醒记录系统存档，可根据需要进行数据导出。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具有针对事前违规提醒记录进行统计分析的功能，根据门诊事前和住院事前分别统计提醒次数、提醒金额、违规处理方案、违规等级、违规趋势等数据</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3、事中干预</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3.1在院数据检测</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定时/即时从海量数据中筛选在院患者的医嘱明细、费用明细等数据，按照规则自动对在院数据进行审核并在后台展现违规列表，支持查看和导出历史对比数据的记录。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输入处理状态、患者姓名、住院号、当前科室、当前医生、违规类型、住院时间等多种条件搜索，支持模糊搜索和精准匹配，自动显示该患者姓名、住院号、当前科室、入院时间、出院时间、责任医生、违规类型、规则内容、违规项目名称、医疗类别等信息数据。支持导出查询结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具有查看患者基本信息以及费用明细的功能，其中违规明细项置顶高亮展示，便于判断具体违规情况。</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支持医保办等审核部门对过滤出来的违规数据进行审核处理的操作。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具有根据用户的使用习惯，自定义界面中的数据列表展示顺序和展示内容，方便对违规数据的查看和处理。</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3.2在院数据分析</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支持按科室、按时间、按处理状态分析在院数据的违规数、违规金额等信息，以可视化图表或报表形式展示。</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4、事后分析</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4.1门诊事后数据检测</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定时从海量数据中筛选出院患者的医嘱明细、费用明细等数据，按照规则自动对出院数据进行审核并在后台展现违规列表。</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输入患者姓名、住院号、当前科室、责任医生、违规类型、住院时间等多种条件搜索，支持模糊搜索和精准匹配，自动显示该患者姓名、住院号、当前科室、入院时间、出院时间、责任医生、违规类型、规则名称、规则内容、违规项目名称、医疗类别等信息数据。支持导出查询结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具有查看患者基本信息以及费用明细的功能，其中违规明细项置顶高亮展示，便于判断具体违规情况。</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支持医保办等审核部门对过滤出来的违规数据进行审核处理的操作。</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4.2门诊数据分析</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支持按科室、按时间、按处理状态分析出院数据的违规数、违规金额等信息，以可视化图表或报表形式展示。</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4.3出院数据检测</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定时从海量数据中筛选门诊患者的医嘱明细、费用明细等数据，按照规则自动对出院数据进行审核并在后台展现违规列表。</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输入患者姓名、就诊号、当前科室、责任医生、违规类型、住院时间等多种条件搜索，支持模糊搜索和精准匹配，自动显示该患者姓名、住院号、当前科室、入院时间、出院时间、责任医生、违规类型、规则名称、规则内容、违规项目名称、医疗类别等信息数据。支持导出查询结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具有查看患者基本信息以及费用明细的功能，其中违规明细项置顶高亮展示，便于判断具体违规情况。</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支持医保办等审核部门对过滤出来的违规数据进行审核处理的操作。</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4.4出院数据分析</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支持按科室、按时间、按处理状态分析门诊数据的违规数、违规金额等信息，以可视化图表或报表形式展示。</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5、审核与申诉</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系统内置消息线上沟通平台，医院各科室能够就某一具体医保违规事项，进行实时线上沟通，沟通记录全程留痕可追溯。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具有院内医保违规处置科室（如医保办），针对医保违规项目进行推送（将医保违规项直接推送至具体科室）、办结（将医保违规项进行主动处理）等操作，并且所有办结记录和推送记录留痕，用于数据追溯。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具有针对有异议的医保违规项（根据实际特殊情况人为判断不算违规），各科室能够上传相应佐证材料（支持图片上传），医保违规处置科室能够批量下载不同违规项的佐证材料，从而提高部门之间的配合效率。</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具有用户自定义配置常用的医保违规项目办结说明，方便在日常处理医保违规数据时，能使用统一、规范的办结用语。</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6、数据统计</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首页分析：支持按照门诊、在院、出院统计违规数量、违规分布、违规明细，并支持多种时间段进行查询。</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用户分析报告：支持从违规数量、涉及金额、科室分布、违规类型分布、高频违规等多种维护生成用户分析报告，并支持导出word文档和附表数据来源。</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科室分析：支持按时间、按处理状态对科室进行门诊、在院、出院数据的违规数、违规金额等进行统计分析，以可视化图表或报表形式展示。支持下钻查看明细。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规则类型分析：支持按时间、按处理状态对规则类型进行门诊、在院、出院数据的违规数、违规金额等进行分析，以可视化图表或报表形式展示。支持下钻查看明细。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项目类型分析：支持按时间、按处理状态对项目类型进行诊疗、耗材、药品的违规数、违规金额等进行统计及分析，以可视化图表或报表形式展示。支持下钻</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其他统计分析：具有显示全院不同时段违规金额以及数量的趋势图；具有集中定向查询违反某一类或某几类规则的医疗数据，并提供报表导出功能；具有数据看板展示，主要内容为医生违规情况、科室违规情况、违规金额等，并且能够根据不同用户角色，显示不同的展示数据。</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7、系统管理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具有系统用户的批量新增、批量修改、批量导出等功能。</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具有系统菜单查看以及数据权限可自定义配置。</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具有系统菜单名称、展示顺序等可自定义维护。</w:t>
      </w:r>
      <w:r>
        <w:rPr>
          <w:rFonts w:hint="eastAsia" w:ascii="宋体" w:hAnsi="宋体" w:cs="宋体"/>
          <w:sz w:val="24"/>
          <w:highlight w:val="none"/>
        </w:rPr>
      </w:r>
      <w:r/>
    </w:p>
    <w:p>
      <w:pPr>
        <w:pStyle w:val="969"/>
        <w:rPr>
          <w:highlight w:val="none"/>
          <w:lang w:eastAsia="zh-CN"/>
        </w:rPr>
      </w:pPr>
      <w:r>
        <w:rPr>
          <w:highlight w:val="none"/>
          <w:lang w:eastAsia="zh-CN"/>
        </w:rPr>
      </w:r>
      <w:r/>
    </w:p>
    <w:p>
      <w:pPr>
        <w:pStyle w:val="968"/>
        <w:ind w:firstLine="482"/>
        <w:spacing w:line="360" w:lineRule="auto"/>
        <w:rPr>
          <w:rFonts w:ascii="宋体" w:hAnsi="宋体" w:cs="宋体"/>
          <w:b/>
          <w:bCs/>
          <w:sz w:val="24"/>
          <w:highlight w:val="none"/>
        </w:rPr>
        <w:outlineLvl w:val="0"/>
      </w:pPr>
      <w:r>
        <w:rPr>
          <w:rFonts w:hint="eastAsia" w:ascii="宋体" w:hAnsi="宋体" w:cs="宋体"/>
          <w:b/>
          <w:bCs/>
          <w:sz w:val="24"/>
          <w:highlight w:val="none"/>
        </w:rPr>
        <w:t xml:space="preserve">（七）CA电子签名系统（含硬件）</w:t>
      </w:r>
      <w:r>
        <w:rPr>
          <w:rFonts w:ascii="宋体" w:hAnsi="宋体" w:cs="宋体"/>
          <w:b/>
          <w:bCs/>
          <w:sz w:val="24"/>
          <w:highlight w:val="none"/>
        </w:rPr>
      </w:r>
      <w:r/>
    </w:p>
    <w:p>
      <w:pPr>
        <w:pStyle w:val="96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1、协同签名系统及硬件配套平台</w:t>
      </w:r>
      <w:r>
        <w:rPr>
          <w:rFonts w:hint="eastAsia"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硬件规格：基于国产化适配软硬件一体化，满足自身软件使用需求满足后期扩展需求，双电源适配达到冗余电源</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产品性能：服务端支持应用平台：Windows Server；Linux；AIX；Solaris；Unix；移动端支持的平台：Android7.0及以上版本；iOS13.0及以上版本；harmonyos2.0 及以上版本；SM2协同签名性能≥400TPS；支持最大用户数≥1500人；</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自动签名：用户可以在服务端开启自动签名，签名者在手机端通过扫码确认，确认完成后可以开启自动签名；</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推送签名：用户以推送的方式发起签名，签名者在手机端收到推送后直接完成签名；</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身份认证：可以实现医疗机构人员基于数字证书的移动端身份认证功能；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人脸签名：可以实现基于通过调用接口方式进行人脸电子签名；</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登录认证：实现用户完成一次登录认证成功后，访问其他的应用时不在需要二次认证。同时可以实现多个域之间的认证，只要在一个域中完成登录认证，访问其他域时不再需要二次认证。支持跨浏览器单点登录。</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认证体系：基于标准PKI验证过程，支持验证PKCS1/PKCS7标准格式的电子签名，包括验证签名及证书有效性等；</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协同签名：使用业务系统发起签名请求时，服务器与用户手机完成协同签名；</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多设备签名：可以实现一个人可以使用多台设备、一台设备多个人的应用场景；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签名信息：可以实现在签名任务中增加签名描述信息；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手机端APP/SDK功能：移动端支持基于激活码下载证书和扫码下载证书、移动端APP支持通过扫码或手动方式配置服务端、移动端SDK支持批量拉取签名任务：支持批量拉取待签名任务、移动端SDK支持传PIN码签名、支持通过传入PIN码的方式进行签名；</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自助采集：可以实现用户登录管理系统，自行录入个人信息，通过摄像头自行采集人脸图片，采集完成后保存到服务端；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信息导入：可以实现管理员下载信息导入模板，搜集用户信息和人脸图片，搜集完成后使用模板批量导入到服务器中；</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签名功能：移动端提供用户证书申请、登录认证、网页签章、签名任务 id、扫码签名、推送签名、授权签名、自动签名、批量拉取签名、PIN码/指纹/人脸方式签名功能；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密钥管理：可以实现密钥生成、存储、销毁、归档、统计产销等功能，支持密钥由移动终端和服务器协商产生，采用密钥分割技术保存密钥。</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签名管理：可以实现</w:t>
      </w:r>
      <w:r>
        <w:rPr>
          <w:rFonts w:hint="eastAsia" w:ascii="宋体" w:hAnsi="宋体" w:cs="宋体"/>
          <w:sz w:val="24"/>
          <w:highlight w:val="none"/>
          <w:lang w:val="zh-CN"/>
        </w:rPr>
        <w:t xml:space="preserve">基于数字证书的个人电子签章、扫码签章、网页签章、PDF 签章功能正常，签章图片配置移动端手写和管理端自定义功能</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sz w:val="24"/>
          <w:highlight w:val="none"/>
        </w:rPr>
        <w:t xml:space="preserve">人脸认证：</w:t>
      </w:r>
      <w:r>
        <w:rPr>
          <w:rFonts w:hint="eastAsia" w:ascii="宋体" w:hAnsi="宋体" w:cs="宋体"/>
          <w:sz w:val="24"/>
          <w:highlight w:val="none"/>
          <w:lang w:val="zh-CN"/>
        </w:rPr>
        <w:t xml:space="preserve">通过人脸算法对采集的人脸信息进行比对识别，实现人脸方式的身份认证；</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国产算法：最少支持SM2算法、SM3算法、SM4算法；</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认证方式：支持用户名密码的静态口令认证方式，支持数字证书认证、二维码扫描认证、一次性口令认证、WindowsAD域认证、OAuth认证等；</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服务授权：支持人脸服务授权二次配置；</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钥匙管理：支持人脸识别智能密码钥匙管理，包括所在的位置和注册信息等；</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签名结果：支持通过接口添加用户信息支持通过轮询或注册回调方式获取签名结果；</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时间同步：支持通过NTP进行时间同步；</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双机部署：支持双机和集群部署；</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所投产品须具备《商用密码产品认证证书》，并提供证书复印件加盖印章；</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2、时间戳一体机</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硬件规格：基于国产化适配，设备高度</w:t>
      </w:r>
      <w:r>
        <w:rPr>
          <w:rFonts w:hint="eastAsia" w:ascii="宋体" w:hAnsi="宋体" w:cs="宋体"/>
          <w:sz w:val="24"/>
          <w:highlight w:val="none"/>
        </w:rPr>
        <w:tab/>
      </w:r>
      <w:r>
        <w:rPr>
          <w:rFonts w:hint="eastAsia" w:ascii="宋体" w:hAnsi="宋体" w:cs="宋体"/>
          <w:sz w:val="24"/>
          <w:highlight w:val="none"/>
        </w:rPr>
        <w:t xml:space="preserve">2U、网络接口</w:t>
      </w:r>
      <w:r>
        <w:rPr>
          <w:rFonts w:hint="eastAsia" w:ascii="宋体" w:hAnsi="宋体" w:cs="宋体"/>
          <w:sz w:val="24"/>
          <w:highlight w:val="none"/>
        </w:rPr>
        <w:tab/>
      </w:r>
      <w:r>
        <w:rPr>
          <w:rFonts w:hint="eastAsia" w:ascii="宋体" w:hAnsi="宋体" w:cs="宋体"/>
          <w:sz w:val="24"/>
          <w:highlight w:val="none"/>
        </w:rPr>
        <w:t xml:space="preserve">2*1000M、双电源适配达到冗余电源；</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产品性能：提供备份恢复功能，可通过界面备份当前所有配置，保证系统瘫痪时的快速恢复；内置恒温晶振：日老化率5E-10，秒稳定度优于2E-11，日平均准确度优于1E-12；支持应用平台： WindowsServer；Linux；AIX；Solaris；Unix；支持应用接口： Java、C、COM、WebService、HTTP；时间戳生成速率≥6500次/秒，验证速率≥2000次/秒；</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签发时间戳：接收应用系统发来的时间戳签发请求，签发时间戳后将时间戳返回给应用系统；</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验证时间戳：处理应用系统发来的时间戳验证请求，将时间戳验证结果返回给应用系统；</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支持北斗时间源：支持单北斗时间源，满足智慧医疗评级需求，支持启用/禁用BD-I方式从基站获取北斗时间；</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支持算法：SM2、SM3、SM4等；</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时间同步：支持NPT、SNTP时间同步协议；</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授时精度：0.5-3ms(毫秒)；</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守时精度：&lt;1ms（72小时），内置恒温晶振；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支持一键检测功能，包括服务接口检测和加密卡检测，保证设备处于正常工作状态；</w:t>
      </w:r>
      <w:r>
        <w:rPr>
          <w:rFonts w:hint="eastAsia"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所投产品须具备《商用密码产品认证证书》，并提供证书复印件加盖印章；</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3、个人数字证书</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采用第三方电子认证机构颁发X509 v3的数字证书提供电子签名服务；</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支持算法：支持RSA2048、SM2；</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证书介质：移动终端作为认证与签名设备，利用终端与协同签名系统的互动，实现应用的移动电子认证与签名；</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符合卫生部《卫生系统数字证书格式规范（试行）》；</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符合卫生部《卫生系统电子认证服务规范（试行）》</w:t>
      </w:r>
      <w:r>
        <w:rPr>
          <w:rFonts w:hint="eastAsia"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符合国家卫生行政管理部门《卫生系统数字证书格式规范（试行）》；</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符合国家卫生行政管理部门《卫生系统电子认证服务规范（试行）》；</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证书服务提供商须具备《电子认证服务使用密码许可证》，并提供证书复印件加盖印章；</w:t>
      </w:r>
      <w:r>
        <w:rPr>
          <w:rFonts w:hint="eastAsia" w:ascii="宋体" w:hAnsi="宋体" w:cs="宋体"/>
          <w:sz w:val="24"/>
          <w:highlight w:val="none"/>
        </w:rPr>
      </w:r>
      <w:r/>
    </w:p>
    <w:p>
      <w:pPr>
        <w:pStyle w:val="968"/>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4、手写信息数字签名系统</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硬件规格：基于国产化适配软硬件一体化，满足自身软件使用需求，满足后期扩展需求，双电源适配达到冗余电源；</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产品性能：签名业务处理能力≥42TPS；</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支持通过手写输入设备，获取签名人手写签字笔迹，作为数字签名可视化展现效果图示；</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支持刷人脸、手机号比对、刷身份证、采指纹、拍人像五种核验方式，其中刷人脸和手机号比对对接第三方权威数据源，确保电子签名人身份的有效性；</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支持配置多级科室，支持批量添加组织机构信息，同步院内科室信息，支持设置科室密码；</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支持一次集成，有线手写板、无线手写板、H5、小程序多终端签署；</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支持算法：SM3、SM2、SHA256、RSA；</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支持对OFD版式文件加盖归档签章，在电子文件上显示签章图片，并记录时间戳，保护文件的完整性；</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支持关键字定位签章，支持文档中针对单个、多个和全部关键字进行签章；</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提供患者文书签署记录存储、查询、浏览等管理功能，</w:t>
      </w:r>
      <w:r>
        <w:rPr>
          <w:rFonts w:ascii="宋体" w:hAnsi="宋体" w:cs="宋体"/>
          <w:sz w:val="24"/>
          <w:highlight w:val="none"/>
        </w:rPr>
        <w:t xml:space="preserve">保存所有业务系统请求并产生的患者文书电子签名记录，包括来源系统、业务编号、文件名称、签署人员、签署时间、签名文件、签署状态等信息。提供文件内容浏览、文件查验、文件下载等功能</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支持在OFD文档中加入电子印章，印章图片可隐藏；</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支持使用数字签名密码算法，对数据内容进行密码运算，保护内容的完整性、有效性、和签名行为的不可否认性；</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提供服务器印章管理功能，支持对印章图片缩放，支持印章动态附文（处于印章图片上层的附加文字，可以动态变化）的设置。印章图片格式支持gif、png、jpg。支持国密标准（GM/T 0031-2014）的印章管理。印章制作时可关联证书，也可不关联证书。支持印章批量导入；</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数字签名：利用数字证书，进行个人数字签名，确保签署行为身份真实性、内容完整性和签名行为的不可抵赖性，支持对数据的签名及对PDF格式文档的签名；</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完成病案的采集、校验、回收、归档、封存等医院需求的管理环节的可配置化管理过程。系统可实现个流程环节达到条件后自动进入下一处理环节的流程自动转化功能；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color w:val="000000"/>
          <w:sz w:val="24"/>
          <w:highlight w:val="none"/>
          <w:lang w:val="zh-CN"/>
        </w:rPr>
        <w:t xml:space="preserve">▲</w:t>
      </w:r>
      <w:r>
        <w:rPr>
          <w:rFonts w:hint="eastAsia" w:ascii="宋体" w:hAnsi="宋体" w:cs="宋体"/>
          <w:sz w:val="24"/>
          <w:highlight w:val="none"/>
          <w:lang w:val="zh-CN"/>
        </w:rPr>
        <w:t xml:space="preserve">控制和查看文书状态，支持电子病历存储、查询和下载。支持待签文书批量删除。文书状态有8种：待下载、已下载、待签名、已变更、签名异常、推送异常、已签名、完成</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支持将PDF版式文件转换为符合GB/T 33190标准的OFD格式文件；</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支持OFD文件签章校验功能。可对OFD版式文件进行签章数据检验确认，确保任何改动可被发现；</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提供签章规则管理功能，对OFD签章制定相关的规则与标准，支持关键字定位与坐标定位，可以根据自身业务特点设置个性化签章规则，并且基于该规则进行查看预览，同时可设置对签章后的文档进行安全保护；</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可以根据业务特点设置个性化签章规则，同时还可对签章规则的使用IP段权限进行白名单设置。管理签章应用的服务器证书、签章图片、签章展现属性、签章定位、透明度等；</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支持证书管理，包括证书信任链管理、签名服务器证书管理，CRL管理等，遵循PKCS及X509 v3标准；</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提供OFD版式文件利用功能，支持OFD版式文件浏览、打印，并支持浏览时增加动态水印；</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支持对服务器CPU、磁盘、内存、进程、读写、网络流量等监控；</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5、单位数字证书</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标识单位用户网络身份；</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符合国家卫生行政管理部门《卫生系统数字证书格式规范（试行）》；</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符合国家卫生行政管理部门《卫生系统电子认证服务规范（试行）》；</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证书格式标准遵循x．509v3标准；</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支持存放介质：商用密码设备；</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支持算法：RSA、SM2；</w:t>
      </w:r>
      <w:r>
        <w:rPr>
          <w:rFonts w:hint="eastAsia" w:ascii="宋体" w:hAnsi="宋体" w:cs="宋体"/>
          <w:sz w:val="24"/>
          <w:highlight w:val="none"/>
          <w:lang w:val="zh-CN"/>
        </w:rPr>
      </w:r>
      <w:r/>
    </w:p>
    <w:p>
      <w:pPr>
        <w:pStyle w:val="96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6、手写信息数字签名板（无线；数量：36台）</w:t>
      </w:r>
      <w:r>
        <w:rPr>
          <w:rFonts w:hint="eastAsia"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手写签名采集：通过手写签名终端获取签名人手写签字笔迹，作为数字签名可视化展现效果图示</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身份信息采集：获取签名人的身份信息，包括姓名、证件类型、证件号码等</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行为证据采集：通过设备（摄像头、指纹仪等）采集照片、生物特征等，形成签名行为的证据链</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支持手写批注采集，通过手写签名板获取签名人手写批注笔迹图片，支持多字多行批注，在签名文档上进行可视化展现</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高易用性：终端内置 Andorid12 操作系统，提供原笔迹签名、信息交互、指纹识别、人像拍照、等功能</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支持通过可视化界面对WiFi白名单进行安全管控，可根据口令管理WiFi，支持固定显示单个或多个指定WiFi，便于安全管控网络连接</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可信数据安全；终端内置国密芯片，对整机的用户静态数据都能进行加密处理，保障用户的静态数据安全。当终端进行数据传输时，传输数据可采用加密+签名的手段，保证数据传输过程的保密性和防篡改，保障数据传输安全</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显示屏不小于10.1寸；</w:t>
      </w:r>
      <w:r>
        <w:rPr>
          <w:rFonts w:hint="eastAsia" w:ascii="宋体" w:hAnsi="宋体" w:cs="宋体"/>
          <w:sz w:val="24"/>
          <w:highlight w:val="none"/>
          <w:lang w:val="zh-CN"/>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显示分辨率：1280 x 800 (16:10)</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CPU：8核  2.0GHz，内存：4G，存储：64G，TF卡：最大支持128G</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电磁屏感应模式：被动式无源电磁感应</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高清单目摄像头，前置500万像素，后置800万像素</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指纹类型：电容型</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指纹规范：感应阵列256*288</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指纹分辨率：500DPI</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电池容量：标配</w:t>
      </w:r>
      <w:r>
        <w:rPr>
          <w:rFonts w:hint="eastAsia" w:ascii="宋体" w:hAnsi="宋体" w:cs="宋体"/>
          <w:sz w:val="24"/>
          <w:highlight w:val="none"/>
        </w:rPr>
        <w:t xml:space="preserve">7</w:t>
      </w:r>
      <w:r>
        <w:rPr>
          <w:rFonts w:hint="eastAsia" w:ascii="宋体" w:hAnsi="宋体" w:cs="宋体"/>
          <w:sz w:val="24"/>
          <w:highlight w:val="none"/>
          <w:lang w:val="zh-CN"/>
        </w:rPr>
        <w:t xml:space="preserve">000mAH，待机时长：100h，工作时长：8h</w:t>
      </w:r>
      <w:r>
        <w:rPr>
          <w:rFonts w:hint="eastAsia" w:ascii="宋体" w:hAnsi="宋体" w:cs="宋体"/>
          <w:sz w:val="24"/>
          <w:highlight w:val="none"/>
        </w:rPr>
        <w:t xml:space="preserve">;</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通讯模块：WiFi（双频WiFi，2.4G、5G），蓝牙（蓝牙，BT5.0），4G（全网通）</w:t>
      </w:r>
      <w:r>
        <w:rPr>
          <w:rFonts w:hint="eastAsia" w:ascii="宋体" w:hAnsi="宋体" w:cs="宋体"/>
          <w:sz w:val="24"/>
          <w:highlight w:val="none"/>
        </w:rPr>
        <w:t xml:space="preserve">;</w:t>
      </w:r>
      <w:r>
        <w:rPr>
          <w:rFonts w:hint="eastAsia" w:ascii="宋体" w:hAnsi="宋体" w:cs="宋体"/>
          <w:sz w:val="24"/>
          <w:highlight w:val="none"/>
        </w:rPr>
      </w:r>
      <w:r/>
    </w:p>
    <w:p>
      <w:pPr>
        <w:pStyle w:val="1015"/>
        <w:ind w:left="0"/>
        <w:spacing w:line="360" w:lineRule="auto"/>
        <w:rPr>
          <w:rFonts w:ascii="宋体" w:hAnsi="宋体" w:cs="宋体"/>
          <w:sz w:val="24"/>
          <w:highlight w:val="none"/>
        </w:rPr>
      </w:pPr>
      <w:r>
        <w:rPr>
          <w:rFonts w:ascii="宋体" w:hAnsi="宋体" w:cs="宋体"/>
          <w:sz w:val="24"/>
          <w:highlight w:val="none"/>
        </w:rPr>
      </w:r>
      <w:r/>
    </w:p>
    <w:p>
      <w:pPr>
        <w:pStyle w:val="968"/>
        <w:ind w:firstLine="482"/>
        <w:spacing w:line="360" w:lineRule="auto"/>
        <w:rPr>
          <w:rFonts w:ascii="宋体" w:hAnsi="宋体" w:cs="宋体"/>
          <w:b/>
          <w:bCs/>
          <w:sz w:val="24"/>
          <w:highlight w:val="none"/>
        </w:rPr>
        <w:outlineLvl w:val="0"/>
      </w:pPr>
      <w:r>
        <w:rPr>
          <w:rFonts w:hint="eastAsia" w:ascii="宋体" w:hAnsi="宋体" w:cs="宋体"/>
          <w:b/>
          <w:bCs/>
          <w:sz w:val="24"/>
          <w:highlight w:val="none"/>
        </w:rPr>
        <w:t xml:space="preserve">（八）病案无纸化归档系统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1、总体技术要求</w:t>
      </w:r>
      <w:r>
        <w:rPr>
          <w:rFonts w:ascii="宋体" w:hAnsi="宋体" w:cs="宋体"/>
          <w:b/>
          <w:bCs/>
          <w:sz w:val="24"/>
          <w:highlight w:val="none"/>
        </w:rPr>
      </w:r>
      <w:r/>
    </w:p>
    <w:p>
      <w:pPr>
        <w:pStyle w:val="968"/>
        <w:ind w:firstLine="480"/>
        <w:spacing w:line="360" w:lineRule="auto"/>
        <w:rPr>
          <w:rFonts w:ascii="宋体" w:hAnsi="宋体" w:cs="宋体"/>
          <w:b/>
          <w:bCs/>
          <w:sz w:val="24"/>
          <w:highlight w:val="none"/>
        </w:rPr>
      </w:pPr>
      <w:r>
        <w:rPr>
          <w:rFonts w:hint="eastAsia" w:ascii="宋体" w:hAnsi="宋体" w:cs="宋体"/>
          <w:bCs/>
          <w:sz w:val="24"/>
          <w:highlight w:val="none"/>
        </w:rPr>
        <w:t xml:space="preserve">1.1</w:t>
      </w:r>
      <w:r>
        <w:rPr>
          <w:rFonts w:hint="eastAsia" w:ascii="宋体" w:hAnsi="宋体" w:cs="宋体"/>
          <w:color w:val="000000"/>
          <w:sz w:val="24"/>
          <w:highlight w:val="none"/>
        </w:rPr>
        <w:t xml:space="preserve">必须满足国家卫健委下发的《电子病历应用管理规范》、《病历书写规范》相关规范和标准。</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1.2</w:t>
      </w:r>
      <w:r>
        <w:rPr>
          <w:rFonts w:hint="eastAsia" w:ascii="宋体" w:hAnsi="宋体" w:cs="宋体"/>
          <w:color w:val="000000"/>
          <w:sz w:val="24"/>
          <w:highlight w:val="none"/>
        </w:rPr>
        <w:t xml:space="preserve">系统采用开放性设计，具备完善的应用软件功能开发、维护能力，能根据医院实际需求进行应用系统的功能重组、二次开发</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color w:val="000000"/>
          <w:sz w:val="24"/>
          <w:highlight w:val="none"/>
        </w:rPr>
        <w:t xml:space="preserve">技术采用B/S和C/S双架构保证系统使用的稳定性和兼容性；应用端支持</w:t>
      </w:r>
      <w:r>
        <w:rPr>
          <w:rFonts w:hint="eastAsia" w:ascii="宋体" w:hAnsi="宋体" w:cs="宋体"/>
          <w:bCs/>
          <w:color w:val="000000"/>
          <w:sz w:val="24"/>
          <w:highlight w:val="none"/>
        </w:rPr>
        <w:t xml:space="preserve">支持IE6.0以上包含6.0浏览器、</w:t>
      </w:r>
      <w:r>
        <w:rPr>
          <w:rFonts w:hint="eastAsia" w:ascii="宋体" w:hAnsi="宋体" w:cs="宋体"/>
          <w:color w:val="000000"/>
          <w:sz w:val="24"/>
          <w:highlight w:val="none"/>
        </w:rPr>
        <w:t xml:space="preserve">Edge、360极速浏览器、Chrome主流浏览器</w:t>
      </w:r>
      <w:r>
        <w:rPr>
          <w:rFonts w:ascii="宋体" w:hAnsi="宋体" w:cs="宋体"/>
          <w:sz w:val="24"/>
          <w:highlight w:val="none"/>
        </w:rPr>
      </w:r>
      <w:r/>
    </w:p>
    <w:p>
      <w:pPr>
        <w:pStyle w:val="968"/>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1.4</w:t>
      </w:r>
      <w:r>
        <w:rPr>
          <w:rFonts w:hint="eastAsia" w:ascii="宋体" w:hAnsi="宋体" w:cs="宋体"/>
          <w:color w:val="000000"/>
          <w:sz w:val="24"/>
          <w:highlight w:val="none"/>
        </w:rPr>
        <w:t xml:space="preserve">持国产数据库和国产操作系统（需提供相关证明材料）</w:t>
      </w:r>
      <w:r>
        <w:rPr>
          <w:rFonts w:ascii="宋体" w:hAnsi="宋体" w:cs="宋体"/>
          <w:color w:val="000000"/>
          <w:sz w:val="24"/>
          <w:highlight w:val="none"/>
        </w:rPr>
      </w:r>
      <w:r/>
    </w:p>
    <w:p>
      <w:pPr>
        <w:pStyle w:val="968"/>
        <w:ind w:firstLine="482"/>
        <w:spacing w:line="360" w:lineRule="auto"/>
        <w:rPr>
          <w:rFonts w:ascii="宋体" w:hAnsi="宋体" w:cs="宋体"/>
          <w:b/>
          <w:sz w:val="24"/>
          <w:highlight w:val="none"/>
        </w:rPr>
      </w:pPr>
      <w:r>
        <w:rPr>
          <w:rFonts w:hint="eastAsia" w:ascii="宋体" w:hAnsi="宋体" w:cs="宋体"/>
          <w:b/>
          <w:sz w:val="24"/>
          <w:highlight w:val="none"/>
        </w:rPr>
        <w:t xml:space="preserve">2、系统架构要求</w:t>
      </w:r>
      <w:r>
        <w:rPr>
          <w:rFonts w:ascii="宋体" w:hAnsi="宋体" w:cs="宋体"/>
          <w:b/>
          <w:sz w:val="24"/>
          <w:highlight w:val="none"/>
        </w:rPr>
      </w:r>
      <w:r/>
    </w:p>
    <w:p>
      <w:pPr>
        <w:pStyle w:val="968"/>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2.1</w:t>
      </w:r>
      <w:r>
        <w:rPr>
          <w:rFonts w:hint="eastAsia" w:ascii="宋体" w:hAnsi="宋体" w:cs="宋体"/>
          <w:color w:val="000000"/>
          <w:sz w:val="24"/>
          <w:highlight w:val="none"/>
        </w:rPr>
        <w:t xml:space="preserve">支持低代码生成器：可根据需求个性化修改、使开发更简单、更快速；支持主从表全自动生成代码,零代码完成：新增、编辑、删除、导入、导出、审批功能</w:t>
      </w:r>
      <w:r>
        <w:rPr>
          <w:rFonts w:ascii="宋体" w:hAnsi="宋体" w:cs="宋体"/>
          <w:color w:val="000000"/>
          <w:sz w:val="24"/>
          <w:highlight w:val="none"/>
        </w:rPr>
      </w:r>
      <w:r/>
    </w:p>
    <w:p>
      <w:pPr>
        <w:pStyle w:val="9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2.2支持主从表全自动生成代码,零代码完成：新增、编辑、删除、导入、导出、审批功能</w:t>
      </w:r>
      <w:r>
        <w:rPr>
          <w:rFonts w:ascii="宋体" w:hAnsi="宋体" w:cs="宋体"/>
          <w:color w:val="000000"/>
          <w:sz w:val="24"/>
          <w:highlight w:val="none"/>
        </w:rPr>
      </w:r>
      <w:r/>
    </w:p>
    <w:p>
      <w:pPr>
        <w:pStyle w:val="969"/>
        <w:ind w:firstLine="480"/>
        <w:spacing w:line="360" w:lineRule="auto"/>
        <w:rPr>
          <w:rFonts w:ascii="宋体" w:hAnsi="宋体" w:cs="宋体"/>
          <w:color w:val="000000"/>
          <w:sz w:val="24"/>
          <w:highlight w:val="none"/>
          <w:lang w:eastAsia="zh-CN"/>
        </w:rPr>
      </w:pPr>
      <w:r>
        <w:rPr>
          <w:rFonts w:hint="eastAsia" w:ascii="宋体" w:hAnsi="宋体" w:eastAsia="宋体" w:cs="宋体"/>
          <w:sz w:val="24"/>
          <w:szCs w:val="24"/>
          <w:highlight w:val="none"/>
          <w:lang w:eastAsia="zh-CN"/>
        </w:rPr>
        <w:t xml:space="preserve">2.3</w:t>
      </w:r>
      <w:r>
        <w:rPr>
          <w:rFonts w:hint="eastAsia" w:ascii="宋体" w:hAnsi="宋体" w:eastAsia="宋体" w:cs="宋体"/>
          <w:color w:val="000000"/>
          <w:sz w:val="24"/>
          <w:szCs w:val="24"/>
          <w:highlight w:val="none"/>
          <w:lang w:eastAsia="zh-CN"/>
        </w:rPr>
        <w:t xml:space="preserve">支持多种数据权限模式，只需界面选择数据权限，后台自动完成</w:t>
      </w:r>
      <w:r>
        <w:rPr>
          <w:rFonts w:ascii="宋体" w:hAnsi="宋体" w:cs="宋体"/>
          <w:color w:val="000000"/>
          <w:sz w:val="24"/>
          <w:highlight w:val="none"/>
          <w:lang w:eastAsia="zh-CN"/>
        </w:rPr>
      </w:r>
      <w:r/>
    </w:p>
    <w:p>
      <w:pPr>
        <w:pStyle w:val="969"/>
        <w:ind w:firstLine="480"/>
        <w:spacing w:line="360" w:lineRule="auto"/>
        <w:rPr>
          <w:rFonts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第三方数据源：通过数据配置可以将数据采集到本框架中，减少实施时间</w:t>
      </w:r>
      <w:r>
        <w:rPr>
          <w:rFonts w:ascii="宋体" w:hAnsi="宋体" w:eastAsia="宋体" w:cs="宋体"/>
          <w:color w:val="000000"/>
          <w:sz w:val="24"/>
          <w:szCs w:val="24"/>
          <w:highlight w:val="none"/>
          <w:lang w:eastAsia="zh-CN"/>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2.5可以将无纸化系统预警、消息通知的信息通过企业微信、钉钉推送给指定用户。</w:t>
      </w:r>
      <w:r>
        <w:rPr>
          <w:rFonts w:hint="eastAsia" w:ascii="宋体" w:hAnsi="宋体" w:cs="宋体"/>
          <w:sz w:val="24"/>
          <w:highlight w:val="none"/>
        </w:rPr>
      </w:r>
      <w:r/>
    </w:p>
    <w:p>
      <w:pPr>
        <w:pStyle w:val="969"/>
        <w:ind w:firstLine="480"/>
        <w:spacing w:line="360" w:lineRule="auto"/>
        <w:rPr>
          <w:rFonts w:eastAsia="宋体"/>
          <w:highlight w:val="none"/>
          <w:lang w:val="en-US" w:eastAsia="zh-CN"/>
        </w:rPr>
      </w:pPr>
      <w:r>
        <w:rPr>
          <w:rFonts w:hint="eastAsia" w:ascii="宋体" w:hAnsi="宋体" w:eastAsia="宋体" w:cs="宋体"/>
          <w:sz w:val="24"/>
          <w:szCs w:val="24"/>
          <w:highlight w:val="none"/>
          <w:lang w:val="en-US" w:eastAsia="zh-CN"/>
        </w:rPr>
        <w:t xml:space="preserve">2.6 </w:t>
      </w:r>
      <w:r>
        <w:rPr>
          <w:rFonts w:hint="eastAsia" w:ascii="宋体" w:hAnsi="宋体" w:eastAsia="宋体" w:cs="宋体"/>
          <w:bCs/>
          <w:sz w:val="24"/>
          <w:szCs w:val="24"/>
          <w:highlight w:val="none"/>
          <w:lang w:eastAsia="zh-CN"/>
        </w:rPr>
        <w:t xml:space="preserve">要求一套系统同时包含无纸化和数字化加工功能，使得历史拍摄加工的文件和无纸化自动采集的文件可以存储在一起实现无缝衔接，达到数据的互联互通。从而减少接口对接等工作，也可以降低服务器资源的使用。</w:t>
      </w:r>
      <w:r>
        <w:rPr>
          <w:rFonts w:eastAsia="宋体"/>
          <w:highlight w:val="none"/>
          <w:lang w:val="en-US" w:eastAsia="zh-CN"/>
        </w:rPr>
      </w:r>
      <w:r/>
    </w:p>
    <w:p>
      <w:pPr>
        <w:pStyle w:val="969"/>
        <w:ind w:firstLine="236"/>
        <w:spacing w:line="360" w:lineRule="auto"/>
        <w:rPr>
          <w:highlight w:val="none"/>
          <w:lang w:eastAsia="zh-CN"/>
        </w:rPr>
      </w:pPr>
      <w:r>
        <w:rPr>
          <w:rFonts w:hint="eastAsia" w:ascii="宋体" w:hAnsi="宋体" w:eastAsia="宋体" w:cs="宋体"/>
          <w:b/>
          <w:sz w:val="24"/>
          <w:szCs w:val="24"/>
          <w:highlight w:val="none"/>
          <w:lang w:eastAsia="zh-CN"/>
        </w:rPr>
        <w:t xml:space="preserve">3、无纸化归档数据采集</w:t>
      </w:r>
      <w:r>
        <w:rPr>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3.1系统支持对HIS、EMR、LIS、PACS、手麻、重症、护理等常见医院业务系统进行对接，完成出院患者病历单据自动采集，自动校验、转换为标准版式统一管理统一利用</w:t>
      </w:r>
      <w:r>
        <w:rPr>
          <w:rFonts w:ascii="宋体" w:hAnsi="宋体" w:cs="宋体"/>
          <w:sz w:val="24"/>
          <w:highlight w:val="none"/>
        </w:rPr>
      </w:r>
      <w:r/>
    </w:p>
    <w:p>
      <w:pPr>
        <w:pStyle w:val="969"/>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3.2支持多种接口方式，支持http、base64格式、ftp下载、Api接口、共享和接口安全token机制</w:t>
      </w:r>
      <w:r>
        <w:rPr>
          <w:rFonts w:ascii="宋体" w:hAnsi="宋体" w:eastAsia="宋体" w:cs="宋体"/>
          <w:sz w:val="24"/>
          <w:szCs w:val="24"/>
          <w:highlight w:val="none"/>
        </w:rPr>
      </w:r>
      <w:r/>
    </w:p>
    <w:p>
      <w:pPr>
        <w:pStyle w:val="968"/>
        <w:spacing w:line="360" w:lineRule="auto"/>
        <w:rPr>
          <w:rFonts w:hint="eastAsia" w:ascii="宋体" w:hAnsi="宋体" w:cs="宋体"/>
          <w:sz w:val="24"/>
          <w:highlight w:val="none"/>
        </w:rPr>
      </w:pPr>
      <w:r>
        <w:rPr>
          <w:rFonts w:hint="eastAsia" w:ascii="宋体" w:hAnsi="宋体" w:cs="宋体"/>
          <w:sz w:val="24"/>
          <w:highlight w:val="none"/>
        </w:rPr>
        <w:t xml:space="preserve">3.3 采集子系统通过电子病历完成状态自动采集病历PDF文档，并存储到事先约定的服务器路径。</w:t>
      </w:r>
      <w:r>
        <w:rPr>
          <w:rFonts w:hint="eastAsia" w:ascii="宋体" w:hAnsi="宋体" w:cs="宋体"/>
          <w:sz w:val="24"/>
          <w:highlight w:val="none"/>
        </w:rPr>
      </w:r>
      <w:r/>
    </w:p>
    <w:p>
      <w:pPr>
        <w:pStyle w:val="968"/>
        <w:spacing w:line="360" w:lineRule="auto"/>
        <w:rPr>
          <w:rFonts w:hint="eastAsia" w:ascii="宋体" w:hAnsi="宋体" w:cs="宋体"/>
          <w:sz w:val="24"/>
          <w:highlight w:val="none"/>
        </w:rPr>
      </w:pPr>
      <w:r>
        <w:rPr>
          <w:rFonts w:hint="eastAsia" w:ascii="宋体" w:hAnsi="宋体" w:cs="宋体"/>
          <w:sz w:val="24"/>
          <w:highlight w:val="none"/>
        </w:rPr>
        <w:t xml:space="preserve">3.4后台自动执行归档(采集)服务，不影响其他业务系统的正常运行。</w:t>
      </w:r>
      <w:r>
        <w:rPr>
          <w:rFonts w:hint="eastAsia" w:ascii="宋体" w:hAnsi="宋体" w:cs="宋体"/>
          <w:sz w:val="24"/>
          <w:highlight w:val="none"/>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3.5数据闭环采集，及时采集归档并提醒</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3.6采集数据自动校验是否采集异常，根据申请单信息自动校验报告是否完成采集，进行异常提醒</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3.7支持分类映射维护，预置丰富的映射规则库</w:t>
      </w:r>
      <w:r>
        <w:rPr>
          <w:rFonts w:ascii="宋体" w:hAnsi="宋体" w:cs="宋体"/>
          <w:sz w:val="24"/>
          <w:highlight w:val="none"/>
        </w:rPr>
      </w:r>
      <w:r/>
    </w:p>
    <w:p>
      <w:pPr>
        <w:pStyle w:val="969"/>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3.8支持采集多状态、时间自定义采集，特殊报告出院延迟归档采集、自动检测不确定特殊报告归档时间保障采集的及时性；</w:t>
      </w:r>
      <w:r>
        <w:rPr>
          <w:rFonts w:hint="eastAsia" w:ascii="宋体" w:hAnsi="宋体" w:eastAsia="宋体" w:cs="宋体"/>
          <w:sz w:val="24"/>
          <w:szCs w:val="24"/>
          <w:highlight w:val="none"/>
          <w:lang w:eastAsia="zh-CN"/>
        </w:rPr>
      </w:r>
      <w:r/>
    </w:p>
    <w:p>
      <w:pPr>
        <w:pStyle w:val="968"/>
        <w:spacing w:line="360" w:lineRule="auto"/>
        <w:rPr>
          <w:rFonts w:hint="eastAsia" w:ascii="宋体" w:hAnsi="宋体" w:cs="宋体"/>
          <w:bCs/>
          <w:sz w:val="24"/>
          <w:highlight w:val="none"/>
        </w:rPr>
      </w:pPr>
      <w:r>
        <w:rPr>
          <w:rFonts w:hint="eastAsia" w:ascii="宋体" w:hAnsi="宋体" w:cs="宋体"/>
          <w:sz w:val="24"/>
          <w:highlight w:val="none"/>
        </w:rPr>
        <w:t xml:space="preserve">3.9 </w:t>
      </w:r>
      <w:r>
        <w:rPr>
          <w:rFonts w:hint="eastAsia" w:ascii="宋体" w:hAnsi="宋体" w:cs="宋体"/>
          <w:bCs/>
          <w:sz w:val="24"/>
          <w:highlight w:val="none"/>
        </w:rPr>
        <w:t xml:space="preserve">支持对院内病案首页进行数据同步和首页质控分析，包括患者基本信息、患者诊断信息、患者手术信息、患者费用信息等模块，质控规则支持自定义。</w:t>
      </w:r>
      <w:r>
        <w:rPr>
          <w:rFonts w:hint="eastAsia" w:ascii="宋体" w:hAnsi="宋体" w:cs="宋体"/>
          <w:bCs/>
          <w:sz w:val="24"/>
          <w:highlight w:val="none"/>
        </w:rPr>
      </w:r>
      <w:r/>
    </w:p>
    <w:p>
      <w:pPr>
        <w:pStyle w:val="969"/>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3.10 </w:t>
      </w:r>
      <w:r>
        <w:rPr>
          <w:rFonts w:hint="eastAsia" w:ascii="宋体" w:hAnsi="宋体" w:eastAsia="宋体" w:cs="宋体"/>
          <w:bCs/>
          <w:sz w:val="24"/>
          <w:szCs w:val="24"/>
          <w:highlight w:val="none"/>
          <w:lang w:eastAsia="zh-CN"/>
        </w:rPr>
        <w:t xml:space="preserve">▲支持无纸化归档的患者病案遗留的部分纸质病历采集，采用拍摄或扫描的方式实现病案数字化，并能够与采集的电子病案汇总成一份完整病案，用户通过图标能够区分该报告是采集报告还是拍摄报告。</w:t>
      </w:r>
      <w:r>
        <w:rPr>
          <w:rFonts w:hint="eastAsia" w:ascii="宋体" w:hAnsi="宋体" w:eastAsia="宋体" w:cs="宋体"/>
          <w:bCs/>
          <w:sz w:val="24"/>
          <w:szCs w:val="24"/>
          <w:highlight w:val="none"/>
          <w:lang w:eastAsia="zh-CN"/>
        </w:rPr>
      </w:r>
      <w:r/>
    </w:p>
    <w:p>
      <w:pPr>
        <w:pStyle w:val="968"/>
        <w:rPr>
          <w:highlight w:val="none"/>
        </w:rPr>
      </w:pPr>
      <w:r>
        <w:rPr>
          <w:rFonts w:hint="eastAsia" w:ascii="宋体" w:hAnsi="宋体" w:cs="宋体"/>
          <w:bCs/>
          <w:sz w:val="24"/>
          <w:highlight w:val="none"/>
        </w:rPr>
        <w:t xml:space="preserve">3.11 历史病历翻拍数量不低于2年，240000页。</w:t>
      </w:r>
      <w:r>
        <w:rPr>
          <w:highlight w:val="none"/>
        </w:rPr>
      </w:r>
      <w:r/>
    </w:p>
    <w:p>
      <w:pPr>
        <w:pStyle w:val="968"/>
        <w:spacing w:line="360" w:lineRule="auto"/>
        <w:rPr>
          <w:rFonts w:ascii="宋体" w:hAnsi="宋体" w:cs="宋体"/>
          <w:b/>
          <w:sz w:val="24"/>
          <w:highlight w:val="none"/>
        </w:rPr>
      </w:pPr>
      <w:r>
        <w:rPr>
          <w:rFonts w:hint="eastAsia" w:ascii="宋体" w:hAnsi="宋体" w:cs="宋体"/>
          <w:sz w:val="24"/>
          <w:highlight w:val="none"/>
        </w:rPr>
        <w:t xml:space="preserve">4、</w:t>
      </w:r>
      <w:r>
        <w:rPr>
          <w:rFonts w:hint="eastAsia" w:ascii="宋体" w:hAnsi="宋体" w:cs="宋体"/>
          <w:b/>
          <w:sz w:val="24"/>
          <w:highlight w:val="none"/>
        </w:rPr>
        <w:t xml:space="preserve">示踪功能</w:t>
      </w:r>
      <w:r>
        <w:rPr>
          <w:rFonts w:ascii="宋体" w:hAnsi="宋体" w:cs="宋体"/>
          <w:b/>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4.1提供病案全流程示踪时间轴功能</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4.2提供临床科室直接签出、扫码签出，回收组扫码签收功能，撤销签收签出功能</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4.3提供示踪节点配置，工作流程自定义配置，支持示踪流转上下级配置</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4.4支持示踪查询与统计,支持示踪与病案归档采集状态联合查询</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4.5 持归档病案的全周期追踪，针对当前病案的流转状态进行追踪，如采集状态、回收状态、归档状态、召回状态等</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4.6系统提供病案管理流程时间轴示踪功能，完整展示病案从患者入院、出院、病案采集、病案回收、病案归档、病案打印、病案借阅各项操作及时间展示。时间轴以时间倒序展示</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w:t>
      </w:r>
      <w:r>
        <w:rPr>
          <w:rFonts w:hint="eastAsia" w:ascii="宋体" w:hAnsi="宋体" w:eastAsia="宋体" w:cs="宋体"/>
          <w:b/>
          <w:sz w:val="24"/>
          <w:szCs w:val="24"/>
          <w:highlight w:val="none"/>
          <w:lang w:eastAsia="zh-CN"/>
        </w:rPr>
        <w:t xml:space="preserve">无纸化终末质控功能</w:t>
      </w:r>
      <w:r>
        <w:rPr>
          <w:rFonts w:ascii="宋体" w:hAnsi="宋体" w:eastAsia="宋体" w:cs="宋体"/>
          <w:sz w:val="24"/>
          <w:szCs w:val="24"/>
          <w:highlight w:val="none"/>
          <w:lang w:eastAsia="zh-CN"/>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 预置标准质控规则库，可自定义位置质控标准，维护多套终末质控参数</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5.2、支持质控流程设置，符合医院现有质控工作流程方式</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5.3支持归档质控、纸质病案拍摄时提供完整性归档预警，并能限制采集异常时限制普通质控流程,设置通过权限强制质控，采集异常的允许查看详情</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5.4 持质控直接驳回到相关业务系统，并通知到消息信箱，修改完成后自动采集，形成闭环质控管理</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5.5支持质控批注功能,批注查询浏览功能</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5.6支持质控任务分配，多组质控同一份病案</w:t>
      </w:r>
      <w:r>
        <w:rPr>
          <w:rFonts w:ascii="宋体" w:hAnsi="宋体" w:cs="宋体"/>
          <w:sz w:val="24"/>
          <w:highlight w:val="none"/>
        </w:rPr>
      </w:r>
      <w:r/>
    </w:p>
    <w:p>
      <w:pPr>
        <w:pStyle w:val="969"/>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5.7提供质控记录、病案错误查询、质控结果分类统计</w:t>
      </w:r>
      <w:r>
        <w:rPr>
          <w:rFonts w:hint="eastAsia" w:ascii="宋体" w:hAnsi="宋体" w:eastAsia="宋体" w:cs="宋体"/>
          <w:sz w:val="24"/>
          <w:szCs w:val="24"/>
          <w:highlight w:val="none"/>
          <w:lang w:eastAsia="zh-CN"/>
        </w:rPr>
      </w:r>
      <w:r/>
    </w:p>
    <w:p>
      <w:pPr>
        <w:pStyle w:val="968"/>
        <w:spacing w:line="360" w:lineRule="auto"/>
        <w:rPr>
          <w:highlight w:val="none"/>
        </w:rPr>
      </w:pPr>
      <w:r>
        <w:rPr>
          <w:rFonts w:hint="eastAsia" w:ascii="宋体" w:hAnsi="宋体" w:cs="宋体"/>
          <w:sz w:val="24"/>
          <w:highlight w:val="none"/>
        </w:rPr>
        <w:t xml:space="preserve">5.8 支持科主任或质控医师线上对病历进行病历质量评分，评分完成后自动生成病历质量评分表，并在采集的电子文书中体现。</w:t>
      </w:r>
      <w:r>
        <w:rPr>
          <w:highlight w:val="none"/>
        </w:rPr>
      </w:r>
      <w:r/>
    </w:p>
    <w:p>
      <w:pPr>
        <w:pStyle w:val="968"/>
        <w:spacing w:line="360" w:lineRule="auto"/>
        <w:rPr>
          <w:rFonts w:ascii="宋体" w:hAnsi="宋体" w:cs="宋体"/>
          <w:b/>
          <w:sz w:val="24"/>
          <w:highlight w:val="none"/>
        </w:rPr>
      </w:pPr>
      <w:r>
        <w:rPr>
          <w:rFonts w:hint="eastAsia" w:ascii="宋体" w:hAnsi="宋体" w:cs="宋体"/>
          <w:sz w:val="24"/>
          <w:highlight w:val="none"/>
        </w:rPr>
        <w:t xml:space="preserve">6、</w:t>
      </w:r>
      <w:r>
        <w:rPr>
          <w:rFonts w:hint="eastAsia" w:ascii="宋体" w:hAnsi="宋体" w:cs="宋体"/>
          <w:b/>
          <w:sz w:val="24"/>
          <w:highlight w:val="none"/>
        </w:rPr>
        <w:t xml:space="preserve">病案扫描功能</w:t>
      </w:r>
      <w:r>
        <w:rPr>
          <w:rFonts w:ascii="宋体" w:hAnsi="宋体" w:cs="宋体"/>
          <w:b/>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6.1支持大屏浏览拍摄/扫描，支持所见即所得实时显示，拍摄时可以截取部分拍摄，支持彩色和黑白同时存储，支持缩略图和编目节点树方式查看，缩略图可以及时质检质量</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6.2支持OCR识别首页信息，加载基本信息</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6.3支持临床医生或护士对指定病案标记为缺失或者特殊病历，并支持病案室人员对已标记缺失的病案补收；对病案添加批注</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6.4支持AI自动质检加工报告，检测是报告加工质量，针对加工模糊、截断、手影，支持质检查询与统计</w:t>
      </w:r>
      <w:r>
        <w:rPr>
          <w:rFonts w:ascii="宋体" w:hAnsi="宋体" w:cs="宋体"/>
          <w:sz w:val="24"/>
          <w:highlight w:val="none"/>
        </w:rPr>
      </w:r>
      <w:r/>
    </w:p>
    <w:p>
      <w:pPr>
        <w:pStyle w:val="969"/>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6.5支持审核功能，支持缓存、缩略图审核、支持审核批注功能，针对驳回的病案方便快捷查询并处理</w:t>
      </w:r>
      <w:r>
        <w:rPr>
          <w:rFonts w:hint="eastAsia" w:ascii="宋体" w:hAnsi="宋体" w:eastAsia="宋体" w:cs="宋体"/>
          <w:sz w:val="24"/>
          <w:szCs w:val="24"/>
          <w:highlight w:val="none"/>
          <w:lang w:eastAsia="zh-CN"/>
        </w:rPr>
      </w:r>
      <w:r/>
    </w:p>
    <w:p>
      <w:pPr>
        <w:pStyle w:val="909"/>
        <w:spacing w:line="360" w:lineRule="auto"/>
        <w:rPr>
          <w:highlight w:val="none"/>
        </w:rPr>
      </w:pPr>
      <w:r>
        <w:rPr>
          <w:rFonts w:hint="eastAsia" w:ascii="宋体" w:hAnsi="宋体" w:cs="宋体"/>
          <w:sz w:val="24"/>
          <w:highlight w:val="none"/>
        </w:rPr>
        <w:t xml:space="preserve">6.6 </w:t>
      </w:r>
      <w:r>
        <w:rPr>
          <w:rFonts w:hint="eastAsia" w:ascii="宋体" w:hAnsi="宋体" w:cs="宋体"/>
          <w:bCs/>
          <w:sz w:val="24"/>
          <w:highlight w:val="none"/>
        </w:rPr>
        <w:t xml:space="preserve">支持高速扫描仪扫描之后在页面上批量选择多个图片进行快速分类</w:t>
      </w:r>
      <w:r>
        <w:rPr>
          <w:highlight w:val="none"/>
        </w:rPr>
      </w:r>
      <w:r/>
    </w:p>
    <w:p>
      <w:pPr>
        <w:pStyle w:val="968"/>
        <w:spacing w:line="360" w:lineRule="auto"/>
        <w:rPr>
          <w:rFonts w:ascii="宋体" w:hAnsi="宋体" w:cs="宋体"/>
          <w:b/>
          <w:sz w:val="24"/>
          <w:highlight w:val="none"/>
        </w:rPr>
      </w:pPr>
      <w:r>
        <w:rPr>
          <w:rFonts w:hint="eastAsia" w:ascii="宋体" w:hAnsi="宋体" w:cs="宋体"/>
          <w:sz w:val="24"/>
          <w:highlight w:val="none"/>
        </w:rPr>
        <w:t xml:space="preserve">7、</w:t>
      </w:r>
      <w:r>
        <w:rPr>
          <w:rFonts w:hint="eastAsia" w:ascii="宋体" w:hAnsi="宋体" w:cs="宋体"/>
          <w:b/>
          <w:sz w:val="24"/>
          <w:highlight w:val="none"/>
        </w:rPr>
        <w:t xml:space="preserve">无纸化打印功能</w:t>
      </w:r>
      <w:r>
        <w:rPr>
          <w:rFonts w:ascii="宋体" w:hAnsi="宋体" w:cs="宋体"/>
          <w:b/>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7.1支持打印预设组打印，支持打印费用计算功能，支持打印权限控制</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7.2支持打印队列功能，支持客户端打印预约</w:t>
      </w:r>
      <w:r>
        <w:rPr>
          <w:rFonts w:ascii="宋体" w:hAnsi="宋体" w:cs="宋体"/>
          <w:sz w:val="24"/>
          <w:highlight w:val="none"/>
        </w:rPr>
      </w:r>
      <w:r/>
    </w:p>
    <w:p>
      <w:pPr>
        <w:pStyle w:val="969"/>
        <w:spacing w:line="360" w:lineRule="auto"/>
        <w:rPr>
          <w:highlight w:val="none"/>
          <w:lang w:val="en-US" w:eastAsia="zh-CN"/>
        </w:rPr>
      </w:pPr>
      <w:r>
        <w:rPr>
          <w:rFonts w:hint="eastAsia" w:ascii="宋体" w:hAnsi="宋体" w:eastAsia="宋体" w:cs="宋体"/>
          <w:sz w:val="24"/>
          <w:szCs w:val="24"/>
          <w:highlight w:val="none"/>
          <w:lang w:eastAsia="zh-CN"/>
        </w:rPr>
        <w:t xml:space="preserve">7.3支持导出符合病案管理规定要求格式的PDF，满足上传内容要求和命名格式，同时支持多级页签</w:t>
      </w:r>
      <w:r>
        <w:rPr>
          <w:highlight w:val="none"/>
          <w:lang w:val="en-US" w:eastAsia="zh-CN"/>
        </w:rPr>
      </w:r>
      <w:r/>
    </w:p>
    <w:p>
      <w:pPr>
        <w:pStyle w:val="968"/>
        <w:spacing w:line="360" w:lineRule="auto"/>
        <w:rPr>
          <w:rFonts w:hint="eastAsia" w:ascii="宋体" w:hAnsi="宋体" w:cs="宋体"/>
          <w:sz w:val="24"/>
          <w:highlight w:val="none"/>
        </w:rPr>
      </w:pPr>
      <w:r>
        <w:rPr>
          <w:rFonts w:hint="eastAsia" w:ascii="宋体" w:hAnsi="宋体" w:cs="宋体"/>
          <w:sz w:val="24"/>
          <w:highlight w:val="none"/>
        </w:rPr>
        <w:t xml:space="preserve">7.4支持复印申请单生成功能，病人本人或者复印代理人进行窗口病案复印，需要进行填写复印申请单，通过数字化系统身份证读卡器进行证件留存或者拍摄留存病人证件，支持同时复印人通过调用签名版进行电子签名</w:t>
      </w:r>
      <w:r>
        <w:rPr>
          <w:rFonts w:hint="eastAsia" w:ascii="宋体" w:hAnsi="宋体" w:cs="宋体"/>
          <w:sz w:val="24"/>
          <w:highlight w:val="none"/>
        </w:rPr>
      </w:r>
      <w:r/>
    </w:p>
    <w:p>
      <w:pPr>
        <w:pStyle w:val="969"/>
        <w:spacing w:line="360" w:lineRule="auto"/>
        <w:rPr>
          <w:rFonts w:hint="eastAsia" w:ascii="宋体" w:hAnsi="宋体" w:eastAsia="宋体" w:cs="宋体"/>
          <w:bCs/>
          <w:sz w:val="24"/>
          <w:szCs w:val="24"/>
          <w:highlight w:val="none"/>
          <w:lang w:eastAsia="zh-CN"/>
        </w:rPr>
      </w:pPr>
      <w:r>
        <w:rPr>
          <w:rFonts w:hint="eastAsia" w:ascii="宋体" w:hAnsi="宋体" w:cs="宋体"/>
          <w:sz w:val="24"/>
          <w:highlight w:val="none"/>
          <w:lang w:val="en-US" w:eastAsia="zh-CN"/>
        </w:rPr>
        <w:t xml:space="preserve">7.5 </w:t>
      </w:r>
      <w:r>
        <w:rPr>
          <w:rFonts w:hint="eastAsia" w:ascii="宋体" w:hAnsi="宋体" w:eastAsia="宋体" w:cs="宋体"/>
          <w:bCs/>
          <w:sz w:val="24"/>
          <w:szCs w:val="24"/>
          <w:highlight w:val="none"/>
          <w:lang w:eastAsia="zh-CN"/>
        </w:rPr>
        <w:t xml:space="preserve">满足医保电子凭证全流程中病案复印相关要求</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eastAsia="zh-CN"/>
        </w:rPr>
        <w:t xml:space="preserve">支持外接医保扫码器进行医保电子凭证读取。</w:t>
      </w:r>
      <w:r>
        <w:rPr>
          <w:rFonts w:hint="eastAsia" w:ascii="宋体" w:hAnsi="宋体" w:eastAsia="宋体" w:cs="宋体"/>
          <w:bCs/>
          <w:sz w:val="24"/>
          <w:szCs w:val="24"/>
          <w:highlight w:val="none"/>
          <w:lang w:eastAsia="zh-CN"/>
        </w:rPr>
      </w:r>
      <w:r/>
    </w:p>
    <w:p>
      <w:pPr>
        <w:pStyle w:val="968"/>
        <w:spacing w:line="360" w:lineRule="auto"/>
        <w:rPr>
          <w:highlight w:val="none"/>
        </w:rPr>
      </w:pPr>
      <w:r>
        <w:rPr>
          <w:rFonts w:hint="eastAsia" w:ascii="宋体" w:hAnsi="宋体" w:cs="宋体"/>
          <w:bCs/>
          <w:sz w:val="24"/>
          <w:highlight w:val="none"/>
        </w:rPr>
        <w:t xml:space="preserve">7.</w:t>
      </w:r>
      <w:r>
        <w:rPr>
          <w:rFonts w:hint="eastAsia" w:ascii="宋体" w:hAnsi="宋体" w:cs="宋体"/>
          <w:sz w:val="24"/>
          <w:highlight w:val="none"/>
        </w:rPr>
        <w:t xml:space="preserve">6 </w:t>
      </w:r>
      <w:r>
        <w:rPr>
          <w:rStyle w:val="970"/>
          <w:rFonts w:hint="eastAsia" w:ascii="宋体" w:hAnsi="宋体" w:eastAsia="宋体" w:cs="宋体"/>
          <w:sz w:val="24"/>
          <w:szCs w:val="24"/>
          <w:highlight w:val="none"/>
          <w:lang w:eastAsia="zh-CN"/>
        </w:rPr>
        <w:t xml:space="preserve">OFD文件格式：病案归档以OFD格式存储，支持患者病案以OFD格式导出、对外文档传输支持OFD格式接口交互。</w:t>
      </w:r>
      <w:r>
        <w:rPr>
          <w:highlight w:val="none"/>
        </w:rPr>
      </w:r>
      <w:r/>
    </w:p>
    <w:p>
      <w:pPr>
        <w:pStyle w:val="968"/>
        <w:spacing w:line="360" w:lineRule="auto"/>
        <w:rPr>
          <w:rFonts w:ascii="宋体" w:hAnsi="宋体" w:cs="宋体"/>
          <w:b/>
          <w:sz w:val="24"/>
          <w:highlight w:val="none"/>
        </w:rPr>
      </w:pPr>
      <w:r>
        <w:rPr>
          <w:rFonts w:hint="eastAsia" w:ascii="宋体" w:hAnsi="宋体" w:cs="宋体"/>
          <w:color w:val="000000"/>
          <w:sz w:val="24"/>
          <w:highlight w:val="none"/>
        </w:rPr>
        <w:t xml:space="preserve">8、病案</w:t>
      </w:r>
      <w:r>
        <w:rPr>
          <w:rFonts w:hint="eastAsia" w:ascii="宋体" w:hAnsi="宋体" w:cs="宋体"/>
          <w:b/>
          <w:sz w:val="24"/>
          <w:highlight w:val="none"/>
        </w:rPr>
        <w:t xml:space="preserve">归档功能</w:t>
      </w:r>
      <w:r>
        <w:rPr>
          <w:rFonts w:ascii="宋体" w:hAnsi="宋体" w:cs="宋体"/>
          <w:b/>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8.1病案经最终审核没有问题，即可操作归档，病案即置为归档状态，归档的病案可以进行后续打印、借阅</w:t>
      </w:r>
      <w:r>
        <w:rPr>
          <w:rFonts w:ascii="宋体" w:hAnsi="宋体" w:eastAsia="宋体" w:cs="宋体"/>
          <w:sz w:val="24"/>
          <w:szCs w:val="24"/>
          <w:highlight w:val="none"/>
          <w:lang w:eastAsia="zh-CN"/>
        </w:rPr>
      </w:r>
      <w:r/>
    </w:p>
    <w:p>
      <w:pPr>
        <w:pStyle w:val="968"/>
        <w:spacing w:line="360" w:lineRule="auto"/>
        <w:rPr>
          <w:rFonts w:ascii="宋体" w:hAnsi="宋体" w:cs="宋体"/>
          <w:color w:val="000000"/>
          <w:sz w:val="24"/>
          <w:highlight w:val="none"/>
        </w:rPr>
      </w:pPr>
      <w:r>
        <w:rPr>
          <w:rFonts w:hint="eastAsia" w:ascii="宋体" w:hAnsi="宋体" w:cs="宋体"/>
          <w:sz w:val="24"/>
          <w:highlight w:val="none"/>
        </w:rPr>
        <w:t xml:space="preserve">8.2</w:t>
      </w:r>
      <w:r>
        <w:rPr>
          <w:rFonts w:hint="eastAsia" w:ascii="宋体" w:hAnsi="宋体" w:cs="宋体"/>
          <w:color w:val="000000"/>
          <w:sz w:val="24"/>
          <w:highlight w:val="none"/>
        </w:rPr>
        <w:t xml:space="preserve">可以对归档后的病案加盖电子签章，并记录时间戳。电子签章可采用医院公章或科室专用章。支持病案每页签章、整份病案加盖骑缝章、隐藏章</w:t>
      </w:r>
      <w:r>
        <w:rPr>
          <w:rFonts w:ascii="宋体" w:hAnsi="宋体" w:cs="宋体"/>
          <w:color w:val="000000"/>
          <w:sz w:val="24"/>
          <w:highlight w:val="none"/>
        </w:rPr>
      </w:r>
      <w:r/>
    </w:p>
    <w:p>
      <w:pPr>
        <w:pStyle w:val="969"/>
        <w:spacing w:line="360" w:lineRule="auto"/>
        <w:rPr>
          <w:rFonts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 xml:space="preserve">8.3</w:t>
      </w:r>
      <w:r>
        <w:rPr>
          <w:rFonts w:hint="eastAsia" w:ascii="宋体" w:hAnsi="宋体" w:eastAsia="宋体" w:cs="宋体"/>
          <w:color w:val="000000"/>
          <w:sz w:val="24"/>
          <w:szCs w:val="24"/>
          <w:highlight w:val="none"/>
          <w:lang w:eastAsia="zh-CN"/>
        </w:rPr>
        <w:t xml:space="preserve">支持归档后整份电子病案的版式文件签章校验功能。发生司法纠纷时，可对归档病案进行签章数据检验确认，从而保障档案归档后的数据有效性</w:t>
      </w:r>
      <w:r>
        <w:rPr>
          <w:rFonts w:ascii="宋体" w:hAnsi="宋体" w:eastAsia="宋体" w:cs="宋体"/>
          <w:color w:val="000000"/>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8.4针对已经归档的病案，用户可以操作取消归档，继续对病案进行补充采集或核对等处理</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8.5针对病案归档操作记录，提供科室维度的病案归档率统计，作为传统意义的归档率统计，包括24小时、48小时、3日、5日、7日回收率</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8.6支持整份病案退档，支持以业务系统厂商为单位的单类病历退档</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8.7退档环节可以记录退档原因，并返回给EMR系统中供医生查看，对照原因进行病历修改</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8.8临床科室需要修改病历，主动向病案科发起召回申请，召回申请通过接口发送至归档系统</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8.9归档系统接收召回申请后形成申请记录，病案科即可进行召回审批，审批通过即可召回修改。如病案已打印，已导出，可驳回召回申请</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8.10针对返回业务系统修改的病案，修改后，可操作重采，完成病案的再次采集</w:t>
      </w:r>
      <w:r>
        <w:rPr>
          <w:rFonts w:ascii="宋体" w:hAnsi="宋体" w:cs="宋体"/>
          <w:sz w:val="24"/>
          <w:highlight w:val="none"/>
        </w:rPr>
      </w:r>
      <w:r/>
    </w:p>
    <w:p>
      <w:pPr>
        <w:pStyle w:val="969"/>
        <w:spacing w:line="360" w:lineRule="auto"/>
        <w:rPr>
          <w:rFonts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t xml:space="preserve">9、</w:t>
      </w:r>
      <w:r>
        <w:rPr>
          <w:rFonts w:hint="eastAsia" w:ascii="宋体" w:hAnsi="宋体" w:eastAsia="宋体" w:cs="宋体"/>
          <w:b/>
          <w:sz w:val="24"/>
          <w:szCs w:val="24"/>
          <w:highlight w:val="none"/>
          <w:lang w:eastAsia="zh-CN"/>
        </w:rPr>
        <w:t xml:space="preserve">病案安全管理及封存功能</w:t>
      </w:r>
      <w:r>
        <w:rPr>
          <w:rFonts w:ascii="宋体" w:hAnsi="宋体" w:eastAsia="宋体" w:cs="宋体"/>
          <w:b/>
          <w:sz w:val="24"/>
          <w:szCs w:val="24"/>
          <w:highlight w:val="none"/>
          <w:lang w:eastAsia="zh-CN"/>
        </w:rPr>
      </w:r>
      <w:r/>
    </w:p>
    <w:p>
      <w:pPr>
        <w:pStyle w:val="968"/>
        <w:spacing w:line="360" w:lineRule="auto"/>
        <w:rPr>
          <w:rFonts w:ascii="宋体" w:hAnsi="宋体" w:cs="宋体"/>
          <w:bCs/>
          <w:sz w:val="24"/>
          <w:highlight w:val="none"/>
        </w:rPr>
      </w:pPr>
      <w:r>
        <w:rPr>
          <w:rFonts w:hint="eastAsia" w:ascii="宋体" w:hAnsi="宋体" w:cs="宋体"/>
          <w:sz w:val="24"/>
          <w:highlight w:val="none"/>
        </w:rPr>
        <w:t xml:space="preserve">9.1</w:t>
      </w:r>
      <w:r>
        <w:rPr>
          <w:rFonts w:hint="eastAsia" w:ascii="宋体" w:hAnsi="宋体" w:cs="宋体"/>
          <w:bCs/>
          <w:sz w:val="24"/>
          <w:highlight w:val="none"/>
        </w:rPr>
        <w:t xml:space="preserve">支持浏览水印、打印水印、封存水印的多场景应用</w:t>
      </w:r>
      <w:r>
        <w:rPr>
          <w:rFonts w:ascii="宋体" w:hAnsi="宋体" w:cs="宋体"/>
          <w:bCs/>
          <w:sz w:val="24"/>
          <w:highlight w:val="none"/>
        </w:rPr>
      </w:r>
      <w:r/>
    </w:p>
    <w:p>
      <w:pPr>
        <w:pStyle w:val="969"/>
        <w:spacing w:line="360" w:lineRule="auto"/>
        <w:rPr>
          <w:rFonts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9.2</w:t>
      </w:r>
      <w:r>
        <w:rPr>
          <w:rFonts w:hint="eastAsia" w:ascii="宋体" w:hAnsi="宋体" w:eastAsia="宋体" w:cs="宋体"/>
          <w:bCs/>
          <w:sz w:val="24"/>
          <w:szCs w:val="24"/>
          <w:highlight w:val="none"/>
          <w:lang w:eastAsia="zh-CN"/>
        </w:rPr>
        <w:t xml:space="preserve">支持水印的自定义配置，包括用户名称、科室名称、医院名称、当前时间</w:t>
      </w:r>
      <w:r>
        <w:rPr>
          <w:rFonts w:ascii="宋体" w:hAnsi="宋体" w:eastAsia="宋体" w:cs="宋体"/>
          <w:bCs/>
          <w:sz w:val="24"/>
          <w:szCs w:val="24"/>
          <w:highlight w:val="none"/>
          <w:lang w:eastAsia="zh-CN"/>
        </w:rPr>
      </w:r>
      <w:r/>
    </w:p>
    <w:p>
      <w:pPr>
        <w:pStyle w:val="969"/>
        <w:spacing w:line="360" w:lineRule="auto"/>
        <w:rPr>
          <w:rFonts w:hint="eastAsia" w:eastAsia="宋体"/>
          <w:highlight w:val="none"/>
          <w:lang w:eastAsia="zh-CN"/>
        </w:rPr>
      </w:pPr>
      <w:r>
        <w:rPr>
          <w:rFonts w:hint="eastAsia" w:ascii="宋体" w:hAnsi="宋体" w:eastAsia="宋体" w:cs="宋体"/>
          <w:color w:val="000000"/>
          <w:sz w:val="24"/>
          <w:highlight w:val="none"/>
          <w:lang w:eastAsia="zh-CN"/>
        </w:rPr>
        <w:t xml:space="preserve">9.3 </w:t>
      </w:r>
      <w:r>
        <w:rPr>
          <w:rFonts w:hint="eastAsia" w:ascii="宋体" w:hAnsi="宋体" w:eastAsia="宋体" w:cs="宋体"/>
          <w:bCs/>
          <w:color w:val="000000"/>
          <w:sz w:val="24"/>
          <w:highlight w:val="none"/>
          <w:lang w:eastAsia="zh-CN"/>
        </w:rPr>
        <w:t xml:space="preserve">支持</w:t>
      </w:r>
      <w:r>
        <w:rPr>
          <w:rFonts w:hint="eastAsia" w:ascii="宋体" w:hAnsi="宋体" w:eastAsia="宋体" w:cs="宋体"/>
          <w:bCs/>
          <w:color w:val="000000"/>
          <w:sz w:val="24"/>
          <w:highlight w:val="none"/>
          <w:lang w:val="en-US" w:eastAsia="zh-CN"/>
        </w:rPr>
        <w:t xml:space="preserve">用户对病案进行借阅申请，并</w:t>
      </w:r>
      <w:r>
        <w:rPr>
          <w:rFonts w:hint="eastAsia" w:ascii="宋体" w:hAnsi="宋体" w:eastAsia="宋体" w:cs="宋体"/>
          <w:bCs/>
          <w:color w:val="000000"/>
          <w:sz w:val="24"/>
          <w:highlight w:val="none"/>
          <w:lang w:eastAsia="zh-CN"/>
        </w:rPr>
        <w:t xml:space="preserve">根据</w:t>
      </w:r>
      <w:r>
        <w:rPr>
          <w:rFonts w:hint="eastAsia" w:ascii="宋体" w:hAnsi="宋体" w:eastAsia="宋体" w:cs="宋体"/>
          <w:bCs/>
          <w:color w:val="000000"/>
          <w:sz w:val="24"/>
          <w:highlight w:val="none"/>
          <w:lang w:val="en-US" w:eastAsia="zh-CN"/>
        </w:rPr>
        <w:t xml:space="preserve">申请</w:t>
      </w:r>
      <w:r>
        <w:rPr>
          <w:rFonts w:hint="eastAsia" w:ascii="宋体" w:hAnsi="宋体" w:eastAsia="宋体" w:cs="宋体"/>
          <w:bCs/>
          <w:color w:val="000000"/>
          <w:sz w:val="24"/>
          <w:highlight w:val="none"/>
          <w:lang w:eastAsia="zh-CN"/>
        </w:rPr>
        <w:t xml:space="preserve">权限提供相关查阅及管理功能。</w:t>
      </w:r>
      <w:r>
        <w:rPr>
          <w:rFonts w:hint="eastAsia" w:eastAsia="宋体"/>
          <w:highlight w:val="none"/>
          <w:lang w:eastAsia="zh-CN"/>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9.4在系统中可以设置离院患者的病案封存,封存病案不可以再返回修改、患者打印、临床借阅</w:t>
      </w:r>
      <w:r>
        <w:rPr>
          <w:rFonts w:ascii="宋体" w:hAnsi="宋体" w:eastAsia="宋体" w:cs="宋体"/>
          <w:sz w:val="24"/>
          <w:szCs w:val="24"/>
          <w:highlight w:val="none"/>
          <w:lang w:eastAsia="zh-CN"/>
        </w:rPr>
      </w:r>
      <w:r/>
    </w:p>
    <w:p>
      <w:pPr>
        <w:pStyle w:val="968"/>
        <w:spacing w:line="360" w:lineRule="auto"/>
        <w:rPr>
          <w:rFonts w:ascii="宋体" w:hAnsi="宋体" w:cs="宋体"/>
          <w:b/>
          <w:sz w:val="24"/>
          <w:highlight w:val="none"/>
        </w:rPr>
      </w:pPr>
      <w:r>
        <w:rPr>
          <w:rFonts w:hint="eastAsia" w:ascii="宋体" w:hAnsi="宋体" w:cs="宋体"/>
          <w:sz w:val="24"/>
          <w:highlight w:val="none"/>
        </w:rPr>
        <w:t xml:space="preserve">10、</w:t>
      </w:r>
      <w:r>
        <w:rPr>
          <w:rFonts w:hint="eastAsia" w:ascii="宋体" w:hAnsi="宋体" w:cs="宋体"/>
          <w:b/>
          <w:sz w:val="24"/>
          <w:highlight w:val="none"/>
        </w:rPr>
        <w:t xml:space="preserve">病案浏览借阅功能</w:t>
      </w:r>
      <w:r>
        <w:rPr>
          <w:rFonts w:ascii="宋体" w:hAnsi="宋体" w:cs="宋体"/>
          <w:b/>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10.1提供浏览外链供医生工作站嵌入，可以通过住院号或病案号入参查看患者历次住院病案文书，辅助临床诊疗</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10.2支持院内多场景调阅功能，满足门诊、急诊及在院期间对患者历史归档病案的调阅浏览</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10.3医生可在借阅申请中对需要的病历进行查询，并发起申请，借阅申请填写内容，包括文档目录选择，申请目的、申请原因、借阅时长</w:t>
      </w:r>
      <w:r>
        <w:rPr>
          <w:rFonts w:ascii="宋体" w:hAnsi="宋体" w:eastAsia="宋体" w:cs="宋体"/>
          <w:sz w:val="24"/>
          <w:szCs w:val="24"/>
          <w:highlight w:val="none"/>
          <w:lang w:eastAsia="zh-CN"/>
        </w:rPr>
      </w:r>
      <w:r/>
    </w:p>
    <w:p>
      <w:pPr>
        <w:pStyle w:val="968"/>
        <w:spacing w:line="360" w:lineRule="auto"/>
        <w:rPr>
          <w:rFonts w:ascii="宋体" w:hAnsi="宋体" w:cs="宋体"/>
          <w:color w:val="000000"/>
          <w:sz w:val="24"/>
          <w:highlight w:val="none"/>
        </w:rPr>
      </w:pPr>
      <w:r>
        <w:rPr>
          <w:rFonts w:hint="eastAsia" w:ascii="宋体" w:hAnsi="宋体" w:cs="宋体"/>
          <w:sz w:val="24"/>
          <w:highlight w:val="none"/>
        </w:rPr>
        <w:t xml:space="preserve">10.4</w:t>
      </w:r>
      <w:r>
        <w:rPr>
          <w:rFonts w:hint="eastAsia" w:ascii="宋体" w:hAnsi="宋体" w:cs="宋体"/>
          <w:color w:val="000000"/>
          <w:sz w:val="24"/>
          <w:highlight w:val="none"/>
        </w:rPr>
        <w:t xml:space="preserve">支持申请人身份核验功能，可通过CA证书信息对申请人身份进行识别，并留存申请人相关记录</w:t>
      </w:r>
      <w:r>
        <w:rPr>
          <w:rFonts w:ascii="宋体" w:hAnsi="宋体" w:cs="宋体"/>
          <w:color w:val="000000"/>
          <w:sz w:val="24"/>
          <w:highlight w:val="none"/>
        </w:rPr>
      </w:r>
      <w:r/>
    </w:p>
    <w:p>
      <w:pPr>
        <w:pStyle w:val="968"/>
        <w:spacing w:line="360" w:lineRule="auto"/>
        <w:rPr>
          <w:highlight w:val="none"/>
        </w:rPr>
      </w:pPr>
      <w:r>
        <w:rPr>
          <w:rFonts w:hint="eastAsia" w:ascii="宋体" w:hAnsi="宋体" w:cs="宋体"/>
          <w:color w:val="000000"/>
          <w:sz w:val="24"/>
          <w:highlight w:val="none"/>
        </w:rPr>
        <w:t xml:space="preserve">10.5▲医生提交借阅申请后，病案管理员可在借阅审批中看到提交的申请信息。病案管理员可以对需借阅的内容进行查询审批，若满足借阅条件可通过此申请，若不满足，可填写审批意见进行后驳回。病案管理员还可以针对个别敏感文件进行单个驳回</w:t>
      </w:r>
      <w:r>
        <w:rPr>
          <w:highlight w:val="none"/>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10.6病案借阅根据借阅时效性，自动判断借阅是否到期，到期病案自动归还，无法再继续浏览</w:t>
      </w:r>
      <w:r>
        <w:rPr>
          <w:rFonts w:ascii="宋体" w:hAnsi="宋体" w:cs="宋体"/>
          <w:sz w:val="24"/>
          <w:highlight w:val="none"/>
        </w:rPr>
      </w:r>
      <w:r/>
    </w:p>
    <w:p>
      <w:pPr>
        <w:pStyle w:val="969"/>
        <w:spacing w:line="360" w:lineRule="auto"/>
        <w:rPr>
          <w:rFonts w:ascii="宋体" w:hAnsi="宋体" w:eastAsia="宋体" w:cs="宋体"/>
          <w:b/>
          <w:color w:val="000000"/>
          <w:sz w:val="24"/>
          <w:szCs w:val="24"/>
          <w:highlight w:val="none"/>
          <w:lang w:eastAsia="zh-CN"/>
        </w:rPr>
      </w:pPr>
      <w:r>
        <w:rPr>
          <w:rFonts w:hint="eastAsia" w:ascii="宋体" w:hAnsi="宋体" w:eastAsia="宋体" w:cs="宋体"/>
          <w:sz w:val="24"/>
          <w:szCs w:val="24"/>
          <w:highlight w:val="none"/>
          <w:lang w:eastAsia="zh-CN"/>
        </w:rPr>
        <w:t xml:space="preserve">11、</w:t>
      </w:r>
      <w:r>
        <w:rPr>
          <w:rFonts w:hint="eastAsia" w:ascii="宋体" w:hAnsi="宋体" w:eastAsia="宋体" w:cs="宋体"/>
          <w:b/>
          <w:color w:val="000000"/>
          <w:sz w:val="24"/>
          <w:szCs w:val="24"/>
          <w:highlight w:val="none"/>
          <w:lang w:eastAsia="zh-CN"/>
        </w:rPr>
        <w:t xml:space="preserve">系统管理功能</w:t>
      </w:r>
      <w:r>
        <w:rPr>
          <w:rFonts w:ascii="宋体" w:hAnsi="宋体" w:eastAsia="宋体" w:cs="宋体"/>
          <w:b/>
          <w:color w:val="000000"/>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11.1支持角色管理功能，针对不同科室、不同分工建立不同的角色身份，分配对应的权限，形成不同的权限包，以便分配给用户实现用户权限管理</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11.2</w:t>
      </w:r>
      <w:r>
        <w:rPr>
          <w:rFonts w:hint="eastAsia" w:ascii="宋体" w:hAnsi="宋体" w:eastAsia="宋体" w:cs="宋体"/>
          <w:bCs/>
          <w:sz w:val="24"/>
          <w:szCs w:val="24"/>
          <w:highlight w:val="none"/>
          <w:lang w:eastAsia="zh-CN"/>
        </w:rPr>
        <w:t xml:space="preserve">系统支持病案目录维护功能，可以将涉及归档的目录完整维护到系统中，设定不同的目录ID，以支持归档自动分类。</w:t>
      </w:r>
      <w:r>
        <w:rPr>
          <w:rFonts w:hint="eastAsia" w:ascii="宋体" w:hAnsi="宋体" w:eastAsia="宋体" w:cs="宋体"/>
          <w:sz w:val="24"/>
          <w:szCs w:val="24"/>
          <w:highlight w:val="none"/>
          <w:lang w:eastAsia="zh-CN"/>
        </w:rPr>
        <w:t xml:space="preserve">提供组别及权限管理模块</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11.3支持科室及权限管理模块</w:t>
      </w:r>
      <w:r>
        <w:rPr>
          <w:rFonts w:ascii="宋体" w:hAnsi="宋体" w:cs="宋体"/>
          <w:sz w:val="24"/>
          <w:highlight w:val="none"/>
        </w:rPr>
      </w:r>
      <w:r/>
    </w:p>
    <w:p>
      <w:pPr>
        <w:pStyle w:val="969"/>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11.4支持数据字典维护模块</w:t>
      </w:r>
      <w:r>
        <w:rPr>
          <w:rFonts w:ascii="宋体" w:hAnsi="宋体" w:eastAsia="宋体" w:cs="宋体"/>
          <w:sz w:val="24"/>
          <w:szCs w:val="24"/>
          <w:highlight w:val="none"/>
          <w:lang w:eastAsia="zh-CN"/>
        </w:rPr>
      </w:r>
      <w:r/>
    </w:p>
    <w:p>
      <w:pPr>
        <w:pStyle w:val="968"/>
        <w:spacing w:line="360" w:lineRule="auto"/>
        <w:rPr>
          <w:rFonts w:ascii="宋体" w:hAnsi="宋体" w:cs="宋体"/>
          <w:sz w:val="24"/>
          <w:highlight w:val="none"/>
        </w:rPr>
      </w:pPr>
      <w:r>
        <w:rPr>
          <w:rFonts w:hint="eastAsia" w:ascii="宋体" w:hAnsi="宋体" w:cs="宋体"/>
          <w:sz w:val="24"/>
          <w:highlight w:val="none"/>
        </w:rPr>
        <w:t xml:space="preserve">11.5支持IP授权访问管理</w:t>
      </w:r>
      <w:r>
        <w:rPr>
          <w:rFonts w:ascii="宋体" w:hAnsi="宋体" w:cs="宋体"/>
          <w:sz w:val="24"/>
          <w:highlight w:val="none"/>
        </w:rPr>
      </w:r>
      <w:r/>
    </w:p>
    <w:p>
      <w:pPr>
        <w:pStyle w:val="969"/>
        <w:spacing w:line="360" w:lineRule="auto"/>
        <w:rPr>
          <w:rFonts w:ascii="宋体" w:hAnsi="宋体" w:eastAsia="宋体" w:cs="宋体"/>
          <w:b/>
          <w:color w:val="000000"/>
          <w:sz w:val="24"/>
          <w:szCs w:val="24"/>
          <w:highlight w:val="none"/>
          <w:lang w:eastAsia="zh-CN"/>
        </w:rPr>
      </w:pPr>
      <w:r>
        <w:rPr>
          <w:rFonts w:hint="eastAsia" w:ascii="宋体" w:hAnsi="宋体" w:eastAsia="宋体" w:cs="宋体"/>
          <w:sz w:val="24"/>
          <w:szCs w:val="24"/>
          <w:highlight w:val="none"/>
          <w:lang w:eastAsia="zh-CN"/>
        </w:rPr>
        <w:t xml:space="preserve">12、</w:t>
      </w:r>
      <w:r>
        <w:rPr>
          <w:rFonts w:hint="eastAsia" w:ascii="宋体" w:hAnsi="宋体" w:eastAsia="宋体" w:cs="宋体"/>
          <w:b/>
          <w:color w:val="000000"/>
          <w:sz w:val="24"/>
          <w:szCs w:val="24"/>
          <w:highlight w:val="none"/>
          <w:lang w:eastAsia="zh-CN"/>
        </w:rPr>
        <w:t xml:space="preserve">功能扩展</w:t>
      </w:r>
      <w:r>
        <w:rPr>
          <w:rFonts w:ascii="宋体" w:hAnsi="宋体" w:eastAsia="宋体" w:cs="宋体"/>
          <w:b/>
          <w:color w:val="000000"/>
          <w:sz w:val="24"/>
          <w:szCs w:val="24"/>
          <w:highlight w:val="none"/>
          <w:lang w:eastAsia="zh-CN"/>
        </w:rPr>
      </w:r>
      <w:r/>
    </w:p>
    <w:p>
      <w:pPr>
        <w:pStyle w:val="968"/>
        <w:spacing w:line="360" w:lineRule="auto"/>
        <w:rPr>
          <w:rFonts w:ascii="宋体" w:hAnsi="宋体" w:cs="宋体"/>
          <w:color w:val="000000"/>
          <w:sz w:val="24"/>
          <w:highlight w:val="none"/>
        </w:rPr>
      </w:pPr>
      <w:r>
        <w:rPr>
          <w:rFonts w:hint="eastAsia" w:ascii="宋体" w:hAnsi="宋体" w:cs="宋体"/>
          <w:sz w:val="24"/>
          <w:highlight w:val="none"/>
        </w:rPr>
        <w:t xml:space="preserve">12.1</w:t>
      </w:r>
      <w:r>
        <w:rPr>
          <w:rFonts w:hint="eastAsia" w:ascii="宋体" w:hAnsi="宋体" w:cs="宋体"/>
          <w:color w:val="000000"/>
          <w:sz w:val="24"/>
          <w:highlight w:val="none"/>
        </w:rPr>
        <w:t xml:space="preserve">支持门户系统、HIS系统、集成平台的数据调取</w:t>
      </w:r>
      <w:r>
        <w:rPr>
          <w:rFonts w:ascii="宋体" w:hAnsi="宋体" w:cs="宋体"/>
          <w:color w:val="000000"/>
          <w:sz w:val="24"/>
          <w:highlight w:val="none"/>
        </w:rPr>
      </w:r>
      <w:r/>
    </w:p>
    <w:p>
      <w:pPr>
        <w:pStyle w:val="969"/>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 xml:space="preserve">12.2</w:t>
      </w:r>
      <w:r>
        <w:rPr>
          <w:rFonts w:hint="eastAsia" w:ascii="宋体" w:hAnsi="宋体" w:eastAsia="宋体" w:cs="宋体"/>
          <w:color w:val="000000"/>
          <w:sz w:val="24"/>
          <w:szCs w:val="24"/>
          <w:highlight w:val="none"/>
          <w:lang w:eastAsia="zh-CN"/>
        </w:rPr>
        <w:t xml:space="preserve">支持微信预约扩展接口,提供费用计算等</w:t>
      </w:r>
      <w:r>
        <w:rPr>
          <w:rFonts w:hint="eastAsia" w:ascii="宋体" w:hAnsi="宋体" w:eastAsia="宋体" w:cs="宋体"/>
          <w:color w:val="000000"/>
          <w:sz w:val="24"/>
          <w:szCs w:val="24"/>
          <w:highlight w:val="none"/>
          <w:lang w:eastAsia="zh-CN"/>
        </w:rPr>
      </w:r>
      <w:r/>
    </w:p>
    <w:p>
      <w:pPr>
        <w:pStyle w:val="968"/>
        <w:spacing w:line="360" w:lineRule="auto"/>
        <w:rPr>
          <w:rStyle w:val="970"/>
          <w:rFonts w:hint="eastAsia" w:ascii="宋体" w:hAnsi="宋体" w:eastAsia="宋体" w:cs="宋体"/>
          <w:color w:val="00b050"/>
          <w:sz w:val="24"/>
          <w:szCs w:val="24"/>
          <w:highlight w:val="none"/>
          <w:lang w:eastAsia="zh-CN"/>
        </w:rPr>
      </w:pPr>
      <w:r>
        <w:rPr>
          <w:rFonts w:hint="eastAsia" w:ascii="宋体" w:hAnsi="宋体" w:cs="宋体"/>
          <w:color w:val="000000"/>
          <w:sz w:val="24"/>
          <w:highlight w:val="none"/>
        </w:rPr>
        <w:t xml:space="preserve">12.3 </w:t>
      </w:r>
      <w:r>
        <w:rPr>
          <w:rStyle w:val="970"/>
          <w:rFonts w:hint="eastAsia" w:ascii="宋体" w:hAnsi="宋体" w:eastAsia="宋体" w:cs="宋体"/>
          <w:color w:val="000000"/>
          <w:sz w:val="24"/>
          <w:szCs w:val="24"/>
          <w:highlight w:val="none"/>
          <w:lang w:eastAsia="zh-CN"/>
        </w:rPr>
        <w:t xml:space="preserve">可以根据用户的需求和偏好进行自定义报表的设置。用户可以自定义报表的颜色、字体、边框等样式，以及布局设置，包括标题位置、数据表格的排列方式、图表的位置等，以使报表更符合用户的品味和需求。可动态配置数据源字段</w:t>
      </w:r>
      <w:r>
        <w:rPr>
          <w:rStyle w:val="970"/>
          <w:rFonts w:hint="eastAsia" w:ascii="宋体" w:hAnsi="宋体" w:eastAsia="宋体" w:cs="宋体"/>
          <w:sz w:val="24"/>
          <w:szCs w:val="24"/>
          <w:highlight w:val="none"/>
          <w:lang w:eastAsia="zh-CN"/>
        </w:rPr>
        <w:t xml:space="preserve">。</w:t>
      </w:r>
      <w:r>
        <w:rPr>
          <w:rStyle w:val="970"/>
          <w:rFonts w:hint="eastAsia" w:ascii="宋体" w:hAnsi="宋体" w:eastAsia="宋体" w:cs="宋体"/>
          <w:color w:val="00b050"/>
          <w:sz w:val="24"/>
          <w:szCs w:val="24"/>
          <w:highlight w:val="none"/>
          <w:lang w:eastAsia="zh-CN"/>
        </w:rPr>
      </w:r>
      <w:r/>
    </w:p>
    <w:p>
      <w:pPr>
        <w:pStyle w:val="969"/>
        <w:spacing w:line="360" w:lineRule="auto"/>
        <w:rPr>
          <w:sz w:val="24"/>
          <w:szCs w:val="24"/>
          <w:highlight w:val="none"/>
          <w:lang w:val="en-US" w:eastAsia="zh-CN"/>
        </w:rPr>
      </w:pPr>
      <w:r>
        <w:rPr>
          <w:rFonts w:hint="eastAsia" w:ascii="宋体" w:hAnsi="宋体" w:eastAsia="宋体" w:cs="宋体"/>
          <w:sz w:val="24"/>
          <w:szCs w:val="24"/>
          <w:highlight w:val="none"/>
          <w:lang w:val="en-US" w:eastAsia="zh-CN"/>
        </w:rPr>
        <w:t xml:space="preserve">12.4 </w:t>
      </w:r>
      <w:r>
        <w:rPr>
          <w:rFonts w:hint="eastAsia" w:ascii="宋体" w:hAnsi="宋体" w:eastAsia="宋体" w:cs="宋体"/>
          <w:bCs/>
          <w:sz w:val="24"/>
          <w:szCs w:val="24"/>
          <w:highlight w:val="none"/>
          <w:lang w:eastAsia="zh-CN"/>
        </w:rPr>
        <w:t xml:space="preserve">病案查询部分应包括简单检索、复合检索、高级表达式检索等功能，支持模糊查询和精确查询，支持保密查询、科研查询、对比查询等，可使用病案首页上相关项目如：出院时间、住院号、姓名、诊断手术名称、麻醉方式、切口等级、入出院科室、医师、ICD编码等进行查询；要能够实现病案的对比查询，例如同一患者多次住院历史病案的对比浏览。</w:t>
      </w:r>
      <w:r>
        <w:rPr>
          <w:sz w:val="24"/>
          <w:szCs w:val="24"/>
          <w:highlight w:val="none"/>
          <w:lang w:val="en-US" w:eastAsia="zh-CN"/>
        </w:rPr>
      </w:r>
      <w:r/>
    </w:p>
    <w:p>
      <w:pPr>
        <w:pStyle w:val="969"/>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13、设备清单</w:t>
      </w:r>
      <w:r>
        <w:rPr>
          <w:rFonts w:ascii="宋体" w:hAnsi="宋体" w:eastAsia="宋体" w:cs="宋体"/>
          <w:sz w:val="24"/>
          <w:szCs w:val="24"/>
          <w:highlight w:val="none"/>
        </w:rPr>
      </w:r>
      <w:r/>
    </w:p>
    <w:p>
      <w:pPr>
        <w:pStyle w:val="931"/>
        <w:spacing w:line="360" w:lineRule="auto"/>
        <w:rPr>
          <w:rFonts w:ascii="宋体" w:hAnsi="宋体" w:cs="宋体"/>
          <w:b/>
          <w:bCs/>
          <w:sz w:val="24"/>
          <w:highlight w:val="none"/>
        </w:rPr>
      </w:pPr>
      <w:r>
        <w:rPr>
          <w:rFonts w:hint="eastAsia" w:ascii="宋体" w:hAnsi="宋体" w:cs="宋体"/>
          <w:b/>
          <w:bCs/>
          <w:sz w:val="24"/>
          <w:highlight w:val="none"/>
        </w:rPr>
        <w:t xml:space="preserve">13.1 高拍仪</w:t>
      </w:r>
      <w:r>
        <w:rPr>
          <w:rFonts w:ascii="宋体" w:hAnsi="宋体" w:cs="宋体"/>
          <w:b/>
          <w:bCs/>
          <w:sz w:val="24"/>
          <w:highlight w:val="none"/>
        </w:rPr>
      </w:r>
      <w:r/>
    </w:p>
    <w:tbl>
      <w:tblPr>
        <w:tblW w:w="82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7034"/>
      </w:tblGrid>
      <w:tr>
        <w:trPr>
          <w:trHeight w:val="428"/>
        </w:trPr>
        <w:tc>
          <w:tcPr>
            <w:tcW w:w="1246" w:type="dxa"/>
            <w:vAlign w:val="center"/>
            <w:textDirection w:val="lrTb"/>
            <w:noWrap w:val="false"/>
          </w:tcPr>
          <w:p>
            <w:pPr>
              <w:pStyle w:val="909"/>
              <w:ind w:firstLine="482"/>
              <w:jc w:val="center"/>
              <w:spacing w:before="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7034" w:type="dxa"/>
            <w:vAlign w:val="center"/>
            <w:textDirection w:val="lrTb"/>
            <w:noWrap w:val="false"/>
          </w:tcPr>
          <w:p>
            <w:pPr>
              <w:pStyle w:val="909"/>
              <w:ind w:firstLine="482"/>
              <w:jc w:val="center"/>
              <w:spacing w:before="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功能指标</w:t>
            </w:r>
            <w:r>
              <w:rPr>
                <w:rFonts w:ascii="宋体" w:hAnsi="宋体" w:cs="宋体"/>
                <w:b/>
                <w:color w:val="000000"/>
                <w:sz w:val="24"/>
                <w:highlight w:val="none"/>
              </w:rPr>
            </w:r>
            <w:r/>
          </w:p>
        </w:tc>
      </w:tr>
      <w:tr>
        <w:trPr>
          <w:trHeight w:val="753"/>
        </w:trPr>
        <w:tc>
          <w:tcPr>
            <w:tcW w:w="1246" w:type="dxa"/>
            <w:vAlign w:val="center"/>
            <w:textDirection w:val="lrTb"/>
            <w:noWrap w:val="false"/>
          </w:tcPr>
          <w:p>
            <w:pPr>
              <w:pStyle w:val="909"/>
              <w:ind w:firstLine="480"/>
              <w:jc w:val="center"/>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7034" w:type="dxa"/>
            <w:vAlign w:val="center"/>
            <w:textDirection w:val="lrTb"/>
            <w:noWrap w:val="false"/>
          </w:tcPr>
          <w:p>
            <w:pPr>
              <w:pStyle w:val="909"/>
              <w:ind w:firstLine="480"/>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高拍仪可支撑根据不同A3/A4幅面进行两级调节；</w:t>
            </w:r>
            <w:r>
              <w:rPr>
                <w:rFonts w:ascii="宋体" w:hAnsi="宋体" w:cs="宋体"/>
                <w:color w:val="000000"/>
                <w:sz w:val="24"/>
                <w:highlight w:val="none"/>
              </w:rPr>
            </w:r>
            <w:r/>
          </w:p>
        </w:tc>
      </w:tr>
      <w:tr>
        <w:trPr/>
        <w:tc>
          <w:tcPr>
            <w:tcW w:w="1246" w:type="dxa"/>
            <w:vAlign w:val="center"/>
            <w:textDirection w:val="lrTb"/>
            <w:noWrap w:val="false"/>
          </w:tcPr>
          <w:p>
            <w:pPr>
              <w:pStyle w:val="909"/>
              <w:ind w:firstLine="480"/>
              <w:jc w:val="center"/>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7034" w:type="dxa"/>
            <w:vAlign w:val="center"/>
            <w:textDirection w:val="lrTb"/>
            <w:noWrap w:val="false"/>
          </w:tcPr>
          <w:p>
            <w:pPr>
              <w:pStyle w:val="909"/>
              <w:ind w:firstLine="480"/>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感应器:主摄像头感应器分辨率:2592*1944；</w:t>
            </w:r>
            <w:r>
              <w:rPr>
                <w:rFonts w:ascii="宋体" w:hAnsi="宋体" w:cs="宋体"/>
                <w:color w:val="000000"/>
                <w:sz w:val="24"/>
                <w:highlight w:val="none"/>
              </w:rPr>
            </w:r>
            <w:r/>
          </w:p>
        </w:tc>
      </w:tr>
      <w:tr>
        <w:trPr/>
        <w:tc>
          <w:tcPr>
            <w:tcW w:w="1246" w:type="dxa"/>
            <w:vAlign w:val="center"/>
            <w:textDirection w:val="lrTb"/>
            <w:noWrap w:val="false"/>
          </w:tcPr>
          <w:p>
            <w:pPr>
              <w:pStyle w:val="909"/>
              <w:ind w:firstLine="480"/>
              <w:jc w:val="center"/>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7034" w:type="dxa"/>
            <w:vAlign w:val="center"/>
            <w:textDirection w:val="lrTb"/>
            <w:noWrap w:val="false"/>
          </w:tcPr>
          <w:p>
            <w:pPr>
              <w:pStyle w:val="909"/>
              <w:ind w:firstLine="480"/>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支持自动扶正，无底自动裁边，用户自定义裁边；</w:t>
            </w:r>
            <w:r>
              <w:rPr>
                <w:rFonts w:ascii="宋体" w:hAnsi="宋体" w:cs="宋体"/>
                <w:color w:val="000000"/>
                <w:sz w:val="24"/>
                <w:highlight w:val="none"/>
              </w:rPr>
            </w:r>
            <w:r/>
          </w:p>
        </w:tc>
      </w:tr>
      <w:tr>
        <w:trPr/>
        <w:tc>
          <w:tcPr>
            <w:tcW w:w="1246" w:type="dxa"/>
            <w:vAlign w:val="center"/>
            <w:textDirection w:val="lrTb"/>
            <w:noWrap w:val="false"/>
          </w:tcPr>
          <w:p>
            <w:pPr>
              <w:pStyle w:val="909"/>
              <w:ind w:firstLine="480"/>
              <w:jc w:val="center"/>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7034" w:type="dxa"/>
            <w:vAlign w:val="center"/>
            <w:textDirection w:val="lrTb"/>
            <w:noWrap w:val="false"/>
          </w:tcPr>
          <w:p>
            <w:pPr>
              <w:pStyle w:val="909"/>
              <w:ind w:firstLine="480"/>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支持多张同时裁边到多张输出；</w:t>
            </w:r>
            <w:r>
              <w:rPr>
                <w:rFonts w:ascii="宋体" w:hAnsi="宋体" w:cs="宋体"/>
                <w:color w:val="000000"/>
                <w:sz w:val="24"/>
                <w:highlight w:val="none"/>
              </w:rPr>
            </w:r>
            <w:r/>
          </w:p>
        </w:tc>
      </w:tr>
      <w:tr>
        <w:trPr/>
        <w:tc>
          <w:tcPr>
            <w:tcW w:w="1246" w:type="dxa"/>
            <w:vAlign w:val="center"/>
            <w:textDirection w:val="lrTb"/>
            <w:noWrap w:val="false"/>
          </w:tcPr>
          <w:p>
            <w:pPr>
              <w:pStyle w:val="909"/>
              <w:ind w:firstLine="480"/>
              <w:jc w:val="center"/>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7034" w:type="dxa"/>
            <w:vAlign w:val="center"/>
            <w:textDirection w:val="lrTb"/>
            <w:noWrap w:val="false"/>
          </w:tcPr>
          <w:p>
            <w:pPr>
              <w:pStyle w:val="909"/>
              <w:ind w:firstLine="480"/>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支持屏幕360度自由旋转，全局放大功能； </w:t>
            </w:r>
            <w:r>
              <w:rPr>
                <w:rFonts w:ascii="宋体" w:hAnsi="宋体" w:cs="宋体"/>
                <w:color w:val="000000"/>
                <w:sz w:val="24"/>
                <w:highlight w:val="none"/>
              </w:rPr>
            </w:r>
            <w:r/>
          </w:p>
        </w:tc>
      </w:tr>
      <w:tr>
        <w:trPr/>
        <w:tc>
          <w:tcPr>
            <w:tcW w:w="1246" w:type="dxa"/>
            <w:vAlign w:val="center"/>
            <w:textDirection w:val="lrTb"/>
            <w:noWrap w:val="false"/>
          </w:tcPr>
          <w:p>
            <w:pPr>
              <w:pStyle w:val="909"/>
              <w:ind w:firstLine="480"/>
              <w:jc w:val="center"/>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7034" w:type="dxa"/>
            <w:vAlign w:val="center"/>
            <w:textDirection w:val="lrTb"/>
            <w:noWrap w:val="false"/>
          </w:tcPr>
          <w:p>
            <w:pPr>
              <w:pStyle w:val="909"/>
              <w:ind w:firstLine="480"/>
              <w:spacing w:before="120" w:line="360" w:lineRule="auto"/>
              <w:rPr>
                <w:rFonts w:ascii="宋体" w:hAnsi="宋体" w:cs="宋体"/>
                <w:color w:val="000000"/>
                <w:sz w:val="24"/>
                <w:highlight w:val="none"/>
              </w:rPr>
            </w:pPr>
            <w:r>
              <w:rPr>
                <w:rFonts w:hint="eastAsia" w:ascii="宋体" w:hAnsi="宋体" w:cs="宋体"/>
                <w:color w:val="000000"/>
                <w:sz w:val="24"/>
                <w:highlight w:val="none"/>
              </w:rPr>
              <w:t xml:space="preserve">可一键生成PDF或TIFF；支持生成多页PDF或TIFF；</w:t>
            </w:r>
            <w:r>
              <w:rPr>
                <w:rFonts w:ascii="宋体" w:hAnsi="宋体" w:cs="宋体"/>
                <w:color w:val="000000"/>
                <w:sz w:val="24"/>
                <w:highlight w:val="none"/>
              </w:rPr>
            </w:r>
            <w:r/>
          </w:p>
        </w:tc>
      </w:tr>
    </w:tbl>
    <w:p>
      <w:pPr>
        <w:pStyle w:val="931"/>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3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13.2 二代身份证读卡器</w:t>
      </w:r>
      <w:r>
        <w:rPr>
          <w:rFonts w:ascii="宋体" w:hAnsi="宋体" w:cs="宋体"/>
          <w:b/>
          <w:bCs/>
          <w:color w:val="000000"/>
          <w:sz w:val="24"/>
          <w:highlight w:val="none"/>
        </w:rPr>
      </w:r>
      <w:r/>
    </w:p>
    <w:tbl>
      <w:tblPr>
        <w:tblW w:w="83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580"/>
      </w:tblGrid>
      <w:tr>
        <w:trPr/>
        <w:tc>
          <w:tcPr>
            <w:tcW w:w="735" w:type="dxa"/>
            <w:vAlign w:val="center"/>
            <w:textDirection w:val="lrTb"/>
            <w:noWrap w:val="false"/>
          </w:tcPr>
          <w:p>
            <w:pPr>
              <w:pStyle w:val="909"/>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7580" w:type="dxa"/>
            <w:vAlign w:val="top"/>
            <w:textDirection w:val="lrTb"/>
            <w:noWrap w:val="false"/>
          </w:tcPr>
          <w:p>
            <w:pPr>
              <w:pStyle w:val="909"/>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功能指标</w:t>
            </w:r>
            <w:r>
              <w:rPr>
                <w:rFonts w:ascii="宋体" w:hAnsi="宋体" w:cs="宋体"/>
                <w:b/>
                <w:color w:val="000000"/>
                <w:sz w:val="24"/>
                <w:highlight w:val="none"/>
              </w:rPr>
            </w:r>
            <w:r/>
          </w:p>
        </w:tc>
      </w:tr>
      <w:tr>
        <w:trPr/>
        <w:tc>
          <w:tcPr>
            <w:tcW w:w="735" w:type="dxa"/>
            <w:vAlign w:val="center"/>
            <w:textDirection w:val="lrTb"/>
            <w:noWrap w:val="false"/>
          </w:tcPr>
          <w:p>
            <w:pPr>
              <w:pStyle w:val="909"/>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7580" w:type="dxa"/>
            <w:vAlign w:val="center"/>
            <w:textDirection w:val="lrTb"/>
            <w:noWrap w:val="false"/>
          </w:tcPr>
          <w:p>
            <w:pPr>
              <w:pStyle w:val="9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射频技术：符合ISO14443 Type B标准,以及《GA 450-2003台式居民身份证阅读器通用技术要求》；</w:t>
            </w:r>
            <w:r>
              <w:rPr>
                <w:rFonts w:ascii="宋体" w:hAnsi="宋体" w:cs="宋体"/>
                <w:color w:val="000000"/>
                <w:sz w:val="24"/>
                <w:highlight w:val="none"/>
              </w:rPr>
            </w:r>
            <w:r/>
          </w:p>
        </w:tc>
      </w:tr>
      <w:tr>
        <w:trPr/>
        <w:tc>
          <w:tcPr>
            <w:tcW w:w="735" w:type="dxa"/>
            <w:vAlign w:val="center"/>
            <w:textDirection w:val="lrTb"/>
            <w:noWrap w:val="false"/>
          </w:tcPr>
          <w:p>
            <w:pPr>
              <w:pStyle w:val="909"/>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7580" w:type="dxa"/>
            <w:vAlign w:val="center"/>
            <w:textDirection w:val="lrTb"/>
            <w:noWrap w:val="false"/>
          </w:tcPr>
          <w:p>
            <w:pPr>
              <w:pStyle w:val="909"/>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接口：CVR-100UC 符合USB2.0标准  ；</w:t>
            </w:r>
            <w:r>
              <w:rPr>
                <w:rFonts w:ascii="宋体" w:hAnsi="宋体" w:cs="宋体"/>
                <w:color w:val="000000"/>
                <w:sz w:val="24"/>
                <w:highlight w:val="none"/>
              </w:rPr>
            </w:r>
            <w:r/>
          </w:p>
        </w:tc>
      </w:tr>
      <w:tr>
        <w:trPr/>
        <w:tc>
          <w:tcPr>
            <w:tcW w:w="735" w:type="dxa"/>
            <w:vAlign w:val="center"/>
            <w:textDirection w:val="lrTb"/>
            <w:noWrap w:val="false"/>
          </w:tcPr>
          <w:p>
            <w:pPr>
              <w:pStyle w:val="909"/>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7580" w:type="dxa"/>
            <w:vAlign w:val="center"/>
            <w:textDirection w:val="lrTb"/>
            <w:noWrap w:val="false"/>
          </w:tcPr>
          <w:p>
            <w:pPr>
              <w:pStyle w:val="909"/>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保密模块：身份证核查系统专用模块；</w:t>
            </w:r>
            <w:r>
              <w:rPr>
                <w:rFonts w:ascii="宋体" w:hAnsi="宋体" w:cs="宋体"/>
                <w:color w:val="000000"/>
                <w:sz w:val="24"/>
                <w:highlight w:val="none"/>
              </w:rPr>
            </w:r>
            <w:r/>
          </w:p>
        </w:tc>
      </w:tr>
      <w:tr>
        <w:trPr/>
        <w:tc>
          <w:tcPr>
            <w:tcW w:w="735" w:type="dxa"/>
            <w:vAlign w:val="center"/>
            <w:textDirection w:val="lrTb"/>
            <w:noWrap w:val="false"/>
          </w:tcPr>
          <w:p>
            <w:pPr>
              <w:pStyle w:val="909"/>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7580" w:type="dxa"/>
            <w:vAlign w:val="center"/>
            <w:textDirection w:val="lrTb"/>
            <w:noWrap w:val="false"/>
          </w:tcPr>
          <w:p>
            <w:pPr>
              <w:pStyle w:val="909"/>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读卡距离 0~50mm ；</w:t>
            </w:r>
            <w:r>
              <w:rPr>
                <w:rFonts w:ascii="宋体" w:hAnsi="宋体" w:cs="宋体"/>
                <w:color w:val="000000"/>
                <w:sz w:val="24"/>
                <w:highlight w:val="none"/>
              </w:rPr>
            </w:r>
            <w:r/>
          </w:p>
        </w:tc>
      </w:tr>
      <w:tr>
        <w:trPr/>
        <w:tc>
          <w:tcPr>
            <w:tcW w:w="735" w:type="dxa"/>
            <w:vAlign w:val="center"/>
            <w:textDirection w:val="lrTb"/>
            <w:noWrap w:val="false"/>
          </w:tcPr>
          <w:p>
            <w:pPr>
              <w:pStyle w:val="909"/>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7580" w:type="dxa"/>
            <w:vAlign w:val="center"/>
            <w:textDirection w:val="lrTb"/>
            <w:noWrap w:val="false"/>
          </w:tcPr>
          <w:p>
            <w:pPr>
              <w:pStyle w:val="909"/>
              <w:spacing w:line="360" w:lineRule="auto"/>
              <w:shd w:val="clear" w:color="auto" w:fill="ffffff"/>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工作频率： 13.56MHz ± 7kHz</w:t>
            </w:r>
            <w:r>
              <w:rPr>
                <w:rFonts w:hint="eastAsia" w:ascii="宋体" w:hAnsi="宋体" w:cs="宋体"/>
                <w:color w:val="000000"/>
                <w:sz w:val="24"/>
                <w:highlight w:val="none"/>
              </w:rPr>
              <w:t xml:space="preserve">；</w:t>
            </w:r>
            <w:r>
              <w:rPr>
                <w:rFonts w:ascii="宋体" w:hAnsi="宋体" w:cs="宋体"/>
                <w:color w:val="000000"/>
                <w:sz w:val="24"/>
                <w:highlight w:val="none"/>
                <w:shd w:val="clear" w:color="auto" w:fill="ffffff"/>
              </w:rPr>
            </w:r>
            <w:r/>
          </w:p>
        </w:tc>
      </w:tr>
    </w:tbl>
    <w:p>
      <w:pPr>
        <w:pStyle w:val="968"/>
        <w:spacing w:line="360" w:lineRule="auto"/>
        <w:rPr>
          <w:rFonts w:ascii="宋体" w:hAnsi="宋体" w:cs="宋体"/>
          <w:color w:val="000000"/>
          <w:sz w:val="24"/>
          <w:highlight w:val="none"/>
        </w:rPr>
      </w:pPr>
      <w:r>
        <w:rPr>
          <w:rFonts w:ascii="宋体" w:hAnsi="宋体" w:cs="宋体"/>
          <w:color w:val="000000"/>
          <w:sz w:val="24"/>
          <w:highlight w:val="none"/>
        </w:rPr>
      </w:r>
      <w:r/>
    </w:p>
    <w:p>
      <w:pPr>
        <w:pStyle w:val="968"/>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68"/>
        <w:spacing w:line="360" w:lineRule="auto"/>
        <w:rPr>
          <w:rFonts w:ascii="宋体" w:hAnsi="宋体" w:cs="宋体"/>
          <w:b/>
          <w:bCs/>
          <w:sz w:val="24"/>
          <w:highlight w:val="none"/>
        </w:rPr>
        <w:outlineLvl w:val="0"/>
      </w:pPr>
      <w:r>
        <w:rPr>
          <w:rFonts w:hint="eastAsia" w:ascii="宋体" w:hAnsi="宋体" w:cs="宋体"/>
          <w:b/>
          <w:bCs/>
          <w:sz w:val="24"/>
          <w:highlight w:val="none"/>
        </w:rPr>
        <w:t xml:space="preserve">（九）防统方系统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1、纪委监控平台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有独立的纪委监控平台，监控权由医院纪委监察掌控，报表全部由纪委监察独立出具。</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能够自动监控防统方设备数据采集状况，当有人故意破坏时，设备示意图会自动变色报警，自动记录变化时间。</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能够自动监控防统方设备开关机状况，自动记录开关机时间，防止有人故意关闭防统方设备电源。</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实时报警内容包括：统方客户端IP地址、名称、执行时间、统方的语句等内容，并且具有中文说明。</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可以打印报警记录，内容包括统方的IP地址、统方时间、统方语句、中文说明等内容。</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具备白名单功能，对误报的正常工作语句，可以加入白名单。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具有实时报警记录，未处理的报警记录不停滚动，提醒用户。</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能够按IP地址、日期、药品等查询、统计、打印报警记录。</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具有独立的审计日历图形，纪委可以查看任意时间的报警情况，不同的报警级别在日历中，用不同颜色图标显示。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具有对系统升级的功能。当纪委监察收到系统升级文件后，只需要点击系统上“自动升级”图标，系统会自动完成升级，升级简单方便。</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具有系统日志导出功能。</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2、管理平台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登录管理平台必须同时使用纪委和信息中心双密码，防止私自修改审计规则。</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可以针对不同的用户设置不同的访问权限，将纪委监控平台、系统管理平台、信息中心平台完全分开。</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可以对黑白名单、使用者权限、统方规则等进行管理。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可以对创建表、视图、存储过程时使用到关键表的行为可实现报警。</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可以对执行结果错误的报警语句可自动降低报警级别。</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可以根据统方语句中的统计日期范围降低报警级别。</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可以根据统方语句中含TOP关键字的返回数降低报警级别。</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具有自定义规则功能，可以根据查询语句返回记录数、统计日期间隔天数自行设置报警规则。</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可以查看所有对统方规则修改的行为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具有IP登录控制，用于控制客户端登录防统方系统，未经批准的客户端不得登录防统方系统。</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具有自动远程备份，定期备份审计数据，防止审计数据丢失。</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3、统方申报平台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实现正常业务处方统计申报及审批流程管理，经批准后的处方统计操作将不纳入违规统方范畴。正常工作统计的科室/人员可通过模块进行在线申报，监管人员可以对申请进行审批，实现正常业务处方统计申报及审批流程管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报警数据必须统方申报审批进行对接，报警自动与统方申报审批备案记录进行对比，系统自动从统方申报审批模块中把备案信息同步到系统中，并针对该警标注为合法及处理说明。</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针对系统每条报警信息进行单独标注处理，标注信息可不停的叠加，系统自动记录查看每条报警信息的时间，可针对每条报警信息进行多次处理说明。</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4、信息中心平台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可以按日期、时间段、IP地址、操作类型、语句内容查询所有对数据库的访问命令。</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可以通过饼图形式查看每日HIS数据库的访问分类统计。</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可以查看对HIS数据库访问量前十名的客户端，便于根据客户端工作量分析调整。</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可以查看对HIS数据库中创建、删除、修改表结构的特殊行为单独记录，方便信息中心管理。</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可以对执行时间超长的SQL语句单独记录，便于分析调整。</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可以查看设备运行状态，包括CPU、内存和硬盘的状态</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可以导入和添加医院所有客户端IP地址和所属科室，便于定位查看。</w:t>
      </w:r>
      <w:r>
        <w:rPr>
          <w:rFonts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5、系统性能</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产品外型为机架式，可安装于标准机柜。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系统采用旁路监听方式，对医院现有系统没有任何影响。</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系统性能：网口：10/100/1000M自适应电口 *6；内存：≥8G；独立存储容量：≥2TB企业级硬盘。</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处理能力：审计入库速度≧5000条/秒；支持审计数据库数量不少于10个，信息点不少于1000个的数据审计能力。</w:t>
      </w:r>
      <w:r>
        <w:rPr>
          <w:rFonts w:hint="eastAsia" w:ascii="宋体" w:hAnsi="宋体" w:cs="宋体"/>
          <w:sz w:val="24"/>
          <w:highlight w:val="none"/>
        </w:rPr>
      </w:r>
      <w:r/>
    </w:p>
    <w:p>
      <w:pPr>
        <w:pStyle w:val="969"/>
        <w:rPr>
          <w:highlight w:val="none"/>
          <w:lang w:eastAsia="zh-CN"/>
        </w:rPr>
      </w:pPr>
      <w:r>
        <w:rPr>
          <w:highlight w:val="none"/>
          <w:lang w:eastAsia="zh-CN"/>
        </w:rPr>
      </w:r>
      <w:r/>
    </w:p>
    <w:p>
      <w:pPr>
        <w:pStyle w:val="968"/>
        <w:ind w:firstLine="482"/>
        <w:jc w:val="left"/>
        <w:spacing w:line="360" w:lineRule="auto"/>
        <w:rPr>
          <w:rFonts w:ascii="宋体" w:hAnsi="宋体" w:cs="宋体"/>
          <w:b/>
          <w:bCs/>
          <w:sz w:val="24"/>
          <w:highlight w:val="none"/>
        </w:rPr>
        <w:outlineLvl w:val="0"/>
      </w:pPr>
      <w:r>
        <w:rPr>
          <w:rFonts w:hint="eastAsia" w:ascii="宋体" w:hAnsi="宋体" w:cs="宋体"/>
          <w:b/>
          <w:bCs/>
          <w:sz w:val="24"/>
          <w:highlight w:val="none"/>
        </w:rPr>
        <w:t xml:space="preserve">（十）统一预约管理系统</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1、排队叫号</w:t>
      </w:r>
      <w:r>
        <w:rPr>
          <w:rFonts w:ascii="宋体" w:hAnsi="宋体" w:cs="宋体"/>
          <w:b/>
          <w:bCs/>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1.1导医系统平台</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需支持以下功能及功能点：</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信创：系统需支持国产化。</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等保：系统需具备信息安全等级保护备案证明。</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1.系统软件需支持电子医保码签到，及一号管三天等上级指令性要求。</w:t>
      </w:r>
      <w:r>
        <w:rPr>
          <w:rFonts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 ▲投标人所提供的软、硬件系统需要与采购人现有叫号系统及医院的HIS\LIS\服务小程序等医院相关信息系统的数据对接，与采购人现有叫号系统实现数据统一管理功能。对接产生的费用均由投标人自行承担，对接所需的接口由采购人负责协调第三方配合处理。</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 ▲叫号器功能接口允许采购人信息化系统调用。（包括但不限于采购人在用的HIS\LIS）</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4. 考虑未来发展需求，要求本次投标产品需支持国产操作系统。</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5. 要求系统采用B/S架构设计，为契合等保要求，投标产品客户端要求采用JWT鉴权，涉密信息采用RSA算法非对称加密传输，使用统一CA签名证书进行数据传输。</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6. 需具备支持规则追溯的后台管理功能和直观的可视化界面，以保障管理者清晰掌握各诊区规则并便于人员交接。</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 7. 系统需提供图形化界面，允许管理员直观地定义各类排队人员（如初诊、过号、优先、回诊、复诊（隔天）、迟到、预约、军人、军属、老人等）的呼叫优先级，支持定义不同类型人员之间的呼叫间隔规则（如穿插比例），要求在管理员调整优先级或间隔规则时，界面必须能实时、动态地展示调整后的人员排队顺序变化，确保配置过程直观便捷。</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8.  ▲终端控制功能需支持医护人员仅通过前端应用程序（不含管理后台），以图形化交互界面，对指定区域内的业务终端执行重启、开机、关机、截屏、清屏及开关机时间设置等操作。（说明：提供功能界面截图。）</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9. 候诊信息显示功能需支持分时段展示候诊信息，并能对复诊、回诊、过号、优先、超时、预约等状态的患者进行标注显示。</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10. 要求系统支持对排队队列进行设置，包括但不限于签到与否、重新排号与否、预约开启与否、预检开启与否等。</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要求系统支持对排队队列进行排班设定、叫号策略设定、过号重置设定、预留号设定等。</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 要求系统支持设定允许预约患者提前多长时间内可进行签到。</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 要求系统支持设定允许预约患者延时多长时间签到被视为迟到，要求迟到患者可与其他候诊患者进行穿插间隔呼叫。</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 要求系统支持允许患者同时候诊多项检查的需求。</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 要求系统可对诊区下设备进行批量管理，如添加、分组、删除、属性设定、页面设定、页面预览等，方便终端管理及维护。</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16. 要求系统支持人员管理，如人员的添加、删除，姓名、职称、图像、简介等信息的管理机维护。</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17. 要求系统支持批量设定隐私保护的开启与关闭。</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18. 要求系统可设定分诊台下的叫号模式，如顺呼、简洁呼、扫码呼、选呼等模式。</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19. 要求系统可设定诊室门口的缓冲等候人数，要求可设定某一医生工作站也可批量设定。</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20. 系统软件可将视/音频图片、文字等多媒体素材发送到各智能终端上上，能够实现及叫号信息和宣传信息同屏、混合播放。</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系统支持对有线电视节目、自办节目、网络流媒体等节目源的管理和发布功能。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要求具有联网和远程控制功能，支持跨路由控制，对终端可以远程管理和维护。</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23. 要求候诊区域一级分诊屏、医生所在检查室门口的二级分诊屏显示各自对应的叫号信息，并实现对应的叫号语音同步播报。 </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24. 要求系统设计具备自动数据备份机制，要求系统可以对分诊叫号数据进行自动备份，可按日、周、月进行自动备份，保证系统运行的安全与稳定。</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 要求系统有完整的日志管理功能，包括但不限于后台登陆操作、数据接口行为、护士工作站操作、医生工作站操作等记录；要求可查看及筛选查看操作者信息、操作时间、操作类别、结束时间、操作结果、操作时长、操作详情等信息；要求日志管理支持报错信息提示功能，并可详细查看。</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1.2门诊导医系统软件技术</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 系统可根据诊间环境大小及特点设定诊间外等候人数，要求可针对每一个诊位进行等候人数的个性化设定，满足每一个诊室的实际使用情况；</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 系统须支持多种类型队列的优先级设定，以及不同类型患者间隔呼叫规则的设定，系统设计应至少满足初诊、过号、回诊、复诊、预约、转诊、预约迟到等多种状态下患者的间隔呼叫的设定，同时也要求具备自定义添加患者类型，设定方式应灵活简便。</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 ▲就诊高峰期叫号效率优化功能应支持按时间段（如早 9:00 - 11:00 等）自定义叫号参数（例如设置 “呼叫 1 遍患者 + 简化播报文字”），以解决早高峰候诊区人流量大、环境嘈杂导致的叫号声音与屏幕显示不一致问题，减少患者漏听呼叫情况，提升叫号效率。（提供功能界面截图。）</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4. 需提供标准化接口，实现与医院官方 APP 的对接，支持患者在就诊期间实时查询自身排队进度。</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5. 系统应支持为特殊科室（如需要开展前置检查、准备工作的科室）配置 “二次叫号” 功能，确保患者诊疗流程衔接顺畅。</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6. 系统需支持针对军人、老人等特殊人群的优先排队机制，由护士站护士人工审核特殊人群身份后完成调号操作，按规则优先安排就诊。显示屏仅展示特殊人群患者的就诊状态（如 “待就诊”“就诊中” 等），不显示具体排队序号，保障优先权益的同时保护隐私。</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7. 系统须支持支持全自动形成队列、人工报到形成队列（患者自助报到、护士操作报到）以及自动及人工混合报到三种模式；</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8. 支持一对多（单个医生看诊多个队列）和多对一（多个医生看诊同一个队列）叫号模式；</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9. 支持一诊室一医生、一诊室多医生的排队叫号模式；</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10. 支持患者刷卡/扫描签到排队模式；支持非签到自动排队模式；支持自助取号排队模式；</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支持当日挂号与预约患者混合排队模式，预约患者在预约时段内优先就诊。</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 早间高峰期患者突增情况下，分诊台软件须支持自动报到和手动批量报到机制；</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 中午午休时间，系统可自动切换到信息发布显示，叫号屏播放医院自己的宣教片。</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1.3分诊台</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 要求护士工作站软件可通过界面化自定义配置该分诊台是否可以对患者预检信息进行录入，以满足不同候诊区下的个性化需求。</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 要求护士工作站软件可通过界面化自定义配置该分诊台数据的更新时间，以满足不同候诊区下的个性化需求。</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 要求护士工作站软件可通过界面化配置患者报到凭证的读取方式，须避免与第三方系统的应用冲突。</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4. 要求护士工作站软件可通过界面化自定义检查签到、过号签到不同状态进行设定，以满足不同候诊区下的个性化需求。</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5. 要求护士工作站软件可选择精简模式，有更多操作需要时可展开更多操作功能，注重护士的操作体验。</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6. 要求护士工作站软件可查看患者信息，包括但不限于患者姓名、性别、号别、候诊状态、签到时间、排队时间、预约时间、呼叫时间等；支持为患者进行签到、分配检查室、延迟呼叫，同时可以为患者做“优先”、“暂停”、“调号”等操作。</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7. 要求护士工作站软件可查看当前候诊区下各科室和各医生的排班情况，并可根据需要编辑周期内医生排班，及对医生每天初诊情况进行手动调整。</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8. 要求护士工作站软件对该候诊区各个科室进行限号设定，要求可针对预约、签到进行全天、上午、下午、某时间段内人数限制设定，用于我院灵活分流患者。</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9. 要求护士工作站软件可查看患者指定时间段内的候诊操作记录，要求可对每一位患者进行溯源查询，查询内容包括但不限于患者姓名、操作内容、操作时间、操作人员等。</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10. 要求护士工作站软件可登陆医生工作站软件，即要求护士分诊台可代替医生呼叫患者，且要求可进行呼叫、重呼、过号等操作。</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要求护士工作站软件具有患者状态提示功能，可提示护士有关患者的签到、过号、回诊、复诊、优先等信息；也要求护士工作站软件可实时显示患者的叫号信息。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 要求系统具有预检功能，可对预检信息进行录入、补录、修改等操作，例如：患者的身高、体征、血压、心率、体温、自主能力评估等，提前为医生获取患者基础信息，提升就诊效率。</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 要求系统支持广播功能，分诊台可向诊区内任一叫号设备进行广播，要求护士仅输入文字内容即可自动生成语音播报，要求广播可选择重播及多时段播放。</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 要求护士工作站软件具有警示信息发送功能，要求可向指定部门发送告警信息，告警信息可自行编辑，例如有突发事件、区域泛水等亟待处理事件的定向发送。</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 要求护士工作站软件可对该候诊区下的所有设备进行查看，并可单独或批量设置设备的开关机、重启、截屏查看等操作。</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16. 要求护士工作站软件可查看该候诊区下的分诊数据，如科室名称、挂号总人数、已呼叫人次、平均候诊时长、平均就诊时长、报到人数、未到人数、初诊人数、回诊人数，过号人数等，并要求可导出EXCEL文件。</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17. 要求护士工作站软件可与医生工作站软件间进行即时通讯，要求双方可发送文字内容，或发送预设常用信息。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18. 要求软件具有使用帮助功能，为护士提供帮助教程示意，辅助护士人员熟悉系统的使用。</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19. 系统须支持对“特殊”患者进行标识，并对此类患者进行优先就诊操作，例如：军人、老人、儿童等患者可优先就诊，同时叫号屏幕可显示此类患者标识，如“军”、“幼”等，并用其他颜色以示区别，打消其他患者疑虑。</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20. 系统须支持延迟呼叫，如当患者暂时不满足检查、条件时，护士可对患者进行延迟就诊操作，延迟时长可选择，时间截止时，自动取消患者延迟状态，也可以通过护士手动取消患者延迟状态。</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1.4虚拟叫号端</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 要求支持医生ID号登录。</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 要求医生工作站管理软件样式可由医生自主选择，满足医生对软件字体大小的个性化需求。</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 要求医生工作站管理软件可自行设定呼叫的快捷键，方便医生通过键盘实现快速呼叫。</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4. 要求医生工作站管理软件可自行设定本软件可边缘停靠、置顶等，适配每位医生的使用习惯。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5. 要求医生工作站管理软件可自行修改操作界面大小，医生可以集合自己的需要选择精简的操作界面，减少对管理系统的遮挡。</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6. 要求支持顺序呼叫、选择呼叫、扫描呼叫等三种呼叫方式。</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7. 要求医生工作站管理软件支持等候患者、过号患者、诊结患者的信息查看，并支持对以上患者进行选择呼叫。</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8. 要求医生工作站管理软件支持医生停诊后，诊室门口显示终端提示停诊状态。</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9. 要求医生工作站管理软件支持救援呼叫功能，同时也需要支持键盘快捷键救援呼叫，满足医生救援的即时性诉求可在分诊台、警卫室、医务处等指定区域响应。</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10. 要求医生工作站管理软件支持无等候患者状态下，新患者签到提醒功能，要求提醒信息醒目。</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要求支持同一患者排多个队列，被呼叫时其他队列自动挂起，诊结后自动恢复等候状态。</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 要求医生工作站管理软件可显示当前呼叫患者检查项目。</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 要求医生工作站软件可与护士工作站软件间进行即时通讯，要求双方可发送文字内容，或发送预设常用信息。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 要求医生工作站软件可向门诊智能终端进行广播，要求医生仅输入文字内容即可自动生成语音播报。</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 可开放叫号器功能接口，允许第三方系统调用。</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1.5一二级候诊区</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语音</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1.系统须支持以图形化界面设置语音播报内容的关键词预制及自定义，并可结合数据库字段的选择随时调整分诊台、诊室的语音播报内容。</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2.语音播报软件应具备全语音库的语音呼叫功能，支持文本内容(中、英文、数字)自动语音合成与播报，排队叫号信息可自动合成为语音信息播放；</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3.语音默认要求为女声普通话，且语音清晰、流畅、无噪音、声音感受效果良好。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界面显示</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1.系统可与多媒体信息同屏显示</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2.系统要求诊室屏同步显示当前出诊医生信息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3.要求支持患者等候列表与呼叫信息同屏切换或分屏显示</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4.要求系统支持多屏统一呼叫或分屏呼叫</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5.要求系统可对特殊诊区敏感信息隐私保护；</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6.要求系统可发布通知类即时文字信息；</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监控管理</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1.管理端实时监测各个播放端的系统运行情况和任务播放情况，可以对各个播放端进行接管控制，抓屏查看播放端播放内容；可以根据区域进行设备分组，通过分组进行查看组别内全部设备当时播放画面。</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2.远程指令和操作：管理端可通过网络控制播放端及显示设备进行定时和随时的远程开机、关机、重启、开关屏、查看下载情况、开关机时间设置、开关屏时间设置等操作。</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3.管理员可按周、按月、按年预设开关机时间规则，适应不同区域的多重规则的问、停诊时间。</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1.6自助报到设备软件</w:t>
      </w:r>
      <w:r>
        <w:rPr>
          <w:rFonts w:ascii="宋体" w:hAnsi="宋体" w:cs="宋体"/>
          <w:b/>
          <w:bCs/>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 要求系统可对接我院HIS、PACS、LIS等第三方管理系统中的预约、挂号、检验、检查等队列数据。</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2. 要求系统可进行设备类型管理，要求可增加、编辑、删除终端设备类型。要求系统可进行终端监控管理，要求可远程关闭、重启设备，可根据故障信息查询设备。</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3. 要求支持患者通过自助报到机进行签到，报到机可通过条形码扫描、二维码扫描、身份证读取、就诊卡读取、医保卡读取等方式相结合识别患者信息；支持手工输入住院号进行报到。</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4. 要求系统支持动态操作指导，方便患者自助使用。</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5. 自助签到机系统需支持患者签到开启时可自助化设定提前签到时间（无需修改代码），可实现提前预约时间段 10 分钟签到、提前预约时间段 30 分钟签到等设定功能。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6. 自助签到机系统需支持在后台以图形化界面方式配置队列开启预约签到，开启后可自助化设定预约迟到规则，患者未在预约时间内签到时可设定插队机制（无需修改代码），可实现排至当前午别队尾、下一预约时段队尾、当前签到时间段队尾等插队设定功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7. 系统要求在患者报到时，能够显示排队信息以及当前等候的总人数、预计等候时长。</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8. 要求支持回诊患者、隔天复诊患者报到后，系统将其自动分配到原看诊医生的队列中。</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9. 要求系统可进数据库管理，要求可对数据库进行恢复初始值和数据备份。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10. 要求系统可进行用户管理，要求可对用户进行增加、编辑、删除，可为用户重置密码。</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要求系统可进行菜单管理，要求对功能菜单、业务菜单进行编辑、删除等管理。</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 要求系统可查询后台操作日志。</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 系统须可支持回诊、复诊、过号患者再次报到，进入排队队列。</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 要求可支持患者要排多项队列时，报到机软件具有一次签到或选择签到功能；要求支持异地报到功能。</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 要求系统支持患者可自主选择当前出诊医生排队签到；</w:t>
      </w:r>
      <w:r>
        <w:rPr>
          <w:rFonts w:hint="eastAsia" w:ascii="宋体" w:hAnsi="宋体" w:cs="宋体"/>
          <w:sz w:val="24"/>
          <w:highlight w:val="none"/>
        </w:rPr>
      </w:r>
      <w:r/>
    </w:p>
    <w:p>
      <w:pPr>
        <w:pStyle w:val="968"/>
        <w:ind w:firstLine="480"/>
        <w:spacing w:line="360" w:lineRule="auto"/>
        <w:rPr>
          <w:rFonts w:hint="eastAsia" w:ascii="宋体" w:hAnsi="宋体" w:cs="宋体"/>
          <w:sz w:val="24"/>
          <w:highlight w:val="none"/>
        </w:rPr>
      </w:pPr>
      <w:r>
        <w:rPr>
          <w:rFonts w:hint="eastAsia" w:ascii="宋体" w:hAnsi="宋体" w:cs="宋体"/>
          <w:sz w:val="24"/>
          <w:highlight w:val="none"/>
        </w:rPr>
        <w:t xml:space="preserve">16. 系统支持按需求打印排队信息凭条。</w:t>
      </w:r>
      <w:r>
        <w:rPr>
          <w:rFonts w:hint="eastAsia" w:ascii="宋体" w:hAnsi="宋体" w:cs="宋体"/>
          <w:sz w:val="24"/>
          <w:highlight w:val="none"/>
        </w:rPr>
      </w:r>
      <w:r/>
    </w:p>
    <w:p>
      <w:pPr>
        <w:pStyle w:val="968"/>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2、医技预约管理系统</w:t>
      </w:r>
      <w:r>
        <w:rPr>
          <w:rFonts w:ascii="宋体" w:hAnsi="宋体" w:cs="宋体"/>
          <w:b/>
          <w:bCs/>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1.需与PACS、HIS系统对接，预约与PACS都可进行预约登记，预约人员数量共享。</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2.支持检查项目预约，预约平台要求操作简便，易学易用；要求系统支持护士为患者进行单次、多次预约，修改预约和取消预约等操作；</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3.要求系统支持可预约至精确的时间段内，时间跨度可灵活设置；</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4.时间段内预约人数超出预警人数时，系统应有明显提示；</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5.系统需支持除医技科室可为患者预约外，还具有院内其他科室医生、住院病区医护人员、自助服务设备、院内电脑等多渠道预约方式。</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6.系统需支持排班管理，要求可对检查室一周内每天多时段进行排班设置。</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7.系统需支持检查室检查部位的关联设定，并支持检查项目对应的注意事项进行自定义编辑。</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8.系统需支持黑名单管理，对于爽约患者可设定惩罚规则。</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9.要求系统可以对预约数据进行统计，可支持历史数据、当天数据、后续预约数据进行查询；可支持按检查室、检查项目进行筛选统计；可查询预约人数、到检人数、爽约人数、预约渠道占比等信息。</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10.要求系统支持在患者具有多项检查项目时，系统可智能为患者推荐最优预约方案；同时要求系统具备检查项互斥关系的维护，合理分开互斥检查项的预约时间。 </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11.住院病人、预约患者在预约时段内，需采用优先原则；</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12.在患者有多个检查项的情况下，当其被一检查项呼叫到时，其他检查项状态为挂起装状态，待该患者完成当前检查后，其他检查项方可呼叫。</w:t>
      </w:r>
      <w:r>
        <w:rPr>
          <w:rFonts w:ascii="宋体" w:hAnsi="宋体" w:cs="宋体"/>
          <w:sz w:val="24"/>
          <w:highlight w:val="none"/>
        </w:rPr>
      </w:r>
      <w:r/>
    </w:p>
    <w:p>
      <w:pPr>
        <w:pStyle w:val="968"/>
        <w:ind w:firstLine="480"/>
        <w:spacing w:line="360" w:lineRule="auto"/>
        <w:rPr>
          <w:rFonts w:ascii="宋体" w:hAnsi="宋体" w:cs="宋体"/>
          <w:sz w:val="24"/>
          <w:highlight w:val="none"/>
        </w:rPr>
      </w:pPr>
      <w:r>
        <w:rPr>
          <w:rFonts w:hint="eastAsia" w:ascii="宋体" w:hAnsi="宋体" w:cs="宋体"/>
          <w:sz w:val="24"/>
          <w:highlight w:val="none"/>
        </w:rPr>
        <w:t xml:space="preserve">13.在患者不具备检查条件时，护士可为其设置延迟呼叫，待具备检查条件时，方可呼叫。</w:t>
      </w:r>
      <w:r>
        <w:rPr>
          <w:rFonts w:ascii="宋体" w:hAnsi="宋体" w:cs="宋体"/>
          <w:sz w:val="24"/>
          <w:highlight w:val="none"/>
        </w:rPr>
      </w:r>
      <w:r/>
    </w:p>
    <w:p>
      <w:pPr>
        <w:pStyle w:val="909"/>
        <w:rPr>
          <w:highlight w:val="none"/>
        </w:rPr>
      </w:pPr>
      <w:r>
        <w:rPr>
          <w:highlight w:val="none"/>
        </w:rPr>
      </w:r>
      <w:r/>
    </w:p>
    <w:p>
      <w:pPr>
        <w:pStyle w:val="968"/>
        <w:ind w:firstLine="482"/>
        <w:spacing w:line="360" w:lineRule="auto"/>
        <w:rPr>
          <w:rFonts w:ascii="宋体" w:hAnsi="宋体" w:cs="宋体"/>
          <w:b/>
          <w:bCs/>
          <w:sz w:val="24"/>
          <w:highlight w:val="none"/>
        </w:rPr>
      </w:pPr>
      <w:r>
        <w:rPr>
          <w:rFonts w:ascii="宋体" w:hAnsi="宋体" w:cs="宋体"/>
          <w:b/>
          <w:bCs/>
          <w:sz w:val="24"/>
          <w:highlight w:val="none"/>
        </w:rPr>
      </w:r>
      <w:r/>
    </w:p>
    <w:p>
      <w:pPr>
        <w:pStyle w:val="969"/>
        <w:spacing w:line="360" w:lineRule="auto"/>
        <w:rPr>
          <w:rFonts w:ascii="宋体" w:hAnsi="宋体" w:eastAsia="宋体" w:cs="宋体"/>
          <w:b/>
          <w:bCs/>
          <w:sz w:val="24"/>
          <w:szCs w:val="24"/>
          <w:highlight w:val="none"/>
          <w:lang w:eastAsia="zh-CN"/>
        </w:rPr>
        <w:outlineLvl w:val="0"/>
      </w:pPr>
      <w:r>
        <w:rPr>
          <w:rFonts w:hint="eastAsia" w:ascii="宋体" w:hAnsi="宋体" w:eastAsia="宋体" w:cs="宋体"/>
          <w:b/>
          <w:bCs/>
          <w:sz w:val="24"/>
          <w:szCs w:val="24"/>
          <w:highlight w:val="none"/>
          <w:lang w:eastAsia="zh-CN"/>
        </w:rPr>
        <w:t xml:space="preserve">（十一）急诊管理系统</w:t>
      </w:r>
      <w:r>
        <w:rPr>
          <w:rFonts w:ascii="宋体" w:hAnsi="宋体" w:eastAsia="宋体" w:cs="宋体"/>
          <w:b/>
          <w:bCs/>
          <w:sz w:val="24"/>
          <w:szCs w:val="24"/>
          <w:highlight w:val="none"/>
          <w:lang w:eastAsia="zh-CN"/>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预检分诊子系统</w:t>
      </w:r>
      <w:r>
        <w:rPr>
          <w:rFonts w:ascii="宋体" w:hAnsi="宋体" w:cs="宋体"/>
          <w:b/>
          <w:bCs/>
          <w:sz w:val="24"/>
          <w:highlight w:val="none"/>
        </w:rPr>
      </w:r>
      <w:r/>
    </w:p>
    <w:p>
      <w:pPr>
        <w:pStyle w:val="909"/>
        <w:numPr>
          <w:ilvl w:val="0"/>
          <w:numId w:val="5"/>
        </w:numPr>
        <w:spacing w:line="360" w:lineRule="auto"/>
        <w:rPr>
          <w:rFonts w:hint="eastAsia" w:ascii="宋体" w:hAnsi="宋体" w:cs="宋体"/>
          <w:sz w:val="24"/>
          <w:highlight w:val="none"/>
        </w:rPr>
      </w:pPr>
      <w:r/>
      <w:bookmarkStart w:id="18" w:name="_Hlk162439197"/>
      <w:r>
        <w:rPr>
          <w:rFonts w:hint="eastAsia" w:ascii="宋体" w:hAnsi="宋体" w:cs="宋体"/>
          <w:sz w:val="24"/>
          <w:highlight w:val="none"/>
        </w:rPr>
        <w:t xml:space="preserve">系统符合卫健委的《急诊患者病情分级试点指导原则（2011 征求意见稿）》要求。</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系统按照《医院急诊科规范化流程》（WS/T390-2012）执行病情分诊程序。</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系统符合《急诊预检分诊专家共识（2018年版）》标准。</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支持三种模式适应医院不同的业务流程，先分诊后挂号，先挂号后分诊，分诊同时挂号。</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支持与HIS系统对接（需HIS系统配合），自动获取急诊病人挂号信息。</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支持120患者分诊时建档（需120对接获取患者信息，与HIS系统对接为患者进行建档）。</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支持智能患者信息获取功能，可通过已经建立患者信息的智能介质（IC卡、二维码、条形码等）等途径获取患者姓名、性别、证件号、自动计算年龄等身份信息。</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支持三无患者登记，先分配分诊号，后期可匹配挂号信息。</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支持群伤患者管理与标识，快速建立群伤患者列表，支持批量分诊功能，批量分诊完成后可随时补充患者的详细分诊信息。</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支持新建患者分诊关联群伤事件，双向管理群伤患者，可从群伤事件新建群伤患者并一键分诊，也可从分诊患者列表关联群伤事件。</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支持120/110/119护送患者登记120/110/119车辆信息及护送患者人员信息。</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支持不同年龄的显示规则（小于三小时显示分钟，小于3天显示小时，小于1年显示天，小于14岁显示岁月大于等于14显示岁）。</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支持根据输入的生日自动计算患者年龄。</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支持手动录入患者身份信息、发病时间、来院方式、主诉等内容。</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支持登记患者的职业史、过敏史、营养状态等其他情况。</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支持特殊人群划分和标识，如无名氏、群伤患者、120患者、老人、儿童、孕产妇等，方便患者信息追踪。</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支持患者生命体征数据：血压、心率、SPO2、呼吸、体温的自动采集和直接录入，患者意识状态的快速点选。</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支持调阅并应用已分诊患者的历史生命体征数据。</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支持分诊时采集不同区域的监护仪数据，获取准确的患者生命体征。</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系统支持根据生命体征数据给出自动化分级建议。</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支持患者评分管理，包括：MEWS评分、REMS评分、GCS评分、创伤评分、疼痛评分，支持通过评分进行自动化分级。</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支持人工更改自动化分级和去向信息，同时填写分级更改理由。</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支持分诊后打印腕带或分诊条，可以根据医院需要配置打印的信息。</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支持补打印分诊腕带或分诊条。</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支持分诊各项指标统计 ，如分诊人数、分级患者比例、三无患者占比等。</w:t>
      </w:r>
      <w:r>
        <w:rPr>
          <w:rFonts w:hint="eastAsia" w:ascii="宋体" w:hAnsi="宋体" w:cs="宋体"/>
          <w:sz w:val="24"/>
          <w:highlight w:val="none"/>
        </w:rPr>
      </w:r>
      <w:r/>
    </w:p>
    <w:p>
      <w:pPr>
        <w:pStyle w:val="909"/>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支持统计报表，急诊日报表、分诊病人登记表、分诊工作量统计表自动生成，能够打印和导出。</w:t>
      </w:r>
      <w:r>
        <w:rPr>
          <w:rFonts w:hint="eastAsia" w:ascii="宋体" w:hAnsi="宋体" w:cs="宋体"/>
          <w:sz w:val="24"/>
          <w:highlight w:val="none"/>
        </w:rPr>
      </w:r>
      <w:r/>
    </w:p>
    <w:p>
      <w:pPr>
        <w:pStyle w:val="909"/>
        <w:numPr>
          <w:ilvl w:val="0"/>
          <w:numId w:val="5"/>
        </w:numPr>
        <w:spacing w:line="360" w:lineRule="auto"/>
        <w:rPr>
          <w:rFonts w:ascii="宋体" w:hAnsi="宋体" w:cs="宋体"/>
          <w:sz w:val="24"/>
          <w:highlight w:val="none"/>
        </w:rPr>
      </w:pPr>
      <w:r>
        <w:rPr>
          <w:rFonts w:hint="eastAsia" w:ascii="宋体" w:hAnsi="宋体" w:cs="宋体"/>
          <w:sz w:val="24"/>
          <w:highlight w:val="none"/>
        </w:rPr>
        <w:t xml:space="preserve">提供人体图模式记录患者主诉症状。</w:t>
      </w:r>
      <w:r>
        <w:rPr>
          <w:rFonts w:hint="eastAsia" w:ascii="宋体" w:hAnsi="宋体" w:cs="宋体"/>
          <w:b/>
          <w:bCs/>
          <w:color w:val="ff0000"/>
          <w:sz w:val="24"/>
          <w:highlight w:val="none"/>
        </w:rPr>
        <w:t xml:space="preserve">（提供视频演示）</w:t>
      </w:r>
      <w:r>
        <w:rPr>
          <w:rFonts w:ascii="宋体" w:hAnsi="宋体" w:cs="宋体"/>
          <w:sz w:val="24"/>
          <w:highlight w:val="none"/>
        </w:rPr>
      </w:r>
      <w:r/>
    </w:p>
    <w:p>
      <w:pPr>
        <w:pStyle w:val="909"/>
        <w:numPr>
          <w:ilvl w:val="0"/>
          <w:numId w:val="5"/>
        </w:numPr>
        <w:spacing w:line="360" w:lineRule="auto"/>
        <w:rPr>
          <w:rFonts w:ascii="宋体" w:hAnsi="宋体" w:cs="宋体"/>
          <w:color w:val="ff0000"/>
          <w:sz w:val="24"/>
          <w:highlight w:val="none"/>
        </w:rPr>
      </w:pPr>
      <w:r/>
      <w:bookmarkEnd w:id="18"/>
      <w:r>
        <w:rPr>
          <w:rFonts w:hint="eastAsia" w:ascii="宋体" w:hAnsi="宋体" w:cs="宋体"/>
          <w:color w:val="ff0000"/>
          <w:sz w:val="24"/>
          <w:highlight w:val="none"/>
        </w:rPr>
        <w:t xml:space="preserve">▲支持急诊预检分诊知识库，生命体征、主诉等多种分级规则判定、智能推送分诊级别。</w:t>
      </w:r>
      <w:r>
        <w:rPr>
          <w:rFonts w:ascii="宋体" w:hAnsi="宋体" w:cs="宋体"/>
          <w:color w:val="ff0000"/>
          <w:sz w:val="24"/>
          <w:highlight w:val="none"/>
        </w:rPr>
      </w:r>
      <w:r/>
    </w:p>
    <w:p>
      <w:pPr>
        <w:pStyle w:val="909"/>
        <w:numPr>
          <w:ilvl w:val="0"/>
          <w:numId w:val="5"/>
        </w:numPr>
        <w:spacing w:line="360" w:lineRule="auto"/>
        <w:rPr>
          <w:rFonts w:ascii="宋体" w:hAnsi="宋体" w:cs="宋体"/>
          <w:sz w:val="24"/>
          <w:highlight w:val="none"/>
        </w:rPr>
      </w:pPr>
      <w:r>
        <w:rPr>
          <w:rFonts w:hint="eastAsia" w:ascii="宋体" w:hAnsi="宋体" w:cs="宋体"/>
          <w:sz w:val="24"/>
          <w:highlight w:val="none"/>
        </w:rPr>
        <w:t xml:space="preserve">支持对接院前120信息，形成120患者列表，提前获取120患者信息进行预分诊。</w:t>
      </w:r>
      <w:r>
        <w:rPr>
          <w:rFonts w:ascii="宋体" w:hAnsi="宋体" w:cs="宋体"/>
          <w:sz w:val="24"/>
          <w:highlight w:val="none"/>
        </w:rPr>
      </w:r>
      <w:r/>
    </w:p>
    <w:p>
      <w:pPr>
        <w:pStyle w:val="909"/>
        <w:numPr>
          <w:ilvl w:val="0"/>
          <w:numId w:val="5"/>
        </w:numPr>
        <w:spacing w:line="360" w:lineRule="auto"/>
        <w:rPr>
          <w:rFonts w:ascii="宋体" w:hAnsi="宋体" w:cs="宋体"/>
          <w:sz w:val="24"/>
          <w:highlight w:val="none"/>
        </w:rPr>
      </w:pPr>
      <w:r>
        <w:rPr>
          <w:rFonts w:hint="eastAsia" w:ascii="宋体" w:hAnsi="宋体" w:cs="宋体"/>
          <w:sz w:val="24"/>
          <w:highlight w:val="none"/>
        </w:rPr>
        <w:t xml:space="preserve">支持院前患者信息展示，包括发病时间、到院时间等。</w:t>
      </w:r>
      <w:r>
        <w:rPr>
          <w:rFonts w:ascii="宋体" w:hAnsi="宋体" w:cs="宋体"/>
          <w:sz w:val="24"/>
          <w:highlight w:val="none"/>
        </w:rPr>
      </w:r>
      <w:r/>
    </w:p>
    <w:p>
      <w:pPr>
        <w:pStyle w:val="909"/>
        <w:numPr>
          <w:ilvl w:val="0"/>
          <w:numId w:val="5"/>
        </w:numPr>
        <w:spacing w:line="360" w:lineRule="auto"/>
        <w:rPr>
          <w:rFonts w:ascii="宋体" w:hAnsi="宋体" w:cs="宋体"/>
          <w:sz w:val="24"/>
          <w:highlight w:val="none"/>
        </w:rPr>
      </w:pPr>
      <w:r>
        <w:rPr>
          <w:rFonts w:hint="eastAsia" w:ascii="宋体" w:hAnsi="宋体" w:cs="宋体"/>
          <w:sz w:val="24"/>
          <w:highlight w:val="none"/>
        </w:rPr>
        <w:t xml:space="preserve">可对院前未分诊患者进行分诊操作。</w:t>
      </w:r>
      <w:r>
        <w:rPr>
          <w:rFonts w:ascii="宋体" w:hAnsi="宋体" w:cs="宋体"/>
          <w:sz w:val="24"/>
          <w:highlight w:val="none"/>
        </w:rPr>
      </w:r>
      <w:r/>
    </w:p>
    <w:p>
      <w:pPr>
        <w:pStyle w:val="909"/>
        <w:numPr>
          <w:ilvl w:val="0"/>
          <w:numId w:val="5"/>
        </w:numPr>
        <w:spacing w:line="360" w:lineRule="auto"/>
        <w:rPr>
          <w:rFonts w:ascii="宋体" w:hAnsi="宋体" w:cs="宋体"/>
          <w:sz w:val="24"/>
          <w:highlight w:val="none"/>
        </w:rPr>
      </w:pPr>
      <w:r>
        <w:rPr>
          <w:rFonts w:hint="eastAsia" w:ascii="宋体" w:hAnsi="宋体" w:cs="宋体"/>
          <w:sz w:val="24"/>
          <w:highlight w:val="none"/>
        </w:rPr>
        <w:t xml:space="preserve">支持移动分诊，可以使用移动设备可以完成患者新分诊和二次分诊操作。同时可以通过移动分诊对患者进行分诊巡视，支持批量巡视一键提交巡视结果。</w:t>
      </w:r>
      <w:r>
        <w:rPr>
          <w:rFonts w:hint="eastAsia" w:ascii="宋体" w:hAnsi="宋体" w:cs="宋体"/>
          <w:b/>
          <w:bCs/>
          <w:color w:val="ff0000"/>
          <w:sz w:val="24"/>
          <w:highlight w:val="none"/>
        </w:rPr>
        <w:t xml:space="preserve">（提供视频演示）</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群伤管理子系统</w:t>
      </w:r>
      <w:r>
        <w:rPr>
          <w:rFonts w:ascii="宋体" w:hAnsi="宋体" w:cs="宋体"/>
          <w:b/>
          <w:bCs/>
          <w:sz w:val="24"/>
          <w:highlight w:val="none"/>
        </w:rPr>
      </w:r>
      <w:r/>
    </w:p>
    <w:p>
      <w:pPr>
        <w:pStyle w:val="909"/>
        <w:numPr>
          <w:ilvl w:val="0"/>
          <w:numId w:val="6"/>
        </w:numPr>
        <w:spacing w:line="360" w:lineRule="auto"/>
        <w:rPr>
          <w:rFonts w:ascii="宋体" w:hAnsi="宋体" w:cs="宋体"/>
          <w:sz w:val="24"/>
          <w:highlight w:val="none"/>
        </w:rPr>
      </w:pPr>
      <w:r>
        <w:rPr>
          <w:rFonts w:hint="eastAsia" w:ascii="宋体" w:hAnsi="宋体" w:cs="宋体"/>
          <w:sz w:val="24"/>
          <w:highlight w:val="none"/>
        </w:rPr>
        <w:t xml:space="preserve">支持群伤事件登记和群伤患者管理。</w:t>
      </w:r>
      <w:r>
        <w:rPr>
          <w:rFonts w:ascii="宋体" w:hAnsi="宋体" w:cs="宋体"/>
          <w:sz w:val="24"/>
          <w:highlight w:val="none"/>
        </w:rPr>
      </w:r>
      <w:r/>
    </w:p>
    <w:p>
      <w:pPr>
        <w:pStyle w:val="909"/>
        <w:numPr>
          <w:ilvl w:val="0"/>
          <w:numId w:val="6"/>
        </w:numPr>
        <w:spacing w:line="360" w:lineRule="auto"/>
        <w:rPr>
          <w:rFonts w:ascii="宋体" w:hAnsi="宋体" w:cs="宋体"/>
          <w:sz w:val="24"/>
          <w:highlight w:val="none"/>
        </w:rPr>
      </w:pPr>
      <w:r>
        <w:rPr>
          <w:rFonts w:hint="eastAsia" w:ascii="宋体" w:hAnsi="宋体" w:cs="宋体"/>
          <w:sz w:val="24"/>
          <w:highlight w:val="none"/>
        </w:rPr>
        <w:t xml:space="preserve">支持群伤预案启动，通知相关人员并完成签到。 </w:t>
      </w:r>
      <w:r>
        <w:rPr>
          <w:rFonts w:ascii="宋体" w:hAnsi="宋体" w:cs="宋体"/>
          <w:sz w:val="24"/>
          <w:highlight w:val="none"/>
        </w:rPr>
      </w:r>
      <w:r/>
    </w:p>
    <w:p>
      <w:pPr>
        <w:pStyle w:val="909"/>
        <w:numPr>
          <w:ilvl w:val="0"/>
          <w:numId w:val="6"/>
        </w:numPr>
        <w:spacing w:line="360" w:lineRule="auto"/>
        <w:rPr>
          <w:rFonts w:ascii="宋体" w:hAnsi="宋体" w:cs="宋体"/>
          <w:sz w:val="24"/>
          <w:highlight w:val="none"/>
        </w:rPr>
      </w:pPr>
      <w:r>
        <w:rPr>
          <w:rFonts w:hint="eastAsia" w:ascii="宋体" w:hAnsi="宋体" w:cs="宋体"/>
          <w:sz w:val="24"/>
          <w:highlight w:val="none"/>
        </w:rPr>
        <w:t xml:space="preserve">系统支持在群伤医护人员到岗后，由分诊护士进行人员签到，支持代入签到时间。</w:t>
      </w:r>
      <w:r>
        <w:rPr>
          <w:rFonts w:ascii="宋体" w:hAnsi="宋体" w:cs="宋体"/>
          <w:sz w:val="24"/>
          <w:highlight w:val="none"/>
        </w:rPr>
      </w:r>
      <w:r/>
    </w:p>
    <w:p>
      <w:pPr>
        <w:pStyle w:val="909"/>
        <w:numPr>
          <w:ilvl w:val="0"/>
          <w:numId w:val="6"/>
        </w:numPr>
        <w:spacing w:line="360" w:lineRule="auto"/>
        <w:rPr>
          <w:rFonts w:ascii="宋体" w:hAnsi="宋体" w:cs="宋体"/>
          <w:sz w:val="24"/>
          <w:highlight w:val="none"/>
        </w:rPr>
      </w:pPr>
      <w:r>
        <w:rPr>
          <w:rFonts w:hint="eastAsia" w:ascii="宋体" w:hAnsi="宋体" w:cs="宋体"/>
          <w:sz w:val="24"/>
          <w:highlight w:val="none"/>
        </w:rPr>
        <w:t xml:space="preserve">支持大屏显示群伤事件以及患者信息，</w:t>
      </w:r>
      <w:bookmarkStart w:id="19" w:name="_Hlk162439396"/>
      <w:r>
        <w:rPr>
          <w:rFonts w:hint="eastAsia" w:ascii="宋体" w:hAnsi="宋体" w:cs="宋体"/>
          <w:sz w:val="24"/>
          <w:highlight w:val="none"/>
        </w:rPr>
        <w:t xml:space="preserve">显示群伤事件的基本信息和通知医护人员的签到信息。</w:t>
      </w:r>
      <w:r>
        <w:rPr>
          <w:rFonts w:ascii="宋体" w:hAnsi="宋体" w:cs="宋体"/>
          <w:sz w:val="24"/>
          <w:highlight w:val="none"/>
        </w:rPr>
      </w:r>
      <w:r/>
    </w:p>
    <w:p>
      <w:pPr>
        <w:pStyle w:val="909"/>
        <w:numPr>
          <w:ilvl w:val="0"/>
          <w:numId w:val="6"/>
        </w:numPr>
        <w:spacing w:line="360" w:lineRule="auto"/>
        <w:rPr>
          <w:rFonts w:ascii="宋体" w:hAnsi="宋体" w:cs="宋体"/>
          <w:sz w:val="24"/>
          <w:highlight w:val="none"/>
        </w:rPr>
      </w:pPr>
      <w:r/>
      <w:bookmarkEnd w:id="19"/>
      <w:r>
        <w:rPr>
          <w:rFonts w:hint="eastAsia" w:ascii="宋体" w:hAnsi="宋体" w:cs="宋体"/>
          <w:sz w:val="24"/>
          <w:highlight w:val="none"/>
        </w:rPr>
        <w:t xml:space="preserve">支持群发伤应急预案和应急人员自主化配置。 </w:t>
      </w:r>
      <w:r>
        <w:rPr>
          <w:rFonts w:ascii="宋体" w:hAnsi="宋体" w:cs="宋体"/>
          <w:sz w:val="24"/>
          <w:highlight w:val="none"/>
        </w:rPr>
      </w:r>
      <w:r/>
    </w:p>
    <w:p>
      <w:pPr>
        <w:pStyle w:val="909"/>
        <w:numPr>
          <w:ilvl w:val="0"/>
          <w:numId w:val="6"/>
        </w:numPr>
        <w:spacing w:line="360" w:lineRule="auto"/>
        <w:rPr>
          <w:rFonts w:ascii="宋体" w:hAnsi="宋体" w:cs="宋体"/>
          <w:sz w:val="24"/>
          <w:highlight w:val="none"/>
        </w:rPr>
      </w:pPr>
      <w:r>
        <w:rPr>
          <w:rFonts w:hint="eastAsia" w:ascii="宋体" w:hAnsi="宋体" w:cs="宋体"/>
          <w:sz w:val="24"/>
          <w:highlight w:val="none"/>
        </w:rPr>
        <w:t xml:space="preserve">支持群伤患者批量分诊建档挂号。</w:t>
      </w:r>
      <w:r>
        <w:rPr>
          <w:rFonts w:ascii="宋体" w:hAnsi="宋体" w:cs="宋体"/>
          <w:sz w:val="24"/>
          <w:highlight w:val="none"/>
        </w:rPr>
      </w:r>
      <w:r/>
    </w:p>
    <w:p>
      <w:pPr>
        <w:pStyle w:val="909"/>
        <w:numPr>
          <w:ilvl w:val="0"/>
          <w:numId w:val="6"/>
        </w:numPr>
        <w:spacing w:line="360" w:lineRule="auto"/>
        <w:rPr>
          <w:rFonts w:ascii="宋体" w:hAnsi="宋体" w:cs="宋体"/>
          <w:sz w:val="24"/>
          <w:highlight w:val="none"/>
        </w:rPr>
      </w:pPr>
      <w:r>
        <w:rPr>
          <w:rFonts w:hint="eastAsia" w:ascii="宋体" w:hAnsi="宋体" w:cs="宋体"/>
          <w:sz w:val="24"/>
          <w:highlight w:val="none"/>
        </w:rPr>
        <w:t xml:space="preserve">支持群伤患者列表直接新增患者，不需要跳转新分诊页面</w:t>
      </w:r>
      <w:r>
        <w:rPr>
          <w:rFonts w:ascii="宋体" w:hAnsi="宋体" w:cs="宋体"/>
          <w:sz w:val="24"/>
          <w:highlight w:val="none"/>
        </w:rPr>
      </w:r>
      <w:r/>
    </w:p>
    <w:p>
      <w:pPr>
        <w:pStyle w:val="909"/>
        <w:numPr>
          <w:ilvl w:val="0"/>
          <w:numId w:val="6"/>
        </w:numPr>
        <w:spacing w:line="360" w:lineRule="auto"/>
        <w:rPr>
          <w:rFonts w:ascii="宋体" w:hAnsi="宋体" w:cs="宋体"/>
          <w:sz w:val="24"/>
          <w:highlight w:val="none"/>
        </w:rPr>
      </w:pPr>
      <w:r/>
      <w:bookmarkStart w:id="20" w:name="_Hlk162439417"/>
      <w:r>
        <w:rPr>
          <w:rFonts w:hint="eastAsia" w:ascii="宋体" w:hAnsi="宋体" w:cs="宋体"/>
          <w:sz w:val="24"/>
          <w:highlight w:val="none"/>
        </w:rPr>
        <w:t xml:space="preserve">支持两种群伤模式，一种是先登记群伤事件信息，随后对单个患者进行分诊或绑定，另一种是登记群伤事件信息时，确定不同去向对应分诊级别的人数，对患者进行统一分诊。</w:t>
      </w:r>
      <w:r>
        <w:rPr>
          <w:rFonts w:ascii="宋体" w:hAnsi="宋体" w:cs="宋体"/>
          <w:sz w:val="24"/>
          <w:highlight w:val="none"/>
        </w:rPr>
      </w:r>
      <w:r/>
    </w:p>
    <w:p>
      <w:pPr>
        <w:pStyle w:val="909"/>
        <w:spacing w:line="360" w:lineRule="auto"/>
        <w:rPr>
          <w:rFonts w:ascii="宋体" w:hAnsi="宋体" w:cs="宋体"/>
          <w:b/>
          <w:bCs/>
          <w:sz w:val="24"/>
          <w:highlight w:val="none"/>
        </w:rPr>
      </w:pPr>
      <w:r/>
      <w:bookmarkEnd w:id="20"/>
      <w:r>
        <w:rPr>
          <w:rFonts w:hint="eastAsia" w:ascii="宋体" w:hAnsi="宋体" w:cs="宋体"/>
          <w:b/>
          <w:bCs/>
          <w:sz w:val="24"/>
          <w:highlight w:val="none"/>
        </w:rPr>
        <w:t xml:space="preserve">患者管理子系统</w:t>
      </w:r>
      <w:r>
        <w:rPr>
          <w:rFonts w:ascii="宋体" w:hAnsi="宋体" w:cs="宋体"/>
          <w:b/>
          <w:bCs/>
          <w:sz w:val="24"/>
          <w:highlight w:val="none"/>
        </w:rPr>
      </w:r>
      <w:r/>
    </w:p>
    <w:p>
      <w:pPr>
        <w:pStyle w:val="909"/>
        <w:numPr>
          <w:ilvl w:val="0"/>
          <w:numId w:val="7"/>
        </w:numPr>
        <w:spacing w:line="360" w:lineRule="auto"/>
        <w:rPr>
          <w:rFonts w:ascii="宋体" w:hAnsi="宋体" w:cs="宋体"/>
          <w:sz w:val="24"/>
          <w:highlight w:val="none"/>
        </w:rPr>
      </w:pPr>
      <w:r/>
      <w:bookmarkStart w:id="21" w:name="_Hlk162439656"/>
      <w:r>
        <w:rPr>
          <w:rFonts w:hint="eastAsia" w:ascii="宋体" w:hAnsi="宋体" w:cs="宋体"/>
          <w:sz w:val="24"/>
          <w:highlight w:val="none"/>
        </w:rPr>
        <w:t xml:space="preserve">急诊科在科患者的显示，支持列表模式、床卡模式、实景模式三种展现模式，可分区显示患者。在实景模式下，支持用户使用拖拽的方式对床位分布进行调整。</w:t>
      </w:r>
      <w:r>
        <w:rPr>
          <w:rFonts w:hint="eastAsia" w:ascii="宋体" w:hAnsi="宋体" w:cs="宋体"/>
          <w:b/>
          <w:bCs/>
          <w:color w:val="ff0000"/>
          <w:sz w:val="24"/>
          <w:highlight w:val="none"/>
        </w:rPr>
        <w:t xml:space="preserve">（提供视频演示）</w:t>
      </w:r>
      <w:r>
        <w:rPr>
          <w:rFonts w:ascii="宋体" w:hAnsi="宋体" w:cs="宋体"/>
          <w:sz w:val="24"/>
          <w:highlight w:val="none"/>
        </w:rPr>
      </w:r>
      <w:r/>
    </w:p>
    <w:p>
      <w:pPr>
        <w:pStyle w:val="909"/>
        <w:numPr>
          <w:ilvl w:val="0"/>
          <w:numId w:val="7"/>
        </w:numPr>
        <w:spacing w:line="360" w:lineRule="auto"/>
        <w:rPr>
          <w:rFonts w:hint="eastAsia" w:ascii="宋体" w:hAnsi="宋体" w:cs="宋体"/>
          <w:sz w:val="24"/>
          <w:highlight w:val="none"/>
        </w:rPr>
      </w:pPr>
      <w:r/>
      <w:bookmarkEnd w:id="21"/>
      <w:r>
        <w:rPr>
          <w:rFonts w:hint="eastAsia" w:ascii="宋体" w:hAnsi="宋体" w:cs="宋体"/>
          <w:sz w:val="24"/>
          <w:highlight w:val="none"/>
        </w:rPr>
        <w:t xml:space="preserve">提供列表（列表详情，快捷左侧列表）、床卡两种模式展示在科患者信息，展示信息可配置。 </w:t>
      </w:r>
      <w:r>
        <w:rPr>
          <w:rFonts w:hint="eastAsia" w:ascii="宋体" w:hAnsi="宋体" w:cs="宋体"/>
          <w:sz w:val="24"/>
          <w:highlight w:val="none"/>
        </w:rPr>
      </w:r>
      <w:r/>
    </w:p>
    <w:p>
      <w:pPr>
        <w:pStyle w:val="909"/>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患者床位管理：提供入出科、转床功能；能够用图标显示该床位单元的信息、患者关键临床提示信息。</w:t>
      </w:r>
      <w:r>
        <w:rPr>
          <w:rFonts w:hint="eastAsia" w:ascii="宋体" w:hAnsi="宋体" w:cs="宋体"/>
          <w:sz w:val="24"/>
          <w:highlight w:val="none"/>
        </w:rPr>
      </w:r>
      <w:r/>
    </w:p>
    <w:p>
      <w:pPr>
        <w:pStyle w:val="909"/>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支持患者入科，能够进行床位分配及相关信息录入。支持多个患者同时批量选择分配床位，批量入科。</w:t>
      </w:r>
      <w:r>
        <w:rPr>
          <w:rFonts w:hint="eastAsia" w:ascii="宋体" w:hAnsi="宋体" w:cs="宋体"/>
          <w:sz w:val="24"/>
          <w:highlight w:val="none"/>
        </w:rPr>
      </w:r>
      <w:r/>
    </w:p>
    <w:p>
      <w:pPr>
        <w:pStyle w:val="909"/>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支持患者紧急入科，支持匿名入科、读卡实名入科、对接his挂号入科。</w:t>
      </w:r>
      <w:r>
        <w:rPr>
          <w:rFonts w:hint="eastAsia" w:ascii="宋体" w:hAnsi="宋体" w:cs="宋体"/>
          <w:sz w:val="24"/>
          <w:highlight w:val="none"/>
        </w:rPr>
      </w:r>
      <w:r/>
    </w:p>
    <w:p>
      <w:pPr>
        <w:pStyle w:val="909"/>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支持通过以拖拽床卡的方式进行快速换床操作。</w:t>
      </w:r>
      <w:r>
        <w:rPr>
          <w:rFonts w:hint="eastAsia" w:ascii="宋体" w:hAnsi="宋体" w:cs="宋体"/>
          <w:sz w:val="24"/>
          <w:highlight w:val="none"/>
        </w:rPr>
      </w:r>
      <w:r/>
    </w:p>
    <w:p>
      <w:pPr>
        <w:pStyle w:val="909"/>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患者列表支持按区域、距挂号时间过滤患者信息。</w:t>
      </w:r>
      <w:r>
        <w:rPr>
          <w:rFonts w:hint="eastAsia" w:ascii="宋体" w:hAnsi="宋体" w:cs="宋体"/>
          <w:sz w:val="24"/>
          <w:highlight w:val="none"/>
        </w:rPr>
      </w:r>
      <w:r/>
    </w:p>
    <w:p>
      <w:pPr>
        <w:pStyle w:val="909"/>
        <w:numPr>
          <w:ilvl w:val="0"/>
          <w:numId w:val="7"/>
        </w:numPr>
        <w:spacing w:line="360" w:lineRule="auto"/>
        <w:rPr>
          <w:rFonts w:hint="eastAsia" w:ascii="宋体" w:hAnsi="宋体" w:cs="宋体"/>
          <w:sz w:val="24"/>
          <w:highlight w:val="none"/>
        </w:rPr>
      </w:pPr>
      <w:r>
        <w:rPr>
          <w:rFonts w:hint="eastAsia" w:ascii="宋体" w:hAnsi="宋体" w:cs="宋体"/>
          <w:sz w:val="24"/>
          <w:highlight w:val="none"/>
        </w:rPr>
        <w:t xml:space="preserve">患者列表支持根据患者ID、姓名、床号精准搜索。</w:t>
      </w:r>
      <w:r>
        <w:rPr>
          <w:rFonts w:hint="eastAsia"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支持医护人员对患者分诊级别进行调整，病情备注调整原因；调整后的信息会同步至预检分诊列表中，方便分诊护士对分诊情况进行复盘跟踪。</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支持患者转归，并记录患者信息转归信息（转抢救区/转留观区/转住院/转院/离院/死亡）。</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支持个性化设置单个患者信息展示界面，支持不同用户根据自己的需要在界面上配置分诊信息、患者信息、检查报告、检验报告、生命体征、评分信息、导管信息的不同显示方式。 </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诊断管理：诊断包括一般诊断、疑似诊断和初步诊断，并支持自定义录入诊断，同时支持显示常用诊断，列表双击开立，并支持ICD10诊断编码。</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支持拖动设置诊断顺序。</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支持列表展示患者信息，并支持对列表表头显示的内容和顺序进行自定义配置。</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支持用户通过列表来切换单个患者详情信息。</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支持对患者进行关注，并记录备注信息，支持多种标识配置，如评分或导管。</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支持嵌入急诊电子医嘱、急诊电子病历、急诊医嘱执行、急诊日常管理（特护单/体温单/护理文书/评分/导管）、计费管理、交接班管理、会诊管理，并支持嵌入第三方链接或程序。</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支持对接his系统，进行住院申请，并打印住院证。</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患者列表支持个性化配置右键功能。</w:t>
      </w:r>
      <w:r>
        <w:rPr>
          <w:rFonts w:ascii="宋体" w:hAnsi="宋体" w:cs="宋体"/>
          <w:sz w:val="24"/>
          <w:highlight w:val="none"/>
        </w:rPr>
      </w:r>
      <w:r/>
    </w:p>
    <w:p>
      <w:pPr>
        <w:pStyle w:val="909"/>
        <w:numPr>
          <w:ilvl w:val="0"/>
          <w:numId w:val="7"/>
        </w:numPr>
        <w:spacing w:line="360" w:lineRule="auto"/>
        <w:rPr>
          <w:rFonts w:ascii="宋体" w:hAnsi="宋体" w:cs="宋体"/>
          <w:sz w:val="24"/>
          <w:highlight w:val="none"/>
        </w:rPr>
      </w:pPr>
      <w:r>
        <w:rPr>
          <w:rFonts w:hint="eastAsia" w:ascii="宋体" w:hAnsi="宋体" w:cs="宋体"/>
          <w:sz w:val="24"/>
          <w:highlight w:val="none"/>
        </w:rPr>
        <w:t xml:space="preserve">支持对患者进行信用管理，可以对异常信用的患者进行标记，被标记的患者下次就诊时系统会进行提示。</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医嘱执行子系统</w:t>
      </w:r>
      <w:r>
        <w:rPr>
          <w:rFonts w:ascii="宋体" w:hAnsi="宋体" w:cs="宋体"/>
          <w:b/>
          <w:bCs/>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患者列表支持提示患者的未执行医嘱内容。</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支持医嘱自动转抄，系统记录护士的核对、执行情况。</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支持医嘱拆顿：医生根据频次下达医嘱之后，系统可以帮助护士将医嘱进行拆分。执行护士可根据自动生成的每个班次的执行工作清单，来进行药物、输液、治疗等工作。</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支持医嘱执行单个药品执行与批量药品执行，批量执行支持单次核对与双次核对混合执行。</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支持医嘱执行时，单个药品瓶贴打印与批量打印瓶贴与医嘱单。</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支持医嘱执行，逾期未执行医嘱提醒。</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支持医嘱执行时，护士手动修改计划执行时间。</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支持医嘱执行环节自动统计当前列表医嘱执行数汇总，入量汇总。</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支持展示当前班次的医嘱执行与总数和入量汇总。</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支持新医嘱提醒。</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支持皮试未执行时，皮试关联药品执行的风险提醒。</w:t>
      </w:r>
      <w:r>
        <w:rPr>
          <w:rFonts w:hint="eastAsia" w:ascii="宋体" w:hAnsi="宋体" w:cs="宋体"/>
          <w:sz w:val="24"/>
          <w:highlight w:val="none"/>
        </w:rPr>
      </w:r>
      <w:r/>
    </w:p>
    <w:p>
      <w:pPr>
        <w:pStyle w:val="909"/>
        <w:numPr>
          <w:ilvl w:val="0"/>
          <w:numId w:val="8"/>
        </w:numPr>
        <w:spacing w:line="360" w:lineRule="auto"/>
        <w:rPr>
          <w:rFonts w:hint="eastAsia" w:ascii="宋体" w:hAnsi="宋体" w:cs="宋体"/>
          <w:sz w:val="24"/>
          <w:highlight w:val="none"/>
        </w:rPr>
      </w:pPr>
      <w:r>
        <w:rPr>
          <w:rFonts w:hint="eastAsia" w:ascii="宋体" w:hAnsi="宋体" w:cs="宋体"/>
          <w:sz w:val="24"/>
          <w:highlight w:val="none"/>
        </w:rPr>
        <w:t xml:space="preserve">支持皮试阳性时，皮试关联药品执行的风险管理。</w:t>
      </w:r>
      <w:r>
        <w:rPr>
          <w:rFonts w:hint="eastAsia"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支持未执行医嘱列表按照“医嘱类型”（全部、药物、检验、检查、治疗、其他）分别展示相应的未执行医嘱。</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支持根据按照未执行、执行中、已完成状态进行医嘱筛选。</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支持用户通过关键词，模糊查询未执行医嘱列表中的医嘱。</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支持用户对单条或多条医嘱进行驳回、配液、医嘱核对、医嘱执行、取消执行等操作，并支持记录操作人以及操作时间。</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对于静滴医嘱，支持按照设定的流速以时间轴展示执行进度。</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支持用户执行药物医嘱、皮试医嘱、嘱托医嘱、鼻饲医嘱以及检查/检验/其他医嘱，并支持记录医嘱的执行明细。</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支持时间轴展示各个环节的执行时间以及操作人。</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可以记录输血医嘱执行记录，并打印输血贴。</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支持颜色标识医嘱缴费状态。</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支持自动调取医嘱执行项目中的皮试信息。</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支持执行多条通路医嘱，并记录通路信息。</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对于同一条医嘱，支持多次执行。</w:t>
      </w:r>
      <w:r>
        <w:rPr>
          <w:rFonts w:ascii="宋体" w:hAnsi="宋体" w:cs="宋体"/>
          <w:sz w:val="24"/>
          <w:highlight w:val="none"/>
        </w:rPr>
      </w:r>
      <w:r/>
    </w:p>
    <w:p>
      <w:pPr>
        <w:pStyle w:val="909"/>
        <w:numPr>
          <w:ilvl w:val="0"/>
          <w:numId w:val="8"/>
        </w:numPr>
        <w:spacing w:line="360" w:lineRule="auto"/>
        <w:rPr>
          <w:rFonts w:ascii="宋体" w:hAnsi="宋体" w:cs="宋体"/>
          <w:sz w:val="24"/>
          <w:highlight w:val="none"/>
        </w:rPr>
      </w:pPr>
      <w:r>
        <w:rPr>
          <w:rFonts w:hint="eastAsia" w:ascii="宋体" w:hAnsi="宋体" w:cs="宋体"/>
          <w:sz w:val="24"/>
          <w:highlight w:val="none"/>
        </w:rPr>
        <w:t xml:space="preserve">支持对医嘱重新成组和取消成组。</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急诊护理子系统</w:t>
      </w:r>
      <w:r>
        <w:rPr>
          <w:rFonts w:ascii="宋体" w:hAnsi="宋体" w:cs="宋体"/>
          <w:b/>
          <w:bCs/>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特护单</w:t>
      </w:r>
      <w:r>
        <w:rPr>
          <w:rFonts w:ascii="宋体" w:hAnsi="宋体" w:cs="宋体"/>
          <w:b/>
          <w:bCs/>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支持按照院方格式要求维护特护单内容。</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支持医嘱执行及病情记录的自动带入以及编辑操作，并支持进行模板维护，对于护士重复书写的护理措施、病情记录等文字段落进行模板化的统一订制，减轻护士书写的时间，规范医疗文书。 </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支持统计出入量，同时支出维护出入量统计类型并支持手动输入。</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支持自定义特护单出入量，支持自定义录入统计时间范围和出入量结果。</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可以记录观察项，如意识、瞳孔、肌力。</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支持根据时间范围筛选特护单中记录的内容。</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支持按照时间段以及时间间隔补录护理记录。</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▲支持结构化电子护理记录单：依据医院需求定制特护单样式，支持特护单内容自动生成，在关键词上用点选的方式，快速录入护理记录。</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支持查看患者流转记录，同时能够查看该患者不同区域的特护单。 </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支持整点或非整点录入体征数据。</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支持特护单自动带入电子签名（提供CA接口）。</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支持按照级别权限进行特护单的审核操作。</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支持特护单的放大和缩小、翻页、打印预览和打印。</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支持不同区域提供不同护理记录单模版，同时可以对已填写过的护理记录单进行统一管理。</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bookmarkStart w:id="22" w:name="_Hlk162440113"/>
      <w:r>
        <w:rPr>
          <w:rFonts w:hint="eastAsia" w:ascii="宋体" w:hAnsi="宋体" w:cs="宋体"/>
          <w:sz w:val="24"/>
          <w:highlight w:val="none"/>
        </w:rPr>
        <w:t xml:space="preserve">支持特护单拆行与不拆行两种模式，可以根据用户实际需求进行配置。</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rPr>
          <w:rFonts w:hint="eastAsia" w:ascii="宋体" w:hAnsi="宋体" w:cs="宋体"/>
          <w:sz w:val="24"/>
          <w:highlight w:val="none"/>
        </w:rPr>
        <w:t xml:space="preserve">系统提供两种特护单书写模式，一种是非创建模式，不同区域的特护单模版提供统一模版；另一种是创建模式，同一区域可以根据患者病情创建使用不同特护单模版，支持对已填写过的特护单进行统一管理。</w:t>
      </w:r>
      <w:r>
        <w:rPr>
          <w:rFonts w:ascii="宋体" w:hAnsi="宋体" w:cs="宋体"/>
          <w:sz w:val="24"/>
          <w:highlight w:val="none"/>
        </w:rPr>
      </w:r>
      <w:r/>
    </w:p>
    <w:p>
      <w:pPr>
        <w:pStyle w:val="909"/>
        <w:numPr>
          <w:ilvl w:val="0"/>
          <w:numId w:val="9"/>
        </w:numPr>
        <w:spacing w:line="360" w:lineRule="auto"/>
        <w:rPr>
          <w:rFonts w:ascii="宋体" w:hAnsi="宋体" w:cs="宋体"/>
          <w:sz w:val="24"/>
          <w:highlight w:val="none"/>
        </w:rPr>
      </w:pPr>
      <w:r/>
      <w:bookmarkEnd w:id="22"/>
      <w:r>
        <w:rPr>
          <w:rFonts w:hint="eastAsia" w:ascii="宋体" w:hAnsi="宋体" w:cs="宋体"/>
          <w:sz w:val="24"/>
          <w:highlight w:val="none"/>
        </w:rPr>
        <w:t xml:space="preserve">支持第三方系统进行调阅。</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整体监测</w:t>
      </w:r>
      <w:r>
        <w:rPr>
          <w:rFonts w:ascii="宋体" w:hAnsi="宋体" w:cs="宋体"/>
          <w:b/>
          <w:bCs/>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支持用户采集和获取患者监护信息，包括生命体征数据、出入量信息等内容。</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系统提供集中、快速临床监护信息录入入口，提供录入信息分类和时间定位，以便于用户方便快捷录入及查看录入的内容。</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支持同步医嘱执行数据并计入入量。</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评分项目的记录无需切换界面，可建立快捷评分窗口。</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系统支持任意时间点的数据录入。</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支持用户根据上下左右键灵活切换单元格，且直接进入编辑状态，切换单元格自动保存。</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双击单元格，支持直接复制前一个有数据的单元格。</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支持通过下拉选项或自由输入形式对整体监测项目进行录入。</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支持通过点选打勾的形式对基础护理项目进行快速录入。</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支持用户自行统计任意时间段内的出入量信息。</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支持配置不同的整体监测模板，适应多科室统一管理。</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支持对同一时间点所有已录入项目进行选择性复制、清空，支持删除该时间点。</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支持在整体监测中直接录入护理记录内容。</w:t>
      </w:r>
      <w:r>
        <w:rPr>
          <w:rFonts w:ascii="宋体" w:hAnsi="宋体" w:cs="宋体"/>
          <w:sz w:val="24"/>
          <w:highlight w:val="none"/>
        </w:rPr>
      </w:r>
      <w:r/>
    </w:p>
    <w:p>
      <w:pPr>
        <w:pStyle w:val="909"/>
        <w:numPr>
          <w:ilvl w:val="0"/>
          <w:numId w:val="10"/>
        </w:numPr>
        <w:spacing w:line="360" w:lineRule="auto"/>
        <w:rPr>
          <w:rFonts w:ascii="宋体" w:hAnsi="宋体" w:cs="宋体"/>
          <w:sz w:val="24"/>
          <w:highlight w:val="none"/>
        </w:rPr>
      </w:pPr>
      <w:r>
        <w:rPr>
          <w:rFonts w:hint="eastAsia" w:ascii="宋体" w:hAnsi="宋体" w:cs="宋体"/>
          <w:sz w:val="24"/>
          <w:highlight w:val="none"/>
        </w:rPr>
        <w:t xml:space="preserve">支持整体监测版本管理，根据患者流转记录，提供不同数据范围的整体监测内容。</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批量录入</w:t>
      </w:r>
      <w:r>
        <w:rPr>
          <w:rFonts w:ascii="宋体" w:hAnsi="宋体" w:cs="宋体"/>
          <w:b/>
          <w:bCs/>
          <w:sz w:val="24"/>
          <w:highlight w:val="none"/>
        </w:rPr>
      </w:r>
      <w:r/>
    </w:p>
    <w:p>
      <w:pPr>
        <w:pStyle w:val="909"/>
        <w:numPr>
          <w:ilvl w:val="0"/>
          <w:numId w:val="11"/>
        </w:numPr>
        <w:spacing w:line="360" w:lineRule="auto"/>
        <w:rPr>
          <w:rFonts w:ascii="宋体" w:hAnsi="宋体" w:cs="宋体"/>
          <w:sz w:val="24"/>
          <w:highlight w:val="none"/>
        </w:rPr>
      </w:pPr>
      <w:r>
        <w:rPr>
          <w:rFonts w:hint="eastAsia" w:ascii="宋体" w:hAnsi="宋体" w:cs="宋体"/>
          <w:sz w:val="24"/>
          <w:highlight w:val="none"/>
        </w:rPr>
        <w:t xml:space="preserve">支持批量录入同一时间点所有患者的生命体征等信息。</w:t>
      </w:r>
      <w:r>
        <w:rPr>
          <w:rFonts w:ascii="宋体" w:hAnsi="宋体" w:cs="宋体"/>
          <w:sz w:val="24"/>
          <w:highlight w:val="none"/>
        </w:rPr>
      </w:r>
      <w:r/>
    </w:p>
    <w:p>
      <w:pPr>
        <w:pStyle w:val="909"/>
        <w:numPr>
          <w:ilvl w:val="0"/>
          <w:numId w:val="11"/>
        </w:numPr>
        <w:spacing w:line="360" w:lineRule="auto"/>
        <w:rPr>
          <w:rFonts w:ascii="宋体" w:hAnsi="宋体" w:cs="宋体"/>
          <w:sz w:val="24"/>
          <w:highlight w:val="none"/>
        </w:rPr>
      </w:pPr>
      <w:r>
        <w:rPr>
          <w:rFonts w:hint="eastAsia" w:ascii="宋体" w:hAnsi="宋体" w:cs="宋体"/>
          <w:sz w:val="24"/>
          <w:highlight w:val="none"/>
        </w:rPr>
        <w:t xml:space="preserve">支持对患者进行筛选。</w:t>
      </w:r>
      <w:r>
        <w:rPr>
          <w:rFonts w:ascii="宋体" w:hAnsi="宋体" w:cs="宋体"/>
          <w:sz w:val="24"/>
          <w:highlight w:val="none"/>
        </w:rPr>
      </w:r>
      <w:r/>
    </w:p>
    <w:p>
      <w:pPr>
        <w:pStyle w:val="909"/>
        <w:numPr>
          <w:ilvl w:val="0"/>
          <w:numId w:val="11"/>
        </w:numPr>
        <w:spacing w:line="360" w:lineRule="auto"/>
        <w:rPr>
          <w:rFonts w:ascii="宋体" w:hAnsi="宋体" w:cs="宋体"/>
          <w:sz w:val="24"/>
          <w:highlight w:val="none"/>
        </w:rPr>
      </w:pPr>
      <w:r>
        <w:rPr>
          <w:rFonts w:hint="eastAsia" w:ascii="宋体" w:hAnsi="宋体" w:cs="宋体"/>
          <w:sz w:val="24"/>
          <w:highlight w:val="none"/>
        </w:rPr>
        <w:t xml:space="preserve">支持对批量录入的内容进行配置。</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皮肤管理</w:t>
      </w:r>
      <w:r>
        <w:rPr>
          <w:rFonts w:ascii="宋体" w:hAnsi="宋体" w:cs="宋体"/>
          <w:b/>
          <w:bCs/>
          <w:sz w:val="24"/>
          <w:highlight w:val="none"/>
        </w:rPr>
      </w:r>
      <w:r/>
    </w:p>
    <w:p>
      <w:pPr>
        <w:pStyle w:val="909"/>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系统支持用户对皮肤进行精细化管理，详细记录皮肤护理的全过程。</w:t>
      </w:r>
      <w:r>
        <w:rPr>
          <w:rFonts w:ascii="宋体" w:hAnsi="宋体" w:cs="宋体"/>
          <w:sz w:val="24"/>
          <w:highlight w:val="none"/>
        </w:rPr>
      </w:r>
      <w:r/>
    </w:p>
    <w:p>
      <w:pPr>
        <w:pStyle w:val="909"/>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支持人体图点选新建皮肤记录。</w:t>
      </w:r>
      <w:r>
        <w:rPr>
          <w:rFonts w:ascii="宋体" w:hAnsi="宋体" w:cs="宋体"/>
          <w:sz w:val="24"/>
          <w:highlight w:val="none"/>
        </w:rPr>
      </w:r>
      <w:r/>
    </w:p>
    <w:p>
      <w:pPr>
        <w:pStyle w:val="909"/>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支持人体图部位自定义坐标范围进行维护。</w:t>
      </w:r>
      <w:r>
        <w:rPr>
          <w:rFonts w:ascii="宋体" w:hAnsi="宋体" w:cs="宋体"/>
          <w:sz w:val="24"/>
          <w:highlight w:val="none"/>
        </w:rPr>
      </w:r>
      <w:r/>
    </w:p>
    <w:p>
      <w:pPr>
        <w:pStyle w:val="909"/>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支持一个部位下新增多条皮肤管理记录。</w:t>
      </w:r>
      <w:r>
        <w:rPr>
          <w:rFonts w:ascii="宋体" w:hAnsi="宋体" w:cs="宋体"/>
          <w:sz w:val="24"/>
          <w:highlight w:val="none"/>
        </w:rPr>
      </w:r>
      <w:r/>
    </w:p>
    <w:p>
      <w:pPr>
        <w:pStyle w:val="909"/>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支持停止/恢复皮肤记录。</w:t>
      </w:r>
      <w:r>
        <w:rPr>
          <w:rFonts w:ascii="宋体" w:hAnsi="宋体" w:cs="宋体"/>
          <w:sz w:val="24"/>
          <w:highlight w:val="none"/>
        </w:rPr>
      </w:r>
      <w:r/>
    </w:p>
    <w:p>
      <w:pPr>
        <w:pStyle w:val="909"/>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系统支持对提交的皮肤记录进行审核和复核，支持根据需求进行流程配置。</w:t>
      </w:r>
      <w:r>
        <w:rPr>
          <w:rFonts w:ascii="宋体" w:hAnsi="宋体" w:cs="宋体"/>
          <w:sz w:val="24"/>
          <w:highlight w:val="none"/>
        </w:rPr>
      </w:r>
      <w:r/>
    </w:p>
    <w:p>
      <w:pPr>
        <w:pStyle w:val="909"/>
        <w:numPr>
          <w:ilvl w:val="0"/>
          <w:numId w:val="12"/>
        </w:numPr>
        <w:spacing w:line="360" w:lineRule="auto"/>
        <w:rPr>
          <w:rFonts w:ascii="宋体" w:hAnsi="宋体" w:cs="宋体"/>
          <w:sz w:val="24"/>
          <w:highlight w:val="none"/>
        </w:rPr>
      </w:pPr>
      <w:r>
        <w:rPr>
          <w:rFonts w:hint="eastAsia" w:ascii="宋体" w:hAnsi="宋体" w:cs="宋体"/>
          <w:sz w:val="24"/>
          <w:highlight w:val="none"/>
        </w:rPr>
        <w:t xml:space="preserve">支持查看皮肤历史记录。</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诊疗全息档案 </w:t>
      </w:r>
      <w:r>
        <w:rPr>
          <w:rFonts w:ascii="宋体" w:hAnsi="宋体" w:cs="宋体"/>
          <w:b/>
          <w:bCs/>
          <w:sz w:val="24"/>
          <w:highlight w:val="none"/>
        </w:rPr>
      </w:r>
      <w:r/>
    </w:p>
    <w:p>
      <w:pPr>
        <w:pStyle w:val="909"/>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支持对接医院PACS系统，获取患者在科期间所有的检查信息，以图表的形式进行呈现，便于用户快速的进行异步调阅患者的检查报告，提高现场的工作效率。 支持按照检查名称以及检查报告时间呈现检查结果。支持对患者在科期间的检查历史资料，提供时间顺序查询。</w:t>
      </w:r>
      <w:r>
        <w:rPr>
          <w:rFonts w:ascii="宋体" w:hAnsi="宋体" w:cs="宋体"/>
          <w:sz w:val="24"/>
          <w:highlight w:val="none"/>
        </w:rPr>
      </w:r>
      <w:r/>
    </w:p>
    <w:p>
      <w:pPr>
        <w:pStyle w:val="909"/>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支持对接医院LIS系统，获取患者在科期间的检验信息，支持用户异步调阅患者检验信息，提高用户工作效率。 支持对患者检验报告进行系统分析，提取其中异常值，辅助用户关注患者异常检验变化过程，支持用户关注部分特殊指标，支持以数据为基础，绘制检验指标变化趋势图。</w:t>
      </w:r>
      <w:r>
        <w:rPr>
          <w:rFonts w:ascii="宋体" w:hAnsi="宋体" w:cs="宋体"/>
          <w:sz w:val="24"/>
          <w:highlight w:val="none"/>
        </w:rPr>
      </w:r>
      <w:r/>
    </w:p>
    <w:p>
      <w:pPr>
        <w:pStyle w:val="909"/>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支持调阅HIS 360°视图。和HIS对接的前提下，可以查看患者的360全景视图，查看患者在门诊就诊情况，方便医护人员全面把控患者病情变化。</w:t>
      </w:r>
      <w:r>
        <w:rPr>
          <w:rFonts w:ascii="宋体" w:hAnsi="宋体" w:cs="宋体"/>
          <w:sz w:val="24"/>
          <w:highlight w:val="none"/>
        </w:rPr>
      </w:r>
      <w:r/>
    </w:p>
    <w:p>
      <w:pPr>
        <w:pStyle w:val="909"/>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支持对接专病系统，医护人员可以通过查看专病患者的诊疗时间轴，获取专病患者的临床数据。</w:t>
      </w:r>
      <w:r>
        <w:rPr>
          <w:rFonts w:ascii="宋体" w:hAnsi="宋体" w:cs="宋体"/>
          <w:sz w:val="24"/>
          <w:highlight w:val="none"/>
        </w:rPr>
      </w:r>
      <w:r/>
    </w:p>
    <w:p>
      <w:pPr>
        <w:pStyle w:val="909"/>
        <w:numPr>
          <w:ilvl w:val="0"/>
          <w:numId w:val="13"/>
        </w:numPr>
        <w:spacing w:line="360" w:lineRule="auto"/>
        <w:rPr>
          <w:rFonts w:ascii="宋体" w:hAnsi="宋体" w:cs="宋体"/>
          <w:sz w:val="24"/>
          <w:highlight w:val="none"/>
        </w:rPr>
      </w:pPr>
      <w:r>
        <w:rPr>
          <w:rFonts w:hint="eastAsia" w:ascii="宋体" w:hAnsi="宋体" w:cs="宋体"/>
          <w:sz w:val="24"/>
          <w:highlight w:val="none"/>
        </w:rPr>
        <w:t xml:space="preserve">支持查看急诊患者的诊疗时间轴，对于急诊患者在急诊整个治疗的关键节点都会进行记录，如分诊、接诊、转区等，可以查看该操作的操作人和操作时间。</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消息管理子系统</w:t>
      </w:r>
      <w:r>
        <w:rPr>
          <w:rFonts w:ascii="宋体" w:hAnsi="宋体" w:cs="宋体"/>
          <w:b/>
          <w:bCs/>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危急值管理</w:t>
      </w:r>
      <w:r>
        <w:rPr>
          <w:rFonts w:ascii="宋体" w:hAnsi="宋体" w:cs="宋体"/>
          <w:b/>
          <w:bCs/>
          <w:sz w:val="24"/>
          <w:highlight w:val="none"/>
        </w:rPr>
      </w:r>
      <w:r/>
    </w:p>
    <w:p>
      <w:pPr>
        <w:pStyle w:val="909"/>
        <w:numPr>
          <w:ilvl w:val="0"/>
          <w:numId w:val="14"/>
        </w:numPr>
        <w:spacing w:line="360" w:lineRule="auto"/>
        <w:rPr>
          <w:rFonts w:ascii="宋体" w:hAnsi="宋体" w:cs="宋体"/>
          <w:sz w:val="24"/>
          <w:highlight w:val="none"/>
        </w:rPr>
      </w:pPr>
      <w:r>
        <w:rPr>
          <w:rFonts w:hint="eastAsia" w:ascii="宋体" w:hAnsi="宋体" w:cs="宋体"/>
          <w:sz w:val="24"/>
          <w:highlight w:val="none"/>
        </w:rPr>
        <w:t xml:space="preserve">支持与医院现有的医技系统完成危急值集成工作，达到系统之间信息共享融合的目的。</w:t>
      </w:r>
      <w:r>
        <w:rPr>
          <w:rFonts w:ascii="宋体" w:hAnsi="宋体" w:cs="宋体"/>
          <w:sz w:val="24"/>
          <w:highlight w:val="none"/>
        </w:rPr>
      </w:r>
      <w:r/>
    </w:p>
    <w:p>
      <w:pPr>
        <w:pStyle w:val="909"/>
        <w:numPr>
          <w:ilvl w:val="0"/>
          <w:numId w:val="14"/>
        </w:numPr>
        <w:spacing w:line="360" w:lineRule="auto"/>
        <w:rPr>
          <w:rFonts w:ascii="宋体" w:hAnsi="宋体" w:cs="宋体"/>
          <w:sz w:val="24"/>
          <w:highlight w:val="none"/>
        </w:rPr>
      </w:pPr>
      <w:r>
        <w:rPr>
          <w:rFonts w:hint="eastAsia" w:ascii="宋体" w:hAnsi="宋体" w:cs="宋体"/>
          <w:sz w:val="24"/>
          <w:highlight w:val="none"/>
        </w:rPr>
        <w:t xml:space="preserve">支持危急值提醒。</w:t>
      </w:r>
      <w:r>
        <w:rPr>
          <w:rFonts w:ascii="宋体" w:hAnsi="宋体" w:cs="宋体"/>
          <w:sz w:val="24"/>
          <w:highlight w:val="none"/>
        </w:rPr>
      </w:r>
      <w:r/>
    </w:p>
    <w:p>
      <w:pPr>
        <w:pStyle w:val="909"/>
        <w:numPr>
          <w:ilvl w:val="0"/>
          <w:numId w:val="14"/>
        </w:numPr>
        <w:spacing w:line="360" w:lineRule="auto"/>
        <w:rPr>
          <w:rFonts w:ascii="宋体" w:hAnsi="宋体" w:cs="宋体"/>
          <w:sz w:val="24"/>
          <w:highlight w:val="none"/>
        </w:rPr>
      </w:pPr>
      <w:r>
        <w:rPr>
          <w:rFonts w:hint="eastAsia" w:ascii="宋体" w:hAnsi="宋体" w:cs="宋体"/>
          <w:sz w:val="24"/>
          <w:highlight w:val="none"/>
        </w:rPr>
        <w:t xml:space="preserve">支持快速查看患者的危急值信息，显示患者的床号、患者ID、姓名、医嘱名称、危急值内容、处理意见。</w:t>
      </w:r>
      <w:r>
        <w:rPr>
          <w:rFonts w:ascii="宋体" w:hAnsi="宋体" w:cs="宋体"/>
          <w:sz w:val="24"/>
          <w:highlight w:val="none"/>
        </w:rPr>
      </w:r>
      <w:r/>
    </w:p>
    <w:p>
      <w:pPr>
        <w:pStyle w:val="909"/>
        <w:numPr>
          <w:ilvl w:val="0"/>
          <w:numId w:val="14"/>
        </w:numPr>
        <w:spacing w:line="360" w:lineRule="auto"/>
        <w:rPr>
          <w:rFonts w:ascii="宋体" w:hAnsi="宋体" w:cs="宋体"/>
          <w:sz w:val="24"/>
          <w:highlight w:val="none"/>
        </w:rPr>
      </w:pPr>
      <w:r>
        <w:rPr>
          <w:rFonts w:hint="eastAsia" w:ascii="宋体" w:hAnsi="宋体" w:cs="宋体"/>
          <w:sz w:val="24"/>
          <w:highlight w:val="none"/>
        </w:rPr>
        <w:t xml:space="preserve">支持查看危急值报告。</w:t>
      </w:r>
      <w:r>
        <w:rPr>
          <w:rFonts w:ascii="宋体" w:hAnsi="宋体" w:cs="宋体"/>
          <w:sz w:val="24"/>
          <w:highlight w:val="none"/>
        </w:rPr>
      </w:r>
      <w:r/>
    </w:p>
    <w:p>
      <w:pPr>
        <w:pStyle w:val="909"/>
        <w:numPr>
          <w:ilvl w:val="0"/>
          <w:numId w:val="14"/>
        </w:numPr>
        <w:spacing w:line="360" w:lineRule="auto"/>
        <w:rPr>
          <w:rFonts w:ascii="宋体" w:hAnsi="宋体" w:cs="宋体"/>
          <w:sz w:val="24"/>
          <w:highlight w:val="none"/>
        </w:rPr>
      </w:pPr>
      <w:r>
        <w:rPr>
          <w:rFonts w:hint="eastAsia" w:ascii="宋体" w:hAnsi="宋体" w:cs="宋体"/>
          <w:sz w:val="24"/>
          <w:highlight w:val="none"/>
        </w:rPr>
        <w:t xml:space="preserve">支持根据报告的发送时间范围、关键字进行查询。</w:t>
      </w:r>
      <w:r>
        <w:rPr>
          <w:rFonts w:ascii="宋体" w:hAnsi="宋体" w:cs="宋体"/>
          <w:sz w:val="24"/>
          <w:highlight w:val="none"/>
        </w:rPr>
      </w:r>
      <w:r/>
    </w:p>
    <w:p>
      <w:pPr>
        <w:pStyle w:val="909"/>
        <w:numPr>
          <w:ilvl w:val="0"/>
          <w:numId w:val="14"/>
        </w:numPr>
        <w:spacing w:line="360" w:lineRule="auto"/>
        <w:rPr>
          <w:rFonts w:ascii="宋体" w:hAnsi="宋体" w:cs="宋体"/>
          <w:sz w:val="24"/>
          <w:highlight w:val="none"/>
        </w:rPr>
      </w:pPr>
      <w:r>
        <w:rPr>
          <w:rFonts w:hint="eastAsia" w:ascii="宋体" w:hAnsi="宋体" w:cs="宋体"/>
          <w:sz w:val="24"/>
          <w:highlight w:val="none"/>
        </w:rPr>
        <w:t xml:space="preserve">支持显示报告内容、处理结果、接收处理人、接收处理时间以及报告人等信息。</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待办事项</w:t>
      </w:r>
      <w:r>
        <w:rPr>
          <w:rFonts w:ascii="宋体" w:hAnsi="宋体" w:cs="宋体"/>
          <w:b/>
          <w:bCs/>
          <w:sz w:val="24"/>
          <w:highlight w:val="none"/>
        </w:rPr>
      </w:r>
      <w:r/>
    </w:p>
    <w:p>
      <w:pPr>
        <w:pStyle w:val="909"/>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支持用户根据自身实际工作需求维护当日任务清单。 </w:t>
      </w:r>
      <w:r>
        <w:rPr>
          <w:rFonts w:ascii="宋体" w:hAnsi="宋体" w:cs="宋体"/>
          <w:sz w:val="24"/>
          <w:highlight w:val="none"/>
        </w:rPr>
      </w:r>
      <w:r/>
    </w:p>
    <w:p>
      <w:pPr>
        <w:pStyle w:val="909"/>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支持按照一定规则维护任务清单，系统自动生成每日任务明细。并支持根据设定的提醒时限，自动弹窗提醒用户执行任务，包括执行、推迟、忽略等快捷操作。 </w:t>
      </w:r>
      <w:r>
        <w:rPr>
          <w:rFonts w:ascii="宋体" w:hAnsi="宋体" w:cs="宋体"/>
          <w:sz w:val="24"/>
          <w:highlight w:val="none"/>
        </w:rPr>
      </w:r>
      <w:r/>
    </w:p>
    <w:p>
      <w:pPr>
        <w:pStyle w:val="909"/>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提供常用任务模板，支持用户每日交接班快速添加和维护任务内容。</w:t>
      </w:r>
      <w:r>
        <w:rPr>
          <w:rFonts w:ascii="宋体" w:hAnsi="宋体" w:cs="宋体"/>
          <w:sz w:val="24"/>
          <w:highlight w:val="none"/>
        </w:rPr>
      </w:r>
      <w:r/>
    </w:p>
    <w:p>
      <w:pPr>
        <w:pStyle w:val="909"/>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提供历史任务列表，展示每日的任务完成度，用户可根据任务数量和完成度评估当日的护理治疗。</w:t>
      </w:r>
      <w:r>
        <w:rPr>
          <w:rFonts w:ascii="宋体" w:hAnsi="宋体" w:cs="宋体"/>
          <w:sz w:val="24"/>
          <w:highlight w:val="none"/>
        </w:rPr>
      </w:r>
      <w:r/>
    </w:p>
    <w:p>
      <w:pPr>
        <w:pStyle w:val="909"/>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历史任务支持用户快速复制到当天最新任务列表中，提高任务重用率。 </w:t>
      </w:r>
      <w:r>
        <w:rPr>
          <w:rFonts w:ascii="宋体" w:hAnsi="宋体" w:cs="宋体"/>
          <w:sz w:val="24"/>
          <w:highlight w:val="none"/>
        </w:rPr>
      </w:r>
      <w:r/>
    </w:p>
    <w:p>
      <w:pPr>
        <w:pStyle w:val="909"/>
        <w:numPr>
          <w:ilvl w:val="0"/>
          <w:numId w:val="15"/>
        </w:numPr>
        <w:spacing w:line="360" w:lineRule="auto"/>
        <w:rPr>
          <w:rFonts w:ascii="宋体" w:hAnsi="宋体" w:cs="宋体"/>
          <w:sz w:val="24"/>
          <w:highlight w:val="none"/>
        </w:rPr>
      </w:pPr>
      <w:r>
        <w:rPr>
          <w:rFonts w:hint="eastAsia" w:ascii="宋体" w:hAnsi="宋体" w:cs="宋体"/>
          <w:sz w:val="24"/>
          <w:highlight w:val="none"/>
        </w:rPr>
        <w:t xml:space="preserve">任务列表展示待办内容、提醒时间、执行状态等信息，用户添加任务支持用户自行编辑。</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管道护理子系统</w:t>
      </w:r>
      <w:r>
        <w:rPr>
          <w:rFonts w:ascii="宋体" w:hAnsi="宋体" w:cs="宋体"/>
          <w:b/>
          <w:bCs/>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可以进行插管、拔管、删除导管操作，并支持编辑导管基本信息。</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系统支持用户对导管进行各项评估、监测内容的录入，包括通畅情况、皮肤情况、引流液性状、护理措施等。</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系统提供导管监测评估列表，详细记录导管每日护理评估及护理措施。</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支持在概览图中操作编辑基本信息、新增评估、拔管、删除导管等，并支持以图标的形式在导管时间轴上标记导管日志项目。 </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支持导管概览，能够以甘特图的形式记录显示管路信息。</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具备导管分类一览，支持不同分类模式展示：如高，中，低危险度导管分类并用不同的颜色进行标识。</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管路质控：对管路护理过程中发生的事件和参数，进行自动统计，及时预警感控和质控风险，并给出关联信息。 </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系统提供导管拔管列表详情，并支持对误操作拔管进行撤销拔管。</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提供符合医疗标准的人体部位字典、规范全面的管路部位与名称。</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能提供正常拔管、意外拔管等医疗质量相关性数据录入和统计。</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系统支持科室内新插入导管、外院带入、手术带入的导管信息录入。</w:t>
      </w:r>
      <w:r>
        <w:rPr>
          <w:rFonts w:ascii="宋体" w:hAnsi="宋体" w:cs="宋体"/>
          <w:sz w:val="24"/>
          <w:highlight w:val="none"/>
        </w:rPr>
      </w:r>
      <w:r/>
    </w:p>
    <w:p>
      <w:pPr>
        <w:pStyle w:val="909"/>
        <w:numPr>
          <w:ilvl w:val="0"/>
          <w:numId w:val="16"/>
        </w:numPr>
        <w:spacing w:line="360" w:lineRule="auto"/>
        <w:rPr>
          <w:rFonts w:ascii="宋体" w:hAnsi="宋体" w:cs="宋体"/>
          <w:sz w:val="24"/>
          <w:highlight w:val="none"/>
        </w:rPr>
      </w:pPr>
      <w:r>
        <w:rPr>
          <w:rFonts w:hint="eastAsia" w:ascii="宋体" w:hAnsi="宋体" w:cs="宋体"/>
          <w:sz w:val="24"/>
          <w:highlight w:val="none"/>
        </w:rPr>
        <w:t xml:space="preserve">支持导管插拔管操作自动生成对应的护理内容插入到特护单病情记录中。 </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文书管理子系统</w:t>
      </w:r>
      <w:r>
        <w:rPr>
          <w:rFonts w:ascii="宋体" w:hAnsi="宋体" w:cs="宋体"/>
          <w:b/>
          <w:bCs/>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支持填写各类告知书、健康宣教、知情同意书等文书，支持根据医院实际需要定制文书模版。</w:t>
      </w:r>
      <w:r>
        <w:rPr>
          <w:rFonts w:ascii="宋体" w:hAnsi="宋体" w:cs="宋体"/>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支持对患者病情进行评估，填写文书内容。</w:t>
      </w:r>
      <w:r>
        <w:rPr>
          <w:rFonts w:ascii="宋体" w:hAnsi="宋体" w:cs="宋体"/>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提供新建、保存、打印、删除等基础操作。</w:t>
      </w:r>
      <w:r>
        <w:rPr>
          <w:rFonts w:ascii="宋体" w:hAnsi="宋体" w:cs="宋体"/>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支持记录历史文书内容，并支持编辑、删除、修改时间。</w:t>
      </w:r>
      <w:r>
        <w:rPr>
          <w:rFonts w:ascii="宋体" w:hAnsi="宋体" w:cs="宋体"/>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提供诊区、抢救区、留观区等分区文书管理操作。</w:t>
      </w:r>
      <w:r>
        <w:rPr>
          <w:rFonts w:ascii="宋体" w:hAnsi="宋体" w:cs="宋体"/>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支持文书电子签名（提供CA接口）。</w:t>
      </w:r>
      <w:r>
        <w:rPr>
          <w:rFonts w:ascii="宋体" w:hAnsi="宋体" w:cs="宋体"/>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支持多种获取签名方式，包括对接手写板、第三方链接等方式获取。</w:t>
      </w:r>
      <w:r>
        <w:rPr>
          <w:rFonts w:ascii="宋体" w:hAnsi="宋体" w:cs="宋体"/>
          <w:sz w:val="24"/>
          <w:highlight w:val="none"/>
        </w:rPr>
      </w:r>
      <w:r/>
    </w:p>
    <w:p>
      <w:pPr>
        <w:pStyle w:val="909"/>
        <w:numPr>
          <w:ilvl w:val="0"/>
          <w:numId w:val="17"/>
        </w:numPr>
        <w:spacing w:line="360" w:lineRule="auto"/>
        <w:rPr>
          <w:rFonts w:ascii="宋体" w:hAnsi="宋体" w:cs="宋体"/>
          <w:sz w:val="24"/>
          <w:highlight w:val="none"/>
        </w:rPr>
      </w:pPr>
      <w:r>
        <w:rPr>
          <w:rFonts w:hint="eastAsia" w:ascii="宋体" w:hAnsi="宋体" w:cs="宋体"/>
          <w:sz w:val="24"/>
          <w:highlight w:val="none"/>
        </w:rPr>
        <w:t xml:space="preserve">支持在护理文书单中引用人体图并进行相关部位的标记，支持对标记的部位进行批注，标记后的图片和批注内容文字可以导入至护理文书单中</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评分管理子系统</w:t>
      </w:r>
      <w:r>
        <w:rPr>
          <w:rFonts w:ascii="宋体" w:hAnsi="宋体" w:cs="宋体"/>
          <w:b/>
          <w:bCs/>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系统提供多种评分表，同时可根据院方要求进行配置。</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可根据患者评分日期查看评分结果。</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支持评分趋势图，提供多种评分集中显示或单个评分显示曲线趋势图的功能，历史数据能够按项目进行对比分析。</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支持根据关键字进行检索，查看历史评分信息，包含患者信息、评估项目、评估结果、评分人等信息。</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可以在新增评分时，读取历史评分数据进行快速填写。</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提供符合医院要求的病情分析评估工具，如：GCS 格拉斯哥昏迷评分、压疮风险Braden评分、急诊危重患者预后预测评分工具（CPOS-ED）、内科DVT评分/内科患者静脉血栓栓塞症风险评估表、急性缺血性卒中相关性肺炎评分(AIS-APS评分)等。</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提供权威的、院方要求的疼痛评分表，如NRS疼痛评分、面部表情疼痛评估表（FPS-R）、FLACC儿童疼痛行为量表等。</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提供符合医院标准的长期卧床患者皮肤评估工具，如：压力性损伤（Branden）评分、难免性压力性损伤评估、皮肤评估表、失禁性皮炎（PAT）评分等。</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提供符合医院要求的风险评估表，如：烫伤、误吸、跌倒/坠床（约翰霍普金斯评分）等。</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提供评分等级风险提示。</w:t>
      </w:r>
      <w:r>
        <w:rPr>
          <w:rFonts w:ascii="宋体" w:hAnsi="宋体" w:cs="宋体"/>
          <w:sz w:val="24"/>
          <w:highlight w:val="none"/>
        </w:rPr>
      </w:r>
      <w:r/>
    </w:p>
    <w:p>
      <w:pPr>
        <w:pStyle w:val="909"/>
        <w:numPr>
          <w:ilvl w:val="0"/>
          <w:numId w:val="18"/>
        </w:numPr>
        <w:spacing w:line="360" w:lineRule="auto"/>
        <w:rPr>
          <w:rFonts w:ascii="宋体" w:hAnsi="宋体" w:cs="宋体"/>
          <w:sz w:val="24"/>
          <w:highlight w:val="none"/>
        </w:rPr>
      </w:pPr>
      <w:r>
        <w:rPr>
          <w:rFonts w:hint="eastAsia" w:ascii="宋体" w:hAnsi="宋体" w:cs="宋体"/>
          <w:sz w:val="24"/>
          <w:highlight w:val="none"/>
        </w:rPr>
        <w:t xml:space="preserve">支持记录评分时记录护理措施，并同步至护理记录单中。</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数据集成</w:t>
      </w:r>
      <w:r>
        <w:rPr>
          <w:rFonts w:ascii="宋体" w:hAnsi="宋体" w:cs="宋体"/>
          <w:b/>
          <w:bCs/>
          <w:sz w:val="24"/>
          <w:highlight w:val="none"/>
        </w:rPr>
      </w:r>
      <w:r/>
    </w:p>
    <w:p>
      <w:pPr>
        <w:pStyle w:val="909"/>
        <w:numPr>
          <w:ilvl w:val="0"/>
          <w:numId w:val="19"/>
        </w:numPr>
        <w:spacing w:line="360" w:lineRule="auto"/>
        <w:rPr>
          <w:rFonts w:ascii="宋体" w:hAnsi="宋体" w:cs="宋体"/>
          <w:sz w:val="24"/>
          <w:highlight w:val="none"/>
        </w:rPr>
      </w:pPr>
      <w:r>
        <w:rPr>
          <w:rFonts w:hint="eastAsia" w:ascii="宋体" w:hAnsi="宋体" w:cs="宋体"/>
          <w:sz w:val="24"/>
          <w:highlight w:val="none"/>
        </w:rPr>
        <w:t xml:space="preserve">LIS集成：支持通过HL7消息、Web Service或数据库表/视图传递检验数据。</w:t>
      </w:r>
      <w:r>
        <w:rPr>
          <w:rFonts w:ascii="宋体" w:hAnsi="宋体" w:cs="宋体"/>
          <w:sz w:val="24"/>
          <w:highlight w:val="none"/>
        </w:rPr>
      </w:r>
      <w:r/>
    </w:p>
    <w:p>
      <w:pPr>
        <w:pStyle w:val="909"/>
        <w:numPr>
          <w:ilvl w:val="0"/>
          <w:numId w:val="19"/>
        </w:numPr>
        <w:spacing w:line="360" w:lineRule="auto"/>
        <w:rPr>
          <w:rFonts w:ascii="宋体" w:hAnsi="宋体" w:cs="宋体"/>
          <w:sz w:val="24"/>
          <w:highlight w:val="none"/>
        </w:rPr>
      </w:pPr>
      <w:r>
        <w:rPr>
          <w:rFonts w:hint="eastAsia" w:ascii="宋体" w:hAnsi="宋体" w:cs="宋体"/>
          <w:sz w:val="24"/>
          <w:highlight w:val="none"/>
        </w:rPr>
        <w:t xml:space="preserve">PACS集成：支持与医院现有PACS系统完整集成。</w:t>
      </w:r>
      <w:r>
        <w:rPr>
          <w:rFonts w:ascii="宋体" w:hAnsi="宋体" w:cs="宋体"/>
          <w:sz w:val="24"/>
          <w:highlight w:val="none"/>
        </w:rPr>
      </w:r>
      <w:r/>
    </w:p>
    <w:p>
      <w:pPr>
        <w:pStyle w:val="909"/>
        <w:numPr>
          <w:ilvl w:val="0"/>
          <w:numId w:val="19"/>
        </w:numPr>
        <w:spacing w:line="360" w:lineRule="auto"/>
        <w:rPr>
          <w:rFonts w:ascii="宋体" w:hAnsi="宋体" w:cs="宋体"/>
          <w:sz w:val="24"/>
          <w:highlight w:val="none"/>
        </w:rPr>
      </w:pPr>
      <w:r>
        <w:rPr>
          <w:rFonts w:hint="eastAsia" w:ascii="宋体" w:hAnsi="宋体" w:cs="宋体"/>
          <w:sz w:val="24"/>
          <w:highlight w:val="none"/>
        </w:rPr>
        <w:t xml:space="preserve">HIS集成：支持与医院现有HIS系统完整集成。</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设备集成</w:t>
      </w:r>
      <w:r>
        <w:rPr>
          <w:rFonts w:ascii="宋体" w:hAnsi="宋体" w:cs="宋体"/>
          <w:b/>
          <w:bCs/>
          <w:sz w:val="24"/>
          <w:highlight w:val="none"/>
        </w:rPr>
      </w:r>
      <w:r/>
    </w:p>
    <w:p>
      <w:pPr>
        <w:pStyle w:val="909"/>
        <w:numPr>
          <w:ilvl w:val="0"/>
          <w:numId w:val="20"/>
        </w:numPr>
        <w:spacing w:line="360" w:lineRule="auto"/>
        <w:rPr>
          <w:rFonts w:ascii="宋体" w:hAnsi="宋体" w:cs="宋体"/>
          <w:sz w:val="24"/>
          <w:highlight w:val="none"/>
        </w:rPr>
      </w:pPr>
      <w:r>
        <w:rPr>
          <w:rFonts w:hint="eastAsia" w:ascii="宋体" w:hAnsi="宋体" w:cs="宋体"/>
          <w:sz w:val="24"/>
          <w:highlight w:val="none"/>
        </w:rPr>
        <w:t xml:space="preserve">自动采集床边监护设备的数据，服务器同步数据存储，支持根据业务需要设定采样频率。</w:t>
      </w:r>
      <w:r>
        <w:rPr>
          <w:rFonts w:ascii="宋体" w:hAnsi="宋体" w:cs="宋体"/>
          <w:sz w:val="24"/>
          <w:highlight w:val="none"/>
        </w:rPr>
      </w:r>
      <w:r/>
    </w:p>
    <w:p>
      <w:pPr>
        <w:pStyle w:val="909"/>
        <w:numPr>
          <w:ilvl w:val="0"/>
          <w:numId w:val="20"/>
        </w:numPr>
        <w:spacing w:line="360" w:lineRule="auto"/>
        <w:rPr>
          <w:rFonts w:ascii="宋体" w:hAnsi="宋体" w:cs="宋体"/>
          <w:sz w:val="24"/>
          <w:highlight w:val="none"/>
        </w:rPr>
      </w:pPr>
      <w:r>
        <w:rPr>
          <w:rFonts w:hint="eastAsia" w:ascii="宋体" w:hAnsi="宋体" w:cs="宋体"/>
          <w:sz w:val="24"/>
          <w:highlight w:val="none"/>
        </w:rPr>
        <w:t xml:space="preserve">提供多种设备接口的内置支持，支持网络、串口等多种数据采集方式。</w:t>
      </w:r>
      <w:r>
        <w:rPr>
          <w:rFonts w:ascii="宋体" w:hAnsi="宋体" w:cs="宋体"/>
          <w:sz w:val="24"/>
          <w:highlight w:val="none"/>
        </w:rPr>
      </w:r>
      <w:r/>
    </w:p>
    <w:p>
      <w:pPr>
        <w:pStyle w:val="909"/>
        <w:numPr>
          <w:ilvl w:val="0"/>
          <w:numId w:val="20"/>
        </w:numPr>
        <w:spacing w:line="360" w:lineRule="auto"/>
        <w:rPr>
          <w:rFonts w:ascii="宋体" w:hAnsi="宋体" w:cs="宋体"/>
          <w:sz w:val="24"/>
          <w:highlight w:val="none"/>
        </w:rPr>
      </w:pPr>
      <w:r>
        <w:rPr>
          <w:rFonts w:hint="eastAsia" w:ascii="宋体" w:hAnsi="宋体" w:cs="宋体"/>
          <w:sz w:val="24"/>
          <w:highlight w:val="none"/>
        </w:rPr>
        <w:t xml:space="preserve">支持接入主流厂商的监护设备，如Mindray，Philips，GE，Drager等。</w:t>
      </w:r>
      <w:r>
        <w:rPr>
          <w:rFonts w:ascii="宋体" w:hAnsi="宋体" w:cs="宋体"/>
          <w:sz w:val="24"/>
          <w:highlight w:val="none"/>
        </w:rPr>
      </w:r>
      <w:r/>
    </w:p>
    <w:p>
      <w:pPr>
        <w:pStyle w:val="909"/>
        <w:numPr>
          <w:ilvl w:val="0"/>
          <w:numId w:val="20"/>
        </w:numPr>
        <w:spacing w:line="360" w:lineRule="auto"/>
        <w:rPr>
          <w:rFonts w:ascii="宋体" w:hAnsi="宋体" w:cs="宋体"/>
          <w:sz w:val="24"/>
          <w:highlight w:val="none"/>
        </w:rPr>
      </w:pPr>
      <w:r>
        <w:rPr>
          <w:rFonts w:hint="eastAsia" w:ascii="宋体" w:hAnsi="宋体" w:cs="宋体"/>
          <w:sz w:val="24"/>
          <w:highlight w:val="none"/>
        </w:rPr>
        <w:t xml:space="preserve">支持采集多种生命体征参数，包括：心率、呼吸、血氧、脉搏、无创血压、有创血压、体温、中心静脉平均压、潮气、心排量等。</w:t>
      </w:r>
      <w:r>
        <w:rPr>
          <w:rFonts w:ascii="宋体" w:hAnsi="宋体" w:cs="宋体"/>
          <w:sz w:val="24"/>
          <w:highlight w:val="none"/>
        </w:rPr>
      </w:r>
      <w:r/>
    </w:p>
    <w:p>
      <w:pPr>
        <w:pStyle w:val="909"/>
        <w:spacing w:line="360" w:lineRule="auto"/>
        <w:rPr>
          <w:rFonts w:ascii="宋体" w:hAnsi="宋体" w:cs="宋体"/>
          <w:b/>
          <w:bCs/>
          <w:sz w:val="24"/>
          <w:highlight w:val="none"/>
        </w:rPr>
      </w:pPr>
      <w:r>
        <w:rPr>
          <w:rFonts w:hint="eastAsia" w:ascii="宋体" w:hAnsi="宋体" w:cs="宋体"/>
          <w:b/>
          <w:bCs/>
          <w:sz w:val="24"/>
          <w:highlight w:val="none"/>
        </w:rPr>
        <w:t xml:space="preserve">系统设置</w:t>
      </w:r>
      <w:r>
        <w:rPr>
          <w:rFonts w:ascii="宋体" w:hAnsi="宋体" w:cs="宋体"/>
          <w:b/>
          <w:bCs/>
          <w:sz w:val="24"/>
          <w:highlight w:val="none"/>
        </w:rPr>
      </w:r>
      <w:r/>
    </w:p>
    <w:p>
      <w:pPr>
        <w:pStyle w:val="909"/>
        <w:numPr>
          <w:ilvl w:val="0"/>
          <w:numId w:val="21"/>
        </w:numPr>
        <w:spacing w:line="360" w:lineRule="auto"/>
        <w:rPr>
          <w:rFonts w:ascii="宋体" w:hAnsi="宋体" w:cs="宋体"/>
          <w:sz w:val="24"/>
          <w:highlight w:val="none"/>
        </w:rPr>
      </w:pPr>
      <w:r>
        <w:rPr>
          <w:rFonts w:hint="eastAsia" w:ascii="宋体" w:hAnsi="宋体" w:cs="宋体"/>
          <w:sz w:val="24"/>
          <w:highlight w:val="none"/>
        </w:rPr>
        <w:t xml:space="preserve">能够根据医院信息化管理的要求创建用户，包括登录用户名、密码及所在科室。</w:t>
      </w:r>
      <w:r>
        <w:rPr>
          <w:rFonts w:ascii="宋体" w:hAnsi="宋体" w:cs="宋体"/>
          <w:sz w:val="24"/>
          <w:highlight w:val="none"/>
        </w:rPr>
      </w:r>
      <w:r/>
    </w:p>
    <w:p>
      <w:pPr>
        <w:pStyle w:val="909"/>
        <w:numPr>
          <w:ilvl w:val="0"/>
          <w:numId w:val="21"/>
        </w:numPr>
        <w:spacing w:line="360" w:lineRule="auto"/>
        <w:rPr>
          <w:rFonts w:ascii="宋体" w:hAnsi="宋体" w:cs="宋体"/>
          <w:sz w:val="24"/>
          <w:highlight w:val="none"/>
        </w:rPr>
      </w:pPr>
      <w:r>
        <w:rPr>
          <w:rFonts w:hint="eastAsia" w:ascii="宋体" w:hAnsi="宋体" w:cs="宋体"/>
          <w:sz w:val="24"/>
          <w:highlight w:val="none"/>
        </w:rPr>
        <w:t xml:space="preserve">能够修改指定用户的登录密码。</w:t>
      </w:r>
      <w:r>
        <w:rPr>
          <w:rFonts w:ascii="宋体" w:hAnsi="宋体" w:cs="宋体"/>
          <w:sz w:val="24"/>
          <w:highlight w:val="none"/>
        </w:rPr>
      </w:r>
      <w:r/>
    </w:p>
    <w:p>
      <w:pPr>
        <w:pStyle w:val="909"/>
        <w:numPr>
          <w:ilvl w:val="0"/>
          <w:numId w:val="21"/>
        </w:numPr>
        <w:spacing w:line="360" w:lineRule="auto"/>
        <w:rPr>
          <w:rFonts w:ascii="宋体" w:hAnsi="宋体" w:cs="宋体"/>
          <w:sz w:val="24"/>
          <w:highlight w:val="none"/>
        </w:rPr>
      </w:pPr>
      <w:r>
        <w:rPr>
          <w:rFonts w:hint="eastAsia" w:ascii="宋体" w:hAnsi="宋体" w:cs="宋体"/>
          <w:sz w:val="24"/>
          <w:highlight w:val="none"/>
        </w:rPr>
        <w:t xml:space="preserve">能够为指定用户分配角色以获得相应的程序访问权限。</w:t>
      </w:r>
      <w:r>
        <w:rPr>
          <w:rFonts w:ascii="宋体" w:hAnsi="宋体" w:cs="宋体"/>
          <w:sz w:val="24"/>
          <w:highlight w:val="none"/>
        </w:rPr>
      </w:r>
      <w:r/>
    </w:p>
    <w:p>
      <w:pPr>
        <w:pStyle w:val="909"/>
        <w:numPr>
          <w:ilvl w:val="0"/>
          <w:numId w:val="21"/>
        </w:numPr>
        <w:spacing w:line="360" w:lineRule="auto"/>
        <w:rPr>
          <w:rFonts w:ascii="宋体" w:hAnsi="宋体" w:cs="宋体"/>
          <w:sz w:val="24"/>
          <w:highlight w:val="none"/>
        </w:rPr>
      </w:pPr>
      <w:r>
        <w:rPr>
          <w:rFonts w:hint="eastAsia" w:ascii="宋体" w:hAnsi="宋体" w:cs="宋体"/>
          <w:sz w:val="24"/>
          <w:highlight w:val="none"/>
        </w:rPr>
        <w:t xml:space="preserve">能够编辑系统角色的名称，用于分配一系列的程序功能访问权限。</w:t>
      </w:r>
      <w:r>
        <w:rPr>
          <w:rFonts w:ascii="宋体" w:hAnsi="宋体" w:cs="宋体"/>
          <w:sz w:val="24"/>
          <w:highlight w:val="none"/>
        </w:rPr>
      </w:r>
      <w:r/>
    </w:p>
    <w:p>
      <w:pPr>
        <w:pStyle w:val="909"/>
        <w:numPr>
          <w:ilvl w:val="0"/>
          <w:numId w:val="21"/>
        </w:numPr>
        <w:spacing w:line="360" w:lineRule="auto"/>
        <w:rPr>
          <w:rFonts w:ascii="宋体" w:hAnsi="宋体" w:cs="宋体"/>
          <w:sz w:val="24"/>
          <w:highlight w:val="none"/>
        </w:rPr>
      </w:pPr>
      <w:r>
        <w:rPr>
          <w:rFonts w:hint="eastAsia" w:ascii="宋体" w:hAnsi="宋体" w:cs="宋体"/>
          <w:sz w:val="24"/>
          <w:highlight w:val="none"/>
        </w:rPr>
        <w:t xml:space="preserve">能够分配指定角色所具备的系统权限。</w:t>
      </w:r>
      <w:r>
        <w:rPr>
          <w:rFonts w:ascii="宋体" w:hAnsi="宋体" w:cs="宋体"/>
          <w:sz w:val="24"/>
          <w:highlight w:val="none"/>
        </w:rPr>
      </w:r>
      <w:r/>
    </w:p>
    <w:p>
      <w:pPr>
        <w:pStyle w:val="909"/>
        <w:spacing w:line="360" w:lineRule="auto"/>
        <w:rPr>
          <w:rFonts w:ascii="宋体" w:hAnsi="宋体" w:cs="宋体"/>
          <w:sz w:val="24"/>
          <w:highlight w:val="none"/>
        </w:rPr>
      </w:pPr>
      <w:r>
        <w:rPr>
          <w:rFonts w:ascii="宋体" w:hAnsi="宋体" w:cs="宋体"/>
          <w:sz w:val="24"/>
          <w:highlight w:val="none"/>
        </w:rPr>
      </w:r>
      <w:r/>
    </w:p>
    <w:p>
      <w:pPr>
        <w:pStyle w:val="969"/>
        <w:spacing w:line="360" w:lineRule="auto"/>
        <w:rPr>
          <w:rFonts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eastAsia="zh-CN"/>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eastAsia="zh-CN"/>
        </w:rPr>
        <w:t xml:space="preserve">）系统</w:t>
      </w:r>
      <w:r>
        <w:rPr>
          <w:rFonts w:hint="eastAsia" w:ascii="宋体" w:hAnsi="宋体" w:eastAsia="宋体" w:cs="宋体"/>
          <w:b/>
          <w:bCs/>
          <w:sz w:val="24"/>
          <w:szCs w:val="24"/>
          <w:highlight w:val="none"/>
          <w:lang w:val="en-US" w:eastAsia="zh-CN"/>
        </w:rPr>
        <w:t xml:space="preserve">对接</w:t>
      </w:r>
      <w:r>
        <w:rPr>
          <w:rFonts w:ascii="宋体" w:hAnsi="宋体" w:eastAsia="宋体" w:cs="宋体"/>
          <w:b/>
          <w:bCs/>
          <w:sz w:val="24"/>
          <w:szCs w:val="24"/>
          <w:highlight w:val="none"/>
          <w:lang w:val="en-US" w:eastAsia="zh-CN"/>
        </w:rPr>
      </w:r>
      <w:r/>
    </w:p>
    <w:p>
      <w:pPr>
        <w:pStyle w:val="909"/>
        <w:ind w:firstLine="480"/>
        <w:spacing w:line="360" w:lineRule="auto"/>
        <w:rPr>
          <w:rFonts w:ascii="宋体" w:hAnsi="宋体" w:cs="宋体"/>
          <w:sz w:val="24"/>
          <w:highlight w:val="none"/>
        </w:rPr>
      </w:pPr>
      <w:r>
        <w:rPr>
          <w:rFonts w:hint="eastAsia"/>
          <w:sz w:val="24"/>
          <w:szCs w:val="24"/>
          <w:highlight w:val="none"/>
        </w:rPr>
        <w:t xml:space="preserve">要求新增系统与医院现有系统进行无缝对接，从而实现数据的流转及业务的协同。</w:t>
      </w:r>
      <w:r>
        <w:rPr>
          <w:rFonts w:hint="eastAsia"/>
          <w:color w:val="ff0000"/>
          <w:sz w:val="24"/>
          <w:szCs w:val="24"/>
          <w:highlight w:val="none"/>
        </w:rPr>
        <w:t xml:space="preserve">（投标人提供承诺函并加盖公章，格式自拟）</w:t>
      </w:r>
      <w:r>
        <w:rPr>
          <w:rFonts w:ascii="宋体" w:hAnsi="宋体" w:cs="宋体"/>
          <w:sz w:val="24"/>
          <w:highlight w:val="none"/>
        </w:rPr>
      </w:r>
      <w:r/>
    </w:p>
    <w:p>
      <w:pPr>
        <w:pStyle w:val="96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6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七、项目实施要求</w:t>
      </w:r>
      <w:r>
        <w:rPr>
          <w:rFonts w:ascii="宋体" w:hAnsi="宋体" w:cs="宋体"/>
          <w:b/>
          <w:bCs/>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1、自合同签订之日起，在3个月内所有系统功能模块安装调试完毕。</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2、投标人须在投标文件中提供项目相关系统制造商针对本项目中涉及的系统免费质保函，供货时提供原厂工程师上门调试验货。</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3、投标人须提供经验丰富的项目管理人员常驻现场全过程管理，直至项目验收完毕。</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投标人须提供项目整体实施方案，包括整体安装调试、应急措施、验收方案、人员组织保障、进度控制及相关各方协调等。中标人应结合医院平台功能需求进行充分调研分析，制定详细的技术方案，完成整个系统设备的安装、联调、备份、测试等工作。</w:t>
      </w:r>
      <w:r>
        <w:rPr>
          <w:rFonts w:ascii="宋体" w:hAnsi="宋体" w:cs="宋体"/>
          <w:color w:val="000000"/>
          <w:sz w:val="24"/>
          <w:highlight w:val="none"/>
        </w:rPr>
      </w:r>
      <w:r/>
    </w:p>
    <w:p>
      <w:pPr>
        <w:pStyle w:val="96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八、项目服务要求</w:t>
      </w:r>
      <w:r>
        <w:rPr>
          <w:rFonts w:ascii="宋体" w:hAnsi="宋体" w:cs="宋体"/>
          <w:b/>
          <w:bCs/>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1、供货要求</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(1)中标人应保证所有硬件产品、软件产品是全新、未使用过的原装合格正品、正版软件，符合国家有关规定，完全符合采购需求规定的质量和性能的要求，</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(2)在货物到达使用单位后，中标人派负责人到达现场，在采购人在场的情况下开箱清点货物，组织安装、调试，并承担因此发生的一切费用。</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(3)中标人应保证所投产品不存在因材质、设计、制造等问题所引起的缺陷，否则应无偿予以纠正；</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(4)中标人提供的设备发生非人为因素严重故障时，应当免费在七日内将补充或者更换的货物运抵发生故障的货物所在地，由此产生的一切相关费用由供货方承担。</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2、培训要求、</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应根据项目实施的进度要求，做出各阶段培训计划，及时安排有关培训。对系统所有用户提供应用性的培训，侧重在系统硬件及软件的使用及系统基本维护、系统常见问题及解决办法等方面，目标是使受训者能够熟悉系统的操作、基本维护方法等。</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投标人必须提供满足以下要求的培训服务：</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对采购人主要技术人员和骨干用户提供使用及维护培训，对普通用户提供使用培训。</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对采购人主要技术人员提供对系统开发用到的主要技术培训，包括但不限于操作系统培训、一窗受理基本理论培训、服务规范培训、服务体系培训等。</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投标人应提供完善的培训方案，培训方案包含培训内容、培训课时等。系统的培训工作要在系统上线试运行前实施，并在培训实施前编制专门的培训材料。</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培训工作贯穿于项目的整个过程，所有的培训需提前制定培训计划，明确培训内容、培训时间、培训方式、所需要培训环境等，提供培训所需的资料、文档，针对培训，还需要制定培训用的PPT讲演稿。</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培训计划要有时间、地点、学时、培训大纲、培训对象等内容。</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投标人应将所有培训费用（含培训教材费）及各项支出包含于投标总价中。</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3、售后服务要求</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系统验收后，项目整体免维期</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年，维护期间至少提供2人/年驻场，服务内容为：①日常维护②接口（含所有新增模块的接口及本项目所含模块新增设备的接口）③驻场服务。</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(2)质保期内应免费提供技术服务，技术服务包括：</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咨询服务（为用户提供系统应用过程中不明事项的应用指导和应用咨询以及项目相配套的各种管理制度的咨询、指导与记录）。</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软件系统完善、性能调优；应用系统补丁；系统恢复服务；故障处理、版本维护等。</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投标人应对由于设计、工艺或材料的缺陷所发生的任何不足或故障负责，所需费用由投标人承担。</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(3)服务响应及维护</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要求对项目提供7x24小时的实时技术支持响应服务。</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要求在24小时响应时间内提供维护等技术服务。</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要求对投标产品提供长期技术支持。如对产品有新的改进、增加新功能或者未适应最新标准所形成的最新版本，免费提供给买方。</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(4)其他相关售后服务要求可在合同内进一步协商确定。</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5、交货期、交货方式及交货地点</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(1)交货期：按照采购需求。</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(2)交货方式：采购人指定。</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(3)交货地点：采购人指定地点。</w:t>
      </w:r>
      <w:r>
        <w:rPr>
          <w:rFonts w:ascii="宋体" w:hAnsi="宋体" w:cs="宋体"/>
          <w:color w:val="000000"/>
          <w:sz w:val="24"/>
          <w:highlight w:val="none"/>
        </w:rPr>
      </w:r>
      <w:r/>
    </w:p>
    <w:p>
      <w:pPr>
        <w:pStyle w:val="96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九、验收要求</w:t>
      </w:r>
      <w:r>
        <w:rPr>
          <w:rFonts w:ascii="宋体" w:hAnsi="宋体" w:cs="宋体"/>
          <w:b/>
          <w:bCs/>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（1）项目实施结束后，采购人及验收小组根据国家有关规定、采购文件、投标文件、履约验收方案以及合同约定内容和验收标准进行验收，形成验收报告。</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（2）如验收中出现不符合标书（采购人招标文件及中标单位的投标文件）和合同要求的严重质量问题时，采购方保留索赔权利。</w:t>
      </w:r>
      <w:r>
        <w:rPr>
          <w:rFonts w:ascii="宋体" w:hAnsi="宋体" w:cs="宋体"/>
          <w:color w:val="000000"/>
          <w:sz w:val="24"/>
          <w:highlight w:val="none"/>
        </w:rPr>
      </w:r>
      <w:r/>
    </w:p>
    <w:p>
      <w:pPr>
        <w:pStyle w:val="968"/>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（3）验收过程中产生纠纷的，由质量技术监督部门认定的检测机构检测，如为中标人原因造成的，由中标人承担检测费用；否则，由采购人承担。</w:t>
      </w:r>
      <w:r>
        <w:rPr>
          <w:rFonts w:ascii="宋体" w:hAnsi="宋体" w:cs="宋体"/>
          <w:color w:val="000000"/>
          <w:sz w:val="24"/>
          <w:highlight w:val="none"/>
        </w:rPr>
      </w:r>
      <w:r/>
    </w:p>
    <w:p>
      <w:pPr>
        <w:pStyle w:val="968"/>
        <w:ind w:firstLine="560"/>
        <w:spacing w:line="360" w:lineRule="auto"/>
        <w:rPr>
          <w:rFonts w:ascii="宋体" w:hAnsi="宋体" w:cs="宋体"/>
          <w:b/>
          <w:bCs/>
          <w:sz w:val="24"/>
          <w:highlight w:val="none"/>
        </w:rPr>
      </w:pPr>
      <w:r>
        <w:rPr>
          <w:rFonts w:hint="eastAsia" w:ascii="宋体" w:hAnsi="宋体" w:cs="宋体"/>
          <w:color w:val="000000"/>
          <w:sz w:val="24"/>
          <w:highlight w:val="none"/>
        </w:rPr>
        <w:t xml:space="preserve">（4）项目运行1个月内完成项目验收。其他相关事宜可由双方在合同内进一步协商确定。</w:t>
      </w:r>
      <w:r>
        <w:rPr>
          <w:rFonts w:ascii="宋体" w:hAnsi="宋体" w:cs="宋体"/>
          <w:b/>
          <w:bCs/>
          <w:sz w:val="24"/>
          <w:highlight w:val="none"/>
        </w:rPr>
      </w:r>
      <w:r/>
    </w:p>
    <w:p>
      <w:pPr>
        <w:pStyle w:val="993"/>
        <w:ind w:left="0" w:firstLine="241"/>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十、其他要求：其他要求见《采购文件》《拟签订的合同文本》。</w:t>
      </w:r>
      <w:r>
        <w:rPr>
          <w:rFonts w:ascii="宋体" w:hAnsi="宋体" w:eastAsia="宋体" w:cs="宋体"/>
          <w:sz w:val="24"/>
          <w:highlight w:val="none"/>
        </w:rPr>
      </w:r>
      <w:r/>
    </w:p>
    <w:p>
      <w:pPr>
        <w:pStyle w:val="909"/>
        <w:spacing w:line="400" w:lineRule="exact"/>
        <w:rPr>
          <w:rFonts w:ascii="宋体" w:hAnsi="宋体" w:cs="宋体"/>
          <w:b/>
          <w:bCs/>
          <w:sz w:val="28"/>
          <w:szCs w:val="28"/>
          <w:highlight w:val="none"/>
        </w:rPr>
      </w:pPr>
      <w:r>
        <w:rPr>
          <w:rFonts w:ascii="宋体" w:hAnsi="宋体" w:cs="宋体"/>
          <w:b/>
          <w:bCs/>
          <w:sz w:val="28"/>
          <w:szCs w:val="28"/>
          <w:highlight w:val="none"/>
        </w:rPr>
      </w:r>
      <w:r/>
    </w:p>
    <w:p>
      <w:pPr>
        <w:pStyle w:val="927"/>
        <w:rPr>
          <w:rFonts w:ascii="宋体" w:hAnsi="宋体" w:cs="宋体"/>
          <w:b/>
          <w:bCs/>
          <w:sz w:val="28"/>
          <w:szCs w:val="28"/>
          <w:highlight w:val="none"/>
        </w:rPr>
      </w:pPr>
      <w:r>
        <w:rPr>
          <w:rFonts w:ascii="宋体" w:hAnsi="宋体" w:cs="宋体"/>
          <w:b/>
          <w:bCs/>
          <w:sz w:val="28"/>
          <w:szCs w:val="28"/>
          <w:highlight w:val="none"/>
        </w:rPr>
      </w:r>
      <w:r/>
    </w:p>
    <w:p>
      <w:pPr>
        <w:pStyle w:val="928"/>
        <w:tabs>
          <w:tab w:val="left" w:pos="810" w:leader="none"/>
          <w:tab w:val="left" w:pos="907" w:leader="none"/>
          <w:tab w:val="left" w:pos="1265" w:leader="none"/>
        </w:tabs>
        <w:rPr>
          <w:rFonts w:ascii="宋体" w:eastAsia="宋体" w:cs="宋体"/>
          <w:b/>
          <w:bCs/>
          <w:sz w:val="28"/>
          <w:szCs w:val="28"/>
          <w:highlight w:val="none"/>
        </w:rPr>
      </w:pPr>
      <w:r>
        <w:rPr>
          <w:rFonts w:ascii="宋体" w:eastAsia="宋体" w:cs="宋体"/>
          <w:b/>
          <w:bCs/>
          <w:sz w:val="28"/>
          <w:szCs w:val="28"/>
          <w:highlight w:val="none"/>
        </w:rPr>
      </w:r>
      <w:r/>
    </w:p>
    <w:p>
      <w:pPr>
        <w:pStyle w:val="930"/>
        <w:rPr>
          <w:rFonts w:hAnsi="宋体" w:cs="宋体"/>
          <w:b/>
          <w:bCs/>
          <w:sz w:val="28"/>
          <w:szCs w:val="28"/>
          <w:highlight w:val="none"/>
        </w:rPr>
      </w:pPr>
      <w:r>
        <w:rPr>
          <w:rFonts w:hAnsi="宋体" w:cs="宋体"/>
          <w:b/>
          <w:bCs/>
          <w:sz w:val="28"/>
          <w:szCs w:val="28"/>
          <w:highlight w:val="none"/>
        </w:rPr>
      </w:r>
      <w:r/>
    </w:p>
    <w:p>
      <w:pPr>
        <w:pStyle w:val="909"/>
        <w:rPr>
          <w:rFonts w:ascii="宋体" w:hAnsi="宋体" w:cs="宋体"/>
          <w:b/>
          <w:bCs/>
          <w:sz w:val="28"/>
          <w:szCs w:val="28"/>
          <w:highlight w:val="none"/>
        </w:rPr>
      </w:pPr>
      <w:r>
        <w:rPr>
          <w:rFonts w:ascii="宋体" w:hAnsi="宋体" w:cs="宋体"/>
          <w:b/>
          <w:bCs/>
          <w:sz w:val="28"/>
          <w:szCs w:val="28"/>
          <w:highlight w:val="none"/>
        </w:rPr>
      </w:r>
      <w:r/>
    </w:p>
    <w:p>
      <w:pPr>
        <w:pStyle w:val="946"/>
        <w:rPr>
          <w:rFonts w:ascii="宋体" w:hAnsi="宋体" w:cs="宋体"/>
          <w:b/>
          <w:bCs/>
          <w:sz w:val="28"/>
          <w:szCs w:val="28"/>
          <w:highlight w:val="none"/>
        </w:rPr>
      </w:pPr>
      <w:r>
        <w:rPr>
          <w:rFonts w:ascii="宋体" w:hAnsi="宋体" w:cs="宋体"/>
          <w:b/>
          <w:bCs/>
          <w:sz w:val="28"/>
          <w:szCs w:val="28"/>
          <w:highlight w:val="none"/>
        </w:rPr>
      </w:r>
      <w:r/>
    </w:p>
    <w:p>
      <w:pPr>
        <w:pStyle w:val="909"/>
        <w:rPr>
          <w:rFonts w:ascii="宋体" w:hAnsi="宋体" w:cs="宋体"/>
          <w:b/>
          <w:bCs/>
          <w:sz w:val="28"/>
          <w:szCs w:val="28"/>
          <w:highlight w:val="none"/>
        </w:rPr>
      </w:pPr>
      <w:r>
        <w:rPr>
          <w:rFonts w:ascii="宋体" w:hAnsi="宋体" w:cs="宋体"/>
          <w:b/>
          <w:bCs/>
          <w:sz w:val="28"/>
          <w:szCs w:val="28"/>
          <w:highlight w:val="none"/>
        </w:rPr>
      </w:r>
      <w:r/>
    </w:p>
    <w:p>
      <w:pPr>
        <w:pStyle w:val="946"/>
        <w:rPr>
          <w:rFonts w:ascii="宋体" w:hAnsi="宋体" w:cs="宋体"/>
          <w:b/>
          <w:bCs/>
          <w:sz w:val="28"/>
          <w:szCs w:val="28"/>
          <w:highlight w:val="none"/>
        </w:rPr>
      </w:pPr>
      <w:r>
        <w:rPr>
          <w:rFonts w:ascii="宋体" w:hAnsi="宋体" w:cs="宋体"/>
          <w:b/>
          <w:bCs/>
          <w:sz w:val="28"/>
          <w:szCs w:val="28"/>
          <w:highlight w:val="none"/>
        </w:rPr>
      </w:r>
      <w:r/>
    </w:p>
    <w:p>
      <w:pPr>
        <w:pStyle w:val="909"/>
        <w:rPr>
          <w:rFonts w:ascii="宋体" w:hAnsi="宋体" w:cs="宋体"/>
          <w:b/>
          <w:bCs/>
          <w:sz w:val="28"/>
          <w:szCs w:val="28"/>
          <w:highlight w:val="none"/>
        </w:rPr>
      </w:pPr>
      <w:r>
        <w:rPr>
          <w:rFonts w:ascii="宋体" w:hAnsi="宋体" w:cs="宋体"/>
          <w:b/>
          <w:bCs/>
          <w:sz w:val="28"/>
          <w:szCs w:val="28"/>
          <w:highlight w:val="none"/>
        </w:rPr>
      </w:r>
      <w:r/>
    </w:p>
    <w:p>
      <w:pPr>
        <w:pStyle w:val="946"/>
        <w:rPr>
          <w:rFonts w:ascii="宋体" w:hAnsi="宋体" w:cs="宋体"/>
          <w:b/>
          <w:bCs/>
          <w:sz w:val="28"/>
          <w:szCs w:val="28"/>
          <w:highlight w:val="none"/>
        </w:rPr>
      </w:pPr>
      <w:r>
        <w:rPr>
          <w:rFonts w:ascii="宋体" w:hAnsi="宋体" w:cs="宋体"/>
          <w:b/>
          <w:bCs/>
          <w:sz w:val="28"/>
          <w:szCs w:val="28"/>
          <w:highlight w:val="none"/>
        </w:rPr>
      </w:r>
      <w:r/>
    </w:p>
    <w:p>
      <w:pPr>
        <w:pStyle w:val="909"/>
        <w:rPr>
          <w:rFonts w:ascii="宋体" w:hAnsi="宋体" w:cs="宋体"/>
          <w:b/>
          <w:bCs/>
          <w:sz w:val="28"/>
          <w:szCs w:val="28"/>
          <w:highlight w:val="none"/>
        </w:rPr>
      </w:pPr>
      <w:r>
        <w:rPr>
          <w:rFonts w:ascii="宋体" w:hAnsi="宋体" w:cs="宋体"/>
          <w:b/>
          <w:bCs/>
          <w:sz w:val="28"/>
          <w:szCs w:val="28"/>
          <w:highlight w:val="none"/>
        </w:rPr>
      </w:r>
      <w:r/>
    </w:p>
    <w:p>
      <w:pPr>
        <w:pStyle w:val="946"/>
        <w:rPr>
          <w:highlight w:val="none"/>
        </w:rPr>
      </w:pPr>
      <w:r>
        <w:rPr>
          <w:highlight w:val="none"/>
        </w:rPr>
      </w:r>
      <w:r/>
    </w:p>
    <w:p>
      <w:pPr>
        <w:pStyle w:val="974"/>
        <w:rPr>
          <w:highlight w:val="none"/>
        </w:rPr>
      </w:pPr>
      <w:r>
        <w:rPr>
          <w:highlight w:val="none"/>
        </w:rPr>
      </w:r>
      <w:r/>
    </w:p>
    <w:p>
      <w:pPr>
        <w:pStyle w:val="975"/>
        <w:rPr>
          <w:highlight w:val="none"/>
        </w:rPr>
      </w:pPr>
      <w:r>
        <w:rPr>
          <w:highlight w:val="none"/>
        </w:rPr>
      </w:r>
      <w:r/>
    </w:p>
    <w:p>
      <w:pPr>
        <w:pStyle w:val="946"/>
        <w:rPr>
          <w:highlight w:val="none"/>
        </w:rPr>
      </w:pPr>
      <w:r>
        <w:rPr>
          <w:highlight w:val="none"/>
        </w:rPr>
      </w:r>
      <w:r/>
    </w:p>
    <w:p>
      <w:pPr>
        <w:pStyle w:val="928"/>
        <w:tabs>
          <w:tab w:val="left" w:pos="810" w:leader="none"/>
          <w:tab w:val="left" w:pos="907" w:leader="none"/>
          <w:tab w:val="left" w:pos="1265" w:leader="none"/>
        </w:tabs>
        <w:rPr>
          <w:highlight w:val="none"/>
        </w:rPr>
      </w:pPr>
      <w:r>
        <w:rPr>
          <w:highlight w:val="none"/>
        </w:rPr>
      </w:r>
      <w:r/>
    </w:p>
    <w:p>
      <w:pPr>
        <w:pStyle w:val="909"/>
        <w:jc w:val="center"/>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rPr>
          <w:rFonts w:ascii="宋体" w:hAnsi="宋体" w:cs="宋体"/>
          <w:sz w:val="30"/>
          <w:szCs w:val="30"/>
          <w:highlight w:val="none"/>
        </w:rPr>
      </w:r>
      <w:r/>
    </w:p>
    <w:p>
      <w:pPr>
        <w:pStyle w:val="909"/>
        <w:jc w:val="center"/>
        <w:rPr>
          <w:rFonts w:ascii="宋体" w:hAnsi="宋体" w:cs="宋体"/>
          <w:sz w:val="24"/>
          <w:highlight w:val="none"/>
        </w:rPr>
      </w:pPr>
      <w:r>
        <w:rPr>
          <w:rFonts w:ascii="宋体" w:hAnsi="宋体" w:cs="宋体"/>
          <w:sz w:val="24"/>
          <w:highlight w:val="none"/>
        </w:rPr>
      </w:r>
      <w:r/>
    </w:p>
    <w:p>
      <w:pPr>
        <w:pStyle w:val="909"/>
        <w:jc w:val="center"/>
        <w:spacing w:line="360" w:lineRule="auto"/>
        <w:rPr>
          <w:rFonts w:ascii="宋体" w:hAnsi="宋体" w:cs="宋体"/>
          <w:sz w:val="24"/>
          <w:highlight w:val="none"/>
        </w:rPr>
      </w:pPr>
      <w:r>
        <w:rPr>
          <w:rFonts w:hint="eastAsia" w:ascii="宋体" w:hAnsi="宋体" w:cs="宋体"/>
          <w:sz w:val="24"/>
          <w:highlight w:val="none"/>
        </w:rPr>
        <w:t xml:space="preserve">目录</w:t>
      </w:r>
      <w:r>
        <w:rPr>
          <w:rFonts w:ascii="宋体" w:hAnsi="宋体" w:cs="宋体"/>
          <w:sz w:val="24"/>
          <w:highlight w:val="none"/>
        </w:rPr>
      </w:r>
      <w:r/>
    </w:p>
    <w:p>
      <w:pPr>
        <w:pStyle w:val="909"/>
        <w:spacing w:line="360" w:lineRule="auto"/>
        <w:rPr>
          <w:rFonts w:ascii="宋体" w:hAnsi="宋体" w:cs="宋体"/>
          <w:sz w:val="24"/>
          <w:highlight w:val="none"/>
        </w:rPr>
      </w:pP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1、投标函</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2、法定代表人授权书及法定代表人身份证明书</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3、开标一览表</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4、分项价格表</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5、具备履行合同所必需的设备和专业技术能力的证明材料</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6、投标人参加政府采购活动前3年内在经营活动中没有重大违法记录的书面声明</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7、偏离表</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8、投标人相似业绩一览表</w:t>
      </w:r>
      <w:r>
        <w:rPr>
          <w:rFonts w:ascii="宋体" w:hAnsi="宋体" w:cs="宋体"/>
          <w:sz w:val="24"/>
          <w:highlight w:val="none"/>
        </w:rPr>
      </w:r>
      <w:r/>
    </w:p>
    <w:p>
      <w:pPr>
        <w:pStyle w:val="909"/>
        <w:spacing w:line="360" w:lineRule="auto"/>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、中小企业声明函</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10、残疾人福利性单位声明函</w:t>
      </w:r>
      <w:r>
        <w:rPr>
          <w:rFonts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rPr>
        <w:t xml:space="preserve">11、预付款保函支付条款</w:t>
      </w:r>
      <w:r>
        <w:rPr>
          <w:rFonts w:hint="eastAsia" w:ascii="宋体" w:hAnsi="宋体" w:cs="宋体"/>
          <w:sz w:val="24"/>
          <w:highlight w:val="none"/>
        </w:rPr>
      </w:r>
      <w:r/>
    </w:p>
    <w:p>
      <w:pPr>
        <w:pStyle w:val="909"/>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12、关于符合本国产品标准的声明函</w:t>
      </w:r>
      <w:r>
        <w:rPr>
          <w:rFonts w:hint="eastAsia"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rPr>
          <w:rFonts w:ascii="宋体" w:hAnsi="宋体" w:cs="宋体"/>
          <w:sz w:val="24"/>
          <w:highlight w:val="none"/>
        </w:rPr>
      </w:r>
      <w:r/>
    </w:p>
    <w:p>
      <w:pPr>
        <w:pStyle w:val="909"/>
        <w:spacing w:line="400" w:lineRule="exact"/>
        <w:rPr>
          <w:rFonts w:ascii="宋体" w:hAnsi="宋体" w:cs="宋体"/>
          <w:sz w:val="24"/>
          <w:highlight w:val="none"/>
        </w:rPr>
      </w:pPr>
      <w:r>
        <w:rPr>
          <w:rFonts w:ascii="宋体" w:hAnsi="宋体" w:cs="宋体"/>
          <w:sz w:val="24"/>
          <w:highlight w:val="none"/>
        </w:rPr>
      </w:r>
      <w:r/>
    </w:p>
    <w:p>
      <w:pPr>
        <w:pStyle w:val="909"/>
        <w:spacing w:line="400" w:lineRule="exact"/>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江苏中瑞建设项目管理有限公司</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根据项目[项目编号：</w:t>
      </w:r>
      <w:r>
        <w:rPr>
          <w:rFonts w:hint="eastAsia" w:ascii="宋体" w:hAnsi="宋体" w:cs="宋体"/>
          <w:sz w:val="24"/>
          <w:highlight w:val="none"/>
          <w:lang w:eastAsia="zh-CN"/>
        </w:rPr>
        <w:t xml:space="preserve">JSZC-320312-JSZR-G2026-0018</w:t>
      </w:r>
      <w:r>
        <w:rPr>
          <w:rFonts w:hint="eastAsia" w:ascii="宋体" w:hAnsi="宋体" w:cs="宋体"/>
          <w:sz w:val="24"/>
          <w:highlight w:val="none"/>
        </w:rPr>
        <w:t xml:space="preserve">]招标文件， </w:t>
      </w:r>
      <w:r>
        <w:rPr>
          <w:rFonts w:hint="eastAsia" w:ascii="宋体" w:hAnsi="宋体" w:cs="宋体"/>
          <w:szCs w:val="21"/>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据此函，投标人承诺并同意如下： </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1、投标人唯一投标报价见《开标一览表》。</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2、投标人将按招标文件的规定履行合同责任和义务。</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3、投标人已详细审查全部招标文件，包括第[插入编号] [补遗书][如果有的话]。投标人完全理解并同意放弃对这方面有不明及误解的权力。</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4、投标有效期为90天。</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5、投标人同意提供按照贵方可能要求的与其投标有关的一切数据或资料，完全理解贵方不一定接受最低价的投标或收到的任何投标。</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hint="eastAsia" w:ascii="宋体" w:hAnsi="宋体" w:cs="宋体"/>
          <w:sz w:val="24"/>
          <w:highlight w:val="none"/>
        </w:rPr>
        <w:t xml:space="preserve">8、与本投标有关的一切正式往来信函请寄：</w:t>
      </w:r>
      <w:r>
        <w:rPr>
          <w:rFonts w:ascii="宋体" w:hAnsi="宋体" w:cs="宋体"/>
          <w:sz w:val="24"/>
          <w:highlight w:val="none"/>
        </w:rPr>
      </w:r>
      <w:r/>
    </w:p>
    <w:p>
      <w:pPr>
        <w:pStyle w:val="909"/>
        <w:spacing w:line="400" w:lineRule="exact"/>
        <w:rPr>
          <w:rFonts w:ascii="宋体" w:hAnsi="宋体" w:cs="宋体"/>
          <w:sz w:val="24"/>
          <w:highlight w:val="none"/>
        </w:rPr>
      </w:pPr>
      <w:r>
        <w:rPr>
          <w:rFonts w:hint="eastAsia" w:ascii="宋体" w:hAnsi="宋体" w:cs="宋体"/>
          <w:sz w:val="24"/>
          <w:highlight w:val="none"/>
        </w:rPr>
        <w:t xml:space="preserve">地址： </w:t>
      </w:r>
      <w:r>
        <w:rPr>
          <w:rFonts w:ascii="宋体" w:hAnsi="宋体" w:cs="宋体"/>
          <w:sz w:val="24"/>
          <w:highlight w:val="none"/>
        </w:rPr>
      </w:r>
      <w:r/>
    </w:p>
    <w:p>
      <w:pPr>
        <w:pStyle w:val="909"/>
        <w:spacing w:line="400" w:lineRule="exact"/>
        <w:rPr>
          <w:rFonts w:ascii="宋体" w:hAnsi="宋体" w:cs="宋体"/>
          <w:sz w:val="24"/>
          <w:highlight w:val="none"/>
        </w:rPr>
      </w:pPr>
      <w:r>
        <w:rPr>
          <w:rFonts w:hint="eastAsia" w:ascii="宋体" w:hAnsi="宋体" w:cs="宋体"/>
          <w:sz w:val="24"/>
          <w:highlight w:val="none"/>
        </w:rPr>
        <w:t xml:space="preserve">电话： </w:t>
      </w:r>
      <w:r>
        <w:rPr>
          <w:rFonts w:ascii="宋体" w:hAnsi="宋体" w:cs="宋体"/>
          <w:sz w:val="24"/>
          <w:highlight w:val="none"/>
        </w:rPr>
      </w:r>
      <w:r/>
    </w:p>
    <w:p>
      <w:pPr>
        <w:pStyle w:val="909"/>
        <w:spacing w:line="400" w:lineRule="exact"/>
        <w:rPr>
          <w:rFonts w:ascii="宋体" w:hAnsi="宋体" w:cs="宋体"/>
          <w:sz w:val="24"/>
          <w:highlight w:val="none"/>
        </w:rPr>
      </w:pPr>
      <w:r>
        <w:rPr>
          <w:rFonts w:hint="eastAsia" w:ascii="宋体" w:hAnsi="宋体" w:cs="宋体"/>
          <w:sz w:val="24"/>
          <w:highlight w:val="none"/>
        </w:rPr>
        <w:t xml:space="preserve">传真： </w:t>
      </w:r>
      <w:r>
        <w:rPr>
          <w:rFonts w:ascii="宋体" w:hAnsi="宋体" w:cs="宋体"/>
          <w:sz w:val="24"/>
          <w:highlight w:val="none"/>
        </w:rPr>
      </w:r>
      <w:r/>
    </w:p>
    <w:p>
      <w:pPr>
        <w:pStyle w:val="909"/>
        <w:ind w:firstLine="3000"/>
        <w:spacing w:line="300" w:lineRule="auto"/>
        <w:rPr>
          <w:rFonts w:ascii="宋体" w:hAnsi="宋体" w:cs="宋体"/>
          <w:sz w:val="24"/>
          <w:highlight w:val="none"/>
        </w:rPr>
      </w:pPr>
      <w:r>
        <w:rPr>
          <w:rFonts w:hint="eastAsia" w:ascii="宋体" w:hAnsi="宋体" w:cs="宋体"/>
          <w:sz w:val="24"/>
          <w:highlight w:val="none"/>
        </w:rPr>
        <w:t xml:space="preserve">投标人：（盖电子签章）</w:t>
      </w:r>
      <w:r>
        <w:rPr>
          <w:rFonts w:ascii="宋体" w:hAnsi="宋体" w:cs="宋体"/>
          <w:sz w:val="24"/>
          <w:highlight w:val="none"/>
        </w:rPr>
      </w:r>
      <w:r/>
    </w:p>
    <w:p>
      <w:pPr>
        <w:pStyle w:val="909"/>
        <w:ind w:firstLine="480"/>
        <w:spacing w:line="400" w:lineRule="exact"/>
        <w:rPr>
          <w:rFonts w:ascii="宋体" w:hAnsi="宋体" w:cs="宋体"/>
          <w:sz w:val="24"/>
          <w:highlight w:val="none"/>
        </w:rPr>
      </w:pPr>
      <w:r>
        <w:rPr>
          <w:rFonts w:ascii="宋体" w:hAnsi="宋体" w:cs="宋体"/>
          <w:sz w:val="24"/>
          <w:highlight w:val="none"/>
        </w:rPr>
      </w:r>
      <w:r/>
    </w:p>
    <w:p>
      <w:pPr>
        <w:pStyle w:val="909"/>
        <w:ind w:firstLine="3120"/>
        <w:spacing w:line="400" w:lineRule="exact"/>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09"/>
        <w:ind w:firstLine="3120"/>
        <w:spacing w:line="400" w:lineRule="exact"/>
        <w:rPr>
          <w:rFonts w:ascii="宋体" w:hAnsi="宋体" w:cs="宋体"/>
          <w:sz w:val="24"/>
          <w:highlight w:val="none"/>
        </w:rPr>
      </w:pPr>
      <w:r>
        <w:rPr>
          <w:rFonts w:ascii="宋体" w:hAnsi="宋体" w:cs="宋体"/>
          <w:sz w:val="24"/>
          <w:highlight w:val="none"/>
        </w:rPr>
      </w:r>
      <w:r/>
    </w:p>
    <w:p>
      <w:pPr>
        <w:pStyle w:val="909"/>
        <w:jc w:val="center"/>
        <w:rPr>
          <w:rFonts w:ascii="宋体" w:hAnsi="宋体" w:cs="宋体"/>
          <w:sz w:val="28"/>
          <w:szCs w:val="28"/>
          <w:highlight w:val="none"/>
        </w:rPr>
      </w:pPr>
      <w:r>
        <w:rPr>
          <w:rFonts w:ascii="宋体" w:hAnsi="宋体" w:cs="宋体"/>
          <w:sz w:val="28"/>
          <w:szCs w:val="28"/>
          <w:highlight w:val="none"/>
        </w:rPr>
      </w:r>
      <w:r/>
    </w:p>
    <w:p>
      <w:pPr>
        <w:pStyle w:val="971"/>
        <w:rPr>
          <w:rFonts w:ascii="宋体" w:hAnsi="宋体" w:cs="宋体"/>
          <w:sz w:val="28"/>
          <w:szCs w:val="28"/>
          <w:highlight w:val="none"/>
        </w:rPr>
      </w:pPr>
      <w:r>
        <w:rPr>
          <w:rFonts w:ascii="宋体" w:hAnsi="宋体" w:cs="宋体"/>
          <w:sz w:val="28"/>
          <w:szCs w:val="28"/>
          <w:highlight w:val="none"/>
        </w:rPr>
      </w:r>
      <w:r/>
    </w:p>
    <w:p>
      <w:pPr>
        <w:pStyle w:val="909"/>
        <w:rPr>
          <w:highlight w:val="none"/>
        </w:rPr>
      </w:pPr>
      <w:r>
        <w:rPr>
          <w:highlight w:val="none"/>
        </w:rPr>
      </w:r>
      <w:r/>
    </w:p>
    <w:p>
      <w:pPr>
        <w:pStyle w:val="993"/>
        <w:rPr>
          <w:highlight w:val="none"/>
        </w:rPr>
      </w:pPr>
      <w:r>
        <w:rPr>
          <w:highlight w:val="none"/>
        </w:rPr>
      </w:r>
      <w:r/>
    </w:p>
    <w:p>
      <w:pPr>
        <w:pStyle w:val="909"/>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2、法定代表人授权书及法定代表人身份证明书</w:t>
      </w:r>
      <w:r>
        <w:rPr>
          <w:rFonts w:ascii="宋体" w:hAnsi="宋体" w:cs="宋体"/>
          <w:sz w:val="28"/>
          <w:szCs w:val="28"/>
          <w:highlight w:val="none"/>
        </w:rPr>
      </w:r>
      <w:r/>
    </w:p>
    <w:p>
      <w:pPr>
        <w:pStyle w:val="909"/>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909"/>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rPr>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委托人：</w:t>
      </w: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地  址：</w:t>
      </w: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法定代表人：               职务：</w:t>
      </w: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统一社会信用代码：</w:t>
      </w:r>
      <w:r>
        <w:rPr>
          <w:rFonts w:ascii="宋体" w:hAnsi="宋体"/>
          <w:bCs/>
          <w:sz w:val="24"/>
          <w:highlight w:val="none"/>
        </w:rPr>
      </w:r>
      <w:r/>
    </w:p>
    <w:p>
      <w:pPr>
        <w:pStyle w:val="909"/>
        <w:spacing w:line="360" w:lineRule="auto"/>
        <w:rPr>
          <w:rFonts w:ascii="宋体" w:hAnsi="宋体"/>
          <w:bCs/>
          <w:sz w:val="24"/>
          <w:highlight w:val="none"/>
        </w:rPr>
      </w:pP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受托人：                   性别：男（女）  </w:t>
      </w: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年龄：  岁                 民族：民   族</w:t>
      </w: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职务：</w:t>
      </w:r>
      <w:r>
        <w:rPr>
          <w:rFonts w:ascii="宋体" w:hAnsi="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身份证号：</w:t>
      </w:r>
      <w:r>
        <w:rPr>
          <w:rFonts w:ascii="宋体" w:hAnsi="宋体" w:cs="宋体"/>
          <w:bCs/>
          <w:sz w:val="24"/>
          <w:highlight w:val="none"/>
        </w:rPr>
      </w:r>
      <w:r/>
    </w:p>
    <w:p>
      <w:pPr>
        <w:pStyle w:val="909"/>
        <w:spacing w:line="360" w:lineRule="auto"/>
        <w:rPr>
          <w:rFonts w:ascii="宋体" w:hAnsi="宋体" w:cs="宋体"/>
          <w:bCs/>
          <w:sz w:val="24"/>
          <w:highlight w:val="none"/>
        </w:rPr>
      </w:pPr>
      <w:r>
        <w:rPr>
          <w:rFonts w:hint="eastAsia" w:ascii="宋体" w:hAnsi="宋体" w:cs="宋体"/>
          <w:bCs/>
          <w:sz w:val="24"/>
          <w:highlight w:val="none"/>
        </w:rPr>
        <w:t xml:space="preserve">联系方式（手机号）：</w:t>
      </w:r>
      <w:r>
        <w:rPr>
          <w:rFonts w:ascii="宋体" w:hAnsi="宋体" w:cs="宋体"/>
          <w:bCs/>
          <w:sz w:val="24"/>
          <w:highlight w:val="none"/>
        </w:rPr>
      </w:r>
      <w:r/>
    </w:p>
    <w:p>
      <w:pPr>
        <w:pStyle w:val="909"/>
        <w:ind w:firstLine="480"/>
        <w:spacing w:line="360" w:lineRule="auto"/>
        <w:rPr>
          <w:rFonts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rPr>
        <w:t xml:space="preserve">徐州市铜山区人民医院医院管理系统（二期）</w:t>
      </w:r>
      <w:r>
        <w:rPr>
          <w:rFonts w:hint="eastAsia" w:ascii="宋体" w:hAnsi="宋体" w:cs="宋体"/>
          <w:bCs/>
          <w:sz w:val="24"/>
          <w:highlight w:val="none"/>
        </w:rPr>
        <w:t xml:space="preserve">）项目（项目编号：</w:t>
      </w:r>
      <w:r>
        <w:rPr>
          <w:rFonts w:hint="eastAsia" w:ascii="宋体" w:hAnsi="宋体" w:cs="宋体"/>
          <w:bCs/>
          <w:sz w:val="24"/>
          <w:highlight w:val="none"/>
          <w:lang w:eastAsia="zh-CN"/>
        </w:rPr>
        <w:t xml:space="preserve">JSZC-320312-JSZR-G2026-0018</w:t>
      </w:r>
      <w:r>
        <w:rPr>
          <w:rFonts w:hint="eastAsia" w:ascii="宋体" w:hAnsi="宋体" w:cs="宋体"/>
          <w:bCs/>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bCs/>
          <w:sz w:val="24"/>
          <w:highlight w:val="none"/>
        </w:rPr>
      </w:r>
      <w:r/>
    </w:p>
    <w:p>
      <w:pPr>
        <w:pStyle w:val="909"/>
        <w:ind w:firstLine="630"/>
        <w:spacing w:line="360" w:lineRule="auto"/>
        <w:rPr>
          <w:rFonts w:ascii="宋体" w:hAnsi="宋体"/>
          <w:bCs/>
          <w:sz w:val="24"/>
          <w:highlight w:val="none"/>
        </w:rPr>
      </w:pPr>
      <w:r>
        <w:rPr>
          <w:rFonts w:hint="eastAsia" w:ascii="宋体" w:hAnsi="宋体" w:cs="宋体"/>
          <w:bCs/>
          <w:sz w:val="24"/>
          <w:highlight w:val="none"/>
        </w:rPr>
        <w:t xml:space="preserve">特此授权委托。</w:t>
      </w:r>
      <w:r>
        <w:rPr>
          <w:rFonts w:ascii="宋体" w:hAnsi="宋体"/>
          <w:bCs/>
          <w:sz w:val="24"/>
          <w:highlight w:val="none"/>
        </w:rPr>
      </w:r>
      <w:r/>
    </w:p>
    <w:p>
      <w:pPr>
        <w:pStyle w:val="909"/>
        <w:ind w:firstLine="630"/>
        <w:spacing w:line="360" w:lineRule="auto"/>
        <w:rPr>
          <w:rFonts w:ascii="宋体" w:hAnsi="宋体"/>
          <w:bCs/>
          <w:sz w:val="24"/>
          <w:highlight w:val="none"/>
        </w:rPr>
      </w:pP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rPr>
          <w:rFonts w:ascii="宋体" w:hAnsi="宋体"/>
          <w:bCs/>
          <w:sz w:val="24"/>
          <w:highlight w:val="none"/>
        </w:rPr>
      </w:r>
      <w:r/>
    </w:p>
    <w:p>
      <w:pPr>
        <w:pStyle w:val="909"/>
        <w:ind w:firstLine="720"/>
        <w:jc w:val="right"/>
        <w:spacing w:line="360" w:lineRule="auto"/>
        <w:rPr>
          <w:rFonts w:ascii="宋体" w:hAnsi="宋体"/>
          <w:bCs/>
          <w:sz w:val="24"/>
          <w:highlight w:val="none"/>
        </w:rPr>
      </w:pPr>
      <w:r>
        <w:rPr>
          <w:rFonts w:hint="eastAsia" w:ascii="宋体" w:hAnsi="宋体" w:cs="宋体"/>
          <w:bCs/>
          <w:sz w:val="24"/>
          <w:highlight w:val="none"/>
        </w:rPr>
        <w:t xml:space="preserve">年   月   日 </w:t>
      </w:r>
      <w:r>
        <w:rPr>
          <w:rFonts w:ascii="宋体" w:hAnsi="宋体"/>
          <w:bCs/>
          <w:sz w:val="24"/>
          <w:highlight w:val="none"/>
        </w:rPr>
      </w:r>
      <w:r/>
    </w:p>
    <w:p>
      <w:pPr>
        <w:pStyle w:val="909"/>
        <w:spacing w:line="360" w:lineRule="auto"/>
        <w:rPr>
          <w:rFonts w:ascii="宋体" w:hAnsi="宋体"/>
          <w:bCs/>
          <w:sz w:val="24"/>
          <w:highlight w:val="none"/>
        </w:rPr>
      </w:pPr>
      <w:r>
        <w:rPr>
          <w:rFonts w:hint="eastAsia" w:ascii="宋体" w:hAnsi="宋体" w:cs="宋体"/>
          <w:bCs/>
          <w:sz w:val="24"/>
          <w:highlight w:val="none"/>
        </w:rPr>
        <w:t xml:space="preserve">（受托人身份证原件扫描件附后）</w:t>
      </w:r>
      <w:r>
        <w:rPr>
          <w:rFonts w:ascii="宋体" w:hAnsi="宋体"/>
          <w:bCs/>
          <w:sz w:val="24"/>
          <w:highlight w:val="none"/>
        </w:rPr>
      </w:r>
      <w:r/>
    </w:p>
    <w:p>
      <w:pPr>
        <w:pStyle w:val="909"/>
        <w:spacing w:line="360" w:lineRule="auto"/>
        <w:rPr>
          <w:rFonts w:ascii="宋体" w:hAnsi="宋体"/>
          <w:bCs/>
          <w:sz w:val="24"/>
          <w:highlight w:val="none"/>
        </w:rPr>
      </w:pPr>
      <w:r>
        <w:rPr>
          <w:rFonts w:ascii="宋体" w:hAnsi="宋体"/>
          <w:bCs/>
          <w:sz w:val="24"/>
          <w:highlight w:val="none"/>
        </w:rPr>
      </w:r>
      <w:r/>
    </w:p>
    <w:p>
      <w:pPr>
        <w:pStyle w:val="909"/>
        <w:spacing w:line="360" w:lineRule="auto"/>
        <w:rPr>
          <w:rFonts w:ascii="宋体" w:hAnsi="宋体"/>
          <w:bCs/>
          <w:sz w:val="24"/>
          <w:highlight w:val="none"/>
        </w:rPr>
      </w:pPr>
      <w:r>
        <w:rPr>
          <w:rFonts w:ascii="宋体" w:hAnsi="宋体"/>
          <w:bCs/>
          <w:sz w:val="24"/>
          <w:highlight w:val="none"/>
        </w:rPr>
      </w:r>
      <w:r/>
    </w:p>
    <w:p>
      <w:pPr>
        <w:pStyle w:val="909"/>
        <w:spacing w:line="360" w:lineRule="auto"/>
        <w:rPr>
          <w:rFonts w:ascii="宋体" w:hAnsi="宋体"/>
          <w:sz w:val="24"/>
          <w:highlight w:val="none"/>
        </w:rPr>
      </w:pPr>
      <w:r>
        <w:rPr>
          <w:rFonts w:ascii="宋体" w:hAnsi="宋体"/>
          <w:sz w:val="24"/>
          <w:highlight w:val="none"/>
        </w:rPr>
      </w:r>
      <w:r/>
    </w:p>
    <w:p>
      <w:pPr>
        <w:pStyle w:val="909"/>
        <w:spacing w:line="360" w:lineRule="auto"/>
        <w:rPr>
          <w:rFonts w:ascii="宋体" w:hAnsi="宋体"/>
          <w:bCs/>
          <w:sz w:val="24"/>
          <w:highlight w:val="none"/>
        </w:rPr>
      </w:pPr>
      <w:r>
        <w:rPr>
          <w:rFonts w:ascii="宋体" w:hAnsi="宋体"/>
          <w:bCs/>
          <w:sz w:val="24"/>
          <w:highlight w:val="none"/>
        </w:rPr>
      </w:r>
      <w:r/>
    </w:p>
    <w:p>
      <w:pPr>
        <w:pStyle w:val="909"/>
        <w:spacing w:line="360" w:lineRule="auto"/>
        <w:rPr>
          <w:rFonts w:ascii="宋体" w:hAnsi="宋体"/>
          <w:sz w:val="24"/>
          <w:highlight w:val="none"/>
        </w:rPr>
      </w:pPr>
      <w:r>
        <w:rPr>
          <w:rFonts w:ascii="宋体" w:hAnsi="宋体"/>
          <w:sz w:val="24"/>
          <w:highlight w:val="none"/>
        </w:rPr>
      </w:r>
      <w:r/>
    </w:p>
    <w:p>
      <w:pPr>
        <w:pStyle w:val="909"/>
        <w:spacing w:line="360" w:lineRule="auto"/>
        <w:rPr>
          <w:rFonts w:ascii="宋体" w:hAnsi="宋体"/>
          <w:bCs/>
          <w:sz w:val="24"/>
          <w:highlight w:val="none"/>
        </w:rPr>
      </w:pPr>
      <w:r>
        <w:rPr>
          <w:rFonts w:ascii="宋体" w:hAnsi="宋体"/>
          <w:bCs/>
          <w:sz w:val="24"/>
          <w:highlight w:val="none"/>
        </w:rPr>
      </w:r>
      <w:r/>
    </w:p>
    <w:p>
      <w:pPr>
        <w:pStyle w:val="909"/>
        <w:jc w:val="center"/>
        <w:spacing w:line="360" w:lineRule="auto"/>
        <w:rPr>
          <w:rFonts w:ascii="宋体" w:hAnsi="宋体" w:cs="宋体"/>
          <w:sz w:val="28"/>
          <w:szCs w:val="28"/>
          <w:highlight w:val="none"/>
        </w:rPr>
      </w:pP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rPr>
          <w:rFonts w:ascii="宋体" w:hAnsi="宋体" w:cs="宋体"/>
          <w:sz w:val="28"/>
          <w:szCs w:val="28"/>
          <w:highlight w:val="none"/>
        </w:rPr>
      </w:r>
      <w:r/>
    </w:p>
    <w:p>
      <w:pPr>
        <w:pStyle w:val="909"/>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967"/>
        <w:rPr>
          <w:highlight w:val="none"/>
        </w:rPr>
      </w:pPr>
      <w:r>
        <w:rPr>
          <w:highlight w:val="none"/>
        </w:rPr>
      </w:r>
      <w:r/>
    </w:p>
    <w:p>
      <w:pPr>
        <w:pStyle w:val="909"/>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单位名称：</w:t>
      </w:r>
      <w:r>
        <w:rPr>
          <w:rFonts w:ascii="宋体" w:hAnsi="宋体" w:cs="宋体"/>
          <w:sz w:val="24"/>
          <w:highlight w:val="none"/>
        </w:rPr>
      </w:r>
      <w:r/>
    </w:p>
    <w:p>
      <w:pPr>
        <w:pStyle w:val="909"/>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地址：</w:t>
      </w:r>
      <w:r>
        <w:rPr>
          <w:rFonts w:ascii="宋体" w:hAnsi="宋体" w:cs="宋体"/>
          <w:sz w:val="24"/>
          <w:highlight w:val="none"/>
        </w:rPr>
      </w:r>
      <w:r/>
    </w:p>
    <w:p>
      <w:pPr>
        <w:pStyle w:val="909"/>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姓名：            性别：    </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rPr>
          <w:rFonts w:ascii="宋体" w:hAnsi="宋体" w:cs="宋体"/>
          <w:sz w:val="24"/>
          <w:highlight w:val="none"/>
        </w:rPr>
      </w:r>
      <w:r/>
    </w:p>
    <w:p>
      <w:pPr>
        <w:pStyle w:val="909"/>
        <w:ind w:firstLine="1024"/>
        <w:spacing w:line="360" w:lineRule="auto"/>
        <w:rPr>
          <w:rFonts w:ascii="宋体" w:hAnsi="宋体" w:cs="宋体"/>
          <w:sz w:val="24"/>
          <w:highlight w:val="none"/>
        </w:rPr>
      </w:pPr>
      <w:r>
        <w:rPr>
          <w:rFonts w:ascii="宋体" w:hAnsi="宋体" w:cs="宋体"/>
          <w:sz w:val="24"/>
          <w:highlight w:val="none"/>
        </w:rPr>
      </w:r>
      <w:r/>
    </w:p>
    <w:p>
      <w:pPr>
        <w:pStyle w:val="909"/>
        <w:ind w:firstLine="1024"/>
        <w:spacing w:line="360" w:lineRule="auto"/>
        <w:rPr>
          <w:rFonts w:ascii="宋体" w:hAnsi="宋体" w:cs="宋体"/>
          <w:sz w:val="24"/>
          <w:highlight w:val="none"/>
        </w:rPr>
      </w:pPr>
      <w:r>
        <w:rPr>
          <w:rFonts w:hint="eastAsia" w:ascii="宋体" w:hAnsi="宋体" w:cs="宋体"/>
          <w:sz w:val="24"/>
          <w:highlight w:val="none"/>
        </w:rPr>
        <w:t xml:space="preserve">系我司的法定代表人。为签署（项目编号：</w:t>
      </w:r>
      <w:r>
        <w:rPr>
          <w:rFonts w:hint="eastAsia" w:ascii="宋体" w:hAnsi="宋体" w:cs="宋体"/>
          <w:sz w:val="24"/>
          <w:highlight w:val="none"/>
          <w:lang w:eastAsia="zh-CN"/>
        </w:rPr>
        <w:t xml:space="preserve">JSZC-320312-JSZR-G2026-0018</w:t>
      </w: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hint="eastAsia" w:ascii="宋体" w:hAnsi="宋体" w:cs="宋体"/>
          <w:sz w:val="24"/>
          <w:highlight w:val="none"/>
        </w:rPr>
        <w:t xml:space="preserve">）项目投标文件、进行合同谈判、签署合同和处理与之有关的一切事务。</w:t>
      </w:r>
      <w:r>
        <w:rPr>
          <w:rFonts w:ascii="宋体" w:hAnsi="宋体" w:cs="宋体"/>
          <w:sz w:val="24"/>
          <w:highlight w:val="none"/>
        </w:rPr>
      </w:r>
      <w:r/>
    </w:p>
    <w:p>
      <w:pPr>
        <w:pStyle w:val="909"/>
        <w:spacing w:line="500" w:lineRule="exact"/>
        <w:tabs>
          <w:tab w:val="left" w:pos="720" w:leader="none"/>
          <w:tab w:val="left" w:pos="900" w:leader="none"/>
        </w:tabs>
        <w:rPr>
          <w:rFonts w:ascii="宋体" w:hAnsi="宋体" w:cs="宋体"/>
          <w:sz w:val="24"/>
          <w:highlight w:val="none"/>
        </w:rPr>
      </w:pPr>
      <w:r/>
      <w:bookmarkStart w:id="23" w:name="_GoBack"/>
      <w:r/>
      <w:bookmarkEnd w:id="23"/>
      <w:r>
        <w:rPr>
          <w:rFonts w:ascii="宋体" w:hAnsi="宋体" w:cs="宋体"/>
          <w:sz w:val="24"/>
          <w:highlight w:val="none"/>
        </w:rPr>
      </w:r>
      <w:r/>
    </w:p>
    <w:p>
      <w:pPr>
        <w:pStyle w:val="909"/>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特此证明。</w:t>
      </w:r>
      <w:r>
        <w:rPr>
          <w:rFonts w:ascii="宋体" w:hAnsi="宋体" w:cs="宋体"/>
          <w:sz w:val="24"/>
          <w:highlight w:val="none"/>
        </w:rPr>
      </w:r>
      <w:r/>
    </w:p>
    <w:p>
      <w:pPr>
        <w:pStyle w:val="909"/>
        <w:ind w:firstLine="480"/>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09"/>
        <w:jc w:val="right"/>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1084"/>
        <w:rPr>
          <w:rFonts w:ascii="宋体" w:hAnsi="宋体" w:cs="宋体"/>
          <w:highlight w:val="none"/>
        </w:rPr>
      </w:pPr>
      <w:r>
        <w:rPr>
          <w:rFonts w:ascii="宋体" w:hAnsi="宋体" w:cs="宋体"/>
          <w:highlight w:val="none"/>
        </w:rPr>
      </w:r>
      <w:r/>
    </w:p>
    <w:p>
      <w:pPr>
        <w:pStyle w:val="909"/>
        <w:ind w:firstLine="3240"/>
        <w:spacing w:line="360" w:lineRule="auto"/>
        <w:rPr>
          <w:rFonts w:ascii="宋体" w:hAnsi="宋体" w:cs="宋体"/>
          <w:sz w:val="24"/>
          <w:highlight w:val="none"/>
        </w:rPr>
      </w:pPr>
      <w:r>
        <w:rPr>
          <w:rFonts w:hint="eastAsia" w:ascii="宋体" w:hAnsi="宋体" w:cs="宋体"/>
          <w:sz w:val="24"/>
          <w:highlight w:val="none"/>
        </w:rPr>
        <w:t xml:space="preserve"> 投标人：（盖电子签章）</w:t>
      </w:r>
      <w:r>
        <w:rPr>
          <w:rFonts w:ascii="宋体" w:hAnsi="宋体" w:cs="宋体"/>
          <w:sz w:val="24"/>
          <w:highlight w:val="none"/>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                           法定代表人：（签字或电子签章）  </w:t>
      </w:r>
      <w:r>
        <w:rPr>
          <w:rFonts w:ascii="宋体" w:hAnsi="宋体" w:cs="宋体"/>
          <w:sz w:val="24"/>
          <w:highlight w:val="none"/>
        </w:rPr>
      </w:r>
      <w:r/>
    </w:p>
    <w:p>
      <w:pPr>
        <w:pStyle w:val="909"/>
        <w:ind w:firstLine="336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09"/>
        <w:spacing w:line="360" w:lineRule="auto"/>
        <w:rPr>
          <w:rFonts w:ascii="宋体" w:hAnsi="宋体" w:cs="宋体"/>
          <w:highlight w:val="none"/>
        </w:rPr>
      </w:pPr>
      <w:r>
        <w:rPr>
          <w:rFonts w:ascii="宋体" w:hAnsi="宋体" w:cs="宋体"/>
          <w:highlight w:val="none"/>
        </w:rPr>
      </w:r>
      <w:r/>
    </w:p>
    <w:p>
      <w:pPr>
        <w:pStyle w:val="909"/>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（法定代表人身份证原件扫描件附后）</w:t>
      </w:r>
      <w:r>
        <w:rPr>
          <w:rFonts w:ascii="宋体" w:hAnsi="宋体" w:cs="宋体"/>
          <w:sz w:val="24"/>
          <w:highlight w:val="none"/>
        </w:rPr>
      </w:r>
      <w:r/>
    </w:p>
    <w:p>
      <w:pPr>
        <w:pStyle w:val="909"/>
        <w:spacing w:line="360" w:lineRule="auto"/>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sz w:val="24"/>
          <w:highlight w:val="none"/>
        </w:rPr>
      </w:pPr>
      <w:r>
        <w:rPr>
          <w:rFonts w:ascii="宋体" w:hAnsi="宋体"/>
          <w:sz w:val="24"/>
          <w:highlight w:val="none"/>
        </w:rPr>
      </w:r>
      <w:r/>
    </w:p>
    <w:p>
      <w:pPr>
        <w:pStyle w:val="972"/>
        <w:rPr>
          <w:rFonts w:ascii="宋体" w:hAnsi="宋体"/>
          <w:sz w:val="24"/>
          <w:highlight w:val="none"/>
        </w:rPr>
      </w:pPr>
      <w:r>
        <w:rPr>
          <w:rFonts w:ascii="宋体" w:hAnsi="宋体"/>
          <w:sz w:val="24"/>
          <w:highlight w:val="none"/>
        </w:rPr>
      </w:r>
      <w:r/>
    </w:p>
    <w:p>
      <w:pPr>
        <w:pStyle w:val="972"/>
        <w:rPr>
          <w:rFonts w:ascii="宋体" w:hAnsi="宋体"/>
          <w:sz w:val="24"/>
          <w:highlight w:val="none"/>
        </w:rPr>
      </w:pPr>
      <w:r>
        <w:rPr>
          <w:rFonts w:ascii="宋体" w:hAnsi="宋体"/>
          <w:sz w:val="24"/>
          <w:highlight w:val="none"/>
        </w:rPr>
      </w:r>
      <w:r/>
    </w:p>
    <w:p>
      <w:pPr>
        <w:pStyle w:val="972"/>
        <w:rPr>
          <w:rFonts w:ascii="宋体" w:hAnsi="宋体"/>
          <w:bCs/>
          <w:sz w:val="24"/>
          <w:highlight w:val="none"/>
        </w:rPr>
      </w:pPr>
      <w:r>
        <w:rPr>
          <w:rFonts w:ascii="宋体" w:hAnsi="宋体"/>
          <w:bCs/>
          <w:sz w:val="24"/>
          <w:highlight w:val="none"/>
        </w:rPr>
      </w:r>
      <w:r/>
    </w:p>
    <w:p>
      <w:pPr>
        <w:pStyle w:val="909"/>
        <w:jc w:val="center"/>
        <w:rPr>
          <w:rFonts w:ascii="宋体" w:hAnsi="宋体" w:cs="宋体"/>
          <w:sz w:val="28"/>
          <w:szCs w:val="28"/>
          <w:highlight w:val="none"/>
        </w:rPr>
      </w:pPr>
      <w:r>
        <w:rPr>
          <w:rFonts w:hint="eastAsia" w:ascii="宋体" w:hAnsi="宋体" w:cs="宋体"/>
          <w:sz w:val="28"/>
          <w:szCs w:val="28"/>
          <w:highlight w:val="none"/>
        </w:rPr>
        <w:t xml:space="preserve">3、开标一览表</w:t>
      </w:r>
      <w:r>
        <w:rPr>
          <w:rFonts w:ascii="宋体" w:hAnsi="宋体" w:cs="宋体"/>
          <w:sz w:val="28"/>
          <w:szCs w:val="28"/>
          <w:highlight w:val="none"/>
        </w:rPr>
      </w:r>
      <w:r/>
    </w:p>
    <w:p>
      <w:pPr>
        <w:pStyle w:val="967"/>
        <w:rPr>
          <w:highlight w:val="none"/>
        </w:rPr>
      </w:pPr>
      <w:r>
        <w:rPr>
          <w:highlight w:val="none"/>
        </w:rPr>
      </w:r>
      <w:r/>
    </w:p>
    <w:p>
      <w:pPr>
        <w:pStyle w:val="909"/>
        <w:jc w:val="left"/>
        <w:spacing w:line="360" w:lineRule="auto"/>
        <w:rPr>
          <w:rFonts w:ascii="宋体" w:hAnsi="宋体" w:cs="宋体"/>
          <w:sz w:val="24"/>
          <w:highlight w:val="none"/>
        </w:rPr>
      </w:pPr>
      <w:r>
        <w:rPr>
          <w:rFonts w:ascii="宋体" w:hAnsi="宋体" w:cs="宋体"/>
          <w:sz w:val="24"/>
          <w:highlight w:val="none"/>
        </w:rPr>
      </w:r>
      <w:r/>
    </w:p>
    <w:p>
      <w:pPr>
        <w:pStyle w:val="909"/>
        <w:jc w:val="left"/>
        <w:spacing w:line="360" w:lineRule="auto"/>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ascii="宋体" w:hAnsi="宋体" w:cs="宋体"/>
          <w:sz w:val="24"/>
          <w:highlight w:val="none"/>
          <w:u w:val="single"/>
        </w:rPr>
      </w:r>
      <w:r/>
    </w:p>
    <w:p>
      <w:pPr>
        <w:pStyle w:val="909"/>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ascii="宋体" w:hAnsi="宋体" w:eastAsia="宋体" w:cs="宋体"/>
          <w:sz w:val="24"/>
          <w:highlight w:val="none"/>
          <w:u w:val="single"/>
          <w:lang w:eastAsia="zh-CN"/>
        </w:rPr>
      </w:r>
      <w:r/>
    </w:p>
    <w:p>
      <w:pPr>
        <w:pStyle w:val="909"/>
        <w:rPr>
          <w:rFonts w:ascii="宋体" w:hAnsi="宋体" w:cs="宋体"/>
          <w:sz w:val="24"/>
          <w:highlight w:val="none"/>
        </w:rPr>
      </w:pPr>
      <w:r>
        <w:rPr>
          <w:rFonts w:hint="eastAsia" w:ascii="宋体" w:hAnsi="宋体" w:cs="宋体"/>
          <w:sz w:val="24"/>
          <w:highlight w:val="none"/>
        </w:rPr>
        <w:t xml:space="preserve">货币单位：人民币</w:t>
      </w:r>
      <w:r>
        <w:rPr>
          <w:rFonts w:ascii="宋体" w:hAnsi="宋体" w:cs="宋体"/>
          <w:sz w:val="24"/>
          <w:highlight w:val="none"/>
        </w:rPr>
      </w:r>
      <w:r/>
    </w:p>
    <w:p>
      <w:pPr>
        <w:pStyle w:val="909"/>
        <w:rPr>
          <w:rFonts w:ascii="宋体" w:hAnsi="宋体" w:cs="宋体"/>
          <w:b/>
          <w:bCs/>
          <w:sz w:val="24"/>
          <w:highlight w:val="none"/>
        </w:rPr>
      </w:pPr>
      <w:r>
        <w:rPr>
          <w:rFonts w:ascii="宋体" w:hAnsi="宋体" w:cs="宋体"/>
          <w:b/>
          <w:bCs/>
          <w:sz w:val="24"/>
          <w:highlight w:val="none"/>
        </w:rPr>
      </w:r>
      <w:r/>
    </w:p>
    <w:p>
      <w:pPr>
        <w:pStyle w:val="909"/>
        <w:rPr>
          <w:rFonts w:ascii="宋体" w:hAnsi="宋体" w:cs="宋体"/>
          <w:b/>
          <w:bCs/>
          <w:sz w:val="24"/>
          <w:highlight w:val="none"/>
        </w:rPr>
      </w:pPr>
      <w:r>
        <w:rPr>
          <w:rFonts w:ascii="宋体" w:hAnsi="宋体" w:cs="宋体"/>
          <w:b/>
          <w:bCs/>
          <w:sz w:val="24"/>
          <w:highlight w:val="none"/>
        </w:rPr>
      </w:r>
      <w:r/>
    </w:p>
    <w:p>
      <w:pPr>
        <w:pStyle w:val="92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2979"/>
      </w:tblGrid>
      <w:tr>
        <w:trPr>
          <w:cantSplit/>
          <w:trHeight w:val="1163"/>
        </w:trPr>
        <w:tc>
          <w:tcPr>
            <w:tcW w:w="3556"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cantSplit/>
          <w:trHeight w:val="1214"/>
        </w:trPr>
        <w:tc>
          <w:tcPr>
            <w:tcW w:w="3556" w:type="dxa"/>
            <w:vAlign w:val="center"/>
            <w:textDirection w:val="lrTb"/>
            <w:noWrap w:val="false"/>
          </w:tcPr>
          <w:p>
            <w:pPr>
              <w:pStyle w:val="90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501"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详见投标文件</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452"/>
        </w:trPr>
        <w:tc>
          <w:tcPr>
            <w:tcW w:w="3556"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rPr>
                <w:rFonts w:hint="eastAsia" w:ascii="宋体" w:hAnsi="宋体" w:eastAsia="宋体" w:cs="宋体"/>
                <w:color w:val="000000"/>
                <w:sz w:val="24"/>
                <w:szCs w:val="24"/>
                <w:highlight w:val="none"/>
              </w:rPr>
            </w:r>
            <w:r/>
          </w:p>
        </w:tc>
        <w:tc>
          <w:tcPr>
            <w:gridSpan w:val="2"/>
            <w:tcW w:w="5480" w:type="dxa"/>
            <w:vAlign w:val="center"/>
            <w:textDirection w:val="lrTb"/>
            <w:noWrap w:val="false"/>
          </w:tcPr>
          <w:p>
            <w:pPr>
              <w:pStyle w:val="90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2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2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2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2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9"/>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909"/>
        <w:ind w:firstLine="3640"/>
        <w:spacing w:line="360" w:lineRule="auto"/>
        <w:rPr>
          <w:rFonts w:ascii="宋体" w:hAnsi="宋体" w:cs="宋体"/>
          <w:sz w:val="24"/>
          <w:highlight w:val="none"/>
        </w:rPr>
      </w:pPr>
      <w:r>
        <w:rPr>
          <w:rFonts w:ascii="宋体" w:hAnsi="宋体" w:cs="宋体"/>
          <w:sz w:val="24"/>
          <w:highlight w:val="none"/>
        </w:rPr>
      </w:r>
      <w:r/>
    </w:p>
    <w:p>
      <w:pPr>
        <w:pStyle w:val="909"/>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4、分项价格表</w:t>
      </w:r>
      <w:r>
        <w:rPr>
          <w:rFonts w:ascii="宋体" w:hAnsi="宋体" w:cs="宋体"/>
          <w:sz w:val="24"/>
          <w:highlight w:val="none"/>
        </w:rPr>
      </w:r>
      <w:r/>
    </w:p>
    <w:p>
      <w:pPr>
        <w:pStyle w:val="909"/>
        <w:jc w:val="left"/>
        <w:spacing w:line="360" w:lineRule="auto"/>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ascii="宋体" w:hAnsi="宋体" w:cs="宋体"/>
          <w:sz w:val="24"/>
          <w:highlight w:val="none"/>
          <w:u w:val="single"/>
        </w:rPr>
      </w:r>
      <w:r/>
    </w:p>
    <w:p>
      <w:pPr>
        <w:pStyle w:val="909"/>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ascii="宋体" w:hAnsi="宋体" w:eastAsia="宋体" w:cs="宋体"/>
          <w:sz w:val="24"/>
          <w:highlight w:val="none"/>
          <w:lang w:eastAsia="zh-CN"/>
        </w:rPr>
      </w:r>
      <w:r/>
    </w:p>
    <w:p>
      <w:pPr>
        <w:pStyle w:val="909"/>
        <w:spacing w:line="360" w:lineRule="auto"/>
        <w:rPr>
          <w:rFonts w:ascii="宋体" w:hAnsi="宋体" w:cs="宋体"/>
          <w:sz w:val="24"/>
          <w:highlight w:val="none"/>
        </w:rPr>
      </w:pPr>
      <w:r>
        <w:rPr>
          <w:rFonts w:hint="eastAsia" w:ascii="宋体" w:hAnsi="宋体" w:cs="宋体"/>
          <w:sz w:val="24"/>
          <w:highlight w:val="none"/>
        </w:rPr>
        <w:t xml:space="preserve">货币单位：人民币元</w:t>
      </w:r>
      <w:r>
        <w:rPr>
          <w:rFonts w:ascii="宋体" w:hAnsi="宋体" w:cs="宋体"/>
          <w:sz w:val="24"/>
          <w:highlight w:val="none"/>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名称</w:t>
            </w:r>
            <w:r>
              <w:rPr>
                <w:rFonts w:ascii="宋体" w:hAnsi="宋体" w:cs="宋体"/>
                <w:sz w:val="24"/>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品牌、规格、型号</w:t>
            </w:r>
            <w:r>
              <w:rPr>
                <w:rFonts w:ascii="宋体" w:hAnsi="宋体" w:cs="宋体"/>
                <w:sz w:val="24"/>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产品制造企业名称（全称）</w:t>
            </w:r>
            <w:r>
              <w:rPr>
                <w:rFonts w:ascii="宋体" w:hAnsi="宋体" w:cs="宋体"/>
                <w:sz w:val="24"/>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产品制造企业的划分（大型、中型、小型、微型、监狱企业、享受政府采购支持政策的残疾人福利性单位）</w:t>
            </w:r>
            <w:r>
              <w:rPr>
                <w:rFonts w:ascii="宋体" w:hAnsi="宋体" w:cs="宋体"/>
                <w:sz w:val="24"/>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数量</w:t>
            </w:r>
            <w:r>
              <w:rPr>
                <w:rFonts w:ascii="宋体" w:hAnsi="宋体" w:cs="宋体"/>
                <w:sz w:val="24"/>
                <w:highlight w:val="none"/>
              </w:rPr>
            </w:r>
            <w:r/>
          </w:p>
        </w:tc>
        <w:tc>
          <w:tcPr>
            <w:shd w:val="clear" w:color="auto" w:fill="c0c0c0"/>
            <w:tcMar>
              <w:left w:w="15" w:type="dxa"/>
              <w:top w:w="15" w:type="dxa"/>
              <w:right w:w="15" w:type="dxa"/>
              <w:bottom w:w="0" w:type="dxa"/>
            </w:tcMar>
            <w:tcW w:w="567"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数量单位</w:t>
            </w:r>
            <w:r>
              <w:rPr>
                <w:rFonts w:ascii="宋体" w:hAnsi="宋体" w:cs="宋体"/>
                <w:sz w:val="24"/>
                <w:highlight w:val="none"/>
              </w:rPr>
            </w:r>
            <w:r/>
          </w:p>
        </w:tc>
        <w:tc>
          <w:tcPr>
            <w:shd w:val="clear" w:color="auto" w:fill="c0c0c0"/>
            <w:tcMar>
              <w:left w:w="15" w:type="dxa"/>
              <w:top w:w="15" w:type="dxa"/>
              <w:right w:w="15" w:type="dxa"/>
              <w:bottom w:w="0" w:type="dxa"/>
            </w:tcMar>
            <w:tcW w:w="709"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单价</w:t>
            </w:r>
            <w:r>
              <w:rPr>
                <w:rFonts w:ascii="宋体" w:hAnsi="宋体" w:cs="宋体"/>
                <w:sz w:val="24"/>
                <w:highlight w:val="none"/>
              </w:rPr>
            </w:r>
            <w:r/>
          </w:p>
        </w:tc>
        <w:tc>
          <w:tcPr>
            <w:shd w:val="clear" w:color="auto" w:fill="c0c0c0"/>
            <w:tcW w:w="709" w:type="dxa"/>
            <w:vAlign w:val="center"/>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总价</w:t>
            </w:r>
            <w:r>
              <w:rPr>
                <w:rFonts w:ascii="宋体" w:hAnsi="宋体" w:cs="宋体"/>
                <w:sz w:val="24"/>
                <w:highlight w:val="none"/>
              </w:rPr>
            </w:r>
            <w:r/>
          </w:p>
        </w:tc>
        <w:tc>
          <w:tcPr>
            <w:shd w:val="clear" w:color="auto" w:fill="c0c0c0"/>
            <w:tcMar>
              <w:left w:w="15" w:type="dxa"/>
              <w:top w:w="15" w:type="dxa"/>
              <w:right w:w="15" w:type="dxa"/>
              <w:bottom w:w="0" w:type="dxa"/>
            </w:tcMar>
            <w:tcW w:w="1472" w:type="dxa"/>
            <w:vAlign w:val="center"/>
            <w:textDirection w:val="lrTb"/>
            <w:noWrap w:val="false"/>
          </w:tcPr>
          <w:p>
            <w:pPr>
              <w:pStyle w:val="909"/>
              <w:jc w:val="center"/>
              <w:rPr>
                <w:rFonts w:ascii="宋体" w:hAnsi="宋体" w:cs="宋体"/>
                <w:sz w:val="24"/>
                <w:highlight w:val="none"/>
              </w:rPr>
            </w:pPr>
            <w:r>
              <w:rPr>
                <w:rFonts w:hint="eastAsia" w:ascii="宋体" w:hAnsi="宋体" w:cs="宋体"/>
                <w:b/>
                <w:bCs/>
                <w:sz w:val="24"/>
                <w:highlight w:val="none"/>
              </w:rPr>
              <w:t xml:space="preserve">备注</w:t>
            </w:r>
            <w:r>
              <w:rPr>
                <w:rFonts w:ascii="宋体" w:hAnsi="宋体" w:cs="宋体"/>
                <w:sz w:val="24"/>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09"/>
              <w:jc w:val="center"/>
              <w:rPr>
                <w:rFonts w:ascii="宋体" w:hAnsi="宋体" w:cs="宋体"/>
                <w:sz w:val="24"/>
                <w:highlight w:val="none"/>
              </w:rPr>
            </w:pPr>
            <w:r>
              <w:rPr>
                <w:rFonts w:hint="eastAsia" w:ascii="宋体" w:hAnsi="宋体" w:cs="宋体"/>
                <w:sz w:val="24"/>
                <w:highlight w:val="none"/>
              </w:rPr>
              <w:t xml:space="preserve">总价合计（即《开标一览表》中的“总价”）</w:t>
            </w:r>
            <w:r>
              <w:rPr>
                <w:rFonts w:ascii="宋体" w:hAnsi="宋体" w:cs="宋体"/>
                <w:sz w:val="24"/>
                <w:highlight w:val="none"/>
              </w:rPr>
            </w:r>
            <w:r/>
          </w:p>
        </w:tc>
        <w:tc>
          <w:tcPr>
            <w:gridSpan w:val="6"/>
            <w:tcW w:w="6008" w:type="dxa"/>
            <w:vAlign w:val="top"/>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bl>
    <w:p>
      <w:pPr>
        <w:pStyle w:val="909"/>
        <w:rPr>
          <w:rFonts w:ascii="宋体" w:hAnsi="宋体" w:cs="宋体"/>
          <w:sz w:val="24"/>
          <w:highlight w:val="none"/>
        </w:rPr>
      </w:pPr>
      <w:r>
        <w:rPr>
          <w:rFonts w:ascii="宋体" w:hAnsi="宋体" w:cs="宋体"/>
          <w:sz w:val="24"/>
          <w:highlight w:val="none"/>
        </w:rPr>
      </w:r>
      <w:r/>
    </w:p>
    <w:p>
      <w:pPr>
        <w:pStyle w:val="909"/>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909"/>
        <w:ind w:firstLine="3640"/>
        <w:spacing w:line="360" w:lineRule="auto"/>
        <w:rPr>
          <w:rFonts w:ascii="宋体" w:hAnsi="宋体" w:cs="宋体"/>
          <w:sz w:val="24"/>
          <w:highlight w:val="none"/>
        </w:rPr>
      </w:pPr>
      <w:r>
        <w:rPr>
          <w:rFonts w:ascii="宋体" w:hAnsi="宋体" w:cs="宋体"/>
          <w:sz w:val="24"/>
          <w:highlight w:val="none"/>
        </w:rPr>
      </w:r>
      <w:r/>
    </w:p>
    <w:p>
      <w:pPr>
        <w:pStyle w:val="909"/>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09"/>
        <w:rPr>
          <w:rFonts w:ascii="宋体" w:hAnsi="宋体" w:cs="宋体"/>
          <w:b/>
          <w:bCs/>
          <w:sz w:val="24"/>
          <w:highlight w:val="none"/>
        </w:rPr>
      </w:pPr>
      <w:r>
        <w:rPr>
          <w:rFonts w:hint="eastAsia" w:ascii="宋体" w:hAnsi="宋体" w:cs="宋体"/>
          <w:b/>
          <w:bCs/>
          <w:sz w:val="24"/>
          <w:highlight w:val="none"/>
        </w:rPr>
        <w:t xml:space="preserve">说明：</w:t>
      </w:r>
      <w:r>
        <w:rPr>
          <w:rFonts w:ascii="宋体" w:hAnsi="宋体" w:cs="宋体"/>
          <w:b/>
          <w:bCs/>
          <w:sz w:val="24"/>
          <w:highlight w:val="none"/>
        </w:rPr>
      </w:r>
      <w:r/>
    </w:p>
    <w:p>
      <w:pPr>
        <w:pStyle w:val="909"/>
        <w:jc w:val="left"/>
        <w:widowControl/>
        <w:rPr>
          <w:rFonts w:ascii="宋体" w:hAnsi="宋体" w:cs="宋体"/>
          <w:sz w:val="24"/>
          <w:highlight w:val="none"/>
        </w:rPr>
      </w:pPr>
      <w:r>
        <w:rPr>
          <w:rFonts w:hint="eastAsia" w:ascii="宋体" w:hAnsi="宋体" w:cs="宋体"/>
          <w:b/>
          <w:bCs/>
          <w:sz w:val="24"/>
          <w:highlight w:val="none"/>
        </w:rPr>
        <w:t xml:space="preserve">1、本表中“产品制造企业的划分”以《政府采购促进中小企业发展管理办法》（财库〔2020〕46号）</w:t>
      </w:r>
      <w:r>
        <w:rPr>
          <w:rFonts w:hint="eastAsia" w:ascii="宋体" w:hAnsi="宋体" w:cs="宋体"/>
          <w:sz w:val="24"/>
          <w:highlight w:val="none"/>
        </w:rPr>
        <w:t xml:space="preserve">和《工业和信息化部、国家统计局、国家发展和改革委员会、财政部关于印发中小企业划型标准规定的通知》（工信部联企业〔2011〕300号）的规定为准。</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　　3、享受政府采购支持政策的残疾人福利性单位的条件以《三部门联合发布关于促进残疾人就业政府采购政策的通知》（财库〔2017〕141号）规定为准。</w:t>
      </w:r>
      <w:r>
        <w:rPr>
          <w:rFonts w:ascii="宋体" w:hAnsi="宋体" w:cs="宋体"/>
          <w:sz w:val="24"/>
          <w:highlight w:val="none"/>
        </w:rPr>
      </w:r>
      <w:r/>
    </w:p>
    <w:p>
      <w:pPr>
        <w:pStyle w:val="909"/>
        <w:ind w:firstLine="560"/>
        <w:jc w:val="left"/>
        <w:widowControl/>
        <w:rPr>
          <w:rFonts w:ascii="宋体" w:hAnsi="宋体" w:cs="宋体"/>
          <w:sz w:val="24"/>
          <w:highlight w:val="none"/>
        </w:rPr>
      </w:pPr>
      <w:r>
        <w:rPr>
          <w:rFonts w:ascii="宋体" w:hAnsi="宋体" w:cs="宋体"/>
          <w:sz w:val="24"/>
          <w:highlight w:val="none"/>
        </w:rPr>
      </w:r>
      <w:r/>
    </w:p>
    <w:p>
      <w:pPr>
        <w:pStyle w:val="909"/>
        <w:jc w:val="left"/>
        <w:widowControl/>
        <w:rPr>
          <w:rFonts w:ascii="宋体" w:hAnsi="宋体" w:cs="宋体"/>
          <w:sz w:val="24"/>
          <w:highlight w:val="none"/>
        </w:rPr>
      </w:pPr>
      <w:r>
        <w:rPr>
          <w:rFonts w:hint="eastAsia" w:ascii="宋体" w:hAnsi="宋体" w:cs="宋体"/>
          <w:sz w:val="24"/>
          <w:highlight w:val="none"/>
        </w:rPr>
        <w:t xml:space="preserve">注：1、如果不提供详细分项报价将视为没有实质性响应招标文件。</w:t>
      </w:r>
      <w:r>
        <w:rPr>
          <w:rFonts w:ascii="宋体" w:hAnsi="宋体" w:cs="宋体"/>
          <w:sz w:val="24"/>
          <w:highlight w:val="none"/>
        </w:rPr>
      </w:r>
      <w:r/>
    </w:p>
    <w:p>
      <w:pPr>
        <w:pStyle w:val="909"/>
        <w:ind w:firstLine="560"/>
        <w:jc w:val="left"/>
        <w:widowControl/>
        <w:rPr>
          <w:rFonts w:ascii="宋体" w:hAnsi="宋体" w:cs="宋体"/>
          <w:sz w:val="24"/>
          <w:highlight w:val="none"/>
        </w:rPr>
      </w:pPr>
      <w:r>
        <w:rPr>
          <w:rFonts w:hint="eastAsia" w:ascii="宋体" w:hAnsi="宋体" w:cs="宋体"/>
          <w:sz w:val="24"/>
          <w:highlight w:val="none"/>
        </w:rPr>
        <w:t xml:space="preserve">2、投标人对以上数据的真实性负责。</w:t>
      </w:r>
      <w:r>
        <w:rPr>
          <w:rFonts w:ascii="宋体" w:hAnsi="宋体" w:cs="宋体"/>
          <w:sz w:val="24"/>
          <w:highlight w:val="none"/>
        </w:rPr>
      </w:r>
      <w:r/>
    </w:p>
    <w:p>
      <w:pPr>
        <w:pStyle w:val="909"/>
        <w:ind w:firstLine="562"/>
        <w:jc w:val="left"/>
        <w:widowControl/>
        <w:rPr>
          <w:rFonts w:ascii="宋体" w:hAnsi="宋体" w:cs="宋体"/>
          <w:b/>
          <w:bCs/>
          <w:sz w:val="24"/>
          <w:highlight w:val="none"/>
        </w:rPr>
      </w:pPr>
      <w:r>
        <w:rPr>
          <w:rFonts w:hint="eastAsia" w:ascii="宋体" w:hAnsi="宋体" w:cs="宋体"/>
          <w:b/>
          <w:bCs/>
          <w:sz w:val="24"/>
          <w:highlight w:val="none"/>
        </w:rPr>
        <w:t xml:space="preserve">采购人或采购代理机构有权将以上内容进行公示。</w:t>
      </w:r>
      <w:r>
        <w:rPr>
          <w:rFonts w:ascii="宋体" w:hAnsi="宋体" w:cs="宋体"/>
          <w:b/>
          <w:bCs/>
          <w:sz w:val="24"/>
          <w:highlight w:val="none"/>
        </w:rPr>
      </w:r>
      <w:r/>
    </w:p>
    <w:p>
      <w:pPr>
        <w:pStyle w:val="909"/>
        <w:ind w:firstLine="482"/>
        <w:spacing w:line="360" w:lineRule="auto"/>
        <w:rPr>
          <w:rFonts w:ascii="宋体" w:hAnsi="宋体" w:cs="宋体"/>
          <w:b/>
          <w:iCs/>
          <w:sz w:val="24"/>
          <w:highlight w:val="none"/>
          <w:u w:val="single"/>
        </w:rPr>
      </w:pPr>
      <w:r>
        <w:rPr>
          <w:rFonts w:ascii="宋体" w:hAnsi="宋体" w:cs="宋体"/>
          <w:b/>
          <w:iCs/>
          <w:sz w:val="24"/>
          <w:highlight w:val="none"/>
          <w:u w:val="single"/>
        </w:rPr>
      </w:r>
      <w:r/>
    </w:p>
    <w:p>
      <w:pPr>
        <w:pStyle w:val="909"/>
        <w:jc w:val="center"/>
        <w:rPr>
          <w:rFonts w:ascii="宋体" w:hAnsi="宋体" w:eastAsia="仿宋" w:cs="宋体"/>
          <w:bCs/>
          <w:sz w:val="28"/>
          <w:szCs w:val="28"/>
          <w:highlight w:val="none"/>
        </w:rPr>
      </w:pPr>
      <w:r>
        <w:rPr>
          <w:rFonts w:ascii="宋体" w:hAnsi="宋体" w:eastAsia="仿宋" w:cs="宋体"/>
          <w:bCs/>
          <w:sz w:val="28"/>
          <w:szCs w:val="28"/>
          <w:highlight w:val="none"/>
        </w:rPr>
      </w:r>
      <w:r/>
    </w:p>
    <w:p>
      <w:pPr>
        <w:pStyle w:val="909"/>
        <w:jc w:val="center"/>
        <w:rPr>
          <w:rFonts w:ascii="宋体" w:hAnsi="宋体" w:cs="宋体"/>
          <w:bCs/>
          <w:sz w:val="28"/>
          <w:szCs w:val="28"/>
          <w:highlight w:val="none"/>
        </w:rPr>
      </w:pPr>
      <w:r>
        <w:rPr>
          <w:rFonts w:ascii="宋体" w:hAnsi="宋体" w:eastAsia="仿宋" w:cs="宋体"/>
          <w:bCs/>
          <w:sz w:val="28"/>
          <w:szCs w:val="28"/>
          <w:highlight w:val="none"/>
        </w:rPr>
        <w:t xml:space="preserve">5</w:t>
      </w:r>
      <w:r>
        <w:rPr>
          <w:rFonts w:hint="eastAsia" w:ascii="宋体" w:hAnsi="宋体" w:eastAsia="仿宋" w:cs="宋体"/>
          <w:bCs/>
          <w:sz w:val="28"/>
          <w:szCs w:val="28"/>
          <w:highlight w:val="none"/>
        </w:rPr>
        <w:t xml:space="preserve">、</w:t>
      </w:r>
      <w:r>
        <w:rPr>
          <w:rFonts w:hint="eastAsia" w:ascii="宋体" w:hAnsi="宋体" w:cs="宋体"/>
          <w:bCs/>
          <w:sz w:val="28"/>
          <w:szCs w:val="28"/>
          <w:highlight w:val="none"/>
        </w:rPr>
        <w:t xml:space="preserve">具备履行合同所必需的设备和专业技术能力的证明材料</w:t>
      </w:r>
      <w:r>
        <w:rPr>
          <w:rFonts w:ascii="宋体" w:hAnsi="宋体" w:cs="宋体"/>
          <w:bCs/>
          <w:sz w:val="28"/>
          <w:szCs w:val="28"/>
          <w:highlight w:val="none"/>
        </w:rPr>
      </w:r>
      <w:r/>
    </w:p>
    <w:p>
      <w:pPr>
        <w:pStyle w:val="909"/>
        <w:rPr>
          <w:rFonts w:ascii="宋体" w:hAnsi="宋体" w:cs="宋体"/>
          <w:sz w:val="24"/>
          <w:highlight w:val="none"/>
        </w:rPr>
      </w:pPr>
      <w:r>
        <w:rPr>
          <w:rFonts w:ascii="宋体" w:hAnsi="宋体" w:cs="宋体"/>
          <w:sz w:val="24"/>
          <w:highlight w:val="none"/>
        </w:rPr>
      </w:r>
      <w:r/>
    </w:p>
    <w:p>
      <w:pPr>
        <w:pStyle w:val="909"/>
        <w:jc w:val="left"/>
        <w:spacing w:line="360" w:lineRule="auto"/>
        <w:widowControl/>
        <w:rPr>
          <w:rFonts w:ascii="宋体" w:hAnsi="宋体" w:cs="宋体"/>
          <w:sz w:val="24"/>
          <w:highlight w:val="none"/>
        </w:rPr>
      </w:pPr>
      <w:r>
        <w:rPr>
          <w:rFonts w:ascii="宋体" w:hAnsi="宋体" w:cs="宋体"/>
          <w:sz w:val="24"/>
          <w:highlight w:val="none"/>
        </w:rPr>
      </w:r>
      <w:r/>
    </w:p>
    <w:p>
      <w:pPr>
        <w:pStyle w:val="909"/>
        <w:jc w:val="left"/>
        <w:spacing w:line="360" w:lineRule="auto"/>
        <w:widowControl/>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ascii="宋体" w:hAnsi="宋体" w:cs="宋体"/>
          <w:sz w:val="24"/>
          <w:highlight w:val="none"/>
          <w:u w:val="single"/>
        </w:rPr>
      </w:r>
      <w:r/>
    </w:p>
    <w:p>
      <w:pPr>
        <w:pStyle w:val="909"/>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ascii="宋体" w:hAnsi="宋体" w:eastAsia="宋体" w:cs="宋体"/>
          <w:sz w:val="24"/>
          <w:highlight w:val="none"/>
          <w:u w:val="single"/>
          <w:lang w:eastAsia="zh-CN"/>
        </w:rPr>
      </w:r>
      <w:r/>
    </w:p>
    <w:p>
      <w:pPr>
        <w:pStyle w:val="909"/>
        <w:ind w:firstLine="480"/>
        <w:jc w:val="left"/>
        <w:spacing w:line="360" w:lineRule="auto"/>
        <w:widowControl/>
        <w:rPr>
          <w:rFonts w:ascii="宋体" w:hAnsi="宋体" w:cs="宋体"/>
          <w:sz w:val="24"/>
          <w:highlight w:val="none"/>
        </w:rPr>
      </w:pPr>
      <w:r>
        <w:rPr>
          <w:rFonts w:ascii="宋体" w:hAnsi="宋体" w:cs="宋体"/>
          <w:sz w:val="24"/>
          <w:highlight w:val="none"/>
        </w:rPr>
      </w:r>
      <w:r/>
    </w:p>
    <w:p>
      <w:pPr>
        <w:pStyle w:val="909"/>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rPr>
        <w:t xml:space="preserve">徐州市铜山区人民医院医院管理系统（二期）</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ascii="宋体" w:hAnsi="宋体" w:cs="宋体"/>
          <w:sz w:val="24"/>
          <w:highlight w:val="none"/>
        </w:rPr>
        <w:t xml:space="preserve">）所必需的设备和专业技术能力。</w:t>
      </w:r>
      <w:r>
        <w:rPr>
          <w:rFonts w:ascii="宋体" w:hAnsi="宋体" w:cs="宋体"/>
          <w:sz w:val="24"/>
          <w:highlight w:val="none"/>
        </w:rPr>
      </w:r>
      <w:r/>
    </w:p>
    <w:p>
      <w:pPr>
        <w:pStyle w:val="937"/>
        <w:rPr>
          <w:rFonts w:ascii="宋体" w:hAnsi="宋体" w:cs="宋体"/>
          <w:highlight w:val="none"/>
        </w:rPr>
      </w:pPr>
      <w:r>
        <w:rPr>
          <w:rFonts w:ascii="宋体" w:hAnsi="宋体" w:cs="宋体"/>
          <w:highlight w:val="none"/>
        </w:rPr>
      </w:r>
      <w:r/>
    </w:p>
    <w:p>
      <w:pPr>
        <w:pStyle w:val="909"/>
        <w:ind w:firstLine="480"/>
        <w:rPr>
          <w:rFonts w:ascii="宋体" w:hAnsi="宋体" w:cs="宋体"/>
          <w:sz w:val="24"/>
          <w:highlight w:val="none"/>
        </w:rPr>
      </w:pP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特此声明。</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ind w:firstLine="3000"/>
        <w:spacing w:line="300" w:lineRule="auto"/>
        <w:rPr>
          <w:rFonts w:ascii="宋体" w:hAnsi="宋体" w:cs="宋体"/>
          <w:sz w:val="24"/>
          <w:highlight w:val="none"/>
        </w:rPr>
      </w:pPr>
      <w:r>
        <w:rPr>
          <w:rFonts w:ascii="宋体" w:hAnsi="宋体" w:cs="宋体"/>
          <w:sz w:val="24"/>
          <w:highlight w:val="none"/>
        </w:rPr>
      </w:r>
      <w:r/>
    </w:p>
    <w:p>
      <w:pPr>
        <w:pStyle w:val="909"/>
        <w:ind w:firstLine="3000"/>
        <w:spacing w:line="300" w:lineRule="auto"/>
        <w:rPr>
          <w:rFonts w:ascii="宋体" w:hAnsi="宋体" w:cs="宋体"/>
          <w:sz w:val="24"/>
          <w:highlight w:val="none"/>
        </w:rPr>
      </w:pPr>
      <w:r>
        <w:rPr>
          <w:rFonts w:hint="eastAsia" w:ascii="宋体" w:hAnsi="宋体" w:cs="宋体"/>
          <w:sz w:val="24"/>
          <w:highlight w:val="none"/>
        </w:rPr>
        <w:t xml:space="preserve"> 投标人：（盖电子签章）</w:t>
      </w:r>
      <w:r>
        <w:rPr>
          <w:rFonts w:ascii="宋体" w:hAnsi="宋体" w:cs="宋体"/>
          <w:sz w:val="24"/>
          <w:highlight w:val="none"/>
        </w:rPr>
      </w:r>
      <w:r/>
    </w:p>
    <w:p>
      <w:pPr>
        <w:pStyle w:val="909"/>
        <w:ind w:firstLine="480"/>
        <w:spacing w:line="300" w:lineRule="auto"/>
        <w:rPr>
          <w:rFonts w:ascii="宋体" w:hAnsi="宋体" w:cs="宋体"/>
          <w:sz w:val="24"/>
          <w:highlight w:val="none"/>
        </w:rPr>
      </w:pPr>
      <w:r>
        <w:rPr>
          <w:rFonts w:ascii="宋体" w:hAnsi="宋体" w:cs="宋体"/>
          <w:sz w:val="24"/>
          <w:highlight w:val="none"/>
        </w:rPr>
      </w:r>
      <w:r/>
    </w:p>
    <w:p>
      <w:pPr>
        <w:pStyle w:val="909"/>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bCs/>
          <w:sz w:val="24"/>
          <w:highlight w:val="none"/>
        </w:rPr>
      </w:pPr>
      <w:r>
        <w:rPr>
          <w:rFonts w:ascii="宋体" w:hAnsi="宋体"/>
          <w:bCs/>
          <w:sz w:val="24"/>
          <w:highlight w:val="none"/>
        </w:rPr>
      </w:r>
      <w:r/>
    </w:p>
    <w:p>
      <w:pPr>
        <w:pStyle w:val="972"/>
        <w:rPr>
          <w:rFonts w:ascii="宋体" w:hAnsi="宋体"/>
          <w:sz w:val="24"/>
          <w:highlight w:val="none"/>
        </w:rPr>
      </w:pPr>
      <w:r>
        <w:rPr>
          <w:rFonts w:ascii="宋体" w:hAnsi="宋体"/>
          <w:sz w:val="24"/>
          <w:highlight w:val="none"/>
        </w:rPr>
      </w:r>
      <w:r/>
    </w:p>
    <w:p>
      <w:pPr>
        <w:pStyle w:val="972"/>
        <w:rPr>
          <w:rFonts w:ascii="宋体" w:hAnsi="宋体"/>
          <w:sz w:val="24"/>
          <w:highlight w:val="none"/>
        </w:rPr>
      </w:pPr>
      <w:r>
        <w:rPr>
          <w:rFonts w:ascii="宋体" w:hAnsi="宋体"/>
          <w:sz w:val="24"/>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72"/>
        <w:rPr>
          <w:rFonts w:ascii="宋体" w:hAnsi="宋体"/>
          <w:sz w:val="24"/>
          <w:highlight w:val="none"/>
        </w:rPr>
      </w:pPr>
      <w:r>
        <w:rPr>
          <w:rFonts w:ascii="宋体" w:hAnsi="宋体"/>
          <w:sz w:val="24"/>
          <w:highlight w:val="none"/>
        </w:rPr>
      </w:r>
      <w:r/>
    </w:p>
    <w:p>
      <w:pPr>
        <w:pStyle w:val="972"/>
        <w:rPr>
          <w:rFonts w:ascii="宋体" w:hAnsi="宋体"/>
          <w:bCs/>
          <w:sz w:val="24"/>
          <w:highlight w:val="none"/>
        </w:rPr>
      </w:pPr>
      <w:r>
        <w:rPr>
          <w:rFonts w:ascii="宋体" w:hAnsi="宋体"/>
          <w:bCs/>
          <w:sz w:val="24"/>
          <w:highlight w:val="none"/>
        </w:rPr>
      </w:r>
      <w:r/>
    </w:p>
    <w:p>
      <w:pPr>
        <w:pStyle w:val="909"/>
        <w:jc w:val="center"/>
        <w:spacing w:line="360" w:lineRule="auto"/>
        <w:rPr>
          <w:rFonts w:ascii="宋体" w:hAnsi="宋体"/>
          <w:sz w:val="28"/>
          <w:szCs w:val="28"/>
          <w:highlight w:val="none"/>
        </w:rPr>
      </w:pPr>
      <w:r>
        <w:rPr>
          <w:rFonts w:hint="eastAsia" w:ascii="宋体" w:hAnsi="宋体" w:cs="宋体"/>
          <w:sz w:val="28"/>
          <w:szCs w:val="28"/>
          <w:highlight w:val="none"/>
        </w:rPr>
        <w:t xml:space="preserve">6、投标人参加政府采购活动前3年内在经营活动中没有重大违法记录的书面声明</w:t>
      </w:r>
      <w:r>
        <w:rPr>
          <w:rFonts w:ascii="宋体" w:hAnsi="宋体"/>
          <w:sz w:val="28"/>
          <w:szCs w:val="28"/>
          <w:highlight w:val="none"/>
        </w:rPr>
      </w:r>
      <w:r/>
    </w:p>
    <w:p>
      <w:pPr>
        <w:pStyle w:val="909"/>
        <w:jc w:val="center"/>
        <w:spacing w:line="360" w:lineRule="auto"/>
        <w:rPr>
          <w:rFonts w:ascii="宋体" w:hAnsi="宋体"/>
          <w:sz w:val="30"/>
          <w:szCs w:val="30"/>
          <w:highlight w:val="none"/>
        </w:rPr>
      </w:pPr>
      <w:r>
        <w:rPr>
          <w:rFonts w:ascii="宋体" w:hAnsi="宋体"/>
          <w:sz w:val="30"/>
          <w:szCs w:val="30"/>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徐州市铜山区人民医院医院管理系统（二期）</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JSZC-320312-JSZR-G2026-0018</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sz w:val="24"/>
          <w:highlight w:val="none"/>
        </w:rPr>
      </w:r>
      <w:r/>
    </w:p>
    <w:p>
      <w:pPr>
        <w:pStyle w:val="909"/>
        <w:ind w:firstLine="480"/>
        <w:jc w:val="left"/>
        <w:spacing w:before="100" w:beforeAutospacing="1" w:after="100" w:afterAutospacing="1" w:line="360" w:lineRule="auto"/>
        <w:widowControl/>
        <w:rPr>
          <w:rFonts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rPr>
          <w:rFonts w:ascii="宋体" w:hAnsi="宋体"/>
          <w:sz w:val="24"/>
          <w:highlight w:val="none"/>
        </w:rPr>
      </w:r>
      <w:r/>
    </w:p>
    <w:p>
      <w:pPr>
        <w:pStyle w:val="909"/>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09"/>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rPr>
          <w:rFonts w:ascii="宋体" w:hAnsi="宋体"/>
          <w:sz w:val="24"/>
          <w:highlight w:val="none"/>
        </w:rPr>
      </w:r>
      <w:r/>
    </w:p>
    <w:p>
      <w:pPr>
        <w:pStyle w:val="909"/>
        <w:ind w:firstLine="480"/>
        <w:spacing w:line="360" w:lineRule="auto"/>
        <w:rPr>
          <w:rFonts w:ascii="宋体" w:hAnsi="宋体"/>
          <w:sz w:val="24"/>
          <w:highlight w:val="none"/>
        </w:rPr>
      </w:pPr>
      <w:r>
        <w:rPr>
          <w:rFonts w:ascii="宋体" w:hAnsi="宋体"/>
          <w:sz w:val="24"/>
          <w:highlight w:val="none"/>
        </w:rPr>
      </w:r>
      <w:r/>
    </w:p>
    <w:p>
      <w:pPr>
        <w:pStyle w:val="909"/>
        <w:ind w:firstLine="3600"/>
        <w:spacing w:line="360" w:lineRule="auto"/>
        <w:rPr>
          <w:rFonts w:ascii="宋体" w:hAnsi="宋体"/>
          <w:sz w:val="24"/>
          <w:highlight w:val="none"/>
        </w:rPr>
      </w:pPr>
      <w:r>
        <w:rPr>
          <w:rFonts w:hint="eastAsia" w:ascii="宋体" w:hAnsi="宋体" w:cs="宋体"/>
          <w:sz w:val="24"/>
          <w:highlight w:val="none"/>
        </w:rPr>
        <w:t xml:space="preserve">日期：   年  月  日</w:t>
      </w:r>
      <w:r>
        <w:rPr>
          <w:rFonts w:ascii="宋体" w:hAnsi="宋体"/>
          <w:sz w:val="24"/>
          <w:highlight w:val="none"/>
        </w:rPr>
      </w:r>
      <w:r/>
    </w:p>
    <w:p>
      <w:pPr>
        <w:pStyle w:val="909"/>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09"/>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09"/>
        <w:rPr>
          <w:highlight w:val="none"/>
        </w:rPr>
      </w:pPr>
      <w:r>
        <w:rPr>
          <w:highlight w:val="none"/>
        </w:rPr>
      </w:r>
      <w:r/>
    </w:p>
    <w:p>
      <w:pPr>
        <w:pStyle w:val="909"/>
        <w:rPr>
          <w:highlight w:val="none"/>
        </w:rPr>
      </w:pPr>
      <w:r>
        <w:rPr>
          <w:highlight w:val="none"/>
        </w:rPr>
      </w:r>
      <w:r/>
    </w:p>
    <w:p>
      <w:pPr>
        <w:pStyle w:val="972"/>
        <w:ind w:left="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09"/>
        <w:jc w:val="center"/>
        <w:spacing w:line="360" w:lineRule="auto"/>
        <w:rPr>
          <w:rFonts w:ascii="宋体" w:hAnsi="宋体" w:cs="宋体"/>
          <w:sz w:val="24"/>
          <w:highlight w:val="none"/>
        </w:rPr>
      </w:pPr>
      <w:r>
        <w:rPr>
          <w:rFonts w:hint="eastAsia" w:ascii="宋体" w:hAnsi="宋体" w:cs="宋体"/>
          <w:sz w:val="28"/>
          <w:szCs w:val="28"/>
          <w:highlight w:val="none"/>
        </w:rPr>
        <w:t xml:space="preserve">7、偏离表</w:t>
      </w:r>
      <w:r>
        <w:rPr>
          <w:rFonts w:ascii="宋体" w:hAnsi="宋体" w:cs="宋体"/>
          <w:sz w:val="24"/>
          <w:highlight w:val="none"/>
        </w:rPr>
      </w:r>
      <w:r/>
    </w:p>
    <w:p>
      <w:pPr>
        <w:pStyle w:val="909"/>
        <w:spacing w:line="360" w:lineRule="auto"/>
        <w:rPr>
          <w:rFonts w:ascii="宋体" w:hAnsi="宋体" w:cs="宋体"/>
          <w:sz w:val="24"/>
          <w:highlight w:val="none"/>
        </w:rPr>
      </w:pPr>
      <w:r>
        <w:rPr>
          <w:rFonts w:ascii="宋体" w:hAnsi="宋体" w:cs="宋体"/>
          <w:sz w:val="24"/>
          <w:highlight w:val="none"/>
        </w:rPr>
      </w:r>
      <w:r/>
    </w:p>
    <w:p>
      <w:pPr>
        <w:pStyle w:val="909"/>
        <w:spacing w:line="360" w:lineRule="auto"/>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ascii="宋体" w:hAnsi="宋体" w:cs="宋体"/>
          <w:sz w:val="24"/>
          <w:highlight w:val="none"/>
          <w:u w:val="single"/>
        </w:rPr>
      </w:r>
      <w:r/>
    </w:p>
    <w:p>
      <w:pPr>
        <w:pStyle w:val="909"/>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ascii="宋体" w:hAnsi="宋体" w:eastAsia="宋体" w:cs="宋体"/>
          <w:sz w:val="24"/>
          <w:highlight w:val="none"/>
          <w:u w:val="single"/>
          <w:lang w:eastAsia="zh-CN"/>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909"/>
              <w:jc w:val="center"/>
              <w:rPr>
                <w:rFonts w:ascii="宋体" w:hAnsi="宋体" w:cs="宋体"/>
                <w:caps/>
                <w:sz w:val="24"/>
                <w:highlight w:val="none"/>
              </w:rPr>
            </w:pPr>
            <w:r>
              <w:rPr>
                <w:rFonts w:hint="eastAsia" w:ascii="宋体" w:hAnsi="宋体" w:cs="宋体"/>
                <w:caps/>
                <w:sz w:val="24"/>
                <w:highlight w:val="none"/>
              </w:rPr>
              <w:t xml:space="preserve">序号</w:t>
            </w:r>
            <w:r>
              <w:rPr>
                <w:rFonts w:ascii="宋体" w:hAnsi="宋体" w:cs="宋体"/>
                <w:caps/>
                <w:sz w:val="24"/>
                <w:highlight w:val="none"/>
              </w:rPr>
            </w:r>
            <w:r/>
          </w:p>
        </w:tc>
        <w:tc>
          <w:tcPr>
            <w:tcW w:w="1404" w:type="dxa"/>
            <w:vAlign w:val="center"/>
            <w:textDirection w:val="lrTb"/>
            <w:noWrap w:val="false"/>
          </w:tcPr>
          <w:p>
            <w:pPr>
              <w:pStyle w:val="909"/>
              <w:jc w:val="center"/>
              <w:rPr>
                <w:rFonts w:ascii="宋体" w:hAnsi="宋体" w:cs="宋体"/>
                <w:caps/>
                <w:sz w:val="24"/>
                <w:highlight w:val="none"/>
              </w:rPr>
            </w:pPr>
            <w:r>
              <w:rPr>
                <w:rFonts w:hint="eastAsia" w:ascii="宋体" w:hAnsi="宋体" w:cs="宋体"/>
                <w:caps/>
                <w:sz w:val="24"/>
                <w:highlight w:val="none"/>
              </w:rPr>
              <w:t xml:space="preserve">偏离内容</w:t>
            </w:r>
            <w:r>
              <w:rPr>
                <w:rFonts w:ascii="宋体" w:hAnsi="宋体" w:cs="宋体"/>
                <w:caps/>
                <w:sz w:val="24"/>
                <w:highlight w:val="none"/>
              </w:rPr>
            </w:r>
            <w:r/>
          </w:p>
        </w:tc>
        <w:tc>
          <w:tcPr>
            <w:tcW w:w="1476" w:type="dxa"/>
            <w:vAlign w:val="center"/>
            <w:textDirection w:val="lrTb"/>
            <w:noWrap w:val="false"/>
          </w:tcPr>
          <w:p>
            <w:pPr>
              <w:pStyle w:val="909"/>
              <w:jc w:val="center"/>
              <w:rPr>
                <w:rFonts w:ascii="宋体" w:hAnsi="宋体" w:cs="宋体"/>
                <w:caps/>
                <w:sz w:val="24"/>
                <w:highlight w:val="none"/>
              </w:rPr>
            </w:pPr>
            <w:r>
              <w:rPr>
                <w:rFonts w:hint="eastAsia" w:ascii="宋体" w:hAnsi="宋体" w:cs="宋体"/>
                <w:sz w:val="24"/>
                <w:highlight w:val="none"/>
              </w:rPr>
              <w:t xml:space="preserve">招标文件的要求</w:t>
            </w:r>
            <w:r>
              <w:rPr>
                <w:rFonts w:ascii="宋体" w:hAnsi="宋体" w:cs="宋体"/>
                <w:caps/>
                <w:sz w:val="24"/>
                <w:highlight w:val="none"/>
              </w:rPr>
            </w:r>
            <w:r/>
          </w:p>
        </w:tc>
        <w:tc>
          <w:tcPr>
            <w:tcW w:w="1620" w:type="dxa"/>
            <w:vAlign w:val="center"/>
            <w:textDirection w:val="lrTb"/>
            <w:noWrap w:val="false"/>
          </w:tcPr>
          <w:p>
            <w:pPr>
              <w:pStyle w:val="909"/>
              <w:jc w:val="center"/>
              <w:rPr>
                <w:rFonts w:ascii="宋体" w:hAnsi="宋体" w:cs="宋体"/>
                <w:caps/>
                <w:sz w:val="24"/>
                <w:highlight w:val="none"/>
              </w:rPr>
            </w:pPr>
            <w:r>
              <w:rPr>
                <w:rFonts w:hint="eastAsia" w:ascii="宋体" w:hAnsi="宋体" w:cs="宋体"/>
                <w:sz w:val="24"/>
                <w:highlight w:val="none"/>
              </w:rPr>
              <w:t xml:space="preserve">投标文件中的内容</w:t>
            </w:r>
            <w:r>
              <w:rPr>
                <w:rFonts w:ascii="宋体" w:hAnsi="宋体" w:cs="宋体"/>
                <w:caps/>
                <w:sz w:val="24"/>
                <w:highlight w:val="none"/>
              </w:rPr>
            </w:r>
            <w:r/>
          </w:p>
        </w:tc>
        <w:tc>
          <w:tcPr>
            <w:tcW w:w="1260" w:type="dxa"/>
            <w:vAlign w:val="center"/>
            <w:textDirection w:val="lrTb"/>
            <w:noWrap w:val="false"/>
          </w:tcPr>
          <w:p>
            <w:pPr>
              <w:pStyle w:val="909"/>
              <w:jc w:val="center"/>
              <w:rPr>
                <w:rFonts w:ascii="宋体" w:hAnsi="宋体" w:cs="宋体"/>
                <w:caps/>
                <w:sz w:val="24"/>
                <w:highlight w:val="none"/>
              </w:rPr>
            </w:pPr>
            <w:r>
              <w:rPr>
                <w:rFonts w:hint="eastAsia" w:ascii="宋体" w:hAnsi="宋体" w:cs="宋体"/>
                <w:caps/>
                <w:sz w:val="24"/>
                <w:highlight w:val="none"/>
              </w:rPr>
              <w:t xml:space="preserve">（正/负/无）偏离</w:t>
            </w:r>
            <w:r>
              <w:rPr>
                <w:rFonts w:ascii="宋体" w:hAnsi="宋体" w:cs="宋体"/>
                <w:caps/>
                <w:sz w:val="24"/>
                <w:highlight w:val="none"/>
              </w:rPr>
            </w:r>
            <w:r/>
          </w:p>
        </w:tc>
        <w:tc>
          <w:tcPr>
            <w:tcW w:w="2340" w:type="dxa"/>
            <w:vAlign w:val="center"/>
            <w:textDirection w:val="lrTb"/>
            <w:noWrap w:val="false"/>
          </w:tcPr>
          <w:p>
            <w:pPr>
              <w:pStyle w:val="909"/>
              <w:jc w:val="center"/>
              <w:rPr>
                <w:rFonts w:ascii="宋体" w:hAnsi="宋体" w:cs="宋体"/>
                <w:caps/>
                <w:sz w:val="24"/>
                <w:highlight w:val="none"/>
              </w:rPr>
            </w:pPr>
            <w:r>
              <w:rPr>
                <w:rFonts w:hint="eastAsia" w:ascii="宋体" w:hAnsi="宋体" w:cs="宋体"/>
                <w:caps/>
                <w:sz w:val="24"/>
                <w:highlight w:val="none"/>
              </w:rPr>
              <w:t xml:space="preserve">说明</w:t>
            </w:r>
            <w:r>
              <w:rPr>
                <w:rFonts w:ascii="宋体" w:hAnsi="宋体" w:cs="宋体"/>
                <w:caps/>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909"/>
              <w:rPr>
                <w:rFonts w:ascii="宋体" w:hAnsi="宋体" w:cs="宋体"/>
                <w:sz w:val="24"/>
                <w:highlight w:val="none"/>
              </w:rPr>
            </w:pPr>
            <w:r>
              <w:rPr>
                <w:rFonts w:ascii="宋体" w:hAnsi="宋体" w:cs="宋体"/>
                <w:sz w:val="24"/>
                <w:highlight w:val="none"/>
              </w:rPr>
            </w:r>
            <w:r/>
          </w:p>
        </w:tc>
      </w:tr>
    </w:tbl>
    <w:p>
      <w:pPr>
        <w:pStyle w:val="909"/>
        <w:rPr>
          <w:rFonts w:ascii="宋体" w:hAnsi="宋体" w:cs="宋体"/>
          <w:sz w:val="24"/>
          <w:highlight w:val="none"/>
          <w:u w:val="single"/>
        </w:rPr>
      </w:pPr>
      <w:r>
        <w:rPr>
          <w:rFonts w:ascii="宋体" w:hAnsi="宋体" w:cs="宋体"/>
          <w:sz w:val="24"/>
          <w:highlight w:val="none"/>
          <w:u w:val="single"/>
        </w:rPr>
      </w:r>
      <w:r/>
    </w:p>
    <w:p>
      <w:pPr>
        <w:pStyle w:val="909"/>
        <w:rPr>
          <w:rFonts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rPr>
          <w:rFonts w:ascii="宋体" w:hAnsi="宋体" w:cs="宋体"/>
          <w:sz w:val="24"/>
          <w:highlight w:val="none"/>
          <w:u w:val="single"/>
        </w:rPr>
      </w:r>
      <w:r/>
    </w:p>
    <w:p>
      <w:pPr>
        <w:pStyle w:val="909"/>
        <w:rPr>
          <w:rFonts w:ascii="宋体" w:hAnsi="宋体" w:cs="宋体"/>
          <w:sz w:val="24"/>
          <w:highlight w:val="none"/>
          <w:u w:val="single"/>
        </w:rPr>
      </w:pPr>
      <w:r>
        <w:rPr>
          <w:rFonts w:ascii="宋体" w:hAnsi="宋体" w:cs="宋体"/>
          <w:sz w:val="24"/>
          <w:highlight w:val="none"/>
          <w:u w:val="singl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ind w:firstLine="3000"/>
        <w:spacing w:line="300" w:lineRule="auto"/>
        <w:rPr>
          <w:rFonts w:ascii="宋体" w:hAnsi="宋体" w:cs="宋体"/>
          <w:sz w:val="24"/>
          <w:highlight w:val="none"/>
        </w:rPr>
      </w:pPr>
      <w:r>
        <w:rPr>
          <w:rFonts w:hint="eastAsia" w:ascii="宋体" w:hAnsi="宋体" w:cs="宋体"/>
          <w:sz w:val="24"/>
          <w:highlight w:val="none"/>
        </w:rPr>
        <w:t xml:space="preserve">投标人：（盖电子签章）</w:t>
      </w:r>
      <w:r>
        <w:rPr>
          <w:rFonts w:ascii="宋体" w:hAnsi="宋体" w:cs="宋体"/>
          <w:sz w:val="24"/>
          <w:highlight w:val="none"/>
        </w:rPr>
      </w:r>
      <w:r/>
    </w:p>
    <w:p>
      <w:pPr>
        <w:pStyle w:val="909"/>
        <w:ind w:firstLine="480"/>
        <w:spacing w:line="300" w:lineRule="auto"/>
        <w:rPr>
          <w:rFonts w:ascii="宋体" w:hAnsi="宋体" w:cs="宋体"/>
          <w:sz w:val="24"/>
          <w:highlight w:val="none"/>
        </w:rPr>
      </w:pPr>
      <w:r>
        <w:rPr>
          <w:rFonts w:ascii="宋体" w:hAnsi="宋体" w:cs="宋体"/>
          <w:sz w:val="24"/>
          <w:highlight w:val="none"/>
        </w:rPr>
      </w:r>
      <w:r/>
    </w:p>
    <w:p>
      <w:pPr>
        <w:pStyle w:val="909"/>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09"/>
        <w:jc w:val="center"/>
        <w:spacing w:line="360" w:lineRule="auto"/>
        <w:rPr>
          <w:rFonts w:ascii="宋体" w:hAnsi="宋体" w:cs="宋体"/>
          <w:bCs/>
          <w:sz w:val="28"/>
          <w:szCs w:val="28"/>
          <w:highlight w:val="none"/>
        </w:rPr>
      </w:pPr>
      <w:r>
        <w:rPr>
          <w:rFonts w:ascii="宋体" w:hAnsi="宋体" w:cs="宋体"/>
          <w:bCs/>
          <w:sz w:val="28"/>
          <w:szCs w:val="28"/>
          <w:highlight w:val="none"/>
        </w:rPr>
        <w:t xml:space="preserve">8</w:t>
      </w:r>
      <w:r>
        <w:rPr>
          <w:rFonts w:hint="eastAsia" w:ascii="宋体" w:hAnsi="宋体" w:cs="宋体"/>
          <w:bCs/>
          <w:sz w:val="28"/>
          <w:szCs w:val="28"/>
          <w:highlight w:val="none"/>
        </w:rPr>
        <w:t xml:space="preserve">、投标人业绩一览表</w:t>
      </w:r>
      <w:r>
        <w:rPr>
          <w:rFonts w:ascii="宋体" w:hAnsi="宋体" w:cs="宋体"/>
          <w:bCs/>
          <w:sz w:val="28"/>
          <w:szCs w:val="28"/>
          <w:highlight w:val="none"/>
        </w:rPr>
      </w:r>
      <w:r/>
    </w:p>
    <w:p>
      <w:pPr>
        <w:pStyle w:val="909"/>
        <w:spacing w:line="360" w:lineRule="auto"/>
        <w:widowControl/>
        <w:rPr>
          <w:rFonts w:ascii="宋体" w:hAnsi="宋体" w:cs="宋体"/>
          <w:sz w:val="24"/>
          <w:highlight w:val="none"/>
        </w:rPr>
      </w:pPr>
      <w:r>
        <w:rPr>
          <w:rFonts w:ascii="宋体" w:hAnsi="宋体" w:cs="宋体"/>
          <w:sz w:val="24"/>
          <w:highlight w:val="none"/>
        </w:rPr>
      </w:r>
      <w:r/>
    </w:p>
    <w:p>
      <w:pPr>
        <w:pStyle w:val="909"/>
        <w:spacing w:line="360" w:lineRule="auto"/>
        <w:widowControl/>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ascii="宋体" w:hAnsi="宋体" w:cs="宋体"/>
          <w:sz w:val="24"/>
          <w:highlight w:val="none"/>
          <w:u w:val="single"/>
        </w:rPr>
      </w:r>
      <w:r/>
    </w:p>
    <w:p>
      <w:pPr>
        <w:pStyle w:val="909"/>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ascii="宋体" w:hAnsi="宋体" w:eastAsia="宋体" w:cs="宋体"/>
          <w:sz w:val="24"/>
          <w:highlight w:val="none"/>
          <w:u w:val="single"/>
          <w:lang w:eastAsia="zh-CN"/>
        </w:rPr>
      </w:r>
      <w:r/>
    </w:p>
    <w:tbl>
      <w:tblPr>
        <w:tblW w:w="10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trHeight w:val="1012" w:hRule="exact"/>
        </w:trPr>
        <w:tc>
          <w:tcPr>
            <w:tcW w:w="661" w:type="dxa"/>
            <w:vAlign w:val="center"/>
            <w:textDirection w:val="lrTb"/>
            <w:noWrap w:val="false"/>
          </w:tcPr>
          <w:p>
            <w:pPr>
              <w:pStyle w:val="909"/>
              <w:jc w:val="center"/>
              <w:rPr>
                <w:b/>
                <w:bCs/>
                <w:sz w:val="24"/>
                <w:highlight w:val="none"/>
              </w:rPr>
            </w:pPr>
            <w:r>
              <w:rPr>
                <w:rFonts w:hint="eastAsia"/>
                <w:b/>
                <w:bCs/>
                <w:sz w:val="24"/>
                <w:highlight w:val="none"/>
              </w:rPr>
              <w:t xml:space="preserve">序号</w:t>
            </w:r>
            <w:r>
              <w:rPr>
                <w:b/>
                <w:bCs/>
                <w:sz w:val="24"/>
                <w:highlight w:val="none"/>
              </w:rPr>
            </w:r>
            <w:r/>
          </w:p>
        </w:tc>
        <w:tc>
          <w:tcPr>
            <w:tcW w:w="1849" w:type="dxa"/>
            <w:vAlign w:val="center"/>
            <w:textDirection w:val="lrTb"/>
            <w:noWrap w:val="false"/>
          </w:tcPr>
          <w:p>
            <w:pPr>
              <w:pStyle w:val="909"/>
              <w:jc w:val="center"/>
              <w:rPr>
                <w:b/>
                <w:bCs/>
                <w:sz w:val="24"/>
                <w:highlight w:val="none"/>
              </w:rPr>
            </w:pPr>
            <w:r>
              <w:rPr>
                <w:rFonts w:hint="eastAsia"/>
                <w:b/>
                <w:bCs/>
                <w:sz w:val="24"/>
                <w:highlight w:val="none"/>
              </w:rPr>
              <w:t xml:space="preserve">合同签订时间</w:t>
            </w:r>
            <w:r>
              <w:rPr>
                <w:b/>
                <w:bCs/>
                <w:sz w:val="24"/>
                <w:highlight w:val="none"/>
              </w:rPr>
            </w:r>
            <w:r/>
          </w:p>
        </w:tc>
        <w:tc>
          <w:tcPr>
            <w:tcW w:w="1800" w:type="dxa"/>
            <w:vAlign w:val="center"/>
            <w:textDirection w:val="lrTb"/>
            <w:noWrap w:val="false"/>
          </w:tcPr>
          <w:p>
            <w:pPr>
              <w:pStyle w:val="909"/>
              <w:jc w:val="center"/>
              <w:rPr>
                <w:b/>
                <w:bCs/>
                <w:sz w:val="24"/>
                <w:highlight w:val="none"/>
              </w:rPr>
            </w:pPr>
            <w:r>
              <w:rPr>
                <w:rFonts w:hint="eastAsia"/>
                <w:b/>
                <w:bCs/>
                <w:sz w:val="24"/>
                <w:highlight w:val="none"/>
              </w:rPr>
              <w:t xml:space="preserve">合同主要标的</w:t>
            </w:r>
            <w:r>
              <w:rPr>
                <w:b/>
                <w:bCs/>
                <w:sz w:val="24"/>
                <w:highlight w:val="none"/>
              </w:rPr>
            </w:r>
            <w:r/>
          </w:p>
        </w:tc>
        <w:tc>
          <w:tcPr>
            <w:tcW w:w="1200" w:type="dxa"/>
            <w:vAlign w:val="center"/>
            <w:textDirection w:val="lrTb"/>
            <w:noWrap w:val="false"/>
          </w:tcPr>
          <w:p>
            <w:pPr>
              <w:pStyle w:val="909"/>
              <w:jc w:val="center"/>
              <w:rPr>
                <w:b/>
                <w:bCs/>
                <w:sz w:val="24"/>
                <w:highlight w:val="none"/>
              </w:rPr>
            </w:pPr>
            <w:r>
              <w:rPr>
                <w:rFonts w:hint="eastAsia"/>
                <w:b/>
                <w:bCs/>
                <w:sz w:val="24"/>
                <w:highlight w:val="none"/>
              </w:rPr>
              <w:t xml:space="preserve">合同金额（元）</w:t>
            </w:r>
            <w:r>
              <w:rPr>
                <w:b/>
                <w:bCs/>
                <w:sz w:val="24"/>
                <w:highlight w:val="none"/>
              </w:rPr>
            </w:r>
            <w:r/>
          </w:p>
        </w:tc>
        <w:tc>
          <w:tcPr>
            <w:tcW w:w="2207" w:type="dxa"/>
            <w:vAlign w:val="center"/>
            <w:textDirection w:val="lrTb"/>
            <w:noWrap w:val="false"/>
          </w:tcPr>
          <w:p>
            <w:pPr>
              <w:pStyle w:val="909"/>
              <w:jc w:val="center"/>
              <w:rPr>
                <w:b/>
                <w:bCs/>
                <w:sz w:val="24"/>
                <w:highlight w:val="none"/>
              </w:rPr>
            </w:pPr>
            <w:r>
              <w:rPr>
                <w:rFonts w:hint="eastAsia"/>
                <w:b/>
                <w:bCs/>
                <w:sz w:val="24"/>
                <w:highlight w:val="none"/>
              </w:rPr>
              <w:t xml:space="preserve">买方（甲方）名称</w:t>
            </w:r>
            <w:r>
              <w:rPr>
                <w:b/>
                <w:bCs/>
                <w:sz w:val="24"/>
                <w:highlight w:val="none"/>
              </w:rPr>
            </w:r>
            <w:r/>
          </w:p>
        </w:tc>
        <w:tc>
          <w:tcPr>
            <w:tcW w:w="1752" w:type="dxa"/>
            <w:vAlign w:val="center"/>
            <w:textDirection w:val="lrTb"/>
            <w:noWrap w:val="false"/>
          </w:tcPr>
          <w:p>
            <w:pPr>
              <w:pStyle w:val="909"/>
              <w:jc w:val="center"/>
              <w:rPr>
                <w:b/>
                <w:bCs/>
                <w:sz w:val="24"/>
                <w:highlight w:val="none"/>
              </w:rPr>
            </w:pPr>
            <w:r>
              <w:rPr>
                <w:rFonts w:hint="eastAsia"/>
                <w:b/>
                <w:bCs/>
                <w:sz w:val="24"/>
                <w:highlight w:val="none"/>
              </w:rPr>
              <w:t xml:space="preserve">甲方联系人及电话</w:t>
            </w:r>
            <w:r>
              <w:rPr>
                <w:b/>
                <w:bCs/>
                <w:sz w:val="24"/>
                <w:highlight w:val="none"/>
              </w:rPr>
            </w:r>
            <w:r/>
          </w:p>
        </w:tc>
        <w:tc>
          <w:tcPr>
            <w:tcW w:w="791" w:type="dxa"/>
            <w:vAlign w:val="center"/>
            <w:textDirection w:val="lrTb"/>
            <w:noWrap w:val="false"/>
          </w:tcPr>
          <w:p>
            <w:pPr>
              <w:pStyle w:val="909"/>
              <w:jc w:val="center"/>
              <w:rPr>
                <w:b/>
                <w:bCs/>
                <w:sz w:val="24"/>
                <w:highlight w:val="none"/>
              </w:rPr>
            </w:pPr>
            <w:r>
              <w:rPr>
                <w:rFonts w:hint="eastAsia"/>
                <w:b/>
                <w:bCs/>
                <w:sz w:val="24"/>
                <w:highlight w:val="none"/>
              </w:rPr>
              <w:t xml:space="preserve">备注</w:t>
            </w:r>
            <w:r>
              <w:rPr>
                <w:b/>
                <w:bCs/>
                <w:sz w:val="24"/>
                <w:highlight w:val="none"/>
              </w:rPr>
            </w:r>
            <w:r/>
          </w:p>
        </w:tc>
      </w:tr>
      <w:tr>
        <w:trPr>
          <w:trHeight w:val="717" w:hRule="exact"/>
        </w:trPr>
        <w:tc>
          <w:tcPr>
            <w:tcW w:w="661" w:type="dxa"/>
            <w:vAlign w:val="center"/>
            <w:textDirection w:val="lrTb"/>
            <w:noWrap w:val="false"/>
          </w:tcPr>
          <w:p>
            <w:pPr>
              <w:pStyle w:val="909"/>
              <w:jc w:val="center"/>
              <w:rPr>
                <w:rFonts w:ascii="宋体" w:hAnsi="宋体" w:cs="宋体"/>
                <w:sz w:val="24"/>
                <w:highlight w:val="none"/>
              </w:rPr>
            </w:pPr>
            <w:r>
              <w:rPr>
                <w:rFonts w:hint="eastAsia" w:cs="宋体"/>
                <w:sz w:val="24"/>
                <w:highlight w:val="none"/>
              </w:rPr>
              <w:t xml:space="preserve">1</w:t>
            </w:r>
            <w:r>
              <w:rPr>
                <w:rFonts w:ascii="宋体" w:hAnsi="宋体" w:cs="宋体"/>
                <w:sz w:val="24"/>
                <w:highlight w:val="none"/>
              </w:rPr>
            </w:r>
            <w:r/>
          </w:p>
        </w:tc>
        <w:tc>
          <w:tcPr>
            <w:tcW w:w="1849"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09"/>
              <w:jc w:val="center"/>
              <w:rPr>
                <w:rFonts w:ascii="宋体" w:hAnsi="宋体" w:cs="宋体"/>
                <w:sz w:val="24"/>
                <w:highlight w:val="none"/>
              </w:rPr>
            </w:pPr>
            <w:r>
              <w:rPr>
                <w:rFonts w:hint="eastAsia" w:cs="宋体"/>
                <w:sz w:val="24"/>
                <w:highlight w:val="none"/>
              </w:rPr>
              <w:t xml:space="preserve">2</w:t>
            </w:r>
            <w:r>
              <w:rPr>
                <w:rFonts w:ascii="宋体" w:hAnsi="宋体" w:cs="宋体"/>
                <w:sz w:val="24"/>
                <w:highlight w:val="none"/>
              </w:rPr>
            </w:r>
            <w:r/>
          </w:p>
        </w:tc>
        <w:tc>
          <w:tcPr>
            <w:tcW w:w="1849"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09"/>
              <w:jc w:val="center"/>
              <w:rPr>
                <w:rFonts w:ascii="宋体" w:hAnsi="宋体" w:cs="宋体"/>
                <w:sz w:val="24"/>
                <w:highlight w:val="none"/>
              </w:rPr>
            </w:pPr>
            <w:r>
              <w:rPr>
                <w:rFonts w:hint="eastAsia" w:cs="宋体"/>
                <w:sz w:val="24"/>
                <w:highlight w:val="none"/>
              </w:rPr>
              <w:t xml:space="preserve">3</w:t>
            </w:r>
            <w:r>
              <w:rPr>
                <w:rFonts w:ascii="宋体" w:hAnsi="宋体" w:cs="宋体"/>
                <w:sz w:val="24"/>
                <w:highlight w:val="none"/>
              </w:rPr>
            </w:r>
            <w:r/>
          </w:p>
        </w:tc>
        <w:tc>
          <w:tcPr>
            <w:tcW w:w="1849"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09"/>
              <w:jc w:val="center"/>
              <w:rPr>
                <w:rFonts w:ascii="宋体" w:hAnsi="宋体" w:cs="宋体"/>
                <w:sz w:val="24"/>
                <w:highlight w:val="none"/>
              </w:rPr>
            </w:pPr>
            <w:r>
              <w:rPr>
                <w:rFonts w:hint="eastAsia" w:cs="宋体"/>
                <w:sz w:val="24"/>
                <w:highlight w:val="none"/>
              </w:rPr>
              <w:t xml:space="preserve">4</w:t>
            </w:r>
            <w:r>
              <w:rPr>
                <w:rFonts w:ascii="宋体" w:hAnsi="宋体" w:cs="宋体"/>
                <w:sz w:val="24"/>
                <w:highlight w:val="none"/>
              </w:rPr>
            </w:r>
            <w:r/>
          </w:p>
        </w:tc>
        <w:tc>
          <w:tcPr>
            <w:tcW w:w="1849"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909"/>
              <w:jc w:val="center"/>
              <w:rPr>
                <w:rFonts w:cs="宋体"/>
                <w:sz w:val="24"/>
                <w:highlight w:val="none"/>
              </w:rPr>
            </w:pPr>
            <w:r>
              <w:rPr>
                <w:rFonts w:hint="eastAsia" w:cs="宋体"/>
                <w:sz w:val="24"/>
                <w:highlight w:val="none"/>
              </w:rPr>
              <w:t xml:space="preserve">...</w:t>
            </w:r>
            <w:r>
              <w:rPr>
                <w:rFonts w:cs="宋体"/>
                <w:sz w:val="24"/>
                <w:highlight w:val="none"/>
              </w:rPr>
            </w:r>
            <w:r/>
          </w:p>
        </w:tc>
        <w:tc>
          <w:tcPr>
            <w:tcW w:w="1849"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909"/>
              <w:jc w:val="center"/>
              <w:rPr>
                <w:rFonts w:ascii="宋体" w:hAnsi="宋体" w:cs="宋体"/>
                <w:sz w:val="24"/>
                <w:highlight w:val="none"/>
              </w:rPr>
            </w:pPr>
            <w:r>
              <w:rPr>
                <w:rFonts w:ascii="宋体" w:hAnsi="宋体" w:cs="宋体"/>
                <w:sz w:val="24"/>
                <w:highlight w:val="none"/>
              </w:rPr>
            </w:r>
            <w:r/>
          </w:p>
        </w:tc>
      </w:tr>
    </w:tbl>
    <w:p>
      <w:pPr>
        <w:pStyle w:val="1084"/>
        <w:rPr>
          <w:rFonts w:ascii="宋体" w:hAnsi="宋体" w:cs="宋体"/>
          <w:sz w:val="24"/>
          <w:highlight w:val="none"/>
        </w:rPr>
      </w:pP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注：1、此表仅提供了表格样式，各投标人可参照上述格式自制表格，但应至少包含上述表格内条目。</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2、投标人应如实填写业绩信息，并附相关证明材料原件扫描件。</w:t>
      </w:r>
      <w:r>
        <w:rPr>
          <w:rFonts w:ascii="宋体" w:hAnsi="宋体" w:cs="宋体"/>
          <w:sz w:val="24"/>
          <w:highlight w:val="none"/>
        </w:rPr>
      </w:r>
      <w:r/>
    </w:p>
    <w:p>
      <w:pPr>
        <w:pStyle w:val="976"/>
        <w:rPr>
          <w:rFonts w:cs="宋体"/>
          <w:sz w:val="24"/>
          <w:szCs w:val="24"/>
          <w:highlight w:val="none"/>
        </w:rPr>
      </w:pPr>
      <w:r>
        <w:rPr>
          <w:rFonts w:cs="宋体"/>
          <w:sz w:val="24"/>
          <w:szCs w:val="24"/>
          <w:highlight w:val="none"/>
        </w:rPr>
      </w:r>
      <w:r/>
    </w:p>
    <w:p>
      <w:pPr>
        <w:pStyle w:val="976"/>
        <w:rPr>
          <w:rFonts w:cs="宋体"/>
          <w:sz w:val="24"/>
          <w:szCs w:val="24"/>
          <w:highlight w:val="none"/>
        </w:rPr>
      </w:pPr>
      <w:r>
        <w:rPr>
          <w:rFonts w:cs="宋体"/>
          <w:sz w:val="24"/>
          <w:szCs w:val="24"/>
          <w:highlight w:val="none"/>
        </w:rPr>
      </w:r>
      <w:r/>
    </w:p>
    <w:p>
      <w:pPr>
        <w:pStyle w:val="909"/>
        <w:ind w:firstLine="3000"/>
        <w:spacing w:line="300" w:lineRule="auto"/>
        <w:rPr>
          <w:rFonts w:ascii="宋体" w:hAnsi="宋体" w:cs="宋体"/>
          <w:sz w:val="24"/>
          <w:highlight w:val="none"/>
        </w:rPr>
      </w:pPr>
      <w:r>
        <w:rPr>
          <w:rFonts w:hint="eastAsia" w:ascii="宋体" w:hAnsi="宋体" w:cs="宋体"/>
          <w:sz w:val="24"/>
          <w:highlight w:val="none"/>
        </w:rPr>
        <w:t xml:space="preserve"> 投标人：（盖电子签章）</w:t>
      </w:r>
      <w:r>
        <w:rPr>
          <w:rFonts w:ascii="宋体" w:hAnsi="宋体" w:cs="宋体"/>
          <w:sz w:val="24"/>
          <w:highlight w:val="none"/>
        </w:rPr>
      </w:r>
      <w:r/>
    </w:p>
    <w:p>
      <w:pPr>
        <w:pStyle w:val="909"/>
        <w:ind w:firstLine="480"/>
        <w:spacing w:line="300" w:lineRule="auto"/>
        <w:rPr>
          <w:rFonts w:ascii="宋体" w:hAnsi="宋体" w:cs="宋体"/>
          <w:sz w:val="24"/>
          <w:highlight w:val="none"/>
        </w:rPr>
      </w:pPr>
      <w:r>
        <w:rPr>
          <w:rFonts w:ascii="宋体" w:hAnsi="宋体" w:cs="宋体"/>
          <w:sz w:val="24"/>
          <w:highlight w:val="none"/>
        </w:rPr>
      </w:r>
      <w:r/>
    </w:p>
    <w:p>
      <w:pPr>
        <w:pStyle w:val="909"/>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72"/>
        <w:ind w:left="0" w:firstLine="0"/>
        <w:rPr>
          <w:highlight w:val="none"/>
        </w:rPr>
      </w:pPr>
      <w:r>
        <w:rPr>
          <w:highlight w:val="none"/>
        </w:rPr>
      </w:r>
      <w:r/>
    </w:p>
    <w:p>
      <w:pPr>
        <w:pStyle w:val="909"/>
        <w:jc w:val="center"/>
        <w:spacing w:before="100" w:beforeAutospacing="1" w:after="100" w:afterAutospacing="1" w:line="360" w:lineRule="auto"/>
        <w:widowControl/>
        <w:rPr>
          <w:rFonts w:ascii="宋体" w:hAnsi="宋体" w:cs="宋体"/>
          <w:sz w:val="28"/>
          <w:szCs w:val="28"/>
          <w:highlight w:val="none"/>
        </w:rPr>
      </w:pPr>
      <w:r>
        <w:rPr>
          <w:rFonts w:ascii="宋体" w:hAnsi="宋体" w:cs="宋体"/>
          <w:sz w:val="28"/>
          <w:szCs w:val="28"/>
          <w:highlight w:val="none"/>
        </w:rPr>
        <w:t xml:space="preserve">9</w:t>
      </w:r>
      <w:r>
        <w:rPr>
          <w:rFonts w:hint="eastAsia" w:ascii="宋体" w:hAnsi="宋体" w:cs="宋体"/>
          <w:sz w:val="28"/>
          <w:szCs w:val="28"/>
          <w:highlight w:val="none"/>
        </w:rPr>
        <w:t xml:space="preserve">、中小企业声明函</w:t>
      </w:r>
      <w:r>
        <w:rPr>
          <w:rFonts w:ascii="宋体" w:hAnsi="宋体" w:cs="宋体"/>
          <w:sz w:val="28"/>
          <w:szCs w:val="28"/>
          <w:highlight w:val="none"/>
        </w:rPr>
      </w:r>
      <w:r/>
    </w:p>
    <w:p>
      <w:pPr>
        <w:pStyle w:val="909"/>
        <w:spacing w:line="360" w:lineRule="auto"/>
        <w:widowControl/>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ascii="宋体" w:hAnsi="宋体" w:cs="宋体"/>
          <w:sz w:val="24"/>
          <w:highlight w:val="none"/>
          <w:u w:val="single"/>
        </w:rPr>
      </w:r>
      <w:r/>
    </w:p>
    <w:p>
      <w:pPr>
        <w:pStyle w:val="909"/>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JSZC-320312-JSZR-G2026-0018</w:t>
      </w:r>
      <w:r>
        <w:rPr>
          <w:rFonts w:hint="eastAsia" w:ascii="宋体" w:hAnsi="宋体" w:eastAsia="宋体" w:cs="宋体"/>
          <w:sz w:val="24"/>
          <w:highlight w:val="none"/>
          <w:u w:val="single"/>
          <w:lang w:eastAsia="zh-CN"/>
        </w:rPr>
      </w:r>
      <w:r/>
    </w:p>
    <w:p>
      <w:pPr>
        <w:pStyle w:val="909"/>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rPr>
          <w:rFonts w:ascii="宋体" w:hAnsi="宋体" w:cs="宋体"/>
          <w:sz w:val="24"/>
          <w:highlight w:val="none"/>
        </w:rPr>
      </w:r>
      <w:r/>
    </w:p>
    <w:p>
      <w:pPr>
        <w:pStyle w:val="909"/>
        <w:jc w:val="left"/>
        <w:spacing w:line="480" w:lineRule="exact"/>
        <w:rPr>
          <w:rFonts w:ascii="宋体" w:hAnsi="宋体" w:cs="宋体"/>
          <w:sz w:val="24"/>
          <w:highlight w:val="none"/>
        </w:rPr>
      </w:pPr>
      <w:r>
        <w:rPr>
          <w:rFonts w:hint="eastAsia" w:ascii="宋体" w:hAnsi="宋体" w:cs="宋体"/>
          <w:sz w:val="24"/>
          <w:highlight w:val="none"/>
          <w:u w:val="single"/>
        </w:rPr>
        <w:t xml:space="preserve">1、（标的名称）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 营业收入为万元，资产总额为万元，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rPr>
          <w:rFonts w:ascii="宋体" w:hAnsi="宋体" w:cs="宋体"/>
          <w:sz w:val="24"/>
          <w:highlight w:val="none"/>
        </w:rPr>
      </w:r>
      <w:r/>
    </w:p>
    <w:p>
      <w:pPr>
        <w:pStyle w:val="909"/>
        <w:jc w:val="left"/>
        <w:spacing w:line="480" w:lineRule="exact"/>
        <w:rPr>
          <w:rFonts w:ascii="宋体" w:hAnsi="宋体" w:cs="宋体"/>
          <w:sz w:val="24"/>
          <w:highlight w:val="none"/>
        </w:rPr>
      </w:pPr>
      <w:r>
        <w:rPr>
          <w:rFonts w:hint="eastAsia" w:ascii="宋体" w:hAnsi="宋体" w:cs="宋体"/>
          <w:sz w:val="24"/>
          <w:highlight w:val="none"/>
          <w:u w:val="single"/>
        </w:rPr>
        <w:t xml:space="preserve">2、（标的名称）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 资产总额为万元，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rPr>
          <w:rFonts w:ascii="宋体" w:hAnsi="宋体" w:cs="宋体"/>
          <w:sz w:val="24"/>
          <w:highlight w:val="none"/>
        </w:rPr>
      </w:r>
      <w:r/>
    </w:p>
    <w:p>
      <w:pPr>
        <w:pStyle w:val="909"/>
        <w:ind w:firstLine="560"/>
        <w:jc w:val="left"/>
        <w:spacing w:line="480" w:lineRule="exact"/>
        <w:rPr>
          <w:rFonts w:ascii="宋体" w:hAnsi="宋体" w:cs="宋体"/>
          <w:b/>
          <w:bCs/>
          <w:sz w:val="36"/>
          <w:szCs w:val="36"/>
          <w:highlight w:val="none"/>
        </w:rPr>
      </w:pPr>
      <w:r>
        <w:rPr>
          <w:rFonts w:ascii="宋体" w:hAnsi="宋体" w:cs="宋体"/>
          <w:b/>
          <w:bCs/>
          <w:sz w:val="36"/>
          <w:szCs w:val="36"/>
          <w:highlight w:val="none"/>
        </w:rPr>
      </w:r>
      <w:r/>
    </w:p>
    <w:p>
      <w:pPr>
        <w:pStyle w:val="909"/>
        <w:ind w:firstLine="560"/>
        <w:jc w:val="left"/>
        <w:spacing w:line="480" w:lineRule="exact"/>
        <w:rPr>
          <w:rFonts w:ascii="宋体" w:hAnsi="宋体" w:cs="宋体"/>
          <w:b/>
          <w:bCs/>
          <w:sz w:val="36"/>
          <w:szCs w:val="36"/>
          <w:highlight w:val="none"/>
        </w:rPr>
      </w:pPr>
      <w:r>
        <w:rPr>
          <w:rFonts w:hint="eastAsia" w:ascii="宋体" w:hAnsi="宋体" w:cs="宋体"/>
          <w:b/>
          <w:bCs/>
          <w:sz w:val="36"/>
          <w:szCs w:val="36"/>
          <w:highlight w:val="none"/>
        </w:rPr>
        <w:t xml:space="preserve">……</w:t>
      </w:r>
      <w:r>
        <w:rPr>
          <w:rFonts w:ascii="宋体" w:hAnsi="宋体" w:cs="宋体"/>
          <w:b/>
          <w:bCs/>
          <w:sz w:val="36"/>
          <w:szCs w:val="36"/>
          <w:highlight w:val="none"/>
        </w:rPr>
      </w:r>
      <w:r/>
    </w:p>
    <w:p>
      <w:pPr>
        <w:pStyle w:val="909"/>
        <w:ind w:firstLine="560"/>
        <w:jc w:val="left"/>
        <w:spacing w:line="480" w:lineRule="exact"/>
        <w:rPr>
          <w:rFonts w:ascii="宋体" w:hAnsi="宋体" w:cs="宋体"/>
          <w:sz w:val="24"/>
          <w:highlight w:val="none"/>
        </w:rPr>
      </w:pPr>
      <w:r>
        <w:rPr>
          <w:rFonts w:ascii="宋体" w:hAnsi="宋体" w:cs="宋体"/>
          <w:sz w:val="24"/>
          <w:highlight w:val="none"/>
        </w:rPr>
      </w:r>
      <w:r/>
    </w:p>
    <w:p>
      <w:pPr>
        <w:pStyle w:val="909"/>
        <w:ind w:firstLine="560"/>
        <w:jc w:val="left"/>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ascii="宋体" w:hAnsi="宋体" w:cs="宋体"/>
          <w:sz w:val="24"/>
          <w:highlight w:val="none"/>
        </w:rPr>
      </w:r>
      <w:r/>
    </w:p>
    <w:p>
      <w:pPr>
        <w:pStyle w:val="909"/>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ascii="宋体" w:hAnsi="宋体" w:cs="宋体"/>
          <w:sz w:val="24"/>
          <w:highlight w:val="none"/>
        </w:rPr>
      </w:r>
      <w:r/>
    </w:p>
    <w:p>
      <w:pPr>
        <w:pStyle w:val="909"/>
        <w:ind w:firstLine="560"/>
        <w:spacing w:line="480" w:lineRule="exact"/>
        <w:rPr>
          <w:rFonts w:ascii="宋体" w:hAnsi="宋体" w:cs="宋体"/>
          <w:sz w:val="24"/>
          <w:highlight w:val="none"/>
        </w:rPr>
      </w:pPr>
      <w:r>
        <w:rPr>
          <w:rFonts w:ascii="宋体" w:hAnsi="宋体" w:cs="宋体"/>
          <w:sz w:val="24"/>
          <w:highlight w:val="none"/>
        </w:rPr>
      </w:r>
      <w:r/>
    </w:p>
    <w:p>
      <w:pPr>
        <w:pStyle w:val="909"/>
        <w:ind w:firstLine="560"/>
        <w:spacing w:line="480" w:lineRule="exact"/>
        <w:rPr>
          <w:rFonts w:ascii="宋体" w:hAnsi="宋体" w:cs="宋体"/>
          <w:sz w:val="24"/>
          <w:highlight w:val="none"/>
        </w:rPr>
      </w:pPr>
      <w:r>
        <w:rPr>
          <w:rFonts w:hint="eastAsia" w:ascii="宋体" w:hAnsi="宋体" w:cs="宋体"/>
          <w:sz w:val="24"/>
          <w:highlight w:val="none"/>
        </w:rPr>
        <w:t xml:space="preserve">企业名称（电子签章）：</w:t>
      </w:r>
      <w:r>
        <w:rPr>
          <w:rFonts w:ascii="宋体" w:hAnsi="宋体" w:cs="宋体"/>
          <w:sz w:val="24"/>
          <w:highlight w:val="none"/>
        </w:rPr>
      </w:r>
      <w:r/>
    </w:p>
    <w:p>
      <w:pPr>
        <w:pStyle w:val="909"/>
        <w:ind w:firstLine="560"/>
        <w:spacing w:line="480" w:lineRule="exact"/>
        <w:rPr>
          <w:rFonts w:ascii="宋体" w:hAnsi="宋体" w:cs="宋体"/>
          <w:sz w:val="24"/>
          <w:highlight w:val="none"/>
        </w:rPr>
      </w:pPr>
      <w:r>
        <w:rPr>
          <w:rFonts w:hint="eastAsia" w:ascii="宋体" w:hAnsi="宋体" w:cs="宋体"/>
          <w:sz w:val="24"/>
          <w:highlight w:val="none"/>
        </w:rPr>
        <w:t xml:space="preserve">              日期：</w:t>
      </w:r>
      <w:r>
        <w:rPr>
          <w:rFonts w:ascii="宋体" w:hAnsi="宋体" w:cs="宋体"/>
          <w:sz w:val="24"/>
          <w:highlight w:val="none"/>
        </w:rPr>
      </w:r>
      <w:r/>
    </w:p>
    <w:p>
      <w:pPr>
        <w:pStyle w:val="909"/>
        <w:ind w:firstLine="560"/>
        <w:spacing w:line="480" w:lineRule="exact"/>
        <w:rPr>
          <w:rFonts w:ascii="宋体" w:hAnsi="宋体" w:cs="宋体"/>
          <w:sz w:val="24"/>
          <w:highlight w:val="none"/>
        </w:rPr>
      </w:pPr>
      <w:r>
        <w:rPr>
          <w:rFonts w:ascii="宋体" w:hAnsi="宋体" w:cs="宋体"/>
          <w:sz w:val="24"/>
          <w:highlight w:val="none"/>
        </w:rPr>
      </w:r>
      <w:r/>
    </w:p>
    <w:p>
      <w:pPr>
        <w:pStyle w:val="909"/>
        <w:ind w:firstLine="562"/>
        <w:spacing w:line="480" w:lineRule="exact"/>
        <w:rPr>
          <w:rFonts w:ascii="宋体" w:hAnsi="宋体" w:cs="宋体"/>
          <w:b/>
          <w:sz w:val="24"/>
          <w:highlight w:val="none"/>
        </w:rPr>
      </w:pPr>
      <w:r>
        <w:rPr>
          <w:rFonts w:hint="eastAsia" w:ascii="宋体" w:hAnsi="宋体" w:cs="宋体"/>
          <w:b/>
          <w:sz w:val="24"/>
          <w:highlight w:val="none"/>
        </w:rPr>
        <w:t xml:space="preserve">备注：本采购项目所属行业为“软件和信息技术服务业”。</w:t>
      </w:r>
      <w:r>
        <w:rPr>
          <w:rFonts w:ascii="宋体" w:hAnsi="宋体" w:cs="宋体"/>
          <w:b/>
          <w:sz w:val="24"/>
          <w:highlight w:val="none"/>
        </w:rPr>
      </w:r>
      <w:r/>
    </w:p>
    <w:p>
      <w:pPr>
        <w:pStyle w:val="909"/>
        <w:ind w:firstLine="562"/>
        <w:spacing w:line="480" w:lineRule="exact"/>
        <w:rPr>
          <w:rFonts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rPr>
          <w:rFonts w:ascii="宋体" w:hAnsi="宋体" w:cs="宋体"/>
          <w:sz w:val="24"/>
          <w:highlight w:val="none"/>
        </w:rPr>
      </w:r>
      <w:r/>
    </w:p>
    <w:p>
      <w:pPr>
        <w:pStyle w:val="909"/>
        <w:ind w:firstLine="562"/>
        <w:spacing w:line="480" w:lineRule="exact"/>
        <w:rPr>
          <w:rFonts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rPr>
          <w:rFonts w:ascii="宋体" w:hAnsi="宋体" w:cs="宋体"/>
          <w:b/>
          <w:sz w:val="24"/>
          <w:highlight w:val="none"/>
        </w:rPr>
      </w:r>
      <w:r/>
    </w:p>
    <w:p>
      <w:pPr>
        <w:pStyle w:val="1061"/>
        <w:rPr>
          <w:highlight w:val="none"/>
        </w:rPr>
      </w:pPr>
      <w:r>
        <w:rPr>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24"/>
          <w:highlight w:val="none"/>
        </w:rPr>
      </w:pPr>
      <w:r>
        <w:rPr>
          <w:rFonts w:ascii="宋体" w:hAnsi="宋体" w:cs="宋体"/>
          <w:sz w:val="24"/>
          <w:highlight w:val="none"/>
        </w:rPr>
      </w:r>
      <w:r/>
    </w:p>
    <w:p>
      <w:pPr>
        <w:pStyle w:val="909"/>
        <w:rPr>
          <w:rFonts w:ascii="宋体" w:hAnsi="宋体" w:cs="宋体"/>
          <w:sz w:val="30"/>
          <w:szCs w:val="30"/>
          <w:highlight w:val="none"/>
        </w:rPr>
      </w:pPr>
      <w:r>
        <w:rPr>
          <w:rFonts w:hint="eastAsia" w:ascii="宋体" w:hAnsi="宋体" w:cs="宋体"/>
          <w:sz w:val="24"/>
          <w:highlight w:val="none"/>
        </w:rPr>
        <w:t xml:space="preserve">附件：</w:t>
      </w:r>
      <w:r>
        <w:rPr>
          <w:rFonts w:ascii="宋体" w:hAnsi="宋体" w:cs="宋体"/>
          <w:sz w:val="30"/>
          <w:szCs w:val="30"/>
          <w:highlight w:val="none"/>
        </w:rPr>
      </w:r>
      <w:r/>
    </w:p>
    <w:p>
      <w:pPr>
        <w:pStyle w:val="1084"/>
        <w:rPr>
          <w:rFonts w:ascii="宋体" w:hAnsi="宋体" w:cs="宋体"/>
          <w:highlight w:val="none"/>
        </w:rPr>
      </w:pPr>
      <w:r>
        <w:rPr>
          <w:rFonts w:ascii="宋体" w:hAnsi="宋体" w:cs="宋体"/>
          <w:sz w:val="24"/>
          <w:highlight w:val="none"/>
        </w:rPr>
        <mc:AlternateContent>
          <mc:Choice Requires="wpg">
            <w:drawing>
              <wp:inline xmlns:wp="http://schemas.openxmlformats.org/drawingml/2006/wordprocessingDrawing" distT="0" distB="0" distL="0" distR="0">
                <wp:extent cx="3657600" cy="759333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030" r="0" b="0"/>
                        <a:stretch/>
                      </pic:blipFill>
                      <pic:spPr bwMode="auto">
                        <a:xfrm>
                          <a:off x="0" y="0"/>
                          <a:ext cx="3657600" cy="759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8.0pt;height:597.9pt;mso-wrap-distance-left:0.0pt;mso-wrap-distance-top:0.0pt;mso-wrap-distance-right:0.0pt;mso-wrap-distance-bottom:0.0pt;" stroked="f">
                <v:path textboxrect="0,0,0,0"/>
                <v:imagedata r:id="rId21" o:title=""/>
              </v:shape>
            </w:pict>
          </mc:Fallback>
        </mc:AlternateContent>
      </w:r>
      <w:r>
        <w:rPr>
          <w:rFonts w:ascii="宋体" w:hAnsi="宋体" w:cs="宋体"/>
          <w:highlight w:val="none"/>
        </w:rPr>
      </w:r>
      <w:r/>
    </w:p>
    <w:p>
      <w:pPr>
        <w:pStyle w:val="976"/>
        <w:rPr>
          <w:rFonts w:cs="宋体"/>
          <w:highlight w:val="none"/>
        </w:rPr>
      </w:pPr>
      <w:r>
        <w:rPr>
          <w:rFonts w:cs="宋体"/>
          <w:highlight w:val="none"/>
        </w:rPr>
      </w:r>
      <w:r/>
    </w:p>
    <w:p>
      <w:pPr>
        <w:pStyle w:val="909"/>
        <w:rPr>
          <w:rFonts w:ascii="宋体" w:hAnsi="宋体" w:cs="宋体"/>
          <w:highlight w:val="none"/>
        </w:rPr>
      </w:pPr>
      <w:r>
        <w:rPr>
          <w:rFonts w:ascii="宋体" w:hAnsi="宋体" w:cs="宋体"/>
          <w:highlight w:val="none"/>
        </w:rPr>
      </w:r>
      <w:r/>
    </w:p>
    <w:p>
      <w:pPr>
        <w:pStyle w:val="909"/>
        <w:rPr>
          <w:rFonts w:ascii="宋体" w:hAnsi="宋体" w:cs="宋体"/>
          <w:highlight w:val="none"/>
        </w:rPr>
      </w:pPr>
      <w:r>
        <w:rPr>
          <w:rFonts w:ascii="宋体" w:hAnsi="宋体" w:cs="宋体"/>
          <w:highlight w:val="none"/>
        </w:rPr>
      </w:r>
      <w:r/>
    </w:p>
    <w:p>
      <w:pPr>
        <w:pStyle w:val="971"/>
        <w:rPr>
          <w:highlight w:val="none"/>
        </w:rPr>
      </w:pPr>
      <w:r>
        <w:rPr>
          <w:highlight w:val="none"/>
        </w:rPr>
      </w:r>
      <w:r/>
    </w:p>
    <w:p>
      <w:pPr>
        <w:pStyle w:val="971"/>
        <w:rPr>
          <w:highlight w:val="none"/>
        </w:rPr>
      </w:pPr>
      <w:r>
        <w:rPr>
          <w:highlight w:val="none"/>
        </w:rPr>
      </w:r>
      <w:r/>
    </w:p>
    <w:p>
      <w:pPr>
        <w:pStyle w:val="909"/>
        <w:jc w:val="center"/>
        <w:spacing w:line="360" w:lineRule="auto"/>
        <w:rPr>
          <w:rFonts w:ascii="宋体" w:hAnsi="宋体"/>
          <w:b/>
          <w:spacing w:val="6"/>
          <w:sz w:val="32"/>
          <w:szCs w:val="32"/>
          <w:highlight w:val="none"/>
        </w:rPr>
      </w:pPr>
      <w:r>
        <w:rPr>
          <w:rFonts w:hint="eastAsia" w:ascii="宋体" w:hAnsi="宋体" w:cs="宋体"/>
          <w:sz w:val="28"/>
          <w:szCs w:val="28"/>
          <w:highlight w:val="none"/>
        </w:rPr>
        <w:t xml:space="preserve">10、残疾人福利性单位声明函</w:t>
      </w:r>
      <w:r>
        <w:rPr>
          <w:rFonts w:ascii="宋体" w:hAnsi="宋体"/>
          <w:b/>
          <w:spacing w:val="6"/>
          <w:sz w:val="32"/>
          <w:szCs w:val="32"/>
          <w:highlight w:val="none"/>
        </w:rPr>
      </w:r>
      <w:r/>
    </w:p>
    <w:p>
      <w:pPr>
        <w:pStyle w:val="909"/>
        <w:jc w:val="left"/>
        <w:spacing w:line="360" w:lineRule="auto"/>
        <w:widowControl/>
        <w:rPr>
          <w:rFonts w:ascii="宋体" w:hAnsi="宋体" w:cs="宋体"/>
          <w:sz w:val="24"/>
          <w:highlight w:val="none"/>
        </w:rPr>
      </w:pPr>
      <w:r>
        <w:rPr>
          <w:rFonts w:ascii="宋体" w:hAnsi="宋体" w:cs="宋体"/>
          <w:sz w:val="24"/>
          <w:highlight w:val="none"/>
        </w:rPr>
      </w:r>
      <w:r/>
    </w:p>
    <w:p>
      <w:pPr>
        <w:pStyle w:val="909"/>
        <w:jc w:val="left"/>
        <w:spacing w:line="360" w:lineRule="auto"/>
        <w:widowControl/>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徐州市铜山区人民医院医院管理系统（二期）</w:t>
      </w:r>
      <w:r>
        <w:rPr>
          <w:rFonts w:ascii="宋体" w:hAnsi="宋体" w:cs="宋体"/>
          <w:sz w:val="24"/>
          <w:highlight w:val="none"/>
          <w:u w:val="single"/>
        </w:rPr>
      </w:r>
      <w:r/>
    </w:p>
    <w:p>
      <w:pPr>
        <w:pStyle w:val="909"/>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JSZC-320312-JSZR-G2026-0018</w:t>
      </w:r>
      <w:r>
        <w:rPr>
          <w:rFonts w:hint="eastAsia" w:ascii="宋体" w:hAnsi="宋体" w:eastAsia="宋体" w:cs="宋体"/>
          <w:sz w:val="24"/>
          <w:highlight w:val="none"/>
          <w:u w:val="single"/>
          <w:lang w:eastAsia="zh-CN"/>
        </w:rPr>
      </w:r>
      <w:r/>
    </w:p>
    <w:p>
      <w:pPr>
        <w:pStyle w:val="909"/>
        <w:ind w:firstLine="504"/>
        <w:jc w:val="left"/>
        <w:spacing w:line="360" w:lineRule="auto"/>
        <w:rPr>
          <w:rFonts w:ascii="宋体" w:hAnsi="宋体" w:cs="宋体"/>
          <w:spacing w:val="6"/>
          <w:sz w:val="24"/>
          <w:highlight w:val="none"/>
        </w:rPr>
      </w:pPr>
      <w:r>
        <w:rPr>
          <w:rFonts w:ascii="宋体" w:hAnsi="宋体" w:cs="宋体"/>
          <w:spacing w:val="6"/>
          <w:sz w:val="24"/>
          <w:highlight w:val="none"/>
        </w:rPr>
      </w:r>
      <w:r/>
    </w:p>
    <w:p>
      <w:pPr>
        <w:pStyle w:val="909"/>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909"/>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909"/>
        <w:ind w:firstLine="504"/>
        <w:spacing w:line="360" w:lineRule="auto"/>
        <w:rPr>
          <w:rFonts w:ascii="宋体" w:hAnsi="宋体"/>
          <w:spacing w:val="6"/>
          <w:sz w:val="24"/>
          <w:highlight w:val="none"/>
        </w:rPr>
      </w:pPr>
      <w:r>
        <w:rPr>
          <w:rFonts w:ascii="宋体" w:hAnsi="宋体"/>
          <w:spacing w:val="6"/>
          <w:sz w:val="24"/>
          <w:highlight w:val="none"/>
        </w:rPr>
      </w:r>
      <w:r/>
    </w:p>
    <w:p>
      <w:pPr>
        <w:pStyle w:val="909"/>
        <w:ind w:firstLine="504"/>
        <w:spacing w:line="360" w:lineRule="auto"/>
        <w:rPr>
          <w:rFonts w:ascii="宋体" w:hAnsi="宋体"/>
          <w:spacing w:val="6"/>
          <w:sz w:val="24"/>
          <w:highlight w:val="none"/>
        </w:rPr>
      </w:pPr>
      <w:r>
        <w:rPr>
          <w:rFonts w:ascii="宋体" w:hAnsi="宋体"/>
          <w:spacing w:val="6"/>
          <w:sz w:val="24"/>
          <w:highlight w:val="none"/>
        </w:rPr>
      </w:r>
      <w:r/>
    </w:p>
    <w:p>
      <w:pPr>
        <w:pStyle w:val="909"/>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rPr>
          <w:rFonts w:ascii="宋体" w:hAnsi="宋体"/>
          <w:sz w:val="24"/>
          <w:highlight w:val="none"/>
        </w:rPr>
      </w:r>
      <w:r/>
    </w:p>
    <w:p>
      <w:pPr>
        <w:pStyle w:val="909"/>
        <w:ind w:firstLine="480"/>
        <w:spacing w:line="360" w:lineRule="auto"/>
        <w:rPr>
          <w:rFonts w:ascii="宋体" w:hAnsi="宋体"/>
          <w:sz w:val="24"/>
          <w:highlight w:val="none"/>
        </w:rPr>
      </w:pPr>
      <w:r>
        <w:rPr>
          <w:rFonts w:ascii="宋体" w:hAnsi="宋体"/>
          <w:sz w:val="24"/>
          <w:highlight w:val="none"/>
        </w:rPr>
      </w:r>
      <w:r/>
    </w:p>
    <w:p>
      <w:pPr>
        <w:pStyle w:val="909"/>
        <w:ind w:firstLine="360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480"/>
        <w:jc w:val="left"/>
        <w:widowControl/>
        <w:rPr>
          <w:rFonts w:ascii="宋体" w:hAnsi="宋体" w:cs="宋体"/>
          <w:sz w:val="24"/>
          <w:highlight w:val="none"/>
        </w:rPr>
      </w:pPr>
      <w:r>
        <w:rPr>
          <w:rFonts w:ascii="宋体" w:hAnsi="宋体" w:cs="宋体"/>
          <w:sz w:val="24"/>
          <w:highlight w:val="none"/>
        </w:rPr>
      </w:r>
      <w:r/>
    </w:p>
    <w:p>
      <w:pPr>
        <w:pStyle w:val="909"/>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09"/>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72"/>
        <w:rPr>
          <w:rFonts w:ascii="宋体" w:hAnsi="宋体" w:eastAsia="宋体" w:cs="宋体"/>
          <w:sz w:val="30"/>
          <w:szCs w:val="30"/>
          <w:highlight w:val="none"/>
        </w:rPr>
      </w:pPr>
      <w:r>
        <w:rPr>
          <w:rFonts w:ascii="宋体" w:hAnsi="宋体" w:eastAsia="宋体" w:cs="宋体"/>
          <w:sz w:val="30"/>
          <w:szCs w:val="30"/>
          <w:highlight w:val="none"/>
        </w:rPr>
      </w:r>
      <w:r/>
    </w:p>
    <w:p>
      <w:pPr>
        <w:pStyle w:val="930"/>
        <w:ind w:firstLine="0"/>
        <w:jc w:val="center"/>
        <w:rPr>
          <w:rFonts w:hAnsi="宋体" w:cs="宋体"/>
          <w:sz w:val="24"/>
          <w:szCs w:val="24"/>
          <w:highlight w:val="none"/>
        </w:rPr>
      </w:pPr>
      <w:r>
        <w:rPr>
          <w:rFonts w:hAnsi="宋体" w:cs="宋体"/>
          <w:sz w:val="28"/>
          <w:szCs w:val="28"/>
          <w:highlight w:val="none"/>
        </w:rPr>
        <w:t xml:space="preserve">11、预付款保函支付条款</w:t>
      </w:r>
      <w:r>
        <w:rPr>
          <w:rFonts w:hAnsi="宋体" w:cs="宋体"/>
          <w:sz w:val="24"/>
          <w:szCs w:val="24"/>
          <w:highlight w:val="none"/>
        </w:rPr>
      </w:r>
      <w:r/>
    </w:p>
    <w:p>
      <w:pPr>
        <w:pStyle w:val="909"/>
        <w:ind w:firstLine="482"/>
        <w:spacing w:line="360" w:lineRule="auto"/>
        <w:rPr>
          <w:rFonts w:ascii="宋体" w:hAnsi="宋体" w:cs="宋体"/>
          <w:b/>
          <w:bCs/>
          <w:sz w:val="24"/>
          <w:highlight w:val="none"/>
        </w:rPr>
      </w:pPr>
      <w:r>
        <w:rPr>
          <w:rFonts w:ascii="宋体" w:hAnsi="宋体" w:cs="宋体"/>
          <w:b/>
          <w:bCs/>
          <w:sz w:val="24"/>
          <w:highlight w:val="none"/>
        </w:rPr>
      </w:r>
      <w:r/>
    </w:p>
    <w:p>
      <w:pPr>
        <w:pStyle w:val="909"/>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付款条件一：提交预付款保函的</w:t>
      </w:r>
      <w:r>
        <w:rPr>
          <w:rFonts w:ascii="宋体" w:hAnsi="宋体" w:cs="宋体"/>
          <w:b/>
          <w:bCs/>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（1）合同签订且乙方向甲方出具预付款保函后个工作日内，甲方应支付合同价款的百分之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%）小写￥大写：人民币。</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%）小写￥大写：人民币 。</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p>
      <w:pPr>
        <w:pStyle w:val="909"/>
        <w:ind w:firstLine="482"/>
        <w:spacing w:line="360" w:lineRule="auto"/>
        <w:rPr>
          <w:rFonts w:ascii="宋体" w:hAnsi="宋体" w:cs="宋体"/>
          <w:b/>
          <w:bCs/>
          <w:sz w:val="24"/>
          <w:highlight w:val="none"/>
        </w:rPr>
      </w:pPr>
      <w:r>
        <w:rPr>
          <w:rFonts w:ascii="宋体" w:hAnsi="宋体" w:cs="宋体"/>
          <w:b/>
          <w:bCs/>
          <w:sz w:val="24"/>
          <w:highlight w:val="none"/>
        </w:rPr>
      </w:r>
      <w:r/>
    </w:p>
    <w:p>
      <w:pPr>
        <w:pStyle w:val="909"/>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付款条件二：不提交预付款保函的</w:t>
      </w:r>
      <w:r>
        <w:rPr>
          <w:rFonts w:ascii="宋体" w:hAnsi="宋体" w:cs="宋体"/>
          <w:b/>
          <w:bCs/>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（1）合同签订后个工作日内，甲方应支付合同价款的百分之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%）小写￥大写：人民币。</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%）小写￥大写：人民币 。</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ascii="宋体" w:hAnsi="宋体" w:cs="宋体"/>
          <w:sz w:val="24"/>
          <w:highlight w:val="none"/>
        </w:rPr>
      </w:r>
      <w:r/>
    </w:p>
    <w:p>
      <w:pPr>
        <w:pStyle w:val="909"/>
        <w:ind w:firstLine="480"/>
        <w:spacing w:line="360" w:lineRule="auto"/>
        <w:rPr>
          <w:rFonts w:ascii="宋体" w:hAnsi="宋体" w:cs="宋体"/>
          <w:sz w:val="24"/>
          <w:highlight w:val="none"/>
        </w:rPr>
      </w:pPr>
      <w:r>
        <w:rPr>
          <w:rFonts w:ascii="宋体" w:hAnsi="宋体" w:cs="宋体"/>
          <w:sz w:val="24"/>
          <w:highlight w:val="none"/>
        </w:rPr>
      </w:r>
      <w:r/>
    </w:p>
    <w:p>
      <w:pPr>
        <w:pStyle w:val="909"/>
        <w:jc w:val="left"/>
        <w:spacing w:line="360" w:lineRule="auto"/>
        <w:rPr>
          <w:rFonts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rPr>
          <w:rFonts w:ascii="宋体" w:hAnsi="宋体" w:cs="宋体"/>
          <w:sz w:val="24"/>
          <w:highlight w:val="none"/>
        </w:rPr>
      </w:r>
      <w:r/>
    </w:p>
    <w:p>
      <w:pPr>
        <w:pStyle w:val="909"/>
        <w:numPr>
          <w:ilvl w:val="0"/>
          <w:numId w:val="22"/>
        </w:numPr>
        <w:ind w:firstLine="480"/>
        <w:jc w:val="left"/>
        <w:spacing w:line="360" w:lineRule="auto"/>
        <w:rPr>
          <w:highlight w:val="none"/>
        </w:rPr>
      </w:pPr>
      <w:r>
        <w:rPr>
          <w:rFonts w:hint="eastAsia" w:ascii="宋体" w:hAnsi="宋体" w:cs="宋体"/>
          <w:sz w:val="24"/>
          <w:highlight w:val="none"/>
        </w:rPr>
        <w:t xml:space="preserve">付款条件二中，预付款比例设定应符合《关于做好政府采购支持企业发展有关事项的通知》（苏财购（2020）52号）要求。</w:t>
      </w:r>
      <w:r>
        <w:rPr>
          <w:highlight w:val="none"/>
        </w:rPr>
      </w:r>
      <w:r/>
    </w:p>
    <w:p>
      <w:pPr>
        <w:pStyle w:val="972"/>
        <w:ind w:left="0" w:firstLine="0"/>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32"/>
        <w:rPr>
          <w:highlight w:val="none"/>
        </w:rPr>
      </w:pPr>
      <w:r>
        <w:rPr>
          <w:highlight w:val="none"/>
        </w:rPr>
      </w:r>
      <w:r/>
    </w:p>
    <w:p>
      <w:pPr>
        <w:pStyle w:val="933"/>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09"/>
        <w:rPr>
          <w:highlight w:val="none"/>
        </w:rPr>
      </w:pPr>
      <w:r>
        <w:rPr>
          <w:highlight w:val="none"/>
        </w:rPr>
      </w:r>
      <w:r/>
    </w:p>
    <w:p>
      <w:pPr>
        <w:pStyle w:val="972"/>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12、关于符合本国产品标准的声明函</w:t>
      </w:r>
      <w:r>
        <w:rPr>
          <w:rFonts w:hint="eastAsia" w:ascii="宋体" w:hAnsi="宋体" w:eastAsia="宋体" w:cs="宋体"/>
          <w:highlight w:val="none"/>
          <w:lang w:val="en-US" w:eastAsia="zh-CN"/>
        </w:rPr>
      </w:r>
      <w:r/>
    </w:p>
    <w:p>
      <w:pPr>
        <w:pStyle w:val="97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4"/>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60"/>
          <w:rFonts w:hint="eastAsia" w:ascii="宋体" w:hAnsi="宋体" w:eastAsia="宋体" w:cs="宋体"/>
          <w:i w:val="0"/>
          <w:iCs w:val="0"/>
          <w:caps w:val="0"/>
          <w:color w:val="000000"/>
          <w:spacing w:val="0"/>
          <w:sz w:val="24"/>
          <w:szCs w:val="24"/>
          <w:highlight w:val="none"/>
          <w:shd w:val="clear" w:color="auto" w:fill="ffffff"/>
          <w:vertAlign w:val="baseline"/>
        </w:rPr>
        <w:t xml:space="preserve">符合本国产品标准的声明函</w:t>
      </w:r>
      <w:r>
        <w:rPr>
          <w:rFonts w:hint="eastAsia" w:ascii="宋体" w:hAnsi="宋体" w:eastAsia="宋体" w:cs="宋体"/>
          <w:i w:val="0"/>
          <w:iCs w:val="0"/>
          <w:caps w:val="0"/>
          <w:color w:val="000000"/>
          <w:spacing w:val="0"/>
          <w:sz w:val="24"/>
          <w:szCs w:val="24"/>
          <w:highlight w:val="none"/>
        </w:rPr>
      </w:r>
      <w:r/>
    </w:p>
    <w:p>
      <w:pPr>
        <w:pStyle w:val="909"/>
        <w:rPr>
          <w:rFonts w:hint="eastAsia"/>
          <w:highlight w:val="none"/>
        </w:rPr>
      </w:pPr>
      <w:r>
        <w:rPr>
          <w:rFonts w:hint="eastAsia"/>
          <w:highlight w:val="none"/>
        </w:rPr>
        <w:t xml:space="preserve"> </w:t>
      </w:r>
      <w:r>
        <w:rPr>
          <w:rFonts w:hint="eastAsia"/>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6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95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i w:val="0"/>
          <w:iCs w:val="0"/>
          <w:caps w:val="0"/>
          <w:color w:val="000000"/>
          <w:spacing w:val="0"/>
          <w:sz w:val="24"/>
          <w:szCs w:val="24"/>
          <w:highlight w:val="none"/>
        </w:rPr>
      </w:r>
      <w:r/>
    </w:p>
    <w:p>
      <w:pPr>
        <w:pStyle w:val="95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rPr>
          <w:rFonts w:hint="eastAsia" w:ascii="宋体" w:hAnsi="宋体" w:eastAsia="宋体" w:cs="宋体"/>
          <w:i w:val="0"/>
          <w:iCs w:val="0"/>
          <w:caps w:val="0"/>
          <w:color w:val="000000"/>
          <w:spacing w:val="0"/>
          <w:sz w:val="24"/>
          <w:szCs w:val="24"/>
          <w:highlight w:val="none"/>
        </w:rPr>
      </w:r>
      <w:r/>
    </w:p>
    <w:p>
      <w:pPr>
        <w:pStyle w:val="95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95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rPr>
          <w:rFonts w:hint="eastAsia" w:ascii="宋体" w:hAnsi="宋体" w:eastAsia="宋体" w:cs="宋体"/>
          <w:sz w:val="24"/>
          <w:szCs w:val="24"/>
          <w:highlight w:val="none"/>
          <w:lang w:val="en-US" w:eastAsia="zh-CN"/>
        </w:rPr>
      </w:r>
      <w:r/>
    </w:p>
    <w:sectPr>
      <w:headerReference w:type="default" r:id="rId13"/>
      <w:footerReference w:type="default" r:id="rId18"/>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隶书">
    <w:panose1 w:val="020105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87"/>
      </w:rPr>
      <w:framePr w:wrap="around" w:vAnchor="text" w:hAnchor="margin" w:xAlign="center" w:y="1"/>
    </w:pPr>
    <w:r>
      <w:fldChar w:fldCharType="begin"/>
    </w:r>
    <w:r>
      <w:rPr>
        <w:rStyle w:val="1087"/>
      </w:rPr>
      <w:instrText xml:space="preserve">PAGE  </w:instrText>
    </w:r>
    <w:r>
      <w:fldChar w:fldCharType="end"/>
    </w:r>
    <w:r>
      <w:rPr>
        <w:rStyle w:val="1087"/>
      </w:rPr>
    </w:r>
    <w:r/>
  </w:p>
  <w:p>
    <w:pPr>
      <w:pStyle w:val="10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tabs>
        <w:tab w:val="center" w:pos="4153" w:leader="none"/>
        <w:tab w:val="right" w:pos="8306" w:leader="none"/>
      </w:tabs>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09"/>
                    </w:pPr>
                    <w:r/>
                    <w:r/>
                  </w:p>
                </w:txbxContent>
              </v:textbox>
            </v:shape>
          </w:pict>
        </mc:Fallback>
      </mc:AlternateContent>
    </w:r>
    <w:r>
      <w:rPr>
        <w:rFonts w:ascii="隶书" w:eastAsia="隶书"/>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p>
                          <w:pPr>
                            <w:pStyle w:val="9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p>
                    <w:pPr>
                      <w:pStyle w:val="909"/>
                    </w:pPr>
                    <w:r/>
                    <w:r/>
                  </w:p>
                </w:txbxContent>
              </v:textbox>
            </v:shape>
          </w:pict>
        </mc:Fallback>
      </mc:AlternateContent>
    </w:r>
    <w:r/>
  </w:p>
  <w:p>
    <w:pPr>
      <w:pStyle w:val="10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7143" w:leader="none"/>
        <w:tab w:val="right"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both"/>
      <w:tabs>
        <w:tab w:val="center" w:pos="4153" w:leader="none"/>
        <w:tab w:val="right" w:pos="8306" w:leader="none"/>
      </w:tabs>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09"/>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909"/>
      </w:pPr>
      <w:rPr>
        <w:rFonts w:hint="eastAsia"/>
      </w:r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5">
    <w:multiLevelType w:val="hybridMultilevel"/>
    <w:lvl w:ilvl="0">
      <w:start w:val="9"/>
      <w:numFmt w:val="decimal"/>
      <w:isLgl w:val="false"/>
      <w:suff w:val="nothing"/>
      <w:lvlText w:val="%1、"/>
      <w:lvlJc w:val="left"/>
      <w:pPr>
        <w:pStyle w:val="909"/>
      </w:pPr>
    </w:lvl>
    <w:lvl w:ilvl="1">
      <w:start w:val="1"/>
      <w:numFmt w:val="decimal"/>
      <w:isLgl w:val="false"/>
      <w:suff w:val="tab"/>
      <w:lvlText w:val="(%2)"/>
      <w:lvlJc w:val="left"/>
      <w:pPr>
        <w:pStyle w:val="909"/>
        <w:ind w:left="840" w:hanging="420"/>
        <w:tabs>
          <w:tab w:val="num" w:pos="840" w:leader="none"/>
        </w:tabs>
      </w:pPr>
    </w:lvl>
    <w:lvl w:ilvl="2">
      <w:start w:val="1"/>
      <w:numFmt w:val="decimalEnclosedCircleChinese"/>
      <w:isLgl w:val="false"/>
      <w:suff w:val="tab"/>
      <w:lvlText w:val="%3"/>
      <w:lvlJc w:val="left"/>
      <w:pPr>
        <w:pStyle w:val="909"/>
        <w:ind w:left="1260" w:hanging="420"/>
        <w:tabs>
          <w:tab w:val="num" w:pos="1260" w:leader="none"/>
        </w:tabs>
      </w:pPr>
    </w:lvl>
    <w:lvl w:ilvl="3">
      <w:start w:val="1"/>
      <w:numFmt w:val="decimal"/>
      <w:isLgl w:val="false"/>
      <w:suff w:val="tab"/>
      <w:lvlText w:val="%4)"/>
      <w:lvlJc w:val="left"/>
      <w:pPr>
        <w:pStyle w:val="909"/>
        <w:ind w:left="1680" w:hanging="420"/>
        <w:tabs>
          <w:tab w:val="num" w:pos="1680" w:leader="none"/>
        </w:tabs>
      </w:pPr>
    </w:lvl>
    <w:lvl w:ilvl="4">
      <w:start w:val="1"/>
      <w:numFmt w:val="lowerLetter"/>
      <w:isLgl w:val="false"/>
      <w:suff w:val="tab"/>
      <w:lvlText w:val="%5."/>
      <w:lvlJc w:val="left"/>
      <w:pPr>
        <w:pStyle w:val="909"/>
        <w:ind w:left="2100" w:hanging="420"/>
        <w:tabs>
          <w:tab w:val="num" w:pos="2100" w:leader="none"/>
        </w:tabs>
      </w:pPr>
    </w:lvl>
    <w:lvl w:ilvl="5">
      <w:start w:val="1"/>
      <w:numFmt w:val="lowerLetter"/>
      <w:isLgl w:val="false"/>
      <w:suff w:val="tab"/>
      <w:lvlText w:val="%6)"/>
      <w:lvlJc w:val="left"/>
      <w:pPr>
        <w:pStyle w:val="909"/>
        <w:ind w:left="2520" w:hanging="420"/>
        <w:tabs>
          <w:tab w:val="num" w:pos="2520" w:leader="none"/>
        </w:tabs>
      </w:pPr>
    </w:lvl>
    <w:lvl w:ilvl="6">
      <w:start w:val="1"/>
      <w:numFmt w:val="lowerRoman"/>
      <w:isLgl w:val="false"/>
      <w:suff w:val="tab"/>
      <w:lvlText w:val="%7."/>
      <w:lvlJc w:val="left"/>
      <w:pPr>
        <w:pStyle w:val="909"/>
        <w:ind w:left="2940" w:hanging="420"/>
        <w:tabs>
          <w:tab w:val="num" w:pos="2940" w:leader="none"/>
        </w:tabs>
      </w:pPr>
    </w:lvl>
    <w:lvl w:ilvl="7">
      <w:start w:val="1"/>
      <w:numFmt w:val="lowerRoman"/>
      <w:isLgl w:val="false"/>
      <w:suff w:val="tab"/>
      <w:lvlText w:val="%8)"/>
      <w:lvlJc w:val="left"/>
      <w:pPr>
        <w:pStyle w:val="909"/>
        <w:ind w:left="3360" w:hanging="420"/>
        <w:tabs>
          <w:tab w:val="num" w:pos="3360" w:leader="none"/>
        </w:tabs>
      </w:pPr>
    </w:lvl>
    <w:lvl w:ilvl="8">
      <w:start w:val="1"/>
      <w:numFmt w:val="lowerLetter"/>
      <w:isLgl w:val="false"/>
      <w:suff w:val="tab"/>
      <w:lvlText w:val="%9."/>
      <w:lvlJc w:val="left"/>
      <w:pPr>
        <w:pStyle w:val="909"/>
        <w:ind w:left="3780" w:hanging="420"/>
        <w:tabs>
          <w:tab w:val="num" w:pos="3780" w:leader="none"/>
        </w:tabs>
      </w:pPr>
    </w:lvl>
  </w:abstractNum>
  <w:abstractNum w:abstractNumId="6">
    <w:multiLevelType w:val="hybridMultilevel"/>
    <w:lvl w:ilvl="0">
      <w:start w:val="1"/>
      <w:numFmt w:val="decimal"/>
      <w:isLgl w:val="false"/>
      <w:suff w:val="tab"/>
      <w:lvlText w:val="第%1章"/>
      <w:lvlJc w:val="left"/>
      <w:pPr>
        <w:pStyle w:val="909"/>
        <w:ind w:left="432" w:hanging="432"/>
        <w:tabs>
          <w:tab w:val="num" w:pos="1080" w:leader="none"/>
        </w:tabs>
      </w:pPr>
    </w:lvl>
    <w:lvl w:ilvl="1">
      <w:start w:val="1"/>
      <w:numFmt w:val="decimal"/>
      <w:isLgl w:val="false"/>
      <w:suff w:val="tab"/>
      <w:lvlText w:val="%1.%2"/>
      <w:lvlJc w:val="left"/>
      <w:pPr>
        <w:pStyle w:val="909"/>
        <w:ind w:left="576" w:hanging="576"/>
        <w:tabs>
          <w:tab w:val="num" w:pos="576" w:leader="none"/>
        </w:tabs>
      </w:pPr>
    </w:lvl>
    <w:lvl w:ilvl="2">
      <w:start w:val="1"/>
      <w:numFmt w:val="decimal"/>
      <w:isLgl w:val="false"/>
      <w:suff w:val="tab"/>
      <w:lvlText w:val="%1.%2.%3"/>
      <w:lvlJc w:val="left"/>
      <w:pPr>
        <w:pStyle w:val="909"/>
        <w:ind w:left="720" w:hanging="720"/>
        <w:tabs>
          <w:tab w:val="num" w:pos="720" w:leader="none"/>
        </w:tabs>
      </w:pPr>
      <w:rPr>
        <w:rFonts w:ascii="Times New Roman" w:hAnsi="Times New Roman" w:cs="Times New Roman"/>
      </w:rPr>
    </w:lvl>
    <w:lvl w:ilvl="3">
      <w:start w:val="1"/>
      <w:numFmt w:val="decimal"/>
      <w:pStyle w:val="973"/>
      <w:isLgl w:val="false"/>
      <w:suff w:val="tab"/>
      <w:lvlText w:val="%1.%2.%3.%4"/>
      <w:lvlJc w:val="left"/>
      <w:pPr>
        <w:pStyle w:val="909"/>
        <w:ind w:left="864" w:hanging="864"/>
        <w:tabs>
          <w:tab w:val="num" w:pos="864" w:leader="none"/>
        </w:tabs>
      </w:pPr>
    </w:lvl>
    <w:lvl w:ilvl="4">
      <w:start w:val="1"/>
      <w:numFmt w:val="decimal"/>
      <w:isLgl w:val="false"/>
      <w:suff w:val="tab"/>
      <w:lvlText w:val="%1.%2.%3.%4.%5"/>
      <w:lvlJc w:val="left"/>
      <w:pPr>
        <w:pStyle w:val="909"/>
        <w:ind w:left="1008" w:hanging="1008"/>
        <w:tabs>
          <w:tab w:val="num" w:pos="1008" w:leader="none"/>
        </w:tabs>
      </w:pPr>
    </w:lvl>
    <w:lvl w:ilvl="5">
      <w:start w:val="1"/>
      <w:numFmt w:val="decimal"/>
      <w:isLgl w:val="false"/>
      <w:suff w:val="tab"/>
      <w:lvlText w:val="%1.%2.%3.%4.%5.%6"/>
      <w:lvlJc w:val="left"/>
      <w:pPr>
        <w:pStyle w:val="909"/>
        <w:ind w:left="1152" w:hanging="1152"/>
        <w:tabs>
          <w:tab w:val="num" w:pos="1152" w:leader="none"/>
        </w:tabs>
      </w:pPr>
    </w:lvl>
    <w:lvl w:ilvl="6">
      <w:start w:val="1"/>
      <w:numFmt w:val="decimal"/>
      <w:isLgl w:val="false"/>
      <w:suff w:val="tab"/>
      <w:lvlText w:val="%1.%2.%3.%4.%5.%6.%7"/>
      <w:lvlJc w:val="left"/>
      <w:pPr>
        <w:pStyle w:val="909"/>
        <w:ind w:left="1296" w:hanging="1296"/>
        <w:tabs>
          <w:tab w:val="num" w:pos="1296" w:leader="none"/>
        </w:tabs>
      </w:pPr>
    </w:lvl>
    <w:lvl w:ilvl="7">
      <w:start w:val="1"/>
      <w:numFmt w:val="decimal"/>
      <w:isLgl w:val="false"/>
      <w:suff w:val="tab"/>
      <w:lvlText w:val="%1.%2.%3.%4.%5.%6.%7.%8"/>
      <w:lvlJc w:val="left"/>
      <w:pPr>
        <w:pStyle w:val="909"/>
        <w:ind w:left="1440" w:hanging="1440"/>
        <w:tabs>
          <w:tab w:val="num" w:pos="1440" w:leader="none"/>
        </w:tabs>
      </w:pPr>
    </w:lvl>
    <w:lvl w:ilvl="8">
      <w:start w:val="1"/>
      <w:numFmt w:val="decimal"/>
      <w:isLgl w:val="false"/>
      <w:suff w:val="tab"/>
      <w:lvlText w:val="%1.%2.%3.%4.%5.%6.%7.%8.%9"/>
      <w:lvlJc w:val="left"/>
      <w:pPr>
        <w:pStyle w:val="909"/>
        <w:ind w:left="1584" w:hanging="1584"/>
        <w:tabs>
          <w:tab w:val="num" w:pos="1584" w:leader="none"/>
        </w:tabs>
      </w:pPr>
    </w:lvl>
  </w:abstractNum>
  <w:abstractNum w:abstractNumId="7">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9">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11">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12">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13">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14">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17">
    <w:multiLevelType w:val="hybridMultilevel"/>
    <w:lvl w:ilvl="0">
      <w:start w:val="1"/>
      <w:numFmt w:val="decimal"/>
      <w:isLgl w:val="false"/>
      <w:suff w:val="tab"/>
      <w:lvlText w:val="(%1)"/>
      <w:lvlJc w:val="left"/>
      <w:pPr>
        <w:pStyle w:val="9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19">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20">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21">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21"/>
  </w:num>
  <w:num w:numId="5">
    <w:abstractNumId w:val="8"/>
  </w:num>
  <w:num w:numId="6">
    <w:abstractNumId w:val="19"/>
  </w:num>
  <w:num w:numId="7">
    <w:abstractNumId w:val="11"/>
  </w:num>
  <w:num w:numId="8">
    <w:abstractNumId w:val="13"/>
  </w:num>
  <w:num w:numId="9">
    <w:abstractNumId w:val="20"/>
  </w:num>
  <w:num w:numId="10">
    <w:abstractNumId w:val="16"/>
  </w:num>
  <w:num w:numId="11">
    <w:abstractNumId w:val="12"/>
  </w:num>
  <w:num w:numId="12">
    <w:abstractNumId w:val="10"/>
  </w:num>
  <w:num w:numId="13">
    <w:abstractNumId w:val="18"/>
  </w:num>
  <w:num w:numId="14">
    <w:abstractNumId w:val="17"/>
  </w:num>
  <w:num w:numId="15">
    <w:abstractNumId w:val="15"/>
  </w:num>
  <w:num w:numId="16">
    <w:abstractNumId w:val="7"/>
  </w:num>
  <w:num w:numId="17">
    <w:abstractNumId w:val="1"/>
  </w:num>
  <w:num w:numId="18">
    <w:abstractNumId w:val="9"/>
  </w:num>
  <w:num w:numId="19">
    <w:abstractNumId w:val="2"/>
  </w:num>
  <w:num w:numId="20">
    <w:abstractNumId w:val="0"/>
  </w:num>
  <w:num w:numId="21">
    <w:abstractNumId w:val="1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name w:val="Heading 1"/>
    <w:basedOn w:val="909"/>
    <w:next w:val="909"/>
    <w:link w:val="1092"/>
    <w:uiPriority w:val="9"/>
    <w:qFormat/>
    <w:pPr>
      <w:keepLines/>
      <w:keepNext/>
      <w:spacing w:before="480" w:after="200"/>
      <w:outlineLvl w:val="0"/>
    </w:pPr>
    <w:rPr>
      <w:rFonts w:ascii="Arial" w:hAnsi="Arial" w:eastAsia="Arial" w:cs="Arial"/>
      <w:sz w:val="40"/>
      <w:szCs w:val="40"/>
    </w:rPr>
  </w:style>
  <w:style w:type="paragraph" w:styleId="875">
    <w:name w:val="Heading 2"/>
    <w:basedOn w:val="909"/>
    <w:next w:val="909"/>
    <w:link w:val="1096"/>
    <w:uiPriority w:val="9"/>
    <w:unhideWhenUsed/>
    <w:qFormat/>
    <w:pPr>
      <w:keepLines/>
      <w:keepNext/>
      <w:spacing w:before="360" w:after="200"/>
      <w:outlineLvl w:val="1"/>
    </w:pPr>
    <w:rPr>
      <w:rFonts w:ascii="Arial" w:hAnsi="Arial" w:eastAsia="Arial" w:cs="Arial"/>
      <w:sz w:val="34"/>
    </w:rPr>
  </w:style>
  <w:style w:type="paragraph" w:styleId="876">
    <w:name w:val="Heading 3"/>
    <w:basedOn w:val="909"/>
    <w:next w:val="909"/>
    <w:link w:val="1107"/>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909"/>
    <w:next w:val="909"/>
    <w:link w:val="1097"/>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909"/>
    <w:next w:val="909"/>
    <w:link w:val="1105"/>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909"/>
    <w:next w:val="909"/>
    <w:link w:val="1095"/>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909"/>
    <w:next w:val="909"/>
    <w:link w:val="1113"/>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909"/>
    <w:next w:val="909"/>
    <w:link w:val="1101"/>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909"/>
    <w:next w:val="909"/>
    <w:link w:val="1112"/>
    <w:uiPriority w:val="9"/>
    <w:unhideWhenUsed/>
    <w:qFormat/>
    <w:pPr>
      <w:keepLines/>
      <w:keepNext/>
      <w:spacing w:before="320" w:after="200"/>
      <w:outlineLvl w:val="8"/>
    </w:pPr>
    <w:rPr>
      <w:rFonts w:ascii="Arial" w:hAnsi="Arial" w:eastAsia="Arial" w:cs="Arial"/>
      <w:i/>
      <w:iCs/>
      <w:sz w:val="21"/>
      <w:szCs w:val="21"/>
    </w:rPr>
  </w:style>
  <w:style w:type="paragraph" w:styleId="883">
    <w:name w:val="List Paragraph"/>
    <w:basedOn w:val="909"/>
    <w:uiPriority w:val="34"/>
    <w:qFormat/>
    <w:pPr>
      <w:contextualSpacing/>
      <w:ind w:left="720"/>
    </w:pPr>
  </w:style>
  <w:style w:type="paragraph" w:styleId="884">
    <w:name w:val="No Spacing"/>
    <w:uiPriority w:val="1"/>
    <w:qFormat/>
    <w:pPr>
      <w:spacing w:before="0" w:after="0" w:line="240" w:lineRule="auto"/>
    </w:pPr>
  </w:style>
  <w:style w:type="paragraph" w:styleId="885">
    <w:name w:val="Title"/>
    <w:basedOn w:val="909"/>
    <w:next w:val="909"/>
    <w:link w:val="1111"/>
    <w:uiPriority w:val="10"/>
    <w:qFormat/>
    <w:pPr>
      <w:contextualSpacing/>
      <w:spacing w:before="300" w:after="200"/>
    </w:pPr>
    <w:rPr>
      <w:sz w:val="48"/>
      <w:szCs w:val="48"/>
    </w:rPr>
  </w:style>
  <w:style w:type="paragraph" w:styleId="886">
    <w:name w:val="Subtitle"/>
    <w:basedOn w:val="909"/>
    <w:next w:val="909"/>
    <w:link w:val="1098"/>
    <w:uiPriority w:val="11"/>
    <w:qFormat/>
    <w:pPr>
      <w:spacing w:before="200" w:after="200"/>
    </w:pPr>
    <w:rPr>
      <w:sz w:val="24"/>
      <w:szCs w:val="24"/>
    </w:rPr>
  </w:style>
  <w:style w:type="paragraph" w:styleId="887">
    <w:name w:val="Quote"/>
    <w:basedOn w:val="909"/>
    <w:next w:val="909"/>
    <w:link w:val="1110"/>
    <w:uiPriority w:val="29"/>
    <w:qFormat/>
    <w:pPr>
      <w:ind w:left="720" w:right="720"/>
    </w:pPr>
    <w:rPr>
      <w:i/>
    </w:rPr>
  </w:style>
  <w:style w:type="paragraph" w:styleId="888">
    <w:name w:val="Intense Quote"/>
    <w:basedOn w:val="909"/>
    <w:next w:val="909"/>
    <w:link w:val="11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9">
    <w:name w:val="Header"/>
    <w:basedOn w:val="909"/>
    <w:link w:val="1094"/>
    <w:uiPriority w:val="99"/>
    <w:unhideWhenUsed/>
    <w:pPr>
      <w:spacing w:after="0" w:line="240" w:lineRule="auto"/>
      <w:tabs>
        <w:tab w:val="center" w:pos="7143" w:leader="none"/>
        <w:tab w:val="right" w:pos="14287" w:leader="none"/>
      </w:tabs>
    </w:pPr>
  </w:style>
  <w:style w:type="paragraph" w:styleId="890">
    <w:name w:val="Footer"/>
    <w:basedOn w:val="909"/>
    <w:link w:val="1108"/>
    <w:uiPriority w:val="99"/>
    <w:unhideWhenUsed/>
    <w:pPr>
      <w:spacing w:after="0" w:line="240" w:lineRule="auto"/>
      <w:tabs>
        <w:tab w:val="center" w:pos="7143" w:leader="none"/>
        <w:tab w:val="right" w:pos="14287" w:leader="none"/>
      </w:tabs>
    </w:pPr>
  </w:style>
  <w:style w:type="paragraph" w:styleId="891">
    <w:name w:val="Caption"/>
    <w:basedOn w:val="909"/>
    <w:next w:val="909"/>
    <w:uiPriority w:val="35"/>
    <w:semiHidden/>
    <w:unhideWhenUsed/>
    <w:qFormat/>
    <w:pPr>
      <w:spacing w:line="276" w:lineRule="auto"/>
    </w:pPr>
    <w:rPr>
      <w:b/>
      <w:bCs/>
      <w:color w:val="4f81bd" w:themeColor="accent1"/>
      <w:sz w:val="18"/>
      <w:szCs w:val="18"/>
    </w:rPr>
  </w:style>
  <w:style w:type="table" w:styleId="8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Hyperlink"/>
    <w:uiPriority w:val="99"/>
    <w:unhideWhenUsed/>
    <w:rPr>
      <w:color w:val="0000ff" w:themeColor="hyperlink"/>
      <w:u w:val="single"/>
    </w:rPr>
  </w:style>
  <w:style w:type="paragraph" w:styleId="894">
    <w:name w:val="footnote text"/>
    <w:basedOn w:val="909"/>
    <w:link w:val="1104"/>
    <w:uiPriority w:val="99"/>
    <w:semiHidden/>
    <w:unhideWhenUsed/>
    <w:pPr>
      <w:spacing w:after="40" w:line="240" w:lineRule="auto"/>
    </w:pPr>
    <w:rPr>
      <w:sz w:val="18"/>
    </w:rPr>
  </w:style>
  <w:style w:type="character" w:styleId="895">
    <w:name w:val="footnote reference"/>
    <w:uiPriority w:val="99"/>
    <w:unhideWhenUsed/>
    <w:rPr>
      <w:vertAlign w:val="superscript"/>
    </w:rPr>
  </w:style>
  <w:style w:type="paragraph" w:styleId="896">
    <w:name w:val="endnote text"/>
    <w:basedOn w:val="909"/>
    <w:link w:val="1093"/>
    <w:uiPriority w:val="99"/>
    <w:semiHidden/>
    <w:unhideWhenUsed/>
    <w:pPr>
      <w:spacing w:after="0" w:line="240" w:lineRule="auto"/>
    </w:pPr>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09"/>
    <w:uiPriority w:val="9"/>
    <w:qFormat/>
    <w:pPr>
      <w:keepLines/>
      <w:keepNext/>
      <w:spacing w:before="480" w:after="200"/>
      <w:outlineLvl w:val="0"/>
    </w:pPr>
    <w:rPr>
      <w:rFonts w:ascii="Arial" w:hAnsi="Arial" w:eastAsia="Arial" w:cs="Arial"/>
      <w:sz w:val="40"/>
      <w:szCs w:val="40"/>
    </w:rPr>
  </w:style>
  <w:style w:type="paragraph" w:styleId="911">
    <w:name w:val="标题 2"/>
    <w:basedOn w:val="909"/>
    <w:next w:val="909"/>
    <w:link w:val="909"/>
    <w:uiPriority w:val="9"/>
    <w:qFormat/>
    <w:pPr>
      <w:keepLines/>
      <w:keepNext/>
      <w:spacing w:before="360" w:after="200"/>
      <w:outlineLvl w:val="1"/>
    </w:pPr>
    <w:rPr>
      <w:rFonts w:ascii="Arial" w:hAnsi="Arial" w:eastAsia="Arial" w:cs="Arial"/>
      <w:sz w:val="34"/>
    </w:rPr>
  </w:style>
  <w:style w:type="paragraph" w:styleId="912">
    <w:name w:val="标题 3"/>
    <w:basedOn w:val="909"/>
    <w:next w:val="909"/>
    <w:link w:val="909"/>
    <w:uiPriority w:val="9"/>
    <w:qFormat/>
    <w:pPr>
      <w:keepLines/>
      <w:keepNext/>
      <w:spacing w:before="320" w:after="200"/>
      <w:outlineLvl w:val="2"/>
    </w:pPr>
    <w:rPr>
      <w:rFonts w:ascii="Arial" w:hAnsi="Arial" w:eastAsia="Arial" w:cs="Arial"/>
      <w:sz w:val="30"/>
      <w:szCs w:val="30"/>
    </w:rPr>
  </w:style>
  <w:style w:type="paragraph" w:styleId="913">
    <w:name w:val="标题 4"/>
    <w:basedOn w:val="909"/>
    <w:next w:val="909"/>
    <w:link w:val="909"/>
    <w:uiPriority w:val="9"/>
    <w:qFormat/>
    <w:pPr>
      <w:keepLines/>
      <w:keepNext/>
      <w:spacing w:before="320" w:after="200"/>
      <w:outlineLvl w:val="3"/>
    </w:pPr>
    <w:rPr>
      <w:rFonts w:ascii="Arial" w:hAnsi="Arial" w:eastAsia="Arial" w:cs="Arial"/>
      <w:b/>
      <w:bCs/>
      <w:sz w:val="26"/>
      <w:szCs w:val="26"/>
    </w:rPr>
  </w:style>
  <w:style w:type="paragraph" w:styleId="914">
    <w:name w:val="标题 5"/>
    <w:basedOn w:val="909"/>
    <w:next w:val="909"/>
    <w:link w:val="909"/>
    <w:uiPriority w:val="9"/>
    <w:qFormat/>
    <w:pPr>
      <w:keepLines/>
      <w:keepNext/>
      <w:spacing w:before="320" w:after="200"/>
      <w:outlineLvl w:val="4"/>
    </w:pPr>
    <w:rPr>
      <w:rFonts w:ascii="Arial" w:hAnsi="Arial" w:eastAsia="Arial" w:cs="Arial"/>
      <w:b/>
      <w:bCs/>
      <w:sz w:val="24"/>
    </w:rPr>
  </w:style>
  <w:style w:type="paragraph" w:styleId="915">
    <w:name w:val="标题 6"/>
    <w:basedOn w:val="909"/>
    <w:next w:val="909"/>
    <w:link w:val="909"/>
    <w:uiPriority w:val="9"/>
    <w:qFormat/>
    <w:pPr>
      <w:keepLines/>
      <w:keepNext/>
      <w:spacing w:before="320" w:after="200"/>
      <w:outlineLvl w:val="5"/>
    </w:pPr>
    <w:rPr>
      <w:rFonts w:ascii="Arial" w:hAnsi="Arial" w:eastAsia="Arial" w:cs="Arial"/>
      <w:b/>
      <w:bCs/>
      <w:sz w:val="22"/>
      <w:szCs w:val="22"/>
    </w:rPr>
  </w:style>
  <w:style w:type="paragraph" w:styleId="916">
    <w:name w:val="标题 7"/>
    <w:basedOn w:val="909"/>
    <w:next w:val="909"/>
    <w:link w:val="909"/>
    <w:uiPriority w:val="9"/>
    <w:qFormat/>
    <w:pPr>
      <w:keepLines/>
      <w:keepNext/>
      <w:spacing w:before="320" w:after="200"/>
      <w:outlineLvl w:val="6"/>
    </w:pPr>
    <w:rPr>
      <w:rFonts w:ascii="Arial" w:hAnsi="Arial" w:eastAsia="Arial" w:cs="Arial"/>
      <w:b/>
      <w:bCs/>
      <w:i/>
      <w:iCs/>
      <w:sz w:val="22"/>
      <w:szCs w:val="22"/>
    </w:rPr>
  </w:style>
  <w:style w:type="paragraph" w:styleId="917">
    <w:name w:val="标题 8"/>
    <w:basedOn w:val="909"/>
    <w:next w:val="909"/>
    <w:link w:val="909"/>
    <w:uiPriority w:val="9"/>
    <w:qFormat/>
    <w:pPr>
      <w:keepLines/>
      <w:keepNext/>
      <w:spacing w:before="320" w:after="200"/>
      <w:outlineLvl w:val="7"/>
    </w:pPr>
    <w:rPr>
      <w:rFonts w:ascii="Arial" w:hAnsi="Arial" w:eastAsia="Arial" w:cs="Arial"/>
      <w:i/>
      <w:iCs/>
      <w:sz w:val="22"/>
      <w:szCs w:val="22"/>
    </w:rPr>
  </w:style>
  <w:style w:type="paragraph" w:styleId="918">
    <w:name w:val="标题 9"/>
    <w:basedOn w:val="909"/>
    <w:next w:val="909"/>
    <w:link w:val="909"/>
    <w:uiPriority w:val="9"/>
    <w:qFormat/>
    <w:pPr>
      <w:keepLines/>
      <w:keepNext/>
      <w:spacing w:before="320" w:after="200"/>
      <w:outlineLvl w:val="8"/>
    </w:pPr>
    <w:rPr>
      <w:rFonts w:ascii="Arial" w:hAnsi="Arial" w:eastAsia="Arial" w:cs="Arial"/>
      <w:i/>
      <w:iCs/>
      <w:szCs w:val="21"/>
    </w:rPr>
  </w:style>
  <w:style w:type="character" w:styleId="919">
    <w:name w:val="默认段落字体"/>
    <w:next w:val="919"/>
    <w:link w:val="909"/>
    <w:uiPriority w:val="1"/>
    <w:unhideWhenUsed/>
  </w:style>
  <w:style w:type="table" w:styleId="920">
    <w:name w:val="普通表格"/>
    <w:next w:val="920"/>
    <w:link w:val="909"/>
    <w:uiPriority w:val="99"/>
    <w:unhideWhenUsed/>
    <w:qFormat/>
    <w:tblPr/>
  </w:style>
  <w:style w:type="paragraph" w:styleId="921">
    <w:name w:val="目录 7"/>
    <w:basedOn w:val="909"/>
    <w:next w:val="909"/>
    <w:link w:val="909"/>
    <w:uiPriority w:val="39"/>
    <w:unhideWhenUsed/>
    <w:qFormat/>
    <w:pPr>
      <w:ind w:left="1701"/>
      <w:spacing w:after="57"/>
    </w:pPr>
  </w:style>
  <w:style w:type="paragraph" w:styleId="922">
    <w:name w:val="正文缩进"/>
    <w:basedOn w:val="909"/>
    <w:next w:val="922"/>
    <w:link w:val="909"/>
    <w:uiPriority w:val="7"/>
    <w:qFormat/>
    <w:pPr>
      <w:ind w:firstLine="420"/>
    </w:pPr>
    <w:rPr>
      <w:rFonts w:eastAsia="楷体_GB2312"/>
    </w:rPr>
  </w:style>
  <w:style w:type="paragraph" w:styleId="923">
    <w:name w:val="题注"/>
    <w:basedOn w:val="909"/>
    <w:next w:val="909"/>
    <w:link w:val="909"/>
    <w:uiPriority w:val="35"/>
    <w:qFormat/>
    <w:pPr>
      <w:spacing w:line="276" w:lineRule="auto"/>
    </w:pPr>
    <w:rPr>
      <w:b/>
      <w:bCs/>
      <w:color w:val="4f81bd"/>
      <w:sz w:val="18"/>
      <w:szCs w:val="18"/>
    </w:rPr>
  </w:style>
  <w:style w:type="paragraph" w:styleId="924">
    <w:name w:val="索引 5"/>
    <w:basedOn w:val="909"/>
    <w:next w:val="909"/>
    <w:link w:val="909"/>
    <w:qFormat/>
    <w:pPr>
      <w:ind w:left="798"/>
    </w:pPr>
    <w:rPr>
      <w:rFonts w:ascii="Calibri" w:hAnsi="Calibri"/>
    </w:rPr>
  </w:style>
  <w:style w:type="paragraph" w:styleId="925">
    <w:name w:val="批注文字"/>
    <w:basedOn w:val="909"/>
    <w:next w:val="925"/>
    <w:link w:val="926"/>
    <w:uiPriority w:val="99"/>
    <w:unhideWhenUsed/>
    <w:qFormat/>
    <w:pPr>
      <w:jc w:val="left"/>
    </w:pPr>
  </w:style>
  <w:style w:type="character" w:styleId="926">
    <w:name w:val="批注文字 Char"/>
    <w:basedOn w:val="919"/>
    <w:next w:val="926"/>
    <w:link w:val="925"/>
    <w:uiPriority w:val="99"/>
    <w:rPr>
      <w:sz w:val="21"/>
      <w:szCs w:val="24"/>
    </w:rPr>
  </w:style>
  <w:style w:type="paragraph" w:styleId="927">
    <w:name w:val="正文文本"/>
    <w:basedOn w:val="909"/>
    <w:next w:val="928"/>
    <w:link w:val="909"/>
    <w:qFormat/>
  </w:style>
  <w:style w:type="paragraph" w:styleId="928">
    <w:name w:val="一级条标题"/>
    <w:basedOn w:val="929"/>
    <w:next w:val="930"/>
    <w:link w:val="90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9">
    <w:name w:val="章标题"/>
    <w:next w:val="909"/>
    <w:link w:val="90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30">
    <w:name w:val="段"/>
    <w:basedOn w:val="931"/>
    <w:next w:val="909"/>
    <w:link w:val="909"/>
    <w:qFormat/>
    <w:pPr>
      <w:ind w:firstLine="200"/>
      <w:widowControl/>
    </w:pPr>
    <w:rPr>
      <w:rFonts w:hint="eastAsia" w:ascii="宋体"/>
      <w:sz w:val="20"/>
      <w:szCs w:val="20"/>
    </w:rPr>
  </w:style>
  <w:style w:type="paragraph" w:styleId="931">
    <w:name w:val="正文1"/>
    <w:basedOn w:val="932"/>
    <w:next w:val="934"/>
    <w:link w:val="909"/>
    <w:qFormat/>
  </w:style>
  <w:style w:type="paragraph" w:styleId="932">
    <w:name w:val="正文11"/>
    <w:next w:val="933"/>
    <w:link w:val="909"/>
    <w:qFormat/>
    <w:pPr>
      <w:jc w:val="both"/>
      <w:widowControl w:val="off"/>
    </w:pPr>
    <w:rPr>
      <w:sz w:val="21"/>
      <w:szCs w:val="24"/>
      <w:lang w:val="en-US" w:eastAsia="zh-CN" w:bidi="ar-SA"/>
    </w:rPr>
  </w:style>
  <w:style w:type="paragraph" w:styleId="933">
    <w:name w:val="标题 211"/>
    <w:basedOn w:val="909"/>
    <w:next w:val="909"/>
    <w:link w:val="909"/>
    <w:uiPriority w:val="9"/>
    <w:unhideWhenUsed/>
    <w:qFormat/>
    <w:pPr>
      <w:keepLines/>
      <w:keepNext/>
      <w:spacing w:before="360" w:after="200"/>
      <w:outlineLvl w:val="1"/>
    </w:pPr>
    <w:rPr>
      <w:rFonts w:ascii="Arial" w:hAnsi="Arial" w:eastAsia="Arial" w:cs="Arial"/>
      <w:sz w:val="34"/>
    </w:rPr>
  </w:style>
  <w:style w:type="paragraph" w:styleId="934">
    <w:name w:val="脚注文本1"/>
    <w:basedOn w:val="931"/>
    <w:next w:val="935"/>
    <w:link w:val="909"/>
    <w:qFormat/>
    <w:rPr>
      <w:rFonts w:ascii="宋体" w:eastAsia="Times New Roman"/>
      <w:sz w:val="18"/>
      <w:szCs w:val="18"/>
    </w:rPr>
  </w:style>
  <w:style w:type="paragraph" w:styleId="935">
    <w:name w:val="索引 51"/>
    <w:basedOn w:val="934"/>
    <w:next w:val="931"/>
    <w:link w:val="909"/>
    <w:qFormat/>
    <w:pPr>
      <w:ind w:left="798"/>
      <w:jc w:val="left"/>
    </w:pPr>
    <w:rPr>
      <w:rFonts w:ascii="Calibri" w:hAnsi="Calibri"/>
    </w:rPr>
  </w:style>
  <w:style w:type="paragraph" w:styleId="936">
    <w:name w:val="正文文本缩进"/>
    <w:basedOn w:val="909"/>
    <w:next w:val="936"/>
    <w:link w:val="909"/>
    <w:qFormat/>
    <w:pPr>
      <w:ind w:left="420"/>
      <w:spacing w:after="120"/>
    </w:pPr>
    <w:rPr>
      <w:rFonts w:ascii="Calibri" w:hAnsi="Calibri"/>
    </w:rPr>
  </w:style>
  <w:style w:type="paragraph" w:styleId="937">
    <w:name w:val="文本块"/>
    <w:basedOn w:val="909"/>
    <w:next w:val="937"/>
    <w:link w:val="909"/>
    <w:qFormat/>
    <w:pPr>
      <w:ind w:left="420" w:right="33"/>
      <w:jc w:val="left"/>
    </w:pPr>
    <w:rPr>
      <w:sz w:val="24"/>
      <w:szCs w:val="20"/>
    </w:rPr>
  </w:style>
  <w:style w:type="paragraph" w:styleId="938">
    <w:name w:val="目录 5"/>
    <w:basedOn w:val="909"/>
    <w:next w:val="909"/>
    <w:link w:val="909"/>
    <w:uiPriority w:val="39"/>
    <w:unhideWhenUsed/>
    <w:qFormat/>
    <w:pPr>
      <w:ind w:left="1134"/>
      <w:spacing w:after="57"/>
    </w:pPr>
  </w:style>
  <w:style w:type="paragraph" w:styleId="939">
    <w:name w:val="目录 3"/>
    <w:basedOn w:val="909"/>
    <w:next w:val="909"/>
    <w:link w:val="909"/>
    <w:uiPriority w:val="39"/>
    <w:unhideWhenUsed/>
    <w:qFormat/>
    <w:pPr>
      <w:ind w:left="567"/>
      <w:spacing w:after="57"/>
    </w:pPr>
  </w:style>
  <w:style w:type="paragraph" w:styleId="940">
    <w:name w:val="目录 8"/>
    <w:basedOn w:val="909"/>
    <w:next w:val="909"/>
    <w:link w:val="909"/>
    <w:uiPriority w:val="39"/>
    <w:unhideWhenUsed/>
    <w:qFormat/>
    <w:pPr>
      <w:ind w:left="1984"/>
      <w:spacing w:after="57"/>
    </w:pPr>
  </w:style>
  <w:style w:type="paragraph" w:styleId="941">
    <w:name w:val="尾注文本"/>
    <w:basedOn w:val="909"/>
    <w:next w:val="941"/>
    <w:link w:val="909"/>
    <w:uiPriority w:val="99"/>
    <w:unhideWhenUsed/>
    <w:qFormat/>
    <w:rPr>
      <w:sz w:val="20"/>
    </w:rPr>
  </w:style>
  <w:style w:type="paragraph" w:styleId="942">
    <w:name w:val="批注框文本"/>
    <w:basedOn w:val="909"/>
    <w:next w:val="942"/>
    <w:link w:val="943"/>
    <w:uiPriority w:val="99"/>
    <w:unhideWhenUsed/>
    <w:qFormat/>
    <w:rPr>
      <w:sz w:val="18"/>
      <w:szCs w:val="18"/>
    </w:rPr>
  </w:style>
  <w:style w:type="character" w:styleId="943">
    <w:name w:val="批注框文本 Char1"/>
    <w:next w:val="943"/>
    <w:link w:val="942"/>
    <w:uiPriority w:val="99"/>
    <w:semiHidden/>
    <w:qFormat/>
    <w:rPr>
      <w:sz w:val="18"/>
      <w:szCs w:val="18"/>
    </w:rPr>
  </w:style>
  <w:style w:type="paragraph" w:styleId="944">
    <w:name w:val="页脚"/>
    <w:basedOn w:val="909"/>
    <w:next w:val="944"/>
    <w:link w:val="909"/>
    <w:uiPriority w:val="99"/>
    <w:unhideWhenUsed/>
    <w:qFormat/>
    <w:pPr>
      <w:tabs>
        <w:tab w:val="center" w:pos="7143" w:leader="none"/>
        <w:tab w:val="right" w:pos="14287" w:leader="none"/>
      </w:tabs>
    </w:pPr>
  </w:style>
  <w:style w:type="paragraph" w:styleId="945">
    <w:name w:val="页眉"/>
    <w:basedOn w:val="909"/>
    <w:next w:val="945"/>
    <w:link w:val="909"/>
    <w:uiPriority w:val="99"/>
    <w:unhideWhenUsed/>
    <w:qFormat/>
    <w:pPr>
      <w:tabs>
        <w:tab w:val="center" w:pos="7143" w:leader="none"/>
        <w:tab w:val="right" w:pos="14287" w:leader="none"/>
      </w:tabs>
    </w:pPr>
  </w:style>
  <w:style w:type="paragraph" w:styleId="946">
    <w:name w:val="目录 1"/>
    <w:basedOn w:val="909"/>
    <w:next w:val="909"/>
    <w:link w:val="909"/>
    <w:uiPriority w:val="39"/>
    <w:unhideWhenUsed/>
    <w:qFormat/>
    <w:pPr>
      <w:spacing w:after="57"/>
    </w:pPr>
  </w:style>
  <w:style w:type="paragraph" w:styleId="947">
    <w:name w:val="目录 4"/>
    <w:basedOn w:val="909"/>
    <w:next w:val="909"/>
    <w:link w:val="909"/>
    <w:uiPriority w:val="39"/>
    <w:unhideWhenUsed/>
    <w:qFormat/>
    <w:pPr>
      <w:ind w:left="850"/>
      <w:spacing w:after="57"/>
    </w:pPr>
  </w:style>
  <w:style w:type="paragraph" w:styleId="948">
    <w:name w:val="副标题"/>
    <w:basedOn w:val="909"/>
    <w:next w:val="909"/>
    <w:link w:val="909"/>
    <w:uiPriority w:val="11"/>
    <w:qFormat/>
    <w:pPr>
      <w:spacing w:before="200" w:after="200"/>
    </w:pPr>
    <w:rPr>
      <w:sz w:val="24"/>
    </w:rPr>
  </w:style>
  <w:style w:type="paragraph" w:styleId="949">
    <w:name w:val="脚注文本"/>
    <w:basedOn w:val="909"/>
    <w:next w:val="924"/>
    <w:link w:val="909"/>
    <w:uiPriority w:val="99"/>
    <w:unhideWhenUsed/>
    <w:qFormat/>
    <w:pPr>
      <w:spacing w:after="40"/>
    </w:pPr>
    <w:rPr>
      <w:sz w:val="18"/>
    </w:rPr>
  </w:style>
  <w:style w:type="paragraph" w:styleId="950">
    <w:name w:val="目录 6"/>
    <w:basedOn w:val="909"/>
    <w:next w:val="909"/>
    <w:link w:val="909"/>
    <w:uiPriority w:val="39"/>
    <w:unhideWhenUsed/>
    <w:qFormat/>
    <w:pPr>
      <w:ind w:left="1417"/>
      <w:spacing w:after="57"/>
    </w:pPr>
  </w:style>
  <w:style w:type="paragraph" w:styleId="951">
    <w:name w:val="图表目录"/>
    <w:basedOn w:val="909"/>
    <w:next w:val="909"/>
    <w:link w:val="909"/>
    <w:uiPriority w:val="99"/>
    <w:unhideWhenUsed/>
    <w:qFormat/>
  </w:style>
  <w:style w:type="paragraph" w:styleId="952">
    <w:name w:val="目录 2"/>
    <w:basedOn w:val="909"/>
    <w:next w:val="909"/>
    <w:link w:val="909"/>
    <w:uiPriority w:val="39"/>
    <w:unhideWhenUsed/>
    <w:qFormat/>
    <w:pPr>
      <w:ind w:left="283"/>
      <w:spacing w:after="57"/>
    </w:pPr>
  </w:style>
  <w:style w:type="paragraph" w:styleId="953">
    <w:name w:val="目录 9"/>
    <w:basedOn w:val="909"/>
    <w:next w:val="909"/>
    <w:link w:val="909"/>
    <w:uiPriority w:val="39"/>
    <w:unhideWhenUsed/>
    <w:qFormat/>
    <w:pPr>
      <w:ind w:left="2268"/>
      <w:spacing w:after="57"/>
    </w:pPr>
  </w:style>
  <w:style w:type="paragraph" w:styleId="954">
    <w:name w:val="普通(网站)"/>
    <w:basedOn w:val="909"/>
    <w:next w:val="954"/>
    <w:link w:val="909"/>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955">
    <w:name w:val="标题"/>
    <w:basedOn w:val="909"/>
    <w:next w:val="909"/>
    <w:link w:val="909"/>
    <w:uiPriority w:val="10"/>
    <w:qFormat/>
    <w:pPr>
      <w:contextualSpacing/>
      <w:spacing w:before="300" w:after="200"/>
    </w:pPr>
    <w:rPr>
      <w:sz w:val="48"/>
      <w:szCs w:val="48"/>
    </w:rPr>
  </w:style>
  <w:style w:type="paragraph" w:styleId="956">
    <w:name w:val="批注主题"/>
    <w:basedOn w:val="925"/>
    <w:next w:val="925"/>
    <w:link w:val="957"/>
    <w:uiPriority w:val="99"/>
    <w:unhideWhenUsed/>
    <w:rPr>
      <w:b/>
      <w:bCs/>
    </w:rPr>
  </w:style>
  <w:style w:type="character" w:styleId="957">
    <w:name w:val="批注主题 Char"/>
    <w:basedOn w:val="926"/>
    <w:next w:val="957"/>
    <w:link w:val="956"/>
  </w:style>
  <w:style w:type="paragraph" w:styleId="958">
    <w:name w:val="正文首行缩进 2"/>
    <w:basedOn w:val="936"/>
    <w:next w:val="909"/>
    <w:link w:val="909"/>
    <w:qFormat/>
    <w:pPr>
      <w:ind w:firstLine="420"/>
      <w:spacing w:line="360" w:lineRule="auto"/>
    </w:pPr>
    <w:rPr>
      <w:color w:val="000000"/>
      <w:sz w:val="20"/>
    </w:rPr>
  </w:style>
  <w:style w:type="table" w:styleId="959">
    <w:name w:val="网格型"/>
    <w:next w:val="959"/>
    <w:link w:val="909"/>
    <w:uiPriority w:val="59"/>
    <w:qFormat/>
    <w:rPr>
      <w:lang w:val="en-US" w:eastAsia="zh-CN" w:bidi="ar-SA"/>
    </w:rPr>
    <w:tblPr/>
  </w:style>
  <w:style w:type="character" w:styleId="960">
    <w:name w:val="要点"/>
    <w:basedOn w:val="919"/>
    <w:next w:val="960"/>
    <w:link w:val="909"/>
    <w:uiPriority w:val="22"/>
    <w:qFormat/>
    <w:rPr>
      <w:b/>
    </w:rPr>
  </w:style>
  <w:style w:type="character" w:styleId="961">
    <w:name w:val="尾注引用"/>
    <w:next w:val="961"/>
    <w:link w:val="909"/>
    <w:uiPriority w:val="99"/>
    <w:unhideWhenUsed/>
    <w:qFormat/>
    <w:rPr>
      <w:vertAlign w:val="superscript"/>
    </w:rPr>
  </w:style>
  <w:style w:type="character" w:styleId="962">
    <w:name w:val="强调"/>
    <w:basedOn w:val="919"/>
    <w:next w:val="962"/>
    <w:link w:val="909"/>
    <w:uiPriority w:val="20"/>
    <w:qFormat/>
    <w:rPr>
      <w:i/>
    </w:rPr>
  </w:style>
  <w:style w:type="character" w:styleId="963">
    <w:name w:val="超链接"/>
    <w:next w:val="963"/>
    <w:link w:val="909"/>
    <w:uiPriority w:val="99"/>
    <w:unhideWhenUsed/>
    <w:qFormat/>
    <w:rPr>
      <w:color w:val="0000ff"/>
      <w:u w:val="single"/>
    </w:rPr>
  </w:style>
  <w:style w:type="character" w:styleId="964">
    <w:name w:val="批注引用"/>
    <w:next w:val="964"/>
    <w:link w:val="909"/>
    <w:uiPriority w:val="99"/>
    <w:unhideWhenUsed/>
    <w:rPr>
      <w:sz w:val="21"/>
      <w:szCs w:val="21"/>
    </w:rPr>
  </w:style>
  <w:style w:type="character" w:styleId="965">
    <w:name w:val="脚注引用"/>
    <w:next w:val="965"/>
    <w:link w:val="909"/>
    <w:uiPriority w:val="99"/>
    <w:unhideWhenUsed/>
    <w:qFormat/>
    <w:rPr>
      <w:vertAlign w:val="superscript"/>
    </w:rPr>
  </w:style>
  <w:style w:type="paragraph" w:styleId="966">
    <w:name w:val="正文111"/>
    <w:next w:val="967"/>
    <w:link w:val="909"/>
    <w:qFormat/>
    <w:pPr>
      <w:jc w:val="both"/>
      <w:widowControl w:val="off"/>
    </w:pPr>
    <w:rPr>
      <w:sz w:val="21"/>
      <w:szCs w:val="24"/>
      <w:lang w:val="en-US" w:eastAsia="zh-CN" w:bidi="ar-SA"/>
    </w:rPr>
  </w:style>
  <w:style w:type="paragraph" w:styleId="967">
    <w:name w:val="目录 111"/>
    <w:basedOn w:val="968"/>
    <w:next w:val="909"/>
    <w:link w:val="909"/>
    <w:uiPriority w:val="39"/>
    <w:unhideWhenUsed/>
    <w:qFormat/>
    <w:pPr>
      <w:spacing w:after="57"/>
    </w:pPr>
  </w:style>
  <w:style w:type="paragraph" w:styleId="968">
    <w:name w:val="正文12"/>
    <w:next w:val="969"/>
    <w:link w:val="909"/>
    <w:qFormat/>
    <w:pPr>
      <w:jc w:val="both"/>
      <w:widowControl w:val="off"/>
    </w:pPr>
    <w:rPr>
      <w:sz w:val="21"/>
      <w:szCs w:val="24"/>
      <w:lang w:val="en-US" w:eastAsia="zh-CN" w:bidi="ar-SA"/>
    </w:rPr>
  </w:style>
  <w:style w:type="paragraph" w:styleId="969">
    <w:name w:val="正文文本111"/>
    <w:basedOn w:val="909"/>
    <w:next w:val="968"/>
    <w:link w:val="970"/>
    <w:qFormat/>
    <w:rPr>
      <w:rFonts w:ascii="楷体_GB2312" w:hAnsi="Arial" w:eastAsia="楷体_GB2312"/>
      <w:sz w:val="28"/>
      <w:szCs w:val="28"/>
      <w:lang w:eastAsia="en-US"/>
    </w:rPr>
  </w:style>
  <w:style w:type="character" w:styleId="970">
    <w:name w:val="正文文本111 Char"/>
    <w:next w:val="970"/>
    <w:link w:val="969"/>
    <w:qFormat/>
    <w:rPr>
      <w:rFonts w:ascii="楷体_GB2312" w:hAnsi="Arial" w:eastAsia="楷体_GB2312"/>
      <w:sz w:val="28"/>
      <w:szCs w:val="28"/>
      <w:lang w:eastAsia="en-US"/>
    </w:rPr>
  </w:style>
  <w:style w:type="paragraph" w:styleId="971">
    <w:name w:val="目录 11"/>
    <w:basedOn w:val="932"/>
    <w:next w:val="968"/>
    <w:link w:val="909"/>
    <w:qFormat/>
    <w:pPr>
      <w:jc w:val="left"/>
      <w:spacing w:after="100" w:line="259" w:lineRule="auto"/>
      <w:widowControl/>
    </w:pPr>
    <w:rPr>
      <w:rFonts w:ascii="Calibri" w:hAnsi="Calibri"/>
      <w:sz w:val="22"/>
      <w:szCs w:val="22"/>
    </w:rPr>
  </w:style>
  <w:style w:type="paragraph" w:styleId="972">
    <w:name w:val="文本块1"/>
    <w:basedOn w:val="931"/>
    <w:next w:val="972"/>
    <w:link w:val="909"/>
    <w:uiPriority w:val="6"/>
    <w:qFormat/>
    <w:pPr>
      <w:ind w:left="256" w:right="6" w:firstLine="624"/>
    </w:pPr>
    <w:rPr>
      <w:rFonts w:eastAsia="仿宋"/>
      <w:sz w:val="28"/>
      <w:szCs w:val="20"/>
    </w:rPr>
  </w:style>
  <w:style w:type="paragraph" w:styleId="973">
    <w:name w:val="标题 41"/>
    <w:basedOn w:val="968"/>
    <w:next w:val="932"/>
    <w:link w:val="909"/>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974">
    <w:name w:val="信息标题1"/>
    <w:basedOn w:val="909"/>
    <w:next w:val="975"/>
    <w:link w:val="90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75">
    <w:name w:val="正文文本12"/>
    <w:basedOn w:val="909"/>
    <w:next w:val="909"/>
    <w:link w:val="909"/>
    <w:uiPriority w:val="99"/>
    <w:qFormat/>
    <w:pPr>
      <w:spacing w:after="120"/>
    </w:pPr>
  </w:style>
  <w:style w:type="paragraph" w:styleId="976">
    <w:name w:val="正文首行缩进 21"/>
    <w:basedOn w:val="977"/>
    <w:next w:val="909"/>
    <w:link w:val="909"/>
    <w:qFormat/>
    <w:pPr>
      <w:ind w:firstLine="420"/>
    </w:pPr>
    <w:rPr>
      <w:rFonts w:ascii="宋体" w:hAnsi="宋体"/>
      <w:sz w:val="20"/>
      <w:szCs w:val="20"/>
    </w:rPr>
  </w:style>
  <w:style w:type="paragraph" w:styleId="977">
    <w:name w:val="正文文本缩进1"/>
    <w:basedOn w:val="909"/>
    <w:next w:val="978"/>
    <w:link w:val="909"/>
    <w:uiPriority w:val="99"/>
    <w:unhideWhenUsed/>
    <w:qFormat/>
    <w:pPr>
      <w:ind w:firstLine="425"/>
      <w:spacing w:line="360" w:lineRule="auto"/>
    </w:pPr>
  </w:style>
  <w:style w:type="paragraph" w:styleId="978">
    <w:name w:val="寄信人地址1"/>
    <w:basedOn w:val="909"/>
    <w:next w:val="978"/>
    <w:link w:val="909"/>
    <w:uiPriority w:val="99"/>
    <w:unhideWhenUsed/>
    <w:qFormat/>
    <w:rPr>
      <w:rFonts w:ascii="Arial" w:hAnsi="Arial"/>
    </w:rPr>
  </w:style>
  <w:style w:type="paragraph" w:styleId="979">
    <w:name w:val="正文文本1"/>
    <w:basedOn w:val="968"/>
    <w:next w:val="931"/>
    <w:link w:val="909"/>
    <w:qFormat/>
    <w:pPr>
      <w:spacing w:after="120"/>
    </w:pPr>
  </w:style>
  <w:style w:type="paragraph" w:styleId="980">
    <w:name w:val="标题 111"/>
    <w:basedOn w:val="909"/>
    <w:next w:val="909"/>
    <w:link w:val="909"/>
    <w:uiPriority w:val="9"/>
    <w:qFormat/>
    <w:pPr>
      <w:keepLines/>
      <w:keepNext/>
      <w:spacing w:before="480" w:after="200"/>
      <w:outlineLvl w:val="0"/>
    </w:pPr>
    <w:rPr>
      <w:rFonts w:ascii="Arial" w:hAnsi="Arial" w:eastAsia="Arial" w:cs="Arial"/>
      <w:sz w:val="40"/>
      <w:szCs w:val="40"/>
    </w:rPr>
  </w:style>
  <w:style w:type="paragraph" w:styleId="981">
    <w:name w:val="标题 311"/>
    <w:basedOn w:val="909"/>
    <w:next w:val="909"/>
    <w:link w:val="909"/>
    <w:uiPriority w:val="9"/>
    <w:unhideWhenUsed/>
    <w:qFormat/>
    <w:pPr>
      <w:keepLines/>
      <w:keepNext/>
      <w:spacing w:before="320" w:after="200"/>
      <w:outlineLvl w:val="2"/>
    </w:pPr>
    <w:rPr>
      <w:rFonts w:ascii="Arial" w:hAnsi="Arial" w:eastAsia="Arial" w:cs="Arial"/>
      <w:sz w:val="30"/>
      <w:szCs w:val="30"/>
    </w:rPr>
  </w:style>
  <w:style w:type="paragraph" w:styleId="982">
    <w:name w:val="标题 411"/>
    <w:basedOn w:val="909"/>
    <w:next w:val="909"/>
    <w:link w:val="909"/>
    <w:uiPriority w:val="9"/>
    <w:unhideWhenUsed/>
    <w:qFormat/>
    <w:pPr>
      <w:keepLines/>
      <w:keepNext/>
      <w:spacing w:before="320" w:after="200"/>
      <w:outlineLvl w:val="3"/>
    </w:pPr>
    <w:rPr>
      <w:rFonts w:ascii="Arial" w:hAnsi="Arial" w:eastAsia="Arial" w:cs="Arial"/>
      <w:b/>
      <w:bCs/>
      <w:sz w:val="26"/>
      <w:szCs w:val="26"/>
    </w:rPr>
  </w:style>
  <w:style w:type="paragraph" w:styleId="983">
    <w:name w:val="标题 511"/>
    <w:basedOn w:val="909"/>
    <w:next w:val="909"/>
    <w:link w:val="909"/>
    <w:uiPriority w:val="9"/>
    <w:unhideWhenUsed/>
    <w:qFormat/>
    <w:pPr>
      <w:keepLines/>
      <w:keepNext/>
      <w:spacing w:before="320" w:after="200"/>
      <w:outlineLvl w:val="4"/>
    </w:pPr>
    <w:rPr>
      <w:rFonts w:ascii="Arial" w:hAnsi="Arial" w:eastAsia="Arial" w:cs="Arial"/>
      <w:b/>
      <w:bCs/>
      <w:sz w:val="24"/>
    </w:rPr>
  </w:style>
  <w:style w:type="paragraph" w:styleId="984">
    <w:name w:val="标题 611"/>
    <w:basedOn w:val="909"/>
    <w:next w:val="909"/>
    <w:link w:val="909"/>
    <w:uiPriority w:val="9"/>
    <w:unhideWhenUsed/>
    <w:qFormat/>
    <w:pPr>
      <w:keepLines/>
      <w:keepNext/>
      <w:spacing w:before="320" w:after="200"/>
      <w:outlineLvl w:val="5"/>
    </w:pPr>
    <w:rPr>
      <w:rFonts w:ascii="Arial" w:hAnsi="Arial" w:eastAsia="Arial" w:cs="Arial"/>
      <w:b/>
      <w:bCs/>
      <w:sz w:val="22"/>
      <w:szCs w:val="22"/>
    </w:rPr>
  </w:style>
  <w:style w:type="paragraph" w:styleId="985">
    <w:name w:val="标题 711"/>
    <w:basedOn w:val="909"/>
    <w:next w:val="909"/>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986">
    <w:name w:val="标题 811"/>
    <w:basedOn w:val="909"/>
    <w:next w:val="909"/>
    <w:link w:val="909"/>
    <w:uiPriority w:val="9"/>
    <w:unhideWhenUsed/>
    <w:qFormat/>
    <w:pPr>
      <w:keepLines/>
      <w:keepNext/>
      <w:spacing w:before="320" w:after="200"/>
      <w:outlineLvl w:val="7"/>
    </w:pPr>
    <w:rPr>
      <w:rFonts w:ascii="Arial" w:hAnsi="Arial" w:eastAsia="Arial" w:cs="Arial"/>
      <w:i/>
      <w:iCs/>
      <w:sz w:val="22"/>
      <w:szCs w:val="22"/>
    </w:rPr>
  </w:style>
  <w:style w:type="paragraph" w:styleId="987">
    <w:name w:val="标题 911"/>
    <w:basedOn w:val="909"/>
    <w:next w:val="909"/>
    <w:link w:val="909"/>
    <w:uiPriority w:val="9"/>
    <w:unhideWhenUsed/>
    <w:qFormat/>
    <w:pPr>
      <w:keepLines/>
      <w:keepNext/>
      <w:spacing w:before="320" w:after="200"/>
      <w:outlineLvl w:val="8"/>
    </w:pPr>
    <w:rPr>
      <w:rFonts w:ascii="Arial" w:hAnsi="Arial" w:eastAsia="Arial" w:cs="Arial"/>
      <w:i/>
      <w:iCs/>
      <w:szCs w:val="21"/>
    </w:rPr>
  </w:style>
  <w:style w:type="character" w:styleId="988">
    <w:name w:val="默认段落字体11"/>
    <w:next w:val="988"/>
    <w:link w:val="909"/>
    <w:uiPriority w:val="1"/>
    <w:unhideWhenUsed/>
    <w:qFormat/>
  </w:style>
  <w:style w:type="table" w:styleId="989">
    <w:name w:val="普通表格11"/>
    <w:next w:val="989"/>
    <w:link w:val="909"/>
    <w:uiPriority w:val="99"/>
    <w:unhideWhenUsed/>
    <w:qFormat/>
    <w:rPr>
      <w:lang w:val="en-US" w:eastAsia="zh-CN" w:bidi="ar-SA"/>
    </w:rPr>
    <w:tblPr/>
  </w:style>
  <w:style w:type="paragraph" w:styleId="990">
    <w:name w:val="目录 711"/>
    <w:basedOn w:val="909"/>
    <w:next w:val="909"/>
    <w:link w:val="909"/>
    <w:uiPriority w:val="39"/>
    <w:unhideWhenUsed/>
    <w:qFormat/>
    <w:pPr>
      <w:ind w:left="1701"/>
      <w:spacing w:after="57"/>
    </w:pPr>
  </w:style>
  <w:style w:type="paragraph" w:styleId="991">
    <w:name w:val="题注11"/>
    <w:basedOn w:val="909"/>
    <w:next w:val="909"/>
    <w:link w:val="909"/>
    <w:uiPriority w:val="35"/>
    <w:unhideWhenUsed/>
    <w:qFormat/>
    <w:pPr>
      <w:spacing w:line="276" w:lineRule="auto"/>
    </w:pPr>
    <w:rPr>
      <w:b/>
      <w:bCs/>
      <w:color w:val="4f81bd"/>
      <w:sz w:val="18"/>
      <w:szCs w:val="18"/>
    </w:rPr>
  </w:style>
  <w:style w:type="paragraph" w:styleId="992">
    <w:name w:val="批注文字11"/>
    <w:basedOn w:val="909"/>
    <w:next w:val="992"/>
    <w:link w:val="909"/>
    <w:qFormat/>
    <w:pPr>
      <w:jc w:val="left"/>
    </w:pPr>
  </w:style>
  <w:style w:type="paragraph" w:styleId="993">
    <w:name w:val="文本块12"/>
    <w:basedOn w:val="909"/>
    <w:next w:val="993"/>
    <w:link w:val="909"/>
    <w:uiPriority w:val="6"/>
    <w:qFormat/>
    <w:pPr>
      <w:ind w:left="256" w:right="6" w:firstLine="624"/>
    </w:pPr>
    <w:rPr>
      <w:rFonts w:eastAsia="仿宋"/>
      <w:sz w:val="28"/>
    </w:rPr>
  </w:style>
  <w:style w:type="paragraph" w:styleId="994">
    <w:name w:val="目录 511"/>
    <w:basedOn w:val="909"/>
    <w:next w:val="909"/>
    <w:link w:val="909"/>
    <w:uiPriority w:val="39"/>
    <w:unhideWhenUsed/>
    <w:qFormat/>
    <w:pPr>
      <w:ind w:left="1134"/>
      <w:spacing w:after="57"/>
    </w:pPr>
  </w:style>
  <w:style w:type="paragraph" w:styleId="995">
    <w:name w:val="目录 311"/>
    <w:basedOn w:val="909"/>
    <w:next w:val="909"/>
    <w:link w:val="909"/>
    <w:uiPriority w:val="39"/>
    <w:unhideWhenUsed/>
    <w:qFormat/>
    <w:pPr>
      <w:ind w:left="567"/>
      <w:spacing w:after="57"/>
    </w:pPr>
  </w:style>
  <w:style w:type="paragraph" w:styleId="996">
    <w:name w:val="目录 811"/>
    <w:basedOn w:val="909"/>
    <w:next w:val="909"/>
    <w:link w:val="909"/>
    <w:uiPriority w:val="39"/>
    <w:unhideWhenUsed/>
    <w:qFormat/>
    <w:pPr>
      <w:ind w:left="1984"/>
      <w:spacing w:after="57"/>
    </w:pPr>
  </w:style>
  <w:style w:type="paragraph" w:styleId="997">
    <w:name w:val="尾注文本11"/>
    <w:basedOn w:val="909"/>
    <w:next w:val="997"/>
    <w:link w:val="909"/>
    <w:uiPriority w:val="99"/>
    <w:unhideWhenUsed/>
    <w:qFormat/>
    <w:rPr>
      <w:sz w:val="20"/>
    </w:rPr>
  </w:style>
  <w:style w:type="paragraph" w:styleId="998">
    <w:name w:val="页脚11"/>
    <w:basedOn w:val="909"/>
    <w:next w:val="998"/>
    <w:link w:val="909"/>
    <w:uiPriority w:val="99"/>
    <w:unhideWhenUsed/>
    <w:qFormat/>
    <w:pPr>
      <w:tabs>
        <w:tab w:val="center" w:pos="7143" w:leader="none"/>
        <w:tab w:val="right" w:pos="14287" w:leader="none"/>
      </w:tabs>
    </w:pPr>
  </w:style>
  <w:style w:type="paragraph" w:styleId="999">
    <w:name w:val="页眉11"/>
    <w:basedOn w:val="909"/>
    <w:next w:val="999"/>
    <w:link w:val="909"/>
    <w:uiPriority w:val="99"/>
    <w:unhideWhenUsed/>
    <w:qFormat/>
    <w:pPr>
      <w:tabs>
        <w:tab w:val="center" w:pos="7143" w:leader="none"/>
        <w:tab w:val="right" w:pos="14287" w:leader="none"/>
      </w:tabs>
    </w:pPr>
  </w:style>
  <w:style w:type="paragraph" w:styleId="1000">
    <w:name w:val="目录 1111"/>
    <w:basedOn w:val="909"/>
    <w:next w:val="909"/>
    <w:link w:val="909"/>
    <w:uiPriority w:val="39"/>
    <w:unhideWhenUsed/>
    <w:qFormat/>
    <w:pPr>
      <w:spacing w:after="57"/>
    </w:pPr>
  </w:style>
  <w:style w:type="paragraph" w:styleId="1001">
    <w:name w:val="目录 411"/>
    <w:basedOn w:val="909"/>
    <w:next w:val="909"/>
    <w:link w:val="909"/>
    <w:uiPriority w:val="39"/>
    <w:unhideWhenUsed/>
    <w:qFormat/>
    <w:pPr>
      <w:ind w:left="850"/>
      <w:spacing w:after="57"/>
    </w:pPr>
  </w:style>
  <w:style w:type="paragraph" w:styleId="1002">
    <w:name w:val="副标题11"/>
    <w:basedOn w:val="909"/>
    <w:next w:val="909"/>
    <w:link w:val="909"/>
    <w:uiPriority w:val="11"/>
    <w:qFormat/>
    <w:pPr>
      <w:spacing w:before="200" w:after="200"/>
    </w:pPr>
    <w:rPr>
      <w:sz w:val="24"/>
    </w:rPr>
  </w:style>
  <w:style w:type="paragraph" w:styleId="1003">
    <w:name w:val="脚注文本11"/>
    <w:basedOn w:val="909"/>
    <w:next w:val="935"/>
    <w:link w:val="909"/>
    <w:uiPriority w:val="99"/>
    <w:unhideWhenUsed/>
    <w:qFormat/>
    <w:pPr>
      <w:spacing w:after="40"/>
    </w:pPr>
    <w:rPr>
      <w:sz w:val="18"/>
    </w:rPr>
  </w:style>
  <w:style w:type="paragraph" w:styleId="1004">
    <w:name w:val="目录 611"/>
    <w:basedOn w:val="909"/>
    <w:next w:val="909"/>
    <w:link w:val="909"/>
    <w:uiPriority w:val="39"/>
    <w:unhideWhenUsed/>
    <w:qFormat/>
    <w:pPr>
      <w:ind w:left="1417"/>
      <w:spacing w:after="57"/>
    </w:pPr>
  </w:style>
  <w:style w:type="paragraph" w:styleId="1005">
    <w:name w:val="图表目录11"/>
    <w:basedOn w:val="909"/>
    <w:next w:val="909"/>
    <w:link w:val="909"/>
    <w:uiPriority w:val="99"/>
    <w:unhideWhenUsed/>
    <w:qFormat/>
  </w:style>
  <w:style w:type="paragraph" w:styleId="1006">
    <w:name w:val="目录 211"/>
    <w:basedOn w:val="909"/>
    <w:next w:val="909"/>
    <w:link w:val="909"/>
    <w:uiPriority w:val="39"/>
    <w:unhideWhenUsed/>
    <w:qFormat/>
    <w:pPr>
      <w:ind w:left="283"/>
      <w:spacing w:after="57"/>
    </w:pPr>
  </w:style>
  <w:style w:type="paragraph" w:styleId="1007">
    <w:name w:val="目录 911"/>
    <w:basedOn w:val="909"/>
    <w:next w:val="909"/>
    <w:link w:val="909"/>
    <w:uiPriority w:val="39"/>
    <w:unhideWhenUsed/>
    <w:qFormat/>
    <w:pPr>
      <w:ind w:left="2268"/>
      <w:spacing w:after="57"/>
    </w:pPr>
  </w:style>
  <w:style w:type="paragraph" w:styleId="1008">
    <w:name w:val="普通(网站)12"/>
    <w:basedOn w:val="909"/>
    <w:next w:val="1008"/>
    <w:link w:val="909"/>
    <w:uiPriority w:val="99"/>
    <w:qFormat/>
    <w:pPr>
      <w:jc w:val="left"/>
      <w:spacing w:before="100" w:beforeAutospacing="1" w:after="100" w:afterAutospacing="1"/>
      <w:widowControl/>
    </w:pPr>
    <w:rPr>
      <w:rFonts w:ascii="宋体" w:hAnsi="宋体" w:cs="宋体"/>
      <w:sz w:val="24"/>
    </w:rPr>
  </w:style>
  <w:style w:type="paragraph" w:styleId="1009">
    <w:name w:val="标题11"/>
    <w:basedOn w:val="909"/>
    <w:next w:val="909"/>
    <w:link w:val="909"/>
    <w:uiPriority w:val="10"/>
    <w:qFormat/>
    <w:pPr>
      <w:contextualSpacing/>
      <w:spacing w:before="300" w:after="200"/>
    </w:pPr>
    <w:rPr>
      <w:sz w:val="48"/>
      <w:szCs w:val="48"/>
    </w:rPr>
  </w:style>
  <w:style w:type="table" w:styleId="1010">
    <w:name w:val="网格型11"/>
    <w:next w:val="1010"/>
    <w:link w:val="909"/>
    <w:uiPriority w:val="59"/>
    <w:qFormat/>
    <w:rPr>
      <w:lang w:val="en-US" w:eastAsia="zh-CN" w:bidi="ar-SA"/>
    </w:rPr>
    <w:tblPr/>
  </w:style>
  <w:style w:type="character" w:styleId="1011">
    <w:name w:val="要点1"/>
    <w:next w:val="1011"/>
    <w:link w:val="909"/>
    <w:qFormat/>
    <w:rPr>
      <w:b/>
    </w:rPr>
  </w:style>
  <w:style w:type="character" w:styleId="1012">
    <w:name w:val="尾注引用11"/>
    <w:next w:val="1012"/>
    <w:link w:val="909"/>
    <w:uiPriority w:val="99"/>
    <w:unhideWhenUsed/>
    <w:qFormat/>
    <w:rPr>
      <w:vertAlign w:val="superscript"/>
    </w:rPr>
  </w:style>
  <w:style w:type="character" w:styleId="1013">
    <w:name w:val="超链接11"/>
    <w:next w:val="1013"/>
    <w:link w:val="909"/>
    <w:uiPriority w:val="99"/>
    <w:unhideWhenUsed/>
    <w:qFormat/>
    <w:rPr>
      <w:color w:val="0000ff"/>
      <w:u w:val="single"/>
    </w:rPr>
  </w:style>
  <w:style w:type="character" w:styleId="1014">
    <w:name w:val="脚注引用11"/>
    <w:next w:val="1014"/>
    <w:link w:val="909"/>
    <w:uiPriority w:val="99"/>
    <w:unhideWhenUsed/>
    <w:qFormat/>
    <w:rPr>
      <w:vertAlign w:val="superscript"/>
    </w:rPr>
  </w:style>
  <w:style w:type="paragraph" w:styleId="1015">
    <w:name w:val="文本块11"/>
    <w:basedOn w:val="909"/>
    <w:next w:val="1015"/>
    <w:link w:val="909"/>
    <w:unhideWhenUsed/>
    <w:qFormat/>
    <w:pPr>
      <w:ind w:left="1440" w:right="1440"/>
      <w:spacing w:after="120"/>
    </w:pPr>
    <w:rPr>
      <w:rFonts w:ascii="Calibri" w:hAnsi="Calibri"/>
    </w:rPr>
  </w:style>
  <w:style w:type="table" w:styleId="1016">
    <w:name w:val="Plain Table 1"/>
    <w:basedOn w:val="989"/>
    <w:next w:val="1016"/>
    <w:link w:val="909"/>
    <w:uiPriority w:val="59"/>
    <w:qFormat/>
    <w:tblPr/>
  </w:style>
  <w:style w:type="table" w:styleId="1017">
    <w:name w:val="Plain Table 2"/>
    <w:basedOn w:val="989"/>
    <w:next w:val="1017"/>
    <w:link w:val="909"/>
    <w:uiPriority w:val="59"/>
    <w:qFormat/>
    <w:tblPr/>
  </w:style>
  <w:style w:type="table" w:styleId="1018">
    <w:name w:val="Plain Table 3"/>
    <w:basedOn w:val="989"/>
    <w:next w:val="1018"/>
    <w:link w:val="909"/>
    <w:uiPriority w:val="99"/>
    <w:qFormat/>
    <w:tblPr/>
  </w:style>
  <w:style w:type="table" w:styleId="1019">
    <w:name w:val="Plain Table 4"/>
    <w:basedOn w:val="989"/>
    <w:next w:val="1019"/>
    <w:link w:val="909"/>
    <w:uiPriority w:val="99"/>
    <w:qFormat/>
    <w:tblPr/>
  </w:style>
  <w:style w:type="table" w:styleId="1020">
    <w:name w:val="Plain Table 5"/>
    <w:basedOn w:val="989"/>
    <w:next w:val="1020"/>
    <w:link w:val="909"/>
    <w:uiPriority w:val="99"/>
    <w:qFormat/>
    <w:tblPr/>
  </w:style>
  <w:style w:type="table" w:styleId="1021">
    <w:name w:val="Grid Table 1 Light"/>
    <w:basedOn w:val="989"/>
    <w:next w:val="1021"/>
    <w:link w:val="909"/>
    <w:uiPriority w:val="99"/>
    <w:qFormat/>
    <w:tblPr/>
  </w:style>
  <w:style w:type="table" w:styleId="1022">
    <w:name w:val="Grid Table 2"/>
    <w:basedOn w:val="989"/>
    <w:next w:val="1022"/>
    <w:link w:val="909"/>
    <w:uiPriority w:val="99"/>
    <w:qFormat/>
    <w:tblPr/>
  </w:style>
  <w:style w:type="table" w:styleId="1023">
    <w:name w:val="Grid Table 3"/>
    <w:basedOn w:val="989"/>
    <w:next w:val="1023"/>
    <w:link w:val="909"/>
    <w:uiPriority w:val="99"/>
    <w:qFormat/>
    <w:tblPr/>
  </w:style>
  <w:style w:type="table" w:styleId="1024">
    <w:name w:val="Grid Table 4"/>
    <w:basedOn w:val="989"/>
    <w:next w:val="1024"/>
    <w:link w:val="909"/>
    <w:uiPriority w:val="59"/>
    <w:qFormat/>
    <w:tblPr/>
  </w:style>
  <w:style w:type="table" w:styleId="1025">
    <w:name w:val="Grid Table 5 Dark"/>
    <w:basedOn w:val="989"/>
    <w:next w:val="1025"/>
    <w:link w:val="909"/>
    <w:uiPriority w:val="99"/>
    <w:qFormat/>
    <w:tblPr/>
  </w:style>
  <w:style w:type="table" w:styleId="1026">
    <w:name w:val="Grid Table 6 Colorful"/>
    <w:basedOn w:val="989"/>
    <w:next w:val="1026"/>
    <w:link w:val="909"/>
    <w:uiPriority w:val="99"/>
    <w:qFormat/>
    <w:tblPr/>
  </w:style>
  <w:style w:type="table" w:styleId="1027">
    <w:name w:val="Grid Table 7 Colorful"/>
    <w:basedOn w:val="989"/>
    <w:next w:val="1027"/>
    <w:link w:val="909"/>
    <w:uiPriority w:val="99"/>
    <w:qFormat/>
    <w:tblPr/>
  </w:style>
  <w:style w:type="table" w:styleId="1028">
    <w:name w:val="List Table 1 Light"/>
    <w:basedOn w:val="989"/>
    <w:next w:val="1028"/>
    <w:link w:val="909"/>
    <w:uiPriority w:val="99"/>
    <w:qFormat/>
    <w:tblPr/>
  </w:style>
  <w:style w:type="table" w:styleId="1029">
    <w:name w:val="List Table 2"/>
    <w:basedOn w:val="989"/>
    <w:next w:val="1029"/>
    <w:link w:val="909"/>
    <w:uiPriority w:val="99"/>
    <w:qFormat/>
    <w:tblPr/>
  </w:style>
  <w:style w:type="table" w:styleId="1030">
    <w:name w:val="List Table 3"/>
    <w:basedOn w:val="989"/>
    <w:next w:val="1030"/>
    <w:link w:val="909"/>
    <w:uiPriority w:val="99"/>
    <w:qFormat/>
    <w:tblPr/>
  </w:style>
  <w:style w:type="table" w:styleId="1031">
    <w:name w:val="List Table 4"/>
    <w:basedOn w:val="989"/>
    <w:next w:val="1031"/>
    <w:link w:val="909"/>
    <w:uiPriority w:val="99"/>
    <w:qFormat/>
    <w:tblPr/>
  </w:style>
  <w:style w:type="table" w:styleId="1032">
    <w:name w:val="List Table 5 Dark"/>
    <w:basedOn w:val="989"/>
    <w:next w:val="1032"/>
    <w:link w:val="909"/>
    <w:uiPriority w:val="99"/>
    <w:qFormat/>
    <w:tblPr/>
  </w:style>
  <w:style w:type="table" w:styleId="1033">
    <w:name w:val="List Table 6 Colorful"/>
    <w:basedOn w:val="989"/>
    <w:next w:val="1033"/>
    <w:link w:val="909"/>
    <w:uiPriority w:val="99"/>
    <w:qFormat/>
    <w:tblPr/>
  </w:style>
  <w:style w:type="table" w:styleId="1034">
    <w:name w:val="List Table 7 Colorful"/>
    <w:basedOn w:val="989"/>
    <w:next w:val="1034"/>
    <w:link w:val="909"/>
    <w:uiPriority w:val="99"/>
    <w:qFormat/>
    <w:tblPr/>
  </w:style>
  <w:style w:type="paragraph" w:styleId="1035">
    <w:name w:val="TOC 标题1"/>
    <w:next w:val="1035"/>
    <w:link w:val="909"/>
    <w:uiPriority w:val="39"/>
    <w:unhideWhenUsed/>
    <w:qFormat/>
    <w:rPr>
      <w:lang w:val="en-US" w:eastAsia="zh-CN" w:bidi="ar-SA"/>
    </w:rPr>
  </w:style>
  <w:style w:type="paragraph" w:styleId="1036">
    <w:name w:val="列出段落"/>
    <w:basedOn w:val="909"/>
    <w:next w:val="1036"/>
    <w:link w:val="909"/>
    <w:uiPriority w:val="34"/>
    <w:qFormat/>
    <w:pPr>
      <w:contextualSpacing/>
      <w:ind w:left="720"/>
    </w:pPr>
  </w:style>
  <w:style w:type="paragraph" w:styleId="1037">
    <w:name w:val="无间隔"/>
    <w:next w:val="1037"/>
    <w:link w:val="909"/>
    <w:uiPriority w:val="1"/>
    <w:qFormat/>
    <w:rPr>
      <w:lang w:val="en-US" w:eastAsia="zh-CN" w:bidi="ar-SA"/>
    </w:rPr>
  </w:style>
  <w:style w:type="paragraph" w:styleId="1038">
    <w:name w:val="引用"/>
    <w:basedOn w:val="909"/>
    <w:next w:val="909"/>
    <w:link w:val="909"/>
    <w:uiPriority w:val="29"/>
    <w:qFormat/>
    <w:pPr>
      <w:ind w:left="720" w:right="720"/>
    </w:pPr>
    <w:rPr>
      <w:i/>
    </w:rPr>
  </w:style>
  <w:style w:type="paragraph" w:styleId="1039">
    <w:name w:val="明显引用"/>
    <w:basedOn w:val="909"/>
    <w:next w:val="909"/>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40">
    <w:name w:val="标题 11"/>
    <w:basedOn w:val="909"/>
    <w:next w:val="909"/>
    <w:link w:val="909"/>
    <w:qFormat/>
    <w:pPr>
      <w:keepLines/>
      <w:keepNext/>
      <w:spacing w:before="340" w:after="330" w:line="578" w:lineRule="auto"/>
      <w:outlineLvl w:val="0"/>
    </w:pPr>
    <w:rPr>
      <w:b/>
      <w:bCs/>
      <w:sz w:val="44"/>
      <w:szCs w:val="44"/>
    </w:rPr>
  </w:style>
  <w:style w:type="paragraph" w:styleId="1041">
    <w:name w:val="标题 21"/>
    <w:basedOn w:val="909"/>
    <w:next w:val="909"/>
    <w:link w:val="1042"/>
    <w:uiPriority w:val="9"/>
    <w:qFormat/>
    <w:pPr>
      <w:keepLines/>
      <w:keepNext/>
      <w:spacing w:before="360" w:after="200"/>
      <w:outlineLvl w:val="1"/>
    </w:pPr>
    <w:rPr>
      <w:rFonts w:ascii="Arial" w:hAnsi="Arial" w:eastAsia="Arial"/>
      <w:sz w:val="34"/>
      <w:szCs w:val="20"/>
    </w:rPr>
  </w:style>
  <w:style w:type="character" w:styleId="1042">
    <w:name w:val="标题 2 Char"/>
    <w:next w:val="1042"/>
    <w:link w:val="1041"/>
    <w:uiPriority w:val="9"/>
    <w:qFormat/>
    <w:rPr>
      <w:rFonts w:ascii="Arial" w:hAnsi="Arial" w:eastAsia="Arial" w:cs="Arial"/>
      <w:sz w:val="34"/>
    </w:rPr>
  </w:style>
  <w:style w:type="paragraph" w:styleId="1043">
    <w:name w:val="标题 31"/>
    <w:basedOn w:val="909"/>
    <w:next w:val="909"/>
    <w:link w:val="1044"/>
    <w:uiPriority w:val="9"/>
    <w:qFormat/>
    <w:pPr>
      <w:keepLines/>
      <w:keepNext/>
      <w:spacing w:before="320" w:after="200"/>
      <w:outlineLvl w:val="2"/>
    </w:pPr>
    <w:rPr>
      <w:rFonts w:ascii="Arial" w:hAnsi="Arial" w:eastAsia="Arial"/>
      <w:sz w:val="30"/>
      <w:szCs w:val="30"/>
    </w:rPr>
  </w:style>
  <w:style w:type="character" w:styleId="1044">
    <w:name w:val="标题 3 Char"/>
    <w:next w:val="1044"/>
    <w:link w:val="1043"/>
    <w:uiPriority w:val="9"/>
    <w:qFormat/>
    <w:rPr>
      <w:rFonts w:ascii="Arial" w:hAnsi="Arial" w:eastAsia="Arial" w:cs="Arial"/>
      <w:sz w:val="30"/>
      <w:szCs w:val="30"/>
    </w:rPr>
  </w:style>
  <w:style w:type="paragraph" w:styleId="1045">
    <w:name w:val="标题 51"/>
    <w:basedOn w:val="909"/>
    <w:next w:val="909"/>
    <w:link w:val="1046"/>
    <w:uiPriority w:val="9"/>
    <w:qFormat/>
    <w:pPr>
      <w:keepLines/>
      <w:keepNext/>
      <w:spacing w:before="320" w:after="200"/>
      <w:outlineLvl w:val="4"/>
    </w:pPr>
    <w:rPr>
      <w:rFonts w:ascii="Arial" w:hAnsi="Arial" w:eastAsia="Arial"/>
      <w:b/>
      <w:bCs/>
      <w:sz w:val="24"/>
    </w:rPr>
  </w:style>
  <w:style w:type="character" w:styleId="1046">
    <w:name w:val="标题 5 Char"/>
    <w:next w:val="1046"/>
    <w:link w:val="1045"/>
    <w:uiPriority w:val="9"/>
    <w:qFormat/>
    <w:rPr>
      <w:rFonts w:ascii="Arial" w:hAnsi="Arial" w:eastAsia="Arial" w:cs="Arial"/>
      <w:b/>
      <w:bCs/>
      <w:sz w:val="24"/>
      <w:szCs w:val="24"/>
    </w:rPr>
  </w:style>
  <w:style w:type="paragraph" w:styleId="1047">
    <w:name w:val="标题 61"/>
    <w:basedOn w:val="909"/>
    <w:next w:val="909"/>
    <w:link w:val="1048"/>
    <w:uiPriority w:val="9"/>
    <w:qFormat/>
    <w:pPr>
      <w:keepLines/>
      <w:keepNext/>
      <w:spacing w:before="320" w:after="200"/>
      <w:outlineLvl w:val="5"/>
    </w:pPr>
    <w:rPr>
      <w:rFonts w:ascii="Arial" w:hAnsi="Arial" w:eastAsia="Arial"/>
      <w:b/>
      <w:bCs/>
      <w:sz w:val="22"/>
      <w:szCs w:val="22"/>
    </w:rPr>
  </w:style>
  <w:style w:type="character" w:styleId="1048">
    <w:name w:val="标题 6 Char"/>
    <w:next w:val="1048"/>
    <w:link w:val="1047"/>
    <w:uiPriority w:val="9"/>
    <w:qFormat/>
    <w:rPr>
      <w:rFonts w:ascii="Arial" w:hAnsi="Arial" w:eastAsia="Arial" w:cs="Arial"/>
      <w:b/>
      <w:bCs/>
      <w:sz w:val="22"/>
      <w:szCs w:val="22"/>
    </w:rPr>
  </w:style>
  <w:style w:type="paragraph" w:styleId="1049">
    <w:name w:val="标题 71"/>
    <w:basedOn w:val="909"/>
    <w:next w:val="909"/>
    <w:link w:val="1050"/>
    <w:uiPriority w:val="9"/>
    <w:qFormat/>
    <w:pPr>
      <w:keepLines/>
      <w:keepNext/>
      <w:spacing w:before="320" w:after="200"/>
      <w:outlineLvl w:val="6"/>
    </w:pPr>
    <w:rPr>
      <w:rFonts w:ascii="Arial" w:hAnsi="Arial" w:eastAsia="Arial"/>
      <w:b/>
      <w:bCs/>
      <w:i/>
      <w:iCs/>
      <w:sz w:val="22"/>
      <w:szCs w:val="22"/>
    </w:rPr>
  </w:style>
  <w:style w:type="character" w:styleId="1050">
    <w:name w:val="标题 7 Char"/>
    <w:next w:val="1050"/>
    <w:link w:val="1049"/>
    <w:uiPriority w:val="9"/>
    <w:qFormat/>
    <w:rPr>
      <w:rFonts w:ascii="Arial" w:hAnsi="Arial" w:eastAsia="Arial" w:cs="Arial"/>
      <w:b/>
      <w:bCs/>
      <w:i/>
      <w:iCs/>
      <w:sz w:val="22"/>
      <w:szCs w:val="22"/>
    </w:rPr>
  </w:style>
  <w:style w:type="paragraph" w:styleId="1051">
    <w:name w:val="标题 81"/>
    <w:basedOn w:val="909"/>
    <w:next w:val="909"/>
    <w:link w:val="1052"/>
    <w:uiPriority w:val="9"/>
    <w:qFormat/>
    <w:pPr>
      <w:keepLines/>
      <w:keepNext/>
      <w:spacing w:before="320" w:after="200"/>
      <w:outlineLvl w:val="7"/>
    </w:pPr>
    <w:rPr>
      <w:rFonts w:ascii="Arial" w:hAnsi="Arial" w:eastAsia="Arial"/>
      <w:i/>
      <w:iCs/>
      <w:sz w:val="22"/>
      <w:szCs w:val="22"/>
    </w:rPr>
  </w:style>
  <w:style w:type="character" w:styleId="1052">
    <w:name w:val="标题 8 Char"/>
    <w:next w:val="1052"/>
    <w:link w:val="1051"/>
    <w:uiPriority w:val="9"/>
    <w:qFormat/>
    <w:rPr>
      <w:rFonts w:ascii="Arial" w:hAnsi="Arial" w:eastAsia="Arial" w:cs="Arial"/>
      <w:i/>
      <w:iCs/>
      <w:sz w:val="22"/>
      <w:szCs w:val="22"/>
    </w:rPr>
  </w:style>
  <w:style w:type="paragraph" w:styleId="1053">
    <w:name w:val="标题 91"/>
    <w:basedOn w:val="909"/>
    <w:next w:val="909"/>
    <w:link w:val="1054"/>
    <w:uiPriority w:val="9"/>
    <w:qFormat/>
    <w:pPr>
      <w:keepLines/>
      <w:keepNext/>
      <w:spacing w:before="320" w:after="200"/>
      <w:outlineLvl w:val="8"/>
    </w:pPr>
    <w:rPr>
      <w:rFonts w:ascii="Arial" w:hAnsi="Arial" w:eastAsia="Arial"/>
      <w:i/>
      <w:iCs/>
      <w:szCs w:val="21"/>
    </w:rPr>
  </w:style>
  <w:style w:type="character" w:styleId="1054">
    <w:name w:val="标题 9 Char"/>
    <w:next w:val="1054"/>
    <w:link w:val="1053"/>
    <w:uiPriority w:val="9"/>
    <w:qFormat/>
    <w:rPr>
      <w:rFonts w:ascii="Arial" w:hAnsi="Arial" w:eastAsia="Arial" w:cs="Arial"/>
      <w:i/>
      <w:iCs/>
      <w:sz w:val="21"/>
      <w:szCs w:val="21"/>
    </w:rPr>
  </w:style>
  <w:style w:type="character" w:styleId="1055">
    <w:name w:val="默认段落字体1"/>
    <w:next w:val="1055"/>
    <w:link w:val="909"/>
    <w:uiPriority w:val="1"/>
    <w:unhideWhenUsed/>
    <w:qFormat/>
  </w:style>
  <w:style w:type="table" w:styleId="1056">
    <w:name w:val="普通表格1"/>
    <w:next w:val="1056"/>
    <w:link w:val="909"/>
    <w:uiPriority w:val="99"/>
    <w:unhideWhenUsed/>
    <w:qFormat/>
    <w:rPr>
      <w:lang w:val="en-US" w:eastAsia="zh-CN" w:bidi="ar-SA"/>
    </w:rPr>
    <w:tblPr/>
  </w:style>
  <w:style w:type="paragraph" w:styleId="1057">
    <w:name w:val="目录 71"/>
    <w:basedOn w:val="909"/>
    <w:next w:val="909"/>
    <w:link w:val="909"/>
    <w:uiPriority w:val="39"/>
    <w:unhideWhenUsed/>
    <w:qFormat/>
    <w:pPr>
      <w:ind w:left="1701"/>
      <w:spacing w:after="57"/>
    </w:pPr>
  </w:style>
  <w:style w:type="paragraph" w:styleId="1058">
    <w:name w:val="正文缩进1"/>
    <w:basedOn w:val="909"/>
    <w:next w:val="1058"/>
    <w:link w:val="909"/>
    <w:qFormat/>
    <w:pPr>
      <w:ind w:firstLine="420"/>
    </w:pPr>
  </w:style>
  <w:style w:type="paragraph" w:styleId="1059">
    <w:name w:val="题注1"/>
    <w:basedOn w:val="909"/>
    <w:next w:val="909"/>
    <w:link w:val="909"/>
    <w:uiPriority w:val="35"/>
    <w:qFormat/>
    <w:pPr>
      <w:spacing w:line="276" w:lineRule="auto"/>
    </w:pPr>
    <w:rPr>
      <w:b/>
      <w:bCs/>
      <w:color w:val="4f81bd"/>
      <w:sz w:val="18"/>
      <w:szCs w:val="18"/>
    </w:rPr>
  </w:style>
  <w:style w:type="paragraph" w:styleId="1060">
    <w:name w:val="批注文字1"/>
    <w:basedOn w:val="909"/>
    <w:next w:val="1060"/>
    <w:link w:val="909"/>
    <w:qFormat/>
    <w:pPr>
      <w:jc w:val="left"/>
    </w:pPr>
  </w:style>
  <w:style w:type="paragraph" w:styleId="1061">
    <w:name w:val="正文文本11"/>
    <w:basedOn w:val="909"/>
    <w:next w:val="909"/>
    <w:link w:val="909"/>
    <w:qFormat/>
    <w:pPr>
      <w:spacing w:after="120"/>
    </w:pPr>
  </w:style>
  <w:style w:type="paragraph" w:styleId="1062">
    <w:name w:val="目录 51"/>
    <w:basedOn w:val="909"/>
    <w:next w:val="909"/>
    <w:link w:val="909"/>
    <w:uiPriority w:val="39"/>
    <w:unhideWhenUsed/>
    <w:qFormat/>
    <w:pPr>
      <w:ind w:left="1134"/>
      <w:spacing w:after="57"/>
    </w:pPr>
  </w:style>
  <w:style w:type="paragraph" w:styleId="1063">
    <w:name w:val="目录 31"/>
    <w:basedOn w:val="909"/>
    <w:next w:val="909"/>
    <w:link w:val="909"/>
    <w:uiPriority w:val="39"/>
    <w:unhideWhenUsed/>
    <w:qFormat/>
    <w:pPr>
      <w:ind w:left="567"/>
      <w:spacing w:after="57"/>
    </w:pPr>
  </w:style>
  <w:style w:type="paragraph" w:styleId="1064">
    <w:name w:val="纯文本1"/>
    <w:basedOn w:val="909"/>
    <w:next w:val="1064"/>
    <w:link w:val="909"/>
    <w:uiPriority w:val="99"/>
    <w:unhideWhenUsed/>
    <w:qFormat/>
    <w:rPr>
      <w:rFonts w:ascii="宋体" w:hAnsi="Courier New"/>
      <w:sz w:val="20"/>
      <w:szCs w:val="20"/>
    </w:rPr>
  </w:style>
  <w:style w:type="paragraph" w:styleId="1065">
    <w:name w:val="目录 81"/>
    <w:basedOn w:val="909"/>
    <w:next w:val="909"/>
    <w:link w:val="909"/>
    <w:uiPriority w:val="39"/>
    <w:unhideWhenUsed/>
    <w:qFormat/>
    <w:pPr>
      <w:ind w:left="1984"/>
      <w:spacing w:after="57"/>
    </w:pPr>
  </w:style>
  <w:style w:type="paragraph" w:styleId="1066">
    <w:name w:val="日期1"/>
    <w:basedOn w:val="909"/>
    <w:next w:val="909"/>
    <w:link w:val="909"/>
    <w:qFormat/>
    <w:rPr>
      <w:rFonts w:eastAsia="仿宋_GB2312"/>
      <w:sz w:val="28"/>
      <w:szCs w:val="20"/>
    </w:rPr>
  </w:style>
  <w:style w:type="paragraph" w:styleId="1067">
    <w:name w:val="正文文本缩进 21"/>
    <w:basedOn w:val="909"/>
    <w:next w:val="1067"/>
    <w:link w:val="909"/>
    <w:qFormat/>
    <w:pPr>
      <w:ind w:firstLine="475"/>
      <w:spacing w:line="10" w:lineRule="atLeast"/>
    </w:pPr>
    <w:rPr>
      <w:rFonts w:ascii="仿宋_GB2312" w:eastAsia="仿宋_GB2312"/>
      <w:sz w:val="24"/>
    </w:rPr>
  </w:style>
  <w:style w:type="paragraph" w:styleId="1068">
    <w:name w:val="尾注文本1"/>
    <w:basedOn w:val="909"/>
    <w:next w:val="1068"/>
    <w:link w:val="1069"/>
    <w:uiPriority w:val="99"/>
    <w:unhideWhenUsed/>
    <w:qFormat/>
    <w:rPr>
      <w:sz w:val="20"/>
      <w:szCs w:val="20"/>
    </w:rPr>
  </w:style>
  <w:style w:type="character" w:styleId="1069">
    <w:name w:val="尾注文本 Char"/>
    <w:next w:val="1069"/>
    <w:link w:val="1068"/>
    <w:uiPriority w:val="99"/>
    <w:qFormat/>
    <w:rPr>
      <w:sz w:val="20"/>
    </w:rPr>
  </w:style>
  <w:style w:type="paragraph" w:styleId="1070">
    <w:name w:val="批注框文本1"/>
    <w:basedOn w:val="909"/>
    <w:next w:val="1070"/>
    <w:link w:val="1071"/>
    <w:uiPriority w:val="99"/>
    <w:unhideWhenUsed/>
    <w:qFormat/>
    <w:rPr>
      <w:sz w:val="18"/>
      <w:szCs w:val="18"/>
    </w:rPr>
  </w:style>
  <w:style w:type="character" w:styleId="1071">
    <w:name w:val="批注框文本 Char"/>
    <w:next w:val="1071"/>
    <w:link w:val="1070"/>
    <w:uiPriority w:val="99"/>
    <w:semiHidden/>
    <w:qFormat/>
    <w:rPr>
      <w:rFonts w:ascii="Times New Roman" w:hAnsi="Times New Roman"/>
      <w:sz w:val="18"/>
      <w:szCs w:val="18"/>
    </w:rPr>
  </w:style>
  <w:style w:type="paragraph" w:styleId="1072">
    <w:name w:val="页脚1"/>
    <w:basedOn w:val="909"/>
    <w:next w:val="1072"/>
    <w:link w:val="909"/>
    <w:qFormat/>
    <w:pPr>
      <w:jc w:val="left"/>
      <w:tabs>
        <w:tab w:val="center" w:pos="4153" w:leader="none"/>
        <w:tab w:val="right" w:pos="8306" w:leader="none"/>
      </w:tabs>
    </w:pPr>
    <w:rPr>
      <w:sz w:val="18"/>
      <w:szCs w:val="18"/>
    </w:rPr>
  </w:style>
  <w:style w:type="paragraph" w:styleId="1073">
    <w:name w:val="页眉1"/>
    <w:basedOn w:val="909"/>
    <w:next w:val="1073"/>
    <w:link w:val="909"/>
    <w:qFormat/>
    <w:pPr>
      <w:jc w:val="center"/>
      <w:tabs>
        <w:tab w:val="center" w:pos="4153" w:leader="none"/>
        <w:tab w:val="right" w:pos="8306" w:leader="none"/>
      </w:tabs>
      <w:pBdr>
        <w:bottom w:val="single" w:color="000000" w:sz="6" w:space="1"/>
      </w:pBdr>
    </w:pPr>
    <w:rPr>
      <w:sz w:val="18"/>
      <w:szCs w:val="18"/>
    </w:rPr>
  </w:style>
  <w:style w:type="paragraph" w:styleId="1074">
    <w:name w:val="目录 41"/>
    <w:basedOn w:val="909"/>
    <w:next w:val="909"/>
    <w:link w:val="909"/>
    <w:uiPriority w:val="39"/>
    <w:unhideWhenUsed/>
    <w:qFormat/>
    <w:pPr>
      <w:ind w:left="850"/>
      <w:spacing w:after="57"/>
    </w:pPr>
  </w:style>
  <w:style w:type="paragraph" w:styleId="1075">
    <w:name w:val="副标题1"/>
    <w:basedOn w:val="909"/>
    <w:next w:val="909"/>
    <w:link w:val="1076"/>
    <w:uiPriority w:val="11"/>
    <w:qFormat/>
    <w:pPr>
      <w:spacing w:before="200" w:after="200"/>
    </w:pPr>
    <w:rPr>
      <w:sz w:val="24"/>
    </w:rPr>
  </w:style>
  <w:style w:type="character" w:styleId="1076">
    <w:name w:val="副标题 Char"/>
    <w:next w:val="1076"/>
    <w:link w:val="1075"/>
    <w:uiPriority w:val="11"/>
    <w:qFormat/>
    <w:rPr>
      <w:sz w:val="24"/>
      <w:szCs w:val="24"/>
    </w:rPr>
  </w:style>
  <w:style w:type="paragraph" w:styleId="1077">
    <w:name w:val="目录 61"/>
    <w:basedOn w:val="909"/>
    <w:next w:val="909"/>
    <w:link w:val="909"/>
    <w:uiPriority w:val="39"/>
    <w:unhideWhenUsed/>
    <w:qFormat/>
    <w:pPr>
      <w:ind w:left="1417"/>
      <w:spacing w:after="57"/>
    </w:pPr>
  </w:style>
  <w:style w:type="paragraph" w:styleId="1078">
    <w:name w:val="图表目录1"/>
    <w:basedOn w:val="909"/>
    <w:next w:val="909"/>
    <w:link w:val="909"/>
    <w:uiPriority w:val="99"/>
    <w:unhideWhenUsed/>
    <w:qFormat/>
  </w:style>
  <w:style w:type="paragraph" w:styleId="1079">
    <w:name w:val="目录 21"/>
    <w:basedOn w:val="909"/>
    <w:next w:val="909"/>
    <w:link w:val="909"/>
    <w:uiPriority w:val="39"/>
    <w:unhideWhenUsed/>
    <w:qFormat/>
    <w:pPr>
      <w:ind w:left="283"/>
      <w:spacing w:after="57"/>
    </w:pPr>
  </w:style>
  <w:style w:type="paragraph" w:styleId="1080">
    <w:name w:val="目录 91"/>
    <w:basedOn w:val="909"/>
    <w:next w:val="909"/>
    <w:link w:val="909"/>
    <w:uiPriority w:val="39"/>
    <w:unhideWhenUsed/>
    <w:qFormat/>
    <w:pPr>
      <w:ind w:left="2268"/>
      <w:spacing w:after="57"/>
    </w:pPr>
  </w:style>
  <w:style w:type="paragraph" w:styleId="1081">
    <w:name w:val="普通(网站)11"/>
    <w:basedOn w:val="909"/>
    <w:next w:val="1081"/>
    <w:link w:val="909"/>
    <w:qFormat/>
    <w:pPr>
      <w:jc w:val="left"/>
      <w:spacing w:before="100" w:beforeAutospacing="1" w:after="100" w:afterAutospacing="1"/>
      <w:widowControl/>
    </w:pPr>
    <w:rPr>
      <w:rFonts w:ascii="宋体" w:hAnsi="宋体" w:cs="宋体"/>
      <w:sz w:val="24"/>
    </w:rPr>
  </w:style>
  <w:style w:type="paragraph" w:styleId="1082">
    <w:name w:val="标题1"/>
    <w:basedOn w:val="909"/>
    <w:next w:val="909"/>
    <w:link w:val="1083"/>
    <w:uiPriority w:val="10"/>
    <w:qFormat/>
    <w:pPr>
      <w:contextualSpacing/>
      <w:spacing w:before="300" w:after="200"/>
    </w:pPr>
    <w:rPr>
      <w:sz w:val="48"/>
      <w:szCs w:val="48"/>
    </w:rPr>
  </w:style>
  <w:style w:type="character" w:styleId="1083">
    <w:name w:val="标题 Char"/>
    <w:next w:val="1083"/>
    <w:link w:val="1082"/>
    <w:uiPriority w:val="10"/>
    <w:qFormat/>
    <w:rPr>
      <w:sz w:val="48"/>
      <w:szCs w:val="48"/>
    </w:rPr>
  </w:style>
  <w:style w:type="paragraph" w:styleId="1084">
    <w:name w:val="正文首行缩进1"/>
    <w:basedOn w:val="1061"/>
    <w:next w:val="1084"/>
    <w:link w:val="909"/>
    <w:qFormat/>
    <w:pPr>
      <w:ind w:firstLine="420"/>
    </w:pPr>
  </w:style>
  <w:style w:type="table" w:styleId="1085">
    <w:name w:val="网格型1"/>
    <w:basedOn w:val="1056"/>
    <w:next w:val="1085"/>
    <w:link w:val="909"/>
    <w:qFormat/>
    <w:pPr>
      <w:jc w:val="both"/>
      <w:widowControl w:val="off"/>
    </w:pPr>
    <w:tblPr/>
  </w:style>
  <w:style w:type="character" w:styleId="1086">
    <w:name w:val="尾注引用1"/>
    <w:next w:val="1086"/>
    <w:link w:val="909"/>
    <w:uiPriority w:val="99"/>
    <w:unhideWhenUsed/>
    <w:qFormat/>
    <w:rPr>
      <w:vertAlign w:val="superscript"/>
    </w:rPr>
  </w:style>
  <w:style w:type="character" w:styleId="1087">
    <w:name w:val="页码1"/>
    <w:next w:val="1087"/>
    <w:link w:val="909"/>
    <w:qFormat/>
  </w:style>
  <w:style w:type="character" w:styleId="1088">
    <w:name w:val="已访问的超链接1"/>
    <w:next w:val="1088"/>
    <w:link w:val="909"/>
    <w:uiPriority w:val="99"/>
    <w:unhideWhenUsed/>
    <w:qFormat/>
    <w:rPr>
      <w:color w:val="333333"/>
      <w:u w:val="none"/>
    </w:rPr>
  </w:style>
  <w:style w:type="character" w:styleId="1089">
    <w:name w:val="超链接1"/>
    <w:next w:val="1089"/>
    <w:link w:val="909"/>
    <w:qFormat/>
    <w:rPr>
      <w:color w:val="0000ff"/>
      <w:u w:val="single"/>
    </w:rPr>
  </w:style>
  <w:style w:type="character" w:styleId="1090">
    <w:name w:val="批注引用1"/>
    <w:next w:val="1090"/>
    <w:link w:val="909"/>
    <w:qFormat/>
    <w:rPr>
      <w:sz w:val="21"/>
      <w:szCs w:val="21"/>
    </w:rPr>
  </w:style>
  <w:style w:type="character" w:styleId="1091">
    <w:name w:val="脚注引用1"/>
    <w:next w:val="1091"/>
    <w:link w:val="909"/>
    <w:uiPriority w:val="99"/>
    <w:unhideWhenUsed/>
    <w:qFormat/>
    <w:rPr>
      <w:vertAlign w:val="superscript"/>
    </w:rPr>
  </w:style>
  <w:style w:type="character" w:styleId="1092">
    <w:name w:val="Heading 1 Char"/>
    <w:next w:val="1092"/>
    <w:link w:val="909"/>
    <w:uiPriority w:val="9"/>
    <w:qFormat/>
    <w:rPr>
      <w:rFonts w:ascii="Arial" w:hAnsi="Arial" w:eastAsia="Arial" w:cs="Arial"/>
      <w:sz w:val="40"/>
      <w:szCs w:val="40"/>
    </w:rPr>
  </w:style>
  <w:style w:type="character" w:styleId="1093">
    <w:name w:val="Endnote Text Char"/>
    <w:next w:val="1093"/>
    <w:link w:val="909"/>
    <w:uiPriority w:val="99"/>
    <w:qFormat/>
    <w:rPr>
      <w:sz w:val="20"/>
    </w:rPr>
  </w:style>
  <w:style w:type="character" w:styleId="1094">
    <w:name w:val="Header Char"/>
    <w:next w:val="1094"/>
    <w:link w:val="909"/>
    <w:uiPriority w:val="99"/>
    <w:qFormat/>
  </w:style>
  <w:style w:type="character" w:styleId="1095">
    <w:name w:val="Heading 6 Char"/>
    <w:next w:val="1095"/>
    <w:link w:val="909"/>
    <w:uiPriority w:val="9"/>
    <w:qFormat/>
    <w:rPr>
      <w:rFonts w:ascii="Arial" w:hAnsi="Arial" w:eastAsia="Arial" w:cs="Arial"/>
      <w:b/>
      <w:bCs/>
      <w:sz w:val="22"/>
      <w:szCs w:val="22"/>
    </w:rPr>
  </w:style>
  <w:style w:type="character" w:styleId="1096">
    <w:name w:val="Heading 2 Char"/>
    <w:next w:val="1096"/>
    <w:link w:val="909"/>
    <w:uiPriority w:val="9"/>
    <w:qFormat/>
    <w:rPr>
      <w:rFonts w:ascii="Arial" w:hAnsi="Arial" w:eastAsia="Arial" w:cs="Arial"/>
      <w:sz w:val="34"/>
    </w:rPr>
  </w:style>
  <w:style w:type="character" w:styleId="1097">
    <w:name w:val="Heading 4 Char"/>
    <w:next w:val="1097"/>
    <w:link w:val="909"/>
    <w:uiPriority w:val="9"/>
    <w:qFormat/>
    <w:rPr>
      <w:rFonts w:ascii="Arial" w:hAnsi="Arial" w:eastAsia="Arial" w:cs="Arial"/>
      <w:b/>
      <w:bCs/>
      <w:sz w:val="26"/>
      <w:szCs w:val="26"/>
    </w:rPr>
  </w:style>
  <w:style w:type="character" w:styleId="1098">
    <w:name w:val="Subtitle Char"/>
    <w:next w:val="1098"/>
    <w:link w:val="909"/>
    <w:uiPriority w:val="11"/>
    <w:qFormat/>
    <w:rPr>
      <w:sz w:val="24"/>
      <w:szCs w:val="24"/>
    </w:rPr>
  </w:style>
  <w:style w:type="character" w:styleId="1099">
    <w:name w:val="明显引用 Char"/>
    <w:next w:val="1099"/>
    <w:link w:val="1100"/>
    <w:uiPriority w:val="30"/>
    <w:qFormat/>
    <w:rPr>
      <w:i/>
    </w:rPr>
  </w:style>
  <w:style w:type="paragraph" w:styleId="1100">
    <w:name w:val="明显引用1"/>
    <w:basedOn w:val="909"/>
    <w:next w:val="909"/>
    <w:link w:val="10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01">
    <w:name w:val="Heading 8 Char"/>
    <w:next w:val="1101"/>
    <w:link w:val="909"/>
    <w:uiPriority w:val="9"/>
    <w:qFormat/>
    <w:rPr>
      <w:rFonts w:ascii="Arial" w:hAnsi="Arial" w:eastAsia="Arial" w:cs="Arial"/>
      <w:i/>
      <w:iCs/>
      <w:sz w:val="22"/>
      <w:szCs w:val="22"/>
    </w:rPr>
  </w:style>
  <w:style w:type="character" w:styleId="1102">
    <w:name w:val="引用 Char"/>
    <w:next w:val="1102"/>
    <w:link w:val="1103"/>
    <w:uiPriority w:val="29"/>
    <w:qFormat/>
    <w:rPr>
      <w:i/>
    </w:rPr>
  </w:style>
  <w:style w:type="paragraph" w:styleId="1103">
    <w:name w:val="引用1"/>
    <w:basedOn w:val="909"/>
    <w:next w:val="909"/>
    <w:link w:val="1102"/>
    <w:uiPriority w:val="29"/>
    <w:qFormat/>
    <w:pPr>
      <w:ind w:left="720" w:right="720"/>
    </w:pPr>
    <w:rPr>
      <w:i/>
      <w:sz w:val="20"/>
      <w:szCs w:val="20"/>
    </w:rPr>
  </w:style>
  <w:style w:type="character" w:styleId="1104">
    <w:name w:val="Footnote Text Char"/>
    <w:next w:val="1104"/>
    <w:link w:val="909"/>
    <w:uiPriority w:val="99"/>
    <w:qFormat/>
    <w:rPr>
      <w:sz w:val="18"/>
    </w:rPr>
  </w:style>
  <w:style w:type="character" w:styleId="1105">
    <w:name w:val="Heading 5 Char"/>
    <w:next w:val="1105"/>
    <w:link w:val="909"/>
    <w:uiPriority w:val="9"/>
    <w:qFormat/>
    <w:rPr>
      <w:rFonts w:ascii="Arial" w:hAnsi="Arial" w:eastAsia="Arial" w:cs="Arial"/>
      <w:b/>
      <w:bCs/>
      <w:sz w:val="24"/>
      <w:szCs w:val="24"/>
    </w:rPr>
  </w:style>
  <w:style w:type="character" w:styleId="1106">
    <w:name w:val="Intense Quote Char"/>
    <w:next w:val="1106"/>
    <w:link w:val="909"/>
    <w:uiPriority w:val="30"/>
    <w:qFormat/>
    <w:rPr>
      <w:i/>
    </w:rPr>
  </w:style>
  <w:style w:type="character" w:styleId="1107">
    <w:name w:val="Heading 3 Char"/>
    <w:next w:val="1107"/>
    <w:link w:val="909"/>
    <w:uiPriority w:val="9"/>
    <w:qFormat/>
    <w:rPr>
      <w:rFonts w:ascii="Arial" w:hAnsi="Arial" w:eastAsia="Arial" w:cs="Arial"/>
      <w:sz w:val="30"/>
      <w:szCs w:val="30"/>
    </w:rPr>
  </w:style>
  <w:style w:type="character" w:styleId="1108">
    <w:name w:val="Caption Char"/>
    <w:next w:val="1108"/>
    <w:link w:val="909"/>
    <w:uiPriority w:val="99"/>
    <w:qFormat/>
  </w:style>
  <w:style w:type="character" w:styleId="1109">
    <w:name w:val="Footer Char"/>
    <w:next w:val="1109"/>
    <w:link w:val="909"/>
    <w:uiPriority w:val="99"/>
    <w:qFormat/>
  </w:style>
  <w:style w:type="character" w:styleId="1110">
    <w:name w:val="Quote Char"/>
    <w:next w:val="1110"/>
    <w:link w:val="909"/>
    <w:uiPriority w:val="29"/>
    <w:qFormat/>
    <w:rPr>
      <w:i/>
    </w:rPr>
  </w:style>
  <w:style w:type="character" w:styleId="1111">
    <w:name w:val="Title Char"/>
    <w:next w:val="1111"/>
    <w:link w:val="909"/>
    <w:uiPriority w:val="10"/>
    <w:qFormat/>
    <w:rPr>
      <w:sz w:val="48"/>
      <w:szCs w:val="48"/>
    </w:rPr>
  </w:style>
  <w:style w:type="character" w:styleId="1112">
    <w:name w:val="Heading 9 Char"/>
    <w:next w:val="1112"/>
    <w:link w:val="909"/>
    <w:uiPriority w:val="9"/>
    <w:qFormat/>
    <w:rPr>
      <w:rFonts w:ascii="Arial" w:hAnsi="Arial" w:eastAsia="Arial" w:cs="Arial"/>
      <w:i/>
      <w:iCs/>
      <w:sz w:val="21"/>
      <w:szCs w:val="21"/>
    </w:rPr>
  </w:style>
  <w:style w:type="character" w:styleId="1113">
    <w:name w:val="Heading 7 Char"/>
    <w:next w:val="1113"/>
    <w:link w:val="909"/>
    <w:uiPriority w:val="9"/>
    <w:qFormat/>
    <w:rPr>
      <w:rFonts w:ascii="Arial" w:hAnsi="Arial" w:eastAsia="Arial" w:cs="Arial"/>
      <w:b/>
      <w:bCs/>
      <w:i/>
      <w:iCs/>
      <w:sz w:val="22"/>
      <w:szCs w:val="22"/>
    </w:rPr>
  </w:style>
  <w:style w:type="paragraph" w:styleId="1114">
    <w:name w:val="TOC 标题111"/>
    <w:next w:val="1114"/>
    <w:link w:val="909"/>
    <w:uiPriority w:val="39"/>
    <w:unhideWhenUsed/>
    <w:qFormat/>
    <w:rPr>
      <w:lang w:val="en-US" w:eastAsia="zh-CN" w:bidi="ar-SA"/>
    </w:rPr>
  </w:style>
  <w:style w:type="paragraph" w:styleId="1115">
    <w:name w:val="DAS正文"/>
    <w:basedOn w:val="909"/>
    <w:next w:val="1115"/>
    <w:link w:val="909"/>
    <w:qFormat/>
    <w:pPr>
      <w:ind w:right="181" w:firstLine="480"/>
      <w:spacing w:line="360" w:lineRule="auto"/>
    </w:pPr>
    <w:rPr>
      <w:rFonts w:ascii="Verdana" w:hAnsi="Verdana"/>
      <w:sz w:val="24"/>
    </w:rPr>
  </w:style>
  <w:style w:type="paragraph" w:styleId="1116">
    <w:name w:val="UserStyle_0"/>
    <w:basedOn w:val="909"/>
    <w:next w:val="909"/>
    <w:link w:val="909"/>
    <w:qFormat/>
  </w:style>
  <w:style w:type="paragraph" w:styleId="1117">
    <w:name w:val="列出段落1"/>
    <w:basedOn w:val="909"/>
    <w:next w:val="1117"/>
    <w:link w:val="909"/>
    <w:uiPriority w:val="34"/>
    <w:qFormat/>
    <w:pPr>
      <w:contextualSpacing/>
      <w:ind w:left="720"/>
    </w:pPr>
  </w:style>
  <w:style w:type="paragraph" w:styleId="1118">
    <w:name w:val="TOC 标题11"/>
    <w:next w:val="1118"/>
    <w:link w:val="909"/>
    <w:uiPriority w:val="39"/>
    <w:unhideWhenUsed/>
    <w:qFormat/>
    <w:rPr>
      <w:lang w:val="en-US" w:eastAsia="zh-CN" w:bidi="ar-SA"/>
    </w:rPr>
  </w:style>
  <w:style w:type="paragraph" w:styleId="1119">
    <w:name w:val="普通(网站)1"/>
    <w:basedOn w:val="932"/>
    <w:next w:val="1119"/>
    <w:link w:val="909"/>
    <w:qFormat/>
    <w:pPr>
      <w:jc w:val="left"/>
      <w:spacing w:before="100" w:beforeAutospacing="1" w:after="100" w:afterAutospacing="1"/>
      <w:widowControl/>
    </w:pPr>
    <w:rPr>
      <w:rFonts w:ascii="宋体" w:hAnsi="宋体"/>
      <w:sz w:val="24"/>
    </w:rPr>
  </w:style>
  <w:style w:type="paragraph" w:styleId="1120">
    <w:name w:val="无间隔1"/>
    <w:next w:val="1120"/>
    <w:link w:val="909"/>
    <w:qFormat/>
    <w:rPr>
      <w:sz w:val="22"/>
      <w:szCs w:val="22"/>
      <w:lang w:val="en-US" w:eastAsia="en-US" w:bidi="ar-SA"/>
    </w:rPr>
  </w:style>
  <w:style w:type="paragraph" w:styleId="1121">
    <w:name w:val="默认段落字体 Para Char Char Char Char Char Char Char"/>
    <w:basedOn w:val="909"/>
    <w:next w:val="1121"/>
    <w:link w:val="909"/>
    <w:qFormat/>
    <w:rPr>
      <w:rFonts w:ascii="Tahoma" w:hAnsi="Tahoma"/>
      <w:sz w:val="24"/>
      <w:szCs w:val="20"/>
    </w:rPr>
  </w:style>
  <w:style w:type="paragraph" w:styleId="1122">
    <w:name w:val="普通正文"/>
    <w:basedOn w:val="909"/>
    <w:next w:val="1122"/>
    <w:link w:val="909"/>
    <w:qFormat/>
    <w:pPr>
      <w:ind w:firstLine="480"/>
      <w:jc w:val="left"/>
      <w:spacing w:before="120" w:after="120" w:line="360" w:lineRule="auto"/>
    </w:pPr>
    <w:rPr>
      <w:rFonts w:ascii="Arial" w:hAnsi="Arial"/>
      <w:sz w:val="24"/>
    </w:rPr>
  </w:style>
  <w:style w:type="paragraph" w:styleId="1123">
    <w:name w:val="Char"/>
    <w:basedOn w:val="909"/>
    <w:next w:val="1123"/>
    <w:link w:val="909"/>
    <w:qFormat/>
    <w:pPr>
      <w:tabs>
        <w:tab w:val="left" w:pos="360" w:leader="none"/>
      </w:tabs>
    </w:pPr>
    <w:rPr>
      <w:sz w:val="24"/>
    </w:rPr>
  </w:style>
  <w:style w:type="paragraph" w:styleId="1124">
    <w:name w:val="_HT_正文"/>
    <w:basedOn w:val="909"/>
    <w:next w:val="1124"/>
    <w:link w:val="909"/>
    <w:qFormat/>
    <w:pPr>
      <w:ind w:firstLine="200"/>
      <w:spacing w:line="360" w:lineRule="auto"/>
    </w:pPr>
    <w:rPr>
      <w:sz w:val="24"/>
    </w:rPr>
  </w:style>
  <w:style w:type="paragraph" w:styleId="1125">
    <w:name w:val="p0"/>
    <w:basedOn w:val="909"/>
    <w:next w:val="1125"/>
    <w:link w:val="909"/>
    <w:qFormat/>
    <w:pPr>
      <w:widowControl/>
    </w:pPr>
    <w:rPr>
      <w:szCs w:val="21"/>
    </w:rPr>
  </w:style>
  <w:style w:type="paragraph" w:styleId="1126">
    <w:name w:val="无间隔2"/>
    <w:next w:val="1126"/>
    <w:link w:val="909"/>
    <w:uiPriority w:val="1"/>
    <w:qFormat/>
    <w:rPr>
      <w:lang w:val="en-US" w:eastAsia="zh-CN" w:bidi="ar-SA"/>
    </w:rPr>
  </w:style>
  <w:style w:type="paragraph" w:styleId="1127">
    <w:name w:val="正文49"/>
    <w:next w:val="1127"/>
    <w:link w:val="909"/>
    <w:qFormat/>
    <w:pPr>
      <w:jc w:val="both"/>
      <w:widowControl w:val="off"/>
    </w:pPr>
    <w:rPr>
      <w:sz w:val="21"/>
      <w:szCs w:val="22"/>
      <w:lang w:val="en-US" w:eastAsia="zh-CN" w:bidi="ar-SA"/>
    </w:rPr>
  </w:style>
  <w:style w:type="paragraph" w:styleId="1128">
    <w:name w:val="投标文件正文"/>
    <w:basedOn w:val="909"/>
    <w:next w:val="1128"/>
    <w:link w:val="909"/>
    <w:qFormat/>
    <w:pPr>
      <w:ind w:firstLine="200"/>
      <w:spacing w:before="40" w:after="40" w:line="400" w:lineRule="exact"/>
    </w:pPr>
    <w:rPr>
      <w:sz w:val="24"/>
    </w:rPr>
  </w:style>
  <w:style w:type="table" w:styleId="1129">
    <w:name w:val="List Table 5 Dark - Accent 6"/>
    <w:basedOn w:val="1056"/>
    <w:next w:val="1129"/>
    <w:link w:val="909"/>
    <w:uiPriority w:val="99"/>
    <w:qFormat/>
    <w:tblPr/>
  </w:style>
  <w:style w:type="table" w:styleId="1130">
    <w:name w:val="Grid Table 1 Light - Accent 3"/>
    <w:basedOn w:val="1056"/>
    <w:next w:val="1130"/>
    <w:link w:val="909"/>
    <w:uiPriority w:val="99"/>
    <w:qFormat/>
    <w:tblPr/>
  </w:style>
  <w:style w:type="table" w:styleId="1131">
    <w:name w:val="Grid Table 1 Light - Accent 2"/>
    <w:basedOn w:val="1056"/>
    <w:next w:val="1131"/>
    <w:link w:val="909"/>
    <w:uiPriority w:val="99"/>
    <w:qFormat/>
    <w:tblPr/>
  </w:style>
  <w:style w:type="table" w:styleId="1132">
    <w:name w:val="List Table 3 - Accent 3"/>
    <w:basedOn w:val="1056"/>
    <w:next w:val="1132"/>
    <w:link w:val="909"/>
    <w:uiPriority w:val="99"/>
    <w:qFormat/>
    <w:tblPr/>
  </w:style>
  <w:style w:type="table" w:styleId="1133">
    <w:name w:val="Grid Table 2 - Accent 1"/>
    <w:basedOn w:val="1056"/>
    <w:next w:val="1133"/>
    <w:link w:val="909"/>
    <w:uiPriority w:val="99"/>
    <w:qFormat/>
    <w:tblPr/>
  </w:style>
  <w:style w:type="table" w:styleId="1134">
    <w:name w:val="Bordered - Accent 4"/>
    <w:basedOn w:val="1056"/>
    <w:next w:val="1134"/>
    <w:link w:val="909"/>
    <w:uiPriority w:val="99"/>
    <w:qFormat/>
    <w:tblPr/>
  </w:style>
  <w:style w:type="table" w:styleId="1135">
    <w:name w:val="Grid Table 1 Light - Accent 5"/>
    <w:basedOn w:val="1056"/>
    <w:next w:val="1135"/>
    <w:link w:val="909"/>
    <w:uiPriority w:val="99"/>
    <w:qFormat/>
    <w:tblPr/>
  </w:style>
  <w:style w:type="table" w:styleId="1136">
    <w:name w:val="Grid Table 2 - Accent 5"/>
    <w:basedOn w:val="1056"/>
    <w:next w:val="1136"/>
    <w:link w:val="909"/>
    <w:uiPriority w:val="99"/>
    <w:qFormat/>
    <w:tblPr/>
  </w:style>
  <w:style w:type="table" w:styleId="1137">
    <w:name w:val="List Table 4 - Accent 2"/>
    <w:basedOn w:val="1056"/>
    <w:next w:val="1137"/>
    <w:link w:val="909"/>
    <w:uiPriority w:val="99"/>
    <w:qFormat/>
    <w:tblPr/>
  </w:style>
  <w:style w:type="table" w:styleId="1138">
    <w:name w:val="Grid Table 5 Dark - Accent 2"/>
    <w:basedOn w:val="1056"/>
    <w:next w:val="1138"/>
    <w:link w:val="909"/>
    <w:uiPriority w:val="99"/>
    <w:qFormat/>
    <w:tblPr/>
  </w:style>
  <w:style w:type="table" w:styleId="1139">
    <w:name w:val="清单表 1 浅色1"/>
    <w:basedOn w:val="1056"/>
    <w:next w:val="1139"/>
    <w:link w:val="909"/>
    <w:uiPriority w:val="99"/>
    <w:qFormat/>
    <w:tblPr/>
  </w:style>
  <w:style w:type="table" w:styleId="1140">
    <w:name w:val="List Table 2 - Accent 1"/>
    <w:basedOn w:val="1056"/>
    <w:next w:val="1140"/>
    <w:link w:val="909"/>
    <w:uiPriority w:val="99"/>
    <w:qFormat/>
    <w:tblPr/>
  </w:style>
  <w:style w:type="table" w:styleId="1141">
    <w:name w:val="List Table 6 Colorful - Accent 1"/>
    <w:basedOn w:val="1056"/>
    <w:next w:val="1141"/>
    <w:link w:val="909"/>
    <w:uiPriority w:val="99"/>
    <w:qFormat/>
    <w:tblPr/>
  </w:style>
  <w:style w:type="table" w:styleId="1142">
    <w:name w:val="Grid Table 1 Light - Accent 1"/>
    <w:basedOn w:val="1056"/>
    <w:next w:val="1142"/>
    <w:link w:val="909"/>
    <w:uiPriority w:val="99"/>
    <w:qFormat/>
    <w:tblPr/>
  </w:style>
  <w:style w:type="table" w:styleId="1143">
    <w:name w:val="Grid Table 3 - Accent 3"/>
    <w:basedOn w:val="1056"/>
    <w:next w:val="1143"/>
    <w:link w:val="909"/>
    <w:uiPriority w:val="99"/>
    <w:qFormat/>
    <w:tblPr/>
  </w:style>
  <w:style w:type="table" w:styleId="1144">
    <w:name w:val="Bordered &amp; Lined - Accent 4"/>
    <w:basedOn w:val="1056"/>
    <w:next w:val="1144"/>
    <w:link w:val="909"/>
    <w:uiPriority w:val="99"/>
    <w:qFormat/>
    <w:rPr>
      <w:color w:val="404040"/>
    </w:rPr>
    <w:tblPr/>
  </w:style>
  <w:style w:type="table" w:styleId="1145">
    <w:name w:val="List Table 2 - Accent 2"/>
    <w:basedOn w:val="1056"/>
    <w:next w:val="1145"/>
    <w:link w:val="909"/>
    <w:uiPriority w:val="99"/>
    <w:qFormat/>
    <w:tblPr/>
  </w:style>
  <w:style w:type="table" w:styleId="1146">
    <w:name w:val="清单表 5 深色1"/>
    <w:basedOn w:val="1056"/>
    <w:next w:val="1146"/>
    <w:link w:val="909"/>
    <w:uiPriority w:val="99"/>
    <w:qFormat/>
    <w:tblPr/>
  </w:style>
  <w:style w:type="table" w:styleId="1147">
    <w:name w:val="Lined - Accent 5"/>
    <w:basedOn w:val="1056"/>
    <w:next w:val="1147"/>
    <w:link w:val="909"/>
    <w:uiPriority w:val="99"/>
    <w:qFormat/>
    <w:rPr>
      <w:color w:val="404040"/>
    </w:rPr>
    <w:tblPr/>
  </w:style>
  <w:style w:type="table" w:styleId="1148">
    <w:name w:val="Bordered - Accent 6"/>
    <w:basedOn w:val="1056"/>
    <w:next w:val="1148"/>
    <w:link w:val="909"/>
    <w:uiPriority w:val="99"/>
    <w:qFormat/>
    <w:tblPr/>
  </w:style>
  <w:style w:type="table" w:styleId="1149">
    <w:name w:val="清单表 6 彩色1"/>
    <w:basedOn w:val="1056"/>
    <w:next w:val="1149"/>
    <w:link w:val="909"/>
    <w:uiPriority w:val="99"/>
    <w:qFormat/>
    <w:tblPr/>
  </w:style>
  <w:style w:type="table" w:styleId="1150">
    <w:name w:val="Grid Table 5 Dark- Accent 1"/>
    <w:basedOn w:val="1056"/>
    <w:next w:val="1150"/>
    <w:link w:val="909"/>
    <w:uiPriority w:val="99"/>
    <w:qFormat/>
    <w:tblPr/>
  </w:style>
  <w:style w:type="table" w:styleId="1151">
    <w:name w:val="Grid Table 6 Colorful - Accent 6"/>
    <w:basedOn w:val="1056"/>
    <w:next w:val="1151"/>
    <w:link w:val="909"/>
    <w:uiPriority w:val="99"/>
    <w:qFormat/>
    <w:tblPr/>
  </w:style>
  <w:style w:type="table" w:styleId="1152">
    <w:name w:val="List Table 3 - Accent 5"/>
    <w:basedOn w:val="1056"/>
    <w:next w:val="1152"/>
    <w:link w:val="909"/>
    <w:uiPriority w:val="99"/>
    <w:qFormat/>
    <w:tblPr/>
  </w:style>
  <w:style w:type="table" w:styleId="1153">
    <w:name w:val="Grid Table 4 - Accent 6"/>
    <w:basedOn w:val="1056"/>
    <w:next w:val="1153"/>
    <w:link w:val="909"/>
    <w:uiPriority w:val="59"/>
    <w:qFormat/>
    <w:tblPr/>
  </w:style>
  <w:style w:type="table" w:styleId="1154">
    <w:name w:val="Bordered - Accent 3"/>
    <w:basedOn w:val="1056"/>
    <w:next w:val="1154"/>
    <w:link w:val="909"/>
    <w:uiPriority w:val="99"/>
    <w:qFormat/>
    <w:tblPr/>
  </w:style>
  <w:style w:type="table" w:styleId="1155">
    <w:name w:val="List Table 4 - Accent 3"/>
    <w:basedOn w:val="1056"/>
    <w:next w:val="1155"/>
    <w:link w:val="909"/>
    <w:uiPriority w:val="99"/>
    <w:qFormat/>
    <w:tblPr/>
  </w:style>
  <w:style w:type="table" w:styleId="1156">
    <w:name w:val="网格表 5 深色1"/>
    <w:basedOn w:val="1056"/>
    <w:next w:val="1156"/>
    <w:link w:val="909"/>
    <w:uiPriority w:val="99"/>
    <w:qFormat/>
    <w:tblPr/>
  </w:style>
  <w:style w:type="table" w:styleId="1157">
    <w:name w:val="Grid Table 2 - Accent 6"/>
    <w:basedOn w:val="1056"/>
    <w:next w:val="1157"/>
    <w:link w:val="909"/>
    <w:uiPriority w:val="99"/>
    <w:qFormat/>
    <w:tblPr/>
  </w:style>
  <w:style w:type="table" w:styleId="1158">
    <w:name w:val="List Table 4 - Accent 4"/>
    <w:basedOn w:val="1056"/>
    <w:next w:val="1158"/>
    <w:link w:val="909"/>
    <w:uiPriority w:val="99"/>
    <w:qFormat/>
    <w:tblPr/>
  </w:style>
  <w:style w:type="table" w:styleId="1159">
    <w:name w:val="Lined - Accent 3"/>
    <w:basedOn w:val="1056"/>
    <w:next w:val="1159"/>
    <w:link w:val="909"/>
    <w:uiPriority w:val="99"/>
    <w:qFormat/>
    <w:rPr>
      <w:color w:val="404040"/>
    </w:rPr>
    <w:tblPr/>
  </w:style>
  <w:style w:type="table" w:styleId="1160">
    <w:name w:val="Grid Table 2 - Accent 2"/>
    <w:basedOn w:val="1056"/>
    <w:next w:val="1160"/>
    <w:link w:val="909"/>
    <w:uiPriority w:val="99"/>
    <w:qFormat/>
    <w:tblPr/>
  </w:style>
  <w:style w:type="table" w:styleId="1161">
    <w:name w:val="Grid Table 7 Colorful - Accent 3"/>
    <w:basedOn w:val="1056"/>
    <w:next w:val="1161"/>
    <w:link w:val="909"/>
    <w:uiPriority w:val="99"/>
    <w:qFormat/>
    <w:tblPr/>
  </w:style>
  <w:style w:type="table" w:styleId="1162">
    <w:name w:val="网格表 31"/>
    <w:basedOn w:val="1056"/>
    <w:next w:val="1162"/>
    <w:link w:val="909"/>
    <w:uiPriority w:val="99"/>
    <w:qFormat/>
    <w:tblPr/>
  </w:style>
  <w:style w:type="table" w:styleId="1163">
    <w:name w:val="List Table 5 Dark - Accent 2"/>
    <w:basedOn w:val="1056"/>
    <w:next w:val="1163"/>
    <w:link w:val="909"/>
    <w:uiPriority w:val="99"/>
    <w:qFormat/>
    <w:tblPr/>
  </w:style>
  <w:style w:type="table" w:styleId="1164">
    <w:name w:val="List Table 1 Light - Accent 5"/>
    <w:basedOn w:val="1056"/>
    <w:next w:val="1164"/>
    <w:link w:val="909"/>
    <w:uiPriority w:val="99"/>
    <w:qFormat/>
    <w:tblPr/>
  </w:style>
  <w:style w:type="table" w:styleId="1165">
    <w:name w:val="List Table 1 Light - Accent 2"/>
    <w:basedOn w:val="1056"/>
    <w:next w:val="1165"/>
    <w:link w:val="909"/>
    <w:uiPriority w:val="99"/>
    <w:qFormat/>
    <w:tblPr/>
  </w:style>
  <w:style w:type="table" w:styleId="1166">
    <w:name w:val="无格式表格 31"/>
    <w:basedOn w:val="1056"/>
    <w:next w:val="1166"/>
    <w:link w:val="909"/>
    <w:uiPriority w:val="99"/>
    <w:qFormat/>
    <w:tblPr/>
  </w:style>
  <w:style w:type="table" w:styleId="1167">
    <w:name w:val="Bordered &amp; Lined - Accent 2"/>
    <w:basedOn w:val="1056"/>
    <w:next w:val="1167"/>
    <w:link w:val="909"/>
    <w:uiPriority w:val="99"/>
    <w:qFormat/>
    <w:rPr>
      <w:color w:val="404040"/>
    </w:rPr>
    <w:tblPr/>
  </w:style>
  <w:style w:type="table" w:styleId="1168">
    <w:name w:val="网格表 1 浅色1"/>
    <w:basedOn w:val="1056"/>
    <w:next w:val="1168"/>
    <w:link w:val="909"/>
    <w:uiPriority w:val="99"/>
    <w:qFormat/>
    <w:tblPr/>
  </w:style>
  <w:style w:type="table" w:styleId="1169">
    <w:name w:val="网格表 6 彩色1"/>
    <w:basedOn w:val="1056"/>
    <w:next w:val="1169"/>
    <w:link w:val="909"/>
    <w:uiPriority w:val="99"/>
    <w:qFormat/>
    <w:tblPr/>
  </w:style>
  <w:style w:type="table" w:styleId="1170">
    <w:name w:val="List Table 1 Light - Accent 3"/>
    <w:basedOn w:val="1056"/>
    <w:next w:val="1170"/>
    <w:link w:val="909"/>
    <w:uiPriority w:val="99"/>
    <w:qFormat/>
    <w:tblPr/>
  </w:style>
  <w:style w:type="table" w:styleId="1171">
    <w:name w:val="Lined - Accent 2"/>
    <w:basedOn w:val="1056"/>
    <w:next w:val="1171"/>
    <w:link w:val="909"/>
    <w:uiPriority w:val="99"/>
    <w:qFormat/>
    <w:rPr>
      <w:color w:val="404040"/>
    </w:rPr>
    <w:tblPr/>
  </w:style>
  <w:style w:type="table" w:styleId="1172">
    <w:name w:val="List Table 6 Colorful - Accent 4"/>
    <w:basedOn w:val="1056"/>
    <w:next w:val="1172"/>
    <w:link w:val="909"/>
    <w:uiPriority w:val="99"/>
    <w:qFormat/>
    <w:tblPr/>
  </w:style>
  <w:style w:type="table" w:styleId="1173">
    <w:name w:val="Grid Table 6 Colorful - Accent 3"/>
    <w:basedOn w:val="1056"/>
    <w:next w:val="1173"/>
    <w:link w:val="909"/>
    <w:uiPriority w:val="99"/>
    <w:qFormat/>
    <w:tblPr/>
  </w:style>
  <w:style w:type="table" w:styleId="1174">
    <w:name w:val="List Table 5 Dark - Accent 5"/>
    <w:basedOn w:val="1056"/>
    <w:next w:val="1174"/>
    <w:link w:val="909"/>
    <w:uiPriority w:val="99"/>
    <w:qFormat/>
    <w:tblPr/>
  </w:style>
  <w:style w:type="table" w:styleId="1175">
    <w:name w:val="无格式表格 51"/>
    <w:basedOn w:val="1056"/>
    <w:next w:val="1175"/>
    <w:link w:val="909"/>
    <w:uiPriority w:val="99"/>
    <w:qFormat/>
    <w:tblPr/>
  </w:style>
  <w:style w:type="table" w:styleId="1176">
    <w:name w:val="List Table 7 Colorful - Accent 3"/>
    <w:basedOn w:val="1056"/>
    <w:next w:val="1176"/>
    <w:link w:val="909"/>
    <w:uiPriority w:val="99"/>
    <w:qFormat/>
    <w:tblPr/>
  </w:style>
  <w:style w:type="table" w:styleId="1177">
    <w:name w:val="Grid Table 4 - Accent 2"/>
    <w:basedOn w:val="1056"/>
    <w:next w:val="1177"/>
    <w:link w:val="909"/>
    <w:uiPriority w:val="59"/>
    <w:qFormat/>
    <w:tblPr/>
  </w:style>
  <w:style w:type="table" w:styleId="1178">
    <w:name w:val="List Table 3 - Accent 2"/>
    <w:basedOn w:val="1056"/>
    <w:next w:val="1178"/>
    <w:link w:val="909"/>
    <w:uiPriority w:val="99"/>
    <w:qFormat/>
    <w:tblPr/>
  </w:style>
  <w:style w:type="table" w:styleId="1179">
    <w:name w:val="网格表 41"/>
    <w:basedOn w:val="1056"/>
    <w:next w:val="1179"/>
    <w:link w:val="909"/>
    <w:uiPriority w:val="59"/>
    <w:qFormat/>
    <w:tblPr/>
  </w:style>
  <w:style w:type="table" w:styleId="1180">
    <w:name w:val="Bordered &amp; Lined - Accent 3"/>
    <w:basedOn w:val="1056"/>
    <w:next w:val="1180"/>
    <w:link w:val="909"/>
    <w:uiPriority w:val="99"/>
    <w:qFormat/>
    <w:rPr>
      <w:color w:val="404040"/>
    </w:rPr>
    <w:tblPr/>
  </w:style>
  <w:style w:type="table" w:styleId="1181">
    <w:name w:val="List Table 4 - Accent 6"/>
    <w:basedOn w:val="1056"/>
    <w:next w:val="1181"/>
    <w:link w:val="909"/>
    <w:uiPriority w:val="99"/>
    <w:qFormat/>
    <w:tblPr/>
  </w:style>
  <w:style w:type="table" w:styleId="1182">
    <w:name w:val="Grid Table 5 Dark - Accent 6"/>
    <w:basedOn w:val="1056"/>
    <w:next w:val="1182"/>
    <w:link w:val="909"/>
    <w:uiPriority w:val="99"/>
    <w:qFormat/>
    <w:tblPr/>
  </w:style>
  <w:style w:type="table" w:styleId="1183">
    <w:name w:val="Lined - Accent 6"/>
    <w:basedOn w:val="1056"/>
    <w:next w:val="1183"/>
    <w:link w:val="909"/>
    <w:uiPriority w:val="99"/>
    <w:qFormat/>
    <w:rPr>
      <w:color w:val="404040"/>
    </w:rPr>
    <w:tblPr/>
  </w:style>
  <w:style w:type="table" w:styleId="1184">
    <w:name w:val="List Table 6 Colorful - Accent 5"/>
    <w:basedOn w:val="1056"/>
    <w:next w:val="1184"/>
    <w:link w:val="909"/>
    <w:uiPriority w:val="99"/>
    <w:qFormat/>
    <w:tblPr/>
  </w:style>
  <w:style w:type="table" w:styleId="1185">
    <w:name w:val="List Table 7 Colorful - Accent 1"/>
    <w:basedOn w:val="1056"/>
    <w:next w:val="1185"/>
    <w:link w:val="909"/>
    <w:uiPriority w:val="99"/>
    <w:qFormat/>
    <w:tblPr/>
  </w:style>
  <w:style w:type="table" w:styleId="1186">
    <w:name w:val="Bordered &amp; Lined - Accent 1"/>
    <w:basedOn w:val="1056"/>
    <w:next w:val="1186"/>
    <w:link w:val="909"/>
    <w:uiPriority w:val="99"/>
    <w:qFormat/>
    <w:rPr>
      <w:color w:val="404040"/>
    </w:rPr>
    <w:tblPr/>
  </w:style>
  <w:style w:type="table" w:styleId="1187">
    <w:name w:val="List Table 1 Light - Accent 6"/>
    <w:basedOn w:val="1056"/>
    <w:next w:val="1187"/>
    <w:link w:val="909"/>
    <w:uiPriority w:val="99"/>
    <w:qFormat/>
    <w:tblPr/>
  </w:style>
  <w:style w:type="table" w:styleId="1188">
    <w:name w:val="Grid Table 6 Colorful - Accent 2"/>
    <w:basedOn w:val="1056"/>
    <w:next w:val="1188"/>
    <w:link w:val="909"/>
    <w:uiPriority w:val="99"/>
    <w:qFormat/>
    <w:tblPr/>
  </w:style>
  <w:style w:type="table" w:styleId="1189">
    <w:name w:val="Bordered"/>
    <w:basedOn w:val="1056"/>
    <w:next w:val="1189"/>
    <w:link w:val="909"/>
    <w:uiPriority w:val="99"/>
    <w:qFormat/>
    <w:tblPr/>
  </w:style>
  <w:style w:type="table" w:styleId="1190">
    <w:name w:val="网格表 7 彩色1"/>
    <w:basedOn w:val="1056"/>
    <w:next w:val="1190"/>
    <w:link w:val="909"/>
    <w:uiPriority w:val="99"/>
    <w:qFormat/>
    <w:tblPr/>
  </w:style>
  <w:style w:type="table" w:styleId="1191">
    <w:name w:val="Grid Table 1 Light - Accent 4"/>
    <w:basedOn w:val="1056"/>
    <w:next w:val="1191"/>
    <w:link w:val="909"/>
    <w:uiPriority w:val="99"/>
    <w:qFormat/>
    <w:tblPr/>
  </w:style>
  <w:style w:type="table" w:styleId="1192">
    <w:name w:val="List Table 3 - Accent 1"/>
    <w:basedOn w:val="1056"/>
    <w:next w:val="1192"/>
    <w:link w:val="909"/>
    <w:uiPriority w:val="99"/>
    <w:qFormat/>
    <w:tblPr/>
  </w:style>
  <w:style w:type="table" w:styleId="1193">
    <w:name w:val="Grid Table 3 - Accent 6"/>
    <w:basedOn w:val="1056"/>
    <w:next w:val="1193"/>
    <w:link w:val="909"/>
    <w:uiPriority w:val="99"/>
    <w:qFormat/>
    <w:tblPr/>
  </w:style>
  <w:style w:type="table" w:styleId="1194">
    <w:name w:val="Grid Table 3 - Accent 1"/>
    <w:basedOn w:val="1056"/>
    <w:next w:val="1194"/>
    <w:link w:val="909"/>
    <w:uiPriority w:val="99"/>
    <w:qFormat/>
    <w:tblPr/>
  </w:style>
  <w:style w:type="table" w:styleId="1195">
    <w:name w:val="List Table 4 - Accent 5"/>
    <w:basedOn w:val="1056"/>
    <w:next w:val="1195"/>
    <w:link w:val="909"/>
    <w:uiPriority w:val="99"/>
    <w:qFormat/>
    <w:tblPr/>
  </w:style>
  <w:style w:type="table" w:styleId="1196">
    <w:name w:val="Grid Table 7 Colorful - Accent 1"/>
    <w:basedOn w:val="1056"/>
    <w:next w:val="1196"/>
    <w:link w:val="909"/>
    <w:uiPriority w:val="99"/>
    <w:qFormat/>
    <w:tblPr/>
  </w:style>
  <w:style w:type="table" w:styleId="1197">
    <w:name w:val="List Table 2 - Accent 6"/>
    <w:basedOn w:val="1056"/>
    <w:next w:val="1197"/>
    <w:link w:val="909"/>
    <w:uiPriority w:val="99"/>
    <w:qFormat/>
    <w:tblPr/>
  </w:style>
  <w:style w:type="table" w:styleId="1198">
    <w:name w:val="List Table 6 Colorful - Accent 2"/>
    <w:basedOn w:val="1056"/>
    <w:next w:val="1198"/>
    <w:link w:val="909"/>
    <w:uiPriority w:val="99"/>
    <w:qFormat/>
    <w:tblPr/>
  </w:style>
  <w:style w:type="table" w:styleId="1199">
    <w:name w:val="Bordered &amp; Lined - Accent 6"/>
    <w:basedOn w:val="1056"/>
    <w:next w:val="1199"/>
    <w:link w:val="909"/>
    <w:uiPriority w:val="99"/>
    <w:qFormat/>
    <w:rPr>
      <w:color w:val="404040"/>
    </w:rPr>
    <w:tblPr/>
  </w:style>
  <w:style w:type="table" w:styleId="1200">
    <w:name w:val="Bordered - Accent 5"/>
    <w:basedOn w:val="1056"/>
    <w:next w:val="1200"/>
    <w:link w:val="909"/>
    <w:uiPriority w:val="99"/>
    <w:qFormat/>
    <w:tblPr/>
  </w:style>
  <w:style w:type="table" w:styleId="1201">
    <w:name w:val="List Table 2 - Accent 4"/>
    <w:basedOn w:val="1056"/>
    <w:next w:val="1201"/>
    <w:link w:val="909"/>
    <w:uiPriority w:val="99"/>
    <w:qFormat/>
    <w:tblPr/>
  </w:style>
  <w:style w:type="table" w:styleId="1202">
    <w:name w:val="List Table 3 - Accent 6"/>
    <w:basedOn w:val="1056"/>
    <w:next w:val="1202"/>
    <w:link w:val="909"/>
    <w:uiPriority w:val="99"/>
    <w:qFormat/>
    <w:tblPr/>
  </w:style>
  <w:style w:type="table" w:styleId="1203">
    <w:name w:val="List Table 2 - Accent 3"/>
    <w:basedOn w:val="1056"/>
    <w:next w:val="1203"/>
    <w:link w:val="909"/>
    <w:uiPriority w:val="99"/>
    <w:qFormat/>
    <w:tblPr/>
  </w:style>
  <w:style w:type="table" w:styleId="1204">
    <w:name w:val="List Table 5 Dark - Accent 3"/>
    <w:basedOn w:val="1056"/>
    <w:next w:val="1204"/>
    <w:link w:val="909"/>
    <w:uiPriority w:val="99"/>
    <w:qFormat/>
    <w:tblPr/>
  </w:style>
  <w:style w:type="table" w:styleId="1205">
    <w:name w:val="无格式表格 41"/>
    <w:basedOn w:val="1056"/>
    <w:next w:val="1205"/>
    <w:link w:val="909"/>
    <w:uiPriority w:val="99"/>
    <w:qFormat/>
    <w:tblPr/>
  </w:style>
  <w:style w:type="table" w:styleId="1206">
    <w:name w:val="Grid Table 7 Colorful - Accent 2"/>
    <w:basedOn w:val="1056"/>
    <w:next w:val="1206"/>
    <w:link w:val="909"/>
    <w:uiPriority w:val="99"/>
    <w:qFormat/>
    <w:tblPr/>
  </w:style>
  <w:style w:type="table" w:styleId="1207">
    <w:name w:val="Grid Table 3 - Accent 5"/>
    <w:basedOn w:val="1056"/>
    <w:next w:val="1207"/>
    <w:link w:val="909"/>
    <w:uiPriority w:val="99"/>
    <w:qFormat/>
    <w:tblPr/>
  </w:style>
  <w:style w:type="table" w:styleId="1208">
    <w:name w:val="Grid Table 2 - Accent 3"/>
    <w:basedOn w:val="1056"/>
    <w:next w:val="1208"/>
    <w:link w:val="909"/>
    <w:uiPriority w:val="99"/>
    <w:qFormat/>
    <w:tblPr/>
  </w:style>
  <w:style w:type="table" w:styleId="1209">
    <w:name w:val="List Table 2 - Accent 5"/>
    <w:basedOn w:val="1056"/>
    <w:next w:val="1209"/>
    <w:link w:val="909"/>
    <w:uiPriority w:val="99"/>
    <w:qFormat/>
    <w:tblPr/>
  </w:style>
  <w:style w:type="table" w:styleId="1210">
    <w:name w:val="Bordered - Accent 1"/>
    <w:basedOn w:val="1056"/>
    <w:next w:val="1210"/>
    <w:link w:val="909"/>
    <w:uiPriority w:val="99"/>
    <w:qFormat/>
    <w:tblPr/>
  </w:style>
  <w:style w:type="table" w:styleId="1211">
    <w:name w:val="List Table 1 Light - Accent 4"/>
    <w:basedOn w:val="1056"/>
    <w:next w:val="1211"/>
    <w:link w:val="909"/>
    <w:uiPriority w:val="99"/>
    <w:qFormat/>
    <w:tblPr/>
  </w:style>
  <w:style w:type="table" w:styleId="1212">
    <w:name w:val="Grid Table 4 - Accent 5"/>
    <w:basedOn w:val="1056"/>
    <w:next w:val="1212"/>
    <w:link w:val="909"/>
    <w:uiPriority w:val="59"/>
    <w:qFormat/>
    <w:tblPr/>
  </w:style>
  <w:style w:type="table" w:styleId="1213">
    <w:name w:val="无格式表格 21"/>
    <w:basedOn w:val="1056"/>
    <w:next w:val="1213"/>
    <w:link w:val="909"/>
    <w:uiPriority w:val="59"/>
    <w:qFormat/>
    <w:tblPr/>
  </w:style>
  <w:style w:type="table" w:styleId="1214">
    <w:name w:val="Grid Table 5 Dark - Accent 3"/>
    <w:basedOn w:val="1056"/>
    <w:next w:val="1214"/>
    <w:link w:val="909"/>
    <w:uiPriority w:val="99"/>
    <w:qFormat/>
    <w:tblPr/>
  </w:style>
  <w:style w:type="table" w:styleId="1215">
    <w:name w:val="Grid Table 3 - Accent 4"/>
    <w:basedOn w:val="1056"/>
    <w:next w:val="1215"/>
    <w:link w:val="909"/>
    <w:uiPriority w:val="99"/>
    <w:qFormat/>
    <w:tblPr/>
  </w:style>
  <w:style w:type="table" w:styleId="1216">
    <w:name w:val="清单表 21"/>
    <w:basedOn w:val="1056"/>
    <w:next w:val="1216"/>
    <w:link w:val="909"/>
    <w:uiPriority w:val="99"/>
    <w:qFormat/>
    <w:tblPr/>
  </w:style>
  <w:style w:type="table" w:styleId="1217">
    <w:name w:val="Grid Table 7 Colorful - Accent 4"/>
    <w:basedOn w:val="1056"/>
    <w:next w:val="1217"/>
    <w:link w:val="909"/>
    <w:uiPriority w:val="99"/>
    <w:qFormat/>
    <w:tblPr/>
  </w:style>
  <w:style w:type="table" w:styleId="1218">
    <w:name w:val="Grid Table 1 Light - Accent 6"/>
    <w:basedOn w:val="1056"/>
    <w:next w:val="1218"/>
    <w:link w:val="909"/>
    <w:uiPriority w:val="99"/>
    <w:qFormat/>
    <w:tblPr/>
  </w:style>
  <w:style w:type="table" w:styleId="1219">
    <w:name w:val="Bordered &amp; Lined - Accent"/>
    <w:basedOn w:val="1056"/>
    <w:next w:val="1219"/>
    <w:link w:val="909"/>
    <w:uiPriority w:val="99"/>
    <w:qFormat/>
    <w:rPr>
      <w:color w:val="404040"/>
    </w:rPr>
    <w:tblPr/>
  </w:style>
  <w:style w:type="table" w:styleId="1220">
    <w:name w:val="清单表 41"/>
    <w:basedOn w:val="1056"/>
    <w:next w:val="1220"/>
    <w:link w:val="909"/>
    <w:uiPriority w:val="99"/>
    <w:qFormat/>
    <w:tblPr/>
  </w:style>
  <w:style w:type="table" w:styleId="1221">
    <w:name w:val="List Table 7 Colorful - Accent 2"/>
    <w:basedOn w:val="1056"/>
    <w:next w:val="1221"/>
    <w:link w:val="909"/>
    <w:uiPriority w:val="99"/>
    <w:qFormat/>
    <w:tblPr/>
  </w:style>
  <w:style w:type="table" w:styleId="1222">
    <w:name w:val="Grid Table 7 Colorful - Accent 5"/>
    <w:basedOn w:val="1056"/>
    <w:next w:val="1222"/>
    <w:link w:val="909"/>
    <w:uiPriority w:val="99"/>
    <w:qFormat/>
    <w:tblPr/>
  </w:style>
  <w:style w:type="table" w:styleId="1223">
    <w:name w:val="Lined - Accent"/>
    <w:basedOn w:val="1056"/>
    <w:next w:val="1223"/>
    <w:link w:val="909"/>
    <w:uiPriority w:val="99"/>
    <w:qFormat/>
    <w:rPr>
      <w:color w:val="404040"/>
    </w:rPr>
    <w:tblPr/>
  </w:style>
  <w:style w:type="table" w:styleId="1224">
    <w:name w:val="无格式表格 11"/>
    <w:basedOn w:val="1056"/>
    <w:next w:val="1224"/>
    <w:link w:val="909"/>
    <w:uiPriority w:val="59"/>
    <w:qFormat/>
    <w:tblPr/>
  </w:style>
  <w:style w:type="table" w:styleId="1225">
    <w:name w:val="Grid Table 6 Colorful - Accent 5"/>
    <w:basedOn w:val="1056"/>
    <w:next w:val="1225"/>
    <w:link w:val="909"/>
    <w:uiPriority w:val="99"/>
    <w:qFormat/>
    <w:tblPr/>
  </w:style>
  <w:style w:type="table" w:styleId="1226">
    <w:name w:val="List Table 7 Colorful - Accent 4"/>
    <w:basedOn w:val="1056"/>
    <w:next w:val="1226"/>
    <w:link w:val="909"/>
    <w:uiPriority w:val="99"/>
    <w:qFormat/>
    <w:tblPr/>
  </w:style>
  <w:style w:type="table" w:styleId="1227">
    <w:name w:val="List Table 6 Colorful - Accent 3"/>
    <w:basedOn w:val="1056"/>
    <w:next w:val="1227"/>
    <w:link w:val="909"/>
    <w:uiPriority w:val="99"/>
    <w:qFormat/>
    <w:tblPr/>
  </w:style>
  <w:style w:type="table" w:styleId="1228">
    <w:name w:val="List Table 7 Colorful - Accent 6"/>
    <w:basedOn w:val="1056"/>
    <w:next w:val="1228"/>
    <w:link w:val="909"/>
    <w:uiPriority w:val="99"/>
    <w:qFormat/>
    <w:tblPr/>
  </w:style>
  <w:style w:type="table" w:styleId="1229">
    <w:name w:val="清单表 31"/>
    <w:basedOn w:val="1056"/>
    <w:next w:val="1229"/>
    <w:link w:val="909"/>
    <w:uiPriority w:val="99"/>
    <w:qFormat/>
    <w:tblPr/>
  </w:style>
  <w:style w:type="table" w:styleId="1230">
    <w:name w:val="Grid Table 5 Dark - Accent 5"/>
    <w:basedOn w:val="1056"/>
    <w:next w:val="1230"/>
    <w:link w:val="909"/>
    <w:uiPriority w:val="99"/>
    <w:qFormat/>
    <w:tblPr/>
  </w:style>
  <w:style w:type="table" w:styleId="1231">
    <w:name w:val="List Table 5 Dark - Accent 1"/>
    <w:basedOn w:val="1056"/>
    <w:next w:val="1231"/>
    <w:link w:val="909"/>
    <w:uiPriority w:val="99"/>
    <w:qFormat/>
    <w:tblPr/>
  </w:style>
  <w:style w:type="table" w:styleId="1232">
    <w:name w:val="Bordered - Accent 2"/>
    <w:basedOn w:val="1056"/>
    <w:next w:val="1232"/>
    <w:link w:val="909"/>
    <w:uiPriority w:val="99"/>
    <w:qFormat/>
    <w:tblPr/>
  </w:style>
  <w:style w:type="table" w:styleId="1233">
    <w:name w:val="List Table 1 Light - Accent 1"/>
    <w:basedOn w:val="1056"/>
    <w:next w:val="1233"/>
    <w:link w:val="909"/>
    <w:uiPriority w:val="99"/>
    <w:qFormat/>
    <w:tblPr/>
  </w:style>
  <w:style w:type="table" w:styleId="1234">
    <w:name w:val="List Table 3 - Accent 4"/>
    <w:basedOn w:val="1056"/>
    <w:next w:val="1234"/>
    <w:link w:val="909"/>
    <w:uiPriority w:val="99"/>
    <w:qFormat/>
    <w:tblPr/>
  </w:style>
  <w:style w:type="table" w:styleId="1235">
    <w:name w:val="Grid Table 6 Colorful - Accent 4"/>
    <w:basedOn w:val="1056"/>
    <w:next w:val="1235"/>
    <w:link w:val="909"/>
    <w:uiPriority w:val="99"/>
    <w:qFormat/>
    <w:tblPr/>
  </w:style>
  <w:style w:type="table" w:styleId="1236">
    <w:name w:val="Grid Table 4 - Accent 4"/>
    <w:basedOn w:val="1056"/>
    <w:next w:val="1236"/>
    <w:link w:val="909"/>
    <w:uiPriority w:val="59"/>
    <w:qFormat/>
    <w:tblPr/>
  </w:style>
  <w:style w:type="table" w:styleId="1237">
    <w:name w:val="List Table 4 - Accent 1"/>
    <w:basedOn w:val="1056"/>
    <w:next w:val="1237"/>
    <w:link w:val="909"/>
    <w:uiPriority w:val="99"/>
    <w:qFormat/>
    <w:tblPr/>
  </w:style>
  <w:style w:type="table" w:styleId="1238">
    <w:name w:val="Grid Table 7 Colorful - Accent 6"/>
    <w:basedOn w:val="1056"/>
    <w:next w:val="1238"/>
    <w:link w:val="909"/>
    <w:uiPriority w:val="99"/>
    <w:qFormat/>
    <w:tblPr/>
  </w:style>
  <w:style w:type="table" w:styleId="1239">
    <w:name w:val="Grid Table 2 - Accent 4"/>
    <w:basedOn w:val="1056"/>
    <w:next w:val="1239"/>
    <w:link w:val="909"/>
    <w:uiPriority w:val="99"/>
    <w:qFormat/>
    <w:tblPr/>
  </w:style>
  <w:style w:type="table" w:styleId="1240">
    <w:name w:val="Table Grid Light"/>
    <w:basedOn w:val="1056"/>
    <w:next w:val="1240"/>
    <w:link w:val="909"/>
    <w:uiPriority w:val="59"/>
    <w:qFormat/>
    <w:tblPr/>
  </w:style>
  <w:style w:type="table" w:styleId="1241">
    <w:name w:val="Grid Table 4 - Accent 1"/>
    <w:basedOn w:val="1056"/>
    <w:next w:val="1241"/>
    <w:link w:val="909"/>
    <w:uiPriority w:val="59"/>
    <w:qFormat/>
    <w:tblPr/>
  </w:style>
  <w:style w:type="table" w:styleId="1242">
    <w:name w:val="Grid Table 6 Colorful - Accent 1"/>
    <w:basedOn w:val="1056"/>
    <w:next w:val="1242"/>
    <w:link w:val="909"/>
    <w:uiPriority w:val="99"/>
    <w:qFormat/>
    <w:tblPr/>
  </w:style>
  <w:style w:type="table" w:styleId="1243">
    <w:name w:val="List Table 7 Colorful - Accent 5"/>
    <w:basedOn w:val="1056"/>
    <w:next w:val="1243"/>
    <w:link w:val="909"/>
    <w:uiPriority w:val="99"/>
    <w:qFormat/>
    <w:tblPr/>
  </w:style>
  <w:style w:type="table" w:styleId="1244">
    <w:name w:val="List Table 5 Dark - Accent 4"/>
    <w:basedOn w:val="1056"/>
    <w:next w:val="1244"/>
    <w:link w:val="909"/>
    <w:uiPriority w:val="99"/>
    <w:qFormat/>
    <w:tblPr/>
  </w:style>
  <w:style w:type="table" w:styleId="1245">
    <w:name w:val="网格表 21"/>
    <w:basedOn w:val="1056"/>
    <w:next w:val="1245"/>
    <w:link w:val="909"/>
    <w:uiPriority w:val="99"/>
    <w:qFormat/>
    <w:tblPr/>
  </w:style>
  <w:style w:type="table" w:styleId="1246">
    <w:name w:val="Grid Table 4 - Accent 3"/>
    <w:basedOn w:val="1056"/>
    <w:next w:val="1246"/>
    <w:link w:val="909"/>
    <w:uiPriority w:val="59"/>
    <w:qFormat/>
    <w:tblPr/>
  </w:style>
  <w:style w:type="table" w:styleId="1247">
    <w:name w:val="Lined - Accent 1"/>
    <w:basedOn w:val="1056"/>
    <w:next w:val="1247"/>
    <w:link w:val="909"/>
    <w:uiPriority w:val="99"/>
    <w:qFormat/>
    <w:rPr>
      <w:color w:val="404040"/>
    </w:rPr>
    <w:tblPr/>
  </w:style>
  <w:style w:type="table" w:styleId="1248">
    <w:name w:val="Grid Table 3 - Accent 2"/>
    <w:basedOn w:val="1056"/>
    <w:next w:val="1248"/>
    <w:link w:val="909"/>
    <w:uiPriority w:val="99"/>
    <w:qFormat/>
    <w:tblPr/>
  </w:style>
  <w:style w:type="table" w:styleId="1249">
    <w:name w:val="清单表 7 彩色1"/>
    <w:basedOn w:val="1056"/>
    <w:next w:val="1249"/>
    <w:link w:val="909"/>
    <w:uiPriority w:val="99"/>
    <w:qFormat/>
    <w:tblPr/>
  </w:style>
  <w:style w:type="table" w:styleId="1250">
    <w:name w:val="Lined - Accent 4"/>
    <w:basedOn w:val="1056"/>
    <w:next w:val="1250"/>
    <w:link w:val="909"/>
    <w:uiPriority w:val="99"/>
    <w:qFormat/>
    <w:rPr>
      <w:color w:val="404040"/>
    </w:rPr>
    <w:tblPr/>
  </w:style>
  <w:style w:type="table" w:styleId="1251">
    <w:name w:val="Grid Table 5 Dark- Accent 4"/>
    <w:basedOn w:val="1056"/>
    <w:next w:val="1251"/>
    <w:link w:val="909"/>
    <w:uiPriority w:val="99"/>
    <w:qFormat/>
    <w:tblPr/>
  </w:style>
  <w:style w:type="table" w:styleId="1252">
    <w:name w:val="Bordered &amp; Lined - Accent 5"/>
    <w:basedOn w:val="1056"/>
    <w:next w:val="1252"/>
    <w:link w:val="909"/>
    <w:uiPriority w:val="99"/>
    <w:qFormat/>
    <w:rPr>
      <w:color w:val="404040"/>
    </w:rPr>
    <w:tblPr/>
  </w:style>
  <w:style w:type="table" w:styleId="1253">
    <w:name w:val="List Table 6 Colorful - Accent 6"/>
    <w:basedOn w:val="1056"/>
    <w:next w:val="1253"/>
    <w:link w:val="909"/>
    <w:uiPriority w:val="99"/>
    <w:qFormat/>
    <w:tblPr/>
  </w:style>
  <w:style w:type="paragraph" w:styleId="1254">
    <w:name w:val="_Style 2"/>
    <w:basedOn w:val="909"/>
    <w:next w:val="1254"/>
    <w:link w:val="909"/>
    <w:uiPriority w:val="34"/>
    <w:qFormat/>
    <w:pPr>
      <w:contextualSpacing/>
      <w:ind w:left="720"/>
      <w:jc w:val="left"/>
      <w:widowControl/>
    </w:pPr>
    <w:rPr>
      <w:rFonts w:ascii="Calibri" w:hAnsi="Calibri"/>
      <w:sz w:val="24"/>
      <w:lang w:eastAsia="en-US" w:bidi="en-US"/>
    </w:rPr>
  </w:style>
  <w:style w:type="paragraph" w:styleId="1255">
    <w:name w:val="正文1111"/>
    <w:next w:val="933"/>
    <w:link w:val="909"/>
    <w:qFormat/>
    <w:pPr>
      <w:jc w:val="both"/>
      <w:widowControl w:val="off"/>
    </w:pPr>
    <w:rPr>
      <w:sz w:val="21"/>
      <w:szCs w:val="24"/>
      <w:lang w:val="en-US" w:eastAsia="zh-CN" w:bidi="ar-SA"/>
    </w:rPr>
  </w:style>
  <w:style w:type="character" w:styleId="1256">
    <w:name w:val="font21"/>
    <w:next w:val="1256"/>
    <w:link w:val="909"/>
    <w:qFormat/>
    <w:rPr>
      <w:rFonts w:hint="eastAsia" w:ascii="宋体" w:hAnsi="宋体" w:eastAsia="宋体" w:cs="宋体"/>
      <w:color w:val="000000"/>
      <w:sz w:val="20"/>
      <w:szCs w:val="20"/>
      <w:u w:val="none"/>
    </w:rPr>
  </w:style>
  <w:style w:type="character" w:styleId="1257">
    <w:name w:val="font41"/>
    <w:next w:val="1257"/>
    <w:link w:val="909"/>
    <w:qFormat/>
    <w:rPr>
      <w:rFonts w:ascii="微软雅黑" w:hAnsi="微软雅黑" w:eastAsia="微软雅黑" w:cs="微软雅黑"/>
      <w:color w:val="000000"/>
      <w:sz w:val="20"/>
      <w:szCs w:val="20"/>
      <w:u w:val="none"/>
    </w:rPr>
  </w:style>
  <w:style w:type="paragraph" w:styleId="1258">
    <w:name w:val="文本块112"/>
    <w:basedOn w:val="909"/>
    <w:next w:val="1258"/>
    <w:link w:val="909"/>
    <w:uiPriority w:val="99"/>
    <w:unhideWhenUsed/>
    <w:qFormat/>
    <w:pPr>
      <w:ind w:left="-359" w:right="-512" w:firstLine="501"/>
    </w:pPr>
    <w:rPr>
      <w:rFonts w:ascii="仿宋_GB2312" w:eastAsia="仿宋_GB2312"/>
      <w:sz w:val="30"/>
    </w:rPr>
  </w:style>
  <w:style w:type="paragraph" w:styleId="1259">
    <w:name w:val="Default"/>
    <w:next w:val="1259"/>
    <w:link w:val="909"/>
    <w:qFormat/>
    <w:pPr>
      <w:widowControl w:val="off"/>
    </w:pPr>
    <w:rPr>
      <w:rFonts w:ascii="宋体" w:hAnsi="Calibri"/>
      <w:color w:val="000000"/>
      <w:sz w:val="24"/>
      <w:szCs w:val="24"/>
      <w:lang w:val="en-US" w:eastAsia="zh-CN" w:bidi="ar-SA"/>
    </w:rPr>
  </w:style>
  <w:style w:type="character" w:styleId="1260" w:default="1">
    <w:name w:val="Default Paragraph Font"/>
    <w:uiPriority w:val="1"/>
    <w:semiHidden/>
    <w:unhideWhenUsed/>
  </w:style>
  <w:style w:type="numbering" w:styleId="1261" w:default="1">
    <w:name w:val="No List"/>
    <w:uiPriority w:val="99"/>
    <w:semiHidden/>
    <w:unhideWhenUsed/>
  </w:style>
  <w:style w:type="table" w:styleId="12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10</cp:revision>
  <dcterms:created xsi:type="dcterms:W3CDTF">2026-03-04T05:59:00Z</dcterms:created>
  <dcterms:modified xsi:type="dcterms:W3CDTF">2026-03-25T02:41:55Z</dcterms:modified>
</cp:coreProperties>
</file>