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14"/>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14"/>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14"/>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14"/>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sz w:val="32"/>
          <w:szCs w:val="32"/>
          <w:lang w:eastAsia="zh-CN"/>
        </w:rPr>
        <w:t xml:space="preserve">：</w:t>
      </w:r>
      <w:r>
        <w:rPr>
          <w:rFonts w:hint="eastAsia" w:ascii="宋体" w:hAnsi="宋体" w:eastAsia="宋体" w:cs="宋体"/>
          <w:sz w:val="32"/>
          <w:szCs w:val="32"/>
          <w:lang w:eastAsia="zh-CN"/>
        </w:rPr>
        <w:t xml:space="preserve">JSZC-320324-HWZX-G2026-0216</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w:t>
      </w:r>
      <w:r>
        <w:rPr>
          <w:rFonts w:hint="eastAsia" w:asciiTheme="minorEastAsia" w:hAnsiTheme="minorEastAsia" w:eastAsiaTheme="minorEastAsia" w:cstheme="minorEastAsia"/>
          <w:sz w:val="32"/>
          <w:szCs w:val="32"/>
          <w:lang w:eastAsia="zh-CN"/>
        </w:rPr>
        <w:t xml:space="preserve">江苏省睢宁高级中学新校区创新功能室设备</w:t>
      </w:r>
      <w:r/>
    </w:p>
    <w:p>
      <w:pPr>
        <w:ind w:firstLine="1763"/>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t xml:space="preserve">及配套设施采购项目</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9"/>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19"/>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19"/>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四</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第一章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投标邀请</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第二章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投标人须知</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第三章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投标资料表</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第四章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评标标准</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第五章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拟签订的合同文本</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第六章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采购需求</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第七章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投标文件相关格式</w:t>
      </w:r>
      <w:r>
        <w:rPr>
          <w:rStyle w:val="838"/>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江苏省睢宁高级中学新校区创新功能室设备及配套设施采购项目</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JSZC-320324-HWZX-G2026-0216</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22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22</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rPr>
          <w:rFonts w:hint="eastAsia" w:asciiTheme="minorEastAsia" w:hAnsiTheme="minorEastAsia" w:cstheme="minorEastAsia"/>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政府采购</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最低评标价法</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综合评分法</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36"/>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w:t>
            </w:r>
            <w:r>
              <w:rPr>
                <w:rFonts w:hint="eastAsia" w:ascii="宋体" w:hAnsi="宋体" w:eastAsia="宋体" w:cs="宋体"/>
                <w:color w:val="auto"/>
                <w:sz w:val="24"/>
                <w:szCs w:val="24"/>
              </w:rPr>
              <w:t xml:space="preserve">、“信用中国”网（www.creditchina.gov.cn）；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t>
            </w:r>
            <w:r>
              <w:rPr>
                <w:rFonts w:hint="eastAsia" w:ascii="宋体" w:hAnsi="宋体" w:eastAsia="宋体" w:cs="宋体"/>
                <w:sz w:val="24"/>
                <w:szCs w:val="24"/>
              </w:rPr>
              <w:t xml:space="preserve">（www.ccgp.gov.cn）</w:t>
            </w:r>
            <w:r>
              <w:rPr>
                <w:rFonts w:hint="eastAsia" w:asciiTheme="minorEastAsia" w:hAnsiTheme="minorEastAsia" w:eastAsiaTheme="minorEastAsia" w:cstheme="minorEastAsia"/>
                <w:sz w:val="24"/>
                <w:szCs w:val="24"/>
              </w:rPr>
              <w:t xml:space="preserve">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t>
            </w:r>
            <w:r>
              <w:rPr>
                <w:rFonts w:hint="eastAsia" w:ascii="宋体" w:hAnsi="宋体" w:eastAsia="宋体" w:cs="宋体"/>
                <w:sz w:val="24"/>
                <w:szCs w:val="24"/>
              </w:rPr>
              <w:t xml:space="preserve">（www.ccgp.gov.cn）</w:t>
            </w:r>
            <w:r>
              <w:rPr>
                <w:rFonts w:hint="eastAsia" w:asciiTheme="minorEastAsia" w:hAnsiTheme="minorEastAsia" w:eastAsiaTheme="minorEastAsia" w:cstheme="minorEastAsia"/>
                <w:sz w:val="24"/>
                <w:szCs w:val="24"/>
              </w:rPr>
              <w:t xml:space="preserve">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color w:val="auto"/>
                <w:sz w:val="24"/>
                <w:szCs w:val="24"/>
              </w:rPr>
              <w:t xml:space="preserve">）</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提供投标人或</w:t>
            </w:r>
            <w:r>
              <w:rPr>
                <w:rFonts w:hint="eastAsia" w:ascii="宋体" w:hAnsi="宋体" w:eastAsia="宋体" w:cs="宋体"/>
                <w:b/>
                <w:bCs/>
                <w:color w:val="auto"/>
                <w:sz w:val="24"/>
                <w:szCs w:val="24"/>
              </w:rPr>
              <w:t xml:space="preserve">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或2025年度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所附证明材料扫描件可不加盖电子签章）</w:t>
            </w:r>
            <w:r>
              <w:rPr>
                <w:rFonts w:hint="eastAsia" w:ascii="宋体" w:hAnsi="宋体" w:eastAsia="宋体" w:cs="宋体"/>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bCs/>
                <w:color w:val="auto"/>
                <w:sz w:val="24"/>
                <w:szCs w:val="24"/>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（一）</w:t>
            </w:r>
            <w:r>
              <w:rPr>
                <w:rFonts w:hint="eastAsia" w:ascii="宋体" w:hAnsi="宋体" w:eastAsia="宋体" w:cs="宋体"/>
                <w:b/>
                <w:bCs/>
                <w:color w:val="auto"/>
                <w:sz w:val="24"/>
                <w:szCs w:val="24"/>
              </w:rPr>
              <w:t xml:space="preserve">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、所投产品为“环境标志产品”</w:t>
            </w: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所投产品为“节能产品”</w:t>
            </w: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本项目不属于专门面向中小微企业采购的项目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采购包1：人民币28</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采购包2：人民币21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eastAsia="宋体" w:cs="宋体"/>
                <w:b/>
                <w:bCs/>
                <w:color w:val="auto"/>
                <w:sz w:val="24"/>
                <w:szCs w:val="24"/>
                <w:highlight w:val="none"/>
                <w:lang w:val="en-US" w:eastAsia="zh-CN"/>
              </w:rPr>
              <w:t xml:space="preserve">159.50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38"/>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8"/>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rPr>
                <w:rFonts w:hint="eastAsia" w:asciiTheme="minorEastAsia" w:hAnsiTheme="minorEastAsia" w:eastAsiaTheme="minorEastAsia" w:cstheme="minorEastAsia"/>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1、投标文件提交与接收时间：202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5</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22 </w:t>
            </w:r>
            <w:r>
              <w:rPr>
                <w:rFonts w:hint="eastAsia" w:ascii="宋体" w:hAnsi="宋体" w:eastAsia="宋体" w:cs="宋体"/>
                <w:b/>
                <w:bCs/>
                <w:color w:val="auto"/>
                <w:sz w:val="24"/>
                <w:szCs w:val="24"/>
              </w:rPr>
              <w:t xml:space="preserve">日9：</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34"/>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5</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月</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22 </w:t>
            </w:r>
            <w:r>
              <w:rPr>
                <w:rFonts w:hint="eastAsia" w:ascii="宋体" w:hAnsi="宋体" w:eastAsia="宋体" w:cs="宋体"/>
                <w:b/>
                <w:color w:val="auto"/>
                <w:sz w:val="24"/>
                <w:szCs w:val="24"/>
              </w:rPr>
              <w:t xml:space="preserve">日09：</w:t>
            </w: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rPr>
              <w:t xml:space="preserve">0（标准时间）</w:t>
            </w:r>
            <w:r>
              <w:rPr>
                <w:rFonts w:hint="eastAsia" w:ascii="宋体" w:hAnsi="宋体" w:eastAsia="宋体" w:cs="宋体"/>
                <w:b/>
                <w:color w:val="auto"/>
                <w:sz w:val="24"/>
                <w:szCs w:val="24"/>
                <w:lang w:eastAsia="zh-CN"/>
              </w:rPr>
              <w:t xml:space="preserve">。</w:t>
            </w:r>
            <w:r/>
          </w:p>
          <w:p>
            <w:pPr>
              <w:ind w:firstLine="482"/>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rPr>
                <w:rFonts w:hint="eastAsia" w:ascii="宋体" w:hAnsi="宋体" w:eastAsia="宋体" w:cs="宋体"/>
                <w:color w:val="auto"/>
                <w:sz w:val="24"/>
                <w:szCs w:val="24"/>
                <w:lang w:val="en-US" w:eastAsia="zh-CN"/>
              </w:rPr>
              <w:t xml:space="preserve">以上均相同的，以技术部分得分高低顺序排列。</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四、投标人可以对其中任意一个或多个采购包进行投标，且每个投标人可以中取任意一个或多个采购包。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（三十</w:t>
            </w:r>
            <w:r>
              <w:rPr>
                <w:rFonts w:hint="eastAsia" w:asciiTheme="minorEastAsia" w:hAnsiTheme="minorEastAsia" w:eastAsia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履约保证金：</w:t>
            </w:r>
            <w:r>
              <w:rPr>
                <w:rFonts w:hint="eastAsia" w:asciiTheme="minorEastAsia" w:hAnsiTheme="minorEastAsia" w:cstheme="minorEastAsia"/>
                <w:b/>
                <w:bCs/>
                <w:sz w:val="24"/>
                <w:szCs w:val="24"/>
                <w:lang w:val="en-US" w:eastAsia="zh-CN"/>
              </w:rPr>
              <w:t xml:space="preserve">各采购包中标金额的</w:t>
            </w:r>
            <w:r>
              <w:rPr>
                <w:rFonts w:hint="eastAsia" w:asciiTheme="minorEastAsia" w:hAnsiTheme="minorEastAsia" w:eastAsiaTheme="minorEastAsia" w:cstheme="minorEastAsia"/>
                <w:b/>
                <w:bCs/>
                <w:sz w:val="24"/>
                <w:szCs w:val="24"/>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w:t>
            </w:r>
            <w:r>
              <w:rPr>
                <w:rFonts w:hint="eastAsia" w:ascii="宋体" w:hAnsi="宋体" w:eastAsia="宋体" w:cs="宋体"/>
                <w:sz w:val="24"/>
                <w:szCs w:val="24"/>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rPr>
          <w:rFonts w:hint="eastAsia" w:asciiTheme="minorEastAsia" w:hAnsiTheme="minorEastAsia" w:cstheme="minorEastAsia"/>
          <w:color w:val="auto"/>
          <w:sz w:val="24"/>
          <w:szCs w:val="24"/>
          <w:lang w:eastAsia="zh-CN"/>
        </w:rPr>
        <w:t xml:space="preserve">，</w:t>
      </w:r>
      <w:r>
        <w:rPr>
          <w:rFonts w:hint="eastAsia" w:asciiTheme="minorEastAsia" w:hAnsiTheme="minorEastAsia" w:cstheme="minorEastAsia"/>
          <w:color w:val="auto"/>
          <w:sz w:val="24"/>
          <w:szCs w:val="24"/>
          <w:lang w:val="en-US" w:eastAsia="zh-CN"/>
        </w:rPr>
        <w:t xml:space="preserve">涉及论证、公证、律师等费用据实计取</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采购包1</w:t>
      </w:r>
      <w:r/>
    </w:p>
    <w:tbl>
      <w:tblPr>
        <w:tblStyle w:val="812"/>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27</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分，最低得0分。</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提供样品的所投产品工艺、材质内容的，进行评价：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制造工艺、封边及材质方面做工精良、耐用的得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制造工艺、封边及材质方面做工较好、耐用性较好的得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学生端探究仪器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未提供样品的不得分。</w:t>
            </w:r>
            <w:r/>
          </w:p>
        </w:tc>
        <w:tc>
          <w:tcPr>
            <w:shd w:val="clear" w:color="auto" w:fill="auto"/>
            <w:tcBorders>
              <w:top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3、无线彩屏高温传感器-样品（3分）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ff"/>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的，每项内容得1分，演示内容不全或未提供演示的不得分，本项最高得6分，最低不得分。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项目实施方案（</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配送安装方案（</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招标文件第六章《采购需求》中“</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rPr>
              <w:t xml:space="preserve">、项目实施要求”中“</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配送、安装</w:t>
            </w:r>
            <w:r>
              <w:rPr>
                <w:rFonts w:hint="eastAsia" w:ascii="宋体" w:hAnsi="宋体" w:cs="宋体"/>
                <w:sz w:val="24"/>
                <w:szCs w:val="24"/>
                <w:highlight w:val="none"/>
                <w:lang w:val="en-US" w:eastAsia="zh-CN"/>
              </w:rPr>
              <w:t xml:space="preserve">具体</w:t>
            </w:r>
            <w:r>
              <w:rPr>
                <w:rFonts w:hint="eastAsia" w:ascii="宋体" w:hAnsi="宋体" w:eastAsia="宋体" w:cs="宋体"/>
                <w:sz w:val="24"/>
                <w:szCs w:val="24"/>
                <w:highlight w:val="none"/>
              </w:rPr>
              <w:t xml:space="preserve">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方案的针对性、全面性以及可行性较强得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方案的针对性、全面性以及可行性一般得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方案的针对性、全面性以及可行性差得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不提供不得分，本项最高得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w:t>
            </w:r>
            <w:r>
              <w:rPr>
                <w:rFonts w:hint="eastAsia" w:ascii="宋体" w:hAnsi="宋体" w:cs="宋体"/>
                <w:sz w:val="24"/>
                <w:szCs w:val="24"/>
                <w:highlight w:val="none"/>
                <w:lang w:val="en-US" w:eastAsia="zh-CN"/>
              </w:rPr>
              <w:t xml:space="preserve">不得</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质量管控方案（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对招标文件第六章《采购需求》中“</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、质量管控要求”中“（一）质量管控具体要求”（共</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项）进行完善，详细描述且列出具体方案措施。</w:t>
            </w:r>
            <w:r>
              <w:rPr>
                <w:rFonts w:hint="eastAsia" w:ascii="宋体" w:hAnsi="宋体" w:eastAsia="宋体" w:cs="宋体"/>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方案的针对性、全面性以及可行性一般得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方案的针对性、全面性以及可行性差得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不提供不得分，本项最高得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分，最低</w:t>
            </w:r>
            <w:r>
              <w:rPr>
                <w:rFonts w:hint="eastAsia" w:ascii="宋体" w:hAnsi="宋体" w:cs="宋体"/>
                <w:color w:val="000000"/>
                <w:sz w:val="24"/>
                <w:szCs w:val="24"/>
                <w:highlight w:val="none"/>
                <w:lang w:val="en-US" w:eastAsia="zh-CN" w:bidi="ar-SA"/>
              </w:rPr>
              <w:t xml:space="preserve">不得</w:t>
            </w:r>
            <w:r>
              <w:rPr>
                <w:rFonts w:hint="eastAsia" w:ascii="宋体" w:hAnsi="宋体" w:eastAsia="宋体" w:cs="宋体"/>
                <w:color w:val="000000"/>
                <w:sz w:val="24"/>
                <w:szCs w:val="24"/>
                <w:highlight w:val="none"/>
                <w:lang w:val="en-US" w:eastAsia="zh-CN" w:bidi="ar-SA"/>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质保期（</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完全满足招标文件第六章《采购需求》中“</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、售后服务要求”中“</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质保期内的服务要求”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质保期后的服务要求”的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方案的针对性、全面性以及可行性较强得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方案的针对性、全面性以及可行性一般得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方案的针对性、全面性以及可行性差得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不提供不得分，本项最高得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w:t>
            </w:r>
            <w:r>
              <w:rPr>
                <w:rFonts w:hint="eastAsia" w:ascii="宋体" w:hAnsi="宋体" w:cs="宋体"/>
                <w:sz w:val="24"/>
                <w:szCs w:val="24"/>
                <w:highlight w:val="none"/>
                <w:lang w:val="en-US" w:eastAsia="zh-CN"/>
              </w:rPr>
              <w:t xml:space="preserve">不得</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培训方案及</w:t>
            </w:r>
            <w:r>
              <w:rPr>
                <w:rFonts w:hint="eastAsia" w:ascii="宋体" w:hAnsi="宋体" w:eastAsia="宋体" w:cs="宋体"/>
                <w:sz w:val="24"/>
                <w:szCs w:val="24"/>
              </w:rPr>
              <w:t xml:space="preserve">服务保障措施方案（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培训及服务保障措施</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方案的针对性、全面性以及可行性差得</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注：投标文件中提供合同原件扫描件</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350"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350"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bl>
    <w:p>
      <w:r/>
      <w:r/>
    </w:p>
    <w:p>
      <w:pPr>
        <w:keepLines w:val="0"/>
        <w:keepNext w:val="0"/>
        <w:pageBreakBefore w:val="0"/>
        <w:spacing w:line="360" w:lineRule="auto"/>
        <w:widowControl w:val="off"/>
        <w:rPr>
          <w:rFonts w:hint="eastAsia"/>
          <w:sz w:val="24"/>
          <w:szCs w:val="24"/>
        </w:rPr>
      </w:pPr>
      <w:r>
        <w:rPr>
          <w:rFonts w:hint="eastAsia"/>
          <w:sz w:val="24"/>
          <w:szCs w:val="24"/>
        </w:rPr>
        <w:t xml:space="preserve">本章说明：本项目采用综合评分法</w:t>
      </w:r>
      <w:r>
        <w:rPr>
          <w:rFonts w:hint="eastAsia"/>
          <w:sz w:val="24"/>
          <w:szCs w:val="24"/>
          <w:lang w:eastAsia="zh-CN"/>
        </w:rPr>
        <w:t xml:space="preserve">，</w:t>
      </w:r>
      <w:r>
        <w:rPr>
          <w:rFonts w:hint="eastAsia"/>
          <w:sz w:val="24"/>
          <w:szCs w:val="24"/>
          <w:lang w:val="en-US" w:eastAsia="zh-CN"/>
        </w:rPr>
        <w:t xml:space="preserve">结果保留2位小数</w:t>
      </w:r>
      <w:r>
        <w:rPr>
          <w:rFonts w:hint="eastAsia"/>
          <w:sz w:val="24"/>
          <w:szCs w:val="24"/>
        </w:rPr>
        <w:t xml:space="preserve">。</w:t>
      </w:r>
      <w:r/>
    </w:p>
    <w:p>
      <w:pPr>
        <w:spacing w:line="240" w:lineRule="auto"/>
        <w:rPr>
          <w:rFonts w:hint="eastAsia"/>
          <w:sz w:val="24"/>
          <w:szCs w:val="24"/>
        </w:rPr>
      </w:pPr>
      <w:r>
        <w:rPr>
          <w:rFonts w:hint="eastAsia"/>
          <w:sz w:val="24"/>
          <w:szCs w:val="24"/>
        </w:rPr>
      </w:r>
      <w:r/>
    </w:p>
    <w:p>
      <w:pPr>
        <w:spacing w:line="240" w:lineRule="auto"/>
        <w:rPr>
          <w:rFonts w:hint="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采购包2</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1、显微镜-样品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无线彩屏温湿一体传感器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eastAsia="宋体" w:cs="宋体"/>
                <w:color w:val="0000ff"/>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项目实施方案（</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不提供不得分，本项最高得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配送安装保障措施</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2"/>
            <w:tcW w:w="2356"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质量管控方案（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对招标文件第六章《采购需求》中“</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、质量管控要求”中“（一）质量管控具体要求”（共</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项）进行完善，详细描述且列出具体方案措施。</w:t>
            </w:r>
            <w:r>
              <w:rPr>
                <w:rFonts w:hint="eastAsia" w:ascii="宋体" w:hAnsi="宋体" w:eastAsia="宋体" w:cs="宋体"/>
                <w:sz w:val="24"/>
                <w:szCs w:val="24"/>
                <w:lang w:val="en-US" w:eastAsia="zh-CN"/>
              </w:rPr>
              <w:t xml:space="preserve">进行评价：</w:t>
            </w:r>
            <w:r/>
          </w:p>
          <w:p>
            <w:pPr>
              <w:ind w:left="0" w:right="0"/>
              <w:keepLines w:val="0"/>
              <w:keepNext w:val="0"/>
              <w:pageBreakBefore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方案的针对性、全面性以及可行性一般得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方案的针对性、全面性以及可行性差得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不提供不得分，本项最高得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分，最低</w:t>
            </w:r>
            <w:r>
              <w:rPr>
                <w:rFonts w:hint="eastAsia" w:ascii="宋体" w:hAnsi="宋体" w:cs="宋体"/>
                <w:color w:val="000000"/>
                <w:sz w:val="24"/>
                <w:szCs w:val="24"/>
                <w:highlight w:val="none"/>
                <w:lang w:val="en-US" w:eastAsia="zh-CN" w:bidi="ar-SA"/>
              </w:rPr>
              <w:t xml:space="preserve">不得</w:t>
            </w:r>
            <w:r>
              <w:rPr>
                <w:rFonts w:hint="eastAsia" w:ascii="宋体" w:hAnsi="宋体" w:eastAsia="宋体" w:cs="宋体"/>
                <w:color w:val="000000"/>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质保期（</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pageBreakBefore w:val="0"/>
              <w:spacing w:before="0"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售后服务方案</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完全满足招标文件第六章《采购需求》中“</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、售后服务要求”中“</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质保期内的服务要求”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质保期后的服务要求”的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方案的针对性、全面性以及可行性较强得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方案的针对性、全面性以及可行性一般得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方案的针对性、全面性以及可行性差得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不提供不得分，本项最高得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w:t>
            </w:r>
            <w:r>
              <w:rPr>
                <w:rFonts w:hint="eastAsia" w:ascii="宋体" w:hAnsi="宋体" w:cs="宋体"/>
                <w:sz w:val="24"/>
                <w:szCs w:val="24"/>
                <w:highlight w:val="none"/>
                <w:lang w:val="en-US" w:eastAsia="zh-CN"/>
              </w:rPr>
              <w:t xml:space="preserve">不得</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培训方案及</w:t>
            </w:r>
            <w:r>
              <w:rPr>
                <w:rFonts w:hint="eastAsia" w:ascii="宋体" w:hAnsi="宋体" w:eastAsia="宋体" w:cs="宋体"/>
                <w:sz w:val="24"/>
                <w:szCs w:val="24"/>
              </w:rPr>
              <w:t xml:space="preserve">服务保障措施方案（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培训及服务保障措施</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方案的针对性、全面性以及可行性差得</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注：投标文件中提供合同原件扫描件</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bl>
    <w:p>
      <w:r/>
      <w:r/>
    </w:p>
    <w:p>
      <w:pPr>
        <w:spacing w:line="360" w:lineRule="auto"/>
        <w:rPr>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4"/>
        </w:rPr>
        <w:t xml:space="preserve">本章说明：本项目采用综合评分法</w:t>
      </w:r>
      <w:r>
        <w:rPr>
          <w:rFonts w:hint="eastAsia"/>
          <w:sz w:val="24"/>
          <w:szCs w:val="24"/>
          <w:lang w:eastAsia="zh-CN"/>
        </w:rPr>
        <w:t xml:space="preserve">，</w:t>
      </w:r>
      <w:r>
        <w:rPr>
          <w:rFonts w:hint="eastAsia"/>
          <w:sz w:val="24"/>
          <w:szCs w:val="24"/>
          <w:lang w:val="en-US" w:eastAsia="zh-CN"/>
        </w:rPr>
        <w:t xml:space="preserve">结果保留2位小数</w:t>
      </w:r>
      <w:r>
        <w:rPr>
          <w:rFonts w:hint="eastAsia"/>
          <w:sz w:val="24"/>
          <w:szCs w:val="24"/>
        </w:rPr>
        <w:t xml:space="preserve">。</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采购包3</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0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、技术规格(技术性能)要求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分，最低得0分。</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物理力学学生实验桌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提供样品的所投产品工艺、材质内容的，进行评价：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制造工艺、封边及材质方面做工精良、耐用的得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制造工艺、封边及材质方面做工较好、耐用性较好的得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无线彩屏电压电流一体传感器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3、无线彩屏高温传感器-样品（3分）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对投标人提供样品的工艺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、技术规格(性能)要求”中“（一）技术规格(技术性能)具体要求” 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不提供不得分，本项最高得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方案的针对性、全面性以及可行性强得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方案的针对性、全面性以及可行性一般得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方案的针对性、全面性以及可行性差得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不提供不得分，本项最高得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分，最低</w:t>
            </w:r>
            <w:r>
              <w:rPr>
                <w:rFonts w:hint="eastAsia" w:ascii="宋体" w:hAnsi="宋体" w:cs="宋体"/>
                <w:color w:val="auto"/>
                <w:sz w:val="24"/>
                <w:szCs w:val="24"/>
                <w:highlight w:val="none"/>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不提供不得分，本项最高得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bl>
    <w:p>
      <w:pPr>
        <w:rPr>
          <w:color w:val="ff0000"/>
        </w:rPr>
      </w:pPr>
      <w:r>
        <w:rPr>
          <w:color w:val="ff0000"/>
        </w:rPr>
      </w:r>
      <w:r/>
    </w:p>
    <w:p>
      <w:pPr>
        <w:spacing w:line="360" w:lineRule="auto"/>
        <w:rPr>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采购包4</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技术部分（42分）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3D建模设备（教师）</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提供样品的所投产品工艺、材质内容的，进行评价：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制造工艺、封边及材质方面做工精良、耐用的得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制造工艺、封边及材质方面做工较好、耐用性较好的得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rPr>
              <w:suppressLineNumbers w:val="0"/>
            </w:pPr>
            <w:r>
              <w:rPr>
                <w:rFonts w:hint="eastAsia" w:ascii="宋体" w:hAnsi="宋体" w:eastAsia="宋体" w:cs="宋体"/>
                <w:color w:val="ff0000"/>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桌面式激光切割机</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完全满足招标文件第六章《采购需求》中“三、技术规格(性能)要求”中“（一）技术规格(性能)具体要求” 提供样品的所投产品工艺、材质内容的，进行评价：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rPr>
              <w:suppressLineNumbers w:val="0"/>
            </w:pPr>
            <w:r>
              <w:rPr>
                <w:rFonts w:hint="eastAsia" w:ascii="宋体" w:hAnsi="宋体" w:eastAsia="宋体" w:cs="宋体"/>
                <w:color w:val="ff0000"/>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3、制作工具-样品（3分）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、技术规格(性能)要求”中“（一）技术规格(技术性能)具体要求” 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商务部分（28分）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不提供不得分，本项最高得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方案的针对性、全面性以及可行性较强得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方案的针对性、全面性以及可行性一般得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方案的针对性、全面性以及可行性差得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不提供不得分，本项最高得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分，最低</w:t>
            </w:r>
            <w:r>
              <w:rPr>
                <w:rFonts w:hint="eastAsia" w:ascii="宋体" w:hAnsi="宋体" w:cs="宋体"/>
                <w:color w:val="auto"/>
                <w:sz w:val="24"/>
                <w:szCs w:val="24"/>
                <w:highlight w:val="none"/>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8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bl>
    <w:p>
      <w:pPr>
        <w:rPr>
          <w:color w:val="ff0000"/>
        </w:rPr>
      </w:pPr>
      <w:r>
        <w:rPr>
          <w:color w:val="ff0000"/>
        </w:rPr>
      </w:r>
      <w:r/>
    </w:p>
    <w:p>
      <w:pPr>
        <w:spacing w:line="360" w:lineRule="auto"/>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本章说明：本项目采用综合评分法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结果保留2位小数</w:t>
      </w:r>
      <w:r>
        <w:rPr>
          <w:rFonts w:hint="eastAsia" w:ascii="宋体" w:hAnsi="宋体" w:eastAsia="宋体" w:cs="宋体"/>
          <w:color w:val="auto"/>
          <w:sz w:val="24"/>
          <w:szCs w:val="24"/>
        </w:rPr>
        <w:t xml:space="preserve">。</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项目编号：</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项目名称：</w:t>
      </w:r>
      <w:r>
        <w:rPr>
          <w:rFonts w:hint="eastAsia" w:asciiTheme="minorEastAsia" w:hAnsiTheme="minorEastAsia" w:eastAsiaTheme="minorEastAsia" w:cstheme="minorEastAsia"/>
          <w:b/>
          <w:sz w:val="30"/>
          <w:szCs w:val="30"/>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采购单位：</w:t>
      </w:r>
      <w:r>
        <w:rPr>
          <w:rFonts w:hint="eastAsia" w:asciiTheme="minorEastAsia" w:hAnsiTheme="minorEastAsia" w:eastAsiaTheme="minorEastAsia" w:cstheme="minorEastAsia"/>
          <w:b/>
          <w:sz w:val="30"/>
          <w:szCs w:val="30"/>
          <w:lang w:eastAsia="zh-CN"/>
        </w:rPr>
        <w:t xml:space="preserve">江苏省睢宁高级中学</w:t>
      </w:r>
      <w:r/>
    </w:p>
    <w:p>
      <w:pPr>
        <w:jc w:val="left"/>
        <w:spacing w:line="360" w:lineRule="auto"/>
        <w:rPr>
          <w:rFonts w:hint="eastAsia" w:asciiTheme="minorEastAsia" w:hAnsiTheme="minorEastAsia" w:cstheme="minorEastAsia"/>
          <w:b/>
          <w:sz w:val="30"/>
          <w:szCs w:val="30"/>
          <w:lang w:val="en-US" w:eastAsia="zh-CN"/>
        </w:rPr>
      </w:pPr>
      <w:r>
        <w:rPr>
          <w:rFonts w:hint="eastAsia" w:asciiTheme="minorEastAsia" w:hAnsiTheme="minorEastAsia" w:cstheme="minorEastAsia"/>
          <w:b/>
          <w:sz w:val="30"/>
          <w:szCs w:val="30"/>
          <w:lang w:val="en-US" w:eastAsia="zh-CN"/>
        </w:rPr>
      </w:r>
      <w:r/>
    </w:p>
    <w:p>
      <w:pPr>
        <w:jc w:val="left"/>
        <w:spacing w:line="360" w:lineRule="auto"/>
        <w:rPr>
          <w:rFonts w:hint="default" w:eastAsia="宋体" w:asciiTheme="minorEastAsia" w:hAnsiTheme="minorEastAsia" w:cstheme="minorEastAsia"/>
          <w:b/>
          <w:sz w:val="30"/>
          <w:szCs w:val="30"/>
          <w:lang w:val="en-US" w:eastAsia="zh-CN"/>
        </w:rPr>
      </w:pPr>
      <w:r>
        <w:rPr>
          <w:rFonts w:hint="eastAsia" w:asciiTheme="minorEastAsia" w:hAnsiTheme="minorEastAsia" w:cstheme="minorEastAsia"/>
          <w:b/>
          <w:sz w:val="30"/>
          <w:szCs w:val="30"/>
          <w:lang w:val="en-US" w:eastAsia="zh-CN"/>
        </w:rPr>
        <w:t xml:space="preserve">采购包：</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中标供应商（乙方）：</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819"/>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19"/>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19"/>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sz w:val="32"/>
          <w:szCs w:val="32"/>
          <w:highlight w:val="white"/>
        </w:rPr>
      </w:pPr>
      <w:r>
        <w:rPr>
          <w:rFonts w:hint="eastAsia" w:ascii="宋体" w:hAnsi="宋体" w:cs="宋体"/>
          <w:b/>
          <w:bCs/>
          <w:sz w:val="32"/>
          <w:szCs w:val="32"/>
          <w:highlight w:val="white"/>
        </w:rPr>
        <w:t xml:space="preserve">合同通用条款</w:t>
      </w:r>
      <w:r/>
    </w:p>
    <w:p>
      <w:pPr>
        <w:ind w:firstLine="480"/>
        <w:jc w:val="center"/>
        <w:spacing w:line="520" w:lineRule="exact"/>
        <w:rPr>
          <w:rFonts w:ascii="宋体" w:hAnsi="宋体" w:cs="宋体"/>
          <w:b/>
          <w:bCs/>
          <w:sz w:val="28"/>
          <w:szCs w:val="28"/>
          <w:highlight w:val="white"/>
        </w:rPr>
      </w:pPr>
      <w:r>
        <w:rPr>
          <w:rFonts w:ascii="宋体" w:hAnsi="宋体" w:cs="宋体"/>
          <w:b/>
          <w:bCs/>
          <w:sz w:val="28"/>
          <w:szCs w:val="28"/>
          <w:highlight w:val="white"/>
        </w:rPr>
      </w:r>
      <w:r/>
    </w:p>
    <w:p>
      <w:pPr>
        <w:ind w:firstLine="480"/>
        <w:jc w:val="center"/>
        <w:spacing w:line="520" w:lineRule="exact"/>
        <w:rPr>
          <w:rFonts w:ascii="宋体" w:hAnsi="宋体" w:cs="宋体"/>
          <w:b/>
          <w:bCs/>
          <w:sz w:val="28"/>
          <w:szCs w:val="28"/>
          <w:highlight w:val="white"/>
        </w:rPr>
      </w:pPr>
      <w:r>
        <w:rPr>
          <w:rFonts w:hint="eastAsia" w:ascii="宋体" w:hAnsi="宋体" w:cs="宋体"/>
          <w:b/>
          <w:bCs/>
          <w:sz w:val="28"/>
          <w:szCs w:val="28"/>
          <w:highlight w:val="white"/>
        </w:rPr>
        <w:t xml:space="preserve">目 录</w:t>
      </w:r>
      <w:r/>
    </w:p>
    <w:p>
      <w:pPr>
        <w:ind w:firstLine="560"/>
        <w:spacing w:line="520" w:lineRule="exact"/>
        <w:rPr>
          <w:rFonts w:ascii="宋体" w:hAnsi="宋体" w:cs="宋体"/>
          <w:sz w:val="28"/>
          <w:szCs w:val="28"/>
          <w:highlight w:val="white"/>
        </w:rPr>
      </w:pPr>
      <w:r>
        <w:rPr>
          <w:rFonts w:ascii="宋体" w:hAnsi="宋体" w:cs="宋体"/>
          <w:sz w:val="28"/>
          <w:szCs w:val="28"/>
          <w:highlight w:val="white"/>
        </w:rPr>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第六条    包装和标记</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第十七条  保密</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540"/>
        <w:spacing w:line="312" w:lineRule="auto"/>
        <w:rPr>
          <w:rStyle w:val="1007"/>
          <w:rFonts w:ascii="宋体" w:hAnsi="宋体" w:cs="宋体"/>
          <w:sz w:val="28"/>
          <w:szCs w:val="28"/>
          <w:highlight w:val="white"/>
        </w:rPr>
      </w:pPr>
      <w:r>
        <w:rPr>
          <w:rFonts w:ascii="宋体" w:hAnsi="宋体" w:cs="宋体"/>
          <w:sz w:val="28"/>
          <w:szCs w:val="28"/>
          <w:highlight w:val="white"/>
        </w:rPr>
      </w:r>
      <w:r/>
    </w:p>
    <w:p>
      <w:pPr>
        <w:pStyle w:val="1010"/>
        <w:ind w:firstLine="562"/>
        <w:rPr>
          <w:rStyle w:val="1007"/>
          <w:rFonts w:ascii="宋体" w:hAnsi="宋体" w:cs="宋体"/>
          <w:b/>
          <w:sz w:val="28"/>
          <w:szCs w:val="28"/>
          <w:highlight w:val="white"/>
        </w:rPr>
      </w:pPr>
      <w:r>
        <w:rPr>
          <w:rFonts w:ascii="宋体" w:hAnsi="宋体" w:cs="宋体"/>
          <w:b/>
          <w:sz w:val="28"/>
          <w:szCs w:val="28"/>
          <w:highlight w:val="white"/>
        </w:rPr>
      </w:r>
      <w:r/>
    </w:p>
    <w:p>
      <w:pPr>
        <w:pStyle w:val="1010"/>
        <w:ind w:firstLine="562"/>
        <w:rPr>
          <w:rStyle w:val="1007"/>
          <w:rFonts w:ascii="宋体" w:hAnsi="宋体" w:cs="宋体"/>
          <w:b/>
          <w:sz w:val="28"/>
          <w:szCs w:val="28"/>
          <w:highlight w:val="white"/>
        </w:rPr>
      </w:pPr>
      <w:r>
        <w:rPr>
          <w:rFonts w:ascii="宋体" w:hAnsi="宋体" w:cs="宋体"/>
          <w:b/>
          <w:sz w:val="28"/>
          <w:szCs w:val="28"/>
          <w:highlight w:val="white"/>
        </w:rPr>
      </w:r>
      <w:r/>
    </w:p>
    <w:p>
      <w:pPr>
        <w:pStyle w:val="1010"/>
        <w:ind w:left="0" w:firstLine="560"/>
        <w:rPr>
          <w:rStyle w:val="1007"/>
          <w:rFonts w:ascii="宋体" w:hAnsi="宋体" w:cs="宋体"/>
          <w:bCs/>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ind w:firstLine="480"/>
        <w:jc w:val="center"/>
        <w:spacing w:line="520" w:lineRule="exact"/>
        <w:rPr>
          <w:rFonts w:ascii="宋体" w:hAnsi="宋体" w:cs="宋体"/>
          <w:sz w:val="32"/>
          <w:szCs w:val="32"/>
          <w:highlight w:val="white"/>
        </w:rPr>
      </w:pPr>
      <w:r>
        <w:rPr>
          <w:rFonts w:hint="eastAsia" w:ascii="宋体" w:hAnsi="宋体" w:cs="宋体"/>
          <w:sz w:val="32"/>
          <w:szCs w:val="32"/>
          <w:highlight w:val="white"/>
        </w:rPr>
        <w:t xml:space="preserve">合同通用条款</w:t>
      </w:r>
      <w:r/>
    </w:p>
    <w:p>
      <w:pPr>
        <w:ind w:firstLine="420"/>
        <w:spacing w:line="360" w:lineRule="auto"/>
        <w:rPr>
          <w:rFonts w:ascii="宋体" w:hAnsi="宋体" w:cs="宋体"/>
          <w:sz w:val="28"/>
          <w:szCs w:val="28"/>
          <w:highlight w:val="white"/>
        </w:rPr>
      </w:pPr>
      <w:r>
        <w:rPr>
          <w:rFonts w:ascii="宋体" w:hAnsi="宋体" w:cs="宋体"/>
          <w:sz w:val="28"/>
          <w:szCs w:val="28"/>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除本合同上下文中另有规定外，下列各词语定义如下：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1.1“买方”见《合同专用条款》。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1.2“卖方”见《合同专用条款》。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1.3“工作现场”见《合同专用条款》。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1.4“合同标的”见合同附件4。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1.7“安装”是指有关合同标的、备件和材料的安装工作。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1.8“试运行”是指为验明合同标的的技术性能，在安装完毕后对合同标的进行的测试。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1.10“合同货币”见《合同专用条款》。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1.11“合同价格”见合同附件4。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1.12“合同生效日”见《合同协议书》（合同附件1）第5 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1.13“日”是指日历天数。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1.14“月”是指日历月数。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1.15“采购需求” 见合同附件6。</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2.2数量：见招标文件第六章《采购需求》。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 合同总价见《合同专用条款》。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 合同总价是固定价格。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支付（采购资金的支付方式、时间、条件）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交货（货物、服务提供的时间、地点、方式）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5.1交货期限、批次和交货条件见《合同专用条款》。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5.2交货地点见《合同专用条款》。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5.4卖方应按下列规定交付合同标的：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5.4.1卖方负责将合同标的送至《合同专用条款》规定的交货地点。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5.4.2买方出具的收据日期是合同标的的实际交货日期。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第六条 包装与标记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6.1除非合同中另有规定，合同标的应保持产品制造企业原包装完好。</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6.2在合同标的的每件包装中都应附有下列单据：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装箱明细单；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质量合格证；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技术资料交付的期限和方式见《合同专用条款》。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 合同标的的安装期限见《合同专用条款》。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8.2 项目实施方案见合同附件7。</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9.1合同标的的试运行、验收见《合同专用条款》。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9.3验收标准（验收要求、验收标准和程序）：见合同附件5。</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10.1售后服务和技术培训见合同附件3。</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卖方替换不符合合同规定的合同标的。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按质量低劣的程度、买方受损害的程度及损失的数额对合同标的进行降价。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拒收合同标的。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D. 赔偿由卖方违约引起的其他损失。</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合同标的未能达到合同附件2 规定的技术性能；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第十七条  保密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17.3卖方应当采取适当有效的方式保护所获取的上述秘密。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 本合同在合同协议书（合同附件1）规定的条件全部满足后生效。</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18.3 合同双方各自承担与本合同有关的应负税费。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18.5对本合同的任何补充、增添或修改以书面方式进行。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1010"/>
        <w:ind w:left="0" w:right="0" w:firstLine="420"/>
        <w:spacing w:line="360" w:lineRule="auto"/>
        <w:rPr>
          <w:rStyle w:val="1007"/>
          <w:rFonts w:ascii="宋体" w:hAnsi="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jc w:val="center"/>
        <w:spacing w:line="360" w:lineRule="auto"/>
        <w:rPr>
          <w:rFonts w:ascii="宋体" w:hAnsi="宋体" w:cs="宋体"/>
          <w:b/>
          <w:bCs/>
          <w:sz w:val="32"/>
          <w:szCs w:val="32"/>
          <w:highlight w:val="white"/>
        </w:rPr>
      </w:pPr>
      <w:r>
        <w:rPr>
          <w:rFonts w:hint="eastAsia" w:ascii="宋体" w:hAnsi="宋体" w:cs="宋体"/>
          <w:b/>
          <w:bCs/>
          <w:sz w:val="32"/>
          <w:szCs w:val="32"/>
          <w:highlight w:val="white"/>
        </w:rPr>
        <w:t xml:space="preserve">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 “买方”为 </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 “卖方”为</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 “工作现场”为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 “合同货币”即</w:t>
      </w:r>
      <w:r>
        <w:rPr>
          <w:rFonts w:hint="eastAsia" w:ascii="宋体" w:hAnsi="宋体" w:cs="宋体"/>
          <w:sz w:val="24"/>
          <w:highlight w:val="white"/>
          <w:u w:val="single"/>
        </w:rPr>
        <w:t xml:space="preserve">人民币</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2.1买方同意从卖方购买、卖方同意向买方出售的合同标的是</w:t>
      </w:r>
      <w:r>
        <w:rPr>
          <w:rFonts w:hint="eastAsia" w:ascii="宋体" w:hAnsi="宋体" w:cs="宋体"/>
          <w:sz w:val="24"/>
          <w:highlight w:val="white"/>
          <w:u w:val="single"/>
        </w:rPr>
        <w:t xml:space="preserve">      </w:t>
      </w:r>
      <w:r>
        <w:rPr>
          <w:rFonts w:hint="eastAsia" w:ascii="宋体" w:hAnsi="宋体" w:cs="宋体"/>
          <w:sz w:val="24"/>
          <w:highlight w:val="white"/>
        </w:rPr>
        <w:t xml:space="preserve">。详见合同附件。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3.1合同总价为￥</w:t>
      </w:r>
      <w:r>
        <w:rPr>
          <w:rFonts w:hint="eastAsia" w:ascii="宋体" w:hAnsi="宋体" w:cs="宋体"/>
          <w:sz w:val="24"/>
          <w:highlight w:val="white"/>
          <w:u w:val="single"/>
        </w:rPr>
        <w:t xml:space="preserve">               </w:t>
      </w:r>
      <w:r>
        <w:rPr>
          <w:rFonts w:hint="eastAsia" w:ascii="宋体" w:hAnsi="宋体" w:cs="宋体"/>
          <w:sz w:val="24"/>
          <w:highlight w:val="white"/>
        </w:rPr>
        <w:t xml:space="preserve">大写：人民币</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3.2报价包括但不限于产品价、税金、运费、安装调试、检验、验收、售后服务、投标人的利润等全部费用</w:t>
      </w:r>
      <w:r>
        <w:rPr>
          <w:rFonts w:hint="eastAsia" w:ascii="宋体" w:hAnsi="宋体" w:cs="宋体"/>
          <w:bCs/>
          <w:sz w:val="24"/>
          <w:highlight w:val="white"/>
        </w:rPr>
        <w:t xml:space="preserve">。采购人不再支付报价以外的任何费用</w:t>
      </w:r>
      <w:r>
        <w:rPr>
          <w:rFonts w:hint="eastAsia" w:ascii="宋体" w:hAnsi="宋体" w:cs="宋体"/>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经双方协商一致，选择以下第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b/>
          <w:bCs/>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作为预付款，在合同签订生效且卖方向甲方出具合同总价的百分之四十（40%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合同总价的百分之三十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合同总价的百分之七十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70%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买方签署验收合格报告。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4.2上述费用买方支付至卖方指定账户内。除卖方另行指定外，该指定账户信息为：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户名：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账号：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开户行：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20"/>
        <w:spacing w:line="360" w:lineRule="auto"/>
        <w:rPr>
          <w:rFonts w:ascii="宋体" w:hAnsi="宋体" w:cs="宋体"/>
          <w:b/>
          <w:sz w:val="24"/>
          <w:highlight w:val="white"/>
        </w:rPr>
      </w:pPr>
      <w:r>
        <w:rPr>
          <w:rFonts w:hint="eastAsia" w:ascii="宋体" w:hAnsi="宋体" w:cs="宋体"/>
          <w:sz w:val="24"/>
          <w:highlight w:val="white"/>
        </w:rPr>
        <w:t xml:space="preserve">5.1卖方应于合同生效后，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日内交货并安装调试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 交货地点为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5.3卖方应在不迟于每批合同标的备妥待运前</w:t>
      </w:r>
      <w:r>
        <w:rPr>
          <w:rFonts w:hint="eastAsia" w:ascii="宋体" w:hAnsi="宋体" w:cs="宋体"/>
          <w:sz w:val="24"/>
          <w:highlight w:val="white"/>
          <w:u w:val="single"/>
        </w:rPr>
        <w:t xml:space="preserve"> 10 </w:t>
      </w:r>
      <w:r>
        <w:rPr>
          <w:rFonts w:hint="eastAsia" w:ascii="宋体" w:hAnsi="宋体" w:cs="宋体"/>
          <w:sz w:val="24"/>
          <w:highlight w:val="white"/>
        </w:rPr>
        <w:t xml:space="preserve">日通知买方。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5.5如果卖方未能按照合同规定的交货期限交货，卖方应按每天迟交合同标的金额的千分之</w:t>
      </w:r>
      <w:r>
        <w:rPr>
          <w:rFonts w:hint="eastAsia" w:ascii="宋体" w:hAnsi="宋体" w:cs="宋体"/>
          <w:sz w:val="24"/>
          <w:highlight w:val="white"/>
          <w:u w:val="single"/>
        </w:rPr>
        <w:t xml:space="preserve">一</w:t>
      </w:r>
      <w:r>
        <w:rPr>
          <w:rFonts w:hint="eastAsia" w:ascii="宋体" w:hAnsi="宋体" w:cs="宋体"/>
          <w:sz w:val="24"/>
          <w:highlight w:val="white"/>
        </w:rPr>
        <w:t xml:space="preserve"> (</w:t>
      </w:r>
      <w:r>
        <w:rPr>
          <w:rFonts w:hint="eastAsia" w:ascii="宋体" w:hAnsi="宋体" w:cs="宋体"/>
          <w:sz w:val="24"/>
          <w:highlight w:val="white"/>
          <w:u w:val="single"/>
        </w:rPr>
        <w:t xml:space="preserve">1</w:t>
      </w:r>
      <w:r>
        <w:rPr>
          <w:rFonts w:hint="eastAsia" w:ascii="宋体" w:hAnsi="宋体" w:cs="宋体"/>
          <w:sz w:val="24"/>
          <w:highlight w:val="white"/>
        </w:rPr>
        <w:t xml:space="preserve">%)的比率支付违约金。违约金的总金额不超过合同总价的百分之</w:t>
      </w:r>
      <w:r>
        <w:rPr>
          <w:rFonts w:hint="eastAsia" w:ascii="宋体" w:hAnsi="宋体" w:cs="宋体"/>
          <w:sz w:val="24"/>
          <w:highlight w:val="white"/>
          <w:u w:val="single"/>
        </w:rPr>
        <w:t xml:space="preserve">十</w:t>
      </w:r>
      <w:r>
        <w:rPr>
          <w:rFonts w:hint="eastAsia" w:ascii="宋体" w:hAnsi="宋体" w:cs="宋体"/>
          <w:sz w:val="24"/>
          <w:highlight w:val="white"/>
        </w:rPr>
        <w:t xml:space="preserve">(</w:t>
      </w:r>
      <w:r>
        <w:rPr>
          <w:rFonts w:hint="eastAsia" w:ascii="宋体" w:hAnsi="宋体" w:cs="宋体"/>
          <w:sz w:val="24"/>
          <w:highlight w:val="white"/>
          <w:u w:val="single"/>
        </w:rPr>
        <w:t xml:space="preserve">10</w:t>
      </w:r>
      <w:r>
        <w:rPr>
          <w:rFonts w:hint="eastAsia" w:ascii="宋体" w:hAnsi="宋体" w:cs="宋体"/>
          <w:sz w:val="24"/>
          <w:highlight w:val="white"/>
        </w:rPr>
        <w:t xml:space="preserve">%) ，违约金的支付不能免除卖方继续交付相关合同标的的义务。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如果卖方在合同规定的交货期限后</w:t>
      </w:r>
      <w:r>
        <w:rPr>
          <w:rFonts w:hint="eastAsia" w:ascii="宋体" w:hAnsi="宋体" w:cs="宋体"/>
          <w:sz w:val="24"/>
          <w:highlight w:val="white"/>
          <w:u w:val="single"/>
        </w:rPr>
        <w:t xml:space="preserve">十</w:t>
      </w:r>
      <w:r>
        <w:rPr>
          <w:rFonts w:hint="eastAsia" w:ascii="宋体" w:hAnsi="宋体" w:cs="宋体"/>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技术资料随合同标的同时交付给买方。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8.1卖方应于合同生效日后，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9.2由买方进行评估和验收；经买方验收不合格的，卖方在接到买方通知后三日内整改，并保证再次验收合格。</w:t>
      </w:r>
      <w:r>
        <w:rPr>
          <w:rFonts w:hint="eastAsia" w:ascii="宋体" w:hAnsi="宋体" w:cs="宋体"/>
          <w:b/>
          <w:bCs/>
          <w:sz w:val="24"/>
          <w:highlight w:val="white"/>
        </w:rPr>
        <w:t xml:space="preserve">如已超过</w:t>
      </w:r>
      <w:r>
        <w:rPr>
          <w:rFonts w:hint="eastAsia" w:ascii="宋体" w:hAnsi="宋体" w:cs="宋体"/>
          <w:b/>
          <w:bCs/>
          <w:sz w:val="24"/>
          <w:highlight w:val="white"/>
          <w:u w:val="single"/>
        </w:rPr>
        <w:t xml:space="preserve"> </w:t>
      </w:r>
      <w:r>
        <w:rPr>
          <w:rFonts w:hint="eastAsia" w:ascii="宋体" w:hAnsi="宋体" w:cs="宋体"/>
          <w:b/>
          <w:bCs/>
          <w:sz w:val="24"/>
          <w:highlight w:val="white"/>
          <w:u w:val="single"/>
          <w:lang w:val="en-US" w:eastAsia="zh-CN"/>
        </w:rPr>
        <w:t xml:space="preserve"> </w:t>
      </w:r>
      <w:r>
        <w:rPr>
          <w:rFonts w:hint="eastAsia" w:ascii="宋体" w:hAnsi="宋体" w:cs="宋体"/>
          <w:b/>
          <w:bCs/>
          <w:sz w:val="24"/>
          <w:highlight w:val="white"/>
          <w:u w:val="single"/>
        </w:rPr>
        <w:t xml:space="preserve"> </w:t>
      </w:r>
      <w:r>
        <w:rPr>
          <w:rFonts w:hint="eastAsia" w:ascii="宋体" w:hAnsi="宋体" w:cs="宋体"/>
          <w:b/>
          <w:bCs/>
          <w:sz w:val="24"/>
          <w:highlight w:val="white"/>
        </w:rPr>
        <w:t xml:space="preserve">天交货期限，</w:t>
      </w:r>
      <w:r>
        <w:rPr>
          <w:rFonts w:hint="eastAsia" w:ascii="宋体" w:hAnsi="宋体" w:cs="宋体"/>
          <w:sz w:val="24"/>
          <w:highlight w:val="white"/>
        </w:rPr>
        <w:t xml:space="preserve">卖方每天应按合同标的金额的百分之一 (1%)的比率支付违约金。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11.1买方有权选择本条款规定的任意或全部救济方式。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13.1如果卖方有下述违约行为，买方可以全部或部分地终止合同：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卖方在合同规定的交货期限后</w:t>
      </w:r>
      <w:r>
        <w:rPr>
          <w:rFonts w:hint="eastAsia" w:ascii="宋体" w:hAnsi="宋体" w:cs="宋体"/>
          <w:sz w:val="24"/>
          <w:highlight w:val="white"/>
          <w:u w:val="single"/>
        </w:rPr>
        <w:t xml:space="preserve">10</w:t>
      </w:r>
      <w:r>
        <w:rPr>
          <w:rFonts w:hint="eastAsia" w:ascii="宋体" w:hAnsi="宋体" w:cs="宋体"/>
          <w:sz w:val="24"/>
          <w:highlight w:val="white"/>
        </w:rPr>
        <w:t xml:space="preserve">日内仍未能交付合同标的和/ 或技术资料；或者卖方未能履行合同项下任何其它义务，并且在收到买方违约通知后</w:t>
      </w:r>
      <w:r>
        <w:rPr>
          <w:rFonts w:hint="eastAsia" w:ascii="宋体" w:hAnsi="宋体" w:cs="宋体"/>
          <w:sz w:val="24"/>
          <w:highlight w:val="white"/>
          <w:u w:val="single"/>
        </w:rPr>
        <w:t xml:space="preserve">5</w:t>
      </w:r>
      <w:r>
        <w:rPr>
          <w:rFonts w:hint="eastAsia" w:ascii="宋体" w:hAnsi="宋体" w:cs="宋体"/>
          <w:sz w:val="24"/>
          <w:highlight w:val="white"/>
        </w:rPr>
        <w:t xml:space="preserve">日内仍未能对其违约行为作出补救。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14.1如果不能协商一致，合同任何一方有权向买方所在地人民法院提起诉讼。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hint="eastAsia" w:ascii="宋体" w:hAnsi="宋体" w:cs="宋体"/>
          <w:sz w:val="24"/>
          <w:highlight w:val="white"/>
        </w:rPr>
      </w:pPr>
      <w:r>
        <w:rPr>
          <w:rFonts w:hint="eastAsia" w:ascii="宋体" w:hAnsi="宋体" w:cs="宋体"/>
          <w:sz w:val="24"/>
          <w:highlight w:val="whit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sz w:val="24"/>
          <w:highlight w:val="white"/>
        </w:rPr>
      </w:pPr>
      <w:r>
        <w:rPr>
          <w:rFonts w:hint="eastAsia" w:ascii="宋体" w:hAnsi="宋体" w:cs="宋体"/>
          <w:sz w:val="24"/>
          <w:highlight w:val="white"/>
          <w:u w:val="single"/>
          <w:lang w:val="en-US" w:eastAsia="zh-CN"/>
        </w:rPr>
        <w:t xml:space="preserve">     </w:t>
      </w:r>
      <w:r>
        <w:rPr>
          <w:rFonts w:hint="eastAsia" w:ascii="宋体" w:hAnsi="宋体" w:cs="宋体"/>
          <w:sz w:val="24"/>
          <w:highlight w:val="whit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 合同双方的通讯地址：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因买方原因导致变更、中止或者终止政府采购合同的，买方对卖方受到的实际损失予以赔偿或者补偿。</w:t>
      </w:r>
      <w:r/>
    </w:p>
    <w:p>
      <w:pPr>
        <w:jc w:val="center"/>
        <w:rPr>
          <w:rFonts w:ascii="宋体" w:hAnsi="宋体" w:cs="宋体"/>
          <w:b/>
          <w:bCs/>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0"/>
          <w:szCs w:val="30"/>
        </w:rPr>
      </w:r>
      <w:r/>
    </w:p>
    <w:p>
      <w:pPr>
        <w:jc w:val="center"/>
        <w:rPr>
          <w:rFonts w:ascii="宋体" w:hAnsi="宋体" w:cs="宋体"/>
          <w:sz w:val="30"/>
          <w:szCs w:val="30"/>
        </w:rPr>
      </w:pPr>
      <w:r>
        <w:rPr>
          <w:rFonts w:hint="eastAsia" w:ascii="宋体" w:hAnsi="宋体" w:cs="宋体"/>
          <w:b/>
          <w:bCs/>
          <w:sz w:val="30"/>
          <w:szCs w:val="30"/>
        </w:rPr>
        <w:t xml:space="preserve">合同附件</w:t>
      </w:r>
      <w:r/>
    </w:p>
    <w:p>
      <w:pPr>
        <w:jc w:val="left"/>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 录</w:t>
      </w:r>
      <w:r/>
    </w:p>
    <w:p>
      <w:pPr>
        <w:jc w:val="center"/>
        <w:rPr>
          <w:rFonts w:ascii="宋体" w:hAnsi="宋体" w:cs="宋体"/>
          <w:sz w:val="24"/>
        </w:rPr>
      </w:pPr>
      <w:r>
        <w:rPr>
          <w:rFonts w:ascii="宋体" w:hAnsi="宋体" w:cs="宋体"/>
          <w:sz w:val="24"/>
        </w:rPr>
      </w:r>
      <w:r/>
    </w:p>
    <w:p>
      <w:pPr>
        <w:rPr>
          <w:rFonts w:ascii="宋体" w:hAnsi="宋体" w:cs="宋体"/>
          <w:b w:val="0"/>
          <w:bCs w:val="0"/>
          <w:sz w:val="24"/>
        </w:rPr>
      </w:pPr>
      <w:r>
        <w:rPr>
          <w:rFonts w:hint="eastAsia" w:ascii="宋体" w:hAnsi="宋体" w:cs="宋体"/>
          <w:b w:val="0"/>
          <w:bCs w:val="0"/>
          <w:sz w:val="24"/>
        </w:rPr>
        <w:t xml:space="preserve">合同附件1：合同协议书</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合同附件2：技术规格和技术性能</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(要求见招标文件第六章《采购需求》；合同见卖方投标文件中《技术规格说明》。)</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合同附件3：售后服务和技术培训</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(要求见招标文件第六章《采购需求》；合同见卖方投标文件中《售后服务方案》和《培训方案》。)</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合同附件4：供货范围和价格清单</w:t>
      </w:r>
      <w:r/>
    </w:p>
    <w:p>
      <w:pPr>
        <w:rPr>
          <w:rFonts w:ascii="宋体" w:hAnsi="宋体" w:cs="宋体"/>
          <w:b w:val="0"/>
          <w:bCs w:val="0"/>
          <w:sz w:val="24"/>
        </w:rPr>
      </w:pPr>
      <w:r>
        <w:rPr>
          <w:rFonts w:hint="eastAsia" w:ascii="宋体" w:hAnsi="宋体" w:cs="宋体"/>
          <w:b w:val="0"/>
          <w:bCs w:val="0"/>
          <w:sz w:val="24"/>
        </w:rPr>
        <w:t xml:space="preserve">(要求见招标文件第七章《投标文件相关格式》中《开标一览表》和《分项价格表》；合同见卖方投标文件中《开标一览表》和《分项价格表》。)</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合同附件5：验收标准（验收要求、验收标准和程序）</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合同附件6：采购需求</w:t>
      </w:r>
      <w:r/>
    </w:p>
    <w:p>
      <w:pPr>
        <w:rPr>
          <w:rFonts w:ascii="宋体" w:hAnsi="宋体" w:cs="宋体"/>
          <w:b w:val="0"/>
          <w:bCs w:val="0"/>
          <w:sz w:val="24"/>
        </w:rPr>
      </w:pPr>
      <w:r>
        <w:rPr>
          <w:rFonts w:hint="eastAsia" w:ascii="宋体" w:hAnsi="宋体" w:cs="宋体"/>
          <w:b w:val="0"/>
          <w:bCs w:val="0"/>
          <w:sz w:val="24"/>
        </w:rPr>
        <w:t xml:space="preserve">(见招标文件第六章《采购需求》。)</w:t>
      </w:r>
      <w:r/>
    </w:p>
    <w:p>
      <w:pPr>
        <w:rPr>
          <w:rFonts w:ascii="宋体" w:hAnsi="宋体" w:cs="宋体"/>
          <w:sz w:val="24"/>
        </w:rPr>
      </w:pPr>
      <w:r>
        <w:rPr>
          <w:rFonts w:ascii="宋体" w:hAnsi="宋体" w:cs="宋体"/>
          <w:sz w:val="24"/>
        </w:rPr>
      </w:r>
      <w:r/>
    </w:p>
    <w:p>
      <w:pPr>
        <w:jc w:val="both"/>
        <w:spacing w:line="360" w:lineRule="auto"/>
        <w:rPr>
          <w:rFonts w:hint="eastAsia" w:asciiTheme="minorEastAsia" w:hAnsiTheme="minorEastAsia" w:eastAsiaTheme="minorEastAsia" w:cstheme="minorEastAsia"/>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sz w:val="32"/>
          <w:szCs w:val="32"/>
        </w:rPr>
      </w:r>
      <w:r/>
    </w:p>
    <w:p>
      <w:pPr>
        <w:jc w:val="center"/>
        <w:spacing w:line="360" w:lineRule="auto"/>
        <w:rPr>
          <w:rStyle w:val="1001"/>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 xml:space="preserve">采购需求</w:t>
      </w:r>
      <w:bookmarkStart w:id="2" w:name="_Toc322457054"/>
      <w:r/>
      <w:bookmarkEnd w:id="2"/>
      <w:r/>
      <w:bookmarkStart w:id="3" w:name="_Toc324452802"/>
      <w:r/>
      <w:bookmarkEnd w:id="3"/>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（四）本项目总预算为人民币861.25万元，且本项目不接收超过采购包1：人民币288.35万元；采购包2：人民币217.35万元；采购包3：人民币196.05万元；采购包4：人民币159.50万元（项目采购预算）的投标报价。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采购包1：江苏省睢宁高级中学新校区化学创新实验室设备及配套设施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采购包2：江苏省睢宁高级中学新校区生物创新实验室设备及配套设施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采购包3：江苏省睢宁高级中学新校区物理创新实验室设备及配套设施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采购包4：江苏省睢宁高级中学新校区创客、通用技术</w:t>
      </w:r>
      <w:r>
        <w:rPr>
          <w:rFonts w:hint="eastAsia" w:ascii="宋体" w:hAnsi="宋体" w:cs="宋体"/>
          <w:b w:val="0"/>
          <w:bCs w:val="0"/>
          <w:color w:val="000000"/>
          <w:sz w:val="24"/>
          <w:lang w:val="en-US" w:eastAsia="zh-CN"/>
        </w:rPr>
        <w:t xml:space="preserve">实验室</w:t>
      </w:r>
      <w:r>
        <w:rPr>
          <w:rFonts w:hint="default" w:ascii="宋体" w:hAnsi="宋体" w:cs="宋体"/>
          <w:b w:val="0"/>
          <w:bCs w:val="0"/>
          <w:color w:val="000000"/>
          <w:sz w:val="24"/>
          <w:lang w:val="en-US" w:eastAsia="zh-CN"/>
        </w:rPr>
        <w:t xml:space="preserve">设备及配套设施</w:t>
      </w:r>
      <w:r>
        <w:rPr>
          <w:rFonts w:hint="eastAsia" w:ascii="宋体" w:hAnsi="宋体" w:cs="宋体"/>
          <w:b w:val="0"/>
          <w:bCs w:val="0"/>
          <w:color w:val="000000"/>
          <w:sz w:val="24"/>
          <w:lang w:val="en-US" w:eastAsia="zh-CN"/>
        </w:rPr>
        <w:t xml:space="preserve">。</w:t>
      </w:r>
      <w:r/>
    </w:p>
    <w:p>
      <w:pPr>
        <w:numPr>
          <w:ilvl w:val="0"/>
          <w:numId w:val="0"/>
        </w:num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（六）本项目核心产品：</w:t>
      </w:r>
      <w:r/>
    </w:p>
    <w:tbl>
      <w:tblPr>
        <w:tblStyle w:val="8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显微镜</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3D建模设备（教师）、桌面式激光切割机</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本项目各采购包核心产品超过2种（含）以上的，提供核心产品品牌均相同的按一家投标人计算。</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（八）本项目采购的为非进口产品。</w:t>
      </w:r>
      <w:r/>
    </w:p>
    <w:p>
      <w:p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四</w:t>
      </w:r>
      <w:r>
        <w:rPr>
          <w:rFonts w:hint="eastAsia" w:ascii="宋体" w:hAnsi="宋体" w:eastAsia="宋体" w:cs="宋体"/>
          <w:b/>
          <w:bCs/>
          <w:color w:val="000000"/>
          <w:sz w:val="24"/>
        </w:rPr>
        <w:t xml:space="preserve">、</w:t>
      </w:r>
      <w:r>
        <w:rPr>
          <w:rFonts w:hint="eastAsia" w:ascii="宋体" w:hAnsi="宋体" w:cs="宋体"/>
          <w:b/>
          <w:bCs/>
          <w:color w:val="000000"/>
          <w:sz w:val="24"/>
          <w:lang w:val="en-US" w:eastAsia="zh-CN"/>
        </w:rPr>
        <w:t xml:space="preserve">项目实施要求</w:t>
      </w:r>
      <w:r/>
    </w:p>
    <w:p>
      <w:pPr>
        <w:spacing w:line="360" w:lineRule="auto"/>
        <w:tabs>
          <w:tab w:val="left" w:pos="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rPr>
        <w:t xml:space="preserve">（一）交</w:t>
      </w:r>
      <w:r>
        <w:rPr>
          <w:rFonts w:hint="eastAsia" w:ascii="宋体" w:hAnsi="宋体" w:eastAsia="宋体" w:cs="宋体"/>
          <w:b/>
          <w:bCs/>
          <w:color w:val="000000"/>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合同签订后生效后</w:t>
      </w:r>
      <w:r>
        <w:rPr>
          <w:rFonts w:hint="eastAsia" w:ascii="宋体" w:hAnsi="宋体" w:cs="宋体"/>
          <w:b/>
          <w:bCs/>
          <w:color w:val="000000"/>
          <w:sz w:val="24"/>
          <w:highlight w:val="none"/>
          <w:lang w:val="en-US" w:eastAsia="zh-CN"/>
        </w:rPr>
        <w:t xml:space="preserve">40</w:t>
      </w:r>
      <w:r>
        <w:rPr>
          <w:rFonts w:hint="eastAsia" w:ascii="宋体" w:hAnsi="宋体" w:eastAsia="宋体" w:cs="宋体"/>
          <w:b/>
          <w:bCs/>
          <w:color w:val="000000"/>
          <w:sz w:val="24"/>
          <w:highlight w:val="none"/>
        </w:rPr>
        <w:t xml:space="preserve">日内将合同标的全部交付并配送安装完毕</w:t>
      </w:r>
      <w:r>
        <w:rPr>
          <w:rFonts w:hint="eastAsia" w:ascii="宋体" w:hAnsi="宋体" w:cs="宋体"/>
          <w:b/>
          <w:bCs/>
          <w:color w:val="000000"/>
          <w:sz w:val="24"/>
          <w:lang w:val="en-US" w:eastAsia="zh-CN"/>
        </w:rPr>
        <w:t xml:space="preserve">（地址为采购人指定地点）</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成立配送安装小组</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出厂前，必须明确安装/维修要求，备齐所需工具及操作图纸。安装前：将安装施工中工具需要的电源进行确定、现场</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送到采购人指定地点，应当铺垫衬垫物后，整齐有序堆放，避免因堆放不当而引起的损坏。由中标人（合同卖方）负责组合安装</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000000"/>
          <w:sz w:val="24"/>
          <w:lang w:eastAsia="zh-CN"/>
        </w:rPr>
        <w:t xml:space="preserve">再进</w:t>
      </w:r>
      <w:r>
        <w:rPr>
          <w:rFonts w:hint="eastAsia" w:ascii="宋体" w:hAnsi="宋体" w:eastAsia="宋体" w:cs="宋体"/>
          <w:color w:val="000000"/>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（3）设备设施</w:t>
      </w:r>
      <w:r>
        <w:rPr>
          <w:rFonts w:hint="eastAsia" w:ascii="宋体" w:hAnsi="宋体" w:eastAsia="宋体" w:cs="宋体"/>
          <w:color w:val="000000"/>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000000"/>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817"/>
        <w:ind w:firstLine="480"/>
        <w:keepLines w:val="0"/>
        <w:keepNext w:val="0"/>
        <w:pageBreakBefore w:val="0"/>
        <w:spacing w:after="0" w:line="360" w:lineRule="auto"/>
        <w:widowControl w:val="off"/>
        <w:rPr>
          <w:rFonts w:hint="eastAsia" w:eastAsia="宋体"/>
          <w:lang w:eastAsia="zh-CN"/>
        </w:rPr>
      </w:pP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t xml:space="preserve">）中标人应服从</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5</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如有</w:t>
      </w:r>
      <w:r>
        <w:rPr>
          <w:rFonts w:hint="eastAsia" w:ascii="宋体" w:hAnsi="宋体" w:eastAsia="宋体" w:cs="宋体"/>
          <w:color w:val="000000"/>
          <w:sz w:val="24"/>
          <w:lang w:val="en-US" w:eastAsia="zh-CN"/>
        </w:rPr>
        <w:t xml:space="preserve">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配送安装保障措施要求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运输过程中，采取多种措施，包括缓冲、固定、包覆、避免磕碰等，以确保能够安全到达。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准备专业的安装工具和人员，在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运达之后，根据安装图纸及场地环境，明确安装顺序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免费安装。强调施工人员必须遵守相关安全规定，并提供必要的个人防护设备。对安装人员进行必要的培训，使其熟悉</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组装流程和技术要求。</w:t>
      </w:r>
      <w:r/>
    </w:p>
    <w:p>
      <w:pPr>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、质量管控要求</w:t>
      </w:r>
      <w:r/>
    </w:p>
    <w:p>
      <w:p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采购人有权在货物生产过程中随时到</w:t>
      </w:r>
      <w:r>
        <w:rPr>
          <w:rFonts w:hint="eastAsia" w:ascii="宋体" w:hAnsi="宋体" w:eastAsia="宋体" w:cs="宋体"/>
          <w:color w:val="000000"/>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000000"/>
          <w:sz w:val="24"/>
          <w:lang w:val="en-US" w:eastAsia="zh-CN"/>
        </w:rPr>
        <w:t xml:space="preserve">采购</w:t>
      </w:r>
      <w:r>
        <w:rPr>
          <w:rFonts w:hint="eastAsia" w:ascii="宋体" w:hAnsi="宋体" w:eastAsia="宋体" w:cs="宋体"/>
          <w:color w:val="000000"/>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售后服务具体要求</w:t>
      </w:r>
      <w:r/>
    </w:p>
    <w:p>
      <w:pPr>
        <w:ind w:firstLine="47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质保期要求：从买方（采购人）验收合格之日起，提供</w:t>
      </w:r>
      <w:r>
        <w:rPr>
          <w:rFonts w:hint="eastAsia" w:ascii="宋体" w:hAnsi="宋体" w:cs="宋体"/>
          <w:b/>
          <w:bCs/>
          <w:color w:val="000000"/>
          <w:sz w:val="24"/>
          <w:highlight w:val="none"/>
          <w:u w:val="none"/>
          <w:lang w:val="en-US" w:eastAsia="zh-CN"/>
        </w:rPr>
        <w:t xml:space="preserve">不少于3</w:t>
      </w:r>
      <w:r>
        <w:rPr>
          <w:rFonts w:hint="eastAsia" w:ascii="宋体" w:hAnsi="宋体" w:eastAsia="宋体" w:cs="宋体"/>
          <w:b/>
          <w:bCs/>
          <w:color w:val="000000"/>
          <w:sz w:val="24"/>
          <w:highlight w:val="none"/>
          <w:u w:val="none"/>
        </w:rPr>
        <w:t xml:space="preserve">年</w:t>
      </w:r>
      <w:r>
        <w:rPr>
          <w:rFonts w:hint="eastAsia" w:ascii="宋体" w:hAnsi="宋体" w:eastAsia="宋体" w:cs="宋体"/>
          <w:b/>
          <w:bCs/>
          <w:color w:val="000000"/>
          <w:sz w:val="24"/>
          <w:highlight w:val="none"/>
        </w:rPr>
        <w:t xml:space="preserve">的免费质保</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采购需求中特别约定的以采购需求要求的为准）</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说明：“</w:t>
      </w: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质保期内的服务要求：</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质保期内，卖方（中标人）应在接到报修电话2小时内做出响应，24小时内赶到现场进行更换或免费维修，费用由卖方（中标人）负责。为保证产品的正常运行，配置充足的专业工具和备品备件确保在</w:t>
      </w:r>
      <w:r>
        <w:rPr>
          <w:rFonts w:hint="eastAsia" w:ascii="宋体" w:hAnsi="宋体" w:eastAsia="宋体" w:cs="宋体"/>
          <w:color w:val="000000"/>
          <w:sz w:val="24"/>
        </w:rPr>
        <w:t xml:space="preserve">最短时间内响应用户产品的及时之需。</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所有更换的零件材料，品质纯正，保证均按原厂标准生产。对提供货物实行“三包”的说明：包修：</w:t>
      </w:r>
      <w:r>
        <w:rPr>
          <w:rFonts w:hint="eastAsia" w:ascii="宋体" w:hAnsi="宋体" w:cs="宋体"/>
          <w:color w:val="000000"/>
          <w:sz w:val="24"/>
          <w:lang w:val="en-US" w:eastAsia="zh-CN"/>
        </w:rPr>
        <w:t xml:space="preserve">产品</w:t>
      </w:r>
      <w:r>
        <w:rPr>
          <w:rFonts w:hint="eastAsia" w:ascii="宋体" w:hAnsi="宋体" w:eastAsia="宋体" w:cs="宋体"/>
          <w:color w:val="000000"/>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质保期后的服务要求：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设立售后服务热线，以便采购单位随时咨询问题和提交维修申请。对于出现故障或损坏的</w:t>
      </w:r>
      <w:r>
        <w:rPr>
          <w:rFonts w:hint="eastAsia" w:ascii="宋体" w:hAnsi="宋体" w:cs="宋体"/>
          <w:color w:val="000000"/>
          <w:sz w:val="24"/>
          <w:lang w:val="en-US" w:eastAsia="zh-CN"/>
        </w:rPr>
        <w:t xml:space="preserve">设备</w:t>
      </w:r>
      <w:r>
        <w:rPr>
          <w:rFonts w:hint="eastAsia" w:ascii="宋体" w:hAnsi="宋体" w:eastAsia="宋体" w:cs="宋体"/>
          <w:color w:val="000000"/>
          <w:sz w:val="24"/>
        </w:rPr>
        <w:t xml:space="preserve">，提供专业人员进行现场维修。质保期过后，无工程师上门费，维修仅收配件费用。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培训及</w:t>
      </w:r>
      <w:r>
        <w:rPr>
          <w:rFonts w:hint="eastAsia" w:ascii="宋体" w:hAnsi="宋体" w:eastAsia="宋体" w:cs="宋体"/>
          <w:color w:val="000000"/>
          <w:sz w:val="24"/>
        </w:rPr>
        <w:t xml:space="preserve">服务保障措施要求：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专门成立售后服务小组，指定售后服务具体负责人。制定故障报修的响应时间和故障解决方案。</w:t>
      </w:r>
      <w:r/>
    </w:p>
    <w:p>
      <w:pPr>
        <w:ind w:firstLine="47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定期对员工进行培训，不断提高员工服务水平。定期对采购人进行回访。</w:t>
      </w:r>
      <w:r>
        <w:rPr>
          <w:rFonts w:hint="eastAsia" w:ascii="宋体" w:hAnsi="宋体" w:cs="宋体"/>
          <w:color w:val="000000"/>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七</w:t>
      </w:r>
      <w:r>
        <w:rPr>
          <w:rFonts w:hint="eastAsia" w:ascii="宋体" w:hAnsi="宋体" w:eastAsia="宋体" w:cs="宋体"/>
          <w:b/>
          <w:bCs/>
          <w:color w:val="000000"/>
          <w:sz w:val="24"/>
        </w:rPr>
        <w:t xml:space="preserve">、样品要求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要求投标人提供样品明细</w:t>
      </w:r>
      <w:r/>
    </w:p>
    <w:tbl>
      <w:tblPr>
        <w:tblStyle w:val="812"/>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cs="宋体"/>
                <w:b/>
                <w:bCs/>
                <w:color w:val="000000"/>
                <w:sz w:val="24"/>
                <w:szCs w:val="24"/>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eastAsia="宋体" w:cs="宋体"/>
                <w:b/>
                <w:bCs/>
                <w:color w:val="000000"/>
                <w:sz w:val="24"/>
                <w:szCs w:val="24"/>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化学智能吊装实验室</w:t>
            </w:r>
            <w:r>
              <w:rPr>
                <w:rFonts w:hint="eastAsia" w:ascii="宋体" w:hAnsi="宋体" w:cs="宋体"/>
                <w:i w:val="0"/>
                <w:iCs w:val="0"/>
                <w:color w:val="000000"/>
                <w:sz w:val="24"/>
                <w:szCs w:val="24"/>
                <w:u w:val="none"/>
                <w:lang w:val="en-US" w:eastAsia="zh-CN" w:bidi="ar-SA"/>
              </w:rPr>
              <w:t xml:space="preserve">-“一、学生实验操作区”-学生实验桌（序号：1）</w: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学生端探究仪</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3、化学数字化探究实验室</w:t>
            </w:r>
            <w:r>
              <w:rPr>
                <w:rFonts w:hint="eastAsia" w:ascii="宋体" w:hAnsi="宋体" w:cs="宋体"/>
                <w:i w:val="0"/>
                <w:iCs w:val="0"/>
                <w:color w:val="000000"/>
                <w:sz w:val="24"/>
                <w:szCs w:val="24"/>
                <w:u w:val="none"/>
                <w:lang w:val="en-US" w:eastAsia="zh-CN" w:bidi="ar-SA"/>
              </w:rPr>
              <w:t xml:space="preserve">-“六、</w:t>
            </w:r>
            <w:r>
              <w:rPr>
                <w:rFonts w:hint="eastAsia" w:ascii="宋体" w:hAnsi="宋体" w:eastAsia="宋体" w:cs="宋体"/>
                <w:i w:val="0"/>
                <w:iCs w:val="0"/>
                <w:color w:val="000000"/>
                <w:sz w:val="24"/>
                <w:szCs w:val="24"/>
                <w:u w:val="none"/>
                <w:lang w:val="en-US" w:eastAsia="zh-CN" w:bidi="ar-SA"/>
              </w:rPr>
              <w:t xml:space="preserve">学生端探究仪器</w:t>
            </w:r>
            <w:r>
              <w:rPr>
                <w:rFonts w:hint="eastAsia" w:ascii="宋体" w:hAnsi="宋体" w:cs="宋体"/>
                <w:i w:val="0"/>
                <w:iCs w:val="0"/>
                <w:color w:val="000000"/>
                <w:sz w:val="24"/>
                <w:szCs w:val="24"/>
                <w:u w:val="none"/>
                <w:lang w:val="en-US" w:eastAsia="zh-CN" w:bidi="ar-SA"/>
              </w:rPr>
              <w:t xml:space="preserve">”-学生端探究仪（序号：1）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无线彩屏高温传感器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3、化学数字化探究实验室</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lang w:val="en-US" w:eastAsia="zh-CN"/>
              </w:rPr>
              <w:t xml:space="preserve">教师端探究仪器</w:t>
            </w:r>
            <w:r>
              <w:rPr>
                <w:rFonts w:hint="eastAsia" w:ascii="宋体" w:hAnsi="宋体" w:cs="宋体"/>
                <w:color w:val="000000"/>
                <w:sz w:val="24"/>
                <w:szCs w:val="24"/>
                <w:lang w:val="en-US" w:eastAsia="zh-CN"/>
              </w:rPr>
              <w:t xml:space="preserve">”-无线彩屏高温传感器</w:t>
            </w:r>
            <w:r>
              <w:rPr>
                <w:rFonts w:hint="eastAsia" w:ascii="宋体" w:hAnsi="宋体" w:cs="宋体"/>
                <w:i w:val="0"/>
                <w:iCs w:val="0"/>
                <w:color w:val="000000"/>
                <w:sz w:val="24"/>
                <w:szCs w:val="24"/>
                <w:u w:val="none"/>
                <w:lang w:val="en-US" w:eastAsia="zh-CN" w:bidi="ar-SA"/>
              </w:rPr>
              <w:t xml:space="preserve">（序号：3）</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采购包2</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显微镜</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生物显微镜实验室</w:t>
            </w:r>
            <w:r>
              <w:rPr>
                <w:rFonts w:hint="eastAsia" w:ascii="宋体" w:hAnsi="宋体" w:cs="宋体"/>
                <w:color w:val="000000"/>
                <w:sz w:val="24"/>
                <w:szCs w:val="24"/>
                <w:lang w:val="en-US" w:eastAsia="zh-CN"/>
              </w:rPr>
              <w:t xml:space="preserve">-“三.供水.照明系统”-显微镜（序号3）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无线彩屏温湿一体传感器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生物数字化探究实验室</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五、教师端探究仪器</w:t>
            </w:r>
            <w:r>
              <w:rPr>
                <w:rFonts w:hint="eastAsia" w:ascii="宋体" w:hAnsi="宋体" w:cs="宋体"/>
                <w:color w:val="000000"/>
                <w:sz w:val="24"/>
                <w:szCs w:val="24"/>
                <w:lang w:val="en-US" w:eastAsia="zh-CN"/>
              </w:rPr>
              <w:t xml:space="preserve">”-无线彩屏温湿一体传感器（序号10）</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物理力学实验室</w:t>
            </w:r>
            <w:r>
              <w:rPr>
                <w:rFonts w:hint="eastAsia" w:ascii="宋体" w:hAnsi="宋体" w:cs="宋体"/>
                <w:color w:val="000000"/>
                <w:sz w:val="24"/>
                <w:szCs w:val="24"/>
                <w:lang w:val="en-US" w:eastAsia="zh-CN"/>
              </w:rPr>
              <w:t xml:space="preserve">-“二.学生实验操作区”-物理力学学生实验桌（序号1）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eastAsia="zh-CN"/>
              </w:rPr>
              <w:t xml:space="preserve">无线彩屏电压电流一体传感器</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物理数字化探究实验室</w:t>
            </w:r>
            <w:r>
              <w:rPr>
                <w:rFonts w:hint="eastAsia" w:ascii="宋体" w:hAnsi="宋体" w:cs="宋体"/>
                <w:color w:val="000000"/>
                <w:sz w:val="24"/>
                <w:szCs w:val="24"/>
                <w:lang w:val="en-US" w:eastAsia="zh-CN"/>
              </w:rPr>
              <w:t xml:space="preserve">-“五.教师端探究仪器”-无线彩屏电压电流一体传感器（序号1）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桌面式激光切割机</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1套</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人工智能创新实验室</w:t>
            </w:r>
            <w:r>
              <w:rPr>
                <w:rFonts w:hint="eastAsia" w:ascii="宋体" w:hAnsi="宋体" w:cs="宋体"/>
                <w:color w:val="000000"/>
                <w:sz w:val="24"/>
                <w:szCs w:val="24"/>
                <w:lang w:val="en-US" w:eastAsia="zh-CN"/>
              </w:rPr>
              <w:t xml:space="preserve">-“二、3D打印”-桌面式激光切割机（序号4）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3D建模设备（教师）</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人工智能创新实验室</w:t>
            </w:r>
            <w:r>
              <w:rPr>
                <w:rFonts w:hint="eastAsia" w:ascii="宋体" w:hAnsi="宋体" w:cs="宋体"/>
                <w:color w:val="000000"/>
                <w:sz w:val="24"/>
                <w:szCs w:val="24"/>
                <w:lang w:val="en-US" w:eastAsia="zh-CN"/>
              </w:rPr>
              <w:t xml:space="preserve">-“二、3D打印”-3D建模设备（教师）（序号1）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制作工具</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1套</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通用技术教室（电工）</w:t>
            </w:r>
            <w:r>
              <w:rPr>
                <w:rFonts w:hint="eastAsia" w:ascii="宋体" w:hAnsi="宋体" w:cs="宋体"/>
                <w:color w:val="000000"/>
                <w:sz w:val="24"/>
                <w:szCs w:val="24"/>
                <w:lang w:val="en-US" w:eastAsia="zh-CN"/>
              </w:rPr>
              <w:t xml:space="preserve">-“四、电子技术工具”-制作工具（序号1）</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说明：表中“名称”是招标文件第六章《采购需求》中“</w:t>
            </w:r>
            <w:r>
              <w:rPr>
                <w:rFonts w:hint="eastAsia" w:ascii="宋体" w:hAnsi="宋体" w:eastAsia="宋体" w:cs="宋体"/>
                <w:bCs/>
                <w:color w:val="000000"/>
                <w:sz w:val="24"/>
                <w:szCs w:val="24"/>
              </w:rPr>
              <w:t xml:space="preserve">四、</w:t>
            </w:r>
            <w:r>
              <w:rPr>
                <w:rFonts w:hint="eastAsia" w:ascii="宋体" w:hAnsi="宋体" w:eastAsia="宋体" w:cs="宋体"/>
                <w:color w:val="000000"/>
                <w:sz w:val="24"/>
                <w:szCs w:val="24"/>
              </w:rPr>
              <w:t xml:space="preserve">技术参数(技术性能)要求”对应“名称”的产品。</w:t>
            </w:r>
            <w:r/>
          </w:p>
        </w:tc>
      </w:tr>
    </w:tbl>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（二）提供样品的标识：样品应当注明样品名称、投标人名称、项目编号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包号</w:t>
      </w:r>
      <w:r>
        <w:rPr>
          <w:rFonts w:hint="eastAsia" w:ascii="宋体" w:hAnsi="宋体" w:eastAsia="宋体" w:cs="宋体"/>
          <w:color w:val="000000"/>
          <w:sz w:val="24"/>
        </w:rPr>
        <w:t xml:space="preserve">。</w:t>
      </w:r>
      <w:r/>
    </w:p>
    <w:p>
      <w:pPr>
        <w:spacing w:line="360" w:lineRule="auto"/>
        <w:widowControl/>
        <w:rPr>
          <w:rFonts w:hint="eastAsia" w:ascii="宋体" w:hAnsi="宋体" w:eastAsia="宋体" w:cs="宋体"/>
          <w:b/>
          <w:bCs/>
          <w:color w:val="auto"/>
          <w:sz w:val="24"/>
          <w:highlight w:val="white"/>
        </w:rPr>
      </w:pPr>
      <w:r>
        <w:rPr>
          <w:rFonts w:hint="eastAsia" w:ascii="宋体" w:hAnsi="宋体" w:eastAsia="宋体" w:cs="宋体"/>
          <w:b/>
          <w:bCs/>
          <w:color w:val="auto"/>
          <w:sz w:val="24"/>
        </w:rPr>
        <w:t xml:space="preserve">（三）提供时间：2</w:t>
      </w:r>
      <w:r>
        <w:rPr>
          <w:rFonts w:hint="eastAsia" w:ascii="宋体" w:hAnsi="宋体" w:eastAsia="宋体" w:cs="宋体"/>
          <w:b/>
          <w:bCs/>
          <w:color w:val="auto"/>
          <w:sz w:val="24"/>
          <w:highlight w:val="white"/>
        </w:rPr>
        <w:t xml:space="preserve">02</w:t>
      </w:r>
      <w:r>
        <w:rPr>
          <w:rFonts w:hint="eastAsia" w:ascii="宋体" w:hAnsi="宋体" w:eastAsia="宋体" w:cs="宋体"/>
          <w:b/>
          <w:bCs/>
          <w:color w:val="auto"/>
          <w:sz w:val="24"/>
          <w:highlight w:val="white"/>
          <w:lang w:val="en-US" w:eastAsia="zh-CN"/>
        </w:rPr>
        <w:t xml:space="preserve">6</w:t>
      </w:r>
      <w:r>
        <w:rPr>
          <w:rFonts w:hint="eastAsia" w:ascii="宋体" w:hAnsi="宋体" w:eastAsia="宋体" w:cs="宋体"/>
          <w:b/>
          <w:bCs/>
          <w:color w:val="auto"/>
          <w:sz w:val="24"/>
          <w:highlight w:val="white"/>
        </w:rPr>
        <w:t xml:space="preserve">年</w:t>
      </w:r>
      <w:r>
        <w:rPr>
          <w:rFonts w:hint="eastAsia" w:ascii="宋体" w:hAnsi="宋体" w:cs="宋体"/>
          <w:b/>
          <w:bCs/>
          <w:color w:val="auto"/>
          <w:sz w:val="24"/>
          <w:highlight w:val="white"/>
          <w:lang w:val="en-US" w:eastAsia="zh-CN"/>
        </w:rPr>
        <w:t xml:space="preserve">05</w:t>
      </w:r>
      <w:r>
        <w:rPr>
          <w:rFonts w:hint="eastAsia" w:ascii="宋体" w:hAnsi="宋体" w:eastAsia="宋体" w:cs="宋体"/>
          <w:b/>
          <w:bCs/>
          <w:color w:val="auto"/>
          <w:sz w:val="24"/>
          <w:highlight w:val="white"/>
        </w:rPr>
        <w:t xml:space="preserve">月</w:t>
      </w:r>
      <w:r>
        <w:rPr>
          <w:rFonts w:hint="eastAsia" w:ascii="宋体" w:hAnsi="宋体" w:cs="宋体"/>
          <w:b/>
          <w:bCs/>
          <w:color w:val="auto"/>
          <w:sz w:val="24"/>
          <w:highlight w:val="white"/>
          <w:u w:val="single"/>
          <w:lang w:val="en-US" w:eastAsia="zh-CN"/>
        </w:rPr>
        <w:t xml:space="preserve"> 21 </w:t>
      </w:r>
      <w:r>
        <w:rPr>
          <w:rFonts w:hint="eastAsia" w:ascii="宋体" w:hAnsi="宋体" w:eastAsia="宋体" w:cs="宋体"/>
          <w:b/>
          <w:bCs/>
          <w:color w:val="auto"/>
          <w:sz w:val="24"/>
          <w:highlight w:val="white"/>
        </w:rPr>
        <w:t xml:space="preserve">日</w:t>
      </w:r>
      <w:r>
        <w:rPr>
          <w:rFonts w:hint="eastAsia" w:ascii="宋体" w:hAnsi="宋体" w:cs="宋体"/>
          <w:b/>
          <w:bCs/>
          <w:color w:val="auto"/>
          <w:sz w:val="24"/>
          <w:highlight w:val="white"/>
          <w:lang w:val="en-US" w:eastAsia="zh-CN"/>
        </w:rPr>
        <w:t xml:space="preserve">07</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00至</w:t>
      </w:r>
      <w:r>
        <w:rPr>
          <w:rFonts w:hint="eastAsia" w:ascii="宋体" w:hAnsi="宋体" w:cs="宋体"/>
          <w:b/>
          <w:bCs/>
          <w:color w:val="auto"/>
          <w:sz w:val="24"/>
          <w:highlight w:val="white"/>
          <w:lang w:val="en-US" w:eastAsia="zh-CN"/>
        </w:rPr>
        <w:t xml:space="preserve">09</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w:t>
      </w:r>
      <w:r/>
    </w:p>
    <w:p>
      <w:pPr>
        <w:spacing w:line="360" w:lineRule="auto"/>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 xml:space="preserve">（四）提供地点：睢宁县政务服务中心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color w:val="000000"/>
          <w:sz w:val="24"/>
          <w:szCs w:val="24"/>
          <w:lang w:bidi="ar-SA"/>
        </w:rPr>
        <w:t xml:space="preserve">五</w:t>
      </w:r>
      <w:r>
        <w:rPr>
          <w:rFonts w:hint="eastAsia" w:ascii="宋体" w:hAnsi="宋体" w:eastAsia="宋体" w:cs="宋体"/>
          <w:color w:val="000000"/>
          <w:sz w:val="24"/>
        </w:rPr>
        <w:t xml:space="preserve">）接收</w:t>
      </w:r>
      <w:r>
        <w:rPr>
          <w:rFonts w:hint="eastAsia" w:ascii="宋体" w:hAnsi="宋体" w:eastAsia="宋体" w:cs="宋体"/>
          <w:color w:val="000000"/>
          <w:sz w:val="24"/>
          <w:szCs w:val="24"/>
          <w:lang w:bidi="ar-SA"/>
        </w:rPr>
        <w:t xml:space="preserve">单位：江苏省睢宁高级中学</w:t>
      </w:r>
      <w:r>
        <w:rPr>
          <w:rFonts w:hint="eastAsia" w:ascii="宋体" w:hAnsi="宋体" w:cs="宋体"/>
          <w:color w:val="000000"/>
          <w:sz w:val="24"/>
          <w:szCs w:val="24"/>
          <w:lang w:eastAsia="zh-CN" w:bidi="ar-SA"/>
        </w:rPr>
        <w:t xml:space="preserve">（</w:t>
      </w:r>
      <w:r>
        <w:rPr>
          <w:rFonts w:hint="eastAsia" w:ascii="宋体" w:hAnsi="宋体" w:cs="宋体"/>
          <w:color w:val="000000"/>
          <w:sz w:val="24"/>
          <w:szCs w:val="24"/>
          <w:lang w:val="en-US" w:eastAsia="zh-CN" w:bidi="ar-SA"/>
        </w:rPr>
        <w:t xml:space="preserve">采购人</w:t>
      </w:r>
      <w:r>
        <w:rPr>
          <w:rFonts w:hint="eastAsia" w:ascii="宋体" w:hAnsi="宋体" w:cs="宋体"/>
          <w:color w:val="000000"/>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w:t>
      </w:r>
      <w:r>
        <w:rPr>
          <w:rFonts w:hint="eastAsia" w:ascii="宋体" w:hAnsi="宋体" w:cs="宋体"/>
          <w:color w:val="000000"/>
          <w:sz w:val="24"/>
          <w:lang w:val="en-US" w:eastAsia="zh-CN"/>
        </w:rPr>
        <w:t xml:space="preserve">史老师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张工</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联系电话：0516-88332331</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0516-83999055/13014009996</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投标人需自行搬运样品，样品摆放位置由采购人指定。</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投标人按照上述“1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要求投标人提供样品明细”</w:t>
      </w:r>
      <w:r>
        <w:rPr>
          <w:rFonts w:hint="eastAsia" w:ascii="宋体" w:hAnsi="宋体" w:cs="宋体"/>
          <w:color w:val="000000"/>
          <w:sz w:val="24"/>
          <w:lang w:val="en-US" w:eastAsia="zh-CN"/>
        </w:rPr>
        <w:t xml:space="preserve">要求</w:t>
      </w:r>
      <w:r>
        <w:rPr>
          <w:rFonts w:hint="eastAsia" w:ascii="宋体" w:hAnsi="宋体" w:eastAsia="宋体" w:cs="宋体"/>
          <w:color w:val="000000"/>
          <w:sz w:val="24"/>
        </w:rPr>
        <w:t xml:space="preserve">提供样品，采购人</w:t>
      </w:r>
      <w:r>
        <w:rPr>
          <w:rFonts w:hint="eastAsia" w:ascii="宋体" w:hAnsi="宋体" w:cs="宋体"/>
          <w:color w:val="000000"/>
          <w:sz w:val="24"/>
          <w:lang w:val="en-US" w:eastAsia="zh-CN"/>
        </w:rPr>
        <w:t xml:space="preserve">或采购代理机构</w:t>
      </w:r>
      <w:r>
        <w:rPr>
          <w:rFonts w:hint="eastAsia" w:ascii="宋体" w:hAnsi="宋体" w:eastAsia="宋体" w:cs="宋体"/>
          <w:color w:val="000000"/>
          <w:sz w:val="24"/>
        </w:rPr>
        <w:t xml:space="preserve">有权拒绝接收非明细中的其他物品。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（七）说明：</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样品由采购人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000000"/>
          <w:sz w:val="24"/>
          <w:lang w:val="en-US" w:eastAsia="zh-CN"/>
        </w:rPr>
      </w:pPr>
      <w:r>
        <w:rPr>
          <w:rFonts w:hint="eastAsia" w:ascii="宋体" w:hAnsi="宋体" w:eastAsia="宋体" w:cs="宋体"/>
          <w:color w:val="000000"/>
          <w:sz w:val="24"/>
          <w:szCs w:val="21"/>
        </w:rPr>
        <w:t xml:space="preserve">2</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确定</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未按采购人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规定的时间取回的样品</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采购人或采购代理机构有权自行处置，并不承担任何责任。</w:t>
      </w:r>
      <w:r/>
    </w:p>
    <w:p>
      <w:pPr>
        <w:spacing w:line="360" w:lineRule="auto"/>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八、演示要求：</w:t>
      </w:r>
      <w:r/>
    </w:p>
    <w:p>
      <w:pPr>
        <w:pStyle w:val="826"/>
        <w:ind w:firstLine="482"/>
        <w:keepLines w:val="0"/>
        <w:keepNext w:val="0"/>
        <w:pageBreakBefore w:val="0"/>
        <w:spacing w:line="360" w:lineRule="auto"/>
        <w:rPr>
          <w:rFonts w:ascii="宋体" w:hAnsi="宋体" w:cs="宋体"/>
          <w:b/>
          <w:sz w:val="24"/>
        </w:rPr>
      </w:pPr>
      <w:r>
        <w:rPr>
          <w:rFonts w:hint="eastAsia" w:ascii="宋体" w:hAnsi="宋体" w:cs="宋体"/>
          <w:b/>
          <w:sz w:val="24"/>
        </w:rPr>
        <w:t xml:space="preserve">投标人根据演示要求进行视频演示，按以下演示点分别演示</w:t>
      </w:r>
      <w:r>
        <w:rPr>
          <w:rFonts w:hint="eastAsia" w:ascii="宋体" w:hAnsi="宋体" w:cs="宋体"/>
          <w:b/>
          <w:sz w:val="24"/>
          <w:lang w:val="en-US" w:eastAsia="zh-CN"/>
        </w:rPr>
        <w:t xml:space="preserve">并提供或录制演示视频</w:t>
      </w:r>
      <w:r>
        <w:rPr>
          <w:rFonts w:hint="eastAsia" w:ascii="宋体" w:hAnsi="宋体" w:cs="宋体"/>
          <w:b/>
          <w:sz w:val="24"/>
        </w:rPr>
        <w:t xml:space="preserve">。并按要求上传演示视频。</w:t>
      </w:r>
      <w:r/>
    </w:p>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演示点如下：</w:t>
      </w:r>
      <w:r/>
    </w:p>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采购包1：</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116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无线彩屏pH传感器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pH传感器，测量食醋、可乐和盐酸的pH值。演示传感器自带≥4.3寸高清彩色电容触摸屏，采集和显示pH的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pH探头放入盛有食醋的烧杯中观察pH变化，传感器有曲线、仪表、表格、数字至少4种显示方式，切换至曲线显示方式，可观察到食醋pH曲线。清洗传感器电极头，重复上述操作，依次测量可乐和盐酸的pH值，三次数据可重叠显示在同一坐标轴上。</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实验结束后，可通过USB线将数据导入计算机，三次数据可重叠显示在同一坐标轴上，可用不同的颜色显示；可保存当前的实验文件至桌面，关闭软件，然后再打开实验文件可进行数据回放，还原实验过程。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116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智能探究数据采集器</w:t>
            </w:r>
            <w:r/>
          </w:p>
        </w:tc>
        <w:tc>
          <w:tcPr>
            <w:tcW w:w="5897" w:type="dxa"/>
            <w:vAlign w:val="center"/>
            <w:textDirection w:val="lrTb"/>
            <w:noWrap w:val="false"/>
          </w:tcPr>
          <w:p>
            <w:pPr>
              <w:numPr>
                <w:ilvl w:val="0"/>
                <w:numId w:val="3"/>
              </w:num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使用智能探究数据采集器，可不使用线缆，插入至少8种传感器，自带≥4.3寸的显示屏上，可同步显示至少8个传感器及其数值变化。演示传感器正反面都可插入，任意一个位置都可以即插即识别。</w:t>
            </w:r>
            <w:r/>
          </w:p>
          <w:p>
            <w:pPr>
              <w:numPr>
                <w:ilvl w:val="0"/>
                <w:numId w:val="0"/>
              </w:num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无线连接时，可直接在屏幕上显示出蓝牙连接码，计算机中对应输入蓝牙连接码就可开始无线通讯。</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配套气压传感器，演示采集器有曲线、仪表、表格、数字至少4种显示方式，通过自带的滚轮可切换显示方式，坐标轴数据可自动滚动、数据拖动、放大缩小显示、全景显示数据的功能，可多次采样，保留多组气压实验数据，在同一坐标轴内显示和比较多组实验数据的功能。可将采集的实验数据保存在本机内，可自定义实验名称，通过USB线将数据导入计算机中查看完整的气压变化曲线。</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采购包2：</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58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无线彩屏温湿一体传感器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温湿一体传感器，比较干燥和潮湿环境的温湿度值。演示传感器自带≥4.3寸高清彩色电容触摸屏，同时采集温度和湿度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整个无线彩屏温湿一体传感器放入光合作用实验箱中观察温湿度变化，传感器有曲线、仪表、表格、数字≥4种显示方式，切换至曲线显示方式，可观察到温湿度曲线。在光合作用实验箱中加入一杯热水，外界使用强光照射，再次观察温湿度变化。</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116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无线彩屏二氧化碳传感器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二氧化碳传感器，配合气液相密封实验器进行实验。传感器自带≥4.3寸高清彩色电容触摸屏，采集和显示二氧化碳的数据，无需实体功能按键或触摸笔操作，2秒内快速开机/关机；传感器内置蓝牙模块，展示可通过有线和无线两种方式，将二氧化碳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二氧化碳探头放入气液相密封实验器中，通过另一个口向其中吹气，观察二氧化碳含量变化，传感器有曲线、仪表、表格、数字等≥4种显示方式，切换至曲线显示方式，可观察到二氧化碳曲线。在屏幕上可设置逻辑条件，设置当气体含量大于约2088ppm时，蜂鸣器鸣叫提示。</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采购包3：</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560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无线彩屏电压电流一体传感器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电压电流一体传感器及配套器材，搭建电源的电动势和内阻实验环境。演示传感器自带≥4.3寸高清彩色电容触摸屏，同时采集电压和电流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实验结束后，可通过USB线将数据导入计算机进行深入分析，拟合得到电源的电动势和内阻；可保存当前的实验文件至桌面，关闭软件，然后再打开实验文件可进行数据回放，还原实验过程。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99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电磁感应与楞次定律实验器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使用电磁感应与楞次定律实验器及无线彩屏微电流传感器，搭建实验环境。实验器一体化设计，由底板、接线柱、线圈和档位开关组成，档位开关可选1匝、6匝和9匝线圈。</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脱机方式，做电流大小和速度的关系实验。档位开关选择右边，对应匝数为1匝，无线彩屏微电流传感器有曲线、仪表、表格、数字≥4种显示方式，切换至曲线显示方式，磁铁以慢速度穿过线圈，屏幕上有曲线变化，保存该实验。重复实验，以中速度和快速度再次做实验，三次数据可重叠显示在同一坐标轴上。</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连接计算机继续做电流大小和匝数的关系实验，档位开关依次选择1匝、6匝和9匝线圈，磁铁以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采购包4：此采购包无演示要求。</w:t>
      </w:r>
      <w:r/>
    </w:p>
    <w:p>
      <w:pPr>
        <w:pStyle w:val="826"/>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特别说明：</w:t>
      </w:r>
      <w:r/>
    </w:p>
    <w:p>
      <w:pPr>
        <w:pStyle w:val="826"/>
        <w:ind w:firstLine="482"/>
        <w:keepLines w:val="0"/>
        <w:keepNext w:val="0"/>
        <w:pageBreakBefore w:val="0"/>
        <w:spacing w:line="360" w:lineRule="auto"/>
        <w:rPr>
          <w:rFonts w:ascii="宋体" w:hAnsi="宋体" w:cs="宋体"/>
          <w:b w:val="0"/>
          <w:bCs/>
          <w:sz w:val="24"/>
        </w:rPr>
      </w:pPr>
      <w:r>
        <w:rPr>
          <w:rFonts w:hint="eastAsia" w:ascii="宋体" w:hAnsi="宋体" w:cs="宋体"/>
          <w:b w:val="0"/>
          <w:bCs/>
          <w:sz w:val="24"/>
        </w:rPr>
        <w:t xml:space="preserve">1、单个视频附件压缩包大小不得超过50M，整体附件压缩包不得超过300M，压缩包文件格式为zip格式。</w:t>
      </w:r>
      <w:r/>
    </w:p>
    <w:p>
      <w:pPr>
        <w:pStyle w:val="826"/>
        <w:ind w:firstLine="482"/>
        <w:keepLines w:val="0"/>
        <w:keepNext w:val="0"/>
        <w:pageBreakBefore w:val="0"/>
        <w:spacing w:line="360" w:lineRule="auto"/>
        <w:rPr>
          <w:rFonts w:ascii="宋体" w:hAnsi="宋体" w:cs="宋体"/>
          <w:b w:val="0"/>
          <w:bCs/>
          <w:sz w:val="24"/>
        </w:rPr>
      </w:pPr>
      <w:r>
        <w:rPr>
          <w:rFonts w:hint="eastAsia" w:ascii="宋体" w:hAnsi="宋体" w:cs="宋体"/>
          <w:b w:val="0"/>
          <w:bCs/>
          <w:sz w:val="24"/>
        </w:rPr>
        <w:t xml:space="preserve">2、如因演示视频较大无法上传的，投标人可将演示视频通过邮寄方式或提前递交方式（以U盘形式，密封递交，并注明“项目名称”及“演示视频”字样）。</w:t>
      </w:r>
      <w:r/>
    </w:p>
    <w:p>
      <w:pPr>
        <w:pStyle w:val="826"/>
        <w:ind w:firstLine="482"/>
        <w:keepLines w:val="0"/>
        <w:keepNext w:val="0"/>
        <w:pageBreakBefore w:val="0"/>
        <w:spacing w:line="360" w:lineRule="auto"/>
        <w:rPr>
          <w:b w:val="0"/>
          <w:bCs/>
        </w:rPr>
      </w:pPr>
      <w:r>
        <w:rPr>
          <w:rFonts w:hint="eastAsia" w:ascii="宋体" w:hAnsi="宋体" w:cs="宋体"/>
          <w:b w:val="0"/>
          <w:bCs/>
          <w:sz w:val="24"/>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sz w:val="24"/>
          <w:lang w:eastAsia="zh-CN"/>
        </w:rPr>
        <w:t xml:space="preserve">，</w:t>
      </w:r>
      <w:r>
        <w:rPr>
          <w:rFonts w:hint="eastAsia" w:ascii="宋体" w:hAnsi="宋体" w:cs="宋体"/>
          <w:b w:val="0"/>
          <w:bCs/>
          <w:sz w:val="24"/>
          <w:lang w:val="en-US" w:eastAsia="zh-CN"/>
        </w:rPr>
        <w:t xml:space="preserve">联系方式：13014009996</w:t>
      </w:r>
      <w:r>
        <w:rPr>
          <w:rFonts w:hint="eastAsia" w:ascii="宋体" w:hAnsi="宋体" w:cs="宋体"/>
          <w:b w:val="0"/>
          <w:bCs/>
          <w:sz w:val="24"/>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九</w:t>
      </w:r>
      <w:r>
        <w:rPr>
          <w:rFonts w:hint="eastAsia" w:ascii="宋体" w:hAnsi="宋体" w:eastAsia="宋体" w:cs="宋体"/>
          <w:b/>
          <w:bCs/>
          <w:color w:val="000000"/>
          <w:sz w:val="24"/>
        </w:rPr>
        <w:t xml:space="preserve">、验收标准（验收要求、验收标准和程序）要求：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（三）验收程序要求：</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予以配合。中标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十</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auto"/>
          <w:sz w:val="24"/>
          <w:lang w:eastAsia="zh-CN"/>
        </w:rPr>
      </w:pPr>
      <w:r>
        <w:rPr>
          <w:rFonts w:hint="eastAsia" w:ascii="宋体" w:hAnsi="宋体" w:eastAsia="宋体" w:cs="宋体"/>
          <w:b/>
          <w:bCs w:val="0"/>
          <w:color w:val="auto"/>
          <w:sz w:val="24"/>
        </w:rPr>
        <w:t xml:space="preserve">1</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本项目总预算为人民币861.25万元，且本项目不接收超过采购包1：人民币28</w:t>
      </w:r>
      <w:r>
        <w:rPr>
          <w:rFonts w:hint="eastAsia" w:ascii="宋体" w:hAnsi="宋体" w:cs="宋体"/>
          <w:b/>
          <w:bCs w:val="0"/>
          <w:color w:val="auto"/>
          <w:sz w:val="24"/>
          <w:lang w:val="en-US" w:eastAsia="zh-CN"/>
        </w:rPr>
        <w:t xml:space="preserve">8.35</w:t>
      </w:r>
      <w:r>
        <w:rPr>
          <w:rFonts w:hint="eastAsia" w:ascii="宋体" w:hAnsi="宋体" w:eastAsia="宋体" w:cs="宋体"/>
          <w:b/>
          <w:bCs w:val="0"/>
          <w:color w:val="auto"/>
          <w:sz w:val="24"/>
        </w:rPr>
        <w:t xml:space="preserve">万元；采购包2：人民币21</w:t>
      </w:r>
      <w:r>
        <w:rPr>
          <w:rFonts w:hint="eastAsia" w:ascii="宋体" w:hAnsi="宋体" w:cs="宋体"/>
          <w:b/>
          <w:bCs w:val="0"/>
          <w:color w:val="auto"/>
          <w:sz w:val="24"/>
          <w:lang w:val="en-US" w:eastAsia="zh-CN"/>
        </w:rPr>
        <w:t xml:space="preserve">7</w:t>
      </w:r>
      <w:r>
        <w:rPr>
          <w:rFonts w:hint="eastAsia" w:ascii="宋体" w:hAnsi="宋体" w:eastAsia="宋体" w:cs="宋体"/>
          <w:b/>
          <w:bCs w:val="0"/>
          <w:color w:val="auto"/>
          <w:sz w:val="24"/>
        </w:rPr>
        <w:t xml:space="preserve">.</w:t>
      </w:r>
      <w:r>
        <w:rPr>
          <w:rFonts w:hint="eastAsia" w:ascii="宋体" w:hAnsi="宋体" w:cs="宋体"/>
          <w:b/>
          <w:bCs w:val="0"/>
          <w:color w:val="auto"/>
          <w:sz w:val="24"/>
          <w:lang w:val="en-US" w:eastAsia="zh-CN"/>
        </w:rPr>
        <w:t xml:space="preserve">35</w:t>
      </w:r>
      <w:r>
        <w:rPr>
          <w:rFonts w:hint="eastAsia" w:ascii="宋体" w:hAnsi="宋体" w:eastAsia="宋体" w:cs="宋体"/>
          <w:b/>
          <w:bCs w:val="0"/>
          <w:color w:val="auto"/>
          <w:sz w:val="24"/>
        </w:rPr>
        <w:t xml:space="preserve">万元；采购包3：人民币196.0</w:t>
      </w:r>
      <w:r>
        <w:rPr>
          <w:rFonts w:hint="eastAsia" w:ascii="宋体" w:hAnsi="宋体" w:cs="宋体"/>
          <w:b/>
          <w:bCs w:val="0"/>
          <w:color w:val="auto"/>
          <w:sz w:val="24"/>
          <w:lang w:val="en-US" w:eastAsia="zh-CN"/>
        </w:rPr>
        <w:t xml:space="preserve">5</w:t>
      </w:r>
      <w:r>
        <w:rPr>
          <w:rFonts w:hint="eastAsia" w:ascii="宋体" w:hAnsi="宋体" w:eastAsia="宋体" w:cs="宋体"/>
          <w:b/>
          <w:bCs w:val="0"/>
          <w:color w:val="auto"/>
          <w:sz w:val="24"/>
        </w:rPr>
        <w:t xml:space="preserve">万元；采购包4：人民币</w:t>
      </w:r>
      <w:r>
        <w:rPr>
          <w:rFonts w:hint="eastAsia" w:ascii="宋体" w:hAnsi="宋体" w:cs="宋体"/>
          <w:b/>
          <w:bCs w:val="0"/>
          <w:color w:val="auto"/>
          <w:sz w:val="24"/>
          <w:lang w:val="en-US" w:eastAsia="zh-CN"/>
        </w:rPr>
        <w:t xml:space="preserve">159.50</w:t>
      </w:r>
      <w:r>
        <w:rPr>
          <w:rFonts w:hint="eastAsia" w:ascii="宋体" w:hAnsi="宋体" w:eastAsia="宋体" w:cs="宋体"/>
          <w:b/>
          <w:bCs w:val="0"/>
          <w:color w:val="auto"/>
          <w:sz w:val="24"/>
        </w:rPr>
        <w:t xml:space="preserve">万元（项目采购预算）的投标报价。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000000"/>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000000"/>
          <w:sz w:val="24"/>
          <w:lang w:val="en-US" w:eastAsia="zh-CN"/>
        </w:rPr>
        <w:t xml:space="preserve">十一</w:t>
      </w:r>
      <w:r>
        <w:rPr>
          <w:rFonts w:hint="eastAsia" w:ascii="宋体" w:hAnsi="宋体" w:eastAsia="宋体" w:cs="宋体"/>
          <w:b/>
          <w:bCs/>
          <w:color w:val="000000"/>
          <w:sz w:val="24"/>
        </w:rPr>
        <w:t xml:space="preserve">、其他要求：见招标文件第五章《拟签订的合同文本》</w:t>
      </w:r>
      <w:r>
        <w:rPr>
          <w:rFonts w:hint="eastAsia" w:ascii="宋体" w:hAnsi="宋体" w:cs="宋体"/>
          <w:b/>
          <w:bCs/>
          <w:color w:val="000000"/>
          <w:sz w:val="24"/>
          <w:lang w:eastAsia="zh-CN"/>
        </w:rPr>
        <w:t xml:space="preserve">。</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12"/>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default"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83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w:t>
      </w:r>
      <w:r/>
    </w:p>
    <w:p>
      <w:pPr>
        <w:numPr>
          <w:ilvl w:val="0"/>
          <w:numId w:val="4"/>
        </w:num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sz w:val="24"/>
          <w:szCs w:val="24"/>
          <w:lang w:val="en-US" w:eastAsia="zh-CN"/>
        </w:rPr>
        <w:t xml:space="preserve">。</w:t>
      </w:r>
      <w:r/>
    </w:p>
    <w:p>
      <w:pPr>
        <w:numPr>
          <w:ilvl w:val="0"/>
          <w:numId w:val="0"/>
        </w:numPr>
        <w:rPr>
          <w:rFonts w:hint="default"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19"/>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w:t>
      </w:r>
      <w:r>
        <w:rPr>
          <w:rFonts w:hint="eastAsia" w:asciiTheme="minorEastAsia" w:hAnsiTheme="minorEastAsia" w:cstheme="minorEastAsia"/>
          <w:b/>
          <w:bCs/>
          <w:color w:val="auto"/>
          <w:sz w:val="28"/>
          <w:szCs w:val="28"/>
          <w:lang w:val="en-US" w:eastAsia="zh-CN"/>
        </w:rPr>
        <w:t xml:space="preserve">有效期内的</w:t>
      </w:r>
      <w:r>
        <w:rPr>
          <w:rFonts w:hint="eastAsia" w:asciiTheme="minorEastAsia" w:hAnsiTheme="minorEastAsia" w:eastAsiaTheme="minorEastAsia" w:cstheme="minorEastAsia"/>
          <w:b/>
          <w:bCs/>
          <w:color w:val="auto"/>
          <w:sz w:val="28"/>
          <w:szCs w:val="28"/>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rPr>
        <w:t xml:space="preserve"> </w:t>
      </w:r>
      <w:r/>
    </w:p>
    <w:p>
      <w:pPr>
        <w:pStyle w:val="83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34"/>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 xml:space="preserve">......</w:t>
      </w:r>
      <w:r/>
    </w:p>
    <w:p>
      <w:pPr>
        <w:pStyle w:val="818"/>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bookmarkStart w:id="4" w:name="_GoBack"/>
      <w:r/>
      <w:bookmarkEnd w:id="4"/>
      <w:r/>
      <w:r/>
    </w:p>
    <w:p>
      <w:pPr>
        <w:pStyle w:val="834"/>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000000"/>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834"/>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highlight w:val="none"/>
          <w:lang w:val="en-US" w:eastAsia="zh-CN"/>
        </w:rPr>
      </w:pPr>
      <w:r>
        <w:rPr>
          <w:rFonts w:hint="eastAsia" w:ascii="宋体" w:hAnsi="宋体" w:eastAsia="宋体" w:cs="宋体"/>
          <w:color w:val="ff0000"/>
          <w:sz w:val="24"/>
          <w:szCs w:val="24"/>
          <w:highlight w:val="none"/>
          <w:lang w:val="en-US" w:eastAsia="zh-CN"/>
        </w:rPr>
        <w:t xml:space="preserve">......</w:t>
      </w:r>
      <w:r/>
    </w:p>
    <w:p>
      <w:pPr>
        <w:pStyle w:val="818"/>
        <w:ind w:left="0" w:firstLine="560"/>
        <w:keepLines w:val="0"/>
        <w:keepNext w:val="0"/>
        <w:pageBreakBefore w:val="0"/>
        <w:spacing w:after="0" w:line="44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pStyle w:val="834"/>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宋体" w:hAnsi="宋体" w:eastAsia="宋体" w:cs="宋体"/>
          <w:color w:val="ff0000"/>
          <w:sz w:val="24"/>
          <w:szCs w:val="24"/>
          <w:lang w:val="en-US" w:eastAsia="zh-CN"/>
        </w:rPr>
        <w:t xml:space="preserve">......</w:t>
      </w:r>
      <w:r/>
    </w:p>
    <w:p>
      <w:pPr>
        <w:pStyle w:val="818"/>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pStyle w:val="834"/>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关于符合本国产品标准的声明函（采购包4）</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宋体" w:hAnsi="宋体" w:eastAsia="宋体" w:cs="宋体"/>
          <w:color w:val="ff0000"/>
          <w:sz w:val="24"/>
          <w:szCs w:val="24"/>
          <w:lang w:val="en-US" w:eastAsia="zh-CN"/>
        </w:rPr>
        <w:t xml:space="preserve">......</w:t>
      </w:r>
      <w:r/>
    </w:p>
    <w:p>
      <w:pPr>
        <w:pStyle w:val="818"/>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jc w:val="center"/>
        <w:keepLines w:val="0"/>
        <w:keepNext w:val="0"/>
        <w:pageBreakBefore w:val="0"/>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lang w:val="en-US" w:eastAsia="zh-CN"/>
        </w:rPr>
        <w:t xml:space="preserve">十</w:t>
      </w:r>
      <w:r>
        <w:rPr>
          <w:rFonts w:hint="eastAsia" w:ascii="宋体" w:hAnsi="宋体" w:cs="宋体"/>
          <w:b/>
          <w:bCs/>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sz w:val="24"/>
        </w:rPr>
      </w:pPr>
      <w:r>
        <w:rPr>
          <w:rFonts w:ascii="宋体" w:hAnsi="宋体" w:cs="宋体"/>
          <w:sz w:val="24"/>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项目编号：</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项目名称：</w:t>
      </w:r>
      <w:r/>
    </w:p>
    <w:p>
      <w:pPr>
        <w:keepLines w:val="0"/>
        <w:keepNext w:val="0"/>
        <w:pageBreakBefore w:val="0"/>
        <w:spacing w:line="360" w:lineRule="auto"/>
        <w:rPr>
          <w:rFonts w:ascii="宋体" w:hAnsi="宋体" w:cs="宋体"/>
          <w:sz w:val="28"/>
          <w:szCs w:val="28"/>
        </w:rPr>
      </w:pPr>
      <w:r>
        <w:rPr>
          <w:rFonts w:ascii="宋体" w:hAnsi="宋体" w:cs="宋体"/>
          <w:sz w:val="28"/>
          <w:szCs w:val="28"/>
        </w:rPr>
      </w:r>
      <w:r/>
    </w:p>
    <w:p>
      <w:pPr>
        <w:ind w:firstLine="560"/>
        <w:keepLines w:val="0"/>
        <w:keepNext w:val="0"/>
        <w:pageBreakBefore w:val="0"/>
        <w:spacing w:line="360" w:lineRule="auto"/>
        <w:rPr>
          <w:rFonts w:ascii="宋体" w:hAnsi="宋体" w:cs="宋体"/>
          <w:sz w:val="28"/>
          <w:szCs w:val="28"/>
        </w:rPr>
      </w:pPr>
      <w:r>
        <w:rPr>
          <w:rFonts w:hint="eastAsia" w:ascii="宋体" w:hAnsi="宋体" w:cs="宋体"/>
          <w:sz w:val="28"/>
          <w:szCs w:val="28"/>
          <w:lang w:val="en-US" w:eastAsia="zh-CN"/>
        </w:rPr>
        <w:t xml:space="preserve">投标人</w:t>
      </w:r>
      <w:r>
        <w:rPr>
          <w:rFonts w:hint="eastAsia" w:ascii="宋体" w:hAnsi="宋体" w:cs="宋体"/>
          <w:sz w:val="28"/>
          <w:szCs w:val="28"/>
        </w:rPr>
        <w:t xml:space="preserve">郑重声明：投标人具备履行合同（项目名称：</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，项目编号：</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所必需的设备和专业技术能力， 具体为：</w:t>
      </w:r>
      <w:r/>
    </w:p>
    <w:p>
      <w:pPr>
        <w:keepLines w:val="0"/>
        <w:keepNext w:val="0"/>
        <w:pageBreakBefore w:val="0"/>
        <w:spacing w:line="360" w:lineRule="auto"/>
        <w:rPr>
          <w:rFonts w:hint="eastAsia" w:ascii="宋体" w:hAnsi="宋体" w:cs="宋体"/>
          <w:sz w:val="28"/>
          <w:szCs w:val="28"/>
        </w:rPr>
      </w:pPr>
      <w:r>
        <w:rPr>
          <w:rFonts w:hint="eastAsia" w:ascii="宋体" w:hAnsi="宋体" w:cs="宋体"/>
          <w:sz w:val="28"/>
          <w:szCs w:val="28"/>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设备：</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1、</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2、</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w:t>
      </w:r>
      <w:r/>
    </w:p>
    <w:p>
      <w:pPr>
        <w:keepLines w:val="0"/>
        <w:keepNext w:val="0"/>
        <w:pageBreakBefore w:val="0"/>
        <w:spacing w:line="360" w:lineRule="auto"/>
        <w:rPr>
          <w:rFonts w:hint="eastAsia" w:ascii="宋体" w:hAnsi="宋体" w:cs="宋体"/>
          <w:sz w:val="28"/>
          <w:szCs w:val="28"/>
        </w:rPr>
      </w:pPr>
      <w:r>
        <w:rPr>
          <w:rFonts w:hint="eastAsia" w:ascii="宋体" w:hAnsi="宋体" w:cs="宋体"/>
          <w:sz w:val="28"/>
          <w:szCs w:val="28"/>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专业技术能力：</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1、</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2、</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特此声明。</w:t>
      </w:r>
      <w:r/>
    </w:p>
    <w:p>
      <w:pPr>
        <w:keepLines w:val="0"/>
        <w:keepNext w:val="0"/>
        <w:pageBreakBefore w:val="0"/>
        <w:spacing w:line="360" w:lineRule="auto"/>
        <w:rPr>
          <w:rFonts w:ascii="宋体" w:hAnsi="宋体" w:cs="宋体"/>
          <w:spacing w:val="6"/>
          <w:sz w:val="28"/>
          <w:szCs w:val="28"/>
        </w:rPr>
      </w:pPr>
      <w:r>
        <w:rPr>
          <w:rFonts w:hint="eastAsia" w:ascii="宋体" w:hAnsi="宋体" w:cs="宋体"/>
          <w:sz w:val="28"/>
          <w:szCs w:val="28"/>
          <w:lang w:val="en-US" w:eastAsia="zh-CN"/>
        </w:rPr>
        <w:t xml:space="preserve">投标人</w:t>
      </w:r>
      <w:r>
        <w:rPr>
          <w:rFonts w:hint="eastAsia" w:ascii="宋体" w:hAnsi="宋体" w:cs="宋体"/>
          <w:sz w:val="28"/>
          <w:szCs w:val="28"/>
        </w:rPr>
        <w:t xml:space="preserve">对上述声明的真实性负责。如有虚假，将依法承担相应责任。</w:t>
      </w:r>
      <w:r/>
    </w:p>
    <w:p>
      <w:pPr>
        <w:jc w:val="left"/>
        <w:keepLines w:val="0"/>
        <w:keepNext w:val="0"/>
        <w:pageBreakBefore w:val="0"/>
        <w:spacing w:line="360" w:lineRule="auto"/>
        <w:rPr>
          <w:rFonts w:ascii="宋体" w:hAnsi="宋体" w:cs="宋体"/>
          <w:sz w:val="28"/>
          <w:szCs w:val="28"/>
        </w:rPr>
      </w:pPr>
      <w:r>
        <w:rPr>
          <w:rFonts w:ascii="宋体" w:hAnsi="宋体" w:cs="宋体"/>
          <w:sz w:val="28"/>
          <w:szCs w:val="28"/>
        </w:rPr>
      </w:r>
      <w:r/>
    </w:p>
    <w:p>
      <w:pPr>
        <w:pStyle w:val="817"/>
        <w:keepLines w:val="0"/>
        <w:keepNext w:val="0"/>
        <w:pageBreakBefore w:val="0"/>
        <w:spacing w:line="360" w:lineRule="auto"/>
        <w:rPr>
          <w:rFonts w:ascii="宋体" w:hAnsi="宋体" w:cs="宋体"/>
          <w:sz w:val="28"/>
          <w:szCs w:val="28"/>
        </w:rPr>
      </w:pPr>
      <w:r>
        <w:rPr>
          <w:rFonts w:ascii="宋体" w:hAnsi="宋体" w:cs="宋体"/>
          <w:sz w:val="28"/>
          <w:szCs w:val="28"/>
        </w:rPr>
      </w:r>
      <w:r/>
    </w:p>
    <w:p>
      <w:pPr>
        <w:ind w:right="29"/>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投标人（电子签章）：</w:t>
      </w:r>
      <w:r/>
    </w:p>
    <w:p>
      <w:pPr>
        <w:ind w:right="29"/>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826"/>
        <w:ind w:firstLine="480"/>
        <w:spacing w:line="360" w:lineRule="auto"/>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0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0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Style w:val="1007"/>
                            </w:rPr>
                          </w:pPr>
                          <w:r/>
                          <w:r/>
                        </w:p>
                        <w:p>
                          <w:pPr>
                            <w:rPr>
                              <w:rStyle w:val="1007"/>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Style w:val="1007"/>
                      </w:rPr>
                    </w:pPr>
                    <w:r/>
                    <w:r/>
                  </w:p>
                  <w:p>
                    <w:pPr>
                      <w:rPr>
                        <w:rStyle w:val="1007"/>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name w:val="Heading 1"/>
    <w:basedOn w:val="801"/>
    <w:next w:val="801"/>
    <w:link w:val="840"/>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4">
    <w:name w:val="Heading 3"/>
    <w:basedOn w:val="801"/>
    <w:next w:val="801"/>
    <w:link w:val="842"/>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43"/>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44"/>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45"/>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47"/>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48"/>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0"/>
    <w:semiHidden/>
    <w:qFormat/>
  </w:style>
  <w:style w:type="table" w:styleId="812" w:default="1">
    <w:name w:val="Normal Table"/>
    <w:uiPriority w:val="0"/>
    <w:semiHidden/>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Normal Indent"/>
    <w:basedOn w:val="801"/>
    <w:uiPriority w:val="0"/>
    <w:qFormat/>
    <w:pPr>
      <w:ind w:firstLine="420"/>
    </w:pPr>
  </w:style>
  <w:style w:type="paragraph" w:styleId="815">
    <w:name w:val="Caption"/>
    <w:basedOn w:val="801"/>
    <w:next w:val="80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6">
    <w:name w:val="annotation text"/>
    <w:basedOn w:val="801"/>
    <w:uiPriority w:val="0"/>
    <w:qFormat/>
    <w:pPr>
      <w:jc w:val="left"/>
    </w:pPr>
  </w:style>
  <w:style w:type="paragraph" w:styleId="817">
    <w:name w:val="Body Text"/>
    <w:basedOn w:val="801"/>
    <w:next w:val="801"/>
    <w:uiPriority w:val="99"/>
    <w:qFormat/>
    <w:pPr>
      <w:spacing w:after="120"/>
    </w:pPr>
    <w:rPr>
      <w:rFonts w:ascii="Calibri" w:hAnsi="Calibri"/>
    </w:rPr>
  </w:style>
  <w:style w:type="paragraph" w:styleId="818">
    <w:name w:val="Body Text Indent"/>
    <w:basedOn w:val="801"/>
    <w:uiPriority w:val="0"/>
    <w:qFormat/>
    <w:pPr>
      <w:ind w:left="420"/>
      <w:spacing w:after="120"/>
    </w:pPr>
    <w:rPr>
      <w:rFonts w:ascii="Calibri" w:hAnsi="Calibri"/>
    </w:rPr>
  </w:style>
  <w:style w:type="paragraph" w:styleId="819">
    <w:name w:val="Block Text"/>
    <w:basedOn w:val="801"/>
    <w:uiPriority w:val="99"/>
    <w:unhideWhenUsed/>
    <w:qFormat/>
    <w:pPr>
      <w:ind w:left="1440" w:right="1440"/>
      <w:spacing w:after="120"/>
    </w:pPr>
  </w:style>
  <w:style w:type="paragraph" w:styleId="820">
    <w:name w:val="toc 5"/>
    <w:basedOn w:val="801"/>
    <w:next w:val="801"/>
    <w:uiPriority w:val="39"/>
    <w:unhideWhenUsed/>
    <w:qFormat/>
    <w:pPr>
      <w:ind w:left="1134" w:right="0" w:firstLine="0"/>
      <w:spacing w:after="57"/>
    </w:pPr>
  </w:style>
  <w:style w:type="paragraph" w:styleId="821">
    <w:name w:val="toc 3"/>
    <w:basedOn w:val="801"/>
    <w:next w:val="801"/>
    <w:uiPriority w:val="39"/>
    <w:unhideWhenUsed/>
    <w:qFormat/>
    <w:pPr>
      <w:ind w:left="567" w:right="0" w:firstLine="0"/>
      <w:spacing w:after="57"/>
    </w:pPr>
  </w:style>
  <w:style w:type="paragraph" w:styleId="822">
    <w:name w:val="toc 8"/>
    <w:basedOn w:val="801"/>
    <w:next w:val="801"/>
    <w:uiPriority w:val="39"/>
    <w:unhideWhenUsed/>
    <w:qFormat/>
    <w:pPr>
      <w:ind w:left="1984" w:right="0" w:firstLine="0"/>
      <w:spacing w:after="57"/>
    </w:pPr>
  </w:style>
  <w:style w:type="paragraph" w:styleId="823">
    <w:name w:val="endnote text"/>
    <w:basedOn w:val="801"/>
    <w:link w:val="985"/>
    <w:uiPriority w:val="99"/>
    <w:semiHidden/>
    <w:unhideWhenUsed/>
    <w:qFormat/>
    <w:pPr>
      <w:spacing w:after="0" w:line="240" w:lineRule="auto"/>
    </w:pPr>
    <w:rPr>
      <w:sz w:val="20"/>
    </w:rPr>
  </w:style>
  <w:style w:type="paragraph" w:styleId="824">
    <w:name w:val="Footer"/>
    <w:basedOn w:val="801"/>
    <w:uiPriority w:val="99"/>
    <w:qFormat/>
    <w:pPr>
      <w:jc w:val="left"/>
      <w:tabs>
        <w:tab w:val="center" w:pos="4153" w:leader="none"/>
        <w:tab w:val="right" w:pos="8306" w:leader="none"/>
      </w:tabs>
    </w:pPr>
    <w:rPr>
      <w:sz w:val="18"/>
      <w:szCs w:val="18"/>
    </w:rPr>
  </w:style>
  <w:style w:type="paragraph" w:styleId="825">
    <w:name w:val="Header"/>
    <w:basedOn w:val="801"/>
    <w:uiPriority w:val="99"/>
    <w:qFormat/>
    <w:pPr>
      <w:jc w:val="center"/>
      <w:tabs>
        <w:tab w:val="center" w:pos="4153" w:leader="none"/>
        <w:tab w:val="right" w:pos="8306" w:leader="none"/>
      </w:tabs>
      <w:pBdr>
        <w:bottom w:val="single" w:color="auto" w:sz="6" w:space="1"/>
      </w:pBdr>
    </w:pPr>
    <w:rPr>
      <w:sz w:val="18"/>
      <w:szCs w:val="18"/>
    </w:rPr>
  </w:style>
  <w:style w:type="paragraph" w:styleId="826">
    <w:name w:val="toc 1"/>
    <w:basedOn w:val="801"/>
    <w:next w:val="801"/>
    <w:uiPriority w:val="39"/>
    <w:qFormat/>
  </w:style>
  <w:style w:type="paragraph" w:styleId="827">
    <w:name w:val="toc 4"/>
    <w:basedOn w:val="801"/>
    <w:next w:val="801"/>
    <w:uiPriority w:val="39"/>
    <w:unhideWhenUsed/>
    <w:qFormat/>
    <w:pPr>
      <w:ind w:left="850" w:right="0" w:firstLine="0"/>
      <w:spacing w:after="57"/>
    </w:pPr>
  </w:style>
  <w:style w:type="paragraph" w:styleId="828">
    <w:name w:val="Subtitle"/>
    <w:basedOn w:val="801"/>
    <w:next w:val="801"/>
    <w:link w:val="851"/>
    <w:uiPriority w:val="11"/>
    <w:qFormat/>
    <w:pPr>
      <w:spacing w:before="200" w:after="200"/>
    </w:pPr>
    <w:rPr>
      <w:sz w:val="24"/>
      <w:szCs w:val="24"/>
    </w:rPr>
  </w:style>
  <w:style w:type="paragraph" w:styleId="829">
    <w:name w:val="footnote text"/>
    <w:basedOn w:val="801"/>
    <w:link w:val="984"/>
    <w:uiPriority w:val="99"/>
    <w:semiHidden/>
    <w:unhideWhenUsed/>
    <w:qFormat/>
    <w:pPr>
      <w:spacing w:after="40" w:line="240" w:lineRule="auto"/>
    </w:pPr>
    <w:rPr>
      <w:sz w:val="18"/>
    </w:rPr>
  </w:style>
  <w:style w:type="paragraph" w:styleId="830">
    <w:name w:val="toc 6"/>
    <w:basedOn w:val="801"/>
    <w:next w:val="801"/>
    <w:uiPriority w:val="39"/>
    <w:unhideWhenUsed/>
    <w:qFormat/>
    <w:pPr>
      <w:ind w:left="1417" w:right="0" w:firstLine="0"/>
      <w:spacing w:after="57"/>
    </w:pPr>
  </w:style>
  <w:style w:type="paragraph" w:styleId="831">
    <w:name w:val="table of figures"/>
    <w:basedOn w:val="801"/>
    <w:next w:val="801"/>
    <w:uiPriority w:val="99"/>
    <w:unhideWhenUsed/>
    <w:qFormat/>
    <w:pPr>
      <w:spacing w:after="0" w:afterAutospacing="0"/>
    </w:pPr>
  </w:style>
  <w:style w:type="paragraph" w:styleId="832">
    <w:name w:val="toc 2"/>
    <w:basedOn w:val="801"/>
    <w:next w:val="801"/>
    <w:uiPriority w:val="39"/>
    <w:unhideWhenUsed/>
    <w:qFormat/>
    <w:pPr>
      <w:ind w:left="283" w:right="0" w:firstLine="0"/>
      <w:spacing w:after="57"/>
    </w:pPr>
  </w:style>
  <w:style w:type="paragraph" w:styleId="833">
    <w:name w:val="toc 9"/>
    <w:basedOn w:val="801"/>
    <w:next w:val="801"/>
    <w:uiPriority w:val="39"/>
    <w:unhideWhenUsed/>
    <w:qFormat/>
    <w:pPr>
      <w:ind w:left="2268" w:right="0" w:firstLine="0"/>
      <w:spacing w:after="57"/>
    </w:pPr>
  </w:style>
  <w:style w:type="paragraph" w:styleId="834">
    <w:name w:val="Normal (Web)"/>
    <w:basedOn w:val="801"/>
    <w:uiPriority w:val="0"/>
    <w:qFormat/>
    <w:pPr>
      <w:jc w:val="left"/>
      <w:spacing w:before="100" w:beforeAutospacing="1" w:after="100" w:afterAutospacing="1"/>
      <w:widowControl/>
    </w:pPr>
    <w:rPr>
      <w:rFonts w:ascii="宋体" w:hAnsi="宋体" w:cs="宋体"/>
      <w:sz w:val="24"/>
    </w:rPr>
  </w:style>
  <w:style w:type="paragraph" w:styleId="835">
    <w:name w:val="Title"/>
    <w:basedOn w:val="801"/>
    <w:next w:val="801"/>
    <w:link w:val="850"/>
    <w:uiPriority w:val="10"/>
    <w:qFormat/>
    <w:pPr>
      <w:contextualSpacing/>
      <w:spacing w:before="300" w:after="200"/>
    </w:pPr>
    <w:rPr>
      <w:sz w:val="48"/>
      <w:szCs w:val="48"/>
    </w:rPr>
  </w:style>
  <w:style w:type="table" w:styleId="836">
    <w:name w:val="Table Grid"/>
    <w:basedOn w:val="8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basedOn w:val="811"/>
    <w:uiPriority w:val="99"/>
    <w:semiHidden/>
    <w:unhideWhenUsed/>
    <w:qFormat/>
    <w:rPr>
      <w:vertAlign w:val="superscript"/>
    </w:rPr>
  </w:style>
  <w:style w:type="character" w:styleId="838">
    <w:name w:val="Hyperlink"/>
    <w:basedOn w:val="811"/>
    <w:uiPriority w:val="99"/>
    <w:unhideWhenUsed/>
    <w:qFormat/>
    <w:rPr>
      <w:color w:val="0000ff"/>
      <w:u w:val="none"/>
    </w:rPr>
  </w:style>
  <w:style w:type="character" w:styleId="839">
    <w:name w:val="footnote reference"/>
    <w:basedOn w:val="811"/>
    <w:uiPriority w:val="99"/>
    <w:unhideWhenUsed/>
    <w:qFormat/>
    <w:rPr>
      <w:vertAlign w:val="superscript"/>
    </w:rPr>
  </w:style>
  <w:style w:type="character" w:styleId="840" w:customStyle="1">
    <w:name w:val="Heading 1 Char"/>
    <w:basedOn w:val="811"/>
    <w:link w:val="802"/>
    <w:uiPriority w:val="9"/>
    <w:qFormat/>
    <w:rPr>
      <w:rFonts w:ascii="Arial" w:hAnsi="Arial" w:eastAsia="Arial" w:cs="Arial"/>
      <w:sz w:val="40"/>
      <w:szCs w:val="40"/>
    </w:rPr>
  </w:style>
  <w:style w:type="character" w:styleId="841" w:customStyle="1">
    <w:name w:val="Heading 2 Char"/>
    <w:basedOn w:val="811"/>
    <w:uiPriority w:val="9"/>
    <w:qFormat/>
    <w:rPr>
      <w:rFonts w:ascii="Arial" w:hAnsi="Arial" w:eastAsia="Arial" w:cs="Arial"/>
      <w:sz w:val="34"/>
    </w:rPr>
  </w:style>
  <w:style w:type="character" w:styleId="842" w:customStyle="1">
    <w:name w:val="Heading 3 Char"/>
    <w:basedOn w:val="811"/>
    <w:link w:val="804"/>
    <w:uiPriority w:val="9"/>
    <w:qFormat/>
    <w:rPr>
      <w:rFonts w:ascii="Arial" w:hAnsi="Arial" w:eastAsia="Arial" w:cs="Arial"/>
      <w:sz w:val="30"/>
      <w:szCs w:val="30"/>
    </w:rPr>
  </w:style>
  <w:style w:type="character" w:styleId="843" w:customStyle="1">
    <w:name w:val="Heading 4 Char"/>
    <w:basedOn w:val="811"/>
    <w:link w:val="805"/>
    <w:uiPriority w:val="9"/>
    <w:qFormat/>
    <w:rPr>
      <w:rFonts w:ascii="Arial" w:hAnsi="Arial" w:eastAsia="Arial" w:cs="Arial"/>
      <w:b/>
      <w:bCs/>
      <w:sz w:val="26"/>
      <w:szCs w:val="26"/>
    </w:rPr>
  </w:style>
  <w:style w:type="character" w:styleId="844" w:customStyle="1">
    <w:name w:val="Heading 5 Char"/>
    <w:basedOn w:val="811"/>
    <w:link w:val="806"/>
    <w:uiPriority w:val="9"/>
    <w:qFormat/>
    <w:rPr>
      <w:rFonts w:ascii="Arial" w:hAnsi="Arial" w:eastAsia="Arial" w:cs="Arial"/>
      <w:b/>
      <w:bCs/>
      <w:sz w:val="24"/>
      <w:szCs w:val="24"/>
    </w:rPr>
  </w:style>
  <w:style w:type="character" w:styleId="845" w:customStyle="1">
    <w:name w:val="Heading 6 Char"/>
    <w:basedOn w:val="811"/>
    <w:link w:val="807"/>
    <w:uiPriority w:val="9"/>
    <w:qFormat/>
    <w:rPr>
      <w:rFonts w:ascii="Arial" w:hAnsi="Arial" w:eastAsia="Arial" w:cs="Arial"/>
      <w:b/>
      <w:bCs/>
      <w:sz w:val="22"/>
      <w:szCs w:val="22"/>
    </w:rPr>
  </w:style>
  <w:style w:type="character" w:styleId="846" w:customStyle="1">
    <w:name w:val="Heading 7 Char"/>
    <w:basedOn w:val="811"/>
    <w:link w:val="808"/>
    <w:uiPriority w:val="9"/>
    <w:qFormat/>
    <w:rPr>
      <w:rFonts w:ascii="Arial" w:hAnsi="Arial" w:eastAsia="Arial" w:cs="Arial"/>
      <w:b/>
      <w:bCs/>
      <w:i/>
      <w:iCs/>
      <w:sz w:val="22"/>
      <w:szCs w:val="22"/>
    </w:rPr>
  </w:style>
  <w:style w:type="character" w:styleId="847" w:customStyle="1">
    <w:name w:val="Heading 8 Char"/>
    <w:basedOn w:val="811"/>
    <w:link w:val="809"/>
    <w:uiPriority w:val="9"/>
    <w:qFormat/>
    <w:rPr>
      <w:rFonts w:ascii="Arial" w:hAnsi="Arial" w:eastAsia="Arial" w:cs="Arial"/>
      <w:i/>
      <w:iCs/>
      <w:sz w:val="22"/>
      <w:szCs w:val="22"/>
    </w:rPr>
  </w:style>
  <w:style w:type="character" w:styleId="848" w:customStyle="1">
    <w:name w:val="Heading 9 Char"/>
    <w:basedOn w:val="811"/>
    <w:link w:val="810"/>
    <w:uiPriority w:val="9"/>
    <w:qFormat/>
    <w:rPr>
      <w:rFonts w:ascii="Arial" w:hAnsi="Arial" w:eastAsia="Arial" w:cs="Arial"/>
      <w:i/>
      <w:iCs/>
      <w:sz w:val="21"/>
      <w:szCs w:val="21"/>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basedOn w:val="811"/>
    <w:link w:val="835"/>
    <w:uiPriority w:val="10"/>
    <w:qFormat/>
    <w:rPr>
      <w:sz w:val="48"/>
      <w:szCs w:val="48"/>
    </w:rPr>
  </w:style>
  <w:style w:type="character" w:styleId="851" w:customStyle="1">
    <w:name w:val="Subtitle Char"/>
    <w:basedOn w:val="811"/>
    <w:link w:val="828"/>
    <w:uiPriority w:val="11"/>
    <w:qFormat/>
    <w:rPr>
      <w:sz w:val="24"/>
      <w:szCs w:val="24"/>
    </w:rPr>
  </w:style>
  <w:style w:type="paragraph" w:styleId="852">
    <w:name w:val="Quote"/>
    <w:basedOn w:val="801"/>
    <w:next w:val="801"/>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801"/>
    <w:next w:val="801"/>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basedOn w:val="811"/>
    <w:uiPriority w:val="99"/>
    <w:qFormat/>
  </w:style>
  <w:style w:type="character" w:styleId="857" w:customStyle="1">
    <w:name w:val="Footer Char"/>
    <w:basedOn w:val="811"/>
    <w:uiPriority w:val="99"/>
    <w:qFormat/>
  </w:style>
  <w:style w:type="character" w:styleId="858" w:customStyle="1">
    <w:name w:val="Caption Char"/>
    <w:uiPriority w:val="99"/>
    <w:qFormat/>
  </w:style>
  <w:style w:type="table" w:styleId="859"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8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8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8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8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8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8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8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8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8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8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8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8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9"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8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8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8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8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8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8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81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8" w:customStyle="1">
    <w:name w:val="Grid Table 4 - Accent 2"/>
    <w:basedOn w:val="81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9" w:customStyle="1">
    <w:name w:val="Grid Table 4 - Accent 3"/>
    <w:basedOn w:val="81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0" w:customStyle="1">
    <w:name w:val="Grid Table 4 - Accent 4"/>
    <w:basedOn w:val="81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1" w:customStyle="1">
    <w:name w:val="Grid Table 4 - Accent 5"/>
    <w:basedOn w:val="81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2" w:customStyle="1">
    <w:name w:val="Grid Table 4 - Accent 6"/>
    <w:basedOn w:val="81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3"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5"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6"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7"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8"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9"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0"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81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8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81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4" w:customStyle="1">
    <w:name w:val="Grid Table 6 Colorful - Accent 4"/>
    <w:basedOn w:val="8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81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6" w:customStyle="1">
    <w:name w:val="Grid Table 6 Colorful - Accent 6"/>
    <w:basedOn w:val="81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7"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81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81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81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81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81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81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81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81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81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81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81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81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1"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81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3" w:customStyle="1">
    <w:name w:val="List Table 2 - Accent 2"/>
    <w:basedOn w:val="81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4" w:customStyle="1">
    <w:name w:val="List Table 2 - Accent 3"/>
    <w:basedOn w:val="81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5" w:customStyle="1">
    <w:name w:val="List Table 2 - Accent 4"/>
    <w:basedOn w:val="81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6" w:customStyle="1">
    <w:name w:val="List Table 2 - Accent 5"/>
    <w:basedOn w:val="81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7" w:customStyle="1">
    <w:name w:val="List Table 2 - Accent 6"/>
    <w:basedOn w:val="81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8"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81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0" w:customStyle="1">
    <w:name w:val="List Table 3 - Accent 2"/>
    <w:basedOn w:val="8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81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8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81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81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5"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81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7" w:customStyle="1">
    <w:name w:val="List Table 4 - Accent 2"/>
    <w:basedOn w:val="81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8" w:customStyle="1">
    <w:name w:val="List Table 4 - Accent 3"/>
    <w:basedOn w:val="81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9" w:customStyle="1">
    <w:name w:val="List Table 4 - Accent 4"/>
    <w:basedOn w:val="81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0" w:customStyle="1">
    <w:name w:val="List Table 4 - Accent 5"/>
    <w:basedOn w:val="81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1" w:customStyle="1">
    <w:name w:val="List Table 4 - Accent 6"/>
    <w:basedOn w:val="81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2"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81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81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81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81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81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81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81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1" w:customStyle="1">
    <w:name w:val="List Table 6 Colorful - Accent 2"/>
    <w:basedOn w:val="81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2" w:customStyle="1">
    <w:name w:val="List Table 6 Colorful - Accent 3"/>
    <w:basedOn w:val="81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3" w:customStyle="1">
    <w:name w:val="List Table 6 Colorful - Accent 4"/>
    <w:basedOn w:val="81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4" w:customStyle="1">
    <w:name w:val="List Table 6 Colorful - Accent 5"/>
    <w:basedOn w:val="81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5" w:customStyle="1">
    <w:name w:val="List Table 6 Colorful - Accent 6"/>
    <w:basedOn w:val="81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6"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81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81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81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81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81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81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5"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6"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7"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8"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9"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0"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basedOn w:val="81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2" w:customStyle="1">
    <w:name w:val="Bordered &amp; Lined - Accent 2"/>
    <w:basedOn w:val="81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3" w:customStyle="1">
    <w:name w:val="Bordered &amp; Lined - Accent 3"/>
    <w:basedOn w:val="81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4" w:customStyle="1">
    <w:name w:val="Bordered &amp; Lined - Accent 4"/>
    <w:basedOn w:val="81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5" w:customStyle="1">
    <w:name w:val="Bordered &amp; Lined - Accent 5"/>
    <w:basedOn w:val="81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6" w:customStyle="1">
    <w:name w:val="Bordered &amp; Lined - Accent 6"/>
    <w:basedOn w:val="81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7"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8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9" w:customStyle="1">
    <w:name w:val="Bordered - Accent 2"/>
    <w:basedOn w:val="8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0" w:customStyle="1">
    <w:name w:val="Bordered - Accent 3"/>
    <w:basedOn w:val="8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1" w:customStyle="1">
    <w:name w:val="Bordered - Accent 4"/>
    <w:basedOn w:val="8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2" w:customStyle="1">
    <w:name w:val="Bordered - Accent 5"/>
    <w:basedOn w:val="8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3" w:customStyle="1">
    <w:name w:val="Bordered - Accent 6"/>
    <w:basedOn w:val="8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4" w:customStyle="1">
    <w:name w:val="Footnote Text Char"/>
    <w:link w:val="829"/>
    <w:uiPriority w:val="99"/>
    <w:qFormat/>
    <w:rPr>
      <w:sz w:val="18"/>
    </w:rPr>
  </w:style>
  <w:style w:type="character" w:styleId="985" w:customStyle="1">
    <w:name w:val="Endnote Text Char"/>
    <w:link w:val="823"/>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一级条标题"/>
    <w:basedOn w:val="988"/>
    <w:next w:val="9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8" w:customStyle="1">
    <w:name w:val="章标题"/>
    <w:next w:val="8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9" w:customStyle="1">
    <w:name w:val="段"/>
    <w:basedOn w:val="990"/>
    <w:next w:val="801"/>
    <w:uiPriority w:val="0"/>
    <w:qFormat/>
    <w:pPr>
      <w:ind w:firstLine="200"/>
      <w:widowControl/>
    </w:pPr>
    <w:rPr>
      <w:sz w:val="20"/>
    </w:rPr>
  </w:style>
  <w:style w:type="paragraph" w:styleId="990" w:customStyle="1">
    <w:name w:val="正文13"/>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首行缩进1"/>
    <w:basedOn w:val="992"/>
    <w:next w:val="996"/>
    <w:uiPriority w:val="0"/>
    <w:qFormat/>
    <w:pPr>
      <w:ind w:firstLine="200"/>
    </w:pPr>
    <w:rPr>
      <w:rFonts w:ascii="仿宋_GB2312" w:eastAsia="仿宋_GB2312"/>
      <w:sz w:val="30"/>
      <w:szCs w:val="30"/>
    </w:rPr>
  </w:style>
  <w:style w:type="paragraph" w:styleId="992" w:customStyle="1">
    <w:name w:val="正文文本11"/>
    <w:basedOn w:val="993"/>
    <w:next w:val="995"/>
    <w:uiPriority w:val="0"/>
    <w:qFormat/>
    <w:pPr>
      <w:spacing w:after="120"/>
    </w:pPr>
  </w:style>
  <w:style w:type="paragraph" w:styleId="993" w:customStyle="1">
    <w:name w:val="正文12"/>
    <w:next w:val="994"/>
    <w:uiPriority w:val="0"/>
    <w:qFormat/>
    <w:pPr>
      <w:jc w:val="both"/>
      <w:widowControl w:val="off"/>
    </w:pPr>
    <w:rPr>
      <w:rFonts w:hint="default" w:ascii="Calibri" w:hAnsi="Calibri" w:eastAsia="宋体" w:cs="Times New Roman"/>
      <w:sz w:val="21"/>
      <w:szCs w:val="24"/>
      <w:lang w:val="en-US" w:eastAsia="zh-CN" w:bidi="ar-SA"/>
    </w:rPr>
  </w:style>
  <w:style w:type="paragraph" w:styleId="994" w:customStyle="1">
    <w:name w:val="标题 21"/>
    <w:basedOn w:val="995"/>
    <w:next w:val="993"/>
    <w:uiPriority w:val="0"/>
    <w:qFormat/>
    <w:pPr>
      <w:jc w:val="left"/>
      <w:keepLines/>
      <w:keepNext/>
      <w:spacing w:before="50"/>
      <w:tabs>
        <w:tab w:val="left" w:pos="0" w:leader="none"/>
      </w:tabs>
    </w:pPr>
    <w:rPr>
      <w:rFonts w:ascii="Arial" w:hAnsi="Arial" w:eastAsia="黑体"/>
      <w:sz w:val="32"/>
      <w:szCs w:val="20"/>
    </w:rPr>
  </w:style>
  <w:style w:type="paragraph" w:styleId="995"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首行缩进 211"/>
    <w:basedOn w:val="997"/>
    <w:next w:val="998"/>
    <w:uiPriority w:val="99"/>
    <w:qFormat/>
    <w:pPr>
      <w:ind w:left="0" w:firstLine="420"/>
      <w:spacing w:after="0" w:line="360" w:lineRule="auto"/>
    </w:pPr>
    <w:rPr>
      <w:rFonts w:ascii="宋体" w:hAnsi="宋体"/>
    </w:rPr>
  </w:style>
  <w:style w:type="paragraph" w:styleId="997" w:customStyle="1">
    <w:name w:val="正文文本缩进11"/>
    <w:basedOn w:val="998"/>
    <w:next w:val="998"/>
    <w:uiPriority w:val="0"/>
    <w:qFormat/>
    <w:pPr>
      <w:ind w:left="420"/>
      <w:spacing w:after="120"/>
    </w:pPr>
    <w:rPr>
      <w:rFonts w:ascii="Calibri" w:hAnsi="Calibri" w:eastAsia="等线" w:cs="Times New Roman"/>
    </w:rPr>
  </w:style>
  <w:style w:type="paragraph" w:styleId="998" w:customStyle="1">
    <w:name w:val="正文112"/>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name w:val="List Paragraph"/>
    <w:basedOn w:val="801"/>
    <w:uiPriority w:val="1"/>
    <w:qFormat/>
    <w:pPr>
      <w:ind w:firstLine="420"/>
    </w:pPr>
  </w:style>
  <w:style w:type="paragraph" w:styleId="1000" w:customStyle="1">
    <w:name w:val="p0"/>
    <w:basedOn w:val="801"/>
    <w:uiPriority w:val="0"/>
    <w:qFormat/>
    <w:pPr>
      <w:widowControl/>
    </w:pPr>
    <w:rPr>
      <w:szCs w:val="21"/>
    </w:rPr>
  </w:style>
  <w:style w:type="character" w:styleId="1001" w:customStyle="1">
    <w:name w:val="NormalCharacter"/>
    <w:uiPriority w:val="0"/>
    <w:semiHidden/>
    <w:qFormat/>
    <w:rPr>
      <w:sz w:val="28"/>
      <w:lang w:val="en-US" w:eastAsia="zh-CN" w:bidi="ar-SA"/>
    </w:rPr>
  </w:style>
  <w:style w:type="character" w:styleId="1002" w:customStyle="1">
    <w:name w:val="font81"/>
    <w:basedOn w:val="811"/>
    <w:uiPriority w:val="0"/>
    <w:qFormat/>
    <w:rPr>
      <w:rFonts w:hint="default" w:ascii="Times New Roman" w:hAnsi="Times New Roman" w:cs="Times New Roman"/>
      <w:b/>
      <w:bCs/>
      <w:color w:val="000000"/>
      <w:sz w:val="20"/>
      <w:szCs w:val="20"/>
      <w:u w:val="none"/>
    </w:rPr>
  </w:style>
  <w:style w:type="paragraph" w:styleId="1003" w:customStyle="1">
    <w:name w:val="正文1"/>
    <w:basedOn w:val="995"/>
    <w:next w:val="1004"/>
    <w:uiPriority w:val="0"/>
    <w:qFormat/>
    <w:pPr>
      <w:jc w:val="left"/>
      <w:spacing w:line="360" w:lineRule="atLeast"/>
    </w:pPr>
    <w:rPr>
      <w:rFonts w:ascii="宋体" w:hAnsiTheme="minorHAnsi" w:eastAsiaTheme="minorEastAsia" w:cstheme="minorBidi"/>
      <w:sz w:val="24"/>
      <w:szCs w:val="20"/>
    </w:rPr>
  </w:style>
  <w:style w:type="paragraph" w:styleId="1004" w:customStyle="1">
    <w:name w:val="脚注文本1"/>
    <w:basedOn w:val="1003"/>
    <w:next w:val="1005"/>
    <w:uiPriority w:val="0"/>
    <w:qFormat/>
    <w:rPr>
      <w:rFonts w:eastAsia="Times New Roman"/>
      <w:sz w:val="18"/>
      <w:szCs w:val="18"/>
    </w:rPr>
  </w:style>
  <w:style w:type="paragraph" w:styleId="1005" w:customStyle="1">
    <w:name w:val="索引 51"/>
    <w:basedOn w:val="1003"/>
    <w:next w:val="1003"/>
    <w:uiPriority w:val="0"/>
    <w:qFormat/>
    <w:pPr>
      <w:ind w:left="798"/>
    </w:pPr>
    <w:rPr>
      <w:rFonts w:ascii="Calibri" w:hAnsi="Calibri"/>
    </w:rPr>
  </w:style>
  <w:style w:type="paragraph" w:styleId="1006" w:customStyle="1">
    <w:name w:val="目录 111"/>
    <w:basedOn w:val="995"/>
    <w:next w:val="801"/>
    <w:uiPriority w:val="0"/>
    <w:qFormat/>
    <w:pPr>
      <w:jc w:val="left"/>
      <w:spacing w:after="100" w:line="259" w:lineRule="auto"/>
      <w:widowControl/>
    </w:pPr>
    <w:rPr>
      <w:rFonts w:ascii="Calibri" w:hAnsi="Calibri"/>
      <w:sz w:val="22"/>
      <w:szCs w:val="22"/>
    </w:rPr>
  </w:style>
  <w:style w:type="character" w:styleId="1007" w:customStyle="1">
    <w:name w:val="NormalCharacter1"/>
    <w:link w:val="1008"/>
    <w:uiPriority w:val="0"/>
    <w:semiHidden/>
    <w:qFormat/>
    <w:rPr>
      <w:rFonts w:hint="default" w:ascii="Times New Roman" w:hAnsi="Times New Roman" w:eastAsia="宋体" w:cs="Times New Roman"/>
      <w:sz w:val="21"/>
      <w:szCs w:val="24"/>
      <w:lang w:val="en-US" w:eastAsia="zh-CN" w:bidi="ar-SA"/>
    </w:rPr>
  </w:style>
  <w:style w:type="paragraph" w:styleId="1008" w:customStyle="1">
    <w:name w:val="正文11"/>
    <w:next w:val="1009"/>
    <w:link w:val="10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目录 11"/>
    <w:basedOn w:val="1003"/>
    <w:next w:val="1008"/>
    <w:uiPriority w:val="0"/>
    <w:qFormat/>
    <w:pPr>
      <w:jc w:val="left"/>
      <w:spacing w:before="120" w:after="120"/>
      <w:widowControl/>
    </w:pPr>
    <w:rPr>
      <w:rFonts w:ascii="Calibri" w:hAnsi="Calibri" w:cs="Calibri"/>
      <w:b/>
      <w:bCs/>
      <w:caps/>
      <w:sz w:val="20"/>
      <w:szCs w:val="20"/>
    </w:rPr>
  </w:style>
  <w:style w:type="paragraph" w:styleId="1010" w:customStyle="1">
    <w:name w:val="BlockQuote1"/>
    <w:basedOn w:val="801"/>
    <w:uiPriority w:val="0"/>
    <w:qFormat/>
    <w:pPr>
      <w:ind w:left="256" w:right="6" w:firstLine="624"/>
    </w:pPr>
    <w:rPr>
      <w:rFonts w:eastAsia="仿宋_GB2312"/>
      <w:sz w:val="28"/>
    </w:rPr>
  </w:style>
  <w:style w:type="paragraph" w:styleId="1011" w:customStyle="1">
    <w:name w:val="纯文本1"/>
    <w:basedOn w:val="1012"/>
    <w:uiPriority w:val="0"/>
    <w:qFormat/>
    <w:rPr>
      <w:rFonts w:hAnsi="Courier New"/>
      <w:sz w:val="20"/>
    </w:rPr>
  </w:style>
  <w:style w:type="paragraph" w:styleId="1012" w:customStyle="1">
    <w:name w:val="正文121"/>
    <w:next w:val="1013"/>
    <w:uiPriority w:val="0"/>
    <w:qFormat/>
    <w:pPr>
      <w:jc w:val="both"/>
      <w:widowControl w:val="off"/>
    </w:pPr>
    <w:rPr>
      <w:rFonts w:hint="default" w:ascii="Calibri" w:hAnsi="Calibri" w:eastAsia="宋体" w:cs="Times New Roman"/>
      <w:sz w:val="21"/>
      <w:szCs w:val="24"/>
      <w:lang w:val="en-US" w:eastAsia="zh-CN" w:bidi="ar-SA"/>
    </w:rPr>
  </w:style>
  <w:style w:type="paragraph" w:styleId="1013" w:customStyle="1">
    <w:name w:val="BlockQuote"/>
    <w:basedOn w:val="1008"/>
    <w:uiPriority w:val="0"/>
    <w:qFormat/>
    <w:pPr>
      <w:ind w:left="256" w:right="6" w:firstLine="624"/>
    </w:pPr>
    <w:rPr>
      <w:rFonts w:eastAsia="仿宋_GB2312"/>
      <w:sz w:val="28"/>
    </w:rPr>
  </w:style>
  <w:style w:type="paragraph" w:styleId="1014" w:customStyle="1">
    <w:name w:val="页脚1"/>
    <w:basedOn w:val="801"/>
    <w:uiPriority w:val="0"/>
    <w:qFormat/>
    <w:pPr>
      <w:jc w:val="left"/>
      <w:tabs>
        <w:tab w:val="center" w:pos="4153" w:leader="none"/>
        <w:tab w:val="right" w:pos="8306" w:leader="none"/>
      </w:tabs>
    </w:pPr>
    <w:rPr>
      <w:sz w:val="18"/>
      <w:szCs w:val="1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5</cp:revision>
  <dcterms:created xsi:type="dcterms:W3CDTF">2026-04-27T03:14:00Z</dcterms:created>
  <dcterms:modified xsi:type="dcterms:W3CDTF">2026-04-29T08:05:58Z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3DE76805313945EFB4D1CABA4CB5B8CD_13</vt:lpwstr>
  </property>
  <property fmtid="{D5CDD505-2E9C-101B-9397-08002B2CF9AE}" pid="4" name="KSOTemplateDocerSaveRecord">
    <vt:lpwstr>eyJoZGlkIjoiNTVjYjM4NTU1NzQ3Nzk2MWVkZWVlZjU5YWM1ZGEwMDYiLCJ1c2VySWQiOiI2MjAyNjAwNDcifQ==</vt:lpwstr>
  </property>
</Properties>
</file>