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17"/>
        <w:ind w:firstLine="0"/>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17"/>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156"/>
          <w:highlight w:val="none"/>
        </w:rPr>
      </w:pPr>
      <w:r>
        <w:rPr>
          <w:rFonts w:hint="eastAsia" w:ascii="仿宋" w:hAnsi="仿宋" w:eastAsia="仿宋" w:cs="仿宋"/>
          <w:b/>
          <w:spacing w:val="76"/>
          <w:sz w:val="156"/>
          <w:highlight w:val="none"/>
        </w:rPr>
        <w:t xml:space="preserve">招标文件</w:t>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917"/>
        <w:rPr>
          <w:rFonts w:hint="eastAsia" w:ascii="仿宋" w:hAnsi="仿宋" w:eastAsia="仿宋" w:cs="仿宋"/>
          <w:sz w:val="32"/>
          <w:highlight w:val="none"/>
        </w:rPr>
      </w:pPr>
      <w:r>
        <w:rPr>
          <w:rFonts w:hint="eastAsia" w:ascii="仿宋" w:hAnsi="仿宋" w:eastAsia="仿宋" w:cs="仿宋"/>
          <w:sz w:val="32"/>
          <w:highlight w:val="none"/>
        </w:rPr>
      </w:r>
      <w:r/>
    </w:p>
    <w:p>
      <w:pPr>
        <w:pStyle w:val="917"/>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17"/>
        <w:ind w:firstLine="960"/>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JSZC-320303-XZWZ-G2026-0002</w:t>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新能源环卫特种作业车辆采购项目-新能源车厢可卸式垃圾车</w:t>
      </w:r>
      <w:r/>
    </w:p>
    <w:p>
      <w:pPr>
        <w:ind w:left="2558" w:hanging="160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徐州市云龙区城市管理局</w:t>
      </w:r>
      <w:r/>
    </w:p>
    <w:p>
      <w:pPr>
        <w:ind w:firstLine="96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采购代理机构：</w:t>
      </w:r>
      <w:r>
        <w:rPr>
          <w:rFonts w:hint="eastAsia" w:ascii="仿宋" w:hAnsi="仿宋" w:eastAsia="仿宋" w:cs="仿宋"/>
          <w:sz w:val="32"/>
          <w:highlight w:val="none"/>
          <w:lang w:eastAsia="zh-CN"/>
        </w:rPr>
        <w:t xml:space="preserve">徐州维正工程咨询有限公司</w:t>
      </w:r>
      <w:r/>
    </w:p>
    <w:p>
      <w:pPr>
        <w:jc w:val="center"/>
        <w:spacing w:line="36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bCs/>
          <w:sz w:val="30"/>
          <w:highlight w:val="none"/>
        </w:rPr>
        <w:t xml:space="preserve">二〇二</w:t>
      </w:r>
      <w:r>
        <w:rPr>
          <w:rFonts w:hint="eastAsia" w:ascii="仿宋" w:hAnsi="仿宋" w:eastAsia="仿宋" w:cs="仿宋"/>
          <w:bCs/>
          <w:sz w:val="30"/>
          <w:highlight w:val="none"/>
          <w:lang w:val="en-US" w:eastAsia="zh-CN"/>
        </w:rPr>
        <w:t xml:space="preserve">六</w:t>
      </w:r>
      <w:r>
        <w:rPr>
          <w:rFonts w:hint="eastAsia" w:ascii="仿宋" w:hAnsi="仿宋" w:eastAsia="仿宋" w:cs="仿宋"/>
          <w:bCs/>
          <w:sz w:val="30"/>
          <w:highlight w:val="none"/>
        </w:rPr>
        <w:t xml:space="preserve">年</w:t>
      </w:r>
      <w:r>
        <w:rPr>
          <w:rFonts w:hint="eastAsia" w:ascii="仿宋" w:hAnsi="仿宋" w:eastAsia="仿宋" w:cs="仿宋"/>
          <w:bCs/>
          <w:sz w:val="30"/>
          <w:highlight w:val="none"/>
          <w:lang w:val="en-US" w:eastAsia="zh-CN"/>
        </w:rPr>
        <w:t xml:space="preserve">三</w:t>
      </w:r>
      <w:r>
        <w:rPr>
          <w:rFonts w:hint="eastAsia" w:ascii="仿宋" w:hAnsi="仿宋" w:eastAsia="仿宋" w:cs="仿宋"/>
          <w:bCs/>
          <w:sz w:val="30"/>
          <w:highlight w:val="none"/>
        </w:rPr>
        <w:t xml:space="preserve">月</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highlight w:val="none"/>
        </w:rPr>
      </w:r>
      <w:r/>
    </w:p>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目 录</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918"/>
          <w:rFonts w:hint="eastAsia" w:ascii="仿宋" w:hAnsi="仿宋" w:eastAsia="仿宋" w:cs="仿宋"/>
          <w:color w:val="000000"/>
          <w:sz w:val="30"/>
          <w:highlight w:val="none"/>
          <w:u w:val="none"/>
        </w:rPr>
        <w:t xml:space="preserve">第一章  投标邀请</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918"/>
          <w:rFonts w:hint="eastAsia" w:ascii="仿宋" w:hAnsi="仿宋" w:eastAsia="仿宋" w:cs="仿宋"/>
          <w:color w:val="000000"/>
          <w:sz w:val="30"/>
          <w:highlight w:val="none"/>
          <w:u w:val="none"/>
        </w:rPr>
        <w:t xml:space="preserve">第二章  投标人须知</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918"/>
          <w:rFonts w:hint="eastAsia" w:ascii="仿宋" w:hAnsi="仿宋" w:eastAsia="仿宋" w:cs="仿宋"/>
          <w:color w:val="000000"/>
          <w:sz w:val="30"/>
          <w:highlight w:val="none"/>
          <w:u w:val="none"/>
        </w:rPr>
        <w:t xml:space="preserve">第三章  投标资料表</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918"/>
          <w:rFonts w:hint="eastAsia" w:ascii="仿宋" w:hAnsi="仿宋" w:eastAsia="仿宋" w:cs="仿宋"/>
          <w:color w:val="000000"/>
          <w:sz w:val="30"/>
          <w:highlight w:val="none"/>
          <w:u w:val="none"/>
        </w:rPr>
        <w:t xml:space="preserve">第四章  评标标准</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918"/>
          <w:rFonts w:hint="eastAsia" w:ascii="仿宋" w:hAnsi="仿宋" w:eastAsia="仿宋" w:cs="仿宋"/>
          <w:color w:val="000000"/>
          <w:sz w:val="30"/>
          <w:highlight w:val="none"/>
          <w:u w:val="none"/>
        </w:rPr>
        <w:t xml:space="preserve">第五章  拟签订的合同文本</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918"/>
          <w:rFonts w:hint="eastAsia" w:ascii="仿宋" w:hAnsi="仿宋" w:eastAsia="仿宋" w:cs="仿宋"/>
          <w:color w:val="000000"/>
          <w:sz w:val="30"/>
          <w:highlight w:val="none"/>
          <w:u w:val="none"/>
        </w:rPr>
        <w:t xml:space="preserve">第六章  采购需求</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918"/>
          <w:rFonts w:hint="eastAsia" w:ascii="仿宋" w:hAnsi="仿宋" w:eastAsia="仿宋" w:cs="仿宋"/>
          <w:color w:val="000000"/>
          <w:sz w:val="30"/>
          <w:highlight w:val="none"/>
          <w:u w:val="none"/>
        </w:rPr>
        <w:t xml:space="preserve">第七章  投标文件相关格式</w:t>
      </w:r>
      <w:r>
        <w:rPr>
          <w:rStyle w:val="918"/>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highlight w:val="none"/>
        </w:rPr>
      </w:r>
      <w:r/>
    </w:p>
    <w:p>
      <w:pPr>
        <w:jc w:val="center"/>
        <w:spacing w:line="519" w:lineRule="atLeast"/>
        <w:rPr>
          <w:rFonts w:hint="eastAsia" w:ascii="仿宋" w:hAnsi="仿宋" w:eastAsia="仿宋" w:cs="仿宋"/>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t xml:space="preserve">徐州市云龙区城市管理局</w:t>
      </w:r>
      <w:r/>
    </w:p>
    <w:p>
      <w:pPr>
        <w:jc w:val="center"/>
        <w:spacing w:line="519" w:lineRule="atLeast"/>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highlight w:val="none"/>
        </w:rPr>
        <w:t xml:space="preserve">《</w:t>
      </w:r>
      <w:r>
        <w:rPr>
          <w:rFonts w:hint="eastAsia" w:ascii="仿宋" w:hAnsi="仿宋" w:eastAsia="仿宋" w:cs="仿宋"/>
          <w:b/>
          <w:sz w:val="40"/>
          <w:szCs w:val="40"/>
          <w:highlight w:val="none"/>
          <w:lang w:eastAsia="zh-CN"/>
        </w:rPr>
        <w:t xml:space="preserve">新能源环卫特种作业车辆采购项目-新能源车厢可卸式垃圾车</w:t>
      </w:r>
      <w:r>
        <w:rPr>
          <w:rFonts w:hint="eastAsia" w:ascii="仿宋" w:hAnsi="仿宋" w:eastAsia="仿宋" w:cs="仿宋"/>
          <w:b/>
          <w:sz w:val="40"/>
          <w:szCs w:val="40"/>
          <w:highlight w:val="none"/>
        </w:rPr>
        <w:t xml:space="preserve">》</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招标文件</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遵照政府采购法律法规、制度规定和采购人的采购需求、</w:t>
      </w:r>
      <w:r>
        <w:rPr>
          <w:rFonts w:hint="eastAsia" w:ascii="仿宋" w:hAnsi="仿宋" w:eastAsia="仿宋" w:cs="仿宋"/>
          <w:color w:val="000000"/>
          <w:sz w:val="30"/>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徐州维正工程咨询有限公司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新能源环卫特种作业车辆采购项目-新能源车厢可卸式垃圾车</w:t>
      </w:r>
      <w:r>
        <w:rPr>
          <w:rFonts w:hint="eastAsia" w:ascii="仿宋" w:hAnsi="仿宋" w:eastAsia="仿宋" w:cs="仿宋"/>
          <w:color w:val="000000"/>
          <w:sz w:val="30"/>
          <w:highlight w:val="none"/>
        </w:rPr>
        <w:t xml:space="preserve">进行公开招标采购，现邀请符合相关条件的供应商投标。</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一、项目名称和项目编号</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新能源环卫特种作业车辆采购项目-新能源车厢可卸式垃圾车</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w:t>
      </w:r>
      <w:r>
        <w:rPr>
          <w:rFonts w:hint="eastAsia" w:ascii="仿宋" w:hAnsi="仿宋" w:eastAsia="仿宋" w:cs="仿宋"/>
          <w:color w:val="000000"/>
          <w:sz w:val="30"/>
          <w:highlight w:val="none"/>
          <w:lang w:eastAsia="zh-CN"/>
        </w:rPr>
        <w:t xml:space="preserve">JSZC-320303-XZWZ-G2026-0002</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二、对投标人的资格要求</w:t>
      </w:r>
      <w:r/>
    </w:p>
    <w:p>
      <w:pPr>
        <w:ind w:firstLine="301"/>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p>
    <w:p>
      <w:pPr>
        <w:ind w:firstLine="301"/>
        <w:spacing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p>
    <w:p>
      <w:pPr>
        <w:ind w:firstLine="301"/>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1．时间（时间期限）、地点、方式：招标文件提供期限：自招标公告发布之日起5个工作日。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sz w:val="30"/>
          <w:highlight w:val="none"/>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bCs/>
          <w:color w:val="ff0000"/>
          <w:sz w:val="30"/>
          <w:highlight w:val="none"/>
          <w:lang w:val="en-US" w:eastAsia="zh-CN"/>
        </w:rPr>
        <w:t xml:space="preserve">2026年5月 15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bCs/>
          <w:color w:val="ff0000"/>
          <w:sz w:val="30"/>
          <w:highlight w:val="none"/>
          <w:lang w:val="en-US" w:eastAsia="zh-CN"/>
        </w:rPr>
        <w:t xml:space="preserve">2026年5月 15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徐州市云龙区城市管理局</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徐州市云龙区淮海文博园18号楼三楼</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（三）联系方式：13813455530</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（四）采购项目联系人：苏锦龙</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六、采购代理机构</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徐州维正工程咨询有限公司</w:t>
      </w:r>
      <w:r/>
    </w:p>
    <w:p>
      <w:pPr>
        <w:ind w:firstLine="300"/>
        <w:spacing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0516-83796662</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柴莉</w:t>
      </w:r>
      <w:r/>
    </w:p>
    <w:p>
      <w:pPr>
        <w:ind w:firstLine="12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720"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rPr>
        <w:t xml:space="preserve">第二章 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一、总则</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（六）投标人的资格条件：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（八）招标文件应包括以下内容：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第一章，投标邀请；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第二章，投标人须知；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第三章，投标资料表；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第四章，评标标准；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第五章，拟签订的合同文本；</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第六章，采购需求；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第七章，投标文件相关格式。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（九）招标文件澄清或者修改：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2.现场考察以本文件第三章《投标资料表》中的要求为准。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三、投标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（十二）投标文件的构成：</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（十三）投标函和价格表、商务条件、交货和提供服务的时间：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2.商务条件以本文件第三章《投标资料表》中的要求为准。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（十四）投标报价要求：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1.投标人应按照招标文件的要求报出分项价格和总价。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3.采购人不支付报价以外的任何费用。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（十六）投标有效期：</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（十七）投标文件的编制要求和签署要求：</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（十八）投标文件的盖章要求</w:t>
      </w:r>
      <w:r/>
    </w:p>
    <w:p>
      <w:pPr>
        <w:ind w:firstLine="600"/>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11.纸质投标文件未按招标文件要求签署、盖章的；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12.不具备招标文件中规定的资格要求的；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14.投标文件含有采购人不能接受的附加条件的；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15.法律、法规和招标文件规定的其他无效情形。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（二十五）开标：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2.投标人不足3家的，不得开标。</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3.开标过程由采购代理机构负责记录。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5.投标人未参加开标的，视同认可开标结果。</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1.评标工作由采购代理机构负责组织，并履行下列职责：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（2）宣布评标纪律；</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（3）公布投标人名单，告知评审专家应当回避的情形；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（8）核对评标结果，对有《</w:t>
      </w:r>
      <w:r>
        <w:rPr>
          <w:rFonts w:hint="eastAsia"/>
          <w:highlight w:val="none"/>
        </w:rPr>
        <w:fldChar w:fldCharType="begin"/>
      </w:r>
      <w:r>
        <w:rPr>
          <w:highlight w:val="none"/>
        </w:rPr>
        <w:instrText xml:space="preserve"> HYPERLINK "http://www.caigou2003.com/" \o "http://www.caigou2003.com/" </w:instrText>
      </w:r>
      <w:r>
        <w:rPr>
          <w:rFonts w:hint="eastAsia"/>
          <w:highlight w:val="none"/>
        </w:rPr>
        <w:fldChar w:fldCharType="separate"/>
      </w:r>
      <w:r>
        <w:rPr>
          <w:rStyle w:val="918"/>
          <w:rFonts w:hint="eastAsia" w:ascii="仿宋" w:hAnsi="仿宋" w:eastAsia="仿宋" w:cs="仿宋"/>
          <w:color w:val="000000"/>
          <w:sz w:val="30"/>
          <w:highlight w:val="none"/>
          <w:u w:val="none"/>
        </w:rPr>
        <w:t xml:space="preserve">政府采购</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（10）处理与评标有关的其他事项。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2.评标委员会负责具体评标事务，并独立履行下列职责：</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（2）要求投标人对投标文件有关事项作出澄清或者说明；</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（3）对投标文件进行比较和评价；</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（二十七）评标方法分为最低评标价法和综合评分法。</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（二十八）评标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1.评标工作程序：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（1）投标文件初审。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①资格性审查。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②符合性审查。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（2）澄清有关问题。</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（3）比较与评价。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（4）推荐中标候选供应商名单。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（5）编写评审报告（评标报告）。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3.采用</w:t>
      </w:r>
      <w:r>
        <w:rPr>
          <w:rFonts w:hint="eastAsia"/>
          <w:highlight w:val="none"/>
        </w:rPr>
        <w:fldChar w:fldCharType="begin"/>
      </w:r>
      <w:r>
        <w:rPr>
          <w:highlight w:val="none"/>
        </w:rPr>
        <w:instrText xml:space="preserve"> HYPERLINK "http://lilun.caigou2003.com/recijiedu/2365668.html" \o "http://lilun.caigou2003.com/recijiedu/2365668.html" </w:instrText>
      </w:r>
      <w:r>
        <w:rPr>
          <w:rFonts w:hint="eastAsia"/>
          <w:highlight w:val="none"/>
        </w:rPr>
        <w:fldChar w:fldCharType="separate"/>
      </w:r>
      <w:r>
        <w:rPr>
          <w:rStyle w:val="918"/>
          <w:rFonts w:hint="eastAsia" w:ascii="仿宋" w:hAnsi="仿宋" w:eastAsia="仿宋" w:cs="仿宋"/>
          <w:color w:val="000000"/>
          <w:sz w:val="30"/>
          <w:highlight w:val="none"/>
          <w:u w:val="none"/>
        </w:rPr>
        <w:t xml:space="preserve">最低评标价法</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18"/>
          <w:rFonts w:hint="eastAsia" w:ascii="仿宋" w:hAnsi="仿宋" w:eastAsia="仿宋" w:cs="仿宋"/>
          <w:color w:val="000000"/>
          <w:sz w:val="30"/>
          <w:highlight w:val="none"/>
          <w:u w:val="none"/>
        </w:rPr>
        <w:t xml:space="preserve">综合评分法</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2.大写金额和小写金额不一致的，以大写金额为准；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（三十二）废标条款：</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出现下列情形之一的，应予废标。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2.出现影响采购公正的违法、违规行为的；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3.投标人的报价均超过了采购预算，采购人不能支付的；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4.因重大变故，采购任务取消的。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六、定标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七、政府采购合同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（三十六）签订政府采购合同（合同签订方式）：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（三十九）腐败和欺诈行为：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（1）腐败和欺诈行为的含义：</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八、询问和质疑</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（四十）询问和质疑</w:t>
      </w:r>
      <w:r/>
    </w:p>
    <w:p>
      <w:pPr>
        <w:ind w:firstLine="600"/>
        <w:spacing w:line="51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九、电子招标投标交易平台</w:t>
      </w:r>
      <w:r/>
    </w:p>
    <w:p>
      <w:pPr>
        <w:ind w:firstLine="600"/>
        <w:jc w:val="left"/>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highlight w:val="none"/>
        </w:rPr>
        <w:br w:type="page" w:clear="all"/>
      </w:r>
      <w:r>
        <w:rPr>
          <w:rFonts w:hint="eastAsia" w:ascii="仿宋" w:hAnsi="仿宋" w:eastAsia="仿宋" w:cs="仿宋"/>
          <w:b/>
          <w:sz w:val="30"/>
          <w:highlight w:val="none"/>
        </w:rPr>
        <w:t xml:space="preserve">第三章 投标资料表</w:t>
      </w:r>
      <w:r/>
    </w:p>
    <w:p>
      <w:pPr>
        <w:ind w:firstLine="60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2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徐州维正工程咨询有限公司</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w:t>
            </w:r>
            <w:bookmarkStart w:id="0" w:name="OLE_LINK17"/>
            <w:r>
              <w:rPr>
                <w:rFonts w:hint="eastAsia" w:ascii="仿宋" w:hAnsi="仿宋" w:eastAsia="仿宋" w:cs="仿宋"/>
                <w:color w:val="000000"/>
                <w:sz w:val="28"/>
                <w:szCs w:val="28"/>
                <w:highlight w:val="none"/>
                <w:lang w:eastAsia="zh-CN"/>
              </w:rPr>
              <w:t xml:space="preserve">本项目不属于专门面向中小微企业采购的项目</w:t>
            </w:r>
            <w:bookmarkEnd w:id="0"/>
            <w:r>
              <w:rPr>
                <w:rFonts w:hint="eastAsia" w:ascii="仿宋" w:hAnsi="仿宋" w:eastAsia="仿宋" w:cs="仿宋"/>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1、本项目</w:t>
            </w:r>
            <w:r>
              <w:rPr>
                <w:rFonts w:hint="eastAsia" w:ascii="仿宋" w:hAnsi="仿宋" w:eastAsia="仿宋" w:cs="仿宋"/>
                <w:b/>
                <w:bCs/>
                <w:color w:val="000000"/>
                <w:sz w:val="28"/>
                <w:szCs w:val="28"/>
                <w:highlight w:val="none"/>
              </w:rPr>
              <w:t xml:space="preserve">不接受</w:t>
            </w:r>
            <w:r>
              <w:rPr>
                <w:rFonts w:hint="eastAsia" w:ascii="仿宋" w:hAnsi="仿宋" w:eastAsia="仿宋" w:cs="仿宋"/>
                <w:color w:val="000000"/>
                <w:sz w:val="28"/>
                <w:szCs w:val="28"/>
                <w:highlight w:val="none"/>
              </w:rPr>
              <w:t xml:space="preserve">联合体参与采购活动。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三、查询及使用供应商信用记录：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p>
          <w:p>
            <w:pPr>
              <w:ind w:firstLine="280"/>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3、“信用江苏”网（http://credit.jiangsu.gov.cn/）；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4、“信用中国(江苏徐州)”网（http://www.xuzhoucredit.gov.cn）；</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2</w:t>
            </w:r>
            <w:r>
              <w:rPr>
                <w:rFonts w:hint="eastAsia" w:ascii="仿宋" w:hAnsi="仿宋" w:eastAsia="仿宋" w:cs="仿宋"/>
                <w:b/>
                <w:color w:val="000000"/>
                <w:sz w:val="28"/>
                <w:szCs w:val="28"/>
                <w:highlight w:val="none"/>
              </w:rPr>
              <w:t xml:space="preserve">.所投产品的环境标志产品认证证书原件的扫描件（如有）。</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3</w:t>
            </w:r>
            <w:r>
              <w:rPr>
                <w:rFonts w:hint="eastAsia" w:ascii="仿宋" w:hAnsi="仿宋" w:eastAsia="仿宋" w:cs="仿宋"/>
                <w:b/>
                <w:color w:val="000000"/>
                <w:sz w:val="28"/>
                <w:szCs w:val="28"/>
                <w:highlight w:val="none"/>
              </w:rPr>
              <w:t xml:space="preserve">.所投产品的节能产品认证证书原件的扫描件（如有）。</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（2）节能产品认证证书是否符合要求，采购人评标时查询中国政府采购网（www.ccgp.gov.cn）相关内容后确定。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二、资格条件（必须提供，否则投标将被拒绝）</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(二)财务状况报告（即提供投标人的本项目开标时间前6个月内任何时间的</w:t>
            </w:r>
            <w:r>
              <w:rPr>
                <w:rFonts w:hint="eastAsia" w:ascii="仿宋" w:hAnsi="仿宋" w:eastAsia="仿宋" w:cs="仿宋"/>
                <w:bCs/>
                <w:color w:val="000000"/>
                <w:sz w:val="28"/>
                <w:szCs w:val="28"/>
                <w:highlight w:val="none"/>
              </w:rPr>
              <w:t xml:space="preserve">资产负债表、利润表扫描件各一份；</w:t>
            </w:r>
            <w:r>
              <w:rPr>
                <w:rFonts w:hint="eastAsia" w:ascii="仿宋" w:hAnsi="仿宋" w:eastAsia="仿宋" w:cs="仿宋"/>
                <w:color w:val="000000"/>
                <w:sz w:val="28"/>
                <w:szCs w:val="28"/>
                <w:highlight w:val="none"/>
              </w:rPr>
              <w:t xml:space="preserve">或合法有效的经第三方机构审计的</w:t>
            </w:r>
            <w:r>
              <w:rPr>
                <w:rFonts w:hint="eastAsia" w:ascii="仿宋" w:hAnsi="仿宋" w:eastAsia="仿宋" w:cs="仿宋"/>
                <w:color w:val="000000"/>
                <w:sz w:val="28"/>
                <w:szCs w:val="28"/>
                <w:highlight w:val="none"/>
                <w:lang w:val="en-US" w:eastAsia="zh-CN"/>
              </w:rPr>
              <w:t xml:space="preserve">上一</w:t>
            </w:r>
            <w:r>
              <w:rPr>
                <w:rFonts w:hint="eastAsia" w:ascii="仿宋" w:hAnsi="仿宋" w:eastAsia="仿宋" w:cs="仿宋"/>
                <w:color w:val="000000"/>
                <w:sz w:val="28"/>
                <w:szCs w:val="28"/>
                <w:highlight w:val="none"/>
              </w:rPr>
              <w:t xml:space="preserve">年度财务审计报告扫描件一份；或投标人的本项目开标时间前6个月内银行出具的</w:t>
            </w:r>
            <w:r>
              <w:rPr>
                <w:rFonts w:hint="eastAsia" w:ascii="仿宋" w:hAnsi="仿宋" w:eastAsia="仿宋" w:cs="仿宋"/>
                <w:bCs/>
                <w:color w:val="000000"/>
                <w:sz w:val="28"/>
                <w:szCs w:val="28"/>
                <w:highlight w:val="none"/>
              </w:rPr>
              <w:t xml:space="preserve">资信证明扫描件一份）；</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highlight w:val="none"/>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highlight w:val="none"/>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(五)投标人参加政府采购活动前3年内在经营活动中没有重大违法记录的书面声明，加盖</w:t>
            </w:r>
            <w:r>
              <w:rPr>
                <w:rFonts w:hint="eastAsia" w:ascii="仿宋" w:hAnsi="仿宋" w:eastAsia="仿宋" w:cs="仿宋"/>
                <w:bCs/>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（七）投标人不是为本采购项目提供整体设计、规范编制或者项目管理、监理、检测等服务的供应商的书面声明。（加盖电子签章，格式见招标文件第七章《投标文件相关格式》）。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1、《开标一览表》。要求加盖电子签章，格式见本文件第七章《投标文件相关格式》。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1、《偏离表》（加盖电子签章，格式见招标文件第七章《投标文件相关格式》。）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四、综合评审评分项</w:t>
            </w:r>
            <w:r/>
          </w:p>
          <w:p>
            <w:pPr>
              <w:rPr>
                <w:rFonts w:hint="eastAsia" w:ascii="仿宋" w:hAnsi="仿宋" w:eastAsia="仿宋" w:cs="仿宋"/>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要求详见招标文件第六章《采购需求》和招标文件第四章《评标标准》）；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五、价格折扣文件格式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企业报价折扣证明：</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《中小企业声明函》查询渠道参考工业和信息化部发布的中小企业规模自测小程序。中小企业规模自测小程序详见《中小企业声明函》。</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备注：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监狱企业和残疾人福利性单位等同于小微企业。</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具体以《财政部 司法部关于政府采购支持监狱企业发展有关问题的通知》（财库〔2014〕68号）的规定为准。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享受政府采购支持政策的残疾人福利性单位应当同时满足以下条件：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①安置的残疾人占本单位在职职工人数的比例不低于25%（含25%），并且安置的残疾人人数不少于10人（含10人）；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②依法与安置的每位残疾人签订了一年以上（含一年）的劳动合同或服务协议；</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③为安置的每位残疾人按月足额缴纳了基本养老保险、基本医疗保险、失业保险、工伤保险和生育保险等社会保险费；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具体以《三部门联合发布关于促进残疾人就业政府采购政策的通知》（财库〔2017〕141号）规定为准。</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b w:val="0"/>
                <w:bCs w:val="0"/>
                <w:color w:val="000000"/>
                <w:sz w:val="28"/>
                <w:szCs w:val="28"/>
                <w:highlight w:val="none"/>
                <w:lang w:val="en-US" w:eastAsia="zh-CN"/>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具体以《国务院办公厅关于在政府采购中实施本国产品标准及相关政策的通知》（国办发〔2025〕34号）规定为准。</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备注：</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2"/>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说明：本项目不接受进口产品投标。</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en-US" w:bidi="ar-SA"/>
              </w:rPr>
              <w:t xml:space="preserve">、其他部分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1、投标人应对以上文件的合法性、真实性负责。</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交货和提供服务的时间：见本文件第五章《拟签订的合同文本》及或本文件第六章《采购需求》。</w:t>
            </w:r>
            <w:r/>
          </w:p>
        </w:tc>
      </w:tr>
      <w:tr>
        <w:trPr>
          <w:jc w:val="center"/>
          <w:trHeight w:val="157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(十四)3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本项目采购预算总金额</w:t>
            </w:r>
            <w:r>
              <w:rPr>
                <w:rFonts w:hint="eastAsia" w:ascii="仿宋" w:hAnsi="仿宋" w:eastAsia="仿宋" w:cs="仿宋"/>
                <w:b/>
                <w:bCs/>
                <w:sz w:val="28"/>
                <w:szCs w:val="28"/>
                <w:highlight w:val="none"/>
                <w:lang w:val="en-US" w:eastAsia="zh-CN"/>
              </w:rPr>
              <w:t xml:space="preserve">600</w:t>
            </w:r>
            <w:r>
              <w:rPr>
                <w:rFonts w:hint="eastAsia" w:ascii="仿宋" w:hAnsi="仿宋" w:eastAsia="仿宋" w:cs="仿宋"/>
                <w:b/>
                <w:bCs/>
                <w:sz w:val="28"/>
                <w:szCs w:val="28"/>
                <w:highlight w:val="none"/>
              </w:rPr>
              <w:t xml:space="preserve">万元，本项目不接受超过最高限价的投标报价。</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报价包括产品价、税金、运费、安装调试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车辆上牌服务费、保险费、购置税费、充电桩安装费，</w:t>
            </w:r>
            <w:r>
              <w:rPr>
                <w:rFonts w:hint="eastAsia" w:ascii="仿宋" w:hAnsi="仿宋" w:eastAsia="仿宋" w:cs="仿宋"/>
                <w:color w:val="000000"/>
                <w:sz w:val="28"/>
                <w:szCs w:val="28"/>
                <w:highlight w:val="none"/>
              </w:rPr>
              <w:t xml:space="preserve">采购人不再支付报价以外的任何费用</w:t>
            </w:r>
            <w:r>
              <w:rPr>
                <w:rFonts w:hint="eastAsia" w:ascii="仿宋" w:hAnsi="仿宋" w:eastAsia="仿宋" w:cs="仿宋"/>
                <w:color w:val="000000"/>
                <w:sz w:val="28"/>
                <w:szCs w:val="28"/>
                <w:highlight w:val="none"/>
                <w:lang w:eastAsia="zh-CN"/>
              </w:rPr>
              <w:t xml:space="preserve">。</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highlight w:val="none"/>
              </w:rPr>
              <w:fldChar w:fldCharType="separate"/>
            </w:r>
            <w:r>
              <w:rPr>
                <w:rStyle w:val="918"/>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18"/>
                <w:rFonts w:hint="eastAsia" w:ascii="仿宋" w:hAnsi="仿宋" w:eastAsia="仿宋" w:cs="仿宋"/>
                <w:color w:val="000000"/>
                <w:sz w:val="28"/>
                <w:szCs w:val="28"/>
                <w:highlight w:val="none"/>
                <w:u w:val="none"/>
              </w:rPr>
              <w:fldChar w:fldCharType="end"/>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特别说明：政府采购客户端工具需要导出加密的投标文件（后缀名为</w:t>
            </w:r>
            <w:r>
              <w:rPr>
                <w:rFonts w:hint="eastAsia" w:ascii="仿宋" w:hAnsi="仿宋" w:eastAsia="仿宋" w:cs="仿宋"/>
                <w:b/>
                <w:bCs/>
                <w:color w:val="000000"/>
                <w:sz w:val="28"/>
                <w:szCs w:val="28"/>
                <w:highlight w:val="none"/>
              </w:rPr>
              <w:t xml:space="preserve">zip</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投标文件不得超过150M！</w:t>
            </w:r>
            <w:r>
              <w:rPr>
                <w:rFonts w:hint="eastAsia" w:ascii="仿宋" w:hAnsi="仿宋" w:eastAsia="仿宋" w:cs="仿宋"/>
                <w:color w:val="000000"/>
                <w:sz w:val="28"/>
                <w:szCs w:val="28"/>
                <w:highlight w:val="none"/>
              </w:rPr>
              <w:t xml:space="preserve">名为</w:t>
            </w:r>
            <w:r>
              <w:rPr>
                <w:rFonts w:hint="eastAsia" w:ascii="仿宋" w:hAnsi="仿宋" w:eastAsia="仿宋" w:cs="仿宋"/>
                <w:b/>
                <w:bCs/>
                <w:color w:val="000000"/>
                <w:sz w:val="28"/>
                <w:szCs w:val="28"/>
                <w:highlight w:val="none"/>
              </w:rPr>
              <w:t xml:space="preserve">“.kedt”</w:t>
            </w:r>
            <w:r>
              <w:rPr>
                <w:rFonts w:hint="eastAsia" w:ascii="仿宋" w:hAnsi="仿宋" w:eastAsia="仿宋" w:cs="仿宋"/>
                <w:color w:val="000000"/>
                <w:sz w:val="28"/>
                <w:szCs w:val="28"/>
                <w:highlight w:val="none"/>
              </w:rPr>
              <w:t xml:space="preserve">）后，离线编制投标文件。采购文件（后缀名为</w:t>
            </w:r>
            <w:r>
              <w:rPr>
                <w:rFonts w:hint="eastAsia" w:ascii="仿宋" w:hAnsi="仿宋" w:eastAsia="仿宋" w:cs="仿宋"/>
                <w:b/>
                <w:bCs/>
                <w:color w:val="000000"/>
                <w:sz w:val="28"/>
                <w:szCs w:val="28"/>
                <w:highlight w:val="none"/>
              </w:rPr>
              <w:t xml:space="preserve">“.kedt”）。</w:t>
            </w:r>
            <w:r/>
          </w:p>
        </w:tc>
      </w:tr>
      <w:tr>
        <w:trPr>
          <w:jc w:val="center"/>
          <w:trHeight w:val="54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(十八)1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1、投标文件提交与接收时间：</w:t>
            </w:r>
            <w:r>
              <w:rPr>
                <w:rFonts w:hint="eastAsia" w:ascii="仿宋" w:hAnsi="仿宋" w:eastAsia="仿宋" w:cs="仿宋"/>
                <w:b/>
                <w:bCs/>
                <w:color w:val="ff0000"/>
                <w:sz w:val="30"/>
                <w:highlight w:val="none"/>
                <w:lang w:val="en-US" w:eastAsia="zh-CN"/>
              </w:rPr>
              <w:t xml:space="preserve">2026年5月 15 日</w:t>
            </w:r>
            <w:r>
              <w:rPr>
                <w:rFonts w:hint="eastAsia" w:ascii="仿宋" w:hAnsi="仿宋" w:eastAsia="仿宋" w:cs="仿宋"/>
                <w:b/>
                <w:bCs/>
                <w:color w:val="000000"/>
                <w:sz w:val="28"/>
                <w:szCs w:val="28"/>
                <w:highlight w:val="none"/>
              </w:rPr>
              <w:t xml:space="preserve">09：30前</w:t>
            </w:r>
            <w:r>
              <w:rPr>
                <w:rFonts w:hint="eastAsia" w:ascii="仿宋" w:hAnsi="仿宋" w:eastAsia="仿宋" w:cs="仿宋"/>
                <w:b/>
                <w:bCs/>
                <w:sz w:val="28"/>
                <w:szCs w:val="28"/>
                <w:highlight w:val="none"/>
              </w:rPr>
              <w:t xml:space="preserve">。</w:t>
            </w:r>
            <w:r/>
          </w:p>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电子投标文件应由其法定代表人或法定代表人授权代表在规定的网上投标时间内，</w:t>
            </w:r>
            <w:r>
              <w:rPr>
                <w:rFonts w:hint="eastAsia" w:ascii="仿宋" w:hAnsi="仿宋" w:eastAsia="仿宋" w:cs="仿宋"/>
                <w:b/>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开标</w:t>
            </w:r>
            <w:r/>
          </w:p>
        </w:tc>
      </w:tr>
      <w:tr>
        <w:trPr>
          <w:jc w:val="center"/>
          <w:trHeight w:val="25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bCs/>
                <w:color w:val="ff0000"/>
                <w:sz w:val="30"/>
                <w:highlight w:val="none"/>
                <w:lang w:val="en-US" w:eastAsia="zh-CN"/>
              </w:rPr>
              <w:t xml:space="preserve">2026年5月 15 日</w:t>
            </w:r>
            <w:r>
              <w:rPr>
                <w:rFonts w:hint="eastAsia" w:ascii="仿宋" w:hAnsi="仿宋" w:eastAsia="仿宋" w:cs="仿宋"/>
                <w:b/>
                <w:color w:val="000000"/>
                <w:sz w:val="28"/>
                <w:szCs w:val="28"/>
                <w:highlight w:val="none"/>
              </w:rPr>
              <w:t xml:space="preserve">09：30</w:t>
            </w:r>
            <w:r>
              <w:rPr>
                <w:rFonts w:hint="eastAsia" w:ascii="仿宋" w:hAnsi="仿宋" w:eastAsia="仿宋" w:cs="仿宋"/>
                <w:b/>
                <w:sz w:val="28"/>
                <w:szCs w:val="28"/>
                <w:highlight w:val="none"/>
              </w:rPr>
              <w:t xml:space="preserve">（标准时间）</w:t>
            </w:r>
            <w:r/>
          </w:p>
          <w:p>
            <w:pPr>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w:t>
            </w:r>
            <w:r>
              <w:rPr>
                <w:rFonts w:hint="eastAsia" w:ascii="仿宋" w:hAnsi="仿宋" w:eastAsia="仿宋" w:cs="仿宋"/>
                <w:sz w:val="28"/>
                <w:szCs w:val="28"/>
                <w:highlight w:val="none"/>
                <w:lang w:val="en-US" w:eastAsia="zh-CN"/>
              </w:rPr>
              <w:t xml:space="preserve">zfcg</w:t>
            </w:r>
            <w:r>
              <w:rPr>
                <w:rFonts w:hint="eastAsia" w:ascii="仿宋" w:hAnsi="仿宋" w:eastAsia="仿宋" w:cs="仿宋"/>
                <w:sz w:val="28"/>
                <w:szCs w:val="28"/>
                <w:highlight w:val="none"/>
              </w:rPr>
              <w:t xml:space="preserve">/）--业务工作--用户登</w:t>
            </w:r>
            <w:bookmarkStart w:id="3" w:name="_GoBack"/>
            <w:r/>
            <w:bookmarkEnd w:id="3"/>
            <w:r>
              <w:rPr>
                <w:rFonts w:hint="eastAsia" w:ascii="仿宋" w:hAnsi="仿宋" w:eastAsia="仿宋" w:cs="仿宋"/>
                <w:sz w:val="28"/>
                <w:szCs w:val="28"/>
                <w:highlight w:val="none"/>
              </w:rPr>
              <w:t xml:space="preserve">录，点击“苏采云”进入系统“开标大厅”。</w:t>
            </w:r>
            <w:r/>
          </w:p>
        </w:tc>
      </w:tr>
      <w:tr>
        <w:trPr>
          <w:jc w:val="center"/>
          <w:trHeight w:val="67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采用综合评分法。</w:t>
            </w:r>
            <w:r/>
          </w:p>
        </w:tc>
      </w:tr>
      <w:tr>
        <w:trPr>
          <w:jc w:val="center"/>
          <w:trHeight w:val="30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(二十八)1</w:t>
            </w: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详见合同</w:t>
            </w:r>
            <w:r>
              <w:rPr>
                <w:rFonts w:hint="eastAsia" w:ascii="仿宋" w:hAnsi="仿宋" w:eastAsia="仿宋" w:cs="仿宋"/>
                <w:sz w:val="28"/>
                <w:szCs w:val="28"/>
                <w:highlight w:val="none"/>
              </w:rPr>
              <w:t xml:space="preserve">。</w:t>
            </w:r>
            <w:r/>
          </w:p>
        </w:tc>
      </w:tr>
      <w:tr>
        <w:trPr>
          <w:jc w:val="center"/>
          <w:trHeight w:val="10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质疑接收人：</w:t>
            </w:r>
            <w:r>
              <w:rPr>
                <w:rFonts w:hint="eastAsia" w:ascii="仿宋" w:hAnsi="仿宋" w:eastAsia="仿宋" w:cs="仿宋"/>
                <w:sz w:val="28"/>
                <w:szCs w:val="28"/>
                <w:highlight w:val="none"/>
                <w:lang w:eastAsia="zh-CN"/>
              </w:rPr>
              <w:t xml:space="preserve">柴莉</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lang w:eastAsia="zh-CN"/>
              </w:rPr>
              <w:t xml:space="preserve">0516-83796662</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Align w:val="top"/>
            <w:vMerge w:val="continue"/>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4、实施政府采购异常低价审查的有关要求：</w:t>
            </w:r>
            <w:r/>
          </w:p>
          <w:p>
            <w:pPr>
              <w:pStyle w:val="736"/>
              <w:ind w:left="0" w:righ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评审过程中出现下列情形之一的，评审委员会应当启动异常低价投标审查程序：</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4.评审委员会认定供应商报价过低，有可能影响产品质量或者不能诚信履约的其他情形。</w:t>
            </w:r>
            <w:r/>
          </w:p>
          <w:p>
            <w:pPr>
              <w:pStyle w:val="736"/>
              <w:ind w:left="0" w:right="0" w:firstLine="480"/>
              <w:jc w:val="both"/>
              <w:keepLines w:val="0"/>
              <w:keepNext w:val="0"/>
              <w:spacing w:before="0" w:beforeAutospacing="0" w:after="0" w:afterAutospacing="0" w:line="240" w:lineRule="auto"/>
              <w:widowControl w:val="off"/>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启动异常低价投标审查后，评审委员会应当要求相关供应商在评审现场合理的时间内通过“苏采云</w:t>
            </w:r>
            <w:r>
              <w:rPr>
                <w:rFonts w:hint="eastAsia" w:ascii="仿宋" w:hAnsi="仿宋" w:eastAsia="仿宋" w:cs="仿宋"/>
                <w:b/>
                <w:bCs/>
                <w:color w:val="000000"/>
                <w:sz w:val="24"/>
                <w:szCs w:val="24"/>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tc>
      </w:tr>
    </w:tbl>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徐州市政府采购代理服务费行业指导价格</w:t>
      </w:r>
      <w:r/>
    </w:p>
    <w:tbl>
      <w:tblPr>
        <w:tblStyle w:val="717"/>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0万以下</w:t>
            </w:r>
            <w:r>
              <w:rPr>
                <w:rFonts w:hint="eastAsia" w:ascii="仿宋" w:hAnsi="仿宋" w:eastAsia="仿宋" w:cs="仿宋"/>
                <w:color w:val="000000"/>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50-4</w:t>
            </w:r>
            <w:r>
              <w:rPr>
                <w:rFonts w:hint="eastAsia" w:ascii="仿宋" w:hAnsi="仿宋" w:eastAsia="仿宋" w:cs="仿宋"/>
                <w:color w:val="000000"/>
                <w:sz w:val="24"/>
                <w:highlight w:val="none"/>
                <w:lang w:eastAsia="en-US"/>
              </w:rPr>
              <w:t xml:space="preserve">00万</w:t>
            </w:r>
            <w:r>
              <w:rPr>
                <w:rFonts w:hint="eastAsia" w:ascii="仿宋" w:hAnsi="仿宋" w:eastAsia="仿宋" w:cs="仿宋"/>
                <w:color w:val="000000"/>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1000万</w:t>
            </w:r>
            <w:r>
              <w:rPr>
                <w:rFonts w:hint="eastAsia" w:ascii="仿宋" w:hAnsi="仿宋" w:eastAsia="仿宋" w:cs="仿宋"/>
                <w:color w:val="000000"/>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l000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5000万</w:t>
            </w:r>
            <w:r>
              <w:rPr>
                <w:rFonts w:hint="eastAsia" w:ascii="仿宋" w:hAnsi="仿宋" w:eastAsia="仿宋" w:cs="仿宋"/>
                <w:color w:val="000000"/>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l亿</w:t>
            </w:r>
            <w:r>
              <w:rPr>
                <w:rFonts w:hint="eastAsia" w:ascii="仿宋" w:hAnsi="仿宋" w:eastAsia="仿宋" w:cs="仿宋"/>
                <w:color w:val="000000"/>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1亿</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eastAsia="en-US"/>
              </w:rPr>
              <w:t xml:space="preserve">亿</w:t>
            </w:r>
            <w:r>
              <w:rPr>
                <w:rFonts w:hint="eastAsia" w:ascii="仿宋" w:hAnsi="仿宋" w:eastAsia="仿宋" w:cs="仿宋"/>
                <w:color w:val="000000"/>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10-5</w:t>
            </w:r>
            <w:r>
              <w:rPr>
                <w:rFonts w:hint="eastAsia" w:ascii="仿宋" w:hAnsi="仿宋" w:eastAsia="仿宋" w:cs="仿宋"/>
                <w:color w:val="000000"/>
                <w:sz w:val="24"/>
                <w:highlight w:val="none"/>
                <w:lang w:eastAsia="en-US"/>
              </w:rPr>
              <w:t xml:space="preserve">0亿</w:t>
            </w:r>
            <w:r>
              <w:rPr>
                <w:rFonts w:hint="eastAsia" w:ascii="仿宋" w:hAnsi="仿宋" w:eastAsia="仿宋" w:cs="仿宋"/>
                <w:color w:val="000000"/>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bl>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第四章 评标标准 </w:t>
      </w:r>
      <w:r/>
    </w:p>
    <w:tbl>
      <w:tblPr>
        <w:tblStyle w:val="717"/>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评分内容</w:t>
            </w:r>
            <w:r/>
          </w:p>
        </w:tc>
        <w:tc>
          <w:tcPr>
            <w:tcW w:w="8913"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评分标准</w:t>
            </w:r>
            <w:r/>
          </w:p>
        </w:tc>
      </w:tr>
      <w:tr>
        <w:trPr>
          <w:jc w:val="center"/>
          <w:trHeight w:val="962"/>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投标报价（30分）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各投标人价格得分=最低报价（投标人的最低评审价格）÷各投标人评审价格×30</w:t>
            </w:r>
            <w:r/>
          </w:p>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注：得分四舍五入保留小数点后 2 位。</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Height w:val="488"/>
        </w:trPr>
        <w:tc>
          <w:tcPr>
            <w:tcW w:w="1577" w:type="dxa"/>
            <w:vAlign w:val="center"/>
            <w:textDirection w:val="lrTb"/>
            <w:noWrap w:val="false"/>
          </w:tcPr>
          <w:p>
            <w:pPr>
              <w:jc w:val="both"/>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sz w:val="28"/>
                <w:szCs w:val="20"/>
                <w:highlight w:val="none"/>
                <w:lang w:val="en-US" w:eastAsia="zh-CN" w:bidi="ar-SA"/>
              </w:rPr>
              <w:t xml:space="preserve">企业综合实力</w:t>
            </w:r>
            <w:r/>
          </w:p>
          <w:p>
            <w:pPr>
              <w:jc w:val="both"/>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sz w:val="28"/>
                <w:szCs w:val="20"/>
                <w:highlight w:val="none"/>
                <w:lang w:val="en-US" w:eastAsia="zh-CN" w:bidi="ar-SA"/>
              </w:rPr>
              <w:t xml:space="preserve">（</w:t>
            </w:r>
            <w:r>
              <w:rPr>
                <w:rFonts w:hint="eastAsia" w:eastAsia="仿宋_GB2312" w:cs="Arial"/>
                <w:sz w:val="28"/>
                <w:szCs w:val="20"/>
                <w:highlight w:val="none"/>
                <w:lang w:val="en-US" w:eastAsia="zh-CN" w:bidi="ar-SA"/>
              </w:rPr>
              <w:t xml:space="preserve">3</w:t>
            </w:r>
            <w:r>
              <w:rPr>
                <w:rFonts w:hint="eastAsia" w:ascii="Times New Roman" w:hAnsi="Times New Roman" w:eastAsia="仿宋_GB2312" w:cs="Arial"/>
                <w:sz w:val="28"/>
                <w:szCs w:val="20"/>
                <w:highlight w:val="none"/>
                <w:lang w:val="en-US" w:eastAsia="zh-CN" w:bidi="ar-SA"/>
              </w:rPr>
              <w:t xml:space="preserve">分）</w:t>
            </w:r>
            <w:r/>
          </w:p>
        </w:tc>
        <w:tc>
          <w:tcPr>
            <w:tcW w:w="8913" w:type="dxa"/>
            <w:vAlign w:val="center"/>
            <w:textDirection w:val="lrTb"/>
            <w:noWrap w:val="false"/>
          </w:tcPr>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1.投标人或核心产品制造商具有质量管理体系认证证书的，得1分，没有不得分；注：证书须提供清晰可辨的彩色扫描件，（在有效期内</w:t>
            </w:r>
            <w:r>
              <w:rPr>
                <w:rFonts w:hint="eastAsia" w:eastAsia="仿宋_GB2312" w:cs="Arial"/>
                <w:color w:val="auto"/>
                <w:sz w:val="28"/>
                <w:szCs w:val="20"/>
                <w:highlight w:val="none"/>
                <w:lang w:val="en-US" w:eastAsia="zh-CN" w:bidi="ar-SA"/>
              </w:rPr>
              <w:t xml:space="preserve">，</w:t>
            </w:r>
            <w:r>
              <w:rPr>
                <w:rFonts w:hint="eastAsia" w:ascii="Times New Roman" w:hAnsi="Times New Roman" w:eastAsia="仿宋_GB2312" w:cs="Arial"/>
                <w:color w:val="auto"/>
                <w:sz w:val="28"/>
                <w:szCs w:val="20"/>
                <w:highlight w:val="none"/>
                <w:lang w:val="en-US" w:eastAsia="zh-CN" w:bidi="ar-SA"/>
              </w:rPr>
              <w:t xml:space="preserve">认证依据需包含</w:t>
            </w:r>
            <w:r>
              <w:rPr>
                <w:rFonts w:hint="eastAsia" w:eastAsia="仿宋_GB2312" w:cs="Arial"/>
                <w:color w:val="auto"/>
                <w:sz w:val="28"/>
                <w:szCs w:val="20"/>
                <w:highlight w:val="none"/>
                <w:lang w:val="en-US" w:eastAsia="zh-CN" w:bidi="ar-SA"/>
              </w:rPr>
              <w:t xml:space="preserve">ISO </w:t>
            </w:r>
            <w:r>
              <w:rPr>
                <w:rFonts w:hint="eastAsia" w:ascii="Times New Roman" w:hAnsi="Times New Roman" w:eastAsia="仿宋_GB2312" w:cs="Arial"/>
                <w:color w:val="auto"/>
                <w:sz w:val="28"/>
                <w:szCs w:val="20"/>
                <w:highlight w:val="none"/>
                <w:lang w:val="en-US" w:eastAsia="zh-CN" w:bidi="ar-SA"/>
              </w:rPr>
              <w:t xml:space="preserve">900</w:t>
            </w:r>
            <w:r>
              <w:rPr>
                <w:rFonts w:hint="eastAsia" w:eastAsia="仿宋_GB2312" w:cs="Arial"/>
                <w:color w:val="auto"/>
                <w:sz w:val="28"/>
                <w:szCs w:val="20"/>
                <w:highlight w:val="none"/>
                <w:lang w:val="en-US" w:eastAsia="zh-CN" w:bidi="ar-SA"/>
              </w:rPr>
              <w:t xml:space="preserve">1:2015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2.投标人或核心产品制造商具有环境管理体系认证证书的，得1分，没有不得分；注：证书须提供清晰可辨的彩色扫描件，（在有效期内，认证依据需包含</w:t>
            </w:r>
            <w:r>
              <w:rPr>
                <w:rFonts w:hint="eastAsia" w:eastAsia="仿宋_GB2312" w:cs="Arial"/>
                <w:color w:val="auto"/>
                <w:sz w:val="28"/>
                <w:szCs w:val="20"/>
                <w:highlight w:val="none"/>
                <w:lang w:val="en-US" w:eastAsia="zh-CN" w:bidi="ar-SA"/>
              </w:rPr>
              <w:t xml:space="preserve">ISO 1</w:t>
            </w:r>
            <w:r>
              <w:rPr>
                <w:rFonts w:hint="eastAsia" w:ascii="Times New Roman" w:hAnsi="Times New Roman" w:eastAsia="仿宋_GB2312" w:cs="Arial"/>
                <w:color w:val="auto"/>
                <w:sz w:val="28"/>
                <w:szCs w:val="20"/>
                <w:highlight w:val="none"/>
                <w:lang w:val="en-US" w:eastAsia="zh-CN" w:bidi="ar-SA"/>
              </w:rPr>
              <w:t xml:space="preserve">4001</w:t>
            </w:r>
            <w:r>
              <w:rPr>
                <w:rFonts w:hint="eastAsia" w:eastAsia="仿宋_GB2312" w:cs="Arial"/>
                <w:color w:val="auto"/>
                <w:sz w:val="28"/>
                <w:szCs w:val="20"/>
                <w:highlight w:val="none"/>
                <w:lang w:val="en-US" w:eastAsia="zh-CN" w:bidi="ar-SA"/>
              </w:rPr>
              <w:t xml:space="preserve">:2015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3.投标人或核心产品制造商具有职业健康安全管理体系认证证书的，得1分，没有不得分；注：证书须提供清晰可辨的彩色扫描件，（在有效期内，认证依据需包含</w:t>
            </w:r>
            <w:r>
              <w:rPr>
                <w:rFonts w:hint="eastAsia" w:eastAsia="仿宋_GB2312" w:cs="Arial"/>
                <w:color w:val="auto"/>
                <w:sz w:val="28"/>
                <w:szCs w:val="20"/>
                <w:highlight w:val="none"/>
                <w:lang w:val="en-US" w:eastAsia="zh-CN" w:bidi="ar-SA"/>
              </w:rPr>
              <w:t xml:space="preserve">ISO 45001:2018</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tc>
      </w:tr>
      <w:tr>
        <w:trPr>
          <w:jc w:val="center"/>
          <w:trHeight w:val="1498"/>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业绩（4分）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提供投标人或投标产品制造商自2023年1月1日以来与本次采购项目同类或相似的业绩（时间以合同签订时间为准），每提供一份得2分，本项最多得4分。</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注：需同时提供合同扫描件、中标通知书和发票，未提供不得分。</w:t>
            </w:r>
            <w:r/>
          </w:p>
        </w:tc>
      </w:tr>
      <w:tr>
        <w:trPr>
          <w:jc w:val="center"/>
          <w:trHeight w:val="90"/>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技术参数（</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依据投标文件中偏离表、技术规格说明</w:t>
            </w:r>
            <w:r>
              <w:rPr>
                <w:rFonts w:hint="eastAsia" w:ascii="仿宋" w:hAnsi="仿宋" w:eastAsia="仿宋" w:cs="仿宋"/>
                <w:sz w:val="28"/>
                <w:szCs w:val="28"/>
                <w:highlight w:val="none"/>
                <w:lang w:eastAsia="zh-CN"/>
              </w:rPr>
              <w:t xml:space="preserve">、产品公告页截图（如有）</w:t>
            </w:r>
            <w:r>
              <w:rPr>
                <w:rFonts w:hint="eastAsia" w:ascii="仿宋" w:hAnsi="仿宋" w:eastAsia="仿宋" w:cs="仿宋"/>
                <w:sz w:val="28"/>
                <w:szCs w:val="28"/>
                <w:highlight w:val="none"/>
              </w:rPr>
              <w:t xml:space="preserve">对招标文件采购需求</w:t>
            </w:r>
            <w:r>
              <w:rPr>
                <w:rFonts w:hint="eastAsia" w:ascii="仿宋" w:hAnsi="仿宋" w:eastAsia="仿宋" w:cs="仿宋"/>
                <w:sz w:val="28"/>
                <w:szCs w:val="28"/>
                <w:highlight w:val="none"/>
                <w:lang w:val="en-US" w:eastAsia="zh-CN"/>
              </w:rPr>
              <w:t xml:space="preserve">中的</w:t>
            </w:r>
            <w:r>
              <w:rPr>
                <w:rFonts w:hint="eastAsia" w:ascii="仿宋" w:hAnsi="仿宋" w:eastAsia="仿宋" w:cs="仿宋"/>
                <w:sz w:val="28"/>
                <w:szCs w:val="28"/>
                <w:highlight w:val="none"/>
              </w:rPr>
              <w:t xml:space="preserve">“技术</w:t>
            </w:r>
            <w:r>
              <w:rPr>
                <w:rFonts w:hint="eastAsia" w:ascii="仿宋" w:hAnsi="仿宋" w:eastAsia="仿宋" w:cs="仿宋"/>
                <w:sz w:val="28"/>
                <w:szCs w:val="28"/>
                <w:highlight w:val="none"/>
                <w:lang w:val="en-US" w:eastAsia="zh-CN"/>
              </w:rPr>
              <w:t xml:space="preserve">参数及要求</w:t>
            </w:r>
            <w:r>
              <w:rPr>
                <w:rFonts w:hint="eastAsia" w:ascii="仿宋" w:hAnsi="仿宋" w:eastAsia="仿宋" w:cs="仿宋"/>
                <w:sz w:val="28"/>
                <w:szCs w:val="28"/>
                <w:highlight w:val="none"/>
              </w:rPr>
              <w:t xml:space="preserve">”满足程度进行评价。</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满足招标文件要求的得</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分，次重要响应指标不满足或负偏离每项扣</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一般</w:t>
            </w:r>
            <w:r>
              <w:rPr>
                <w:rFonts w:hint="eastAsia" w:ascii="仿宋" w:hAnsi="仿宋" w:eastAsia="仿宋" w:cs="仿宋"/>
                <w:sz w:val="28"/>
                <w:szCs w:val="28"/>
                <w:highlight w:val="none"/>
              </w:rPr>
              <w:t xml:space="preserve">响应指标如有不满足或负偏离，每一项扣</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扣完为止。本项最高得20分，最低得0分。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451"/>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产品配置</w:t>
            </w:r>
            <w:r/>
          </w:p>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和技术方 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w:t>
            </w:r>
            <w:r/>
          </w:p>
        </w:tc>
        <w:tc>
          <w:tcPr>
            <w:tcW w:w="8913" w:type="dxa"/>
            <w:vAlign w:val="center"/>
            <w:textDirection w:val="lrTb"/>
            <w:noWrap w:val="false"/>
          </w:tcPr>
          <w:p>
            <w:pPr>
              <w:jc w:val="both"/>
              <w:spacing w:after="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对投标人提供的</w:t>
            </w:r>
            <w:r>
              <w:rPr>
                <w:rFonts w:hint="eastAsia" w:ascii="仿宋" w:hAnsi="仿宋" w:eastAsia="仿宋" w:cs="仿宋"/>
                <w:sz w:val="28"/>
                <w:szCs w:val="28"/>
                <w:highlight w:val="none"/>
              </w:rPr>
              <w:t xml:space="preserve">产品配置和技术方案</w:t>
            </w:r>
            <w:r>
              <w:rPr>
                <w:rFonts w:hint="eastAsia" w:ascii="仿宋" w:hAnsi="仿宋" w:eastAsia="仿宋" w:cs="仿宋"/>
                <w:b w:val="0"/>
                <w:bCs w:val="0"/>
                <w:sz w:val="28"/>
                <w:szCs w:val="28"/>
                <w:highlight w:val="none"/>
              </w:rPr>
              <w:t xml:space="preserve">进行评价</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对内容的全面性、可行性、针对性进行打分。</w:t>
            </w:r>
            <w:r/>
          </w:p>
          <w:p>
            <w:pPr>
              <w:ind w:firstLine="560"/>
              <w:jc w:val="left"/>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包含核心部件选型与配置、整车结构布局、整车冲压焊接及防腐工艺、工况适配能力，并扩充其他相关内容，方案全面具体详实、明确合理得5分；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仅包含核心部件选型与配置、整车结构布局、整车冲压焊接及防腐工艺、工况适配能力，方案较详实、合理得3分；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中，其核心部件选型与配置、整车结构布局、整车冲压焊接及防腐工艺、工况适配能力及扩充其他相关内容，能够在现实中稳定交付、使用，贴合实际，切实可行得3分；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仅含核心部件选型与配置、整车结构布局、整车冲压焊接及防腐工艺、工况适配能力，方案较切实可行得2分；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包含核心部件选型与配置、整车结构布局、整车冲压焊接及防腐工艺、工况适配能力及扩充的相关内容针对性强得2分；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仅含核心部件选型与配置、整车结构布局、整车冲压焊接及防腐工艺、工况适配能力，方案针对性较强得1分；针对性差得0分；</w:t>
            </w:r>
            <w:r/>
          </w:p>
          <w:p>
            <w:pPr>
              <w:ind w:firstLine="280"/>
              <w:jc w:val="both"/>
              <w:spacing w:after="0"/>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618"/>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项目实施方案</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根据投标人提供的项目实施方案包括但不限于实施过程中的生产进度计划、供货方案、应急保障方案、以及运输方案等进行评价：</w:t>
            </w:r>
            <w:r/>
          </w:p>
          <w:p>
            <w:pPr>
              <w:ind w:firstLine="28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项目实施方案包括实施过程中的生产进度计划、供货方案、应急保障方案、以及运输方案，并扩充其他内容，方案全面具体详实、明确合理得5分；项目实施方案仅包含实施过程中的生产进度计划、供货方案、应急保障方案、以及运输方案，方案较详实、合理得3分；项目实施方案内容有缺项，不够全面得1分。</w:t>
            </w:r>
            <w:r/>
          </w:p>
          <w:p>
            <w:pPr>
              <w:ind w:firstLine="560"/>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项目实施方案包括实施过程中的生产进度计划、供货方案、应急保障方案、以及运输方案，并扩充其他内容，方案贴合实际，能够在现实中稳定实施、使用，切实可行得3分；项目实施方案仅含实施过程中的生产进度计划、供货方案、应急保障方案、以及运输方案，方案较切实可行得2分；项目实施方案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项目实施方案包括实施过程中的生产进度计划、供货方案、应急保障方案、以及运输方案，并扩充其他内容，方案针对性强得2分；项目实施方案仅含实施过程中的生产进度计划、供货方案、应急保障方案、以及运输方案，针对性较强得1分；针对性差得0分；</w:t>
            </w:r>
            <w:r/>
          </w:p>
          <w:p>
            <w:pPr>
              <w:ind w:firstLine="560"/>
              <w:jc w:val="left"/>
              <w:spacing w:after="0"/>
              <w:rPr>
                <w:rFonts w:eastAsia="仿宋"/>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69"/>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质量保障措施（10分）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根据投标人提供的质量保证措施包含但不限于生产过程的控制、质量的检测、质量保障制度等相关内容进行评价：</w:t>
            </w:r>
            <w:r/>
          </w:p>
          <w:p>
            <w:pPr>
              <w:ind w:firstLine="28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质量保障措施方案中能够包含生产过程的控制、质量的检测、质量保障制度，并扩充其他相关内容，方案全面具体详实、明确合理得5分；质量保障措施方案中仅包含生产过程的控制、质量的检测、质量保障制度，方案较详实合理得3分；质量保障措施方案中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质量保障措施方案中生产过程的控制、质量的检测、质量保障制度及扩充的相关内容贴合实际，切实可行得3分；质量保障措施方案中生产过程的控制、质量的检测、质量保障制度较切实可行得2分；质量保障措施方案中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质量保障措施方案中生产过程的控制、质量的检测、质量保障制度及扩充的相关内容针对性强得2分；质量保障措施方案中生产过程的控制、质量的检测、质量保障制度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91"/>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售后服务方案</w:t>
            </w:r>
            <w:r/>
          </w:p>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供应商提供完整的售后服务方案，包括但不限于服务承诺及条款、服务响应方案、备件（易耗品）供应方案、服务人员配备、应急措施、质保期内和质保期外服务措施、人员培训方案等进行综合评价：  </w:t>
            </w:r>
            <w:r/>
          </w:p>
          <w:p>
            <w:pPr>
              <w:ind w:firstLine="56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售后服务方案中能包含服务承诺及条款、服务响应方案、备件（易耗品）供应方案、服务人员配备、应急措施、质保期内和质保期外服务措施、人员培训方案，并能扩充其他相关内容方案全面具体详实、明确合理得5分；售后服务方案中仅包含服务承诺及条款、服务响应方案、备件（易耗品）供应方案、服务人员配备、应急措施、质保期内和质保期外服务措施、人员培训方案，方案较详实、合理得3分；售后服务方案中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售后服务方案中能包含服务承诺及条款、服务响应方案、备件（易耗品）供应方案、服务人员配备、应急措施、质保期内和质保期外服务措施、人员培训方案及扩充的其他相关内容贴合实际，切实可行得3分；售后服务方案中仅包含服务承诺及条款、服务响应方案、备件（易耗品）供应方案、服务人员配备、应急措施、质保期内和质保期外服务措施、人员培训方案，较切实可行得2分；售后服务方案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售后服务方案中能包含服务承诺及条款、服务响应方案、备件（易耗品）供应方案、服务人员配备、应急措施、质保期内和质保期外服务措施、人员培训方案，并能扩充其他相关内容针对性强得2分；售后服务方案中仅包含服务承诺及条款、服务响应方案、备件（易耗品）供应方案、服务人员配备、应急措施、质保期内和质保期外服务措施、人员培训方案针对性较强得1分；针对性差得0分；</w:t>
            </w:r>
            <w:r/>
          </w:p>
          <w:p>
            <w:pPr>
              <w:ind w:firstLine="280"/>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468"/>
        </w:trPr>
        <w:tc>
          <w:tcPr>
            <w:tcW w:w="1577" w:type="dxa"/>
            <w:vAlign w:val="center"/>
            <w:textDirection w:val="lrTb"/>
            <w:noWrap w:val="false"/>
          </w:tcPr>
          <w:p>
            <w:pPr>
              <w:pStyle w:val="753"/>
              <w:pageBreakBefore w:val="0"/>
              <w:spacing w:line="44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质保期</w:t>
            </w:r>
            <w:r/>
          </w:p>
          <w:p>
            <w:pPr>
              <w:pStyle w:val="753"/>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（3分）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综合评比各投标人的免费质保期内及质保期外的质保承诺：</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1、整车质保3年、三电系统质保8年的得3分；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2、整车质保2年、三电系统质保5年的得1分；</w:t>
            </w:r>
            <w:r/>
          </w:p>
          <w:p>
            <w:pPr>
              <w:jc w:val="both"/>
              <w:spacing w:after="0"/>
              <w:rPr>
                <w:rFonts w:hint="default"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注：投标人提供整车质保、三电系统质保的承诺书为准，承诺书格式自拟。如投标人为代理商，需同时提供相应生产厂家的质保期承诺书，否则不得分。</w:t>
            </w:r>
            <w:r/>
          </w:p>
        </w:tc>
      </w:tr>
    </w:tbl>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本章说明：本项目采用综合评分法。</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highlight w:val="none"/>
        </w:rPr>
      </w:r>
      <w:r/>
    </w:p>
    <w:p>
      <w:pPr>
        <w:pStyle w:val="915"/>
        <w:ind w:firstLine="2409"/>
        <w:spacing w:before="0" w:beforeAutospacing="0" w:after="0" w:afterAutospacing="0" w:line="360" w:lineRule="auto"/>
        <w:rPr>
          <w:rFonts w:hint="eastAsia"/>
          <w:b/>
          <w:bCs/>
          <w:sz w:val="44"/>
          <w:szCs w:val="44"/>
          <w:highlight w:val="none"/>
          <w:u w:val="single"/>
        </w:rPr>
      </w:pPr>
      <w:r>
        <w:rPr>
          <w:rFonts w:hint="eastAsia" w:ascii="仿宋" w:hAnsi="仿宋" w:eastAsia="仿宋" w:cs="仿宋"/>
          <w:b/>
          <w:bCs/>
          <w:sz w:val="30"/>
          <w:szCs w:val="30"/>
          <w:highlight w:val="none"/>
        </w:rPr>
        <w:t xml:space="preserve">第五章 拟签订的合同文本</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徐州市云龙区城市管理局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highlight w:val="none"/>
        </w:rPr>
      </w:pPr>
      <w:r>
        <w:rPr>
          <w:rFonts w:hint="eastAsia" w:ascii="宋体" w:hAnsi="宋体" w:cs="宋体"/>
          <w:sz w:val="24"/>
          <w:highlight w:val="none"/>
        </w:rPr>
      </w:r>
      <w:r/>
    </w:p>
    <w:p>
      <w:pPr>
        <w:ind w:firstLine="420"/>
        <w:jc w:val="center"/>
        <w:spacing w:line="520" w:lineRule="exact"/>
        <w:rPr>
          <w:rFonts w:hint="eastAsia" w:ascii="宋体" w:hAnsi="宋体" w:cs="宋体"/>
          <w:sz w:val="30"/>
          <w:szCs w:val="30"/>
          <w:highlight w:val="none"/>
        </w:rPr>
      </w:pPr>
      <w:r>
        <w:rPr>
          <w:rFonts w:hint="eastAsia" w:ascii="宋体" w:hAnsi="宋体" w:cs="宋体"/>
          <w:highlight w:val="none"/>
        </w:rPr>
        <w:br w:type="page" w:clear="all"/>
      </w:r>
      <w:r>
        <w:rPr>
          <w:rFonts w:hint="eastAsia" w:ascii="宋体" w:hAnsi="宋体" w:cs="宋体"/>
          <w:sz w:val="30"/>
          <w:szCs w:val="30"/>
          <w:highlight w:val="none"/>
        </w:rPr>
        <w:t xml:space="preserve">合同通用条款</w:t>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第二条    合同范围</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包装和标记</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技术资料</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安装</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验收</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售后服务和技术培训</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索赔</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不可抗力</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合同的终止</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第十四条  争议的解决</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第十五条  适用法律</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第十六条  权利保证</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第十七条  保密</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第十八条  合同生效及其他</w:t>
      </w:r>
      <w:r/>
    </w:p>
    <w:p>
      <w:pP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highlight w:val="none"/>
        </w:rPr>
        <w:br w:type="page" w:clear="all"/>
      </w: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w:t>
      </w:r>
      <w:r>
        <w:rPr>
          <w:rFonts w:ascii="宋体" w:hAnsi="宋体" w:eastAsia="宋体" w:cs="宋体"/>
          <w:color w:val="000000" w:themeColor="text1"/>
          <w:sz w:val="24"/>
          <w:szCs w:val="21"/>
          <w:highlight w:val="none"/>
          <w14:textFill>
            <w14:solidFill>
              <w14:schemeClr w14:val="tx1"/>
            </w14:solidFill>
          </w14:textFill>
        </w:rPr>
        <w:t xml:space="preserve">下第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right="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4.2上述费用买方支付至卖方指定账户内。除卖方另行指定外，该指定账户信息为</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5.1卖方应于合同签订之日起 </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日内将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所有采购</w:t>
      </w:r>
      <w:r>
        <w:rPr>
          <w:rFonts w:ascii="宋体" w:hAnsi="宋体" w:eastAsia="宋体" w:cs="宋体"/>
          <w:color w:val="000000" w:themeColor="text1"/>
          <w:sz w:val="24"/>
          <w:szCs w:val="21"/>
          <w:highlight w:val="none"/>
          <w14:textFill>
            <w14:solidFill>
              <w14:schemeClr w14:val="tx1"/>
            </w14:solidFill>
          </w14:textFill>
        </w:rPr>
        <w:t xml:space="preserve">货物无损交付</w:t>
      </w:r>
      <w:r>
        <w:rPr>
          <w:rFonts w:ascii="宋体" w:hAnsi="宋体" w:eastAsia="宋体" w:cs="宋体"/>
          <w:b w:val="0"/>
          <w:bCs w:val="0"/>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买方指定地点</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highlight w:val="none"/>
          <w:u w:val="single"/>
          <w14:textFill>
            <w14:solidFill>
              <w14:schemeClr w14:val="tx1"/>
            </w14:solidFill>
          </w14:textFill>
        </w:rPr>
        <w:t xml:space="preserve">一</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w:t>
      </w:r>
      <w:r>
        <w:rPr>
          <w:rFonts w:ascii="宋体" w:hAnsi="宋体" w:eastAsia="宋体" w:cs="宋体"/>
          <w:color w:val="000000" w:themeColor="text1"/>
          <w:sz w:val="24"/>
          <w:szCs w:val="21"/>
          <w:highlight w:val="none"/>
          <w14:textFill>
            <w14:solidFill>
              <w14:schemeClr w14:val="tx1"/>
            </w14:solidFill>
          </w14:textFill>
        </w:rPr>
        <w:t xml:space="preserve">%)的比率支付违约金。违约金的总金额不超过合同总价的百分之</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二</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%)，违约金的支付不能免除卖方继续交付相关合同标的的义务。</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如果卖方在合同规定的交货期限后</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第六条 </w:t>
      </w:r>
      <w:r>
        <w:rPr>
          <w:rFonts w:ascii="宋体" w:hAnsi="宋体" w:eastAsia="宋体" w:cs="宋体"/>
          <w:color w:val="000000" w:themeColor="text1"/>
          <w:sz w:val="24"/>
          <w:szCs w:val="21"/>
          <w:highlight w:val="none"/>
          <w14:textFill>
            <w14:solidFill>
              <w14:schemeClr w14:val="tx1"/>
            </w14:solidFill>
          </w14:textFill>
        </w:rPr>
        <w:t xml:space="preserve">包装与标记</w:t>
      </w:r>
      <w:r/>
    </w:p>
    <w:p>
      <w:pPr>
        <w:ind w:left="0" w:right="0" w:firstLine="560"/>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highlight w:val="none"/>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第七条 技术资料</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rFonts w:hint="default" w:ascii="宋体" w:hAnsi="宋体" w:eastAsia="宋体" w:cs="宋体"/>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highlight w:val="none"/>
          <w:lang w:val="en-US" w:eastAsia="zh-CN"/>
          <w14:textFill>
            <w14:solidFill>
              <w14:schemeClr w14:val="tx1"/>
            </w14:solidFill>
          </w14:textFill>
        </w:rPr>
        <w:t xml:space="preserve">7.2 为合理利用资源，要求此车与现有28立方垃圾箱和24立方垃圾箱（具体规模以甲方实际需要为准）均能配套使用。</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8.1</w:t>
      </w:r>
      <w:r>
        <w:rPr>
          <w:rFonts w:ascii="宋体" w:hAnsi="宋体" w:eastAsia="宋体" w:cs="宋体"/>
          <w:b w:val="0"/>
          <w:bCs w:val="0"/>
          <w:color w:val="000000" w:themeColor="text1"/>
          <w:sz w:val="24"/>
          <w:szCs w:val="21"/>
          <w:highlight w:val="none"/>
          <w14:textFill>
            <w14:solidFill>
              <w14:schemeClr w14:val="tx1"/>
            </w14:solidFill>
          </w14:textFill>
        </w:rPr>
        <w:t xml:space="preserve">卖方应于合同生效日后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b w:val="0"/>
          <w:bCs w:val="0"/>
          <w:color w:val="000000" w:themeColor="text1"/>
          <w:sz w:val="24"/>
          <w:szCs w:val="21"/>
          <w:highlight w:val="none"/>
          <w14:textFill>
            <w14:solidFill>
              <w14:schemeClr w14:val="tx1"/>
            </w14:solidFill>
          </w14:textFill>
        </w:rPr>
        <w:t xml:space="preserve">日内将合同标的</w:t>
      </w:r>
      <w:r>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highlight w:val="none"/>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本采购合同采购方式为卖方包工形式，质量需与样品一致，所有工作</w:t>
      </w:r>
      <w:r>
        <w:rPr>
          <w:rFonts w:ascii="宋体" w:hAnsi="宋体" w:eastAsia="宋体" w:cs="宋体"/>
          <w:color w:val="000000" w:themeColor="text1"/>
          <w:sz w:val="24"/>
          <w:szCs w:val="21"/>
          <w14:textFill>
            <w14:solidFill>
              <w14:schemeClr w14:val="tx1"/>
            </w14:solidFill>
          </w14:textFill>
        </w:rPr>
        <w:t xml:space="preserve">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35"/>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12"/>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jc w:val="center"/>
        <w:spacing w:line="288" w:lineRule="auto"/>
        <w:rPr>
          <w:rFonts w:ascii="仿宋_GB2312" w:hAnsi="宋体" w:eastAsia="仿宋_GB2312"/>
          <w:b/>
          <w:sz w:val="32"/>
          <w:szCs w:val="32"/>
          <w:highlight w:val="none"/>
        </w:rPr>
      </w:pPr>
      <w:r>
        <w:rPr>
          <w:rFonts w:hint="eastAsia" w:ascii="仿宋_GB2312" w:hAnsi="宋体" w:eastAsia="仿宋_GB2312"/>
          <w:b/>
          <w:sz w:val="32"/>
          <w:szCs w:val="32"/>
          <w:highlight w:val="none"/>
        </w:rPr>
        <w:t xml:space="preserve"> 采购需求</w:t>
      </w:r>
      <w:bookmarkStart w:id="1" w:name="_Toc324452802"/>
      <w:r/>
      <w:bookmarkEnd w:id="1"/>
      <w:r/>
      <w:bookmarkStart w:id="2" w:name="_Toc322457054"/>
      <w:r/>
      <w:bookmarkEnd w:id="2"/>
      <w:r/>
      <w:r/>
    </w:p>
    <w:p>
      <w:pPr>
        <w:jc w:val="center"/>
        <w:spacing w:line="23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一、项目概况</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1、项目名称：</w:t>
      </w:r>
      <w:r>
        <w:rPr>
          <w:rFonts w:hint="eastAsia" w:cs="宋体"/>
          <w:sz w:val="24"/>
          <w:szCs w:val="21"/>
          <w:highlight w:val="none"/>
          <w:lang w:val="en-US" w:eastAsia="zh-CN"/>
        </w:rPr>
        <w:t xml:space="preserve">新能源环卫特种作业车辆采购项目-新能源车厢可卸式垃圾车</w:t>
      </w:r>
      <w:r/>
    </w:p>
    <w:p>
      <w:pPr>
        <w:spacing w:line="560" w:lineRule="exact"/>
        <w:rPr>
          <w:rFonts w:hint="eastAsia" w:ascii="Times New Roman" w:hAnsi="Times New Roman" w:eastAsia="宋体" w:cs="宋体"/>
          <w:b/>
          <w:bCs/>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lang w:val="en-US" w:eastAsia="zh-CN"/>
        </w:rPr>
        <w:t xml:space="preserve">2、</w:t>
      </w:r>
      <w:r>
        <w:rPr>
          <w:rFonts w:hint="eastAsia" w:ascii="Times New Roman" w:hAnsi="Times New Roman" w:eastAsia="宋体" w:cs="宋体"/>
          <w:b/>
          <w:bCs/>
          <w:sz w:val="24"/>
          <w:szCs w:val="21"/>
          <w:highlight w:val="none"/>
          <w:lang w:val="en-US" w:eastAsia="zh-CN"/>
        </w:rPr>
        <w:t xml:space="preserve">本项目采购预算总金额 </w:t>
      </w:r>
      <w:r>
        <w:rPr>
          <w:rFonts w:hint="eastAsia" w:cs="宋体"/>
          <w:b/>
          <w:bCs/>
          <w:sz w:val="24"/>
          <w:szCs w:val="21"/>
          <w:highlight w:val="none"/>
          <w:lang w:val="en-US" w:eastAsia="zh-CN"/>
        </w:rPr>
        <w:t xml:space="preserve">600 </w:t>
      </w:r>
      <w:r>
        <w:rPr>
          <w:rFonts w:hint="eastAsia" w:ascii="Times New Roman" w:hAnsi="Times New Roman" w:eastAsia="宋体" w:cs="宋体"/>
          <w:b/>
          <w:bCs/>
          <w:sz w:val="24"/>
          <w:szCs w:val="21"/>
          <w:highlight w:val="none"/>
          <w:lang w:val="en-US" w:eastAsia="zh-CN"/>
        </w:rPr>
        <w:t xml:space="preserve">万元，本项目不接受超过最高限价的投标报价。报价包括产品价、税金、运费、安装调试、车辆上牌服务费、保险费、购置税费、充电桩安装费，采购人不再支付报价以外的任何费用。</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3、合同履行的期限：合同签订之日起</w:t>
      </w:r>
      <w:r>
        <w:rPr>
          <w:rFonts w:hint="eastAsia" w:cs="宋体"/>
          <w:sz w:val="24"/>
          <w:szCs w:val="21"/>
          <w:highlight w:val="none"/>
          <w:lang w:val="en-US" w:eastAsia="zh-CN"/>
        </w:rPr>
        <w:t xml:space="preserve">4</w:t>
      </w:r>
      <w:r>
        <w:rPr>
          <w:rFonts w:hint="eastAsia" w:ascii="Times New Roman" w:hAnsi="Times New Roman" w:eastAsia="宋体" w:cs="宋体"/>
          <w:sz w:val="24"/>
          <w:szCs w:val="21"/>
          <w:highlight w:val="none"/>
        </w:rPr>
        <w:t xml:space="preserve">0日内交货并调试完毕。</w:t>
      </w:r>
      <w:r/>
    </w:p>
    <w:p>
      <w:pPr>
        <w:spacing w:line="560" w:lineRule="exact"/>
        <w:rPr>
          <w:rFonts w:hint="eastAsia" w:ascii="Times New Roman" w:hAnsi="Times New Roman" w:eastAsia="宋体" w:cs="宋体"/>
          <w:b w:val="0"/>
          <w:bCs w:val="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sz w:val="24"/>
          <w:szCs w:val="21"/>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二、质保期</w:t>
      </w:r>
      <w:r/>
    </w:p>
    <w:p>
      <w:pPr>
        <w:ind w:firstLine="241"/>
        <w:spacing w:line="560" w:lineRule="exact"/>
        <w:rPr>
          <w:rFonts w:hint="eastAsia" w:ascii="宋体" w:hAnsi="宋体" w:eastAsia="宋体" w:cs="宋体"/>
          <w:b w:val="0"/>
          <w:bCs/>
          <w:color w:val="000000"/>
          <w:sz w:val="24"/>
          <w:szCs w:val="24"/>
          <w:highlight w:val="none"/>
        </w:rPr>
        <w:outlineLvl w:val="0"/>
      </w:pPr>
      <w:r>
        <w:rPr>
          <w:rFonts w:hint="eastAsia" w:cs="宋体"/>
          <w:b/>
          <w:bCs/>
          <w:sz w:val="24"/>
          <w:szCs w:val="21"/>
          <w:highlight w:val="none"/>
          <w:lang w:val="en-US" w:eastAsia="zh-CN"/>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三、采购清单</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r>
      <w:r/>
    </w:p>
    <w:tbl>
      <w:tblPr>
        <w:tblStyle w:val="717"/>
        <w:tblpPr w:horzAnchor="page" w:tblpX="2251" w:vertAnchor="text" w:tblpY="195" w:leftFromText="180" w:topFromText="0" w:rightFromText="180" w:bottomFromText="0"/>
        <w:tblW w:w="7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4116"/>
        <w:gridCol w:w="817"/>
        <w:gridCol w:w="1483"/>
      </w:tblGrid>
      <w:tr>
        <w:trPr>
          <w:trHeight w:val="970"/>
        </w:trPr>
        <w:tc>
          <w:tcPr>
            <w:tcW w:w="1045"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4116"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名称</w:t>
            </w:r>
            <w:r/>
          </w:p>
        </w:tc>
        <w:tc>
          <w:tcPr>
            <w:tcW w:w="817"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c>
          <w:tcPr>
            <w:tcW w:w="1483"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1</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highlight w:val="none"/>
              </w:rPr>
            </w:pPr>
            <w:r>
              <w:rPr>
                <w:rFonts w:hint="eastAsia" w:ascii="仿宋" w:hAnsi="仿宋" w:eastAsia="仿宋" w:cs="仿宋"/>
                <w:b/>
                <w:bCs/>
                <w:iCs/>
                <w:sz w:val="28"/>
                <w:szCs w:val="28"/>
                <w:highlight w:val="none"/>
                <w:lang w:val="en-US" w:eastAsia="zh-CN"/>
              </w:rPr>
              <w:t xml:space="preserve">31吨新能源</w:t>
            </w:r>
            <w:r>
              <w:rPr>
                <w:rFonts w:hint="eastAsia" w:ascii="仿宋" w:hAnsi="仿宋" w:eastAsia="仿宋" w:cs="仿宋"/>
                <w:b/>
                <w:bCs/>
                <w:iCs/>
                <w:sz w:val="28"/>
                <w:szCs w:val="28"/>
                <w:highlight w:val="none"/>
              </w:rPr>
              <w:t xml:space="preserve">车厢可卸式垃圾车</w:t>
            </w:r>
            <w:r/>
          </w:p>
        </w:tc>
        <w:tc>
          <w:tcPr>
            <w:tcW w:w="817" w:type="dxa"/>
            <w:vAlign w:val="center"/>
            <w:textDirection w:val="lrTb"/>
            <w:noWrap w:val="false"/>
          </w:tcPr>
          <w:p>
            <w:pPr>
              <w:jc w:val="center"/>
              <w:pageBreakBefore w:val="0"/>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台</w:t>
            </w:r>
            <w:r/>
          </w:p>
        </w:tc>
        <w:tc>
          <w:tcPr>
            <w:tcW w:w="1483"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4116" w:type="dxa"/>
            <w:vAlign w:val="center"/>
            <w:textDirection w:val="lrTb"/>
            <w:noWrap w:val="false"/>
          </w:tcPr>
          <w:p>
            <w:pPr>
              <w:pageBreakBefore w:val="0"/>
              <w:spacing w:line="440" w:lineRule="exact"/>
              <w:rPr>
                <w:rFonts w:hint="default"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val="en-US" w:eastAsia="zh-CN"/>
              </w:rPr>
              <w:t xml:space="preserve">240KW充电桩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r>
        <w:trPr>
          <w:trHeight w:val="594"/>
        </w:trPr>
        <w:tc>
          <w:tcPr>
            <w:tcW w:w="1045"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val="en-US" w:eastAsia="zh-CN"/>
              </w:rPr>
              <w:t xml:space="preserve">400KW充电桩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bl>
    <w:p>
      <w:pPr>
        <w:ind w:firstLine="241"/>
        <w:spacing w:line="560" w:lineRule="exact"/>
        <w:rPr>
          <w:rFonts w:hint="eastAsia" w:cs="宋体"/>
          <w:b/>
          <w:bCs/>
          <w:sz w:val="24"/>
          <w:szCs w:val="21"/>
          <w:highlight w:val="none"/>
          <w:u w:val="none"/>
          <w:lang w:val="en-US" w:eastAsia="zh-CN"/>
        </w:rPr>
        <w:outlineLvl w:val="0"/>
      </w:pPr>
      <w:r>
        <w:rPr>
          <w:rFonts w:hint="eastAsia" w:cs="宋体"/>
          <w:b/>
          <w:bCs/>
          <w:sz w:val="24"/>
          <w:szCs w:val="21"/>
          <w:highlight w:val="none"/>
          <w:u w:val="none"/>
          <w:lang w:eastAsia="zh-CN"/>
        </w:rPr>
        <w:t xml:space="preserve">（</w:t>
      </w:r>
      <w:r>
        <w:rPr>
          <w:rFonts w:hint="eastAsia" w:cs="宋体"/>
          <w:b/>
          <w:bCs/>
          <w:sz w:val="24"/>
          <w:szCs w:val="21"/>
          <w:highlight w:val="none"/>
          <w:u w:val="none"/>
          <w:lang w:val="en-US" w:eastAsia="zh-CN"/>
        </w:rPr>
        <w:t xml:space="preserve">本项目核心产品为31吨新能源车厢可卸式垃圾车）</w:t>
      </w:r>
      <w:r/>
    </w:p>
    <w:p>
      <w:pPr>
        <w:ind w:firstLine="241"/>
        <w:spacing w:line="560" w:lineRule="exact"/>
        <w:rPr>
          <w:rFonts w:hint="eastAsia" w:cs="宋体"/>
          <w:b/>
          <w:bCs/>
          <w:sz w:val="24"/>
          <w:szCs w:val="21"/>
          <w:highlight w:val="yellow"/>
          <w:u w:val="none"/>
          <w:lang w:val="en-US" w:eastAsia="zh-CN"/>
        </w:rPr>
        <w:outlineLvl w:val="0"/>
      </w:pPr>
      <w:r>
        <w:rPr>
          <w:rFonts w:hint="eastAsia" w:cs="宋体"/>
          <w:b/>
          <w:bCs/>
          <w:sz w:val="24"/>
          <w:szCs w:val="21"/>
          <w:highlight w:val="yellow"/>
          <w:u w:val="none"/>
          <w:lang w:val="en-US" w:eastAsia="zh-CN"/>
        </w:rPr>
      </w:r>
      <w:r/>
    </w:p>
    <w:p>
      <w:pPr>
        <w:ind w:firstLine="241"/>
        <w:spacing w:line="560" w:lineRule="exact"/>
        <w:rPr>
          <w:rFonts w:hint="eastAsia" w:cs="宋体"/>
          <w:b/>
          <w:bCs/>
          <w:sz w:val="24"/>
          <w:szCs w:val="21"/>
          <w:highlight w:val="none"/>
          <w:u w:val="none"/>
          <w:lang w:val="en-US" w:eastAsia="zh-CN"/>
        </w:rPr>
        <w:outlineLvl w:val="0"/>
      </w:pPr>
      <w:r>
        <w:rPr>
          <w:rFonts w:hint="eastAsia" w:cs="宋体"/>
          <w:b/>
          <w:bCs/>
          <w:sz w:val="24"/>
          <w:szCs w:val="21"/>
          <w:highlight w:val="none"/>
          <w:u w:val="none"/>
          <w:lang w:val="en-US" w:eastAsia="zh-CN"/>
        </w:rPr>
      </w:r>
      <w:r/>
    </w:p>
    <w:p>
      <w:pPr>
        <w:numPr>
          <w:ilvl w:val="0"/>
          <w:numId w:val="2"/>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技术参数及要求</w:t>
      </w:r>
      <w:r/>
    </w:p>
    <w:p>
      <w:pPr>
        <w:pStyle w:val="938"/>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31吨新能源车厢可卸式垃圾车技术参数</w:t>
      </w:r>
      <w:r/>
    </w:p>
    <w:p>
      <w:pPr>
        <w:spacing w:line="360" w:lineRule="auto"/>
        <w:rPr>
          <w:rFonts w:hint="eastAsia" w:ascii="宋体" w:hAnsi="宋体" w:cs="宋体"/>
          <w:b/>
          <w:bCs/>
          <w:iCs/>
          <w:sz w:val="24"/>
          <w:highlight w:val="none"/>
          <w:lang w:eastAsia="zh-CN"/>
        </w:rPr>
      </w:pPr>
      <w:r>
        <w:rPr>
          <w:rFonts w:hint="eastAsia" w:ascii="宋体" w:hAnsi="宋体" w:cs="宋体"/>
          <w:b/>
          <w:bCs/>
          <w:iCs/>
          <w:sz w:val="24"/>
          <w:highlight w:val="none"/>
          <w:lang w:eastAsia="zh-CN"/>
        </w:rPr>
      </w:r>
      <w:r/>
    </w:p>
    <w:p>
      <w:pPr>
        <w:spacing w:line="360" w:lineRule="auto"/>
        <w:rPr>
          <w:rFonts w:ascii="宋体"/>
          <w:sz w:val="24"/>
          <w:szCs w:val="24"/>
          <w:highlight w:val="none"/>
        </w:rPr>
      </w:pPr>
      <w:r>
        <w:rPr>
          <w:rFonts w:hint="eastAsia" w:ascii="宋体" w:hAnsi="宋体" w:cs="宋体"/>
          <w:b/>
          <w:bCs/>
          <w:iCs/>
          <w:sz w:val="24"/>
          <w:highlight w:val="none"/>
          <w:lang w:eastAsia="zh-CN"/>
        </w:rPr>
        <w:t xml:space="preserve">（</w:t>
      </w:r>
      <w:r>
        <w:rPr>
          <w:rFonts w:hint="eastAsia" w:ascii="宋体" w:hAnsi="宋体" w:cs="宋体"/>
          <w:b/>
          <w:bCs/>
          <w:iCs/>
          <w:sz w:val="24"/>
          <w:highlight w:val="none"/>
          <w:lang w:val="en-US" w:eastAsia="zh-CN"/>
        </w:rPr>
        <w:t xml:space="preserve">一</w:t>
      </w:r>
      <w:r>
        <w:rPr>
          <w:rFonts w:hint="eastAsia" w:ascii="宋体" w:hAnsi="宋体" w:cs="宋体"/>
          <w:b/>
          <w:bCs/>
          <w:iCs/>
          <w:sz w:val="24"/>
          <w:highlight w:val="none"/>
          <w:lang w:eastAsia="zh-CN"/>
        </w:rPr>
        <w:t xml:space="preserve">）</w:t>
      </w:r>
      <w:r>
        <w:rPr>
          <w:rFonts w:hint="eastAsia" w:ascii="宋体" w:hAnsi="宋体" w:cs="宋体"/>
          <w:b/>
          <w:bCs/>
          <w:iCs/>
          <w:sz w:val="24"/>
          <w:highlight w:val="none"/>
        </w:rPr>
        <w:t xml:space="preserve">主要技术参数</w:t>
      </w:r>
      <w:r/>
    </w:p>
    <w:p>
      <w:pPr>
        <w:pStyle w:val="770"/>
        <w:numPr>
          <w:ilvl w:val="0"/>
          <w:numId w:val="3"/>
        </w:numPr>
        <w:spacing w:line="360" w:lineRule="auto"/>
        <w:rPr>
          <w:rFonts w:ascii="宋体"/>
          <w:sz w:val="24"/>
          <w:szCs w:val="24"/>
          <w:highlight w:val="none"/>
        </w:rPr>
      </w:pPr>
      <w:r>
        <w:rPr>
          <w:rFonts w:hint="eastAsia" w:ascii="仿宋" w:hAnsi="仿宋" w:eastAsia="仿宋" w:cs="仿宋"/>
          <w:sz w:val="24"/>
          <w:highlight w:val="none"/>
        </w:rPr>
        <w:t xml:space="preserve">★</w:t>
      </w:r>
      <w:r>
        <w:rPr>
          <w:rFonts w:hint="eastAsia" w:ascii="宋体" w:hAnsi="宋体"/>
          <w:sz w:val="24"/>
          <w:szCs w:val="24"/>
          <w:highlight w:val="none"/>
        </w:rPr>
        <w:t xml:space="preserve">总质量(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31000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lang w:val="en-US" w:eastAsia="zh-CN"/>
        </w:rPr>
        <w:t xml:space="preserve">整备</w:t>
      </w:r>
      <w:r>
        <w:rPr>
          <w:rFonts w:hint="eastAsia" w:ascii="宋体" w:hAnsi="宋体"/>
          <w:sz w:val="24"/>
          <w:szCs w:val="24"/>
          <w:highlight w:val="none"/>
        </w:rPr>
        <w:t xml:space="preserve">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15</w:t>
      </w:r>
      <w:r>
        <w:rPr>
          <w:rFonts w:hint="eastAsia" w:ascii="宋体" w:hAnsi="宋体"/>
          <w:sz w:val="24"/>
          <w:szCs w:val="24"/>
          <w:highlight w:val="none"/>
          <w:lang w:val="en-US" w:eastAsia="zh-CN"/>
        </w:rPr>
        <w:t xml:space="preserve">6</w:t>
      </w:r>
      <w:r>
        <w:rPr>
          <w:rFonts w:ascii="宋体" w:hAnsi="宋体"/>
          <w:sz w:val="24"/>
          <w:szCs w:val="24"/>
          <w:highlight w:val="none"/>
        </w:rPr>
        <w:t xml:space="preserve">00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rPr>
        <w:t xml:space="preserve">额定载质量(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15000</w:t>
      </w:r>
      <w:r/>
    </w:p>
    <w:p>
      <w:pPr>
        <w:pStyle w:val="770"/>
        <w:numPr>
          <w:ilvl w:val="0"/>
          <w:numId w:val="3"/>
        </w:numPr>
        <w:spacing w:line="360" w:lineRule="auto"/>
        <w:rPr>
          <w:rFonts w:ascii="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rPr>
        <w:t xml:space="preserve">外型尺寸</w:t>
      </w:r>
      <w:r>
        <w:rPr>
          <w:rFonts w:hint="eastAsia" w:ascii="宋体"/>
          <w:sz w:val="24"/>
          <w:szCs w:val="24"/>
        </w:rPr>
        <w:t xml:space="preserve">:</w:t>
      </w:r>
      <w:r>
        <w:rPr>
          <w:rFonts w:hint="eastAsia" w:ascii="宋体" w:hAnsi="宋体"/>
          <w:sz w:val="24"/>
          <w:szCs w:val="24"/>
        </w:rPr>
        <w:t xml:space="preserve">长×宽×高(mm)≥</w:t>
      </w:r>
      <w:r>
        <w:rPr>
          <w:rFonts w:hint="eastAsia" w:ascii="宋体" w:hAnsi="宋体"/>
          <w:sz w:val="24"/>
          <w:szCs w:val="24"/>
          <w:lang w:val="en-US" w:eastAsia="zh-CN"/>
        </w:rPr>
        <w:t xml:space="preserve">10</w:t>
      </w:r>
      <w:r>
        <w:rPr>
          <w:rFonts w:ascii="宋体" w:hAnsi="宋体"/>
          <w:sz w:val="24"/>
          <w:szCs w:val="24"/>
        </w:rPr>
        <w:t xml:space="preserve">00</w:t>
      </w:r>
      <w:r>
        <w:rPr>
          <w:rFonts w:hint="eastAsia" w:ascii="宋体" w:hAnsi="宋体"/>
          <w:sz w:val="24"/>
          <w:szCs w:val="24"/>
          <w:lang w:val="en-US" w:eastAsia="zh-CN"/>
        </w:rPr>
        <w:t xml:space="preserve">0</w:t>
      </w:r>
      <w:r>
        <w:rPr>
          <w:rFonts w:ascii="宋体" w:hAnsi="宋体"/>
          <w:sz w:val="24"/>
          <w:szCs w:val="24"/>
        </w:rPr>
        <w:t xml:space="preserve">×25</w:t>
      </w:r>
      <w:r>
        <w:rPr>
          <w:rFonts w:hint="eastAsia" w:ascii="宋体" w:hAnsi="宋体"/>
          <w:sz w:val="24"/>
          <w:szCs w:val="24"/>
        </w:rPr>
        <w:t xml:space="preserve">0</w:t>
      </w:r>
      <w:r>
        <w:rPr>
          <w:rFonts w:ascii="宋体" w:hAnsi="宋体"/>
          <w:sz w:val="24"/>
          <w:szCs w:val="24"/>
        </w:rPr>
        <w:t xml:space="preserve">0×32</w:t>
      </w:r>
      <w:r>
        <w:rPr>
          <w:rFonts w:hint="eastAsia" w:ascii="宋体" w:hAnsi="宋体"/>
          <w:sz w:val="24"/>
          <w:szCs w:val="24"/>
        </w:rPr>
        <w:t xml:space="preserve">00</w:t>
      </w:r>
      <w:r/>
    </w:p>
    <w:p>
      <w:pPr>
        <w:pStyle w:val="770"/>
        <w:numPr>
          <w:ilvl w:val="0"/>
          <w:numId w:val="3"/>
        </w:numPr>
        <w:spacing w:line="360" w:lineRule="auto"/>
        <w:rPr>
          <w:rFonts w:ascii="宋体"/>
          <w:sz w:val="24"/>
          <w:szCs w:val="24"/>
        </w:rPr>
      </w:pPr>
      <w:r>
        <w:rPr>
          <w:rFonts w:hint="eastAsia" w:ascii="宋体" w:hAnsi="宋体" w:eastAsia="宋体"/>
          <w:sz w:val="24"/>
          <w:szCs w:val="24"/>
        </w:rPr>
        <w:t xml:space="preserve">接近角/离去角(°)≥</w:t>
      </w:r>
      <w:r>
        <w:rPr>
          <w:rFonts w:ascii="宋体" w:hAnsi="宋体" w:eastAsia="宋体"/>
          <w:sz w:val="24"/>
          <w:szCs w:val="24"/>
        </w:rPr>
        <w:t xml:space="preserve">15</w:t>
      </w:r>
      <w:r>
        <w:rPr>
          <w:rFonts w:hint="eastAsia" w:ascii="宋体" w:hAnsi="宋体" w:eastAsia="宋体"/>
          <w:sz w:val="24"/>
          <w:szCs w:val="24"/>
        </w:rPr>
        <w:t xml:space="preserve">/</w:t>
      </w:r>
      <w:r>
        <w:rPr>
          <w:rFonts w:ascii="宋体" w:hAnsi="宋体" w:eastAsia="宋体"/>
          <w:sz w:val="24"/>
          <w:szCs w:val="24"/>
        </w:rPr>
        <w:t xml:space="preserve">20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lang w:val="en-US" w:eastAsia="zh-CN"/>
        </w:rPr>
        <w:t xml:space="preserve">前悬/后悬（mm）</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1500</w:t>
      </w:r>
      <w:r>
        <w:rPr>
          <w:rFonts w:ascii="宋体" w:hAnsi="宋体"/>
          <w:sz w:val="24"/>
          <w:szCs w:val="24"/>
          <w:highlight w:val="none"/>
        </w:rPr>
        <w:t xml:space="preserve">/</w:t>
      </w:r>
      <w:r>
        <w:rPr>
          <w:rFonts w:hint="eastAsia" w:ascii="宋体" w:hAnsi="宋体"/>
          <w:sz w:val="24"/>
          <w:szCs w:val="24"/>
          <w:highlight w:val="none"/>
          <w:lang w:val="en-US" w:eastAsia="zh-CN"/>
        </w:rPr>
        <w:t xml:space="preserve">1300</w:t>
      </w:r>
      <w:r/>
    </w:p>
    <w:p>
      <w:pPr>
        <w:pStyle w:val="770"/>
        <w:numPr>
          <w:ilvl w:val="0"/>
          <w:numId w:val="3"/>
        </w:numPr>
        <w:spacing w:line="360" w:lineRule="auto"/>
        <w:rPr>
          <w:rFonts w:ascii="宋体" w:hAnsi="宋体" w:eastAsia="宋体"/>
          <w:sz w:val="24"/>
          <w:szCs w:val="24"/>
        </w:rPr>
      </w:pPr>
      <w:r>
        <w:rPr>
          <w:rFonts w:hint="eastAsia" w:ascii="仿宋" w:hAnsi="仿宋" w:eastAsia="仿宋" w:cs="仿宋"/>
          <w:sz w:val="24"/>
        </w:rPr>
        <w:t xml:space="preserve">★</w:t>
      </w:r>
      <w:r>
        <w:rPr>
          <w:rFonts w:hint="eastAsia" w:ascii="宋体"/>
          <w:sz w:val="24"/>
          <w:szCs w:val="24"/>
        </w:rPr>
        <w:t xml:space="preserve">电池总</w:t>
      </w:r>
      <w:r>
        <w:rPr>
          <w:rFonts w:hint="eastAsia" w:ascii="宋体" w:hAnsi="宋体" w:eastAsia="宋体"/>
          <w:sz w:val="24"/>
          <w:szCs w:val="24"/>
        </w:rPr>
        <w:t xml:space="preserve">储电量(</w:t>
      </w:r>
      <w:r>
        <w:rPr>
          <w:rFonts w:ascii="宋体" w:hAnsi="宋体" w:eastAsia="宋体"/>
          <w:sz w:val="24"/>
          <w:szCs w:val="24"/>
        </w:rPr>
        <w:t xml:space="preserve">kwh</w:t>
      </w:r>
      <w:r>
        <w:rPr>
          <w:rFonts w:hint="eastAsia" w:ascii="宋体" w:hAnsi="宋体" w:eastAsia="宋体"/>
          <w:sz w:val="24"/>
          <w:szCs w:val="24"/>
        </w:rPr>
        <w:t xml:space="preserve">)≥</w:t>
      </w:r>
      <w:r>
        <w:rPr>
          <w:rFonts w:ascii="宋体" w:hAnsi="宋体" w:eastAsia="宋体"/>
          <w:sz w:val="24"/>
          <w:szCs w:val="24"/>
        </w:rPr>
        <w:t xml:space="preserve">350</w:t>
      </w:r>
      <w:r/>
    </w:p>
    <w:p>
      <w:pPr>
        <w:pStyle w:val="770"/>
        <w:numPr>
          <w:ilvl w:val="0"/>
          <w:numId w:val="0"/>
        </w:numPr>
        <w:spacing w:line="360" w:lineRule="auto"/>
        <w:rPr>
          <w:rFonts w:hint="eastAsia" w:ascii="宋体" w:hAnsi="宋体" w:eastAsia="宋体"/>
          <w:sz w:val="24"/>
          <w:szCs w:val="24"/>
        </w:rPr>
      </w:pPr>
      <w:r>
        <w:rPr>
          <w:rFonts w:hint="eastAsia" w:ascii="宋体" w:hAnsi="宋体"/>
          <w:sz w:val="24"/>
          <w:szCs w:val="24"/>
          <w:lang w:val="en-US" w:eastAsia="zh-CN"/>
        </w:rPr>
        <w:t xml:space="preserve">8.</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轴距（</w:t>
      </w:r>
      <w:r>
        <w:rPr>
          <w:rFonts w:hint="eastAsia" w:ascii="宋体" w:hAnsi="宋体" w:eastAsia="宋体"/>
          <w:sz w:val="24"/>
          <w:szCs w:val="24"/>
        </w:rPr>
        <w:t xml:space="preserve">mm</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≥1800+</w:t>
      </w:r>
      <w:r>
        <w:rPr>
          <w:rFonts w:hint="eastAsia" w:ascii="宋体" w:hAnsi="宋体" w:eastAsia="宋体"/>
          <w:sz w:val="24"/>
          <w:szCs w:val="24"/>
          <w:lang w:val="en-US" w:eastAsia="zh-CN"/>
        </w:rPr>
        <w:t xml:space="preserve">3820</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35</w:t>
      </w:r>
      <w:r>
        <w:rPr>
          <w:rFonts w:hint="eastAsia" w:ascii="宋体" w:hAnsi="宋体" w:eastAsia="宋体"/>
          <w:sz w:val="24"/>
          <w:szCs w:val="24"/>
        </w:rPr>
        <w:t xml:space="preserve">0</w:t>
      </w:r>
      <w:r/>
    </w:p>
    <w:p>
      <w:pPr>
        <w:pStyle w:val="770"/>
        <w:numPr>
          <w:ilvl w:val="0"/>
          <w:numId w:val="0"/>
        </w:numPr>
        <w:spacing w:line="360" w:lineRule="auto"/>
        <w:rPr>
          <w:rFonts w:hint="eastAsia" w:ascii="宋体" w:hAnsi="宋体" w:eastAsia="宋体"/>
          <w:sz w:val="24"/>
          <w:szCs w:val="24"/>
        </w:rPr>
      </w:pPr>
      <w:r>
        <w:rPr>
          <w:rFonts w:hint="eastAsia" w:ascii="宋体" w:hAnsi="宋体"/>
          <w:sz w:val="24"/>
          <w:szCs w:val="24"/>
          <w:lang w:val="en-US" w:eastAsia="zh-CN"/>
        </w:rPr>
        <w:t xml:space="preserve">9.</w:t>
      </w:r>
      <w:r>
        <w:rPr>
          <w:rFonts w:hint="eastAsia" w:ascii="宋体" w:hAnsi="宋体" w:eastAsia="宋体"/>
          <w:sz w:val="24"/>
          <w:szCs w:val="24"/>
          <w:lang w:val="zh-CN"/>
        </w:rPr>
        <w:t xml:space="preserve">钩心高度</w:t>
      </w:r>
      <w:r>
        <w:rPr>
          <w:rFonts w:hint="eastAsia" w:ascii="宋体" w:hAnsi="宋体" w:eastAsia="宋体"/>
          <w:sz w:val="24"/>
          <w:szCs w:val="24"/>
        </w:rPr>
        <w:t xml:space="preserve">(mm):1570±10</w:t>
      </w:r>
      <w:r/>
    </w:p>
    <w:p>
      <w:pPr>
        <w:pStyle w:val="770"/>
        <w:numPr>
          <w:ilvl w:val="0"/>
          <w:numId w:val="0"/>
        </w:numPr>
        <w:spacing w:line="360" w:lineRule="auto"/>
        <w:rPr>
          <w:rFonts w:ascii="宋体" w:hAnsi="宋体" w:eastAsia="宋体"/>
          <w:sz w:val="24"/>
          <w:szCs w:val="24"/>
        </w:rPr>
      </w:pPr>
      <w:r>
        <w:rPr>
          <w:rFonts w:hint="eastAsia" w:ascii="宋体" w:hAnsi="宋体" w:eastAsia="宋体"/>
          <w:sz w:val="24"/>
          <w:szCs w:val="24"/>
          <w:lang w:val="en-US" w:eastAsia="zh-CN"/>
        </w:rPr>
        <w:t xml:space="preserve">10.</w:t>
      </w:r>
      <w:r>
        <w:rPr>
          <w:rFonts w:hint="eastAsia" w:ascii="宋体" w:hAnsi="宋体" w:eastAsia="宋体"/>
          <w:sz w:val="24"/>
          <w:szCs w:val="24"/>
        </w:rPr>
        <w:t xml:space="preserve">外导入宽度</w:t>
      </w:r>
      <w:r>
        <w:rPr>
          <w:rFonts w:ascii="宋体" w:hAnsi="宋体" w:eastAsia="宋体"/>
          <w:sz w:val="24"/>
          <w:szCs w:val="24"/>
        </w:rPr>
        <w:t xml:space="preserve">(mm):1070±10</w:t>
      </w:r>
      <w:r/>
    </w:p>
    <w:p>
      <w:pPr>
        <w:pStyle w:val="753"/>
        <w:jc w:val="left"/>
        <w:spacing w:line="360" w:lineRule="auto"/>
        <w:tabs>
          <w:tab w:val="left" w:pos="1080" w:leader="none"/>
          <w:tab w:val="left" w:pos="1260" w:leader="none"/>
          <w:tab w:val="left" w:pos="1620" w:leader="none"/>
          <w:tab w:val="left" w:pos="1800" w:leader="none"/>
          <w:tab w:val="left" w:pos="1980" w:leader="none"/>
          <w:tab w:val="left" w:pos="2160" w:leader="none"/>
        </w:tabs>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二</w:t>
      </w:r>
      <w:r>
        <w:rPr>
          <w:rFonts w:hint="eastAsia" w:ascii="宋体" w:hAnsi="宋体" w:cs="宋体"/>
          <w:b/>
          <w:bCs/>
          <w:lang w:eastAsia="zh-CN"/>
        </w:rPr>
        <w:t xml:space="preserve">）</w:t>
      </w:r>
      <w:r>
        <w:rPr>
          <w:rFonts w:hint="eastAsia" w:ascii="宋体" w:hAnsi="宋体" w:cs="宋体"/>
          <w:b/>
          <w:bCs/>
        </w:rPr>
        <w:t xml:space="preserve">主要性能特点</w:t>
      </w:r>
      <w:r/>
    </w:p>
    <w:p>
      <w:pPr>
        <w:pStyle w:val="770"/>
        <w:numPr>
          <w:ilvl w:val="0"/>
          <w:numId w:val="4"/>
        </w:numPr>
        <w:spacing w:line="360" w:lineRule="auto"/>
        <w:rPr>
          <w:rFonts w:ascii="宋体" w:hAnsi="宋体" w:eastAsia="宋体"/>
          <w:sz w:val="24"/>
          <w:szCs w:val="24"/>
        </w:rPr>
      </w:pPr>
      <w:r>
        <w:rPr>
          <w:rFonts w:hint="eastAsia" w:ascii="宋体" w:hAnsi="宋体"/>
          <w:sz w:val="24"/>
          <w:szCs w:val="24"/>
          <w:lang w:val="en-US" w:eastAsia="zh-CN"/>
        </w:rPr>
        <w:t xml:space="preserve">为</w:t>
      </w:r>
      <w:r>
        <w:rPr>
          <w:rFonts w:hint="eastAsia" w:ascii="宋体" w:hAnsi="宋体" w:eastAsia="宋体"/>
          <w:sz w:val="24"/>
          <w:szCs w:val="24"/>
        </w:rPr>
        <w:t xml:space="preserve">保护空气环境</w:t>
      </w:r>
      <w:r>
        <w:rPr>
          <w:rFonts w:hint="eastAsia" w:ascii="宋体" w:hAnsi="宋体"/>
          <w:sz w:val="24"/>
          <w:szCs w:val="24"/>
          <w:lang w:eastAsia="zh-CN"/>
        </w:rPr>
        <w:t xml:space="preserve">，</w:t>
      </w:r>
      <w:r>
        <w:rPr>
          <w:rFonts w:hint="eastAsia" w:ascii="宋体" w:hAnsi="宋体" w:eastAsia="宋体"/>
          <w:sz w:val="24"/>
          <w:szCs w:val="24"/>
        </w:rPr>
        <w:t xml:space="preserve">需采用纯电动底盘，</w:t>
      </w:r>
      <w:r>
        <w:rPr>
          <w:rFonts w:hint="eastAsia" w:ascii="宋体" w:hAnsi="宋体"/>
          <w:sz w:val="24"/>
          <w:szCs w:val="24"/>
          <w:lang w:val="en-US" w:eastAsia="zh-CN"/>
        </w:rPr>
        <w:t xml:space="preserve">电池为全新的</w:t>
      </w:r>
      <w:r>
        <w:rPr>
          <w:rFonts w:hint="eastAsia" w:ascii="宋体"/>
          <w:sz w:val="24"/>
          <w:szCs w:val="24"/>
        </w:rPr>
        <w:t xml:space="preserve">磷酸铁锂电池或优于</w:t>
      </w:r>
      <w:r>
        <w:rPr>
          <w:rFonts w:hint="eastAsia" w:ascii="宋体"/>
          <w:sz w:val="24"/>
          <w:szCs w:val="24"/>
          <w:lang w:eastAsia="zh-CN"/>
        </w:rPr>
        <w:t xml:space="preserve">，</w:t>
      </w:r>
      <w:r>
        <w:rPr>
          <w:rFonts w:hint="eastAsia" w:ascii="宋体"/>
          <w:sz w:val="24"/>
          <w:szCs w:val="24"/>
          <w:lang w:val="en-US" w:eastAsia="zh-CN"/>
        </w:rPr>
        <w:t xml:space="preserve">驱动电机峰值功率不低于400kw。</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需</w:t>
      </w:r>
      <w:r>
        <w:rPr>
          <w:rFonts w:ascii="宋体" w:hAnsi="宋体"/>
          <w:sz w:val="24"/>
          <w:szCs w:val="24"/>
        </w:rPr>
        <w:t xml:space="preserve">配有</w:t>
      </w:r>
      <w:r>
        <w:rPr>
          <w:rFonts w:hint="eastAsia" w:ascii="宋体" w:hAnsi="宋体"/>
          <w:sz w:val="24"/>
          <w:szCs w:val="24"/>
        </w:rPr>
        <w:t xml:space="preserve">拉臂装置，具有拉箱、卸箱和卸料功能</w:t>
      </w:r>
      <w:r>
        <w:rPr>
          <w:rFonts w:hint="eastAsia" w:ascii="宋体" w:hAnsi="宋体"/>
          <w:sz w:val="24"/>
          <w:szCs w:val="24"/>
          <w:lang w:eastAsia="zh-CN"/>
        </w:rPr>
        <w:t xml:space="preserve">，</w:t>
      </w:r>
      <w:r>
        <w:rPr>
          <w:rFonts w:hint="eastAsia" w:ascii="宋体" w:hAnsi="宋体"/>
          <w:sz w:val="24"/>
          <w:szCs w:val="24"/>
          <w:lang w:val="en-US" w:eastAsia="zh-CN"/>
        </w:rPr>
        <w:t xml:space="preserve">要求提升能力不低于26吨</w:t>
      </w:r>
      <w:r>
        <w:rPr>
          <w:rFonts w:hint="eastAsia" w:ascii="宋体" w:hAnsi="宋体"/>
          <w:sz w:val="24"/>
          <w:szCs w:val="24"/>
        </w:rPr>
        <w:t xml:space="preserve">。</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拉臂装置需</w:t>
      </w:r>
      <w:r>
        <w:rPr>
          <w:rFonts w:ascii="宋体" w:hAnsi="宋体"/>
          <w:sz w:val="24"/>
          <w:szCs w:val="24"/>
        </w:rPr>
        <w:t xml:space="preserve">装有</w:t>
      </w:r>
      <w:r>
        <w:rPr>
          <w:rFonts w:hint="eastAsia" w:ascii="宋体" w:hAnsi="宋体"/>
          <w:sz w:val="24"/>
          <w:szCs w:val="24"/>
        </w:rPr>
        <w:t xml:space="preserve">箱体锁，用于锁紧箱体，限制箱体移动，保证安全运输，在卸料过程中起到保护拉臂装置的作用。</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拉臂的关键部位需采用高强度精铸件，提高安全性和延长使用寿命</w:t>
      </w:r>
      <w:r>
        <w:rPr>
          <w:rFonts w:hint="eastAsia" w:ascii="宋体" w:hAnsi="宋体"/>
          <w:sz w:val="24"/>
          <w:szCs w:val="24"/>
          <w:lang w:eastAsia="zh-CN"/>
        </w:rPr>
        <w:t xml:space="preserve">；</w:t>
      </w:r>
      <w:r>
        <w:rPr>
          <w:rFonts w:hint="eastAsia" w:ascii="宋体" w:hAnsi="宋体" w:eastAsia="宋体"/>
          <w:sz w:val="24"/>
          <w:szCs w:val="24"/>
        </w:rPr>
        <w:t xml:space="preserve">拉臂上装需设置有多层电液互锁逻辑控制装置，如</w:t>
      </w:r>
      <w:r>
        <w:rPr>
          <w:rFonts w:ascii="宋体" w:hAnsi="宋体" w:eastAsia="宋体"/>
          <w:sz w:val="24"/>
          <w:szCs w:val="24"/>
        </w:rPr>
        <w:t xml:space="preserve">：</w:t>
      </w:r>
      <w:r>
        <w:rPr>
          <w:rFonts w:hint="eastAsia" w:ascii="宋体" w:hAnsi="宋体" w:eastAsia="宋体"/>
          <w:sz w:val="24"/>
          <w:szCs w:val="24"/>
        </w:rPr>
        <w:t xml:space="preserve">在卸料工况时，需要箱体锁和自卸锁锁上以后，箱体才能举升卸料；卸料过程中，箱体锁与前架不能动作。</w:t>
      </w:r>
      <w:r/>
    </w:p>
    <w:p>
      <w:pPr>
        <w:pStyle w:val="770"/>
        <w:numPr>
          <w:ilvl w:val="0"/>
          <w:numId w:val="4"/>
        </w:numPr>
        <w:spacing w:line="360" w:lineRule="auto"/>
        <w:rPr>
          <w:rFonts w:ascii="宋体" w:hAnsi="宋体" w:eastAsia="宋体"/>
          <w:sz w:val="24"/>
          <w:szCs w:val="24"/>
        </w:rPr>
      </w:pPr>
      <w:r>
        <w:rPr>
          <w:rFonts w:hint="eastAsia" w:ascii="宋体" w:hAnsi="宋体"/>
          <w:sz w:val="24"/>
          <w:szCs w:val="24"/>
          <w:lang w:val="en-US" w:eastAsia="zh-CN"/>
        </w:rPr>
        <w:t xml:space="preserve">操作者既可以</w:t>
      </w:r>
      <w:r>
        <w:rPr>
          <w:rFonts w:hint="eastAsia" w:ascii="宋体" w:hAnsi="宋体"/>
          <w:sz w:val="24"/>
          <w:szCs w:val="24"/>
        </w:rPr>
        <w:t xml:space="preserve">在驾驶室内通过操作盒完成所有动作的</w:t>
      </w:r>
      <w:r>
        <w:rPr>
          <w:rFonts w:ascii="宋体" w:hAnsi="宋体"/>
          <w:sz w:val="24"/>
          <w:szCs w:val="24"/>
        </w:rPr>
        <w:t xml:space="preserve">控制</w:t>
      </w:r>
      <w:r>
        <w:rPr>
          <w:rFonts w:hint="eastAsia" w:ascii="宋体" w:hAnsi="宋体"/>
          <w:sz w:val="24"/>
          <w:szCs w:val="24"/>
          <w:lang w:eastAsia="zh-CN"/>
        </w:rPr>
        <w:t xml:space="preserve">，</w:t>
      </w:r>
      <w:r>
        <w:rPr>
          <w:rFonts w:hint="eastAsia" w:ascii="宋体" w:hAnsi="宋体"/>
          <w:sz w:val="24"/>
          <w:szCs w:val="24"/>
          <w:lang w:val="en-US" w:eastAsia="zh-CN"/>
        </w:rPr>
        <w:t xml:space="preserve">又</w:t>
      </w:r>
      <w:r>
        <w:rPr>
          <w:rFonts w:hint="eastAsia" w:ascii="宋体" w:hAnsi="宋体"/>
          <w:sz w:val="24"/>
          <w:szCs w:val="24"/>
        </w:rPr>
        <w:t xml:space="preserve">可坐在驾驶座上或站立于驾驶室外，通过手持操作盒</w:t>
      </w:r>
      <w:r>
        <w:rPr>
          <w:rFonts w:hint="eastAsia" w:ascii="宋体" w:hAnsi="宋体"/>
          <w:sz w:val="24"/>
          <w:szCs w:val="24"/>
          <w:lang w:val="en-US" w:eastAsia="zh-CN"/>
        </w:rPr>
        <w:t xml:space="preserve">完成</w:t>
      </w:r>
      <w:r>
        <w:rPr>
          <w:rFonts w:hint="eastAsia" w:ascii="宋体" w:hAnsi="宋体"/>
          <w:sz w:val="24"/>
          <w:szCs w:val="24"/>
        </w:rPr>
        <w:t xml:space="preserve">动作。</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液压系统中需设置箱体缓冲回落装置，当箱体下降到一定角度后，电路控制液压系统中的缓冲阀，使箱体能平缓的下降到车辆上，避免刚性冲击。</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车辆需配置蜂鸣器，车辆拉臂上装进行动作时发出声音报警，对作业区域人员提出警示，确保人身设备安全。</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车辆尾部需安装有后滚轮支撑装置，</w:t>
      </w:r>
      <w:r>
        <w:rPr>
          <w:rFonts w:ascii="宋体" w:hAnsi="宋体" w:cs="宋体"/>
          <w:color w:val="000000"/>
          <w:sz w:val="24"/>
        </w:rPr>
        <w:t xml:space="preserve">钩臂车</w:t>
      </w:r>
      <w:r>
        <w:rPr>
          <w:rFonts w:hint="eastAsia" w:ascii="宋体" w:hAnsi="宋体"/>
          <w:sz w:val="24"/>
          <w:szCs w:val="24"/>
        </w:rPr>
        <w:t xml:space="preserve">拉满载箱体前将后滚轮支撑在地面，防止车辆向后倾翻。</w:t>
      </w:r>
      <w:r>
        <w:rPr>
          <w:rFonts w:hint="eastAsia" w:ascii="宋体" w:hAnsi="宋体"/>
          <w:sz w:val="24"/>
          <w:szCs w:val="24"/>
          <w:lang w:eastAsia="zh-CN"/>
        </w:rPr>
        <w:t xml:space="preserve">（</w:t>
      </w:r>
      <w:r>
        <w:rPr>
          <w:rFonts w:hint="eastAsia" w:ascii="宋体" w:hAnsi="宋体"/>
          <w:sz w:val="24"/>
          <w:szCs w:val="24"/>
          <w:lang w:val="en-US" w:eastAsia="zh-CN"/>
        </w:rPr>
        <w:t xml:space="preserve">考虑安全性能，需提供实物照片证明</w:t>
      </w:r>
      <w:r>
        <w:rPr>
          <w:rFonts w:hint="eastAsia" w:ascii="宋体" w:hAnsi="宋体"/>
          <w:sz w:val="24"/>
          <w:szCs w:val="24"/>
          <w:lang w:eastAsia="zh-CN"/>
        </w:rPr>
        <w:t xml:space="preserve">）</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车辆需装配有安全支撑装置，车辆因维修需要举升拉臂时，可撑起安全撑杆，保护维修人员安</w:t>
      </w:r>
      <w:r>
        <w:rPr>
          <w:rFonts w:hint="eastAsia" w:ascii="宋体" w:hAnsi="宋体"/>
          <w:sz w:val="24"/>
          <w:szCs w:val="24"/>
          <w:highlight w:val="none"/>
        </w:rPr>
        <w:t xml:space="preserve">全。</w:t>
      </w:r>
      <w:r>
        <w:rPr>
          <w:rFonts w:hint="eastAsia" w:ascii="宋体" w:hAnsi="宋体"/>
          <w:sz w:val="24"/>
          <w:szCs w:val="24"/>
          <w:lang w:eastAsia="zh-CN"/>
        </w:rPr>
        <w:t xml:space="preserve">（</w:t>
      </w:r>
      <w:r>
        <w:rPr>
          <w:rFonts w:hint="eastAsia" w:ascii="宋体" w:hAnsi="宋体"/>
          <w:sz w:val="24"/>
          <w:szCs w:val="24"/>
          <w:lang w:val="en-US" w:eastAsia="zh-CN"/>
        </w:rPr>
        <w:t xml:space="preserve">考虑安全性能，需提供实物照片证明</w:t>
      </w:r>
      <w:r>
        <w:rPr>
          <w:rFonts w:hint="eastAsia" w:ascii="宋体" w:hAnsi="宋体"/>
          <w:sz w:val="24"/>
          <w:szCs w:val="24"/>
          <w:lang w:eastAsia="zh-CN"/>
        </w:rPr>
        <w:t xml:space="preserve">）</w:t>
      </w:r>
      <w:r/>
    </w:p>
    <w:p>
      <w:pPr>
        <w:pStyle w:val="770"/>
        <w:numPr>
          <w:ilvl w:val="0"/>
          <w:numId w:val="4"/>
        </w:numPr>
        <w:spacing w:line="360" w:lineRule="auto"/>
        <w:rPr>
          <w:rFonts w:hint="eastAsia" w:ascii="宋体" w:hAnsi="宋体"/>
          <w:sz w:val="24"/>
          <w:szCs w:val="24"/>
        </w:rPr>
      </w:pPr>
      <w:r>
        <w:rPr>
          <w:rFonts w:hint="eastAsia" w:ascii="宋体" w:hAnsi="宋体"/>
          <w:sz w:val="24"/>
          <w:szCs w:val="24"/>
          <w:lang w:val="en-US" w:eastAsia="zh-CN"/>
        </w:rPr>
        <w:t xml:space="preserve">★投标车辆必须和当地现有28立方垃圾箱配套使用，和现有车厢可卸式垃圾车通用使用。（此条须出具承诺书，格式自拟）。</w:t>
      </w:r>
      <w:r/>
    </w:p>
    <w:p>
      <w:pPr>
        <w:pStyle w:val="707"/>
        <w:ind w:left="0" w:right="0" w:firstLine="0"/>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707"/>
        <w:ind w:left="0" w:right="0" w:firstLine="3092"/>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240KW充电桩</w:t>
      </w:r>
      <w:r/>
    </w:p>
    <w:p>
      <w:pPr>
        <w:pStyle w:val="718"/>
        <w:numPr>
          <w:ilvl w:val="0"/>
          <w:numId w:val="5"/>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参数要求：额定功率（kw）≥240，具备双枪充电。</w:t>
      </w:r>
      <w:r/>
    </w:p>
    <w:p>
      <w:pPr>
        <w:pStyle w:val="718"/>
        <w:numPr>
          <w:ilvl w:val="0"/>
          <w:numId w:val="5"/>
        </w:numPr>
        <w:ind w:left="0" w:firstLine="0"/>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主机尺寸（mm）：≥900（宽）×650（深）×1850（高）。</w:t>
      </w:r>
      <w:r/>
    </w:p>
    <w:p>
      <w:r/>
      <w:r/>
    </w:p>
    <w:p>
      <w:pPr>
        <w:rPr>
          <w:rFonts w:hint="eastAsia"/>
        </w:rPr>
      </w:pPr>
      <w:r>
        <w:rPr>
          <w:rFonts w:hint="eastAsia"/>
        </w:rPr>
      </w:r>
      <w:r/>
    </w:p>
    <w:p>
      <w:pPr>
        <w:pStyle w:val="707"/>
        <w:ind w:left="0" w:right="0" w:firstLine="0"/>
        <w:jc w:val="center"/>
        <w:spacing w:before="0" w:after="0"/>
        <w:rPr>
          <w:rFonts w:hint="eastAsia" w:ascii="仿宋" w:hAnsi="仿宋" w:eastAsia="仿宋" w:cs="仿宋"/>
          <w:b/>
          <w:bCs/>
          <w:sz w:val="28"/>
          <w:szCs w:val="28"/>
        </w:rPr>
      </w:pPr>
      <w:r>
        <w:rPr>
          <w:rFonts w:hint="eastAsia" w:ascii="仿宋" w:hAnsi="仿宋" w:eastAsia="仿宋" w:cs="仿宋"/>
          <w:b/>
          <w:bCs/>
          <w:sz w:val="28"/>
          <w:szCs w:val="28"/>
        </w:rPr>
        <w:t xml:space="preserve">4</w:t>
      </w:r>
      <w:r>
        <w:rPr>
          <w:rFonts w:ascii="仿宋" w:hAnsi="仿宋" w:eastAsia="仿宋" w:cs="仿宋"/>
          <w:b/>
          <w:bCs/>
          <w:sz w:val="28"/>
          <w:szCs w:val="28"/>
        </w:rPr>
        <w:t xml:space="preserve">00KW</w:t>
      </w:r>
      <w:r>
        <w:rPr>
          <w:rFonts w:hint="eastAsia" w:ascii="仿宋" w:hAnsi="仿宋" w:eastAsia="仿宋" w:cs="仿宋"/>
          <w:b/>
          <w:bCs/>
          <w:sz w:val="28"/>
          <w:szCs w:val="28"/>
        </w:rPr>
        <w:t xml:space="preserve">充电桩</w:t>
      </w:r>
      <w:r/>
    </w:p>
    <w:p>
      <w:pPr>
        <w:pStyle w:val="718"/>
        <w:numPr>
          <w:ilvl w:val="0"/>
          <w:numId w:val="6"/>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参数要求：额定功率（kw）≥400，具备双枪充电。</w:t>
      </w:r>
      <w:r/>
    </w:p>
    <w:p>
      <w:pPr>
        <w:pStyle w:val="718"/>
        <w:numPr>
          <w:ilvl w:val="0"/>
          <w:numId w:val="6"/>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主机尺寸（mm），≥900（宽）×650（深）×1850（高）。</w:t>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en-US"/>
        </w:rPr>
        <w:t xml:space="preserve">、项目</w:t>
      </w:r>
      <w:r>
        <w:rPr>
          <w:rFonts w:hint="eastAsia" w:ascii="仿宋" w:hAnsi="仿宋" w:eastAsia="仿宋" w:cs="仿宋"/>
          <w:b/>
          <w:bCs/>
          <w:sz w:val="28"/>
          <w:szCs w:val="28"/>
          <w:highlight w:val="none"/>
        </w:rPr>
        <w:t xml:space="preserve">实施要求</w:t>
      </w:r>
      <w:r/>
    </w:p>
    <w:p>
      <w:pPr>
        <w:numPr>
          <w:ilvl w:val="0"/>
          <w:numId w:val="0"/>
        </w:numPr>
        <w:jc w:val="both"/>
        <w:keepLines w:val="0"/>
        <w:keepNext w:val="0"/>
        <w:pageBreakBefore w:val="0"/>
        <w:spacing w:after="12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rFonts w:hint="eastAsia" w:ascii="宋体" w:hAnsi="宋体" w:cs="宋体"/>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注：投标人在投标文件中提供承诺函，格式自拟，对产品的合法渠道进行说明。</w:t>
      </w:r>
      <w:r>
        <w:rPr>
          <w:rFonts w:hint="eastAsia" w:ascii="宋体" w:hAnsi="宋体" w:cs="宋体"/>
          <w:color w:val="000000"/>
          <w:sz w:val="24"/>
          <w:szCs w:val="24"/>
          <w:highlight w:val="none"/>
          <w:lang w:val="en-US" w:eastAsia="zh-CN" w:bidi="ar-SA"/>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、投标人安装调试时采取必要的安全措施，如有意外或事故发生，由中标人（合同卖方）负全部责任。</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六、</w:t>
      </w:r>
      <w:r>
        <w:rPr>
          <w:rFonts w:hint="eastAsia" w:ascii="仿宋" w:hAnsi="仿宋" w:eastAsia="仿宋" w:cs="仿宋"/>
          <w:b/>
          <w:sz w:val="28"/>
          <w:szCs w:val="28"/>
          <w:highlight w:val="none"/>
        </w:rPr>
        <w:t xml:space="preserve">验收标准</w:t>
      </w:r>
      <w:r/>
    </w:p>
    <w:p>
      <w:pPr>
        <w:ind w:right="-1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1、验收依据：相关国家标准、行业标准。</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2、验收的时间、方式、程序要求：见招标文件第五章《拟签订的合同文本》第九条。</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3</w:t>
      </w:r>
      <w:r>
        <w:rPr>
          <w:rFonts w:hint="eastAsia" w:ascii="宋体" w:hAnsi="宋体" w:eastAsia="宋体" w:cs="宋体"/>
          <w:bCs/>
          <w:color w:val="000000"/>
          <w:sz w:val="24"/>
          <w:szCs w:val="24"/>
          <w:highlight w:val="none"/>
        </w:rPr>
        <w:t xml:space="preserve">、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七</w:t>
      </w:r>
      <w:r>
        <w:rPr>
          <w:rFonts w:hint="eastAsia" w:ascii="仿宋" w:hAnsi="仿宋" w:eastAsia="仿宋" w:cs="仿宋"/>
          <w:b/>
          <w:color w:val="000000"/>
          <w:sz w:val="28"/>
          <w:szCs w:val="28"/>
          <w:highlight w:val="none"/>
        </w:rPr>
        <w:t xml:space="preserve">、售后服务要求</w:t>
      </w:r>
      <w:r/>
    </w:p>
    <w:p>
      <w:pPr>
        <w:spacing w:line="560" w:lineRule="exact"/>
        <w:rPr>
          <w:rFonts w:hint="eastAsia" w:ascii="宋体" w:hAnsi="宋体" w:eastAsia="宋体" w:cs="宋体"/>
          <w:b w:val="0"/>
          <w:bCs/>
          <w:color w:val="000000"/>
          <w:sz w:val="24"/>
          <w:szCs w:val="24"/>
          <w:highlight w:val="none"/>
        </w:rPr>
        <w:outlineLvl w:val="0"/>
      </w:pPr>
      <w:r>
        <w:rPr>
          <w:rFonts w:hint="eastAsia" w:ascii="宋体" w:hAnsi="宋体" w:eastAsia="宋体" w:cs="宋体"/>
          <w:b/>
          <w:bCs w:val="0"/>
          <w:color w:val="000000"/>
          <w:sz w:val="24"/>
          <w:szCs w:val="24"/>
          <w:highlight w:val="none"/>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2、在质保期内，对采购人所提出的维修要求</w:t>
      </w:r>
      <w:r>
        <w:rPr>
          <w:rFonts w:hint="eastAsia" w:ascii="宋体" w:hAnsi="宋体" w:cs="宋体"/>
          <w:bCs/>
          <w:color w:val="000000"/>
          <w:sz w:val="24"/>
          <w:szCs w:val="24"/>
          <w:highlight w:val="none"/>
          <w:lang w:val="en-US" w:eastAsia="zh-CN"/>
        </w:rPr>
        <w:t xml:space="preserve">在30分钟内</w:t>
      </w:r>
      <w:r>
        <w:rPr>
          <w:rFonts w:hint="eastAsia" w:ascii="宋体" w:hAnsi="宋体" w:eastAsia="宋体" w:cs="宋体"/>
          <w:bCs/>
          <w:color w:val="000000"/>
          <w:sz w:val="24"/>
          <w:szCs w:val="24"/>
          <w:highlight w:val="none"/>
        </w:rPr>
        <w:t xml:space="preserve">响应，并提供应急策略；严格按照招标文件要求及时供货，并向采购人提供及时的完善的售前、售中、售后服务。</w:t>
      </w:r>
      <w:r/>
    </w:p>
    <w:p>
      <w:pPr>
        <w:spacing w:line="360" w:lineRule="auto"/>
        <w:rPr>
          <w:rFonts w:hint="eastAsia" w:ascii="仿宋" w:hAnsi="仿宋" w:eastAsia="仿宋" w:cs="仿宋"/>
          <w:highlight w:val="none"/>
        </w:rPr>
      </w:pP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、其他要求：见招标文件第五章《拟签订的合同文本》</w:t>
      </w:r>
      <w:r>
        <w:rPr>
          <w:rFonts w:hint="eastAsia" w:ascii="仿宋" w:hAnsi="仿宋" w:eastAsia="仿宋" w:cs="仿宋"/>
          <w:b/>
          <w:sz w:val="28"/>
          <w:szCs w:val="28"/>
          <w:highlight w:val="none"/>
          <w:lang w:eastAsia="zh-CN"/>
        </w:rPr>
        <w:t xml:space="preserve">。</w:t>
      </w:r>
      <w:r>
        <w:rPr>
          <w:rFonts w:hint="eastAsia" w:ascii="仿宋" w:hAnsi="仿宋" w:eastAsia="仿宋" w:cs="仿宋"/>
          <w:b/>
          <w:sz w:val="30"/>
          <w:highlight w:val="none"/>
        </w:rPr>
        <w:br w:type="page" w:clear="all"/>
      </w:r>
      <w:r>
        <w:rPr>
          <w:rFonts w:hint="eastAsia" w:ascii="仿宋" w:hAnsi="仿宋" w:eastAsia="仿宋" w:cs="仿宋"/>
          <w:b/>
          <w:sz w:val="30"/>
          <w:highlight w:val="none"/>
        </w:rPr>
        <w:t xml:space="preserve">第七章 投标文件相关格式</w:t>
      </w:r>
      <w:r/>
    </w:p>
    <w:p>
      <w:pPr>
        <w:ind w:firstLine="1928"/>
        <w:jc w:val="both"/>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一、投标函格式</w:t>
      </w:r>
      <w:r/>
    </w:p>
    <w:p>
      <w:pP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致：</w:t>
      </w:r>
      <w:r>
        <w:rPr>
          <w:rFonts w:hint="eastAsia" w:ascii="仿宋" w:hAnsi="仿宋" w:eastAsia="仿宋" w:cs="仿宋"/>
          <w:sz w:val="30"/>
          <w:highlight w:val="none"/>
          <w:u w:val="single"/>
        </w:rPr>
        <w:t xml:space="preserve"> </w:t>
      </w:r>
      <w:r>
        <w:rPr>
          <w:rFonts w:hint="eastAsia" w:ascii="仿宋" w:hAnsi="仿宋" w:eastAsia="仿宋" w:cs="仿宋"/>
          <w:sz w:val="30"/>
          <w:highlight w:val="none"/>
          <w:u w:val="single"/>
          <w:lang w:eastAsia="zh-CN"/>
        </w:rPr>
        <w:t xml:space="preserve">徐州市云龙区城市管理局</w:t>
      </w:r>
      <w:r>
        <w:rPr>
          <w:rFonts w:hint="eastAsia" w:ascii="仿宋" w:hAnsi="仿宋" w:eastAsia="仿宋" w:cs="仿宋"/>
          <w:sz w:val="30"/>
          <w:highlight w:val="none"/>
          <w:u w:val="single"/>
        </w:rPr>
        <w:t xml:space="preserve">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根据</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项目[项目编号：</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]招标文件，</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(姓名)代表我方</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（投标人的名称）全权处理本次投标的有关事宜。</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据此函，投标人承诺并同意如下：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 投标人唯一投标报价见《开标一览表》。</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 投标人将按招标文件的规定履行合同责任和义务。</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 投标有效期为开标之日后90天。</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 采购人或采购代理机构有权将我单位本项目的《开标一览表》和《分项价格表》予以公示，公示的方式由</w:t>
      </w:r>
      <w:r>
        <w:rPr>
          <w:rFonts w:hint="eastAsia" w:ascii="仿宋" w:hAnsi="仿宋" w:eastAsia="仿宋" w:cs="仿宋"/>
          <w:sz w:val="30"/>
          <w:highlight w:val="none"/>
          <w:lang w:eastAsia="zh-CN"/>
        </w:rPr>
        <w:t xml:space="preserve">徐州维正工程咨询有限公司</w:t>
      </w:r>
      <w:r>
        <w:rPr>
          <w:rFonts w:hint="eastAsia" w:ascii="仿宋" w:hAnsi="仿宋" w:eastAsia="仿宋" w:cs="仿宋"/>
          <w:sz w:val="30"/>
          <w:highlight w:val="none"/>
        </w:rPr>
        <w:t xml:space="preserve">确定。</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 与本投标有关的一切正式往来信函请寄：</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电话：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传真： </w:t>
      </w:r>
      <w:r/>
    </w:p>
    <w:p>
      <w:pPr>
        <w:ind w:firstLine="2700"/>
        <w:spacing w:line="23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27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4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二、开标一览表格式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916"/>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新能源环卫特种作业车辆采购项目-新能源车厢可卸式垃圾车</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7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三、分项价格表格式</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货币单位：人民币元</w:t>
      </w:r>
      <w:r/>
    </w:p>
    <w:p>
      <w:pPr>
        <w:ind w:firstLine="3120"/>
        <w:rPr>
          <w:rFonts w:hint="eastAsia" w:ascii="宋体" w:hAnsi="宋体" w:cs="宋体"/>
          <w:sz w:val="24"/>
          <w:highlight w:val="none"/>
        </w:rPr>
      </w:pPr>
      <w:r>
        <w:rPr>
          <w:rFonts w:hint="eastAsia" w:ascii="宋体" w:hAnsi="宋体" w:cs="宋体"/>
          <w:sz w:val="24"/>
          <w:highlight w:val="none"/>
        </w:rPr>
      </w:r>
      <w:r/>
    </w:p>
    <w:tbl>
      <w:tblPr>
        <w:tblStyle w:val="71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产品制造企业的划分（大型、中型、小型、微型、监狱企业、</w:t>
            </w:r>
            <w:r>
              <w:rPr>
                <w:rFonts w:hint="eastAsia" w:ascii="仿宋" w:hAnsi="仿宋" w:eastAsia="仿宋" w:cs="宋体"/>
                <w:sz w:val="24"/>
                <w:highlight w:val="none"/>
              </w:rPr>
              <w:t xml:space="preserve">享受政府采购支持政策的残疾人福利性单位</w:t>
            </w:r>
            <w:r>
              <w:rPr>
                <w:rFonts w:hint="eastAsia" w:ascii="仿宋" w:hAnsi="仿宋" w:eastAsia="仿宋"/>
                <w:sz w:val="24"/>
                <w:highlight w:val="none"/>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b/>
                <w:bCs/>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bl>
    <w:p>
      <w:pPr>
        <w:rPr>
          <w:rFonts w:hint="eastAsia" w:ascii="仿宋" w:hAnsi="仿宋" w:eastAsia="仿宋"/>
          <w:sz w:val="28"/>
          <w:szCs w:val="28"/>
          <w:highlight w:val="none"/>
        </w:rPr>
      </w:pPr>
      <w:r>
        <w:rPr>
          <w:rFonts w:hint="eastAsia" w:ascii="仿宋" w:hAnsi="仿宋" w:eastAsia="仿宋"/>
          <w:sz w:val="28"/>
          <w:szCs w:val="28"/>
          <w:highlight w:val="none"/>
        </w:rPr>
      </w:r>
      <w:r/>
    </w:p>
    <w:p>
      <w:pPr>
        <w:ind w:firstLine="3640"/>
        <w:spacing w:line="30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投标人：（电子签章）</w:t>
      </w:r>
      <w:r/>
    </w:p>
    <w:p>
      <w:pPr>
        <w:ind w:firstLine="364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t xml:space="preserve">说明：</w:t>
      </w:r>
      <w:r/>
    </w:p>
    <w:p>
      <w:pPr>
        <w:ind w:firstLine="420"/>
        <w:widowControl/>
        <w:rPr>
          <w:rFonts w:hint="eastAsia" w:ascii="仿宋" w:hAnsi="仿宋" w:eastAsia="仿宋"/>
          <w:sz w:val="28"/>
          <w:szCs w:val="28"/>
          <w:highlight w:val="none"/>
        </w:rPr>
      </w:pPr>
      <w:r>
        <w:rPr>
          <w:rFonts w:hint="eastAsia" w:ascii="仿宋" w:hAnsi="仿宋" w:eastAsia="仿宋"/>
          <w:b/>
          <w:bCs/>
          <w:sz w:val="28"/>
          <w:szCs w:val="28"/>
          <w:highlight w:val="none"/>
        </w:rPr>
        <w:t xml:space="preserve">1、本表中“产品制造企业的划分”以《政府采购促进中小企业发展管理办法》（财库[2020]046号）</w:t>
      </w:r>
      <w:r>
        <w:rPr>
          <w:rFonts w:hint="eastAsia" w:ascii="仿宋" w:hAnsi="仿宋" w:eastAsia="仿宋"/>
          <w:sz w:val="28"/>
          <w:szCs w:val="28"/>
          <w:highlight w:val="none"/>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highlight w:val="none"/>
        </w:rPr>
      </w:pPr>
      <w:r>
        <w:rPr>
          <w:rFonts w:hint="eastAsia" w:ascii="仿宋" w:hAnsi="仿宋" w:eastAsia="仿宋"/>
          <w:sz w:val="28"/>
          <w:szCs w:val="28"/>
          <w:highlight w:val="none"/>
        </w:rPr>
        <w:tab/>
      </w:r>
      <w:r>
        <w:rPr>
          <w:rFonts w:hint="eastAsia" w:ascii="仿宋" w:hAnsi="仿宋" w:eastAsia="仿宋"/>
          <w:sz w:val="28"/>
          <w:szCs w:val="28"/>
          <w:highlight w:val="none"/>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widowControl/>
        <w:rPr>
          <w:rFonts w:hint="eastAsia" w:ascii="仿宋" w:hAnsi="仿宋" w:eastAsia="仿宋"/>
          <w:sz w:val="28"/>
          <w:szCs w:val="28"/>
          <w:highlight w:val="none"/>
        </w:rPr>
      </w:pPr>
      <w:r>
        <w:rPr>
          <w:rFonts w:hint="eastAsia" w:ascii="仿宋" w:hAnsi="仿宋" w:eastAsia="仿宋" w:cs="宋体"/>
          <w:sz w:val="28"/>
          <w:szCs w:val="28"/>
          <w:highlight w:val="none"/>
        </w:rPr>
        <w:t xml:space="preserve">注：</w:t>
      </w:r>
      <w:r>
        <w:rPr>
          <w:rFonts w:hint="eastAsia" w:ascii="仿宋" w:hAnsi="仿宋" w:eastAsia="仿宋"/>
          <w:sz w:val="28"/>
          <w:szCs w:val="28"/>
          <w:highlight w:val="none"/>
        </w:rPr>
        <w:t xml:space="preserve">1、如果不提供详细分项报价将视为没有实质性响应招标文件。</w:t>
      </w:r>
      <w:r/>
    </w:p>
    <w:p>
      <w:pPr>
        <w:ind w:firstLine="56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2、投标人对以上数据的真实性负责。</w:t>
      </w:r>
      <w:r/>
    </w:p>
    <w:p>
      <w:pPr>
        <w:ind w:firstLine="562"/>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p>
    <w:p>
      <w:pPr>
        <w:ind w:firstLine="560"/>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四、偏离表格式</w:t>
      </w:r>
      <w:r/>
    </w:p>
    <w:p>
      <w:pPr>
        <w:ind w:firstLine="600"/>
        <w:spacing w:line="479" w:lineRule="atLeast"/>
        <w:rPr>
          <w:rFonts w:hint="eastAsia" w:ascii="仿宋" w:hAnsi="仿宋" w:eastAsia="仿宋" w:cs="仿宋"/>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47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tbl>
      <w:tblPr>
        <w:tblStyle w:val="920"/>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注</w:t>
      </w:r>
      <w:r>
        <w:rPr>
          <w:rFonts w:hint="eastAsia" w:ascii="仿宋" w:hAnsi="仿宋" w:eastAsia="仿宋" w:cs="仿宋"/>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71"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五、授权委托书格式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               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统一社会信用代码：</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受托人：        性别：男（女）</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年龄：  岁      民族：  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身份证号：</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兹委托（  ）全权代表我企业（公司）参与（</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特此授权委托。</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委托人（电子签章）：</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b w:val="0"/>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t xml:space="preserve">受托人（签字或盖章）：</w:t>
      </w:r>
      <w:r/>
    </w:p>
    <w:p>
      <w:pPr>
        <w:ind w:firstLine="600"/>
        <w:spacing w:line="479" w:lineRule="atLeast"/>
        <w:rPr>
          <w:rFonts w:hint="eastAsia" w:ascii="仿宋" w:hAnsi="仿宋" w:eastAsia="仿宋" w:cs="仿宋"/>
          <w:b w:val="0"/>
          <w:bCs w:val="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r>
      <w:r/>
    </w:p>
    <w:p>
      <w:pPr>
        <w:pStyle w:val="754"/>
        <w:ind w:left="0" w:firstLine="602"/>
        <w:rPr>
          <w:rFonts w:eastAsia="仿宋"/>
          <w:b w:val="0"/>
          <w:bCs w:val="0"/>
          <w:highlight w:val="none"/>
        </w:rPr>
      </w:pPr>
      <w:r>
        <w:rPr>
          <w:rFonts w:hint="eastAsia" w:ascii="仿宋" w:hAnsi="仿宋" w:eastAsia="仿宋" w:cs="仿宋"/>
          <w:b w:val="0"/>
          <w:bCs w:val="0"/>
          <w:sz w:val="30"/>
          <w:highlight w:val="none"/>
        </w:rPr>
        <w:t xml:space="preserve">受托人联系方式：</w:t>
      </w:r>
      <w:r>
        <w:rPr>
          <w:rFonts w:hint="eastAsia" w:ascii="仿宋" w:hAnsi="仿宋" w:eastAsia="仿宋" w:cs="仿宋"/>
          <w:b w:val="0"/>
          <w:bCs w:val="0"/>
          <w:sz w:val="30"/>
          <w:highlight w:val="none"/>
          <w:lang w:val="en-US" w:eastAsia="zh-CN"/>
        </w:rPr>
        <w:t xml:space="preserve">             </w:t>
      </w:r>
      <w:r>
        <w:rPr>
          <w:rFonts w:hint="eastAsia" w:ascii="仿宋" w:hAnsi="仿宋" w:eastAsia="仿宋" w:cs="仿宋"/>
          <w:b w:val="0"/>
          <w:bCs w:val="0"/>
          <w:sz w:val="30"/>
          <w:highlight w:val="none"/>
        </w:rPr>
        <w:t xml:space="preserve">邮箱：</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法定代表人（负责人）（签字或盖章）： </w:t>
      </w:r>
      <w:r/>
    </w:p>
    <w:p>
      <w:pPr>
        <w:ind w:right="600" w:firstLine="6150"/>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  月</w:t>
      </w:r>
      <w:r>
        <w:rPr>
          <w:rFonts w:hint="eastAsia" w:ascii="仿宋" w:hAnsi="仿宋" w:eastAsia="仿宋" w:cs="仿宋"/>
          <w:sz w:val="30"/>
          <w:highlight w:val="none"/>
          <w:lang w:val="en-US" w:eastAsia="zh-CN"/>
        </w:rPr>
        <w:t xml:space="preserve"> </w:t>
      </w:r>
      <w:r>
        <w:rPr>
          <w:rFonts w:hint="eastAsia" w:ascii="仿宋" w:hAnsi="仿宋" w:eastAsia="仿宋" w:cs="仿宋"/>
          <w:sz w:val="30"/>
          <w:highlight w:val="none"/>
        </w:rPr>
        <w:t xml:space="preserve"> 日</w:t>
      </w:r>
      <w:r>
        <w:rPr>
          <w:rFonts w:hint="eastAsia" w:ascii="仿宋" w:hAnsi="仿宋" w:eastAsia="仿宋" w:cs="仿宋"/>
          <w:b/>
          <w:bCs/>
          <w:sz w:val="30"/>
          <w:highlight w:val="none"/>
        </w:rPr>
        <w:t xml:space="preserve">(受托人身份证扫描件附后)</w:t>
      </w:r>
      <w:r/>
    </w:p>
    <w:p>
      <w:pPr>
        <w:ind w:left="880"/>
        <w:spacing w:line="480" w:lineRule="exact"/>
        <w:rPr>
          <w:rFonts w:hint="eastAsia" w:ascii="宋体" w:hAnsi="宋体" w:cs="宋体"/>
          <w:b/>
          <w:bCs/>
          <w:sz w:val="36"/>
          <w:szCs w:val="36"/>
          <w:highlight w:val="none"/>
          <w:lang w:bidi="zh-CN"/>
        </w:rPr>
      </w:pPr>
      <w:r>
        <w:rPr>
          <w:rFonts w:hint="eastAsia" w:ascii="宋体" w:hAnsi="宋体" w:cs="宋体"/>
          <w:b/>
          <w:bCs/>
          <w:sz w:val="36"/>
          <w:szCs w:val="36"/>
          <w:highlight w:val="none"/>
          <w:lang w:bidi="zh-CN"/>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六、具备履行合同所必需的设备和专业技术能力的</w:t>
      </w:r>
      <w:r/>
    </w:p>
    <w:p>
      <w:pPr>
        <w:jc w:val="center"/>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书面声明</w:t>
      </w:r>
      <w:r/>
    </w:p>
    <w:p>
      <w:pPr>
        <w:ind w:firstLine="600"/>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sz w:val="30"/>
          <w:szCs w:val="30"/>
        </w:rPr>
        <w:t xml:space="preserve">，项目编号：</w:t>
      </w:r>
      <w:r>
        <w:rPr>
          <w:rFonts w:hint="eastAsia" w:ascii="仿宋" w:hAnsi="仿宋" w:eastAsia="仿宋" w:cs="仿宋"/>
          <w:sz w:val="30"/>
          <w:highlight w:val="none"/>
          <w:lang w:eastAsia="zh-CN"/>
        </w:rPr>
        <w:t xml:space="preserve">JSZC-320303-XZWZ-G2026-0002</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七、投标人相关承诺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我单位对上述承诺负责，并依法承担相应责任。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t xml:space="preserve">日期：   年  月  日</w:t>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八、投标人书面声明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562"/>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before="100" w:after="100"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、中小企业声明函格式</w:t>
      </w:r>
      <w:r/>
    </w:p>
    <w:p>
      <w:pPr>
        <w:ind w:firstLine="560"/>
        <w:spacing w:before="100" w:after="100" w:line="45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ind w:firstLine="482"/>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本公司郑重声明，根据《政府采购促进中小企业发展管理办法》（财库[2020]46号）的规定，本公司参加（</w:t>
      </w:r>
      <w:r>
        <w:rPr>
          <w:rFonts w:hint="eastAsia" w:ascii="仿宋" w:hAnsi="仿宋" w:eastAsia="仿宋" w:cs="宋体"/>
          <w:sz w:val="28"/>
          <w:szCs w:val="28"/>
          <w:highlight w:val="none"/>
          <w:u w:val="single"/>
          <w:lang w:eastAsia="zh-CN"/>
        </w:rPr>
        <w:t xml:space="preserve">徐州市云龙区城市管理局</w:t>
      </w:r>
      <w:r>
        <w:rPr>
          <w:rFonts w:hint="eastAsia" w:ascii="仿宋" w:hAnsi="仿宋" w:eastAsia="仿宋" w:cs="宋体"/>
          <w:sz w:val="28"/>
          <w:szCs w:val="28"/>
          <w:highlight w:val="none"/>
        </w:rPr>
        <w:t xml:space="preserve">）的（</w:t>
      </w:r>
      <w:r>
        <w:rPr>
          <w:rFonts w:hint="eastAsia" w:ascii="仿宋" w:hAnsi="仿宋" w:eastAsia="仿宋" w:cs="宋体"/>
          <w:sz w:val="28"/>
          <w:szCs w:val="28"/>
          <w:highlight w:val="none"/>
          <w:u w:val="single"/>
          <w:lang w:eastAsia="zh-CN"/>
        </w:rPr>
        <w:t xml:space="preserve">新能源环卫特种作业车辆采购项目-新能源车厢可卸式垃圾车</w:t>
      </w:r>
      <w:r>
        <w:rPr>
          <w:rFonts w:hint="eastAsia" w:ascii="仿宋" w:hAnsi="仿宋" w:eastAsia="仿宋" w:cs="宋体"/>
          <w:sz w:val="28"/>
          <w:szCs w:val="28"/>
          <w:highlight w:val="none"/>
        </w:rPr>
        <w:t xml:space="preserve">）采购活动，提供的货物全部由符合政策要求的中小企业制造。相关企业的具体情况如下：</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 标的名称 ），属于（</w:t>
      </w:r>
      <w:r>
        <w:rPr>
          <w:rFonts w:hint="eastAsia" w:ascii="仿宋" w:hAnsi="仿宋" w:eastAsia="仿宋" w:cs="宋体"/>
          <w:sz w:val="28"/>
          <w:szCs w:val="28"/>
          <w:highlight w:val="none"/>
          <w:u w:val="none"/>
          <w:lang w:val="en-US" w:eastAsia="zh-CN"/>
        </w:rPr>
        <w:t xml:space="preserve">工业</w:t>
      </w:r>
      <w:r>
        <w:rPr>
          <w:rFonts w:hint="eastAsia" w:ascii="仿宋" w:hAnsi="仿宋" w:eastAsia="仿宋" w:cs="宋体"/>
          <w:sz w:val="28"/>
          <w:szCs w:val="28"/>
          <w:highlight w:val="none"/>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highlight w:val="none"/>
        </w:rPr>
        <w:t xml:space="preserve">请勾选！</w:t>
      </w:r>
      <w:r>
        <w:rPr>
          <w:rFonts w:hint="eastAsia" w:ascii="仿宋" w:hAnsi="仿宋" w:eastAsia="仿宋" w:cs="宋体"/>
          <w:sz w:val="28"/>
          <w:szCs w:val="28"/>
          <w:highlight w:val="none"/>
        </w:rPr>
        <w:t xml:space="preserve">）；</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本企业对上述声明内容的真实性负责。如有虚假，将依法承担相应责任。</w:t>
      </w:r>
      <w:r/>
    </w:p>
    <w:p>
      <w:pPr>
        <w:pStyle w:val="926"/>
        <w:ind w:left="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92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5、供应商提供的《中小企业声明函》与事实不符的，依照《政府采购法》第七十七条第一款的规定追究法律责任。</w:t>
      </w:r>
      <w:r/>
    </w:p>
    <w:p>
      <w:pPr>
        <w:pStyle w:val="926"/>
        <w:ind w:left="0"/>
        <w:spacing w:after="0"/>
        <w:rPr>
          <w:rFonts w:hint="eastAsia" w:ascii="仿宋" w:hAnsi="仿宋" w:eastAsia="仿宋" w:cs="仿宋"/>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59965" cy="46539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十、残疾人福利性单位声明函格式</w:t>
      </w:r>
      <w:r/>
    </w:p>
    <w:p>
      <w:pPr>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r>
      <w:r/>
    </w:p>
    <w:p>
      <w:pPr>
        <w:spacing w:line="360" w:lineRule="auto"/>
        <w:rPr>
          <w:rFonts w:hint="eastAsia" w:ascii="仿宋" w:hAnsi="仿宋" w:eastAsia="仿宋" w:cs="仿宋"/>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项目编号：</w:t>
      </w:r>
      <w:r>
        <w:rPr>
          <w:rFonts w:hint="eastAsia" w:ascii="仿宋" w:hAnsi="仿宋" w:eastAsia="仿宋" w:cs="仿宋"/>
          <w:spacing w:val="6"/>
          <w:sz w:val="30"/>
          <w:highlight w:val="none"/>
          <w:lang w:eastAsia="zh-CN"/>
        </w:rPr>
        <w:t xml:space="preserve">JSZC-320303-XZWZ-G2026-0002</w:t>
      </w:r>
      <w:r/>
    </w:p>
    <w:p>
      <w:pPr>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项目名称：</w:t>
      </w:r>
      <w:r>
        <w:rPr>
          <w:rFonts w:hint="eastAsia" w:ascii="仿宋" w:hAnsi="仿宋" w:eastAsia="仿宋" w:cs="仿宋"/>
          <w:spacing w:val="6"/>
          <w:sz w:val="30"/>
          <w:highlight w:val="none"/>
          <w:lang w:eastAsia="zh-CN"/>
        </w:rPr>
        <w:t xml:space="preserve">新能源环卫特种作业车辆采购项目-新能源车厢可卸式垃圾车</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sz w:val="30"/>
          <w:highlight w:val="none"/>
        </w:rPr>
        <w:t xml:space="preserve">〔2017〕 141</w:t>
      </w:r>
      <w:r>
        <w:rPr>
          <w:rFonts w:hint="eastAsia" w:ascii="仿宋" w:hAnsi="仿宋" w:eastAsia="仿宋" w:cs="仿宋"/>
          <w:spacing w:val="6"/>
          <w:sz w:val="30"/>
          <w:highlight w:val="none"/>
        </w:rPr>
        <w:t xml:space="preserve">号）的规定，本单位为符合条件的残疾人福利性单位，且本单位参加</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单位的</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25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4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45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pStyle w:val="707"/>
        <w:rPr>
          <w:rFonts w:hint="eastAsia" w:ascii="仿宋" w:hAnsi="仿宋" w:eastAsia="仿宋" w:cs="仿宋"/>
          <w:sz w:val="30"/>
          <w:highlight w:val="none"/>
        </w:rPr>
      </w:pPr>
      <w:r>
        <w:rPr>
          <w:rFonts w:hint="eastAsia" w:ascii="仿宋" w:hAnsi="仿宋" w:eastAsia="仿宋" w:cs="仿宋"/>
          <w:sz w:val="30"/>
          <w:highlight w:val="none"/>
        </w:rPr>
      </w:r>
      <w:r/>
    </w:p>
    <w:p>
      <w:pPr>
        <w:pStyle w:val="718"/>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sz w:val="30"/>
          <w:highlight w:val="none"/>
        </w:rPr>
      </w:pPr>
      <w:r>
        <w:rPr>
          <w:rFonts w:hint="eastAsia" w:ascii="仿宋" w:hAnsi="仿宋" w:eastAsia="仿宋" w:cs="仿宋"/>
          <w:sz w:val="30"/>
          <w:highlight w:val="none"/>
        </w:rPr>
      </w:r>
      <w:r/>
    </w:p>
    <w:p>
      <w:pPr>
        <w:jc w:val="center"/>
        <w:spacing w:line="360" w:lineRule="auto"/>
        <w:rPr>
          <w:rFonts w:hint="eastAsia" w:ascii="仿宋" w:hAnsi="仿宋" w:eastAsia="仿宋" w:cs="仿宋"/>
          <w:sz w:val="30"/>
          <w:highlight w:val="none"/>
          <w:lang w:val="en-US" w:eastAsia="zh-CN"/>
        </w:rPr>
        <w:outlineLvl w:val="1"/>
      </w:pPr>
      <w:r>
        <w:rPr>
          <w:rFonts w:hint="eastAsia" w:ascii="仿宋" w:hAnsi="仿宋" w:eastAsia="仿宋" w:cs="仿宋"/>
          <w:sz w:val="30"/>
          <w:highlight w:val="none"/>
          <w:lang w:val="en-US" w:eastAsia="zh-CN"/>
        </w:rPr>
      </w:r>
      <w:r/>
    </w:p>
    <w:p>
      <w:pPr>
        <w:jc w:val="center"/>
        <w:spacing w:line="360" w:lineRule="auto"/>
        <w:rPr>
          <w:rFonts w:hint="eastAsia" w:ascii="宋体" w:hAnsi="宋体" w:eastAsia="宋体" w:cs="宋体"/>
          <w:b/>
          <w:bCs/>
          <w:color w:val="000000"/>
          <w:sz w:val="28"/>
          <w:szCs w:val="28"/>
          <w:highlight w:val="none"/>
        </w:rPr>
        <w:outlineLvl w:val="1"/>
      </w:pPr>
      <w:r>
        <w:rPr>
          <w:rFonts w:hint="eastAsia" w:ascii="仿宋" w:hAnsi="仿宋" w:eastAsia="仿宋" w:cs="仿宋"/>
          <w:b/>
          <w:bCs/>
          <w:sz w:val="30"/>
          <w:highlight w:val="none"/>
          <w:lang w:val="en-US" w:eastAsia="zh-CN"/>
        </w:rPr>
        <w:t xml:space="preserve">十一、</w:t>
      </w:r>
      <w:r>
        <w:rPr>
          <w:rFonts w:hint="eastAsia" w:ascii="宋体" w:hAnsi="宋体" w:eastAsia="宋体" w:cs="宋体"/>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center"/>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cs="宋体"/>
          <w:color w:val="383838"/>
          <w:sz w:val="24"/>
          <w:szCs w:val="24"/>
          <w:lang w:val="en-US" w:eastAsia="zh-CN" w:bidi="ar-SA"/>
        </w:rPr>
        <w:t xml:space="preserve">        </w:t>
      </w:r>
      <w:r>
        <w:rPr>
          <w:rFonts w:hint="eastAsia" w:ascii="宋体" w:hAnsi="宋体" w:eastAsia="宋体" w:cs="宋体"/>
          <w:color w:val="383838"/>
          <w:sz w:val="24"/>
          <w:szCs w:val="24"/>
          <w:lang w:val="en-US" w:eastAsia="zh-CN" w:bidi="ar-SA"/>
        </w:rPr>
        <w:t xml:space="preserve">公司（单位）名称（盖章）：　        </w:t>
      </w:r>
      <w:r/>
    </w:p>
    <w:p>
      <w:pPr>
        <w:jc w:val="center"/>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pStyle w:val="73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pStyle w:val="915"/>
        <w:ind w:left="0" w:firstLine="480"/>
        <w:jc w:val="both"/>
        <w:keepLines w:val="0"/>
        <w:keepNext w:val="0"/>
        <w:spacing w:before="0" w:beforeAutospacing="0" w:after="0" w:afterAutospacing="0" w:line="360" w:lineRule="auto"/>
        <w:widowControl w:val="off"/>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二</w:t>
      </w:r>
      <w:r>
        <w:rPr>
          <w:rFonts w:hint="eastAsia" w:ascii="仿宋" w:hAnsi="仿宋" w:eastAsia="仿宋" w:cs="仿宋"/>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我单位在参加</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8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7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ind w:firstLine="600"/>
        <w:jc w:val="cente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三</w:t>
      </w:r>
      <w:r>
        <w:rPr>
          <w:rFonts w:hint="eastAsia" w:ascii="仿宋" w:hAnsi="仿宋" w:eastAsia="仿宋" w:cs="仿宋"/>
          <w:b/>
          <w:bCs/>
          <w:sz w:val="32"/>
          <w:szCs w:val="32"/>
          <w:highlight w:val="none"/>
        </w:rPr>
        <w:t xml:space="preserve">、预付款保函支付条款模板</w:t>
      </w:r>
      <w:r/>
    </w:p>
    <w:p>
      <w:pPr>
        <w:ind w:firstLine="605"/>
        <w:spacing w:line="47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left="140"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18"/>
    <w:next w:val="718"/>
    <w:link w:val="76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6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6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6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6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9"/>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lock Text"/>
    <w:basedOn w:val="706"/>
    <w:uiPriority w:val="0"/>
    <w:qFormat/>
    <w:pPr>
      <w:ind w:left="256" w:right="6" w:firstLine="624"/>
    </w:pPr>
    <w:rPr>
      <w:rFonts w:eastAsia="仿宋_GB2312"/>
      <w:sz w:val="28"/>
      <w:szCs w:val="20"/>
    </w:r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w:basedOn w:val="706"/>
    <w:uiPriority w:val="0"/>
    <w:semiHidden/>
    <w:qFormat/>
    <w:rPr>
      <w:rFonts w:ascii="宋体" w:hAnsi="宋体" w:eastAsia="宋体" w:cs="宋体"/>
      <w:sz w:val="24"/>
      <w:szCs w:val="24"/>
      <w:lang w:val="en-US" w:eastAsia="en-US" w:bidi="ar-SA"/>
    </w:r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qFormat/>
    <w:pPr>
      <w:ind w:left="567" w:right="0" w:firstLine="0"/>
      <w:spacing w:after="57"/>
    </w:pPr>
  </w:style>
  <w:style w:type="paragraph" w:styleId="724">
    <w:name w:val="toc 8"/>
    <w:basedOn w:val="706"/>
    <w:next w:val="706"/>
    <w:uiPriority w:val="39"/>
    <w:unhideWhenUsed/>
    <w:qFormat/>
    <w:pPr>
      <w:ind w:left="1984" w:right="0" w:firstLine="0"/>
      <w:spacing w:after="57"/>
    </w:pPr>
  </w:style>
  <w:style w:type="paragraph" w:styleId="725">
    <w:name w:val="endnote text"/>
    <w:basedOn w:val="706"/>
    <w:link w:val="907"/>
    <w:uiPriority w:val="99"/>
    <w:semiHidden/>
    <w:unhideWhenUsed/>
    <w:qFormat/>
    <w:pPr>
      <w:spacing w:after="0" w:line="240" w:lineRule="auto"/>
    </w:pPr>
    <w:rPr>
      <w:sz w:val="20"/>
    </w:rPr>
  </w:style>
  <w:style w:type="paragraph" w:styleId="726">
    <w:name w:val="Footer"/>
    <w:basedOn w:val="706"/>
    <w:link w:val="780"/>
    <w:uiPriority w:val="99"/>
    <w:unhideWhenUsed/>
    <w:qFormat/>
    <w:pPr>
      <w:spacing w:after="0" w:line="240" w:lineRule="auto"/>
      <w:tabs>
        <w:tab w:val="center" w:pos="7143" w:leader="none"/>
        <w:tab w:val="right" w:pos="14287" w:leader="none"/>
      </w:tabs>
    </w:pPr>
  </w:style>
  <w:style w:type="paragraph" w:styleId="727">
    <w:name w:val="Header"/>
    <w:basedOn w:val="706"/>
    <w:link w:val="778"/>
    <w:uiPriority w:val="99"/>
    <w:unhideWhenUsed/>
    <w:qFormat/>
    <w:pPr>
      <w:spacing w:after="0" w:line="240" w:lineRule="auto"/>
      <w:tabs>
        <w:tab w:val="center" w:pos="7143" w:leader="none"/>
        <w:tab w:val="right" w:pos="14287" w:leader="none"/>
      </w:tabs>
    </w:pPr>
  </w:style>
  <w:style w:type="paragraph" w:styleId="728">
    <w:name w:val="toc 1"/>
    <w:basedOn w:val="706"/>
    <w:next w:val="706"/>
    <w:uiPriority w:val="39"/>
    <w:unhideWhenUsed/>
    <w:qFormat/>
    <w:pPr>
      <w:ind w:left="0" w:right="0" w:firstLine="0"/>
      <w:spacing w:after="57"/>
    </w:pPr>
  </w:style>
  <w:style w:type="paragraph" w:styleId="729">
    <w:name w:val="toc 4"/>
    <w:basedOn w:val="706"/>
    <w:next w:val="706"/>
    <w:uiPriority w:val="39"/>
    <w:unhideWhenUsed/>
    <w:qFormat/>
    <w:pPr>
      <w:ind w:left="850" w:right="0" w:firstLine="0"/>
      <w:spacing w:after="57"/>
    </w:pPr>
  </w:style>
  <w:style w:type="paragraph" w:styleId="730">
    <w:name w:val="Subtitle"/>
    <w:basedOn w:val="706"/>
    <w:next w:val="706"/>
    <w:link w:val="773"/>
    <w:uiPriority w:val="11"/>
    <w:qFormat/>
    <w:pPr>
      <w:spacing w:before="200" w:after="200"/>
    </w:pPr>
    <w:rPr>
      <w:sz w:val="24"/>
      <w:szCs w:val="24"/>
    </w:rPr>
  </w:style>
  <w:style w:type="paragraph" w:styleId="731">
    <w:name w:val="footnote text"/>
    <w:basedOn w:val="706"/>
    <w:link w:val="906"/>
    <w:uiPriority w:val="99"/>
    <w:semiHidden/>
    <w:unhideWhenUsed/>
    <w:qFormat/>
    <w:pPr>
      <w:spacing w:after="40" w:line="240" w:lineRule="auto"/>
    </w:pPr>
    <w:rPr>
      <w:sz w:val="18"/>
    </w:rPr>
  </w:style>
  <w:style w:type="paragraph" w:styleId="732">
    <w:name w:val="toc 6"/>
    <w:basedOn w:val="706"/>
    <w:next w:val="706"/>
    <w:uiPriority w:val="39"/>
    <w:unhideWhenUsed/>
    <w:qFormat/>
    <w:pPr>
      <w:ind w:left="1417" w:right="0" w:firstLine="0"/>
      <w:spacing w:after="57"/>
    </w:pPr>
  </w:style>
  <w:style w:type="paragraph" w:styleId="733">
    <w:name w:val="table of figures"/>
    <w:basedOn w:val="706"/>
    <w:next w:val="706"/>
    <w:uiPriority w:val="99"/>
    <w:unhideWhenUsed/>
    <w:qFormat/>
    <w:pPr>
      <w:spacing w:after="0" w:afterAutospacing="0"/>
    </w:pPr>
  </w:style>
  <w:style w:type="paragraph" w:styleId="734">
    <w:name w:val="toc 2"/>
    <w:basedOn w:val="706"/>
    <w:next w:val="706"/>
    <w:uiPriority w:val="39"/>
    <w:unhideWhenUsed/>
    <w:qFormat/>
    <w:pPr>
      <w:ind w:left="283" w:right="0" w:firstLine="0"/>
      <w:spacing w:after="57"/>
    </w:pPr>
  </w:style>
  <w:style w:type="paragraph" w:styleId="735">
    <w:name w:val="toc 9"/>
    <w:basedOn w:val="706"/>
    <w:next w:val="706"/>
    <w:uiPriority w:val="39"/>
    <w:unhideWhenUsed/>
    <w:qFormat/>
    <w:pPr>
      <w:ind w:left="2268" w:right="0" w:firstLine="0"/>
      <w:spacing w:after="57"/>
    </w:pPr>
  </w:style>
  <w:style w:type="paragraph" w:styleId="736">
    <w:name w:val="Normal (Web)"/>
    <w:basedOn w:val="706"/>
    <w:uiPriority w:val="0"/>
    <w:qFormat/>
    <w:pPr>
      <w:ind w:left="0" w:right="0"/>
      <w:jc w:val="left"/>
      <w:spacing w:before="0" w:beforeAutospacing="1" w:after="0" w:afterAutospacing="1"/>
    </w:pPr>
    <w:rPr>
      <w:sz w:val="24"/>
      <w:lang w:val="en-US" w:eastAsia="zh-CN" w:bidi="ar"/>
    </w:rPr>
  </w:style>
  <w:style w:type="paragraph" w:styleId="737">
    <w:name w:val="Title"/>
    <w:basedOn w:val="706"/>
    <w:next w:val="706"/>
    <w:link w:val="772"/>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正文文本11"/>
    <w:basedOn w:val="743"/>
    <w:next w:val="744"/>
    <w:uiPriority w:val="0"/>
    <w:qFormat/>
    <w:pPr>
      <w:spacing w:after="120"/>
    </w:pPr>
    <w:rPr>
      <w:rFonts w:ascii="Calibri" w:hAnsi="Calibri"/>
    </w:rPr>
  </w:style>
  <w:style w:type="paragraph" w:styleId="743" w:customStyle="1">
    <w:name w:val="正文112"/>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正文11"/>
    <w:next w:val="706"/>
    <w:uiPriority w:val="0"/>
    <w:qFormat/>
    <w:pPr>
      <w:jc w:val="both"/>
    </w:pPr>
    <w:rPr>
      <w:rFonts w:hint="default" w:ascii="Times New Roman" w:hAnsi="Times New Roman" w:eastAsia="宋体" w:cs="Times New Roman"/>
      <w:lang w:val="en-US" w:eastAsia="zh-CN" w:bidi="ar-SA"/>
    </w:rPr>
  </w:style>
  <w:style w:type="paragraph" w:styleId="745" w:customStyle="1">
    <w:name w:val="目录 11"/>
    <w:basedOn w:val="746"/>
    <w:next w:val="744"/>
    <w:uiPriority w:val="0"/>
    <w:qFormat/>
    <w:pPr>
      <w:spacing w:before="120" w:after="120"/>
      <w:widowControl/>
    </w:pPr>
    <w:rPr>
      <w:rFonts w:ascii="Calibri" w:cs="Calibri"/>
      <w:b/>
      <w:bCs/>
      <w:caps/>
      <w:sz w:val="20"/>
    </w:rPr>
  </w:style>
  <w:style w:type="paragraph" w:styleId="746" w:customStyle="1">
    <w:name w:val="正文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脚注文本1"/>
    <w:basedOn w:val="748"/>
    <w:next w:val="750"/>
    <w:uiPriority w:val="0"/>
    <w:qFormat/>
    <w:pPr>
      <w:jc w:val="left"/>
    </w:pPr>
    <w:rPr>
      <w:rFonts w:ascii="宋体" w:hAnsi="Times New Roman" w:eastAsia="Times New Roman" w:cs="Times New Roman"/>
      <w:sz w:val="18"/>
      <w:szCs w:val="18"/>
    </w:rPr>
  </w:style>
  <w:style w:type="paragraph" w:styleId="748" w:customStyle="1">
    <w:name w:val="正文11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211"/>
    <w:basedOn w:val="744"/>
    <w:next w:val="748"/>
    <w:uiPriority w:val="0"/>
    <w:qFormat/>
    <w:pPr>
      <w:keepLines/>
      <w:keepNext/>
      <w:spacing w:before="260" w:after="260" w:line="416" w:lineRule="auto"/>
      <w:outlineLvl w:val="1"/>
    </w:pPr>
    <w:rPr>
      <w:rFonts w:ascii="Calibri Light" w:hAnsi="Calibri Light"/>
      <w:bCs/>
      <w:sz w:val="32"/>
      <w:szCs w:val="32"/>
    </w:rPr>
  </w:style>
  <w:style w:type="paragraph" w:styleId="750" w:customStyle="1">
    <w:name w:val="索引 51"/>
    <w:basedOn w:val="751"/>
    <w:next w:val="753"/>
    <w:uiPriority w:val="0"/>
    <w:qFormat/>
    <w:pPr>
      <w:ind w:left="798"/>
      <w:jc w:val="left"/>
    </w:pPr>
    <w:rPr>
      <w:rFonts w:ascii="Calibri" w:hAnsi="Calibri" w:eastAsia="宋体" w:cs="Times New Roman"/>
    </w:rPr>
  </w:style>
  <w:style w:type="paragraph" w:styleId="751" w:customStyle="1">
    <w:name w:val="正文111"/>
    <w:next w:val="752"/>
    <w:uiPriority w:val="0"/>
    <w:qFormat/>
    <w:pPr>
      <w:jc w:val="both"/>
      <w:widowControl w:val="off"/>
    </w:pPr>
    <w:rPr>
      <w:rFonts w:hint="default" w:ascii="Calibri" w:hAnsi="Calibri" w:eastAsia="宋体" w:cs="Calibri"/>
      <w:color w:val="000000"/>
      <w:sz w:val="22"/>
      <w:szCs w:val="22"/>
      <w:lang w:val="en-US" w:eastAsia="zh-CN" w:bidi="ar-SA"/>
    </w:rPr>
  </w:style>
  <w:style w:type="paragraph" w:styleId="752" w:customStyle="1">
    <w:name w:val="标题 41"/>
    <w:basedOn w:val="746"/>
    <w:next w:val="751"/>
    <w:uiPriority w:val="9"/>
    <w:qFormat/>
    <w:pPr>
      <w:keepLines/>
      <w:keepNext/>
      <w:spacing w:before="320" w:after="200"/>
      <w:outlineLvl w:val="3"/>
    </w:pPr>
    <w:rPr>
      <w:rFonts w:ascii="Arial" w:hAnsi="Arial" w:eastAsia="Arial" w:cs="Arial"/>
      <w:b/>
      <w:bCs/>
      <w:sz w:val="26"/>
      <w:szCs w:val="26"/>
    </w:rPr>
  </w:style>
  <w:style w:type="paragraph" w:styleId="753" w:customStyle="1">
    <w:name w:val="正文1"/>
    <w:basedOn w:val="751"/>
    <w:next w:val="754"/>
    <w:uiPriority w:val="0"/>
    <w:qFormat/>
    <w:pPr>
      <w:jc w:val="left"/>
      <w:spacing w:line="360" w:lineRule="atLeast"/>
    </w:pPr>
    <w:rPr>
      <w:rFonts w:ascii="宋体" w:hAnsi="Calibri"/>
      <w:sz w:val="24"/>
      <w:szCs w:val="20"/>
    </w:rPr>
  </w:style>
  <w:style w:type="paragraph" w:styleId="754" w:customStyle="1">
    <w:name w:val="文本块1"/>
    <w:basedOn w:val="706"/>
    <w:next w:val="752"/>
    <w:uiPriority w:val="99"/>
    <w:qFormat/>
    <w:pPr>
      <w:ind w:left="1440" w:right="1440"/>
      <w:spacing w:after="120"/>
    </w:pPr>
  </w:style>
  <w:style w:type="paragraph" w:styleId="755" w:customStyle="1">
    <w:name w:val="文本块11"/>
    <w:basedOn w:val="756"/>
    <w:uiPriority w:val="0"/>
    <w:qFormat/>
    <w:pPr>
      <w:ind w:left="1440" w:right="1440"/>
      <w:spacing w:after="120"/>
    </w:pPr>
    <w:rPr>
      <w:rFonts w:ascii="Calibri" w:hAnsi="Calibri"/>
    </w:rPr>
  </w:style>
  <w:style w:type="paragraph" w:styleId="756" w:customStyle="1">
    <w:name w:val="正文121"/>
    <w:next w:val="755"/>
    <w:uiPriority w:val="0"/>
    <w:qFormat/>
    <w:rPr>
      <w:rFonts w:hint="default" w:ascii="Times New Roman" w:hAnsi="Times New Roman" w:eastAsia="宋体" w:cs="Times New Roman"/>
      <w:lang w:val="en-US" w:eastAsia="zh-CN" w:bidi="ar-SA"/>
    </w:rPr>
  </w:style>
  <w:style w:type="paragraph" w:styleId="757" w:customStyle="1">
    <w:name w:val="正文首行缩进1"/>
    <w:basedOn w:val="742"/>
    <w:next w:val="758"/>
    <w:uiPriority w:val="0"/>
    <w:qFormat/>
    <w:pPr>
      <w:ind w:firstLine="420"/>
    </w:pPr>
    <w:rPr>
      <w:rFonts w:ascii="仿宋_GB2312" w:eastAsia="仿宋_GB2312"/>
      <w:sz w:val="30"/>
      <w:szCs w:val="30"/>
    </w:rPr>
  </w:style>
  <w:style w:type="paragraph" w:styleId="758" w:customStyle="1">
    <w:name w:val="正文首行缩进 21"/>
    <w:basedOn w:val="759"/>
    <w:uiPriority w:val="0"/>
    <w:qFormat/>
    <w:pPr>
      <w:ind w:firstLine="420"/>
      <w:spacing w:line="360" w:lineRule="auto"/>
    </w:pPr>
    <w:rPr>
      <w:color w:val="000000"/>
      <w:sz w:val="20"/>
    </w:rPr>
  </w:style>
  <w:style w:type="paragraph" w:styleId="759" w:customStyle="1">
    <w:name w:val="正文文本缩进1"/>
    <w:basedOn w:val="706"/>
    <w:next w:val="760"/>
    <w:uiPriority w:val="0"/>
    <w:qFormat/>
    <w:pPr>
      <w:ind w:left="420"/>
      <w:spacing w:after="120"/>
    </w:pPr>
    <w:rPr>
      <w:rFonts w:ascii="Calibri" w:hAnsi="Calibri"/>
    </w:rPr>
  </w:style>
  <w:style w:type="paragraph" w:styleId="760" w:customStyle="1">
    <w:name w:val="寄信人地址1"/>
    <w:basedOn w:val="753"/>
    <w:uiPriority w:val="0"/>
    <w:qFormat/>
    <w:rPr>
      <w:rFonts w:ascii="Arial" w:hAnsi="Arial"/>
    </w:rPr>
  </w:style>
  <w:style w:type="character" w:styleId="761" w:customStyle="1">
    <w:name w:val="Heading 1 Char"/>
    <w:link w:val="707"/>
    <w:uiPriority w:val="9"/>
    <w:qFormat/>
    <w:rPr>
      <w:rFonts w:ascii="Arial" w:hAnsi="Arial" w:eastAsia="Arial" w:cs="Arial"/>
      <w:sz w:val="40"/>
      <w:szCs w:val="40"/>
    </w:rPr>
  </w:style>
  <w:style w:type="character" w:styleId="762" w:customStyle="1">
    <w:name w:val="Heading 2 Char"/>
    <w:link w:val="708"/>
    <w:uiPriority w:val="9"/>
    <w:qFormat/>
    <w:rPr>
      <w:rFonts w:ascii="Arial" w:hAnsi="Arial" w:eastAsia="Arial" w:cs="Arial"/>
      <w:sz w:val="34"/>
    </w:rPr>
  </w:style>
  <w:style w:type="character" w:styleId="763" w:customStyle="1">
    <w:name w:val="Heading 3 Char"/>
    <w:link w:val="709"/>
    <w:uiPriority w:val="9"/>
    <w:qFormat/>
    <w:rPr>
      <w:rFonts w:ascii="Arial" w:hAnsi="Arial" w:eastAsia="Arial" w:cs="Arial"/>
      <w:sz w:val="30"/>
      <w:szCs w:val="30"/>
    </w:rPr>
  </w:style>
  <w:style w:type="character" w:styleId="764" w:customStyle="1">
    <w:name w:val="Heading 4 Char"/>
    <w:link w:val="710"/>
    <w:uiPriority w:val="9"/>
    <w:qFormat/>
    <w:rPr>
      <w:rFonts w:ascii="Arial" w:hAnsi="Arial" w:eastAsia="Arial" w:cs="Arial"/>
      <w:b/>
      <w:bCs/>
      <w:sz w:val="26"/>
      <w:szCs w:val="26"/>
    </w:rPr>
  </w:style>
  <w:style w:type="character" w:styleId="765" w:customStyle="1">
    <w:name w:val="Heading 5 Char"/>
    <w:link w:val="711"/>
    <w:uiPriority w:val="9"/>
    <w:qFormat/>
    <w:rPr>
      <w:rFonts w:ascii="Arial" w:hAnsi="Arial" w:eastAsia="Arial" w:cs="Arial"/>
      <w:b/>
      <w:bCs/>
      <w:sz w:val="24"/>
      <w:szCs w:val="24"/>
    </w:rPr>
  </w:style>
  <w:style w:type="character" w:styleId="766" w:customStyle="1">
    <w:name w:val="Heading 6 Char"/>
    <w:link w:val="712"/>
    <w:uiPriority w:val="9"/>
    <w:qFormat/>
    <w:rPr>
      <w:rFonts w:ascii="Arial" w:hAnsi="Arial" w:eastAsia="Arial" w:cs="Arial"/>
      <w:b/>
      <w:bCs/>
      <w:sz w:val="22"/>
      <w:szCs w:val="22"/>
    </w:rPr>
  </w:style>
  <w:style w:type="character" w:styleId="767" w:customStyle="1">
    <w:name w:val="Heading 7 Char"/>
    <w:link w:val="713"/>
    <w:uiPriority w:val="9"/>
    <w:qFormat/>
    <w:rPr>
      <w:rFonts w:ascii="Arial" w:hAnsi="Arial" w:eastAsia="Arial" w:cs="Arial"/>
      <w:b/>
      <w:bCs/>
      <w:i/>
      <w:iCs/>
      <w:sz w:val="22"/>
      <w:szCs w:val="22"/>
    </w:rPr>
  </w:style>
  <w:style w:type="character" w:styleId="768" w:customStyle="1">
    <w:name w:val="Heading 8 Char"/>
    <w:link w:val="714"/>
    <w:uiPriority w:val="9"/>
    <w:qFormat/>
    <w:rPr>
      <w:rFonts w:ascii="Arial" w:hAnsi="Arial" w:eastAsia="Arial" w:cs="Arial"/>
      <w:i/>
      <w:iCs/>
      <w:sz w:val="22"/>
      <w:szCs w:val="22"/>
    </w:rPr>
  </w:style>
  <w:style w:type="character" w:styleId="769" w:customStyle="1">
    <w:name w:val="Heading 9 Char"/>
    <w:link w:val="715"/>
    <w:uiPriority w:val="9"/>
    <w:qFormat/>
    <w:rPr>
      <w:rFonts w:ascii="Arial" w:hAnsi="Arial" w:eastAsia="Arial" w:cs="Arial"/>
      <w:i/>
      <w:iCs/>
      <w:sz w:val="21"/>
      <w:szCs w:val="21"/>
    </w:rPr>
  </w:style>
  <w:style w:type="paragraph" w:styleId="770">
    <w:name w:val="List Paragraph"/>
    <w:basedOn w:val="706"/>
    <w:uiPriority w:val="34"/>
    <w:qFormat/>
    <w:pPr>
      <w:contextualSpacing/>
      <w:ind w:left="720"/>
    </w:pPr>
  </w:style>
  <w:style w:type="paragraph" w:styleId="771">
    <w:name w:val="No Spacing"/>
    <w:uiPriority w:val="1"/>
    <w:qFormat/>
    <w:pPr>
      <w:spacing w:before="0" w:after="0" w:line="240" w:lineRule="auto"/>
    </w:pPr>
    <w:rPr>
      <w:rFonts w:hint="default" w:ascii="Calibri" w:hAnsi="Calibri" w:eastAsia="宋体" w:cs="Times New Roman"/>
    </w:rPr>
  </w:style>
  <w:style w:type="character" w:styleId="772" w:customStyle="1">
    <w:name w:val="Title Char"/>
    <w:link w:val="737"/>
    <w:uiPriority w:val="10"/>
    <w:qFormat/>
    <w:rPr>
      <w:sz w:val="48"/>
      <w:szCs w:val="48"/>
    </w:rPr>
  </w:style>
  <w:style w:type="character" w:styleId="773" w:customStyle="1">
    <w:name w:val="Subtitle Char"/>
    <w:link w:val="730"/>
    <w:uiPriority w:val="11"/>
    <w:qFormat/>
    <w:rPr>
      <w:sz w:val="24"/>
      <w:szCs w:val="24"/>
    </w:rPr>
  </w:style>
  <w:style w:type="paragraph" w:styleId="774">
    <w:name w:val="Quote"/>
    <w:basedOn w:val="706"/>
    <w:next w:val="70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06"/>
    <w:next w:val="70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27"/>
    <w:uiPriority w:val="99"/>
    <w:qFormat/>
  </w:style>
  <w:style w:type="character" w:styleId="779" w:customStyle="1">
    <w:name w:val="Footer Char"/>
    <w:link w:val="726"/>
    <w:uiPriority w:val="99"/>
    <w:qFormat/>
  </w:style>
  <w:style w:type="character" w:styleId="780" w:customStyle="1">
    <w:name w:val="Caption Char"/>
    <w:link w:val="726"/>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31"/>
    <w:uiPriority w:val="99"/>
    <w:qFormat/>
    <w:rPr>
      <w:sz w:val="18"/>
    </w:rPr>
  </w:style>
  <w:style w:type="character" w:styleId="907" w:customStyle="1">
    <w:name w:val="Endnote Text Char"/>
    <w:link w:val="725"/>
    <w:uiPriority w:val="99"/>
    <w:qFormat/>
    <w:rPr>
      <w:sz w:val="20"/>
    </w:rPr>
  </w:style>
  <w:style w:type="paragraph" w:styleId="908" w:customStyle="1">
    <w:name w:val="TOC Heading"/>
    <w:uiPriority w:val="39"/>
    <w:unhideWhenUsed/>
    <w:qFormat/>
    <w:rPr>
      <w:rFonts w:hint="default" w:ascii="Calibri" w:hAnsi="Calibri" w:eastAsia="宋体" w:cs="Times New Roman"/>
    </w:rPr>
  </w:style>
  <w:style w:type="character" w:styleId="909" w:customStyle="1">
    <w:name w:val="默认段落字体11"/>
    <w:link w:val="706"/>
    <w:uiPriority w:val="0"/>
    <w:semiHidden/>
    <w:qFormat/>
  </w:style>
  <w:style w:type="table" w:styleId="910" w:customStyle="1">
    <w:name w:val="普通表格11"/>
    <w:uiPriority w:val="0"/>
    <w:semiHidden/>
    <w:qFormat/>
    <w:tblPr/>
  </w:style>
  <w:style w:type="paragraph" w:styleId="911" w:customStyle="1">
    <w:name w:val="正文文本1"/>
    <w:basedOn w:val="706"/>
    <w:uiPriority w:val="99"/>
    <w:qFormat/>
    <w:pPr>
      <w:spacing w:after="120"/>
    </w:pPr>
    <w:rPr>
      <w:rFonts w:ascii="Calibri" w:hAnsi="Calibri"/>
    </w:rPr>
  </w:style>
  <w:style w:type="paragraph" w:styleId="912" w:customStyle="1">
    <w:name w:val="文本块12"/>
    <w:basedOn w:val="706"/>
    <w:uiPriority w:val="99"/>
    <w:qFormat/>
    <w:pPr>
      <w:ind w:left="1440" w:right="700"/>
      <w:spacing w:after="120"/>
    </w:pPr>
    <w:rPr>
      <w:rFonts w:hint="default" w:ascii="Times New Roman" w:hAnsi="Times New Roman" w:eastAsia="仿宋_GB2312" w:cs="Arial"/>
      <w:sz w:val="28"/>
      <w:szCs w:val="20"/>
    </w:rPr>
  </w:style>
  <w:style w:type="paragraph" w:styleId="913" w:customStyle="1">
    <w:name w:val="页脚11"/>
    <w:basedOn w:val="706"/>
    <w:uiPriority w:val="99"/>
    <w:qFormat/>
    <w:pPr>
      <w:tabs>
        <w:tab w:val="center" w:pos="7143" w:leader="none"/>
        <w:tab w:val="right" w:pos="14287" w:leader="none"/>
      </w:tabs>
    </w:pPr>
  </w:style>
  <w:style w:type="paragraph" w:styleId="914" w:customStyle="1">
    <w:name w:val="正文文本 21"/>
    <w:uiPriority w:val="0"/>
    <w:qFormat/>
    <w:pPr>
      <w:jc w:val="both"/>
      <w:spacing w:after="120" w:line="480" w:lineRule="auto"/>
      <w:widowControl w:val="off"/>
    </w:pPr>
    <w:rPr>
      <w:rFonts w:hint="default" w:ascii="Times New Roman" w:hAnsi="Times New Roman" w:eastAsia="宋体" w:cs="Times New Roman"/>
      <w:sz w:val="28"/>
      <w:szCs w:val="21"/>
      <w:lang w:val="en-US" w:eastAsia="zh-CN" w:bidi="ar-SA"/>
    </w:rPr>
  </w:style>
  <w:style w:type="paragraph" w:styleId="915" w:customStyle="1">
    <w:name w:val="普通(网站)1"/>
    <w:basedOn w:val="706"/>
    <w:uiPriority w:val="7"/>
    <w:qFormat/>
    <w:pPr>
      <w:spacing w:before="100" w:beforeAutospacing="1" w:after="100" w:afterAutospacing="1"/>
    </w:pPr>
    <w:rPr>
      <w:rFonts w:ascii="宋体" w:hAnsi="宋体" w:cs="宋体"/>
    </w:rPr>
  </w:style>
  <w:style w:type="table" w:styleId="916" w:customStyle="1">
    <w:name w:val="网格型11"/>
    <w:uiPriority w:val="59"/>
    <w:qFormat/>
    <w:tblPr/>
  </w:style>
  <w:style w:type="paragraph" w:styleId="917" w:customStyle="1">
    <w:name w:val="正文缩进1"/>
    <w:basedOn w:val="706"/>
    <w:uiPriority w:val="0"/>
    <w:qFormat/>
    <w:pPr>
      <w:ind w:firstLine="420"/>
    </w:pPr>
  </w:style>
  <w:style w:type="character" w:styleId="918" w:customStyle="1">
    <w:name w:val="超链接1"/>
    <w:basedOn w:val="919"/>
    <w:link w:val="706"/>
    <w:uiPriority w:val="99"/>
    <w:qFormat/>
    <w:rPr>
      <w:color w:val="0000ff"/>
      <w:u w:val="single"/>
    </w:rPr>
  </w:style>
  <w:style w:type="character" w:styleId="919" w:customStyle="1">
    <w:name w:val="默认段落字体1"/>
    <w:link w:val="706"/>
    <w:uiPriority w:val="1"/>
    <w:qFormat/>
  </w:style>
  <w:style w:type="table" w:styleId="920" w:customStyle="1">
    <w:name w:val="网格型1"/>
    <w:basedOn w:val="921"/>
    <w:uiPriority w:val="39"/>
    <w:qFormat/>
    <w:tblPr/>
  </w:style>
  <w:style w:type="table" w:styleId="921" w:customStyle="1">
    <w:name w:val="普通表格1"/>
    <w:uiPriority w:val="99"/>
    <w:qFormat/>
    <w:tblPr/>
  </w:style>
  <w:style w:type="paragraph" w:styleId="922" w:customStyle="1">
    <w:name w:val="目录 111"/>
    <w:basedOn w:val="746"/>
    <w:next w:val="706"/>
    <w:uiPriority w:val="39"/>
    <w:qFormat/>
  </w:style>
  <w:style w:type="character" w:styleId="923" w:customStyle="1">
    <w:name w:val="font11"/>
    <w:link w:val="706"/>
    <w:uiPriority w:val="0"/>
    <w:qFormat/>
    <w:rPr>
      <w:rFonts w:hint="eastAsia" w:ascii="仿宋_GB2312" w:hAnsi="Times New Roman" w:eastAsia="仿宋_GB2312" w:cs="仿宋_GB2312"/>
      <w:color w:val="000000"/>
      <w:sz w:val="21"/>
      <w:szCs w:val="21"/>
      <w:u w:val="none"/>
    </w:rPr>
  </w:style>
  <w:style w:type="paragraph" w:styleId="924" w:customStyle="1">
    <w:name w:val="yf00正文"/>
    <w:uiPriority w:val="0"/>
    <w:qFormat/>
    <w:pPr>
      <w:ind w:firstLine="600"/>
      <w:jc w:val="both"/>
      <w:widowControl w:val="off"/>
    </w:pPr>
    <w:rPr>
      <w:rFonts w:hint="default" w:ascii="Times New Roman" w:hAnsi="Times New Roman" w:eastAsia="宋体" w:cs="Times New Roman"/>
      <w:sz w:val="28"/>
      <w:szCs w:val="30"/>
      <w:lang w:val="en-US" w:eastAsia="zh-CN" w:bidi="ar-SA"/>
    </w:rPr>
  </w:style>
  <w:style w:type="paragraph" w:styleId="925" w:customStyle="1">
    <w:name w:val="Other|1"/>
    <w:uiPriority w:val="0"/>
    <w:qFormat/>
    <w:pPr>
      <w:jc w:val="both"/>
      <w:spacing w:line="286" w:lineRule="auto"/>
      <w:widowControl w:val="off"/>
    </w:pPr>
    <w:rPr>
      <w:rFonts w:hint="default" w:ascii="宋体" w:hAnsi="宋体" w:eastAsia="宋体" w:cs="宋体"/>
      <w:sz w:val="26"/>
      <w:szCs w:val="26"/>
      <w:lang w:val="zh-TW" w:eastAsia="zh-TW" w:bidi="zh-TW"/>
    </w:rPr>
  </w:style>
  <w:style w:type="paragraph" w:styleId="926" w:customStyle="1">
    <w:name w:val="正文文本缩进11"/>
    <w:basedOn w:val="706"/>
    <w:uiPriority w:val="0"/>
    <w:qFormat/>
    <w:pPr>
      <w:ind w:left="420"/>
      <w:spacing w:after="120"/>
    </w:pPr>
    <w:rPr>
      <w:rFonts w:ascii="Calibri" w:hAnsi="Calibri"/>
    </w:rPr>
  </w:style>
  <w:style w:type="paragraph" w:styleId="927" w:customStyle="1">
    <w:name w:val="页眉1"/>
    <w:basedOn w:val="706"/>
    <w:uiPriority w:val="99"/>
    <w:qFormat/>
    <w:pPr>
      <w:jc w:val="center"/>
      <w:tabs>
        <w:tab w:val="center" w:pos="4153" w:leader="none"/>
        <w:tab w:val="right" w:pos="8306" w:leader="none"/>
      </w:tabs>
      <w:pBdr>
        <w:bottom w:val="single" w:color="000000" w:sz="6" w:space="1"/>
      </w:pBdr>
    </w:pPr>
    <w:rPr>
      <w:sz w:val="18"/>
      <w:szCs w:val="18"/>
    </w:rPr>
  </w:style>
  <w:style w:type="paragraph" w:styleId="928" w:customStyle="1">
    <w:name w:val="页脚1"/>
    <w:basedOn w:val="706"/>
    <w:uiPriority w:val="99"/>
    <w:qFormat/>
    <w:pPr>
      <w:jc w:val="left"/>
      <w:tabs>
        <w:tab w:val="center" w:pos="4153" w:leader="none"/>
        <w:tab w:val="right" w:pos="8306" w:leader="none"/>
      </w:tabs>
    </w:pPr>
    <w:rPr>
      <w:sz w:val="18"/>
      <w:szCs w:val="18"/>
    </w:rPr>
  </w:style>
  <w:style w:type="paragraph" w:styleId="929" w:customStyle="1">
    <w:name w:val="一级条标题"/>
    <w:basedOn w:val="930"/>
    <w:next w:val="93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30" w:customStyle="1">
    <w:name w:val="章标题"/>
    <w:next w:val="75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1" w:customStyle="1">
    <w:name w:val="段"/>
    <w:basedOn w:val="753"/>
    <w:next w:val="706"/>
    <w:uiPriority w:val="0"/>
    <w:qFormat/>
    <w:pPr>
      <w:ind w:firstLine="200"/>
      <w:widowControl/>
    </w:pPr>
    <w:rPr>
      <w:rFonts w:ascii="宋体" w:hAnsi="Times New Roman" w:eastAsia="宋体" w:cs="Times New Roman"/>
      <w:sz w:val="20"/>
      <w:szCs w:val="20"/>
    </w:rPr>
  </w:style>
  <w:style w:type="paragraph" w:styleId="932" w:customStyle="1">
    <w:name w:val="Table Text"/>
    <w:basedOn w:val="706"/>
    <w:uiPriority w:val="0"/>
    <w:semiHidden/>
    <w:qFormat/>
    <w:rPr>
      <w:rFonts w:ascii="宋体" w:hAnsi="宋体" w:eastAsia="宋体" w:cs="宋体"/>
      <w:sz w:val="25"/>
      <w:szCs w:val="25"/>
      <w:lang w:val="en-US" w:eastAsia="en-US" w:bidi="ar-SA"/>
    </w:rPr>
  </w:style>
  <w:style w:type="table" w:styleId="933" w:customStyle="1">
    <w:name w:val="Table Normal"/>
    <w:uiPriority w:val="0"/>
    <w:semiHidden/>
    <w:unhideWhenUsed/>
    <w:qFormat/>
    <w:tblPr>
      <w:tblCellMar>
        <w:left w:w="0" w:type="dxa"/>
        <w:top w:w="0" w:type="dxa"/>
        <w:right w:w="0" w:type="dxa"/>
        <w:bottom w:w="0" w:type="dxa"/>
      </w:tblCellMar>
    </w:tblPr>
  </w:style>
  <w:style w:type="paragraph" w:styleId="934" w:customStyle="1">
    <w:name w:val="列表段落1"/>
    <w:basedOn w:val="753"/>
    <w:next w:val="706"/>
    <w:uiPriority w:val="34"/>
    <w:qFormat/>
    <w:pPr>
      <w:contextualSpacing/>
      <w:ind w:left="720"/>
    </w:pPr>
  </w:style>
  <w:style w:type="paragraph" w:styleId="935" w:customStyle="1">
    <w:name w:val="标题 11"/>
    <w:basedOn w:val="753"/>
    <w:next w:val="744"/>
    <w:uiPriority w:val="0"/>
    <w:qFormat/>
    <w:pPr>
      <w:jc w:val="center"/>
      <w:keepLines/>
      <w:keepNext/>
      <w:spacing w:line="578" w:lineRule="auto"/>
      <w:outlineLvl w:val="0"/>
    </w:pPr>
    <w:rPr>
      <w:rFonts w:eastAsia="新宋体"/>
      <w:b/>
      <w:bCs/>
      <w:sz w:val="30"/>
      <w:szCs w:val="44"/>
    </w:rPr>
  </w:style>
  <w:style w:type="character" w:styleId="936" w:customStyle="1">
    <w:name w:val="NormalCharacter"/>
    <w:uiPriority w:val="0"/>
    <w:semiHidden/>
    <w:qFormat/>
  </w:style>
  <w:style w:type="paragraph" w:styleId="937" w:customStyle="1">
    <w:name w:val="纯文本1"/>
    <w:basedOn w:val="706"/>
    <w:uiPriority w:val="0"/>
    <w:qFormat/>
    <w:rPr>
      <w:rFonts w:ascii="宋体" w:hAnsi="Courier New"/>
      <w:szCs w:val="21"/>
    </w:rPr>
  </w:style>
  <w:style w:type="paragraph" w:styleId="93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numbering" w:styleId="8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4</cp:revision>
  <dcterms:created xsi:type="dcterms:W3CDTF">2025-12-26T06:46:00Z</dcterms:created>
  <dcterms:modified xsi:type="dcterms:W3CDTF">2026-04-20T03:06:18Z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131DBBB380FF40C0AF4C8554F12BD01F_13</vt:lpwstr>
  </property>
  <property fmtid="{D5CDD505-2E9C-101B-9397-08002B2CF9AE}" pid="4" name="KSOTemplateDocerSaveRecord">
    <vt:lpwstr>eyJoZGlkIjoiNjI1ZTE0Zjg0NzgzMzc4MTY0Zjg0Zjg0MzJjNWNhYjAiLCJ1c2VySWQiOiI2MTQ5OTU1MzQifQ==</vt:lpwstr>
  </property>
</Properties>
</file>