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D0940">
      <w:pPr>
        <w:spacing w:line="360" w:lineRule="auto"/>
        <w:rPr>
          <w:rFonts w:ascii="宋体" w:hAnsi="宋体"/>
          <w:color w:val="000000"/>
          <w:sz w:val="28"/>
          <w:szCs w:val="28"/>
        </w:rPr>
      </w:pPr>
      <w:bookmarkStart w:id="0" w:name="_Toc20928"/>
      <w:r>
        <w:rPr>
          <w:rFonts w:hint="eastAsia" w:ascii="宋体" w:hAnsi="宋体"/>
          <w:color w:val="000000"/>
          <w:sz w:val="28"/>
          <w:szCs w:val="28"/>
        </w:rPr>
        <w:t>附件：</w:t>
      </w:r>
    </w:p>
    <w:p w14:paraId="6BAF9962">
      <w:pPr>
        <w:spacing w:line="360" w:lineRule="auto"/>
        <w:rPr>
          <w:rFonts w:ascii="宋体" w:hAnsi="宋体"/>
          <w:color w:val="000000"/>
          <w:sz w:val="24"/>
        </w:rPr>
      </w:pPr>
      <w:r>
        <w:rPr>
          <w:rFonts w:hint="eastAsia" w:ascii="宋体" w:hAnsi="宋体"/>
          <w:color w:val="000000"/>
          <w:sz w:val="28"/>
          <w:szCs w:val="28"/>
        </w:rPr>
        <w:t>如有建议或意见，请以书面形式并加盖公章、注明联系人、联系方式，</w:t>
      </w:r>
      <w:r>
        <w:rPr>
          <w:rFonts w:hint="eastAsia" w:ascii="宋体" w:hAnsi="宋体"/>
          <w:color w:val="auto"/>
          <w:sz w:val="28"/>
          <w:szCs w:val="28"/>
        </w:rPr>
        <w:t>于202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05</w:t>
      </w:r>
      <w:r>
        <w:rPr>
          <w:rFonts w:hint="eastAsia" w:ascii="宋体" w:hAnsi="宋体"/>
          <w:color w:val="auto"/>
          <w:sz w:val="28"/>
          <w:szCs w:val="28"/>
        </w:rPr>
        <w:t>月</w:t>
      </w:r>
      <w:r>
        <w:rPr>
          <w:rFonts w:hint="eastAsia" w:ascii="宋体" w:hAnsi="宋体"/>
          <w:color w:val="auto"/>
          <w:sz w:val="28"/>
          <w:szCs w:val="28"/>
          <w:lang w:val="en-US" w:eastAsia="zh-CN"/>
        </w:rPr>
        <w:t>09</w:t>
      </w:r>
      <w:r>
        <w:rPr>
          <w:rFonts w:hint="eastAsia" w:ascii="宋体" w:hAnsi="宋体"/>
          <w:color w:val="auto"/>
          <w:sz w:val="28"/>
          <w:szCs w:val="28"/>
        </w:rPr>
        <w:t>日17:00之前送至我单位，逾期不受理（如邮寄，202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05</w:t>
      </w:r>
      <w:r>
        <w:rPr>
          <w:rFonts w:hint="eastAsia" w:ascii="宋体" w:hAnsi="宋体"/>
          <w:color w:val="auto"/>
          <w:sz w:val="28"/>
          <w:szCs w:val="28"/>
        </w:rPr>
        <w:t>月</w:t>
      </w:r>
      <w:r>
        <w:rPr>
          <w:rFonts w:hint="eastAsia" w:ascii="宋体" w:hAnsi="宋体"/>
          <w:color w:val="auto"/>
          <w:sz w:val="28"/>
          <w:szCs w:val="28"/>
          <w:lang w:val="en-US" w:eastAsia="zh-CN"/>
        </w:rPr>
        <w:t>09</w:t>
      </w:r>
      <w:r>
        <w:rPr>
          <w:rFonts w:hint="eastAsia" w:ascii="宋体" w:hAnsi="宋体"/>
          <w:color w:val="auto"/>
          <w:sz w:val="28"/>
          <w:szCs w:val="28"/>
        </w:rPr>
        <w:t>日17:00</w:t>
      </w:r>
      <w:r>
        <w:rPr>
          <w:rFonts w:hint="eastAsia" w:ascii="宋体" w:hAnsi="宋体"/>
          <w:color w:val="000000"/>
          <w:sz w:val="28"/>
          <w:szCs w:val="28"/>
        </w:rPr>
        <w:t>之后到达本公司的邮件将不再受理）。</w:t>
      </w:r>
    </w:p>
    <w:p w14:paraId="23E1C401">
      <w:pPr>
        <w:spacing w:line="360" w:lineRule="auto"/>
        <w:jc w:val="center"/>
        <w:outlineLvl w:val="0"/>
        <w:rPr>
          <w:rFonts w:hint="eastAsia" w:ascii="宋体" w:hAnsi="宋体" w:eastAsia="宋体" w:cs="宋体"/>
          <w:b/>
          <w:bCs/>
          <w:sz w:val="32"/>
          <w:highlight w:val="none"/>
          <w:lang w:val="en-US" w:eastAsia="zh-CN"/>
        </w:rPr>
      </w:pPr>
    </w:p>
    <w:p w14:paraId="465F2757">
      <w:pPr>
        <w:spacing w:line="360" w:lineRule="auto"/>
        <w:jc w:val="center"/>
        <w:outlineLvl w:val="0"/>
        <w:rPr>
          <w:rFonts w:hint="eastAsia" w:ascii="宋体" w:hAnsi="宋体" w:eastAsia="宋体" w:cs="宋体"/>
          <w:b/>
          <w:bCs/>
          <w:sz w:val="32"/>
          <w:highlight w:val="none"/>
          <w:lang w:val="en-US" w:eastAsia="zh-CN"/>
        </w:rPr>
      </w:pPr>
    </w:p>
    <w:p w14:paraId="71AE3355">
      <w:pPr>
        <w:spacing w:line="360" w:lineRule="auto"/>
        <w:jc w:val="center"/>
        <w:outlineLvl w:val="0"/>
        <w:rPr>
          <w:rFonts w:hint="eastAsia" w:ascii="宋体" w:hAnsi="宋体" w:eastAsia="宋体" w:cs="宋体"/>
          <w:b/>
          <w:bCs/>
          <w:sz w:val="32"/>
          <w:highlight w:val="none"/>
          <w:lang w:val="en-US" w:eastAsia="zh-CN"/>
        </w:rPr>
      </w:pPr>
    </w:p>
    <w:p w14:paraId="767EA9BB">
      <w:pPr>
        <w:spacing w:line="360" w:lineRule="auto"/>
        <w:jc w:val="center"/>
        <w:outlineLvl w:val="0"/>
        <w:rPr>
          <w:rFonts w:hint="eastAsia" w:ascii="宋体" w:hAnsi="宋体" w:eastAsia="宋体" w:cs="宋体"/>
          <w:b/>
          <w:bCs/>
          <w:sz w:val="32"/>
          <w:highlight w:val="none"/>
          <w:lang w:val="en-US" w:eastAsia="zh-CN"/>
        </w:rPr>
      </w:pPr>
    </w:p>
    <w:p w14:paraId="4163D33E">
      <w:pPr>
        <w:spacing w:line="360" w:lineRule="auto"/>
        <w:jc w:val="center"/>
        <w:outlineLvl w:val="0"/>
        <w:rPr>
          <w:rFonts w:hint="eastAsia" w:ascii="宋体" w:hAnsi="宋体" w:eastAsia="宋体" w:cs="宋体"/>
          <w:b/>
          <w:bCs/>
          <w:sz w:val="32"/>
          <w:highlight w:val="none"/>
          <w:lang w:val="en-US" w:eastAsia="zh-CN"/>
        </w:rPr>
      </w:pPr>
    </w:p>
    <w:p w14:paraId="04E27891">
      <w:pPr>
        <w:spacing w:line="360" w:lineRule="auto"/>
        <w:jc w:val="center"/>
        <w:outlineLvl w:val="0"/>
        <w:rPr>
          <w:rFonts w:hint="eastAsia" w:ascii="宋体" w:hAnsi="宋体" w:eastAsia="宋体" w:cs="宋体"/>
          <w:b/>
          <w:bCs/>
          <w:sz w:val="32"/>
          <w:highlight w:val="none"/>
          <w:lang w:val="en-US" w:eastAsia="zh-CN"/>
        </w:rPr>
      </w:pPr>
    </w:p>
    <w:p w14:paraId="4F7F5CCF">
      <w:pPr>
        <w:spacing w:line="360" w:lineRule="auto"/>
        <w:jc w:val="center"/>
        <w:outlineLvl w:val="0"/>
        <w:rPr>
          <w:rFonts w:hint="eastAsia" w:ascii="宋体" w:hAnsi="宋体" w:eastAsia="宋体" w:cs="宋体"/>
          <w:b/>
          <w:bCs/>
          <w:sz w:val="32"/>
          <w:highlight w:val="none"/>
          <w:lang w:val="en-US" w:eastAsia="zh-CN"/>
        </w:rPr>
      </w:pPr>
    </w:p>
    <w:p w14:paraId="333F2870">
      <w:pPr>
        <w:spacing w:line="360" w:lineRule="auto"/>
        <w:jc w:val="center"/>
        <w:outlineLvl w:val="0"/>
        <w:rPr>
          <w:rFonts w:hint="eastAsia" w:ascii="宋体" w:hAnsi="宋体" w:eastAsia="宋体" w:cs="宋体"/>
          <w:b/>
          <w:bCs/>
          <w:sz w:val="32"/>
          <w:highlight w:val="none"/>
          <w:lang w:val="en-US" w:eastAsia="zh-CN"/>
        </w:rPr>
      </w:pPr>
    </w:p>
    <w:p w14:paraId="5D535F1E">
      <w:pPr>
        <w:spacing w:line="360" w:lineRule="auto"/>
        <w:jc w:val="center"/>
        <w:outlineLvl w:val="0"/>
        <w:rPr>
          <w:rFonts w:hint="eastAsia" w:ascii="宋体" w:hAnsi="宋体" w:eastAsia="宋体" w:cs="宋体"/>
          <w:b/>
          <w:bCs/>
          <w:sz w:val="32"/>
          <w:highlight w:val="none"/>
          <w:lang w:val="en-US" w:eastAsia="zh-CN"/>
        </w:rPr>
      </w:pPr>
    </w:p>
    <w:p w14:paraId="1B213807">
      <w:pPr>
        <w:spacing w:line="360" w:lineRule="auto"/>
        <w:jc w:val="center"/>
        <w:outlineLvl w:val="0"/>
        <w:rPr>
          <w:rFonts w:hint="eastAsia" w:ascii="宋体" w:hAnsi="宋体" w:eastAsia="宋体" w:cs="宋体"/>
          <w:b/>
          <w:bCs/>
          <w:sz w:val="32"/>
          <w:highlight w:val="none"/>
          <w:lang w:val="en-US" w:eastAsia="zh-CN"/>
        </w:rPr>
      </w:pPr>
    </w:p>
    <w:p w14:paraId="53FDB16F">
      <w:pPr>
        <w:spacing w:line="360" w:lineRule="auto"/>
        <w:jc w:val="center"/>
        <w:outlineLvl w:val="0"/>
        <w:rPr>
          <w:rFonts w:hint="eastAsia" w:ascii="宋体" w:hAnsi="宋体" w:eastAsia="宋体" w:cs="宋体"/>
          <w:b/>
          <w:bCs/>
          <w:sz w:val="32"/>
          <w:highlight w:val="none"/>
          <w:lang w:val="en-US" w:eastAsia="zh-CN"/>
        </w:rPr>
      </w:pPr>
    </w:p>
    <w:p w14:paraId="47BFF631">
      <w:pPr>
        <w:spacing w:line="360" w:lineRule="auto"/>
        <w:jc w:val="center"/>
        <w:outlineLvl w:val="0"/>
        <w:rPr>
          <w:rFonts w:hint="eastAsia" w:ascii="宋体" w:hAnsi="宋体" w:eastAsia="宋体" w:cs="宋体"/>
          <w:b/>
          <w:bCs/>
          <w:sz w:val="32"/>
          <w:highlight w:val="none"/>
          <w:lang w:val="en-US" w:eastAsia="zh-CN"/>
        </w:rPr>
      </w:pPr>
    </w:p>
    <w:p w14:paraId="0E8B9F35">
      <w:pPr>
        <w:spacing w:line="360" w:lineRule="auto"/>
        <w:jc w:val="center"/>
        <w:outlineLvl w:val="0"/>
        <w:rPr>
          <w:rFonts w:hint="eastAsia" w:ascii="宋体" w:hAnsi="宋体" w:eastAsia="宋体" w:cs="宋体"/>
          <w:b/>
          <w:bCs/>
          <w:sz w:val="32"/>
          <w:highlight w:val="none"/>
          <w:lang w:val="en-US" w:eastAsia="zh-CN"/>
        </w:rPr>
      </w:pPr>
    </w:p>
    <w:p w14:paraId="41C12930">
      <w:pPr>
        <w:spacing w:line="360" w:lineRule="auto"/>
        <w:jc w:val="center"/>
        <w:outlineLvl w:val="0"/>
        <w:rPr>
          <w:rFonts w:hint="eastAsia" w:ascii="宋体" w:hAnsi="宋体" w:eastAsia="宋体" w:cs="宋体"/>
          <w:b/>
          <w:bCs/>
          <w:sz w:val="32"/>
          <w:highlight w:val="none"/>
          <w:lang w:val="en-US" w:eastAsia="zh-CN"/>
        </w:rPr>
      </w:pPr>
    </w:p>
    <w:p w14:paraId="347B11CF">
      <w:pPr>
        <w:spacing w:line="360" w:lineRule="auto"/>
        <w:jc w:val="center"/>
        <w:outlineLvl w:val="0"/>
        <w:rPr>
          <w:rFonts w:hint="eastAsia" w:ascii="宋体" w:hAnsi="宋体" w:eastAsia="宋体" w:cs="宋体"/>
          <w:b/>
          <w:bCs/>
          <w:sz w:val="32"/>
          <w:highlight w:val="none"/>
          <w:lang w:val="en-US" w:eastAsia="zh-CN"/>
        </w:rPr>
      </w:pPr>
    </w:p>
    <w:p w14:paraId="3713D93B">
      <w:pPr>
        <w:spacing w:line="360" w:lineRule="auto"/>
        <w:jc w:val="both"/>
        <w:outlineLvl w:val="0"/>
        <w:rPr>
          <w:rFonts w:hint="eastAsia" w:ascii="宋体" w:hAnsi="宋体" w:eastAsia="宋体" w:cs="宋体"/>
          <w:b/>
          <w:bCs/>
          <w:sz w:val="32"/>
          <w:highlight w:val="none"/>
          <w:lang w:val="en-US" w:eastAsia="zh-CN"/>
        </w:rPr>
      </w:pPr>
    </w:p>
    <w:p w14:paraId="0E838B00">
      <w:pPr>
        <w:spacing w:line="360" w:lineRule="auto"/>
        <w:jc w:val="both"/>
        <w:outlineLvl w:val="0"/>
        <w:rPr>
          <w:rFonts w:hint="eastAsia" w:ascii="宋体" w:hAnsi="宋体" w:eastAsia="宋体" w:cs="宋体"/>
          <w:b/>
          <w:bCs/>
          <w:sz w:val="32"/>
          <w:highlight w:val="none"/>
          <w:lang w:val="en-US" w:eastAsia="zh-CN"/>
        </w:rPr>
      </w:pPr>
    </w:p>
    <w:p w14:paraId="70B74F32">
      <w:pPr>
        <w:spacing w:line="360" w:lineRule="auto"/>
        <w:jc w:val="center"/>
        <w:outlineLvl w:val="0"/>
        <w:rPr>
          <w:rFonts w:hint="eastAsia" w:ascii="宋体" w:hAnsi="宋体" w:eastAsia="宋体" w:cs="宋体"/>
          <w:b/>
          <w:bCs/>
          <w:sz w:val="32"/>
          <w:highlight w:val="none"/>
          <w:lang w:val="en-US" w:eastAsia="zh-CN"/>
        </w:rPr>
      </w:pPr>
    </w:p>
    <w:bookmarkEnd w:id="0"/>
    <w:p w14:paraId="37CB9FE7">
      <w:pPr>
        <w:pStyle w:val="7"/>
        <w:keepNext w:val="0"/>
        <w:keepLines w:val="0"/>
        <w:widowControl w:val="0"/>
        <w:spacing w:before="0" w:after="0" w:line="312" w:lineRule="auto"/>
        <w:jc w:val="center"/>
        <w:rPr>
          <w:rStyle w:val="16"/>
          <w:rFonts w:ascii="宋体" w:hAnsi="宋体"/>
          <w:sz w:val="28"/>
          <w:highlight w:val="none"/>
        </w:rPr>
      </w:pPr>
      <w:r>
        <w:rPr>
          <w:rStyle w:val="16"/>
          <w:rFonts w:ascii="宋体" w:hAnsi="宋体"/>
          <w:sz w:val="28"/>
          <w:highlight w:val="none"/>
        </w:rPr>
        <w:t>第八章 项目要求（采购需求）</w:t>
      </w:r>
    </w:p>
    <w:p w14:paraId="65516B20">
      <w:pPr>
        <w:pBdr>
          <w:top w:val="none" w:color="000000" w:sz="0" w:space="0"/>
          <w:left w:val="none" w:color="000000" w:sz="0" w:space="0"/>
          <w:bottom w:val="none" w:color="000000" w:sz="0" w:space="0"/>
          <w:right w:val="none" w:color="000000" w:sz="0" w:space="0"/>
        </w:pBdr>
        <w:spacing w:after="0" w:line="360" w:lineRule="auto"/>
        <w:ind w:firstLine="482"/>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一、说明</w:t>
      </w:r>
    </w:p>
    <w:p w14:paraId="73DE7AC9">
      <w:pPr>
        <w:pBdr>
          <w:top w:val="none" w:color="000000" w:sz="0" w:space="0"/>
          <w:left w:val="none" w:color="000000" w:sz="0" w:space="0"/>
          <w:bottom w:val="none" w:color="000000" w:sz="0" w:space="0"/>
          <w:right w:val="none" w:color="000000" w:sz="0" w:space="0"/>
        </w:pBdr>
        <w:spacing w:after="0" w:line="360" w:lineRule="auto"/>
        <w:ind w:firstLine="480"/>
        <w:jc w:val="both"/>
        <w:rPr>
          <w:rFonts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江苏省徐州市沛县考古调查勘探项目</w:t>
      </w:r>
      <w:r>
        <w:rPr>
          <w:rFonts w:hint="eastAsia" w:asciiTheme="minorEastAsia" w:hAnsiTheme="minorEastAsia" w:eastAsiaTheme="minorEastAsia" w:cstheme="minorEastAsia"/>
          <w:color w:val="auto"/>
          <w:sz w:val="24"/>
          <w:szCs w:val="24"/>
          <w:lang w:eastAsia="zh-CN"/>
        </w:rPr>
        <w:t>。</w:t>
      </w:r>
    </w:p>
    <w:p w14:paraId="2C2041DA">
      <w:pPr>
        <w:pBdr>
          <w:top w:val="none" w:color="000000" w:sz="0" w:space="0"/>
          <w:left w:val="none" w:color="000000" w:sz="0" w:space="0"/>
          <w:bottom w:val="none" w:color="000000" w:sz="0" w:space="0"/>
          <w:right w:val="none" w:color="000000" w:sz="0" w:space="0"/>
        </w:pBdr>
        <w:spacing w:after="0" w:line="360" w:lineRule="auto"/>
        <w:ind w:firstLine="482"/>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二、采购项目预算金额及采购包划分</w:t>
      </w:r>
    </w:p>
    <w:p w14:paraId="15E323A0">
      <w:pPr>
        <w:spacing w:after="0" w:line="360" w:lineRule="auto"/>
        <w:ind w:firstLine="480"/>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color w:val="auto"/>
          <w:sz w:val="24"/>
          <w:szCs w:val="24"/>
          <w:lang w:eastAsia="zh-CN"/>
        </w:rPr>
        <w:t>（一）本项目不接受超过</w:t>
      </w:r>
      <w:r>
        <w:rPr>
          <w:rFonts w:hint="eastAsia" w:asciiTheme="minorEastAsia" w:hAnsiTheme="minorEastAsia" w:eastAsiaTheme="minorEastAsia" w:cstheme="minorEastAsia"/>
          <w:b/>
          <w:bCs/>
          <w:color w:val="auto"/>
          <w:sz w:val="24"/>
          <w:szCs w:val="24"/>
          <w:u w:val="single"/>
          <w:lang w:eastAsia="zh-CN"/>
        </w:rPr>
        <w:t>采购预算单价</w:t>
      </w:r>
      <w:r>
        <w:rPr>
          <w:rFonts w:hint="eastAsia" w:asciiTheme="minorEastAsia" w:hAnsiTheme="minorEastAsia" w:eastAsiaTheme="minorEastAsia" w:cstheme="minorEastAsia"/>
          <w:color w:val="auto"/>
          <w:sz w:val="24"/>
          <w:szCs w:val="24"/>
          <w:lang w:eastAsia="zh-CN"/>
        </w:rPr>
        <w:t>的投标报价（即优惠率必须大于0）。</w:t>
      </w:r>
      <w:r>
        <w:rPr>
          <w:rFonts w:hint="eastAsia" w:asciiTheme="minorEastAsia" w:hAnsiTheme="minorEastAsia" w:eastAsiaTheme="minorEastAsia" w:cstheme="minorEastAsia"/>
          <w:b/>
          <w:bCs/>
          <w:color w:val="auto"/>
          <w:sz w:val="24"/>
          <w:szCs w:val="24"/>
          <w:lang w:eastAsia="zh-CN"/>
        </w:rPr>
        <w:t>投标报价包括完成招标范围内的所有工作的全部费用，包括但不限于人工、材料、机械、差旅、采样、检测、编制、评审、管理、利润、规费、税金等费用。供应商应充分了解该项目的总体情况、各类市场风险以及影响投标报价的其他要素风险，服务期内结算总费用委托方委托受托方调查项目数量和中标单价来计算。</w:t>
      </w:r>
    </w:p>
    <w:p w14:paraId="21705A93">
      <w:pPr>
        <w:spacing w:after="0" w:line="360" w:lineRule="auto"/>
        <w:ind w:firstLine="48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（二）采购包</w:t>
      </w:r>
      <w:r>
        <w:rPr>
          <w:rFonts w:hint="eastAsia" w:asciiTheme="minorEastAsia" w:hAnsi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沛县云飞路南侧、汉城路西侧（龙王庄一、二地块)。</w:t>
      </w:r>
      <w:r>
        <w:rPr>
          <w:rFonts w:hint="eastAsia" w:asciiTheme="minorEastAsia" w:hAnsiTheme="minorEastAsia" w:eastAsiaTheme="minorEastAsia" w:cstheme="minorEastAsia"/>
          <w:color w:val="auto"/>
          <w:sz w:val="24"/>
          <w:szCs w:val="24"/>
          <w:lang w:eastAsia="zh-CN"/>
        </w:rPr>
        <w:t>详见磋商文件采购需求。最终总价以实际数量乘以单价进行结算。估算价约：</w:t>
      </w:r>
      <w:r>
        <w:rPr>
          <w:rFonts w:hint="eastAsia" w:asciiTheme="minorEastAsia" w:hAnsiTheme="minorEastAsia" w:eastAsiaTheme="minorEastAsia" w:cstheme="minorEastAsia"/>
          <w:color w:val="auto"/>
          <w:sz w:val="24"/>
          <w:szCs w:val="24"/>
          <w:lang w:val="en-US" w:eastAsia="zh-CN"/>
        </w:rPr>
        <w:t>61</w:t>
      </w:r>
      <w:r>
        <w:rPr>
          <w:rFonts w:hint="eastAsia" w:asciiTheme="minorEastAsia" w:hAnsiTheme="minorEastAsia" w:eastAsiaTheme="minorEastAsia" w:cstheme="minorEastAsia"/>
          <w:color w:val="auto"/>
          <w:sz w:val="24"/>
          <w:szCs w:val="24"/>
          <w:lang w:eastAsia="zh-CN"/>
        </w:rPr>
        <w:t>万元，以实际发生金额为准</w:t>
      </w:r>
      <w:r>
        <w:rPr>
          <w:rFonts w:hint="eastAsia" w:asciiTheme="minorEastAsia" w:hAnsiTheme="minorEastAsia" w:cstheme="minorEastAsia"/>
          <w:color w:val="auto"/>
          <w:sz w:val="24"/>
          <w:szCs w:val="24"/>
          <w:lang w:eastAsia="zh-CN"/>
        </w:rPr>
        <w:t>。</w:t>
      </w:r>
    </w:p>
    <w:p w14:paraId="63071C43">
      <w:pPr>
        <w:pStyle w:val="3"/>
        <w:spacing w:line="360" w:lineRule="auto"/>
        <w:ind w:left="0" w:firstLine="72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采购包</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沛县汉明路东侧、新正街北侧(东南4-2)、沛县东环路东侧、东风路北侧(城东综合生活区)</w:t>
      </w:r>
      <w:r>
        <w:rPr>
          <w:rFonts w:hint="eastAsia" w:asciiTheme="minorEastAsia" w:hAnsiTheme="minorEastAsia" w:eastAsiaTheme="minorEastAsia" w:cstheme="minorEastAsia"/>
          <w:color w:val="auto"/>
          <w:sz w:val="24"/>
          <w:szCs w:val="24"/>
          <w:lang w:eastAsia="zh-CN"/>
        </w:rPr>
        <w:t>。详见磋商文件采购需求。最终总价以实际数量乘以单价进行结算。估算价约：</w:t>
      </w:r>
      <w:r>
        <w:rPr>
          <w:rFonts w:hint="eastAsia" w:asciiTheme="minorEastAsia" w:hAnsiTheme="minorEastAsia" w:eastAsiaTheme="minorEastAsia" w:cstheme="minorEastAsia"/>
          <w:color w:val="auto"/>
          <w:sz w:val="24"/>
          <w:szCs w:val="24"/>
          <w:lang w:val="en-US" w:eastAsia="zh-CN"/>
        </w:rPr>
        <w:t>69</w:t>
      </w:r>
      <w:r>
        <w:rPr>
          <w:rFonts w:hint="eastAsia" w:asciiTheme="minorEastAsia" w:hAnsiTheme="minorEastAsia" w:eastAsiaTheme="minorEastAsia" w:cstheme="minorEastAsia"/>
          <w:color w:val="auto"/>
          <w:sz w:val="24"/>
          <w:szCs w:val="24"/>
          <w:lang w:eastAsia="zh-CN"/>
        </w:rPr>
        <w:t>万元，以实际发生金额为准。</w:t>
      </w:r>
    </w:p>
    <w:p w14:paraId="18D8370C">
      <w:pPr>
        <w:pStyle w:val="3"/>
        <w:spacing w:line="360" w:lineRule="auto"/>
        <w:ind w:firstLine="48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采购包</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沛县正阳大道西侧、王陵路南侧(徐工人才公寓)</w:t>
      </w:r>
      <w:r>
        <w:rPr>
          <w:rFonts w:hint="eastAsia" w:asciiTheme="minorEastAsia" w:hAnsiTheme="minorEastAsia" w:eastAsiaTheme="minorEastAsia" w:cstheme="minorEastAsia"/>
          <w:color w:val="auto"/>
          <w:sz w:val="24"/>
          <w:szCs w:val="24"/>
        </w:rPr>
        <w:t>。详见</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采购需求。最终总价以实际数量乘以单价进行结算。估算价约：</w:t>
      </w:r>
      <w:r>
        <w:rPr>
          <w:rFonts w:hint="eastAsia" w:eastAsia="宋体" w:asciiTheme="minorEastAsia" w:hAnsiTheme="minorEastAsia" w:cstheme="minorEastAsia"/>
          <w:color w:val="auto"/>
          <w:sz w:val="24"/>
          <w:szCs w:val="24"/>
          <w:lang w:val="en-US" w:eastAsia="zh-CN"/>
        </w:rPr>
        <w:t>57</w:t>
      </w:r>
      <w:r>
        <w:rPr>
          <w:rFonts w:hint="eastAsia" w:asciiTheme="minorEastAsia" w:hAnsiTheme="minorEastAsia" w:eastAsiaTheme="minorEastAsia" w:cstheme="minorEastAsia"/>
          <w:color w:val="auto"/>
          <w:sz w:val="24"/>
          <w:szCs w:val="24"/>
        </w:rPr>
        <w:t xml:space="preserve">万元，以实际发生金额为准。 </w:t>
      </w:r>
    </w:p>
    <w:p w14:paraId="23663CA4">
      <w:pPr>
        <w:spacing w:after="0" w:line="360" w:lineRule="auto"/>
        <w:ind w:firstLine="48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采购包四：</w:t>
      </w:r>
      <w:r>
        <w:rPr>
          <w:rFonts w:hint="eastAsia" w:ascii="宋体" w:hAnsi="宋体" w:cs="宋体"/>
          <w:color w:val="auto"/>
          <w:sz w:val="24"/>
          <w:szCs w:val="24"/>
          <w:lang w:val="en-US" w:eastAsia="zh-CN" w:bidi="ar"/>
        </w:rPr>
        <w:t>沛县汉源大道东侧、王陵路北侧、沛龙路南侧。(郝寨地块一)、沛县汉源大道东侧、支二路南侧、灌婴路北侧。(郝寨地块三)</w:t>
      </w:r>
      <w:r>
        <w:rPr>
          <w:rFonts w:hint="eastAsia" w:asciiTheme="minorEastAsia" w:hAnsiTheme="minorEastAsia" w:eastAsiaTheme="minorEastAsia" w:cstheme="minorEastAsia"/>
          <w:color w:val="auto"/>
          <w:sz w:val="24"/>
          <w:szCs w:val="24"/>
        </w:rPr>
        <w:t>。详见</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采购需求。最终总价以实际数量乘以单价进行结算。估算价约：</w:t>
      </w:r>
      <w:r>
        <w:rPr>
          <w:rFonts w:hint="eastAsia" w:asciiTheme="minorEastAsia" w:hAnsiTheme="minorEastAsia" w:cstheme="minorEastAsia"/>
          <w:color w:val="auto"/>
          <w:sz w:val="24"/>
          <w:szCs w:val="24"/>
          <w:lang w:val="en-US" w:eastAsia="zh-CN"/>
        </w:rPr>
        <w:t>62</w:t>
      </w:r>
      <w:r>
        <w:rPr>
          <w:rFonts w:hint="eastAsia" w:asciiTheme="minorEastAsia" w:hAnsiTheme="minorEastAsia" w:eastAsiaTheme="minorEastAsia" w:cstheme="minorEastAsia"/>
          <w:color w:val="auto"/>
          <w:sz w:val="24"/>
          <w:szCs w:val="24"/>
        </w:rPr>
        <w:t>万元，以实际发生金额为准。</w:t>
      </w:r>
      <w:r>
        <w:rPr>
          <w:rFonts w:hint="eastAsia" w:asciiTheme="minorEastAsia" w:hAnsiTheme="minorEastAsia" w:eastAsiaTheme="minorEastAsia" w:cstheme="minorEastAsia"/>
          <w:color w:val="auto"/>
          <w:sz w:val="24"/>
          <w:szCs w:val="24"/>
          <w:lang w:eastAsia="zh-CN"/>
        </w:rPr>
        <w:t xml:space="preserve"> </w:t>
      </w:r>
    </w:p>
    <w:p w14:paraId="262BA866">
      <w:pPr>
        <w:spacing w:after="0" w:line="360" w:lineRule="auto"/>
        <w:ind w:firstLine="480"/>
        <w:rPr>
          <w:rFonts w:hint="eastAsia" w:asciiTheme="minorEastAsia" w:hAnsiTheme="minorEastAsia" w:eastAsiaTheme="minorEastAsia" w:cstheme="minorEastAsia"/>
          <w:color w:val="auto"/>
          <w:sz w:val="24"/>
          <w:szCs w:val="24"/>
          <w:lang w:eastAsia="zh-CN"/>
        </w:rPr>
      </w:pPr>
    </w:p>
    <w:p w14:paraId="56857CDC">
      <w:pPr>
        <w:spacing w:after="0" w:line="360" w:lineRule="auto"/>
        <w:ind w:firstLine="480"/>
        <w:rPr>
          <w:rFonts w:hint="eastAsia" w:asciiTheme="minorEastAsia" w:hAnsiTheme="minorEastAsia" w:eastAsiaTheme="minorEastAsia" w:cstheme="minorEastAsia"/>
          <w:color w:val="auto"/>
          <w:sz w:val="24"/>
          <w:szCs w:val="24"/>
          <w:lang w:eastAsia="zh-CN"/>
        </w:rPr>
      </w:pPr>
    </w:p>
    <w:p w14:paraId="4886E73E">
      <w:pPr>
        <w:spacing w:after="0" w:line="360" w:lineRule="auto"/>
        <w:ind w:firstLine="480"/>
        <w:rPr>
          <w:rFonts w:hint="eastAsia" w:asciiTheme="minorEastAsia" w:hAnsiTheme="minorEastAsia" w:eastAsiaTheme="minorEastAsia" w:cstheme="minorEastAsia"/>
          <w:color w:val="auto"/>
          <w:sz w:val="24"/>
          <w:szCs w:val="24"/>
          <w:lang w:eastAsia="zh-CN"/>
        </w:rPr>
      </w:pPr>
    </w:p>
    <w:p w14:paraId="72C43A4E">
      <w:pPr>
        <w:spacing w:after="0" w:line="360" w:lineRule="auto"/>
        <w:ind w:firstLine="480"/>
        <w:rPr>
          <w:rFonts w:hint="eastAsia" w:asciiTheme="minorEastAsia" w:hAnsiTheme="minorEastAsia" w:eastAsiaTheme="minorEastAsia" w:cstheme="minorEastAsia"/>
          <w:color w:val="auto"/>
          <w:sz w:val="24"/>
          <w:szCs w:val="24"/>
          <w:lang w:eastAsia="zh-CN"/>
        </w:rPr>
      </w:pPr>
    </w:p>
    <w:p w14:paraId="7A3A404F">
      <w:pPr>
        <w:spacing w:after="0" w:line="360" w:lineRule="auto"/>
        <w:ind w:firstLine="480"/>
        <w:rPr>
          <w:rFonts w:hint="eastAsia" w:asciiTheme="minorEastAsia" w:hAnsiTheme="minorEastAsia" w:eastAsiaTheme="minorEastAsia" w:cstheme="minorEastAsia"/>
          <w:color w:val="auto"/>
          <w:sz w:val="24"/>
          <w:szCs w:val="24"/>
          <w:lang w:eastAsia="zh-CN"/>
        </w:rPr>
      </w:pPr>
    </w:p>
    <w:p w14:paraId="5D921055">
      <w:pPr>
        <w:spacing w:after="0" w:line="360" w:lineRule="auto"/>
        <w:ind w:firstLine="480"/>
        <w:rPr>
          <w:rFonts w:hint="default" w:asciiTheme="minorEastAsia" w:hAnsiTheme="minorEastAsia" w:eastAsiaTheme="minorEastAsia" w:cstheme="minorEastAsia"/>
          <w:color w:val="auto"/>
          <w:sz w:val="24"/>
          <w:szCs w:val="24"/>
          <w:lang w:val="en-US" w:eastAsia="zh-CN"/>
        </w:rPr>
      </w:pPr>
    </w:p>
    <w:p w14:paraId="0579EB54">
      <w:pPr>
        <w:pStyle w:val="3"/>
        <w:numPr>
          <w:ilvl w:val="0"/>
          <w:numId w:val="1"/>
        </w:numPr>
        <w:spacing w:line="360" w:lineRule="auto"/>
        <w:ind w:firstLine="48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采购预算单价及工作内容</w:t>
      </w:r>
    </w:p>
    <w:tbl>
      <w:tblPr>
        <w:tblStyle w:val="5"/>
        <w:tblW w:w="96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6"/>
        <w:gridCol w:w="3105"/>
        <w:gridCol w:w="2422"/>
        <w:gridCol w:w="1365"/>
        <w:gridCol w:w="1748"/>
      </w:tblGrid>
      <w:tr w14:paraId="120EB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6" w:type="dxa"/>
            <w:tcBorders>
              <w:right w:val="single" w:color="auto" w:sz="4" w:space="0"/>
            </w:tcBorders>
            <w:vAlign w:val="center"/>
          </w:tcPr>
          <w:p w14:paraId="197B7A14">
            <w:pPr>
              <w:spacing w:after="0" w:line="360" w:lineRule="auto"/>
              <w:ind w:left="0" w:leftChars="0" w:firstLine="0" w:firstLineChars="0"/>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采购包</w:t>
            </w:r>
          </w:p>
        </w:tc>
        <w:tc>
          <w:tcPr>
            <w:tcW w:w="3105" w:type="dxa"/>
            <w:tcBorders>
              <w:left w:val="single" w:color="auto" w:sz="4" w:space="0"/>
              <w:right w:val="single" w:color="auto" w:sz="4" w:space="0"/>
            </w:tcBorders>
            <w:vAlign w:val="center"/>
          </w:tcPr>
          <w:p w14:paraId="4EED4250">
            <w:pPr>
              <w:spacing w:after="0" w:line="360" w:lineRule="auto"/>
              <w:ind w:left="0" w:leftChars="0" w:firstLine="0" w:firstLineChars="0"/>
              <w:jc w:val="center"/>
              <w:rPr>
                <w:rFonts w:hint="default"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调查地块</w:t>
            </w:r>
          </w:p>
        </w:tc>
        <w:tc>
          <w:tcPr>
            <w:tcW w:w="2422" w:type="dxa"/>
            <w:tcBorders>
              <w:left w:val="single" w:color="auto" w:sz="4" w:space="0"/>
              <w:right w:val="single" w:color="auto" w:sz="4" w:space="0"/>
            </w:tcBorders>
            <w:vAlign w:val="center"/>
          </w:tcPr>
          <w:p w14:paraId="65603A04">
            <w:pPr>
              <w:spacing w:after="0" w:line="360" w:lineRule="auto"/>
              <w:ind w:left="0" w:leftChars="0" w:firstLine="0" w:firstLineChars="0"/>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调查项目内容</w:t>
            </w:r>
          </w:p>
        </w:tc>
        <w:tc>
          <w:tcPr>
            <w:tcW w:w="1365" w:type="dxa"/>
            <w:tcBorders>
              <w:left w:val="single" w:color="auto" w:sz="4" w:space="0"/>
            </w:tcBorders>
            <w:vAlign w:val="center"/>
          </w:tcPr>
          <w:p w14:paraId="498CE123">
            <w:pPr>
              <w:spacing w:after="0" w:line="360" w:lineRule="auto"/>
              <w:ind w:left="0" w:leftChars="0" w:firstLine="0" w:firstLineChars="0"/>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调查面积</w:t>
            </w:r>
          </w:p>
          <w:p w14:paraId="5BDE4B29">
            <w:pPr>
              <w:spacing w:after="0" w:line="360" w:lineRule="auto"/>
              <w:ind w:left="0" w:leftChars="0" w:firstLine="0" w:firstLineChars="0"/>
              <w:jc w:val="center"/>
              <w:rPr>
                <w:rFonts w:hint="default"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（平方米）</w:t>
            </w:r>
          </w:p>
        </w:tc>
        <w:tc>
          <w:tcPr>
            <w:tcW w:w="1748" w:type="dxa"/>
            <w:vAlign w:val="center"/>
          </w:tcPr>
          <w:p w14:paraId="135B2D2F">
            <w:pPr>
              <w:spacing w:after="0" w:line="360" w:lineRule="auto"/>
              <w:ind w:left="0" w:leftChars="0" w:firstLine="0" w:firstLineChars="0"/>
              <w:jc w:val="both"/>
              <w:rPr>
                <w:rFonts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采购预算单价（元</w:t>
            </w:r>
            <w:r>
              <w:rPr>
                <w:rFonts w:hint="eastAsia" w:asciiTheme="minorEastAsia" w:hAnsiTheme="minorEastAsia" w:eastAsiaTheme="minorEastAsia" w:cstheme="minorEastAsia"/>
                <w:b/>
                <w:bCs/>
                <w:color w:val="auto"/>
                <w:sz w:val="22"/>
                <w:szCs w:val="22"/>
                <w:lang w:val="en-US" w:eastAsia="zh-CN"/>
              </w:rPr>
              <w:t>/平方米</w:t>
            </w:r>
            <w:r>
              <w:rPr>
                <w:rFonts w:hint="eastAsia" w:asciiTheme="minorEastAsia" w:hAnsiTheme="minorEastAsia" w:eastAsiaTheme="minorEastAsia" w:cstheme="minorEastAsia"/>
                <w:b/>
                <w:bCs/>
                <w:color w:val="auto"/>
                <w:sz w:val="22"/>
                <w:szCs w:val="22"/>
              </w:rPr>
              <w:t>）</w:t>
            </w:r>
          </w:p>
        </w:tc>
      </w:tr>
      <w:tr w14:paraId="0AA8E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1006" w:type="dxa"/>
            <w:tcBorders>
              <w:right w:val="single" w:color="auto" w:sz="4" w:space="0"/>
            </w:tcBorders>
            <w:shd w:val="clear"/>
            <w:vAlign w:val="center"/>
          </w:tcPr>
          <w:p w14:paraId="017BF0F6">
            <w:pPr>
              <w:spacing w:after="0" w:line="360" w:lineRule="auto"/>
              <w:ind w:left="0" w:leftChars="0" w:firstLine="0" w:firstLineChars="0"/>
              <w:jc w:val="both"/>
              <w:rPr>
                <w:rFonts w:hint="eastAsia" w:asciiTheme="minorEastAsia" w:hAnsiTheme="minorEastAsia" w:eastAsiaTheme="minorEastAsia" w:cstheme="minorEastAsia"/>
                <w:b w:val="0"/>
                <w:bCs w:val="0"/>
                <w:color w:val="auto"/>
                <w:kern w:val="2"/>
                <w:sz w:val="21"/>
                <w:szCs w:val="24"/>
                <w:lang w:val="en-US" w:eastAsia="zh-CN" w:bidi="ar-SA"/>
              </w:rPr>
            </w:pPr>
            <w:bookmarkStart w:id="1" w:name="_GoBack"/>
            <w:r>
              <w:rPr>
                <w:rFonts w:hint="eastAsia" w:asciiTheme="minorEastAsia" w:hAnsiTheme="minorEastAsia" w:eastAsiaTheme="minorEastAsia" w:cstheme="minorEastAsia"/>
                <w:b w:val="0"/>
                <w:bCs w:val="0"/>
                <w:color w:val="auto"/>
                <w:lang w:val="en-US" w:eastAsia="zh-CN"/>
              </w:rPr>
              <w:t>采购包</w:t>
            </w:r>
            <w:r>
              <w:rPr>
                <w:rFonts w:hint="eastAsia" w:asciiTheme="minorEastAsia" w:hAnsiTheme="minorEastAsia" w:cstheme="minorEastAsia"/>
                <w:b w:val="0"/>
                <w:bCs w:val="0"/>
                <w:color w:val="auto"/>
                <w:lang w:val="en-US" w:eastAsia="zh-CN"/>
              </w:rPr>
              <w:t>一</w:t>
            </w:r>
          </w:p>
        </w:tc>
        <w:tc>
          <w:tcPr>
            <w:tcW w:w="3105" w:type="dxa"/>
            <w:tcBorders>
              <w:left w:val="single" w:color="auto" w:sz="4" w:space="0"/>
              <w:right w:val="single" w:color="auto" w:sz="4" w:space="0"/>
            </w:tcBorders>
            <w:shd w:val="clear"/>
            <w:vAlign w:val="center"/>
          </w:tcPr>
          <w:p w14:paraId="05430888">
            <w:pPr>
              <w:spacing w:after="0" w:line="360" w:lineRule="auto"/>
              <w:ind w:left="0" w:leftChars="0" w:firstLine="0" w:firstLineChars="0"/>
              <w:jc w:val="both"/>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b w:val="0"/>
                <w:bCs w:val="0"/>
                <w:color w:val="auto"/>
                <w:sz w:val="22"/>
                <w:szCs w:val="22"/>
                <w:lang w:val="en-US" w:eastAsia="zh-CN"/>
              </w:rPr>
              <w:t>沛县云飞路南侧、汉城路西侧（龙王庄一、二地块)</w:t>
            </w:r>
          </w:p>
        </w:tc>
        <w:tc>
          <w:tcPr>
            <w:tcW w:w="2422" w:type="dxa"/>
            <w:tcBorders>
              <w:left w:val="single" w:color="auto" w:sz="4" w:space="0"/>
              <w:right w:val="single" w:color="auto" w:sz="4" w:space="0"/>
            </w:tcBorders>
            <w:shd w:val="clear"/>
            <w:vAlign w:val="center"/>
          </w:tcPr>
          <w:p w14:paraId="2F9F3C7D">
            <w:pPr>
              <w:spacing w:after="0" w:line="360" w:lineRule="auto"/>
              <w:ind w:left="0" w:leftChars="0" w:firstLine="0" w:firstLineChars="0"/>
              <w:jc w:val="both"/>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1.对地块进行考古调查</w:t>
            </w:r>
          </w:p>
          <w:p w14:paraId="58AC642E">
            <w:pPr>
              <w:spacing w:after="0" w:line="360" w:lineRule="auto"/>
              <w:jc w:val="both"/>
              <w:rPr>
                <w:rFonts w:hint="eastAsia" w:asciiTheme="minorEastAsia" w:hAnsiTheme="minorEastAsia" w:eastAsiaTheme="minorEastAsia" w:cstheme="minorEastAsia"/>
                <w:b w:val="0"/>
                <w:bCs w:val="0"/>
                <w:color w:val="auto"/>
                <w:kern w:val="2"/>
                <w:sz w:val="21"/>
                <w:szCs w:val="24"/>
                <w:lang w:val="en-US" w:eastAsia="zh-CN" w:bidi="ar-SA"/>
              </w:rPr>
            </w:pPr>
            <w:r>
              <w:rPr>
                <w:rFonts w:hint="eastAsia" w:asciiTheme="minorEastAsia" w:hAnsiTheme="minorEastAsia" w:eastAsiaTheme="minorEastAsia" w:cstheme="minorEastAsia"/>
                <w:b w:val="0"/>
                <w:bCs w:val="0"/>
                <w:color w:val="auto"/>
                <w:sz w:val="22"/>
                <w:szCs w:val="22"/>
                <w:lang w:val="en-US" w:eastAsia="zh-CN"/>
              </w:rPr>
              <w:t>2.对地块进行勘探</w:t>
            </w:r>
          </w:p>
        </w:tc>
        <w:tc>
          <w:tcPr>
            <w:tcW w:w="1365" w:type="dxa"/>
            <w:tcBorders>
              <w:left w:val="single" w:color="auto" w:sz="4" w:space="0"/>
              <w:bottom w:val="single" w:color="auto" w:sz="4" w:space="0"/>
            </w:tcBorders>
            <w:shd w:val="clear"/>
            <w:vAlign w:val="center"/>
          </w:tcPr>
          <w:p w14:paraId="31B5FB89">
            <w:pPr>
              <w:spacing w:after="0" w:line="360" w:lineRule="auto"/>
              <w:ind w:left="0" w:leftChars="0" w:firstLine="0" w:firstLineChars="0"/>
              <w:jc w:val="center"/>
              <w:rPr>
                <w:rFonts w:hint="eastAsia" w:asciiTheme="minorEastAsia" w:hAnsiTheme="minorEastAsia" w:eastAsiaTheme="minorEastAsia" w:cstheme="minorEastAsia"/>
                <w:b w:val="0"/>
                <w:bCs w:val="0"/>
                <w:color w:val="auto"/>
                <w:kern w:val="2"/>
                <w:sz w:val="21"/>
                <w:szCs w:val="24"/>
                <w:lang w:val="en-US" w:eastAsia="zh-CN" w:bidi="ar-SA"/>
              </w:rPr>
            </w:pPr>
            <w:r>
              <w:rPr>
                <w:rFonts w:hint="eastAsia" w:asciiTheme="minorEastAsia" w:hAnsiTheme="minorEastAsia" w:eastAsiaTheme="minorEastAsia" w:cstheme="minorEastAsia"/>
                <w:b w:val="0"/>
                <w:bCs w:val="0"/>
                <w:color w:val="auto"/>
                <w:lang w:val="en-US" w:eastAsia="zh-CN"/>
              </w:rPr>
              <w:t>55492.81</w:t>
            </w:r>
          </w:p>
        </w:tc>
        <w:tc>
          <w:tcPr>
            <w:tcW w:w="1748" w:type="dxa"/>
            <w:shd w:val="clear"/>
            <w:vAlign w:val="center"/>
          </w:tcPr>
          <w:p w14:paraId="47C47A93">
            <w:pPr>
              <w:spacing w:after="0" w:line="360" w:lineRule="auto"/>
              <w:ind w:left="0" w:leftChars="0" w:firstLine="0" w:firstLineChars="0"/>
              <w:jc w:val="center"/>
              <w:rPr>
                <w:rFonts w:hint="eastAsia" w:asciiTheme="minorEastAsia" w:hAnsiTheme="minorEastAsia" w:eastAsiaTheme="minorEastAsia" w:cstheme="minorEastAsia"/>
                <w:b w:val="0"/>
                <w:bCs w:val="0"/>
                <w:color w:val="auto"/>
                <w:kern w:val="2"/>
                <w:sz w:val="21"/>
                <w:szCs w:val="24"/>
                <w:lang w:val="en-US" w:eastAsia="zh-CN" w:bidi="ar-SA"/>
              </w:rPr>
            </w:pPr>
            <w:r>
              <w:rPr>
                <w:rFonts w:hint="eastAsia" w:asciiTheme="minorEastAsia" w:hAnsiTheme="minorEastAsia" w:eastAsiaTheme="minorEastAsia" w:cstheme="minorEastAsia"/>
                <w:b w:val="0"/>
                <w:bCs w:val="0"/>
                <w:color w:val="auto"/>
                <w:lang w:val="en-US" w:eastAsia="zh-CN"/>
              </w:rPr>
              <w:t>11</w:t>
            </w:r>
          </w:p>
        </w:tc>
      </w:tr>
      <w:bookmarkEnd w:id="1"/>
      <w:tr w14:paraId="1D5C0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1006" w:type="dxa"/>
            <w:vMerge w:val="restart"/>
            <w:tcBorders>
              <w:right w:val="single" w:color="auto" w:sz="4" w:space="0"/>
            </w:tcBorders>
            <w:vAlign w:val="center"/>
          </w:tcPr>
          <w:p w14:paraId="46F9EE09">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lang w:val="en-US" w:eastAsia="zh-CN"/>
              </w:rPr>
              <w:t>采购包</w:t>
            </w:r>
            <w:r>
              <w:rPr>
                <w:rFonts w:hint="eastAsia" w:asciiTheme="minorEastAsia" w:hAnsiTheme="minorEastAsia" w:cstheme="minorEastAsia"/>
                <w:color w:val="auto"/>
                <w:lang w:val="en-US" w:eastAsia="zh-CN"/>
              </w:rPr>
              <w:t>二</w:t>
            </w:r>
          </w:p>
        </w:tc>
        <w:tc>
          <w:tcPr>
            <w:tcW w:w="3105" w:type="dxa"/>
            <w:tcBorders>
              <w:left w:val="single" w:color="auto" w:sz="4" w:space="0"/>
              <w:right w:val="single" w:color="auto" w:sz="4" w:space="0"/>
            </w:tcBorders>
            <w:shd w:val="clear"/>
            <w:vAlign w:val="center"/>
          </w:tcPr>
          <w:p w14:paraId="3E721A05">
            <w:pPr>
              <w:spacing w:after="0" w:line="360" w:lineRule="auto"/>
              <w:ind w:left="0" w:leftChars="0" w:firstLine="0" w:firstLineChars="0"/>
              <w:jc w:val="both"/>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沛县汉明路东侧、新正街北侧(东南4-2)</w:t>
            </w:r>
          </w:p>
        </w:tc>
        <w:tc>
          <w:tcPr>
            <w:tcW w:w="2422" w:type="dxa"/>
            <w:vMerge w:val="restart"/>
            <w:tcBorders>
              <w:left w:val="single" w:color="auto" w:sz="4" w:space="0"/>
              <w:right w:val="single" w:color="auto" w:sz="4" w:space="0"/>
            </w:tcBorders>
            <w:shd w:val="clear"/>
            <w:vAlign w:val="center"/>
          </w:tcPr>
          <w:p w14:paraId="07EB8365">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1.对地块进行考古调查</w:t>
            </w:r>
          </w:p>
          <w:p w14:paraId="45187C56">
            <w:pPr>
              <w:spacing w:after="0" w:line="360" w:lineRule="auto"/>
              <w:ind w:left="0" w:leftChars="0" w:firstLine="0" w:firstLineChars="0"/>
              <w:jc w:val="both"/>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2"/>
                <w:szCs w:val="22"/>
                <w:lang w:val="en-US" w:eastAsia="zh-CN"/>
              </w:rPr>
              <w:t>2.对地块进行勘探</w:t>
            </w:r>
          </w:p>
          <w:p w14:paraId="4DC5B509">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val="en-US" w:eastAsia="zh-CN"/>
              </w:rPr>
            </w:pPr>
          </w:p>
        </w:tc>
        <w:tc>
          <w:tcPr>
            <w:tcW w:w="1365" w:type="dxa"/>
            <w:tcBorders>
              <w:left w:val="single" w:color="auto" w:sz="4" w:space="0"/>
            </w:tcBorders>
            <w:shd w:val="clear"/>
            <w:vAlign w:val="center"/>
          </w:tcPr>
          <w:p w14:paraId="3F9F55FE">
            <w:pPr>
              <w:spacing w:after="0" w:line="360" w:lineRule="auto"/>
              <w:ind w:left="0" w:leftChars="0" w:firstLine="0" w:firstLineChars="0"/>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29550.6</w:t>
            </w:r>
          </w:p>
        </w:tc>
        <w:tc>
          <w:tcPr>
            <w:tcW w:w="1748" w:type="dxa"/>
            <w:vMerge w:val="restart"/>
            <w:shd w:val="clear"/>
            <w:vAlign w:val="center"/>
          </w:tcPr>
          <w:p w14:paraId="5C9F8734">
            <w:pPr>
              <w:spacing w:after="0" w:line="360" w:lineRule="auto"/>
              <w:ind w:left="0" w:leftChars="0" w:firstLine="0" w:firstLineChars="0"/>
              <w:jc w:val="center"/>
              <w:rPr>
                <w:rFonts w:hint="default"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11</w:t>
            </w:r>
          </w:p>
          <w:p w14:paraId="2576B29A">
            <w:pPr>
              <w:spacing w:after="0" w:line="360" w:lineRule="auto"/>
              <w:ind w:left="0" w:leftChars="0" w:firstLine="0" w:firstLineChars="0"/>
              <w:jc w:val="center"/>
              <w:rPr>
                <w:rFonts w:hint="eastAsia" w:asciiTheme="minorEastAsia" w:hAnsiTheme="minorEastAsia" w:eastAsiaTheme="minorEastAsia" w:cstheme="minorEastAsia"/>
                <w:color w:val="auto"/>
                <w:lang w:val="en-US" w:eastAsia="zh-CN"/>
              </w:rPr>
            </w:pPr>
          </w:p>
        </w:tc>
      </w:tr>
      <w:tr w14:paraId="7E5E6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1006" w:type="dxa"/>
            <w:vMerge w:val="continue"/>
            <w:tcBorders>
              <w:right w:val="single" w:color="auto" w:sz="4" w:space="0"/>
            </w:tcBorders>
            <w:vAlign w:val="center"/>
          </w:tcPr>
          <w:p w14:paraId="661A4CB5">
            <w:pPr>
              <w:spacing w:after="0" w:line="360" w:lineRule="auto"/>
              <w:ind w:left="0" w:leftChars="0" w:firstLine="0" w:firstLineChars="0"/>
              <w:jc w:val="both"/>
            </w:pPr>
          </w:p>
        </w:tc>
        <w:tc>
          <w:tcPr>
            <w:tcW w:w="3105" w:type="dxa"/>
            <w:tcBorders>
              <w:left w:val="single" w:color="auto" w:sz="4" w:space="0"/>
              <w:right w:val="single" w:color="auto" w:sz="4" w:space="0"/>
            </w:tcBorders>
            <w:shd w:val="clear"/>
            <w:vAlign w:val="center"/>
          </w:tcPr>
          <w:p w14:paraId="36927B12">
            <w:pPr>
              <w:spacing w:after="0" w:line="360" w:lineRule="auto"/>
              <w:ind w:left="0" w:leftChars="0" w:firstLine="0" w:firstLineChars="0"/>
              <w:jc w:val="both"/>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沛县东环路东侧、东风路北侧(城东综合生活区)</w:t>
            </w:r>
          </w:p>
        </w:tc>
        <w:tc>
          <w:tcPr>
            <w:tcW w:w="2422" w:type="dxa"/>
            <w:vMerge w:val="continue"/>
            <w:tcBorders>
              <w:left w:val="single" w:color="auto" w:sz="4" w:space="0"/>
              <w:right w:val="single" w:color="auto" w:sz="4" w:space="0"/>
            </w:tcBorders>
            <w:vAlign w:val="center"/>
          </w:tcPr>
          <w:p w14:paraId="7C39BBE3">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val="en-US" w:eastAsia="zh-CN"/>
              </w:rPr>
            </w:pPr>
          </w:p>
        </w:tc>
        <w:tc>
          <w:tcPr>
            <w:tcW w:w="1365" w:type="dxa"/>
            <w:tcBorders>
              <w:left w:val="single" w:color="auto" w:sz="4" w:space="0"/>
              <w:bottom w:val="single" w:color="auto" w:sz="4" w:space="0"/>
            </w:tcBorders>
            <w:shd w:val="clear"/>
            <w:vAlign w:val="center"/>
          </w:tcPr>
          <w:p w14:paraId="41D27EB9">
            <w:pPr>
              <w:spacing w:after="0" w:line="360" w:lineRule="auto"/>
              <w:ind w:left="0" w:leftChars="0" w:firstLine="0" w:firstLineChars="0"/>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31698.03</w:t>
            </w:r>
          </w:p>
        </w:tc>
        <w:tc>
          <w:tcPr>
            <w:tcW w:w="1748" w:type="dxa"/>
            <w:vMerge w:val="continue"/>
            <w:vAlign w:val="center"/>
          </w:tcPr>
          <w:p w14:paraId="78A057FB">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val="en-US" w:eastAsia="zh-CN"/>
              </w:rPr>
            </w:pPr>
          </w:p>
        </w:tc>
      </w:tr>
      <w:tr w14:paraId="1188D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1006" w:type="dxa"/>
            <w:tcBorders>
              <w:right w:val="single" w:color="auto" w:sz="4" w:space="0"/>
            </w:tcBorders>
            <w:shd w:val="clear"/>
            <w:vAlign w:val="center"/>
          </w:tcPr>
          <w:p w14:paraId="67C8B1D2">
            <w:pPr>
              <w:spacing w:after="0" w:line="360" w:lineRule="auto"/>
              <w:ind w:left="0" w:leftChars="0" w:firstLine="0" w:firstLineChars="0"/>
              <w:jc w:val="both"/>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lang w:val="en-US" w:eastAsia="zh-CN"/>
              </w:rPr>
              <w:t>采购包</w:t>
            </w:r>
            <w:r>
              <w:rPr>
                <w:rFonts w:hint="eastAsia" w:asciiTheme="minorEastAsia" w:hAnsiTheme="minorEastAsia" w:cstheme="minorEastAsia"/>
                <w:color w:val="auto"/>
                <w:sz w:val="22"/>
                <w:szCs w:val="22"/>
                <w:lang w:val="en-US" w:eastAsia="zh-CN"/>
              </w:rPr>
              <w:t>三</w:t>
            </w:r>
          </w:p>
        </w:tc>
        <w:tc>
          <w:tcPr>
            <w:tcW w:w="3105" w:type="dxa"/>
            <w:tcBorders>
              <w:left w:val="single" w:color="auto" w:sz="4" w:space="0"/>
              <w:right w:val="single" w:color="auto" w:sz="4" w:space="0"/>
            </w:tcBorders>
            <w:shd w:val="clear"/>
            <w:vAlign w:val="center"/>
          </w:tcPr>
          <w:p w14:paraId="066160F3">
            <w:pPr>
              <w:spacing w:after="0" w:line="360" w:lineRule="auto"/>
              <w:ind w:left="0" w:leftChars="0" w:firstLine="0" w:firstLineChars="0"/>
              <w:jc w:val="both"/>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沛县正阳大道西侧、王陵路南侧(徐工人才公寓)</w:t>
            </w:r>
          </w:p>
        </w:tc>
        <w:tc>
          <w:tcPr>
            <w:tcW w:w="2422" w:type="dxa"/>
            <w:tcBorders>
              <w:left w:val="single" w:color="auto" w:sz="4" w:space="0"/>
              <w:right w:val="single" w:color="auto" w:sz="4" w:space="0"/>
            </w:tcBorders>
            <w:shd w:val="clear"/>
            <w:vAlign w:val="center"/>
          </w:tcPr>
          <w:p w14:paraId="7DBB8C0E">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1.对地块进行考古调查</w:t>
            </w:r>
          </w:p>
          <w:p w14:paraId="28A89E1A">
            <w:pPr>
              <w:spacing w:after="0" w:line="360" w:lineRule="auto"/>
              <w:ind w:left="0" w:leftChars="0" w:firstLine="0" w:firstLineChars="0"/>
              <w:jc w:val="both"/>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sz w:val="22"/>
                <w:szCs w:val="22"/>
                <w:lang w:val="en-US" w:eastAsia="zh-CN"/>
              </w:rPr>
              <w:t>2.对地块进行勘探</w:t>
            </w:r>
          </w:p>
        </w:tc>
        <w:tc>
          <w:tcPr>
            <w:tcW w:w="1365" w:type="dxa"/>
            <w:tcBorders>
              <w:left w:val="single" w:color="auto" w:sz="4" w:space="0"/>
              <w:bottom w:val="single" w:color="auto" w:sz="4" w:space="0"/>
            </w:tcBorders>
            <w:shd w:val="clear"/>
            <w:vAlign w:val="center"/>
          </w:tcPr>
          <w:p w14:paraId="765FD214">
            <w:pPr>
              <w:spacing w:after="0" w:line="360" w:lineRule="auto"/>
              <w:ind w:left="0" w:leftChars="0" w:firstLine="0" w:firstLineChars="0"/>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51341.31</w:t>
            </w:r>
          </w:p>
        </w:tc>
        <w:tc>
          <w:tcPr>
            <w:tcW w:w="1748" w:type="dxa"/>
            <w:shd w:val="clear"/>
            <w:vAlign w:val="center"/>
          </w:tcPr>
          <w:p w14:paraId="51D1769D">
            <w:pPr>
              <w:spacing w:after="0" w:line="360" w:lineRule="auto"/>
              <w:ind w:left="0" w:leftChars="0" w:firstLine="0" w:firstLineChars="0"/>
              <w:jc w:val="center"/>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lang w:val="en-US" w:eastAsia="zh-CN"/>
              </w:rPr>
              <w:t>11</w:t>
            </w:r>
          </w:p>
        </w:tc>
      </w:tr>
      <w:tr w14:paraId="7DAD4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1006" w:type="dxa"/>
            <w:vMerge w:val="restart"/>
            <w:tcBorders>
              <w:right w:val="single" w:color="auto" w:sz="4" w:space="0"/>
            </w:tcBorders>
            <w:vAlign w:val="center"/>
          </w:tcPr>
          <w:p w14:paraId="2D838740">
            <w:pPr>
              <w:spacing w:after="0" w:line="360" w:lineRule="auto"/>
              <w:ind w:left="0" w:leftChars="0" w:firstLine="0" w:firstLineChars="0"/>
              <w:jc w:val="both"/>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采购包</w:t>
            </w:r>
            <w:r>
              <w:rPr>
                <w:rFonts w:hint="eastAsia" w:asciiTheme="minorEastAsia" w:hAnsiTheme="minorEastAsia" w:cstheme="minorEastAsia"/>
                <w:color w:val="auto"/>
                <w:sz w:val="22"/>
                <w:szCs w:val="22"/>
                <w:lang w:val="en-US" w:eastAsia="zh-CN"/>
              </w:rPr>
              <w:t>四</w:t>
            </w:r>
          </w:p>
        </w:tc>
        <w:tc>
          <w:tcPr>
            <w:tcW w:w="3105" w:type="dxa"/>
            <w:tcBorders>
              <w:left w:val="single" w:color="auto" w:sz="4" w:space="0"/>
              <w:right w:val="single" w:color="auto" w:sz="4" w:space="0"/>
            </w:tcBorders>
            <w:vAlign w:val="center"/>
          </w:tcPr>
          <w:p w14:paraId="100FF674">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沛县汉源大道东侧、王陵路北侧、沛龙路南侧。(郝寨地块一)</w:t>
            </w:r>
          </w:p>
        </w:tc>
        <w:tc>
          <w:tcPr>
            <w:tcW w:w="2422" w:type="dxa"/>
            <w:vMerge w:val="restart"/>
            <w:tcBorders>
              <w:left w:val="single" w:color="auto" w:sz="4" w:space="0"/>
              <w:right w:val="single" w:color="auto" w:sz="4" w:space="0"/>
            </w:tcBorders>
            <w:vAlign w:val="center"/>
          </w:tcPr>
          <w:p w14:paraId="6668374B">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1.对地块进行考古调查</w:t>
            </w:r>
          </w:p>
          <w:p w14:paraId="4E622014">
            <w:pPr>
              <w:spacing w:after="0" w:line="360" w:lineRule="auto"/>
              <w:ind w:left="0" w:leftChars="0" w:firstLine="0" w:firstLineChars="0"/>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2"/>
                <w:szCs w:val="22"/>
                <w:lang w:val="en-US" w:eastAsia="zh-CN"/>
              </w:rPr>
              <w:t>2.对地块进行勘探</w:t>
            </w:r>
          </w:p>
        </w:tc>
        <w:tc>
          <w:tcPr>
            <w:tcW w:w="1365" w:type="dxa"/>
            <w:tcBorders>
              <w:left w:val="single" w:color="auto" w:sz="4" w:space="0"/>
              <w:bottom w:val="single" w:color="auto" w:sz="4" w:space="0"/>
            </w:tcBorders>
            <w:vAlign w:val="center"/>
          </w:tcPr>
          <w:p w14:paraId="764762E8">
            <w:pPr>
              <w:spacing w:after="0" w:line="360" w:lineRule="auto"/>
              <w:ind w:left="0" w:leftChars="0" w:firstLine="0" w:firstLineChars="0"/>
              <w:jc w:val="center"/>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lang w:val="en-US" w:eastAsia="zh-CN"/>
              </w:rPr>
              <w:t>27707.43</w:t>
            </w:r>
          </w:p>
        </w:tc>
        <w:tc>
          <w:tcPr>
            <w:tcW w:w="1748" w:type="dxa"/>
            <w:vMerge w:val="restart"/>
            <w:vAlign w:val="center"/>
          </w:tcPr>
          <w:p w14:paraId="46E36D31">
            <w:pPr>
              <w:spacing w:after="0" w:line="360" w:lineRule="auto"/>
              <w:ind w:left="0" w:leftChars="0" w:firstLine="0" w:firstLineChars="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11</w:t>
            </w:r>
          </w:p>
        </w:tc>
      </w:tr>
      <w:tr w14:paraId="465F0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1006" w:type="dxa"/>
            <w:vMerge w:val="continue"/>
            <w:tcBorders>
              <w:right w:val="single" w:color="auto" w:sz="4" w:space="0"/>
            </w:tcBorders>
            <w:vAlign w:val="center"/>
          </w:tcPr>
          <w:p w14:paraId="29509FDA">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val="en-US" w:eastAsia="zh-CN"/>
              </w:rPr>
            </w:pPr>
          </w:p>
        </w:tc>
        <w:tc>
          <w:tcPr>
            <w:tcW w:w="3105" w:type="dxa"/>
            <w:tcBorders>
              <w:left w:val="single" w:color="auto" w:sz="4" w:space="0"/>
              <w:right w:val="single" w:color="auto" w:sz="4" w:space="0"/>
            </w:tcBorders>
            <w:vAlign w:val="center"/>
          </w:tcPr>
          <w:p w14:paraId="3BD57BD6">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沛县汉源大道东侧、支二路南侧、灌婴路北侧。(郝寨地块三)</w:t>
            </w:r>
          </w:p>
        </w:tc>
        <w:tc>
          <w:tcPr>
            <w:tcW w:w="2422" w:type="dxa"/>
            <w:vMerge w:val="continue"/>
            <w:tcBorders>
              <w:left w:val="single" w:color="auto" w:sz="4" w:space="0"/>
              <w:right w:val="single" w:color="auto" w:sz="4" w:space="0"/>
            </w:tcBorders>
            <w:vAlign w:val="center"/>
          </w:tcPr>
          <w:p w14:paraId="538F889C">
            <w:pPr>
              <w:spacing w:after="0" w:line="360" w:lineRule="auto"/>
              <w:ind w:left="0" w:leftChars="0" w:firstLine="0" w:firstLineChars="0"/>
              <w:jc w:val="both"/>
              <w:rPr>
                <w:rFonts w:hint="eastAsia" w:asciiTheme="minorEastAsia" w:hAnsiTheme="minorEastAsia" w:eastAsiaTheme="minorEastAsia" w:cstheme="minorEastAsia"/>
                <w:color w:val="auto"/>
                <w:sz w:val="22"/>
                <w:szCs w:val="22"/>
                <w:lang w:val="en-US" w:eastAsia="zh-CN"/>
              </w:rPr>
            </w:pPr>
          </w:p>
        </w:tc>
        <w:tc>
          <w:tcPr>
            <w:tcW w:w="1365" w:type="dxa"/>
            <w:tcBorders>
              <w:left w:val="single" w:color="auto" w:sz="4" w:space="0"/>
              <w:bottom w:val="single" w:color="auto" w:sz="4" w:space="0"/>
            </w:tcBorders>
            <w:vAlign w:val="center"/>
          </w:tcPr>
          <w:p w14:paraId="143FD62E">
            <w:pPr>
              <w:spacing w:after="0" w:line="360" w:lineRule="auto"/>
              <w:ind w:left="0" w:leftChars="0" w:firstLine="0" w:firstLineChars="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28397.3</w:t>
            </w:r>
          </w:p>
        </w:tc>
        <w:tc>
          <w:tcPr>
            <w:tcW w:w="1748" w:type="dxa"/>
            <w:vMerge w:val="continue"/>
            <w:vAlign w:val="center"/>
          </w:tcPr>
          <w:p w14:paraId="306EF1C4">
            <w:pPr>
              <w:spacing w:after="0" w:line="360" w:lineRule="auto"/>
              <w:ind w:left="0" w:leftChars="0" w:firstLine="0" w:firstLineChars="0"/>
              <w:jc w:val="center"/>
              <w:rPr>
                <w:rFonts w:hint="eastAsia" w:asciiTheme="minorEastAsia" w:hAnsiTheme="minorEastAsia" w:eastAsiaTheme="minorEastAsia" w:cstheme="minorEastAsia"/>
                <w:color w:val="auto"/>
                <w:lang w:val="en-US" w:eastAsia="zh-CN"/>
              </w:rPr>
            </w:pPr>
          </w:p>
        </w:tc>
      </w:tr>
    </w:tbl>
    <w:p w14:paraId="6E3B34DD">
      <w:pPr>
        <w:rPr>
          <w:rFonts w:hint="eastAsia" w:asciiTheme="minorEastAsia" w:hAnsiTheme="minorEastAsia" w:eastAsiaTheme="minorEastAsia" w:cstheme="minorEastAsia"/>
          <w:b/>
          <w:bCs/>
          <w:color w:val="auto"/>
          <w:sz w:val="24"/>
          <w:szCs w:val="24"/>
          <w:u w:val="single"/>
          <w:lang w:eastAsia="zh-CN"/>
        </w:rPr>
      </w:pPr>
      <w:r>
        <w:rPr>
          <w:rFonts w:hint="eastAsia" w:asciiTheme="minorEastAsia" w:hAnsiTheme="minorEastAsia" w:eastAsiaTheme="minorEastAsia" w:cstheme="minorEastAsia"/>
          <w:b/>
          <w:bCs/>
          <w:color w:val="auto"/>
          <w:sz w:val="24"/>
          <w:szCs w:val="24"/>
          <w:lang w:eastAsia="zh-CN"/>
        </w:rPr>
        <w:t>供应商所报对应单价不得超过上表中</w:t>
      </w:r>
      <w:r>
        <w:rPr>
          <w:rFonts w:hint="eastAsia" w:asciiTheme="minorEastAsia" w:hAnsiTheme="minorEastAsia" w:eastAsiaTheme="minorEastAsia" w:cstheme="minorEastAsia"/>
          <w:b/>
          <w:bCs/>
          <w:color w:val="auto"/>
          <w:sz w:val="24"/>
          <w:szCs w:val="24"/>
          <w:u w:val="single"/>
          <w:lang w:eastAsia="zh-CN"/>
        </w:rPr>
        <w:t>采购预算单价。</w:t>
      </w:r>
    </w:p>
    <w:p w14:paraId="669D05C7">
      <w:pP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合同履行期限：自合同签订之日进场后</w:t>
      </w:r>
      <w:r>
        <w:rPr>
          <w:rFonts w:hint="eastAsia" w:asciiTheme="minorEastAsia" w:hAnsiTheme="minorEastAsia" w:eastAsiaTheme="minorEastAsia" w:cstheme="minorEastAsia"/>
          <w:b/>
          <w:bCs/>
          <w:color w:val="auto"/>
          <w:sz w:val="24"/>
          <w:szCs w:val="24"/>
          <w:lang w:val="en-US" w:eastAsia="zh-CN"/>
        </w:rPr>
        <w:t>30日</w:t>
      </w:r>
      <w:r>
        <w:rPr>
          <w:rFonts w:hint="eastAsia" w:asciiTheme="minorEastAsia" w:hAnsiTheme="minorEastAsia" w:eastAsiaTheme="minorEastAsia" w:cstheme="minorEastAsia"/>
          <w:b/>
          <w:bCs/>
          <w:color w:val="auto"/>
          <w:sz w:val="24"/>
          <w:szCs w:val="24"/>
          <w:lang w:eastAsia="zh-CN"/>
        </w:rPr>
        <w:t>内完成</w:t>
      </w:r>
    </w:p>
    <w:p w14:paraId="77EF1351">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_GBK" w:cs="Times New Roman"/>
          <w:b/>
          <w:bCs/>
          <w:sz w:val="34"/>
          <w:szCs w:val="34"/>
        </w:rPr>
      </w:pPr>
      <w:r>
        <w:rPr>
          <w:rFonts w:hint="eastAsia" w:asciiTheme="minorEastAsia" w:hAnsiTheme="minorEastAsia" w:eastAsiaTheme="minorEastAsia" w:cstheme="minorEastAsia"/>
          <w:b/>
          <w:bCs/>
          <w:color w:val="auto"/>
          <w:sz w:val="24"/>
          <w:szCs w:val="24"/>
          <w:lang w:val="en-US" w:eastAsia="zh-CN"/>
        </w:rPr>
        <w:t>四、</w:t>
      </w:r>
      <w:r>
        <w:rPr>
          <w:rFonts w:hint="default" w:asciiTheme="minorEastAsia" w:hAnsiTheme="minorEastAsia" w:eastAsiaTheme="minorEastAsia" w:cstheme="minorEastAsia"/>
          <w:b/>
          <w:bCs/>
          <w:color w:val="auto"/>
          <w:sz w:val="24"/>
          <w:szCs w:val="24"/>
          <w:lang w:val="en-US" w:eastAsia="zh-CN"/>
        </w:rPr>
        <w:t>勘探服务要求：</w:t>
      </w:r>
    </w:p>
    <w:p w14:paraId="7C85F0EA">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1.勘探工作必须按照国家文物局颁布的《田野考古工作规程》（WW/T0075-2015）、《考古勘探工作规程(试行)》进行，所有的勘探成果需科学规范、精确记录。</w:t>
      </w:r>
    </w:p>
    <w:p w14:paraId="767A3F57">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2.勘探人员在不违反安全操作规范的前提下须服从并配合采购人安排，所有勘探工作应在采购人的统一指导安排下进行，如不服从或不及时响应采购人要求，造成的一切损失由响应供应商承担。</w:t>
      </w:r>
    </w:p>
    <w:p w14:paraId="604861BA">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3.现场勘探所需工具及设备由响应供应商自行配备，采购人不提供。</w:t>
      </w:r>
    </w:p>
    <w:p w14:paraId="10CBC273">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4.勘探工作发现的遗迹必须用RTK进行测量地理坐标点，并进行精确标注。</w:t>
      </w:r>
    </w:p>
    <w:p w14:paraId="3F5E0BF7">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5.</w:t>
      </w:r>
      <w:r>
        <w:rPr>
          <w:rFonts w:hint="default" w:asciiTheme="minorEastAsia" w:hAnsiTheme="minorEastAsia" w:eastAsiaTheme="minorEastAsia" w:cstheme="minorEastAsia"/>
          <w:color w:val="auto"/>
          <w:kern w:val="2"/>
          <w:sz w:val="24"/>
          <w:szCs w:val="24"/>
          <w:lang w:val="en-US" w:eastAsia="zh-CN" w:bidi="ar-SA"/>
        </w:rPr>
        <w:t>普通勘探采用每平方米布孔5个梅花点布孔法进行勘探工作</w:t>
      </w:r>
      <w:r>
        <w:rPr>
          <w:rFonts w:hint="default" w:asciiTheme="minorEastAsia" w:hAnsiTheme="minorEastAsia" w:eastAsiaTheme="minorEastAsia" w:cstheme="minorEastAsia"/>
          <w:color w:val="auto"/>
          <w:kern w:val="2"/>
          <w:sz w:val="24"/>
          <w:szCs w:val="24"/>
          <w:lang w:val="de-DE" w:eastAsia="zh-CN" w:bidi="ar-SA"/>
        </w:rPr>
        <w:t>，加点位置偏差小于10厘米，深度地表至生土层。如人工勘探不能探至生土层，须进行机器勘探、机探布孔为20×20米梅花孔。</w:t>
      </w:r>
    </w:p>
    <w:p w14:paraId="294DD56D">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对勘探中发现的重要遗迹应布设“十”字形排孔，进行重点卡探。勘探对象为其他地形的，酌情布孔。提供详细的记录（文字、图纸、影像）、总结。</w:t>
      </w:r>
    </w:p>
    <w:p w14:paraId="3A838449">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6.单个项目的勘探工作结束后，必须提供勘探资料纸质本和电子版各一份，记录内容包括：勘探单元日记、探孔记录、勘探单元记录、遗迹单位记录；绘图内容包括：勘探单元位置图、勘探单元遗迹分布图、勘探单元堆积总剖面图、遗迹单位平剖面等、出土典型遗物图等。表格登记内容包括：遗迹单位登记表、测绘图登记表、影响资料登记表、采样登记表、勘探单元归档登记表等。并对提取土样进行编号、登记、拍照。</w:t>
      </w:r>
    </w:p>
    <w:p w14:paraId="179DE4C4">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imes New Roman" w:hAnsi="Times New Roman" w:eastAsia="方正仿宋_GBK" w:cs="Times New Roman"/>
          <w:sz w:val="34"/>
          <w:szCs w:val="34"/>
          <w:lang w:val="de-DE"/>
        </w:rPr>
      </w:pPr>
      <w:r>
        <w:rPr>
          <w:rFonts w:hint="default" w:asciiTheme="minorEastAsia" w:hAnsiTheme="minorEastAsia" w:eastAsiaTheme="minorEastAsia" w:cstheme="minorEastAsia"/>
          <w:color w:val="auto"/>
          <w:kern w:val="2"/>
          <w:sz w:val="24"/>
          <w:szCs w:val="24"/>
          <w:lang w:val="de-DE" w:eastAsia="zh-CN" w:bidi="ar-SA"/>
        </w:rPr>
        <w:t>7.响应供应商应遵守采购人的保密规定，不得擅自向第三方报料，介绍工地情况，不得私自保管和泄露考古资料，所有的工作成果及报告须严格保密</w:t>
      </w:r>
      <w:r>
        <w:rPr>
          <w:rFonts w:hint="default" w:ascii="Times New Roman" w:hAnsi="Times New Roman" w:eastAsia="方正仿宋_GBK" w:cs="Times New Roman"/>
          <w:sz w:val="34"/>
          <w:szCs w:val="34"/>
          <w:lang w:val="de-DE"/>
        </w:rPr>
        <w:t>。</w:t>
      </w:r>
    </w:p>
    <w:p w14:paraId="40E8FC77">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8.勘探服务人员应熟悉《中华人民共和国文物保护法》的有关规定，不得私留截留、保管、倒卖工地上出土的古代文物和标本，一经发现，采购人有权终止合同，并依法追究当事人及连带响应供应商法律责任。</w:t>
      </w:r>
    </w:p>
    <w:p w14:paraId="543D793B">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9.响应供应商需设有固定服务电话，以便及时响应采购人的考古勘探需求。响应供应商应在接到采购人通知起，2小时之内回复，在5个工作日内根据采购人所下达的考古任务及考古时间要求，自行组织相关人员进场。</w:t>
      </w:r>
    </w:p>
    <w:p w14:paraId="64F7D4C2">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10.勘探工作任务由采购人统筹安排，在不违背法律法规的前提下，响应供应商须无条件服务采购人安排（须提供针对此项的承诺函并加盖公章）。</w:t>
      </w:r>
    </w:p>
    <w:p w14:paraId="0B27944B">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11.若遇不可抗拒因素（雨雪、重要考古发现、政府有权部门的要求等），工期顺延。考古勘探工作结束后七个工作日内供应商应当将工作报告提交给采购人，工作报告包括但不限于以下内容：项目名称、项目负责人、勘探范围图、勘探过程描述、地层遗迹描述、主要收获（价值初判）、遗迹定位测量图、工作过程照片、相关建议等。</w:t>
      </w:r>
    </w:p>
    <w:p w14:paraId="7A67CA33">
      <w:pPr>
        <w:pStyle w:val="13"/>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五、</w:t>
      </w:r>
      <w:r>
        <w:rPr>
          <w:rFonts w:hint="default" w:asciiTheme="minorEastAsia" w:hAnsiTheme="minorEastAsia" w:eastAsiaTheme="minorEastAsia" w:cstheme="minorEastAsia"/>
          <w:b/>
          <w:bCs/>
          <w:color w:val="auto"/>
          <w:kern w:val="2"/>
          <w:sz w:val="24"/>
          <w:szCs w:val="24"/>
          <w:lang w:val="en-US" w:eastAsia="zh-CN" w:bidi="ar-SA"/>
        </w:rPr>
        <w:t>技术队要求</w:t>
      </w:r>
    </w:p>
    <w:p w14:paraId="02E70BCD">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1.为了满足项目的要求及强度，响应供应商需提供受过专业训练的人员，详细列出用于本项目的负责人、各层次的专业技术人员、服务人员的名单。为了方便实施本项目，响应供应商应明确一名项目主要负责人以及1-2名联系人。</w:t>
      </w:r>
    </w:p>
    <w:p w14:paraId="53E41CC8">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2.现场环境的管理，每次考古工作当天工作结束后，现场不能留有供应商人员垃圾，保证现场人走场清。</w:t>
      </w:r>
    </w:p>
    <w:p w14:paraId="23E3CFC9">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3.响应供应商所安排的工作人员必须经过专业培训，同时应提前告知所有现场工作人员注意事项，如由勘探人员所引起的事故，响应供应商应承担所有责任，同时采购人保留追究其相关责任的权利。</w:t>
      </w:r>
    </w:p>
    <w:p w14:paraId="3A7F8F52">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4.响应供应商须组织及协调现场人员，维持现场秩序，保证工作有条不紊的进行，同时应对现场工作人员及其他第三方人员人身安全负责。</w:t>
      </w:r>
    </w:p>
    <w:p w14:paraId="2191FA13">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5.响应供应商在项目实施过程中应做到制度上墙，人员工作时应配戴安全帽和必要的安全防护措施。每次考古项目至少设置一名安全员，挂牌上岗。如勘探人员因违规操作发生事故,或将地下管线损坏，由响应供应商自行处理并承担由此造成的所有损失和费用。对考古工作中出现的高危项目，响应供应商应向采购人说明，并要求采取合理的保护措施，确保人员安全。在安全条件和措施不到位的情况下，响应供应商有权拒绝施工。</w:t>
      </w:r>
    </w:p>
    <w:p w14:paraId="027F49D3">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6.响应供应商对其项目的人员、物资、场地等安全负全部责任。</w:t>
      </w:r>
    </w:p>
    <w:p w14:paraId="100D6F10">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7.成交供应商须在项目实施前同采购人签订安全协议书及廉政协议书，如成交供应商违反协议书上所述条款，采购人可依据承诺书依法追究供应商责任。</w:t>
      </w:r>
    </w:p>
    <w:p w14:paraId="2A46233D">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8.由成交供应商负责处理派遣员工提出的劳动仲裁、劳动诉讼及人事仲裁事件，避免妨碍采购人的正常工作或给采购人带来不利社会影响；</w:t>
      </w:r>
    </w:p>
    <w:p w14:paraId="650C40A8">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9.成交供应商须落实文明管理服务的措施，提供文明优质的服务。</w:t>
      </w:r>
    </w:p>
    <w:p w14:paraId="29D638F3">
      <w:pPr>
        <w:pStyle w:val="13"/>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六、</w:t>
      </w:r>
      <w:r>
        <w:rPr>
          <w:rFonts w:hint="default" w:asciiTheme="minorEastAsia" w:hAnsiTheme="minorEastAsia" w:eastAsiaTheme="minorEastAsia" w:cstheme="minorEastAsia"/>
          <w:b/>
          <w:bCs/>
          <w:color w:val="auto"/>
          <w:kern w:val="2"/>
          <w:sz w:val="24"/>
          <w:szCs w:val="24"/>
          <w:lang w:val="en-US" w:eastAsia="zh-CN" w:bidi="ar-SA"/>
        </w:rPr>
        <w:t>验收要求：</w:t>
      </w:r>
    </w:p>
    <w:p w14:paraId="6F4C0C90">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每个项目完成后，均由采购人组织验收，采取评分制（80分为合格线），如未达到合格线的，验收组提出整改和核减相应经费的意见，由采购人监督落实。</w:t>
      </w:r>
    </w:p>
    <w:p w14:paraId="234857AA">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验收内容和分值基本如下：</w:t>
      </w:r>
    </w:p>
    <w:p w14:paraId="6C78DC75">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A、工地现场工作完成面积范围是否全部到位，有无遗漏；（15分）</w:t>
      </w:r>
    </w:p>
    <w:p w14:paraId="4798A982">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B、工作方法、程序、记录及资料是否符合规范；（6分）</w:t>
      </w:r>
    </w:p>
    <w:p w14:paraId="7D64CC1B">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C、勘探工作的探洞密度、深度是否符合专业要求；（15分）</w:t>
      </w:r>
    </w:p>
    <w:p w14:paraId="7A32774A">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D、地层与遗迹现象分析判断是否科学准确（误差率小于5%）；（15分）</w:t>
      </w:r>
    </w:p>
    <w:p w14:paraId="2CB311D2">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E、文字记录、图纸、影像资料是否详细齐全，并按单元归档；（10分）</w:t>
      </w:r>
    </w:p>
    <w:p w14:paraId="79A44D42">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F、照片资料是否清晰、齐全、规范（探洞照、遗迹照、局部照、全景照等），并按单元归档；（8分）</w:t>
      </w:r>
    </w:p>
    <w:p w14:paraId="5C963E0A">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G、测量记录资料是否准确规范，并按单元归档；（6分）</w:t>
      </w:r>
    </w:p>
    <w:p w14:paraId="225ED26F">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H、工作报告编写是否符合规范要求，内容是否全面；（15分）</w:t>
      </w:r>
    </w:p>
    <w:p w14:paraId="5433F933">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I、队伍是否遵纪守法，有无安全事故和延误工期现象，有无其他违规违纪问题。（10分）</w:t>
      </w:r>
    </w:p>
    <w:p w14:paraId="5DAFD5FD">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de-DE" w:eastAsia="zh-CN" w:bidi="ar-SA"/>
        </w:rPr>
      </w:pPr>
      <w:r>
        <w:rPr>
          <w:rFonts w:hint="default" w:asciiTheme="minorEastAsia" w:hAnsiTheme="minorEastAsia" w:eastAsiaTheme="minorEastAsia" w:cstheme="minorEastAsia"/>
          <w:color w:val="auto"/>
          <w:kern w:val="2"/>
          <w:sz w:val="24"/>
          <w:szCs w:val="24"/>
          <w:lang w:val="de-DE" w:eastAsia="zh-CN" w:bidi="ar-SA"/>
        </w:rPr>
        <w:t>成交人在单个考古勘探服务项目验收后7日内，应向采购人提供照片、文字档案资料、图纸、《考古</w:t>
      </w:r>
      <w:r>
        <w:rPr>
          <w:rFonts w:hint="default" w:asciiTheme="minorEastAsia" w:hAnsiTheme="minorEastAsia" w:eastAsiaTheme="minorEastAsia" w:cstheme="minorEastAsia"/>
          <w:color w:val="auto"/>
          <w:kern w:val="2"/>
          <w:sz w:val="24"/>
          <w:szCs w:val="24"/>
          <w:lang w:val="en-US" w:eastAsia="zh-CN" w:bidi="ar-SA"/>
        </w:rPr>
        <w:t>调查</w:t>
      </w:r>
      <w:r>
        <w:rPr>
          <w:rFonts w:hint="default" w:asciiTheme="minorEastAsia" w:hAnsiTheme="minorEastAsia" w:eastAsiaTheme="minorEastAsia" w:cstheme="minorEastAsia"/>
          <w:color w:val="auto"/>
          <w:kern w:val="2"/>
          <w:sz w:val="24"/>
          <w:szCs w:val="24"/>
          <w:lang w:val="de-DE" w:eastAsia="zh-CN" w:bidi="ar-SA"/>
        </w:rPr>
        <w:t>勘探工作报告》、电子资料。</w:t>
      </w:r>
    </w:p>
    <w:p w14:paraId="07735812">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采购人验收完成后，</w:t>
      </w:r>
      <w:r>
        <w:rPr>
          <w:rFonts w:hint="default" w:asciiTheme="minorEastAsia" w:hAnsiTheme="minorEastAsia" w:eastAsiaTheme="minorEastAsia" w:cstheme="minorEastAsia"/>
          <w:color w:val="auto"/>
          <w:kern w:val="2"/>
          <w:sz w:val="24"/>
          <w:szCs w:val="24"/>
          <w:lang w:val="de-DE" w:eastAsia="zh-CN" w:bidi="ar-SA"/>
        </w:rPr>
        <w:t>响应供应商</w:t>
      </w:r>
      <w:r>
        <w:rPr>
          <w:rFonts w:hint="eastAsia" w:asciiTheme="minorEastAsia" w:hAnsiTheme="minorEastAsia" w:eastAsiaTheme="minorEastAsia" w:cstheme="minorEastAsia"/>
          <w:color w:val="auto"/>
          <w:kern w:val="2"/>
          <w:sz w:val="24"/>
          <w:szCs w:val="24"/>
          <w:lang w:val="en-US" w:eastAsia="zh-CN" w:bidi="ar-SA"/>
        </w:rPr>
        <w:t>施工队伍可撤离场地，等待采购人向省有关部门申请组织最终的项目专家论证，等论证结果出具后，方可认定为项目验收完成。</w:t>
      </w:r>
    </w:p>
    <w:p w14:paraId="762A9B0A">
      <w:pPr>
        <w:pStyle w:val="13"/>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七、</w:t>
      </w:r>
      <w:r>
        <w:rPr>
          <w:rFonts w:hint="default" w:asciiTheme="minorEastAsia" w:hAnsiTheme="minorEastAsia" w:eastAsiaTheme="minorEastAsia" w:cstheme="minorEastAsia"/>
          <w:b/>
          <w:bCs/>
          <w:color w:val="auto"/>
          <w:kern w:val="2"/>
          <w:sz w:val="24"/>
          <w:szCs w:val="24"/>
          <w:lang w:val="en-US" w:eastAsia="zh-CN" w:bidi="ar-SA"/>
        </w:rPr>
        <w:t>项目特别说明：</w:t>
      </w:r>
    </w:p>
    <w:p w14:paraId="3FAEC657">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1.实施地点:采购人指定地点。</w:t>
      </w:r>
    </w:p>
    <w:p w14:paraId="6EA22D1F">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2.本项目采用费用包干方式，成交人在项目实施中出现任何遗漏或事故均应自行负责，采购人不再支付任何费用。</w:t>
      </w:r>
    </w:p>
    <w:p w14:paraId="4987F1C3">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3.</w:t>
      </w:r>
      <w:r>
        <w:rPr>
          <w:rFonts w:hint="eastAsia" w:asciiTheme="minorEastAsia" w:hAnsiTheme="minorEastAsia" w:eastAsiaTheme="minorEastAsia" w:cstheme="minorEastAsia"/>
          <w:color w:val="auto"/>
          <w:kern w:val="2"/>
          <w:sz w:val="24"/>
          <w:szCs w:val="24"/>
          <w:lang w:val="en-US" w:eastAsia="zh-CN" w:bidi="ar-SA"/>
        </w:rPr>
        <w:t>供应商</w:t>
      </w:r>
      <w:r>
        <w:rPr>
          <w:rFonts w:hint="default" w:asciiTheme="minorEastAsia" w:hAnsiTheme="minorEastAsia" w:eastAsiaTheme="minorEastAsia" w:cstheme="minorEastAsia"/>
          <w:color w:val="auto"/>
          <w:kern w:val="2"/>
          <w:sz w:val="24"/>
          <w:szCs w:val="24"/>
          <w:lang w:val="en-US" w:eastAsia="zh-CN" w:bidi="ar-SA"/>
        </w:rPr>
        <w:t>在投标前可踏勘现场，踏勘期间发生的意外自负，有关费用自理。</w:t>
      </w:r>
    </w:p>
    <w:p w14:paraId="68D842A4">
      <w:pPr>
        <w:pStyle w:val="13"/>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_GBK" w:cs="Times New Roman"/>
          <w:b/>
          <w:sz w:val="34"/>
          <w:szCs w:val="34"/>
          <w:lang w:eastAsia="zh-CN"/>
        </w:rPr>
      </w:pPr>
      <w:r>
        <w:rPr>
          <w:rFonts w:hint="eastAsia" w:asciiTheme="minorEastAsia" w:hAnsiTheme="minorEastAsia" w:eastAsiaTheme="minorEastAsia" w:cstheme="minorEastAsia"/>
          <w:b/>
          <w:bCs/>
          <w:color w:val="auto"/>
          <w:kern w:val="2"/>
          <w:sz w:val="24"/>
          <w:szCs w:val="24"/>
          <w:lang w:val="en-US" w:eastAsia="zh-CN" w:bidi="ar-SA"/>
        </w:rPr>
        <w:t>八、</w:t>
      </w:r>
      <w:r>
        <w:rPr>
          <w:rFonts w:hint="default" w:asciiTheme="minorEastAsia" w:hAnsiTheme="minorEastAsia" w:eastAsiaTheme="minorEastAsia" w:cstheme="minorEastAsia"/>
          <w:b/>
          <w:bCs/>
          <w:color w:val="auto"/>
          <w:kern w:val="2"/>
          <w:sz w:val="24"/>
          <w:szCs w:val="24"/>
          <w:lang w:val="en-US" w:eastAsia="zh-CN" w:bidi="ar-SA"/>
        </w:rPr>
        <w:t>其他要求：</w:t>
      </w:r>
    </w:p>
    <w:p w14:paraId="2FC8F689">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1.成交供应商出现以下行为之一时，采购人有权单方面中止与成交供应商的合作，并以书面形式通知成交供应商：</w:t>
      </w:r>
    </w:p>
    <w:p w14:paraId="68099275">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2.未按合同约定投入合格的、足够的劳务人员，或者未经采购人同意擅自更换项目负责人，或者项目负责人较长时间不到工地现场履行职责。</w:t>
      </w:r>
    </w:p>
    <w:p w14:paraId="1EAE9869">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3.未达到前文所述的工作要求。</w:t>
      </w:r>
    </w:p>
    <w:p w14:paraId="2FB2AE09">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4.在项目实施过程中，如采购人发现成交供应商的劳务人员没有依时完成合约规定任务或服务质量达不到要求的，成交供应商须无条件更换劳务人员，经采购人三次提出书面整改意见后仍无改进的。</w:t>
      </w:r>
    </w:p>
    <w:p w14:paraId="308C136D">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5.在项目实施过程中，如成交供应商3次单项验收不合格或不能按要求进行整改或整改后仍不能达到要求的。</w:t>
      </w:r>
    </w:p>
    <w:p w14:paraId="0D066160">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6.在项目实施过程中，如成交供应商发生重大业务失误、安全生产责任事故或者违法违纪事件的。</w:t>
      </w:r>
    </w:p>
    <w:p w14:paraId="2A39AF73">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7.如勘察人员与用地单位相互串通勾结，刻意隐瞒或误报考古发现、遗迹遗址的，一经发现，立即终止合同，并依法追究当事人法律责任。</w:t>
      </w:r>
    </w:p>
    <w:p w14:paraId="021DE63D">
      <w:pPr>
        <w:keepNext w:val="0"/>
        <w:keepLines w:val="0"/>
        <w:pageBreakBefore w:val="0"/>
        <w:widowControl/>
        <w:kinsoku/>
        <w:wordWrap/>
        <w:overflowPunct/>
        <w:topLinePunct w:val="0"/>
        <w:autoSpaceDE/>
        <w:autoSpaceDN/>
        <w:bidi w:val="0"/>
        <w:adjustRightInd/>
        <w:snapToGrid/>
        <w:spacing w:line="560" w:lineRule="exact"/>
        <w:ind w:right="0" w:firstLine="480" w:firstLineChars="200"/>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8.采购人对以上采购内容有微调的权利。</w:t>
      </w:r>
    </w:p>
    <w:p w14:paraId="6D881656">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outlineLvl w:val="9"/>
        <w:rPr>
          <w:rFonts w:hint="default" w:asciiTheme="minorEastAsia" w:hAnsiTheme="minorEastAsia" w:eastAsiaTheme="minorEastAsia" w:cstheme="minorEastAsia"/>
          <w:color w:val="auto"/>
          <w:kern w:val="2"/>
          <w:sz w:val="24"/>
          <w:szCs w:val="24"/>
          <w:lang w:val="en-US" w:eastAsia="zh-CN" w:bidi="ar-SA"/>
        </w:rPr>
      </w:pPr>
      <w:r>
        <w:rPr>
          <w:rFonts w:hint="default" w:asciiTheme="minorEastAsia" w:hAnsiTheme="minorEastAsia" w:eastAsiaTheme="minorEastAsia" w:cstheme="minorEastAsia"/>
          <w:color w:val="auto"/>
          <w:kern w:val="2"/>
          <w:sz w:val="24"/>
          <w:szCs w:val="24"/>
          <w:lang w:val="en-US" w:eastAsia="zh-CN" w:bidi="ar-SA"/>
        </w:rPr>
        <w:t>9.见竞争性磋商文件《拟签订的合同文本》</w:t>
      </w:r>
    </w:p>
    <w:p w14:paraId="6DF45AB4">
      <w:pPr>
        <w:widowControl w:val="0"/>
        <w:numPr>
          <w:ilvl w:val="0"/>
          <w:numId w:val="0"/>
        </w:numPr>
        <w:jc w:val="both"/>
        <w:rPr>
          <w:rFonts w:hint="default" w:ascii="宋体" w:hAnsi="宋体" w:cs="宋体"/>
          <w:b w:val="0"/>
          <w:bCs w:val="0"/>
          <w:sz w:val="24"/>
          <w:szCs w:val="24"/>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623A9"/>
    <w:multiLevelType w:val="singleLevel"/>
    <w:tmpl w:val="0A6623A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B70C4"/>
    <w:rsid w:val="1591005A"/>
    <w:rsid w:val="18C17F64"/>
    <w:rsid w:val="2CBE44F7"/>
    <w:rsid w:val="42A81898"/>
    <w:rsid w:val="473C0748"/>
    <w:rsid w:val="4E37105E"/>
    <w:rsid w:val="63964B53"/>
    <w:rsid w:val="668E3931"/>
    <w:rsid w:val="7AC8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jc w:val="left"/>
    </w:pPr>
    <w:rPr>
      <w:rFonts w:ascii="Times New Roman" w:hAnsi="Times New Roman"/>
      <w:sz w:val="20"/>
      <w:szCs w:val="20"/>
    </w:rPr>
  </w:style>
  <w:style w:type="paragraph" w:styleId="3">
    <w:name w:val="Block Text"/>
    <w:basedOn w:val="1"/>
    <w:qFormat/>
    <w:uiPriority w:val="0"/>
    <w:pPr>
      <w:ind w:left="256" w:right="6" w:firstLine="624"/>
    </w:pPr>
    <w:rPr>
      <w:rFonts w:eastAsia="仿宋_GB2312"/>
      <w:sz w:val="28"/>
      <w:szCs w:val="20"/>
    </w:rPr>
  </w:style>
  <w:style w:type="paragraph" w:styleId="4">
    <w:name w:val="Body Text First Indent"/>
    <w:basedOn w:val="2"/>
    <w:qFormat/>
    <w:uiPriority w:val="0"/>
    <w:pPr>
      <w:spacing w:line="360" w:lineRule="auto"/>
      <w:ind w:firstLine="200"/>
    </w:pPr>
    <w:rPr>
      <w:rFonts w:ascii="仿宋_GB2312" w:eastAsia="仿宋_GB2312"/>
      <w:sz w:val="30"/>
      <w:szCs w:val="30"/>
    </w:rPr>
  </w:style>
  <w:style w:type="paragraph" w:customStyle="1" w:styleId="7">
    <w:name w:val="标题 11"/>
    <w:basedOn w:val="8"/>
    <w:next w:val="8"/>
    <w:qFormat/>
    <w:uiPriority w:val="0"/>
    <w:pPr>
      <w:keepNext/>
      <w:keepLines/>
      <w:spacing w:before="340" w:after="330" w:line="578" w:lineRule="auto"/>
      <w:outlineLvl w:val="0"/>
    </w:pPr>
    <w:rPr>
      <w:b/>
      <w:bCs/>
      <w:sz w:val="44"/>
      <w:szCs w:val="44"/>
    </w:rPr>
  </w:style>
  <w:style w:type="paragraph" w:customStyle="1" w:styleId="8">
    <w:name w:val="正文11"/>
    <w:next w:val="9"/>
    <w:qFormat/>
    <w:uiPriority w:val="0"/>
    <w:pPr>
      <w:jc w:val="both"/>
    </w:pPr>
    <w:rPr>
      <w:rFonts w:ascii="Times New Roman" w:hAnsi="Times New Roman" w:eastAsia="宋体" w:cs="Times New Roman"/>
      <w:lang w:val="en-US" w:eastAsia="zh-CN" w:bidi="ar-SA"/>
    </w:rPr>
  </w:style>
  <w:style w:type="paragraph" w:customStyle="1" w:styleId="9">
    <w:name w:val="文本块1"/>
    <w:basedOn w:val="10"/>
    <w:next w:val="15"/>
    <w:qFormat/>
    <w:uiPriority w:val="0"/>
    <w:pPr>
      <w:ind w:left="256" w:right="6" w:firstLine="624"/>
    </w:pPr>
    <w:rPr>
      <w:rFonts w:eastAsia="仿宋_GB2312"/>
      <w:sz w:val="28"/>
    </w:rPr>
  </w:style>
  <w:style w:type="paragraph" w:customStyle="1" w:styleId="10">
    <w:name w:val="正文12"/>
    <w:next w:val="11"/>
    <w:qFormat/>
    <w:uiPriority w:val="0"/>
    <w:pPr>
      <w:spacing w:after="200" w:line="276" w:lineRule="auto"/>
    </w:pPr>
    <w:rPr>
      <w:rFonts w:ascii="Times New Roman" w:hAnsi="Times New Roman" w:eastAsia="宋体" w:cs="Times New Roman"/>
      <w:color w:val="0563C1"/>
      <w:u w:val="single"/>
      <w:lang w:val="en-US" w:eastAsia="zh-CN" w:bidi="ar-SA"/>
    </w:rPr>
  </w:style>
  <w:style w:type="paragraph" w:customStyle="1" w:styleId="11">
    <w:name w:val="脚注文本1"/>
    <w:basedOn w:val="10"/>
    <w:next w:val="12"/>
    <w:qFormat/>
    <w:uiPriority w:val="0"/>
    <w:rPr>
      <w:sz w:val="18"/>
      <w:szCs w:val="18"/>
    </w:rPr>
  </w:style>
  <w:style w:type="paragraph" w:customStyle="1" w:styleId="12">
    <w:name w:val="索引 51"/>
    <w:basedOn w:val="10"/>
    <w:next w:val="13"/>
    <w:qFormat/>
    <w:uiPriority w:val="0"/>
    <w:pPr>
      <w:ind w:left="798"/>
    </w:pPr>
  </w:style>
  <w:style w:type="paragraph" w:customStyle="1" w:styleId="13">
    <w:name w:val="正文1"/>
    <w:basedOn w:val="8"/>
    <w:next w:val="14"/>
    <w:qFormat/>
    <w:uiPriority w:val="0"/>
    <w:pPr>
      <w:spacing w:line="360" w:lineRule="atLeast"/>
      <w:jc w:val="left"/>
    </w:pPr>
    <w:rPr>
      <w:rFonts w:ascii="宋体"/>
      <w:sz w:val="24"/>
    </w:rPr>
  </w:style>
  <w:style w:type="paragraph" w:customStyle="1" w:styleId="14">
    <w:name w:val="目录 11"/>
    <w:basedOn w:val="10"/>
    <w:next w:val="13"/>
    <w:qFormat/>
    <w:uiPriority w:val="0"/>
  </w:style>
  <w:style w:type="paragraph" w:customStyle="1" w:styleId="15">
    <w:name w:val="标题 41"/>
    <w:basedOn w:val="8"/>
    <w:next w:val="8"/>
    <w:qFormat/>
    <w:uiPriority w:val="0"/>
    <w:pPr>
      <w:keepNext/>
      <w:keepLines/>
      <w:spacing w:line="360" w:lineRule="auto"/>
      <w:outlineLvl w:val="3"/>
    </w:pPr>
    <w:rPr>
      <w:rFonts w:ascii="Arial" w:hAnsi="Arial"/>
      <w:b/>
      <w:bCs/>
      <w:sz w:val="21"/>
      <w:szCs w:val="28"/>
    </w:rPr>
  </w:style>
  <w:style w:type="character" w:customStyle="1" w:styleId="16">
    <w:name w:val="NormalCharacter"/>
    <w:semiHidden/>
    <w:qFormat/>
    <w:uiPriority w:val="0"/>
    <w:rPr>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3714</Words>
  <Characters>3856</Characters>
  <Lines>0</Lines>
  <Paragraphs>0</Paragraphs>
  <TotalTime>13</TotalTime>
  <ScaleCrop>false</ScaleCrop>
  <LinksUpToDate>false</LinksUpToDate>
  <CharactersWithSpaces>3859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金工</cp:lastModifiedBy>
  <dcterms:modified xsi:type="dcterms:W3CDTF">2026-04-29T04:45:32Z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eyJoZGlkIjoiMmY0NjE1Njk5NzcxZDYzMGY1MTMyZjk0YWEzZDIwNTQifQ==</vt:lpwstr>
  </property>
  <property fmtid="{D5CDD505-2E9C-101B-9397-08002B2CF9AE}" pid="4" name="ICV">
    <vt:lpwstr>0E7EDC9CB3AC40B797270FFC381DA2D2_12</vt:lpwstr>
  </property>
</Properties>
</file>