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DABC4">
      <w:pPr>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丰县分布式污水处理项目(四号沟站点)</w:t>
      </w:r>
    </w:p>
    <w:p w14:paraId="534B0A10">
      <w:pPr>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更正（澄清）内容（一）</w:t>
      </w:r>
    </w:p>
    <w:p w14:paraId="6D12C26B">
      <w:pPr>
        <w:jc w:val="left"/>
        <w:rPr>
          <w:rFonts w:hint="eastAsia" w:ascii="仿宋" w:hAnsi="仿宋" w:eastAsia="仿宋" w:cs="仿宋"/>
          <w:b/>
          <w:bCs/>
          <w:color w:val="auto"/>
          <w:sz w:val="32"/>
          <w:szCs w:val="32"/>
          <w:highlight w:val="none"/>
          <w:lang w:val="en-US" w:eastAsia="zh-CN"/>
        </w:rPr>
      </w:pPr>
    </w:p>
    <w:p w14:paraId="227AC590">
      <w:pPr>
        <w:numPr>
          <w:ilvl w:val="0"/>
          <w:numId w:val="0"/>
        </w:numPr>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kern w:val="2"/>
          <w:sz w:val="32"/>
          <w:szCs w:val="32"/>
          <w:lang w:val="en-US" w:eastAsia="zh-CN" w:bidi="ar-SA"/>
        </w:rPr>
        <w:t>一、</w:t>
      </w:r>
      <w:r>
        <w:rPr>
          <w:rFonts w:hint="eastAsia" w:ascii="仿宋" w:hAnsi="仿宋" w:eastAsia="仿宋" w:cs="仿宋"/>
          <w:b/>
          <w:bCs/>
          <w:color w:val="auto"/>
          <w:sz w:val="32"/>
          <w:szCs w:val="32"/>
          <w:highlight w:val="none"/>
          <w:lang w:val="en-US" w:eastAsia="zh-CN"/>
        </w:rPr>
        <w:t>以下为澄清或者修改的内容</w:t>
      </w:r>
    </w:p>
    <w:p w14:paraId="4A7B6718">
      <w:pPr>
        <w:numPr>
          <w:numId w:val="0"/>
        </w:numPr>
        <w:jc w:val="left"/>
        <w:rPr>
          <w:rFonts w:hint="eastAsia" w:ascii="宋体" w:hAnsi="宋体" w:eastAsia="宋体" w:cs="宋体"/>
          <w:color w:val="auto"/>
          <w:kern w:val="0"/>
          <w:sz w:val="24"/>
          <w:szCs w:val="24"/>
        </w:rPr>
      </w:pPr>
      <w:r>
        <w:rPr>
          <w:rFonts w:hint="eastAsia" w:ascii="仿宋" w:hAnsi="仿宋" w:eastAsia="仿宋" w:cs="仿宋"/>
          <w:b/>
          <w:bCs/>
          <w:color w:val="auto"/>
          <w:sz w:val="32"/>
          <w:szCs w:val="32"/>
          <w:highlight w:val="none"/>
          <w:lang w:val="en-US" w:eastAsia="zh-CN"/>
        </w:rPr>
        <w:t>1、原招标文件第五章 拟签订的合同文本</w:t>
      </w:r>
    </w:p>
    <w:p w14:paraId="57515BA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bidi="ar-SA"/>
        </w:rPr>
        <w:t>第四条</w:t>
      </w:r>
      <w:r>
        <w:rPr>
          <w:rFonts w:hint="eastAsia" w:ascii="仿宋" w:hAnsi="仿宋" w:eastAsia="仿宋" w:cs="仿宋"/>
          <w:b/>
          <w:bCs/>
          <w:color w:val="auto"/>
          <w:kern w:val="0"/>
          <w:sz w:val="28"/>
          <w:szCs w:val="28"/>
          <w:lang w:val="en-US" w:eastAsia="zh-CN" w:bidi="ar-SA"/>
        </w:rPr>
        <w:t xml:space="preserve"> 采购人责任</w:t>
      </w:r>
    </w:p>
    <w:p w14:paraId="20A4385B">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负责提供开工条件（地面附着物清理）及施工外围地方关系协调；</w:t>
      </w:r>
    </w:p>
    <w:p w14:paraId="2E95C024">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负责按照投标人提供的土建条件图进行设施建设所需的土建工程施工，包括但不限于设备基础、地面硬化、站区与外部道路连接；</w:t>
      </w:r>
    </w:p>
    <w:p w14:paraId="76D55239">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firstLine="48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SA"/>
        </w:rPr>
        <w:t>负责取水设施及管线、排水管线施工，与投标人工作范围分界为站区外1m处；</w:t>
      </w:r>
    </w:p>
    <w:p w14:paraId="2DBAE038">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负责办理用电手续，将设施运行所需电源电缆敷设至投标人电源柜进线端子，相关费用均由投标人承担；</w:t>
      </w:r>
    </w:p>
    <w:p w14:paraId="7FDBA976">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负责后续运行的出水水量、排水口水质指标考核，按合同约定方式向投标人支付足额服务费；</w:t>
      </w:r>
    </w:p>
    <w:p w14:paraId="5CCB1B5D">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法规、政策规定由采购人承担的其他责任。</w:t>
      </w:r>
    </w:p>
    <w:p w14:paraId="1B10713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bidi="ar-SA"/>
        </w:rPr>
        <w:t xml:space="preserve">第五条 </w:t>
      </w:r>
      <w:r>
        <w:rPr>
          <w:rFonts w:hint="eastAsia" w:ascii="仿宋" w:hAnsi="仿宋" w:eastAsia="仿宋" w:cs="仿宋"/>
          <w:b/>
          <w:bCs/>
          <w:color w:val="auto"/>
          <w:kern w:val="0"/>
          <w:sz w:val="28"/>
          <w:szCs w:val="28"/>
          <w:lang w:val="en-US" w:eastAsia="zh-CN" w:bidi="ar-SA"/>
        </w:rPr>
        <w:t>投标人责任</w:t>
      </w:r>
    </w:p>
    <w:p w14:paraId="59FB7A85">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投标人负责提供1座完整的用于水质净化服务的净水站设施，并按合同期限要求负责设施内部所有设备安装施工，按期完成设施调试，保证出水水质达到合同约定指标；</w:t>
      </w:r>
    </w:p>
    <w:p w14:paraId="7F89BFDA">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提供水质净化处理服务，并保证达到合同要求；</w:t>
      </w:r>
    </w:p>
    <w:p w14:paraId="47F68FB6">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每月向采购人提供一份有资质的第三方检测机构出具的水质检测报告（检测费用由投标人承担）；</w:t>
      </w:r>
    </w:p>
    <w:p w14:paraId="7E505968">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每月5日，投标人应汇总上个月的报表上报采购人。报表内容包含但不限于以下数据：（1）上月流量仪起止读数；（2）每日出水量、月累计出水量；（3）每日水质自检数据。</w:t>
      </w:r>
    </w:p>
    <w:p w14:paraId="0E266D4B">
      <w:pPr>
        <w:keepNext w:val="0"/>
        <w:keepLines w:val="0"/>
        <w:pageBreakBefore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投标人驻站点及施工的所有人员的行为及人身安全均由投标人负责。工作过程中发生的人身伤亡事故、财产损失、设备事故或其它侵害事件，均由投标人自行承担法律责任，与采购人无关。</w:t>
      </w:r>
    </w:p>
    <w:p w14:paraId="7B359315">
      <w:pPr>
        <w:keepNext w:val="0"/>
        <w:keepLines w:val="0"/>
        <w:pageBreakBefore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现更正为:</w:t>
      </w:r>
    </w:p>
    <w:p w14:paraId="07CAEFA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bidi="ar-SA"/>
        </w:rPr>
        <w:t xml:space="preserve">第四条 </w:t>
      </w:r>
      <w:r>
        <w:rPr>
          <w:rFonts w:hint="eastAsia" w:ascii="仿宋" w:hAnsi="仿宋" w:eastAsia="仿宋" w:cs="仿宋"/>
          <w:b/>
          <w:bCs/>
          <w:color w:val="auto"/>
          <w:kern w:val="0"/>
          <w:sz w:val="28"/>
          <w:szCs w:val="28"/>
          <w:lang w:val="en-US" w:eastAsia="zh-CN" w:bidi="ar-SA"/>
        </w:rPr>
        <w:t>采购人责任</w:t>
      </w:r>
    </w:p>
    <w:p w14:paraId="68BEB0D5">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1、负责后续运行的出水水量、排水口水质指标考核，按合同约定方式向投标人支付足额服务费；</w:t>
      </w:r>
    </w:p>
    <w:p w14:paraId="28D148F5">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2、法规、政策规定由采购人承担的其他责任。</w:t>
      </w:r>
    </w:p>
    <w:p w14:paraId="31467E4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bidi="ar-SA"/>
        </w:rPr>
        <w:t xml:space="preserve">第五条 </w:t>
      </w:r>
      <w:r>
        <w:rPr>
          <w:rFonts w:hint="eastAsia" w:ascii="仿宋" w:hAnsi="仿宋" w:eastAsia="仿宋" w:cs="仿宋"/>
          <w:b/>
          <w:bCs/>
          <w:color w:val="auto"/>
          <w:kern w:val="0"/>
          <w:sz w:val="28"/>
          <w:szCs w:val="28"/>
          <w:lang w:val="en-US" w:eastAsia="zh-CN" w:bidi="ar-SA"/>
        </w:rPr>
        <w:t>投标人责任</w:t>
      </w:r>
    </w:p>
    <w:p w14:paraId="37C19D4A">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投标人负责提供1座完整的用于水质净化服务的净水站设施，并按合同期限要求负责设施内部所有设备安装施工，按期完成设施调试，保证出水水质达到合同约定指标；</w:t>
      </w:r>
    </w:p>
    <w:p w14:paraId="1F89DBAF">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bidi="ar-SA"/>
        </w:rPr>
        <w:t>现场开工条件（地面附着物清理）及施工外围地方关系协调由投标人自行解决；</w:t>
      </w:r>
    </w:p>
    <w:p w14:paraId="12B11028">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bidi="ar-SA"/>
        </w:rPr>
        <w:t>投标人负责设施建设所需的土建工程施工，包括但不限于设备基础、地面硬化、站区与外部道路连接；</w:t>
      </w:r>
    </w:p>
    <w:p w14:paraId="2F84C58A">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bidi="ar-SA"/>
        </w:rPr>
        <w:t>投标人负责</w:t>
      </w:r>
      <w:r>
        <w:rPr>
          <w:rFonts w:hint="eastAsia" w:ascii="仿宋" w:hAnsi="仿宋" w:eastAsia="仿宋" w:cs="仿宋"/>
          <w:b w:val="0"/>
          <w:bCs w:val="0"/>
          <w:color w:val="auto"/>
          <w:kern w:val="0"/>
          <w:sz w:val="28"/>
          <w:szCs w:val="28"/>
          <w:highlight w:val="none"/>
          <w:lang w:val="en-US" w:eastAsia="zh-CN" w:bidi="ar-SA"/>
        </w:rPr>
        <w:t>取水设施及管线、排水管线施工，与现场工作范围分界为站区外1m处；</w:t>
      </w:r>
    </w:p>
    <w:p w14:paraId="45F35DC3">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bidi="ar-SA"/>
        </w:rPr>
        <w:t>投标人负责办理用电手续，将设施运行所需电源电缆敷设至投标人电源柜进线端子，相关费用均由投标人承担；</w:t>
      </w:r>
    </w:p>
    <w:p w14:paraId="140A5059">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提供水质净化处理服务，并保证达到合同要求；</w:t>
      </w:r>
    </w:p>
    <w:p w14:paraId="50307F0E">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每月向采购人提供一份有资质的第三方检测机构出具的水质检测报</w:t>
      </w:r>
      <w:bookmarkStart w:id="0" w:name="_GoBack"/>
      <w:bookmarkEnd w:id="0"/>
      <w:r>
        <w:rPr>
          <w:rFonts w:hint="eastAsia" w:ascii="仿宋" w:hAnsi="仿宋" w:eastAsia="仿宋" w:cs="仿宋"/>
          <w:color w:val="auto"/>
          <w:kern w:val="0"/>
          <w:sz w:val="28"/>
          <w:szCs w:val="28"/>
          <w:lang w:val="en-US" w:eastAsia="zh-CN" w:bidi="ar-SA"/>
        </w:rPr>
        <w:t>告（检测费用由投标人承担）；</w:t>
      </w:r>
    </w:p>
    <w:p w14:paraId="14CAB02C">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480"/>
        <w:jc w:val="both"/>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bidi="ar-SA"/>
        </w:rPr>
        <w:t>每月5日，投标人应汇总上个月的报表上报采购人。报表内容包含但不限于以下数据：（1）上月流量仪起止读数；（2）每日出水量、月累计出水量；（3）每日水质自检数据。</w:t>
      </w:r>
    </w:p>
    <w:p w14:paraId="579E3296">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firstLine="480"/>
        <w:jc w:val="both"/>
        <w:textAlignment w:val="auto"/>
        <w:rPr>
          <w:rFonts w:hint="eastAsia" w:ascii="宋体" w:hAnsi="宋体" w:eastAsia="宋体" w:cs="宋体"/>
          <w:color w:val="auto"/>
          <w:kern w:val="0"/>
          <w:sz w:val="24"/>
          <w:szCs w:val="24"/>
        </w:rPr>
      </w:pPr>
      <w:r>
        <w:rPr>
          <w:rFonts w:hint="eastAsia" w:ascii="仿宋" w:hAnsi="仿宋" w:eastAsia="仿宋" w:cs="仿宋"/>
          <w:color w:val="auto"/>
          <w:kern w:val="0"/>
          <w:sz w:val="28"/>
          <w:szCs w:val="28"/>
          <w:lang w:val="en-US" w:eastAsia="zh-CN" w:bidi="ar-SA"/>
        </w:rPr>
        <w:t>投标人驻站点及施工的所有人员的行为及人身安全均由投标人负责。工作过程中发生的人身伤亡事故、财产损失、设备事故或其它侵害事件，均由投标人自行承担法律责任，与采购人无关。</w:t>
      </w:r>
    </w:p>
    <w:p w14:paraId="3CF699C5">
      <w:pPr>
        <w:numPr>
          <w:ilvl w:val="0"/>
          <w:numId w:val="4"/>
        </w:numPr>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其他内容不变。为不影响制作电子响应文件，请各供应商按更正公告及招标文件(更正版)制作投标文件。</w:t>
      </w:r>
    </w:p>
    <w:p w14:paraId="170EC430">
      <w:pPr>
        <w:numPr>
          <w:numId w:val="0"/>
        </w:numPr>
        <w:jc w:val="left"/>
        <w:rPr>
          <w:rFonts w:hint="eastAsia" w:ascii="仿宋" w:hAnsi="仿宋" w:eastAsia="仿宋" w:cs="仿宋"/>
          <w:b/>
          <w:bCs/>
          <w:color w:val="auto"/>
          <w:sz w:val="32"/>
          <w:szCs w:val="32"/>
          <w:highlight w:val="none"/>
          <w:lang w:val="en-US" w:eastAsia="zh-CN"/>
        </w:rPr>
      </w:pPr>
    </w:p>
    <w:p w14:paraId="385919F9">
      <w:pPr>
        <w:numPr>
          <w:numId w:val="0"/>
        </w:numPr>
        <w:jc w:val="righ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江苏天奇项目管理咨询有限公司</w:t>
      </w:r>
    </w:p>
    <w:p w14:paraId="369CB454">
      <w:pPr>
        <w:numPr>
          <w:numId w:val="0"/>
        </w:numPr>
        <w:jc w:val="righ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2026年4月29日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decimal"/>
      <w:suff w:val="nothing"/>
      <w:lvlText w:val="%1、"/>
      <w:lvlJc w:val="left"/>
      <w:pPr>
        <w:ind w:left="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1AE3C869"/>
    <w:multiLevelType w:val="singleLevel"/>
    <w:tmpl w:val="1AE3C869"/>
    <w:lvl w:ilvl="0" w:tentative="0">
      <w:start w:val="2"/>
      <w:numFmt w:val="chineseCounting"/>
      <w:suff w:val="nothing"/>
      <w:lvlText w:val="%1、"/>
      <w:lvlJc w:val="left"/>
      <w:rPr>
        <w:rFonts w:hint="eastAsia"/>
      </w:rPr>
    </w:lvl>
  </w:abstractNum>
  <w:abstractNum w:abstractNumId="3">
    <w:nsid w:val="6AA4ED75"/>
    <w:multiLevelType w:val="multilevel"/>
    <w:tmpl w:val="6AA4ED75"/>
    <w:lvl w:ilvl="0" w:tentative="0">
      <w:start w:val="1"/>
      <w:numFmt w:val="decimal"/>
      <w:suff w:val="nothing"/>
      <w:lvlText w:val="%1、"/>
      <w:lvlJc w:val="left"/>
      <w:rPr>
        <w:rFonts w:hint="default" w:ascii="仿宋" w:hAnsi="仿宋" w:eastAsia="仿宋" w:cs="仿宋"/>
        <w:sz w:val="28"/>
        <w:szCs w:val="28"/>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03F1D"/>
    <w:rsid w:val="3DF03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2026-04-29T01:41:00Z</dcterms:created>
  <dc:creator>Administrator</dc:creator>
  <cp:lastModifiedBy>Administrator</cp:lastModifiedBy>
  <dcterms:modified xsi:type="dcterms:W3CDTF">2026-04-29T02:13:06Z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A8FB335DC9964EFFA06D101E796E5253_11</vt:lpwstr>
  </property>
  <property fmtid="{D5CDD505-2E9C-101B-9397-08002B2CF9AE}" pid="4" name="KSOTemplateDocerSaveRecord">
    <vt:lpwstr>eyJoZGlkIjoiYzM0NTljOWFmYzQ0ZjhkMGIwNzZiMjE4MTU2YjlkYjAiLCJ1c2VySWQiOiI3MDgyNjYwMjYifQ==</vt:lpwstr>
  </property>
</Properties>
</file>