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2"/>
        <w:jc w:val="center"/>
        <w:pageBreakBefore w:val="0"/>
        <w:spacing w:before="1440" w:after="100" w:afterAutospacing="1" w:line="360" w:lineRule="auto"/>
        <w:rPr>
          <w:rFonts w:hint="eastAsia" w:ascii="仿宋" w:hAnsi="仿宋" w:eastAsia="仿宋" w:cs="仿宋"/>
          <w:color w:val="000000" w:themeColor="text1"/>
          <w:sz w:val="32"/>
          <w:szCs w:val="32"/>
          <w:highlight w:val="none"/>
          <w14:textFill>
            <w14:solidFill>
              <w14:schemeClr w14:val="tx1"/>
            </w14:solidFill>
          </w14:textFill>
        </w:rPr>
        <w:outlineLvl w:val="0"/>
      </w:pPr>
      <w:r/>
      <w:bookmarkStart w:id="0" w:name="_Toc9547"/>
      <w:r/>
      <w:bookmarkStart w:id="1" w:name="_Toc26972"/>
      <w:r>
        <w:rPr>
          <w:rFonts w:hint="eastAsia" w:ascii="仿宋" w:hAnsi="仿宋" w:eastAsia="仿宋" w:cs="仿宋"/>
          <w:b/>
          <w:color w:val="000000" w:themeColor="text1"/>
          <w:sz w:val="72"/>
          <w:szCs w:val="72"/>
          <w:highlight w:val="none"/>
          <w:shd w:val="clear" w:color="auto" w:fill="ffffff"/>
          <w14:textFill>
            <w14:solidFill>
              <w14:schemeClr w14:val="tx1"/>
            </w14:solidFill>
          </w14:textFill>
        </w:rPr>
        <w:t xml:space="preserve">竞争性磋商文件</w:t>
      </w:r>
      <w:bookmarkEnd w:id="0"/>
      <w:r/>
      <w:bookmarkEnd w:id="1"/>
      <w:r>
        <w:rPr>
          <w:rFonts w:hint="eastAsia" w:ascii="仿宋" w:hAnsi="仿宋" w:eastAsia="仿宋" w:cs="仿宋"/>
          <w:color w:val="000000" w:themeColor="text1"/>
          <w:sz w:val="32"/>
          <w:szCs w:val="32"/>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2"/>
          <w:szCs w:val="32"/>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2"/>
          <w:szCs w:val="32"/>
          <w:highlight w:val="none"/>
          <w:lang w:val="en-US" w:eastAsia="zh-CN"/>
          <w14:textFill>
            <w14:solidFill>
              <w14:schemeClr w14:val="tx1"/>
            </w14:solidFill>
          </w14:textFill>
        </w:rPr>
        <w:t xml:space="preserve">                                                                                                                                                                                                                                                                </w:t>
      </w:r>
      <w:r/>
    </w:p>
    <w:p>
      <w:pPr>
        <w:pStyle w:val="762"/>
        <w:pageBreakBefore w:val="0"/>
        <w:spacing w:line="360" w:lineRule="auto"/>
        <w:rPr>
          <w:rFonts w:hint="eastAsia" w:ascii="仿宋" w:hAnsi="仿宋" w:eastAsia="仿宋" w:cs="仿宋"/>
          <w:highlight w:val="none"/>
        </w:rPr>
      </w:pPr>
      <w:r>
        <w:rPr>
          <w:rFonts w:hint="eastAsia" w:ascii="仿宋" w:hAnsi="仿宋" w:eastAsia="仿宋" w:cs="仿宋"/>
          <w:highlight w:val="none"/>
        </w:rPr>
      </w:r>
      <w:r/>
    </w:p>
    <w:p>
      <w:pPr>
        <w:pStyle w:val="771"/>
        <w:rPr>
          <w:rFonts w:hint="eastAsia" w:ascii="仿宋" w:hAnsi="仿宋" w:eastAsia="仿宋" w:cs="仿宋"/>
          <w:highlight w:val="none"/>
        </w:rPr>
      </w:pPr>
      <w:r>
        <w:rPr>
          <w:rFonts w:hint="eastAsia" w:ascii="仿宋" w:hAnsi="仿宋" w:eastAsia="仿宋" w:cs="仿宋"/>
          <w:highlight w:val="none"/>
        </w:rPr>
      </w:r>
      <w:r/>
    </w:p>
    <w:p>
      <w:pPr>
        <w:pStyle w:val="762"/>
        <w:rPr>
          <w:rFonts w:hint="eastAsia" w:ascii="仿宋" w:hAnsi="仿宋" w:eastAsia="仿宋" w:cs="仿宋"/>
          <w:highlight w:val="none"/>
        </w:rPr>
      </w:pPr>
      <w:r>
        <w:rPr>
          <w:rFonts w:hint="eastAsia" w:ascii="仿宋" w:hAnsi="仿宋" w:eastAsia="仿宋" w:cs="仿宋"/>
          <w:highlight w:val="none"/>
        </w:rPr>
      </w:r>
      <w:r/>
    </w:p>
    <w:p>
      <w:pPr>
        <w:pStyle w:val="771"/>
        <w:rPr>
          <w:rFonts w:hint="eastAsia" w:ascii="仿宋" w:hAnsi="仿宋" w:eastAsia="仿宋" w:cs="仿宋"/>
          <w:highlight w:val="none"/>
        </w:rPr>
      </w:pPr>
      <w:r>
        <w:rPr>
          <w:rFonts w:hint="eastAsia" w:ascii="仿宋" w:hAnsi="仿宋" w:eastAsia="仿宋" w:cs="仿宋"/>
          <w:highlight w:val="none"/>
        </w:rPr>
      </w:r>
      <w:r/>
    </w:p>
    <w:p>
      <w:pPr>
        <w:pStyle w:val="772"/>
        <w:rPr>
          <w:rFonts w:hint="eastAsia" w:ascii="仿宋" w:hAnsi="仿宋" w:eastAsia="仿宋" w:cs="仿宋"/>
          <w:highlight w:val="none"/>
        </w:rPr>
      </w:pPr>
      <w:r>
        <w:rPr>
          <w:rFonts w:hint="eastAsia" w:ascii="仿宋" w:hAnsi="仿宋" w:eastAsia="仿宋" w:cs="仿宋"/>
          <w:highlight w:val="none"/>
        </w:rPr>
      </w:r>
      <w:r/>
    </w:p>
    <w:p>
      <w:pPr>
        <w:pStyle w:val="762"/>
        <w:rPr>
          <w:rFonts w:hint="eastAsia" w:ascii="仿宋" w:hAnsi="仿宋" w:eastAsia="仿宋" w:cs="仿宋"/>
          <w:highlight w:val="none"/>
        </w:rPr>
      </w:pPr>
      <w:r>
        <w:rPr>
          <w:rFonts w:hint="eastAsia" w:ascii="仿宋" w:hAnsi="仿宋" w:eastAsia="仿宋" w:cs="仿宋"/>
          <w:highlight w:val="none"/>
        </w:rPr>
      </w:r>
      <w:r/>
    </w:p>
    <w:p>
      <w:pPr>
        <w:pStyle w:val="771"/>
        <w:rPr>
          <w:rFonts w:hint="eastAsia" w:ascii="仿宋" w:hAnsi="仿宋" w:eastAsia="仿宋" w:cs="仿宋"/>
          <w:highlight w:val="none"/>
        </w:rPr>
      </w:pPr>
      <w:r>
        <w:rPr>
          <w:rFonts w:hint="eastAsia" w:ascii="仿宋" w:hAnsi="仿宋" w:eastAsia="仿宋" w:cs="仿宋"/>
          <w:highlight w:val="none"/>
        </w:rPr>
      </w:r>
      <w:r/>
    </w:p>
    <w:p>
      <w:pPr>
        <w:pStyle w:val="772"/>
        <w:rPr>
          <w:rFonts w:hint="eastAsia" w:ascii="仿宋" w:hAnsi="仿宋" w:eastAsia="仿宋" w:cs="仿宋"/>
          <w:highlight w:val="none"/>
        </w:rPr>
      </w:pPr>
      <w:r>
        <w:rPr>
          <w:rFonts w:hint="eastAsia" w:ascii="仿宋" w:hAnsi="仿宋" w:eastAsia="仿宋" w:cs="仿宋"/>
          <w:highlight w:val="none"/>
        </w:rPr>
      </w:r>
      <w:r/>
    </w:p>
    <w:p>
      <w:pPr>
        <w:pStyle w:val="762"/>
        <w:rPr>
          <w:rFonts w:hint="eastAsia" w:ascii="仿宋" w:hAnsi="仿宋" w:eastAsia="仿宋" w:cs="仿宋"/>
          <w:highlight w:val="none"/>
        </w:rPr>
      </w:pPr>
      <w:r>
        <w:rPr>
          <w:rFonts w:hint="eastAsia" w:ascii="仿宋" w:hAnsi="仿宋" w:eastAsia="仿宋" w:cs="仿宋"/>
          <w:highlight w:val="none"/>
        </w:rPr>
      </w:r>
      <w:r/>
    </w:p>
    <w:p>
      <w:pPr>
        <w:pStyle w:val="771"/>
        <w:rPr>
          <w:rFonts w:hint="eastAsia" w:ascii="仿宋" w:hAnsi="仿宋" w:eastAsia="仿宋" w:cs="仿宋"/>
          <w:highlight w:val="none"/>
        </w:rPr>
      </w:pPr>
      <w:r>
        <w:rPr>
          <w:rFonts w:hint="eastAsia" w:ascii="仿宋" w:hAnsi="仿宋" w:eastAsia="仿宋" w:cs="仿宋"/>
          <w:highlight w:val="none"/>
        </w:rPr>
      </w:r>
      <w:r/>
    </w:p>
    <w:p>
      <w:pPr>
        <w:pStyle w:val="764"/>
        <w:jc w:val="left"/>
        <w:pageBreakBefore w:val="0"/>
        <w:spacing w:line="360" w:lineRule="auto"/>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r>
      <w:r/>
    </w:p>
    <w:p>
      <w:pPr>
        <w:pStyle w:val="764"/>
        <w:ind w:firstLine="301"/>
        <w:jc w:val="center"/>
        <w:pageBreakBefore w:val="0"/>
        <w:spacing w:line="360" w:lineRule="auto"/>
        <w:rPr>
          <w:rFonts w:hint="default" w:ascii="仿宋" w:hAnsi="仿宋" w:eastAsia="仿宋" w:cs="仿宋"/>
          <w:b/>
          <w:bCs/>
          <w:color w:val="000000" w:themeColor="text1"/>
          <w:sz w:val="30"/>
          <w:szCs w:val="30"/>
          <w:highlight w:val="none"/>
          <w:lang w:val="en-US" w:eastAsia="zh-CN"/>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项目编号：</w:t>
      </w:r>
      <w:r>
        <w:rPr>
          <w:rFonts w:hint="eastAsia" w:ascii="仿宋" w:hAnsi="仿宋" w:eastAsia="仿宋" w:cs="仿宋"/>
          <w:b/>
          <w:bCs/>
          <w:color w:val="000000" w:themeColor="text1"/>
          <w:sz w:val="30"/>
          <w:szCs w:val="30"/>
          <w:highlight w:val="none"/>
          <w:lang w:eastAsia="zh-CN"/>
          <w14:textFill>
            <w14:solidFill>
              <w14:schemeClr w14:val="tx1"/>
            </w14:solidFill>
          </w14:textFill>
        </w:rPr>
        <w:t xml:space="preserve">JSZC-320381-JGHG-C2026-0001</w:t>
      </w:r>
      <w:r/>
    </w:p>
    <w:p>
      <w:pPr>
        <w:pStyle w:val="764"/>
        <w:ind w:left="1806" w:hanging="1506"/>
        <w:jc w:val="center"/>
        <w:pageBreakBefore w:val="0"/>
        <w:spacing w:line="360" w:lineRule="auto"/>
        <w:rPr>
          <w:rFonts w:hint="default" w:ascii="仿宋" w:hAnsi="仿宋" w:eastAsia="仿宋" w:cs="仿宋"/>
          <w:b/>
          <w:bCs/>
          <w:color w:val="000000" w:themeColor="text1"/>
          <w:sz w:val="30"/>
          <w:szCs w:val="30"/>
          <w:highlight w:val="none"/>
          <w:lang w:val="en-US" w:eastAsia="zh-CN"/>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项目名称：</w:t>
      </w:r>
      <w:r>
        <w:rPr>
          <w:rFonts w:hint="eastAsia" w:ascii="仿宋" w:hAnsi="仿宋" w:eastAsia="仿宋" w:cs="仿宋"/>
          <w:b/>
          <w:bCs/>
          <w:color w:val="000000" w:themeColor="text1"/>
          <w:sz w:val="30"/>
          <w:szCs w:val="30"/>
          <w:highlight w:val="none"/>
          <w:lang w:eastAsia="zh-CN"/>
          <w14:textFill>
            <w14:solidFill>
              <w14:schemeClr w14:val="tx1"/>
            </w14:solidFill>
          </w14:textFill>
        </w:rPr>
        <w:t xml:space="preserve">2026年城南绿化补植及设施维修工程项目</w:t>
      </w:r>
      <w:r/>
    </w:p>
    <w:p>
      <w:pPr>
        <w:pStyle w:val="764"/>
        <w:ind w:firstLine="301"/>
        <w:jc w:val="center"/>
        <w:pageBreakBefore w:val="0"/>
        <w:spacing w:line="360" w:lineRule="auto"/>
        <w:rPr>
          <w:rFonts w:hint="eastAsia" w:ascii="仿宋" w:hAnsi="仿宋" w:eastAsia="仿宋" w:cs="仿宋"/>
          <w:b/>
          <w:bCs/>
          <w:color w:val="000000" w:themeColor="text1"/>
          <w:sz w:val="30"/>
          <w:szCs w:val="30"/>
          <w:highlight w:val="none"/>
          <w:lang w:eastAsia="zh-CN"/>
          <w14:textFill>
            <w14:solidFill>
              <w14:schemeClr w14:val="tx1"/>
            </w14:solidFill>
          </w14:textFill>
        </w:rPr>
        <w:outlineLvl w:val="0"/>
      </w:pPr>
      <w:r/>
      <w:bookmarkStart w:id="2" w:name="_Toc14550"/>
      <w:r/>
      <w:bookmarkStart w:id="3" w:name="_Toc13701"/>
      <w:r>
        <w:rPr>
          <w:rFonts w:hint="eastAsia" w:ascii="仿宋" w:hAnsi="仿宋" w:eastAsia="仿宋" w:cs="仿宋"/>
          <w:b/>
          <w:bCs/>
          <w:color w:val="000000" w:themeColor="text1"/>
          <w:sz w:val="30"/>
          <w:szCs w:val="30"/>
          <w:highlight w:val="none"/>
          <w14:textFill>
            <w14:solidFill>
              <w14:schemeClr w14:val="tx1"/>
            </w14:solidFill>
          </w14:textFill>
        </w:rPr>
        <w:t xml:space="preserve">采购单位：</w:t>
      </w:r>
      <w:bookmarkEnd w:id="2"/>
      <w:r>
        <w:rPr>
          <w:rFonts w:hint="eastAsia" w:ascii="仿宋" w:hAnsi="仿宋" w:eastAsia="仿宋" w:cs="仿宋"/>
          <w:b/>
          <w:bCs/>
          <w:color w:val="000000" w:themeColor="text1"/>
          <w:sz w:val="30"/>
          <w:szCs w:val="30"/>
          <w:highlight w:val="none"/>
          <w:lang w:eastAsia="zh-CN"/>
          <w14:textFill>
            <w14:solidFill>
              <w14:schemeClr w14:val="tx1"/>
            </w14:solidFill>
          </w14:textFill>
        </w:rPr>
        <w:t xml:space="preserve">新沂市住房和城乡建设局</w:t>
      </w:r>
      <w:bookmarkEnd w:id="3"/>
      <w:r/>
      <w:r/>
    </w:p>
    <w:p>
      <w:pPr>
        <w:pStyle w:val="770"/>
        <w:rPr>
          <w:rFonts w:hint="eastAsia" w:ascii="仿宋" w:hAnsi="仿宋" w:eastAsia="仿宋" w:cs="仿宋"/>
          <w:b/>
          <w:bCs/>
          <w:color w:val="000000" w:themeColor="text1"/>
          <w:sz w:val="30"/>
          <w:szCs w:val="30"/>
          <w:highlight w:val="none"/>
          <w:lang w:eastAsia="zh-CN"/>
          <w14:textFill>
            <w14:solidFill>
              <w14:schemeClr w14:val="tx1"/>
            </w14:solidFill>
          </w14:textFill>
        </w:rPr>
      </w:pPr>
      <w:r>
        <w:rPr>
          <w:rFonts w:hint="eastAsia" w:ascii="仿宋" w:hAnsi="仿宋" w:eastAsia="仿宋" w:cs="仿宋"/>
          <w:b/>
          <w:bCs/>
          <w:color w:val="000000" w:themeColor="text1"/>
          <w:sz w:val="30"/>
          <w:szCs w:val="30"/>
          <w:highlight w:val="none"/>
          <w:lang w:eastAsia="zh-CN"/>
          <w14:textFill>
            <w14:solidFill>
              <w14:schemeClr w14:val="tx1"/>
            </w14:solidFill>
          </w14:textFill>
        </w:rPr>
      </w:r>
      <w:r/>
    </w:p>
    <w:p>
      <w:pPr>
        <w:pStyle w:val="759"/>
        <w:rPr>
          <w:rFonts w:hint="eastAsia" w:ascii="仿宋" w:hAnsi="仿宋" w:eastAsia="仿宋" w:cs="仿宋"/>
          <w:b/>
          <w:bCs/>
          <w:color w:val="000000" w:themeColor="text1"/>
          <w:sz w:val="30"/>
          <w:szCs w:val="30"/>
          <w:highlight w:val="none"/>
          <w:lang w:eastAsia="zh-CN"/>
          <w14:textFill>
            <w14:solidFill>
              <w14:schemeClr w14:val="tx1"/>
            </w14:solidFill>
          </w14:textFill>
        </w:rPr>
      </w:pPr>
      <w:r>
        <w:rPr>
          <w:rFonts w:hint="eastAsia" w:ascii="仿宋" w:hAnsi="仿宋" w:eastAsia="仿宋" w:cs="仿宋"/>
          <w:b/>
          <w:bCs/>
          <w:color w:val="000000" w:themeColor="text1"/>
          <w:sz w:val="30"/>
          <w:szCs w:val="30"/>
          <w:highlight w:val="none"/>
          <w:lang w:eastAsia="zh-CN"/>
          <w14:textFill>
            <w14:solidFill>
              <w14:schemeClr w14:val="tx1"/>
            </w14:solidFill>
          </w14:textFill>
        </w:rPr>
      </w:r>
      <w:r/>
    </w:p>
    <w:p>
      <w:pPr>
        <w:pStyle w:val="768"/>
        <w:rPr>
          <w:rFonts w:hint="eastAsia"/>
          <w:highlight w:val="none"/>
          <w:lang w:eastAsia="zh-CN"/>
        </w:rPr>
      </w:pPr>
      <w:r>
        <w:rPr>
          <w:rFonts w:hint="eastAsia"/>
          <w:highlight w:val="none"/>
          <w:lang w:eastAsia="zh-CN"/>
        </w:rPr>
      </w:r>
      <w:r/>
    </w:p>
    <w:p>
      <w:pPr>
        <w:pStyle w:val="770"/>
        <w:rPr>
          <w:rFonts w:hint="eastAsia" w:ascii="仿宋" w:hAnsi="仿宋" w:eastAsia="仿宋" w:cs="仿宋"/>
          <w:b/>
          <w:bCs/>
          <w:color w:val="000000" w:themeColor="text1"/>
          <w:sz w:val="30"/>
          <w:szCs w:val="30"/>
          <w:highlight w:val="none"/>
          <w:lang w:eastAsia="zh-CN"/>
          <w14:textFill>
            <w14:solidFill>
              <w14:schemeClr w14:val="tx1"/>
            </w14:solidFill>
          </w14:textFill>
        </w:rPr>
      </w:pPr>
      <w:r>
        <w:rPr>
          <w:rFonts w:hint="eastAsia" w:ascii="仿宋" w:hAnsi="仿宋" w:eastAsia="仿宋" w:cs="仿宋"/>
          <w:b/>
          <w:bCs/>
          <w:color w:val="000000" w:themeColor="text1"/>
          <w:sz w:val="30"/>
          <w:szCs w:val="30"/>
          <w:highlight w:val="none"/>
          <w:lang w:eastAsia="zh-CN"/>
          <w14:textFill>
            <w14:solidFill>
              <w14:schemeClr w14:val="tx1"/>
            </w14:solidFill>
          </w14:textFill>
        </w:rPr>
      </w:r>
      <w:r/>
    </w:p>
    <w:p>
      <w:pPr>
        <w:pStyle w:val="759"/>
        <w:rPr>
          <w:rFonts w:hint="eastAsia" w:ascii="仿宋" w:hAnsi="仿宋" w:eastAsia="仿宋" w:cs="仿宋"/>
          <w:b/>
          <w:bCs/>
          <w:color w:val="000000" w:themeColor="text1"/>
          <w:sz w:val="30"/>
          <w:szCs w:val="30"/>
          <w:highlight w:val="none"/>
          <w:lang w:eastAsia="zh-CN"/>
          <w14:textFill>
            <w14:solidFill>
              <w14:schemeClr w14:val="tx1"/>
            </w14:solidFill>
          </w14:textFill>
        </w:rPr>
      </w:pPr>
      <w:r>
        <w:rPr>
          <w:rFonts w:hint="eastAsia" w:ascii="仿宋" w:hAnsi="仿宋" w:eastAsia="仿宋" w:cs="仿宋"/>
          <w:b/>
          <w:bCs/>
          <w:color w:val="000000" w:themeColor="text1"/>
          <w:sz w:val="30"/>
          <w:szCs w:val="30"/>
          <w:highlight w:val="none"/>
          <w:lang w:eastAsia="zh-CN"/>
          <w14:textFill>
            <w14:solidFill>
              <w14:schemeClr w14:val="tx1"/>
            </w14:solidFill>
          </w14:textFill>
        </w:rPr>
      </w:r>
      <w:r/>
    </w:p>
    <w:p>
      <w:pPr>
        <w:pStyle w:val="768"/>
        <w:rPr>
          <w:rFonts w:hint="eastAsia"/>
          <w:highlight w:val="none"/>
        </w:rPr>
      </w:pPr>
      <w:r>
        <w:rPr>
          <w:rFonts w:hint="eastAsia"/>
          <w:highlight w:val="none"/>
        </w:rPr>
      </w:r>
      <w:r/>
    </w:p>
    <w:p>
      <w:pPr>
        <w:pStyle w:val="764"/>
        <w:ind w:firstLine="301"/>
        <w:jc w:val="center"/>
        <w:pageBreakBefore w:val="0"/>
        <w:spacing w:line="360" w:lineRule="auto"/>
        <w:rPr>
          <w:rFonts w:hint="eastAsia" w:ascii="仿宋" w:hAnsi="仿宋" w:eastAsia="仿宋" w:cs="仿宋"/>
          <w:b/>
          <w:bCs/>
          <w:color w:val="000000" w:themeColor="text1"/>
          <w:sz w:val="30"/>
          <w:szCs w:val="30"/>
          <w:highlight w:val="none"/>
          <w:lang w:eastAsia="zh-CN"/>
          <w14:textFill>
            <w14:solidFill>
              <w14:schemeClr w14:val="tx1"/>
            </w14:solidFill>
          </w14:textFill>
        </w:rPr>
        <w:outlineLvl w:val="0"/>
      </w:pPr>
      <w:r/>
      <w:bookmarkStart w:id="4" w:name="_Toc23039"/>
      <w:r/>
      <w:bookmarkStart w:id="5" w:name="_Toc11101"/>
      <w:r>
        <w:rPr>
          <w:rFonts w:hint="eastAsia" w:ascii="仿宋" w:hAnsi="仿宋" w:eastAsia="仿宋" w:cs="仿宋"/>
          <w:b/>
          <w:bCs/>
          <w:color w:val="000000" w:themeColor="text1"/>
          <w:sz w:val="30"/>
          <w:szCs w:val="30"/>
          <w:highlight w:val="none"/>
          <w14:textFill>
            <w14:solidFill>
              <w14:schemeClr w14:val="tx1"/>
            </w14:solidFill>
          </w14:textFill>
        </w:rPr>
        <w:t xml:space="preserve">代理机构：</w:t>
      </w:r>
      <w:bookmarkEnd w:id="4"/>
      <w:r/>
      <w:bookmarkEnd w:id="5"/>
      <w:r>
        <w:rPr>
          <w:rFonts w:hint="eastAsia" w:ascii="仿宋" w:hAnsi="仿宋" w:eastAsia="仿宋" w:cs="仿宋"/>
          <w:b/>
          <w:bCs/>
          <w:color w:val="000000" w:themeColor="text1"/>
          <w:sz w:val="30"/>
          <w:szCs w:val="30"/>
          <w:highlight w:val="none"/>
          <w:lang w:eastAsia="zh-CN"/>
          <w14:textFill>
            <w14:solidFill>
              <w14:schemeClr w14:val="tx1"/>
            </w14:solidFill>
          </w14:textFill>
        </w:rPr>
        <w:t xml:space="preserve">江苏格恒项目管理咨询有限公司</w:t>
      </w:r>
      <w:r/>
    </w:p>
    <w:p>
      <w:pPr>
        <w:pStyle w:val="764"/>
        <w:ind w:firstLine="301"/>
        <w:jc w:val="center"/>
        <w:pageBreakBefore w:val="0"/>
        <w:spacing w:line="360" w:lineRule="auto"/>
        <w:rPr>
          <w:rFonts w:hint="default" w:ascii="仿宋" w:hAnsi="仿宋" w:eastAsia="仿宋" w:cs="仿宋"/>
          <w:color w:val="000000" w:themeColor="text1"/>
          <w:sz w:val="36"/>
          <w:szCs w:val="36"/>
          <w:highlight w:val="none"/>
          <w:lang w:val="en-US" w:eastAsia="zh-CN"/>
          <w14:textFill>
            <w14:solidFill>
              <w14:schemeClr w14:val="tx1"/>
            </w14:solidFill>
          </w14:textFill>
        </w:rPr>
      </w:pP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 xml:space="preserve">2026年4月</w:t>
      </w:r>
      <w:r/>
    </w:p>
    <w:p>
      <w:pPr>
        <w:rPr>
          <w:rFonts w:hint="eastAsia" w:ascii="仿宋" w:hAnsi="仿宋" w:eastAsia="仿宋" w:cs="仿宋"/>
          <w:highlight w:val="none"/>
        </w:rPr>
      </w:pPr>
      <w:r>
        <w:rPr>
          <w:rFonts w:hint="eastAsia" w:ascii="仿宋" w:hAnsi="仿宋" w:eastAsia="仿宋" w:cs="仿宋"/>
          <w:highlight w:val="none"/>
        </w:rPr>
      </w:r>
      <w:r/>
    </w:p>
    <w:p>
      <w:pPr>
        <w:pStyle w:val="1036"/>
        <w:keepLines w:val="0"/>
        <w:keepNext w:val="0"/>
        <w:pageBreakBefore w:val="0"/>
        <w:spacing w:line="360" w:lineRule="auto"/>
        <w:widowControl/>
        <w:tabs>
          <w:tab w:val="right" w:pos="8844" w:leader="dot"/>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77"/>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sectPr>
          <w:footnotePr/>
          <w:endnotePr/>
          <w:type w:val="nextPage"/>
          <w:pgSz w:w="11906" w:h="16838" w:orient="portrait"/>
          <w:pgMar w:top="1701" w:right="1474" w:bottom="1701" w:left="1588" w:header="851" w:footer="1418" w:gutter="0"/>
          <w:pgNumType w:start="1"/>
          <w:cols w:num="1" w:sep="0" w:space="720" w:equalWidth="1"/>
          <w:docGrid w:linePitch="360"/>
        </w:sectPr>
        <w:outlineLvl w:val="9"/>
      </w:pPr>
      <w:r/>
      <w:bookmarkStart w:id="6" w:name="_Toc7019"/>
      <w:r/>
      <w:bookmarkStart w:id="7" w:name="_Toc28664"/>
      <w:r/>
      <w:bookmarkStart w:id="8" w:name="_Toc24307"/>
      <w:r/>
      <w:r/>
    </w:p>
    <w:p>
      <w:pPr>
        <w:pStyle w:val="764"/>
        <w:jc w:val="center"/>
        <w:spacing w:line="360" w:lineRule="auto"/>
        <w:rPr>
          <w:rFonts w:hint="eastAsia" w:ascii="仿宋" w:hAnsi="仿宋" w:eastAsia="仿宋" w:cs="仿宋"/>
          <w:color w:val="000000" w:themeColor="text1"/>
          <w:sz w:val="24"/>
          <w:highlight w:val="white"/>
          <w14:textFill>
            <w14:solidFill>
              <w14:schemeClr w14:val="tx1"/>
            </w14:solidFill>
          </w14:textFill>
        </w:rPr>
      </w:pPr>
      <w:r/>
      <w:bookmarkStart w:id="9" w:name="_Toc3776"/>
      <w:r/>
      <w:bookmarkStart w:id="10" w:name="_Toc24281"/>
      <w:r/>
      <w:bookmarkStart w:id="11" w:name="_Toc2168"/>
      <w:r/>
      <w:bookmarkStart w:id="12" w:name="_Toc27132"/>
      <w:r/>
      <w:bookmarkStart w:id="13" w:name="_Toc4305"/>
      <w:r/>
      <w:bookmarkStart w:id="14" w:name="_Toc1046"/>
      <w:r/>
      <w:bookmarkStart w:id="15" w:name="_Toc12112"/>
      <w:r/>
      <w:bookmarkStart w:id="16" w:name="_Toc24143"/>
      <w:r>
        <w:rPr>
          <w:rFonts w:hint="eastAsia" w:ascii="仿宋" w:hAnsi="仿宋" w:eastAsia="仿宋" w:cs="仿宋"/>
          <w:b/>
          <w:color w:val="000000" w:themeColor="text1"/>
          <w:sz w:val="44"/>
          <w:szCs w:val="44"/>
          <w:highlight w:val="white"/>
          <w14:textFill>
            <w14:solidFill>
              <w14:schemeClr w14:val="tx1"/>
            </w14:solidFill>
          </w14:textFill>
        </w:rPr>
        <w:t xml:space="preserve">竞争性磋商文件</w:t>
      </w:r>
      <w:r/>
    </w:p>
    <w:p>
      <w:pPr>
        <w:pStyle w:val="764"/>
        <w:ind w:firstLine="1928"/>
        <w:jc w:val="both"/>
        <w:keepLines w:val="0"/>
        <w:keepNext w:val="0"/>
        <w:pageBreakBefore w:val="0"/>
        <w:spacing w:line="360" w:lineRule="auto"/>
        <w:widowControl w:val="off"/>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white"/>
          <w:lang w:eastAsia="zh-CN"/>
          <w14:textFill>
            <w14:solidFill>
              <w14:schemeClr w14:val="tx1"/>
            </w14:solidFill>
          </w14:textFill>
        </w:rPr>
        <w:t xml:space="preserve">项目编号：</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JSZC-320381-JGHG-C2026-0001</w:t>
      </w:r>
      <w:r/>
    </w:p>
    <w:p>
      <w:pPr>
        <w:pStyle w:val="764"/>
        <w:keepLines w:val="0"/>
        <w:keepNext w:val="0"/>
        <w:pageBreakBefore w:val="0"/>
        <w:spacing w:line="360" w:lineRule="auto"/>
        <w:widowControl w:val="off"/>
        <w:tabs>
          <w:tab w:val="left" w:pos="3240" w:leader="none"/>
        </w:tabs>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u w:val="single"/>
          <w14:textFill>
            <w14:solidFill>
              <w14:schemeClr w14:val="tx1"/>
            </w14:solidFill>
          </w14:textFill>
        </w:rPr>
        <w:t xml:space="preserve">                     </w:t>
      </w:r>
      <w:r>
        <w:rPr>
          <w:rFonts w:hint="eastAsia" w:ascii="宋体" w:hAnsi="宋体" w:eastAsia="宋体" w:cs="宋体"/>
          <w:color w:val="000000" w:themeColor="text1"/>
          <w:sz w:val="24"/>
          <w:szCs w:val="24"/>
          <w:highlight w:val="white"/>
          <w14:textFill>
            <w14:solidFill>
              <w14:schemeClr w14:val="tx1"/>
            </w14:solidFill>
          </w14:textFill>
        </w:rPr>
        <w:t xml:space="preserve">（供应商）：</w:t>
      </w:r>
      <w:r/>
    </w:p>
    <w:p>
      <w:pPr>
        <w:pStyle w:val="764"/>
        <w:ind w:firstLine="497"/>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24"/>
          <w:szCs w:val="24"/>
          <w:highlight w:val="white"/>
          <w:u w:val="single"/>
          <w:lang w:val="en-US" w:eastAsia="zh-CN"/>
          <w14:textFill>
            <w14:solidFill>
              <w14:schemeClr w14:val="tx1"/>
            </w14:solidFill>
          </w14:textFill>
        </w:rPr>
        <w:t xml:space="preserve">江苏格恒项目管理咨询有限公司</w:t>
      </w:r>
      <w:r>
        <w:rPr>
          <w:rFonts w:hint="eastAsia" w:ascii="仿宋" w:hAnsi="仿宋" w:eastAsia="仿宋" w:cs="仿宋"/>
          <w:color w:val="000000" w:themeColor="text1"/>
          <w:sz w:val="24"/>
          <w:szCs w:val="24"/>
          <w:highlight w:val="white"/>
          <w14:textFill>
            <w14:solidFill>
              <w14:schemeClr w14:val="tx1"/>
            </w14:solidFill>
          </w14:textFill>
        </w:rPr>
        <w:t xml:space="preserve">对</w:t>
      </w:r>
      <w:r>
        <w:rPr>
          <w:rFonts w:hint="eastAsia" w:ascii="仿宋" w:hAnsi="仿宋" w:eastAsia="仿宋" w:cs="仿宋"/>
          <w:color w:val="000000" w:themeColor="text1"/>
          <w:sz w:val="24"/>
          <w:szCs w:val="24"/>
          <w:highlight w:val="white"/>
          <w:u w:val="single"/>
          <w:lang w:eastAsia="zh-CN"/>
          <w14:textFill>
            <w14:solidFill>
              <w14:schemeClr w14:val="tx1"/>
            </w14:solidFill>
          </w14:textFill>
        </w:rPr>
        <w:t xml:space="preserve">2026年城南绿化补植及设施维修工程项目</w:t>
      </w:r>
      <w:r>
        <w:rPr>
          <w:rFonts w:hint="eastAsia" w:ascii="仿宋" w:hAnsi="仿宋" w:eastAsia="仿宋" w:cs="仿宋"/>
          <w:color w:val="000000" w:themeColor="text1"/>
          <w:sz w:val="24"/>
          <w:szCs w:val="24"/>
          <w:highlight w:val="white"/>
          <w14:textFill>
            <w14:solidFill>
              <w14:schemeClr w14:val="tx1"/>
            </w14:solidFill>
          </w14:textFill>
        </w:rPr>
        <w:t xml:space="preserve">采取竞争性磋商采购方式进行采购，竞争性磋商文件（以下简称《磋商文件》）内容如下：</w:t>
      </w:r>
      <w:r/>
    </w:p>
    <w:p>
      <w:pPr>
        <w:pStyle w:val="777"/>
        <w:pageBreakBefore w:val="0"/>
        <w:spacing w:line="360" w:lineRule="auto"/>
        <w:rPr>
          <w:rFonts w:hint="default" w:ascii="仿宋" w:hAnsi="仿宋" w:eastAsia="仿宋" w:cs="仿宋"/>
          <w:color w:val="000000" w:themeColor="text1"/>
          <w:sz w:val="30"/>
          <w:szCs w:val="30"/>
          <w:highlight w:val="none"/>
          <w:lang w:val="en-US" w:eastAsia="zh-CN"/>
          <w14:textFill>
            <w14:solidFill>
              <w14:schemeClr w14:val="tx1"/>
            </w14:solidFill>
          </w14:textFill>
        </w:rPr>
        <w:outlineLvl w:val="0"/>
      </w:pPr>
      <w:r>
        <w:rPr>
          <w:rFonts w:hint="eastAsia" w:ascii="仿宋" w:hAnsi="仿宋" w:eastAsia="仿宋" w:cs="仿宋"/>
          <w:color w:val="000000" w:themeColor="text1"/>
          <w:sz w:val="30"/>
          <w:szCs w:val="30"/>
          <w:highlight w:val="none"/>
          <w14:textFill>
            <w14:solidFill>
              <w14:schemeClr w14:val="tx1"/>
            </w14:solidFill>
          </w14:textFill>
        </w:rPr>
        <w:t xml:space="preserve">第一章 </w:t>
      </w:r>
      <w:bookmarkEnd w:id="6"/>
      <w:r/>
      <w:bookmarkEnd w:id="7"/>
      <w:r/>
      <w:bookmarkEnd w:id="8"/>
      <w:r/>
      <w:bookmarkEnd w:id="9"/>
      <w:r/>
      <w:bookmarkEnd w:id="10"/>
      <w:r/>
      <w:bookmarkEnd w:id="11"/>
      <w:r/>
      <w:bookmarkEnd w:id="12"/>
      <w:r/>
      <w:bookmarkEnd w:id="13"/>
      <w:r/>
      <w:bookmarkEnd w:id="14"/>
      <w:r/>
      <w:bookmarkEnd w:id="15"/>
      <w:r/>
      <w:bookmarkEnd w:id="16"/>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项目说明</w:t>
      </w:r>
      <w:r/>
    </w:p>
    <w:p>
      <w:pPr>
        <w:pStyle w:val="774"/>
        <w:jc w:val="left"/>
        <w:keepLines w:val="0"/>
        <w:keepNext w:val="0"/>
        <w:pageBreakBefore w:val="0"/>
        <w:spacing w:line="360" w:lineRule="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一、采购人</w:t>
      </w:r>
      <w:r>
        <w:rPr>
          <w:rFonts w:hint="eastAsia" w:ascii="仿宋" w:hAnsi="仿宋" w:eastAsia="仿宋" w:cs="仿宋"/>
          <w:color w:val="000000" w:themeColor="text1"/>
          <w:sz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lang w:eastAsia="zh-CN"/>
          <w14:textFill>
            <w14:solidFill>
              <w14:schemeClr w14:val="tx1"/>
            </w14:solidFill>
          </w14:textFill>
        </w:rPr>
        <w:t xml:space="preserve">新沂市住房和城乡建设局</w:t>
      </w:r>
      <w:r/>
    </w:p>
    <w:p>
      <w:pPr>
        <w:pStyle w:val="774"/>
        <w:jc w:val="left"/>
        <w:keepLines w:val="0"/>
        <w:keepNext w:val="0"/>
        <w:pageBreakBefore w:val="0"/>
        <w:spacing w:line="360" w:lineRule="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二、项目编号：JSZC-320381-JGHG-C2026-0001</w:t>
      </w:r>
      <w:r/>
    </w:p>
    <w:p>
      <w:pPr>
        <w:pStyle w:val="774"/>
        <w:jc w:val="left"/>
        <w:keepLines w:val="0"/>
        <w:keepNext w:val="0"/>
        <w:pageBreakBefore w:val="0"/>
        <w:spacing w:line="360" w:lineRule="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三、</w:t>
      </w:r>
      <w:r>
        <w:rPr>
          <w:rFonts w:hint="eastAsia" w:ascii="仿宋" w:hAnsi="仿宋" w:eastAsia="仿宋" w:cs="仿宋"/>
          <w:color w:val="000000" w:themeColor="text1"/>
          <w:sz w:val="24"/>
          <w:highlight w:val="none"/>
          <w14:textFill>
            <w14:solidFill>
              <w14:schemeClr w14:val="tx1"/>
            </w14:solidFill>
          </w14:textFill>
        </w:rPr>
        <w:t xml:space="preserve">项目名称：</w:t>
      </w:r>
      <w:r>
        <w:rPr>
          <w:rFonts w:hint="eastAsia" w:ascii="仿宋" w:hAnsi="仿宋" w:eastAsia="仿宋" w:cs="仿宋"/>
          <w:color w:val="000000" w:themeColor="text1"/>
          <w:sz w:val="24"/>
          <w:highlight w:val="none"/>
          <w:lang w:eastAsia="zh-CN"/>
          <w14:textFill>
            <w14:solidFill>
              <w14:schemeClr w14:val="tx1"/>
            </w14:solidFill>
          </w14:textFill>
        </w:rPr>
        <w:t xml:space="preserve">2026年城南绿化补植及设施维修工程项目</w:t>
      </w:r>
      <w:r/>
    </w:p>
    <w:p>
      <w:pPr>
        <w:pStyle w:val="774"/>
        <w:jc w:val="left"/>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四、</w:t>
      </w:r>
      <w:r>
        <w:rPr>
          <w:rFonts w:hint="eastAsia" w:ascii="仿宋" w:hAnsi="仿宋" w:eastAsia="仿宋" w:cs="仿宋"/>
          <w:color w:val="000000" w:themeColor="text1"/>
          <w:sz w:val="24"/>
          <w:highlight w:val="none"/>
          <w14:textFill>
            <w14:solidFill>
              <w14:schemeClr w14:val="tx1"/>
            </w14:solidFill>
          </w14:textFill>
        </w:rPr>
        <w:t xml:space="preserve">采购邀请：通过发布公告的方式邀请符合相应资格条件的供应商参与竞争性磋商采购活动。</w:t>
      </w:r>
      <w:r/>
    </w:p>
    <w:p>
      <w:pPr>
        <w:pStyle w:val="774"/>
        <w:jc w:val="left"/>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五、采购方式：本项目采用竞争性磋商采购方式。</w:t>
      </w:r>
      <w:r/>
    </w:p>
    <w:p>
      <w:pPr>
        <w:pStyle w:val="774"/>
        <w:jc w:val="left"/>
        <w:keepLines w:val="0"/>
        <w:keepNext w:val="0"/>
        <w:pageBreakBefore w:val="0"/>
        <w:spacing w:line="360" w:lineRule="auto"/>
        <w:rPr>
          <w:rFonts w:hint="eastAsia" w:ascii="仿宋" w:hAnsi="仿宋" w:eastAsia="仿宋" w:cs="仿宋"/>
          <w:b/>
          <w:bCs/>
          <w:color w:val="000000" w:themeColor="text1"/>
          <w:sz w:val="24"/>
          <w:highlight w:val="none"/>
          <w14:textFill>
            <w14:solidFill>
              <w14:schemeClr w14:val="tx1"/>
            </w14:solidFill>
          </w14:textFill>
        </w:rPr>
        <w:outlineLvl w:val="1"/>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六、供应商资格条件：</w:t>
      </w:r>
      <w:r/>
    </w:p>
    <w:p>
      <w:pPr>
        <w:pStyle w:val="774"/>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outlineLvl w:val="2"/>
      </w:pP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一</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满足</w:t>
      </w:r>
      <w:r>
        <w:rPr>
          <w:rFonts w:hint="eastAsia" w:ascii="仿宋" w:hAnsi="仿宋" w:eastAsia="仿宋" w:cs="仿宋"/>
          <w:color w:val="000000" w:themeColor="text1"/>
          <w:sz w:val="24"/>
          <w:highlight w:val="none"/>
          <w14:textFill>
            <w14:solidFill>
              <w14:schemeClr w14:val="tx1"/>
            </w14:solidFill>
          </w14:textFill>
        </w:rPr>
        <w:t xml:space="preserve">《中华人民共和国政府采购法》第二十二条规定；</w:t>
      </w:r>
      <w:r/>
    </w:p>
    <w:p>
      <w:pPr>
        <w:pStyle w:val="749"/>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1.具有独立承担民事责任的能力，提供投标人合法有效的法人的营业执照(或事业单位法人证书)或其他组织应提供合法证明文件的原件扫描件(加盖电子签章)；</w:t>
      </w:r>
      <w:r/>
    </w:p>
    <w:p>
      <w:pPr>
        <w:pStyle w:val="749"/>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财务状况报告；至少提供：即提供投标人的本项目开标时间前6个月内任何1月（不含开标当月）资产负债表原件的扫描件1份；投标人的本项目开标时间前6个月内任何1月（不含开标当月）利润表月报表原件的扫描件1份或提供投标人上年度财务报告原件的扫描件或供应商的本项目开标时间前6个月内银行出具的资信证明原件的扫描件(加盖电子签章)；</w:t>
      </w:r>
      <w:r/>
    </w:p>
    <w:p>
      <w:pPr>
        <w:pStyle w:val="749"/>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3.投标人在本项目开标时间前6个月内任何1月（不含开标当月）的依法缴纳税收和社会保障资金的相关材料扫描件；依法免税或不需要缴纳社会保障资金的投标人应提供相应其依法免税或不需要缴纳社会保障资金的证明文件扫描件(加盖电子签章)；</w:t>
      </w:r>
      <w:r/>
    </w:p>
    <w:p>
      <w:pPr>
        <w:pStyle w:val="749"/>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4.具备履行合同所必需的设备和专业技术能力的证明材料提供具备履行合同所必需的设备和专业技术能力的书面声明（加盖电子签章，格式见《磋商文件》附件）；</w:t>
      </w:r>
      <w:r/>
    </w:p>
    <w:p>
      <w:pPr>
        <w:pStyle w:val="749"/>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5.投标人参加政府采购活动前3年内在经营活动中没有重大违法记录的书面声明（加盖电子签章，格式见《磋商文件》附件）；</w:t>
      </w:r>
      <w:r/>
    </w:p>
    <w:p>
      <w:pPr>
        <w:pStyle w:val="774"/>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二</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落实政府采购政策需满足的资格要求：</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此项目属于专门面向中小微企业采购的项目，供应商应为中小企业、监狱企业、残疾人福利单位。</w:t>
      </w:r>
      <w:r/>
    </w:p>
    <w:p>
      <w:pPr>
        <w:pStyle w:val="774"/>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outlineLvl w:val="2"/>
      </w:pP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三</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本项目的特定资格要求：</w:t>
      </w:r>
      <w:r/>
    </w:p>
    <w:p>
      <w:pPr>
        <w:ind w:firstLine="480"/>
        <w:jc w:val="left"/>
        <w:keepLines w:val="0"/>
        <w:keepNext w:val="0"/>
        <w:pageBreakBefore w:val="0"/>
        <w:spacing w:line="360" w:lineRule="auto"/>
        <w:widowControl/>
        <w:rPr>
          <w:rFonts w:hint="eastAsia" w:ascii="仿宋" w:hAnsi="仿宋" w:eastAsia="仿宋" w:cs="仿宋"/>
          <w:sz w:val="24"/>
          <w:highlight w:val="yellow"/>
          <w:lang w:val="en-US" w:eastAsia="zh-CN"/>
        </w:rPr>
      </w:pPr>
      <w:r>
        <w:rPr>
          <w:rFonts w:hint="eastAsia" w:ascii="仿宋" w:hAnsi="仿宋" w:eastAsia="仿宋" w:cs="仿宋"/>
          <w:sz w:val="24"/>
          <w:highlight w:val="none"/>
          <w:lang w:val="en-US" w:eastAsia="zh-CN"/>
        </w:rPr>
        <w:t xml:space="preserve">（1）、拟派项目经理：供应商拟派项目经理须具备园林绿化类专业中级（含）以上职称（如职称证书无法证明园林类相关专业的，以职称评定表或学历毕业证书为准（园林相关专业），同时提供相关证明其为本单位正式员工。相关材料扫描上传并加盖电子签章）。</w:t>
      </w:r>
      <w:r/>
    </w:p>
    <w:p>
      <w:pPr>
        <w:ind w:firstLine="480"/>
        <w:jc w:val="left"/>
        <w:keepLines w:val="0"/>
        <w:keepNext w:val="0"/>
        <w:pageBreakBefore w:val="0"/>
        <w:spacing w:line="360" w:lineRule="auto"/>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说明：</w:t>
      </w:r>
      <w:r/>
    </w:p>
    <w:p>
      <w:pPr>
        <w:ind w:firstLine="480"/>
        <w:jc w:val="left"/>
        <w:keepLines w:val="0"/>
        <w:keepNext w:val="0"/>
        <w:pageBreakBefore w:val="0"/>
        <w:spacing w:line="360" w:lineRule="auto"/>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1.本项目不接受联合体参与采购活动，成交后不得转包或分包。</w:t>
      </w:r>
      <w:r/>
    </w:p>
    <w:p>
      <w:pPr>
        <w:ind w:firstLine="480"/>
        <w:jc w:val="left"/>
        <w:keepLines w:val="0"/>
        <w:keepNext w:val="0"/>
        <w:pageBreakBefore w:val="0"/>
        <w:spacing w:line="360" w:lineRule="auto"/>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2.单位负责人为同一人或者存在直接控股、管理关系的不同供应商，不得参加同一合同项下的政府采购活动。</w:t>
      </w:r>
      <w:r/>
    </w:p>
    <w:p>
      <w:pPr>
        <w:ind w:firstLine="480"/>
        <w:jc w:val="left"/>
        <w:keepLines w:val="0"/>
        <w:keepNext w:val="0"/>
        <w:pageBreakBefore w:val="0"/>
        <w:spacing w:line="360" w:lineRule="auto"/>
        <w:widowControl/>
        <w:rPr>
          <w:rFonts w:hint="eastAsia"/>
          <w:lang w:val="en-US" w:eastAsia="zh-CN"/>
        </w:rPr>
      </w:pPr>
      <w:r>
        <w:rPr>
          <w:rFonts w:hint="eastAsia" w:ascii="仿宋" w:hAnsi="仿宋" w:eastAsia="仿宋" w:cs="仿宋"/>
          <w:sz w:val="24"/>
          <w:szCs w:val="24"/>
          <w:lang w:val="en-US" w:eastAsia="zh-CN"/>
        </w:rPr>
        <w:t xml:space="preserve">3.为本采购项目提供整体设计、规范编制或者项目管理、监理、检测等服务的供应商，不得再参加本采购项目的采购活动。</w:t>
      </w:r>
      <w:r/>
    </w:p>
    <w:p>
      <w:pPr>
        <w:pStyle w:val="774"/>
        <w:ind w:firstLine="480"/>
        <w:keepLines w:val="0"/>
        <w:keepNext w:val="0"/>
        <w:pageBreakBefore w:val="0"/>
        <w:spacing w:line="360" w:lineRule="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 xml:space="preserve">七、采购预算：见《磋商文件》附件2、《采购需求》。</w:t>
      </w:r>
      <w:r/>
    </w:p>
    <w:p>
      <w:pPr>
        <w:pStyle w:val="774"/>
        <w:ind w:firstLine="480"/>
        <w:keepLines w:val="0"/>
        <w:keepNext w:val="0"/>
        <w:pageBreakBefore w:val="0"/>
        <w:spacing w:line="360" w:lineRule="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 xml:space="preserve">八、采购需求：见《磋商文件》附件2、《采购需求》。</w:t>
      </w:r>
      <w:r/>
    </w:p>
    <w:p>
      <w:pPr>
        <w:pStyle w:val="774"/>
        <w:ind w:firstLine="480"/>
        <w:keepLines w:val="0"/>
        <w:keepNext w:val="0"/>
        <w:pageBreakBefore w:val="0"/>
        <w:spacing w:line="360" w:lineRule="auto"/>
        <w:rPr>
          <w:rFonts w:hint="eastAsia"/>
        </w:rPr>
      </w:pPr>
      <w:r>
        <w:rPr>
          <w:rFonts w:hint="eastAsia" w:ascii="仿宋" w:hAnsi="仿宋" w:eastAsia="仿宋" w:cs="仿宋"/>
          <w:b/>
          <w:bCs/>
          <w:color w:val="000000" w:themeColor="text1"/>
          <w:sz w:val="24"/>
          <w:highlight w:val="none"/>
          <w14:textFill>
            <w14:solidFill>
              <w14:schemeClr w14:val="tx1"/>
            </w14:solidFill>
          </w14:textFill>
        </w:rPr>
        <w:t xml:space="preserve">九、拟签订的合同文本：见《磋商文件》附件</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13</w:t>
      </w:r>
      <w:r>
        <w:rPr>
          <w:rFonts w:hint="eastAsia" w:ascii="仿宋" w:hAnsi="仿宋" w:eastAsia="仿宋" w:cs="仿宋"/>
          <w:b/>
          <w:bCs/>
          <w:color w:val="000000" w:themeColor="text1"/>
          <w:sz w:val="24"/>
          <w:highlight w:val="none"/>
          <w14:textFill>
            <w14:solidFill>
              <w14:schemeClr w14:val="tx1"/>
            </w14:solidFill>
          </w14:textFill>
        </w:rPr>
        <w:t xml:space="preserve">、《拟签订的合同文本》。</w:t>
      </w:r>
      <w:r/>
    </w:p>
    <w:p>
      <w:pPr>
        <w:pStyle w:val="774"/>
        <w:ind w:firstLine="480"/>
        <w:keepLines w:val="0"/>
        <w:keepNext w:val="0"/>
        <w:pageBreakBefore w:val="0"/>
        <w:spacing w:line="360" w:lineRule="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十</w:t>
      </w:r>
      <w:r>
        <w:rPr>
          <w:rFonts w:hint="eastAsia" w:ascii="仿宋" w:hAnsi="仿宋" w:eastAsia="仿宋" w:cs="仿宋"/>
          <w:b/>
          <w:bCs/>
          <w:color w:val="000000" w:themeColor="text1"/>
          <w:sz w:val="24"/>
          <w:highlight w:val="none"/>
          <w14:textFill>
            <w14:solidFill>
              <w14:schemeClr w14:val="tx1"/>
            </w14:solidFill>
          </w14:textFill>
        </w:rPr>
        <w:t xml:space="preserve">、</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报价要求：</w:t>
      </w:r>
      <w:r>
        <w:rPr>
          <w:rFonts w:hint="eastAsia" w:ascii="仿宋" w:hAnsi="仿宋" w:eastAsia="仿宋" w:cs="仿宋"/>
          <w:b/>
          <w:bCs/>
          <w:color w:val="000000" w:themeColor="text1"/>
          <w:sz w:val="24"/>
          <w:highlight w:val="none"/>
          <w14:textFill>
            <w14:solidFill>
              <w14:schemeClr w14:val="tx1"/>
            </w14:solidFill>
          </w14:textFill>
        </w:rPr>
        <w:t xml:space="preserve">见《磋商文件》附件2、《采购需求》。</w:t>
      </w:r>
      <w:r/>
    </w:p>
    <w:p>
      <w:pPr>
        <w:pStyle w:val="774"/>
        <w:ind w:firstLine="480"/>
        <w:keepLines w:val="0"/>
        <w:keepNext w:val="0"/>
        <w:pageBreakBefore w:val="0"/>
        <w:spacing w:line="360" w:lineRule="auto"/>
        <w:rPr>
          <w:rFonts w:hint="eastAsia" w:ascii="仿宋" w:hAnsi="仿宋" w:eastAsia="仿宋" w:cs="仿宋"/>
          <w:b/>
          <w:bCs/>
          <w:color w:val="000000" w:themeColor="text1"/>
          <w:sz w:val="24"/>
          <w:highlight w:val="none"/>
          <w:lang w:val="en-US" w:eastAsia="zh-CN"/>
          <w14:textFill>
            <w14:solidFill>
              <w14:schemeClr w14:val="tx1"/>
            </w14:solidFill>
          </w14:textFill>
        </w:rPr>
      </w:pP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十一</w:t>
      </w:r>
      <w:r>
        <w:rPr>
          <w:rFonts w:hint="eastAsia" w:ascii="仿宋" w:hAnsi="仿宋" w:eastAsia="仿宋" w:cs="仿宋"/>
          <w:b/>
          <w:bCs/>
          <w:color w:val="000000" w:themeColor="text1"/>
          <w:sz w:val="24"/>
          <w:highlight w:val="none"/>
          <w14:textFill>
            <w14:solidFill>
              <w14:schemeClr w14:val="tx1"/>
            </w14:solidFill>
          </w14:textFill>
        </w:rPr>
        <w:t xml:space="preserve">、</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磋商保证金交纳数额和形式：本项目不收取磋商保证金。</w:t>
      </w:r>
      <w:r/>
    </w:p>
    <w:p>
      <w:pPr>
        <w:pStyle w:val="762"/>
        <w:ind w:firstLine="48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lang w:val="en-US" w:eastAsia="zh-CN"/>
        </w:rPr>
        <w:t xml:space="preserve">十二</w:t>
      </w:r>
      <w:r>
        <w:rPr>
          <w:rFonts w:hint="eastAsia" w:ascii="仿宋" w:hAnsi="仿宋" w:eastAsia="仿宋" w:cs="仿宋"/>
          <w:b/>
          <w:bCs/>
          <w:sz w:val="24"/>
          <w:highlight w:val="none"/>
        </w:rPr>
        <w:t xml:space="preserve">、竞争性磋商文件的获取</w:t>
      </w:r>
      <w:r/>
    </w:p>
    <w:p>
      <w:pPr>
        <w:pStyle w:val="762"/>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获取方式：</w:t>
      </w:r>
      <w:r/>
    </w:p>
    <w:p>
      <w:pPr>
        <w:pStyle w:val="762"/>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本项目采用网上注册登记方式。    </w:t>
      </w:r>
      <w:r/>
    </w:p>
    <w:p>
      <w:pPr>
        <w:pStyle w:val="762"/>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1</w:t>
      </w:r>
      <w:r>
        <w:rPr>
          <w:rFonts w:hint="eastAsia" w:ascii="仿宋" w:hAnsi="仿宋" w:eastAsia="仿宋" w:cs="仿宋"/>
          <w:b w:val="0"/>
          <w:bCs/>
          <w:sz w:val="24"/>
          <w:highlight w:val="none"/>
          <w:lang w:eastAsia="zh-CN"/>
        </w:rPr>
        <w:t xml:space="preserve">、</w:t>
      </w:r>
      <w:r>
        <w:rPr>
          <w:rFonts w:hint="eastAsia" w:ascii="仿宋" w:hAnsi="仿宋" w:eastAsia="仿宋" w:cs="仿宋"/>
          <w:b w:val="0"/>
          <w:bCs/>
          <w:sz w:val="24"/>
          <w:highlight w:val="none"/>
        </w:rPr>
        <w:t xml:space="preserve">潜在</w:t>
      </w:r>
      <w:r>
        <w:rPr>
          <w:rFonts w:hint="eastAsia" w:ascii="仿宋" w:hAnsi="仿宋" w:eastAsia="仿宋" w:cs="仿宋"/>
          <w:b w:val="0"/>
          <w:bCs/>
          <w:sz w:val="24"/>
          <w:highlight w:val="none"/>
          <w:lang w:eastAsia="zh-CN"/>
        </w:rPr>
        <w:t xml:space="preserve">供应商</w:t>
      </w:r>
      <w:r>
        <w:rPr>
          <w:rFonts w:hint="eastAsia" w:ascii="仿宋" w:hAnsi="仿宋" w:eastAsia="仿宋" w:cs="仿宋"/>
          <w:b w:val="0"/>
          <w:bCs/>
          <w:sz w:val="24"/>
          <w:highlight w:val="none"/>
        </w:rPr>
        <w:t xml:space="preserve">访问电子招标投标交易平台的网络地址和方法：</w:t>
      </w:r>
      <w:r/>
    </w:p>
    <w:p>
      <w:pPr>
        <w:pStyle w:val="762"/>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sz w:val="24"/>
          <w:highlight w:val="none"/>
        </w:rPr>
        <w:t xml:space="preserve">“苏采云”系统用户注册--获取“CA数字证书”--CA绑定与登录--网上报名--下载采购文件（后缀名为“.kedt”）--将后缀名为“.kedt”的采购文件导入政府采购客户端工具--制</w:t>
      </w:r>
      <w:r>
        <w:rPr>
          <w:rFonts w:hint="eastAsia" w:ascii="仿宋" w:hAnsi="仿宋" w:eastAsia="仿宋" w:cs="仿宋"/>
          <w:b w:val="0"/>
          <w:bCs/>
          <w:color w:val="000000"/>
          <w:sz w:val="24"/>
          <w:highlight w:val="none"/>
        </w:rPr>
        <w:t xml:space="preserve">作</w:t>
      </w:r>
      <w:r>
        <w:rPr>
          <w:rFonts w:hint="eastAsia" w:ascii="仿宋" w:hAnsi="仿宋" w:eastAsia="仿宋" w:cs="仿宋"/>
          <w:b w:val="0"/>
          <w:bCs/>
          <w:color w:val="000000"/>
          <w:sz w:val="24"/>
          <w:highlight w:val="none"/>
          <w:lang w:eastAsia="zh-CN"/>
        </w:rPr>
        <w:t xml:space="preserve">响应文件</w:t>
      </w:r>
      <w:r>
        <w:rPr>
          <w:rFonts w:hint="eastAsia" w:ascii="仿宋" w:hAnsi="仿宋" w:eastAsia="仿宋" w:cs="仿宋"/>
          <w:b w:val="0"/>
          <w:bCs/>
          <w:color w:val="000000"/>
          <w:sz w:val="24"/>
          <w:highlight w:val="none"/>
        </w:rPr>
        <w:t xml:space="preserve">--导出加密的</w:t>
      </w:r>
      <w:r>
        <w:rPr>
          <w:rFonts w:hint="eastAsia" w:ascii="仿宋" w:hAnsi="仿宋" w:eastAsia="仿宋" w:cs="仿宋"/>
          <w:b w:val="0"/>
          <w:bCs/>
          <w:color w:val="000000"/>
          <w:sz w:val="24"/>
          <w:highlight w:val="none"/>
          <w:lang w:eastAsia="zh-CN"/>
        </w:rPr>
        <w:t xml:space="preserve">响应文件</w:t>
      </w:r>
      <w:r>
        <w:rPr>
          <w:rFonts w:hint="eastAsia" w:ascii="仿宋" w:hAnsi="仿宋" w:eastAsia="仿宋" w:cs="仿宋"/>
          <w:b w:val="0"/>
          <w:bCs/>
          <w:color w:val="000000"/>
          <w:sz w:val="24"/>
          <w:highlight w:val="none"/>
        </w:rPr>
        <w:t xml:space="preserve">（后缀名为zip）--通过“苏采云”系统上传</w:t>
      </w:r>
      <w:r>
        <w:rPr>
          <w:rFonts w:hint="eastAsia" w:ascii="仿宋" w:hAnsi="仿宋" w:eastAsia="仿宋" w:cs="仿宋"/>
          <w:b w:val="0"/>
          <w:bCs/>
          <w:color w:val="000000"/>
          <w:sz w:val="24"/>
          <w:highlight w:val="none"/>
          <w:lang w:eastAsia="zh-CN"/>
        </w:rPr>
        <w:t xml:space="preserve">响应文件</w:t>
      </w:r>
      <w:r>
        <w:rPr>
          <w:rFonts w:hint="eastAsia" w:ascii="仿宋" w:hAnsi="仿宋" w:eastAsia="仿宋" w:cs="仿宋"/>
          <w:b w:val="0"/>
          <w:bCs/>
          <w:color w:val="000000"/>
          <w:sz w:val="24"/>
          <w:highlight w:val="none"/>
        </w:rPr>
        <w:t xml:space="preserve">。具体见《江苏省政府采购管理交易系统（苏采云）供应商操作手册》。</w:t>
      </w:r>
      <w:r/>
    </w:p>
    <w:p>
      <w:pPr>
        <w:pStyle w:val="762"/>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2</w:t>
      </w:r>
      <w:r>
        <w:rPr>
          <w:rFonts w:hint="eastAsia" w:ascii="仿宋" w:hAnsi="仿宋" w:eastAsia="仿宋" w:cs="仿宋"/>
          <w:b w:val="0"/>
          <w:bCs/>
          <w:color w:val="000000"/>
          <w:sz w:val="24"/>
          <w:highlight w:val="none"/>
          <w:lang w:eastAsia="zh-CN"/>
        </w:rPr>
        <w:t xml:space="preserve">、</w:t>
      </w:r>
      <w:r>
        <w:rPr>
          <w:rFonts w:hint="eastAsia" w:ascii="仿宋" w:hAnsi="仿宋" w:eastAsia="仿宋" w:cs="仿宋"/>
          <w:b w:val="0"/>
          <w:bCs/>
          <w:color w:val="000000"/>
          <w:sz w:val="24"/>
          <w:highlight w:val="none"/>
        </w:rPr>
        <w:t xml:space="preserve">潜在</w:t>
      </w:r>
      <w:r>
        <w:rPr>
          <w:rFonts w:hint="eastAsia" w:ascii="仿宋" w:hAnsi="仿宋" w:eastAsia="仿宋" w:cs="仿宋"/>
          <w:b w:val="0"/>
          <w:bCs/>
          <w:color w:val="000000"/>
          <w:sz w:val="24"/>
          <w:highlight w:val="none"/>
          <w:lang w:eastAsia="zh-CN"/>
        </w:rPr>
        <w:t xml:space="preserve">供应商</w:t>
      </w:r>
      <w:r>
        <w:rPr>
          <w:rFonts w:hint="eastAsia" w:ascii="仿宋" w:hAnsi="仿宋" w:eastAsia="仿宋" w:cs="仿宋"/>
          <w:b w:val="0"/>
          <w:bCs/>
          <w:color w:val="000000"/>
          <w:sz w:val="24"/>
          <w:highlight w:val="none"/>
        </w:rPr>
        <w:t xml:space="preserve">访问“苏采云”系统的网络地址和方法：</w:t>
      </w:r>
      <w:r/>
    </w:p>
    <w:p>
      <w:pPr>
        <w:pStyle w:val="762"/>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 “苏采云”系统的网址：http://jszfcg.jsczt.cn/；或进入徐州政府采购网（网址：http://czj.xz.gov.cn/Home/HomeIndex）--业务工作--用户登录，点击“苏采云”进入系统。</w:t>
      </w:r>
      <w:r/>
    </w:p>
    <w:p>
      <w:pPr>
        <w:pStyle w:val="762"/>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3</w:t>
      </w:r>
      <w:r>
        <w:rPr>
          <w:rFonts w:hint="eastAsia" w:ascii="仿宋" w:hAnsi="仿宋" w:eastAsia="仿宋" w:cs="仿宋"/>
          <w:b w:val="0"/>
          <w:bCs/>
          <w:color w:val="000000"/>
          <w:sz w:val="24"/>
          <w:highlight w:val="none"/>
          <w:lang w:eastAsia="zh-CN"/>
        </w:rPr>
        <w:t xml:space="preserve">、</w:t>
      </w:r>
      <w:r>
        <w:rPr>
          <w:rFonts w:hint="eastAsia" w:ascii="仿宋" w:hAnsi="仿宋" w:eastAsia="仿宋" w:cs="仿宋"/>
          <w:b w:val="0"/>
          <w:bCs/>
          <w:color w:val="000000"/>
          <w:sz w:val="24"/>
          <w:highlight w:val="none"/>
        </w:rPr>
        <w:t xml:space="preserve">“CA数字证书”的获取：</w:t>
      </w:r>
      <w:r/>
    </w:p>
    <w:p>
      <w:pPr>
        <w:pStyle w:val="762"/>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62"/>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4</w:t>
      </w:r>
      <w:r>
        <w:rPr>
          <w:rFonts w:hint="eastAsia" w:ascii="仿宋" w:hAnsi="仿宋" w:eastAsia="仿宋" w:cs="仿宋"/>
          <w:b w:val="0"/>
          <w:bCs/>
          <w:color w:val="000000"/>
          <w:sz w:val="24"/>
          <w:highlight w:val="none"/>
          <w:lang w:eastAsia="zh-CN"/>
        </w:rPr>
        <w:t xml:space="preserve">、</w:t>
      </w:r>
      <w:r>
        <w:rPr>
          <w:rFonts w:hint="eastAsia" w:ascii="仿宋" w:hAnsi="仿宋" w:eastAsia="仿宋" w:cs="仿宋"/>
          <w:b w:val="0"/>
          <w:bCs/>
          <w:color w:val="000000"/>
          <w:sz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62"/>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5</w:t>
      </w:r>
      <w:r>
        <w:rPr>
          <w:rFonts w:hint="eastAsia" w:ascii="仿宋" w:hAnsi="仿宋" w:eastAsia="仿宋" w:cs="仿宋"/>
          <w:b w:val="0"/>
          <w:bCs/>
          <w:color w:val="000000"/>
          <w:sz w:val="24"/>
          <w:highlight w:val="none"/>
          <w:lang w:eastAsia="zh-CN"/>
        </w:rPr>
        <w:t xml:space="preserve">、</w:t>
      </w:r>
      <w:r>
        <w:rPr>
          <w:rFonts w:hint="eastAsia" w:ascii="仿宋" w:hAnsi="仿宋" w:eastAsia="仿宋" w:cs="仿宋"/>
          <w:b w:val="0"/>
          <w:bCs/>
          <w:color w:val="000000"/>
          <w:sz w:val="24"/>
          <w:highlight w:val="none"/>
        </w:rPr>
        <w:t xml:space="preserve">招标代理机构（采购代理机构）将数据电文形式的磋商文件加载至“苏采云”系统，供潜在</w:t>
      </w:r>
      <w:r>
        <w:rPr>
          <w:rFonts w:hint="eastAsia" w:ascii="仿宋" w:hAnsi="仿宋" w:eastAsia="仿宋" w:cs="仿宋"/>
          <w:b w:val="0"/>
          <w:bCs/>
          <w:color w:val="000000"/>
          <w:sz w:val="24"/>
          <w:highlight w:val="none"/>
          <w:lang w:eastAsia="zh-CN"/>
        </w:rPr>
        <w:t xml:space="preserve">供应商</w:t>
      </w:r>
      <w:r>
        <w:rPr>
          <w:rFonts w:hint="eastAsia" w:ascii="仿宋" w:hAnsi="仿宋" w:eastAsia="仿宋" w:cs="仿宋"/>
          <w:b w:val="0"/>
          <w:bCs/>
          <w:color w:val="000000"/>
          <w:sz w:val="24"/>
          <w:highlight w:val="none"/>
        </w:rPr>
        <w:t xml:space="preserve">下载或者查阅。</w:t>
      </w:r>
      <w:r/>
    </w:p>
    <w:p>
      <w:pPr>
        <w:pStyle w:val="762"/>
        <w:ind w:firstLine="480"/>
        <w:spacing w:line="360" w:lineRule="auto"/>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6</w:t>
      </w:r>
      <w:r>
        <w:rPr>
          <w:rFonts w:hint="eastAsia" w:ascii="仿宋" w:hAnsi="仿宋" w:eastAsia="仿宋" w:cs="仿宋"/>
          <w:b w:val="0"/>
          <w:bCs/>
          <w:color w:val="000000"/>
          <w:sz w:val="24"/>
          <w:highlight w:val="none"/>
          <w:lang w:eastAsia="zh-CN"/>
        </w:rPr>
        <w:t xml:space="preserve">、</w:t>
      </w:r>
      <w:r>
        <w:rPr>
          <w:rFonts w:hint="eastAsia" w:ascii="仿宋" w:hAnsi="仿宋" w:eastAsia="仿宋" w:cs="仿宋"/>
          <w:b w:val="0"/>
          <w:bCs/>
          <w:color w:val="000000"/>
          <w:sz w:val="24"/>
          <w:highlight w:val="none"/>
        </w:rPr>
        <w:t xml:space="preserve">苏采云系统全程使用谷歌浏览器。</w:t>
      </w:r>
      <w:r/>
    </w:p>
    <w:p>
      <w:pPr>
        <w:pStyle w:val="763"/>
      </w:pPr>
      <w:r/>
      <w:r/>
    </w:p>
    <w:p>
      <w:pPr>
        <w:pStyle w:val="775"/>
        <w:rPr>
          <w:rFonts w:hint="eastAsia"/>
          <w:lang w:val="en-US" w:eastAsia="zh-CN"/>
        </w:rPr>
      </w:pPr>
      <w:r>
        <w:rPr>
          <w:rFonts w:hint="eastAsia"/>
          <w:lang w:val="en-US" w:eastAsia="zh-CN"/>
        </w:rPr>
      </w:r>
      <w:r/>
    </w:p>
    <w:p>
      <w:pPr>
        <w:pStyle w:val="774"/>
        <w:ind w:firstLine="480"/>
        <w:keepLines w:val="0"/>
        <w:keepNext w:val="0"/>
        <w:pageBreakBefore w:val="0"/>
        <w:spacing w:line="360" w:lineRule="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r>
      <w:r/>
    </w:p>
    <w:p>
      <w:pPr>
        <w:rPr>
          <w:rFonts w:hint="eastAsia" w:ascii="仿宋" w:hAnsi="仿宋" w:eastAsia="仿宋" w:cs="仿宋"/>
          <w:color w:val="000000" w:themeColor="text1"/>
          <w:sz w:val="30"/>
          <w:szCs w:val="30"/>
          <w:highlight w:val="none"/>
          <w14:textFill>
            <w14:solidFill>
              <w14:schemeClr w14:val="tx1"/>
            </w14:solidFill>
          </w14:textFill>
        </w:rPr>
      </w:pPr>
      <w:r/>
      <w:bookmarkStart w:id="17" w:name="_Toc24827"/>
      <w:r/>
      <w:bookmarkStart w:id="18" w:name="_Toc26337"/>
      <w:r/>
      <w:bookmarkStart w:id="19" w:name="_Toc14940"/>
      <w:r/>
      <w:bookmarkStart w:id="20" w:name="_Toc22967"/>
      <w:r/>
      <w:bookmarkStart w:id="21" w:name="_Toc3708"/>
      <w:r/>
      <w:bookmarkStart w:id="22" w:name="_Toc4427"/>
      <w:r/>
      <w:bookmarkStart w:id="23" w:name="_Toc22062"/>
      <w:r/>
      <w:bookmarkStart w:id="24" w:name="_Toc26050"/>
      <w:r/>
      <w:bookmarkStart w:id="25" w:name="_Toc14217"/>
      <w:r/>
      <w:bookmarkStart w:id="26" w:name="_Toc18728"/>
      <w:r/>
      <w:bookmarkStart w:id="27" w:name="_Toc16522"/>
      <w:r/>
      <w:bookmarkStart w:id="28" w:name="_Toc16945"/>
      <w:r/>
      <w:bookmarkStart w:id="29" w:name="_Toc14736"/>
      <w:r/>
      <w:bookmarkStart w:id="30" w:name="_Toc25225"/>
      <w:r/>
      <w:bookmarkStart w:id="31" w:name="_Toc23839"/>
      <w:r/>
      <w:bookmarkStart w:id="32" w:name="_Toc23110"/>
      <w:r/>
      <w:bookmarkStart w:id="33" w:name="_Toc13830"/>
      <w:r/>
      <w:bookmarkStart w:id="34" w:name="_Toc23994"/>
      <w:r>
        <w:rPr>
          <w:rFonts w:hint="eastAsia" w:ascii="仿宋" w:hAnsi="仿宋" w:eastAsia="仿宋" w:cs="仿宋"/>
          <w:color w:val="000000" w:themeColor="text1"/>
          <w:sz w:val="30"/>
          <w:szCs w:val="30"/>
          <w:highlight w:val="none"/>
          <w14:textFill>
            <w14:solidFill>
              <w14:schemeClr w14:val="tx1"/>
            </w14:solidFill>
          </w14:textFill>
        </w:rPr>
        <w:br w:type="page" w:clear="all"/>
      </w:r>
      <w:r/>
    </w:p>
    <w:p>
      <w:pPr>
        <w:pStyle w:val="777"/>
        <w:jc w:val="center"/>
        <w:pageBreakBefore w:val="0"/>
        <w:spacing w:line="360" w:lineRule="auto"/>
        <w:rPr>
          <w:rFonts w:hint="eastAsia" w:ascii="仿宋" w:hAnsi="仿宋" w:eastAsia="仿宋" w:cs="仿宋"/>
          <w:color w:val="000000" w:themeColor="text1"/>
          <w:highlight w:val="none"/>
          <w14:textFill>
            <w14:solidFill>
              <w14:schemeClr w14:val="tx1"/>
            </w14:solidFill>
          </w14:textFill>
        </w:rPr>
        <w:outlineLvl w:val="0"/>
      </w:pPr>
      <w:r>
        <w:rPr>
          <w:rFonts w:hint="eastAsia" w:ascii="仿宋" w:hAnsi="仿宋" w:eastAsia="仿宋" w:cs="仿宋"/>
          <w:color w:val="000000" w:themeColor="text1"/>
          <w:sz w:val="30"/>
          <w:szCs w:val="30"/>
          <w:highlight w:val="none"/>
          <w14:textFill>
            <w14:solidFill>
              <w14:schemeClr w14:val="tx1"/>
            </w14:solidFill>
          </w14:textFill>
        </w:rPr>
        <w:t xml:space="preserve">第二章 招标代理服务费</w:t>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r/>
    </w:p>
    <w:p>
      <w:pPr>
        <w:pStyle w:val="763"/>
        <w:ind w:left="0" w:firstLine="48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 xml:space="preserve">采购人承担本项目招标代理服务费，收取标准参照徐州市政府采购协会印发的《徐州市政府采购业务代理服务费行业指导价格标准》）标准的50%计取。</w:t>
      </w:r>
      <w:r/>
    </w:p>
    <w:p>
      <w:pPr>
        <w:jc w:val="center"/>
        <w:keepLines/>
        <w:keepNext/>
        <w:pageBreakBefore w:val="0"/>
        <w:spacing w:before="260" w:after="260" w:line="360" w:lineRule="auto"/>
        <w:widowControl w:val="off"/>
        <w:rPr>
          <w:rFonts w:hint="eastAsia" w:ascii="仿宋" w:hAnsi="仿宋" w:eastAsia="仿宋" w:cs="仿宋"/>
          <w:b/>
          <w:bCs/>
          <w:color w:val="000000" w:themeColor="text1"/>
          <w:sz w:val="24"/>
          <w:szCs w:val="32"/>
          <w:highlight w:val="none"/>
          <w:lang w:val="en-US" w:eastAsia="zh-CN" w:bidi="ar-SA"/>
          <w14:textFill>
            <w14:solidFill>
              <w14:schemeClr w14:val="tx1"/>
            </w14:solidFill>
          </w14:textFill>
        </w:rPr>
        <w:outlineLvl w:val="1"/>
      </w:pPr>
      <w:r/>
      <w:bookmarkStart w:id="35" w:name="_Toc17653"/>
      <w:r/>
      <w:bookmarkStart w:id="36" w:name="_Toc13394"/>
      <w:r/>
      <w:bookmarkStart w:id="37" w:name="_Toc26407"/>
      <w:r/>
      <w:bookmarkStart w:id="38" w:name="_Toc4006"/>
      <w:r/>
      <w:bookmarkStart w:id="39" w:name="_Toc32431"/>
      <w:r>
        <w:rPr>
          <w:rFonts w:hint="eastAsia" w:ascii="仿宋" w:hAnsi="仿宋" w:eastAsia="仿宋" w:cs="仿宋"/>
          <w:b/>
          <w:bCs/>
          <w:color w:val="000000"/>
          <w:sz w:val="24"/>
          <w:szCs w:val="24"/>
          <w:highlight w:val="none"/>
          <w:lang w:val="en-US" w:eastAsia="zh-CN" w:bidi="ar-SA"/>
        </w:rPr>
        <w:t xml:space="preserve">代理服务收费标准</w:t>
      </w:r>
      <w:r/>
    </w:p>
    <w:tbl>
      <w:tblPr>
        <w:tblStyle w:val="723"/>
        <w:tblW w:w="8600" w:type="dxa"/>
        <w:jc w:val="center"/>
        <w:tblCellSpacing w:w="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87"/>
        <w:gridCol w:w="2713"/>
      </w:tblGrid>
      <w:tr>
        <w:trPr>
          <w:jc w:val="center"/>
          <w:tblCellSpacing w:w="0" w:type="dxa"/>
          <w:trHeight w:val="470"/>
        </w:trPr>
        <w:tc>
          <w:tcPr>
            <w:shd w:val="clear" w:color="auto" w:fill="auto"/>
            <w:tcBorders>
              <w:top w:val="single" w:color="000000" w:sz="8" w:space="0"/>
              <w:left w:val="single" w:color="000000" w:sz="8" w:space="0"/>
              <w:bottom w:val="single" w:color="000000" w:sz="8" w:space="0"/>
              <w:right w:val="single" w:color="000000" w:sz="8" w:space="0"/>
            </w:tcBorders>
            <w:tcW w:w="5887"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中标或成交金额</w:t>
            </w:r>
            <w:r/>
          </w:p>
        </w:tc>
        <w:tc>
          <w:tcPr>
            <w:shd w:val="clear" w:color="auto" w:fill="auto"/>
            <w:tcBorders>
              <w:top w:val="single" w:color="000000" w:sz="8"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费率</w:t>
            </w:r>
            <w:r/>
          </w:p>
        </w:tc>
      </w:tr>
      <w:tr>
        <w:trPr>
          <w:jc w:val="center"/>
          <w:tblCellSpacing w:w="0" w:type="dxa"/>
          <w:trHeight w:val="489"/>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最低收费金额(每个委托项目)</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5000元</w:t>
            </w:r>
            <w:r/>
          </w:p>
        </w:tc>
      </w:tr>
      <w:tr>
        <w:trPr>
          <w:jc w:val="center"/>
          <w:tblCellSpacing w:w="0" w:type="dxa"/>
          <w:trHeight w:val="434"/>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50万元以下（含50万元）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1.60%</w:t>
            </w:r>
            <w:r/>
          </w:p>
        </w:tc>
      </w:tr>
      <w:tr>
        <w:trPr>
          <w:jc w:val="center"/>
          <w:tblCellSpacing w:w="0" w:type="dxa"/>
          <w:trHeight w:val="414"/>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50-400万元（含400万元）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1.50%</w:t>
            </w:r>
            <w:r/>
          </w:p>
        </w:tc>
      </w:tr>
      <w:tr>
        <w:trPr>
          <w:jc w:val="center"/>
          <w:tblCellSpacing w:w="0" w:type="dxa"/>
          <w:trHeight w:val="605"/>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400-1000万元（含1000万元）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1.10%</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1000-5000万元（含5000万元）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0.80%</w:t>
            </w:r>
            <w:r/>
          </w:p>
        </w:tc>
      </w:tr>
      <w:tr>
        <w:trPr>
          <w:jc w:val="center"/>
          <w:tblCellSpacing w:w="0" w:type="dxa"/>
          <w:trHeight w:val="486"/>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5000-1亿元（含1亿元）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0.25%</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1-10亿（含10亿元）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0.05%</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10-50亿元（含50亿元）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0.01%</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50亿元以上</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0.01%</w:t>
            </w:r>
            <w:r/>
          </w:p>
        </w:tc>
      </w:tr>
    </w:tbl>
    <w:p>
      <w:pPr>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说明：</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1.按上表计算的收费为代理服务全过程的收费金额。各社会代理机构不另外收取采购文件制作售卖费用。</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仿宋" w:hAnsi="仿宋" w:eastAsia="仿宋" w:cs="仿宋"/>
          <w:color w:val="000000"/>
          <w:sz w:val="22"/>
          <w:szCs w:val="22"/>
          <w:highlight w:val="none"/>
          <w:lang w:val="en-US" w:eastAsia="zh-CN" w:bidi="ar-SA"/>
        </w:rPr>
        <w:t xml:space="preserve">2.代理服务费按差额定率累进法计算。</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3.代理服务费基准金额（按差额定率累进法计算的）=中标金额（按差额定率累进法计算的）*费率（%）。</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4.代理服务费应收取金额=代理服务费基准金额（按差额定率累进法计算的）的合计数*50%。</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5.定点类等无金额或事先不能计算出价格总额的项目，按中标（成交）金额100万元计算服务费。</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仿宋" w:hAnsi="仿宋" w:eastAsia="仿宋" w:cs="仿宋"/>
          <w:color w:val="000000"/>
          <w:sz w:val="22"/>
          <w:szCs w:val="22"/>
          <w:highlight w:val="none"/>
          <w:lang w:val="en-US" w:eastAsia="zh-CN" w:bidi="ar-SA"/>
        </w:rPr>
        <w:t xml:space="preserve">6.有分包（分标段）的按一个项目计算。</w:t>
      </w:r>
      <w:r/>
    </w:p>
    <w:p>
      <w:pPr>
        <w:pStyle w:val="767"/>
        <w:pageBreakBefore w:val="0"/>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77"/>
        <w:jc w:val="center"/>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0"/>
      </w:pPr>
      <w:r/>
      <w:bookmarkStart w:id="40" w:name="_Toc18456"/>
      <w:r/>
      <w:bookmarkStart w:id="41" w:name="_Toc21922"/>
      <w:r/>
      <w:bookmarkStart w:id="42" w:name="_Toc27036"/>
      <w:r/>
      <w:bookmarkStart w:id="43" w:name="_Toc29401"/>
      <w:r/>
      <w:bookmarkStart w:id="44" w:name="_Toc28130"/>
      <w:r/>
      <w:bookmarkStart w:id="45" w:name="_Toc5546"/>
      <w:r>
        <w:rPr>
          <w:rFonts w:hint="eastAsia" w:ascii="仿宋" w:hAnsi="仿宋" w:eastAsia="仿宋" w:cs="仿宋"/>
          <w:color w:val="000000" w:themeColor="text1"/>
          <w:sz w:val="30"/>
          <w:szCs w:val="30"/>
          <w:highlight w:val="none"/>
          <w14:textFill>
            <w14:solidFill>
              <w14:schemeClr w14:val="tx1"/>
            </w14:solidFill>
          </w14:textFill>
        </w:rPr>
        <w:t xml:space="preserve">第三章 响应文件</w:t>
      </w:r>
      <w:bookmarkEnd w:id="35"/>
      <w:r/>
      <w:bookmarkEnd w:id="36"/>
      <w:r/>
      <w:bookmarkEnd w:id="37"/>
      <w:r/>
      <w:bookmarkEnd w:id="38"/>
      <w:r/>
      <w:bookmarkEnd w:id="39"/>
      <w:r/>
      <w:bookmarkEnd w:id="40"/>
      <w:r/>
      <w:bookmarkEnd w:id="41"/>
      <w:r/>
      <w:bookmarkEnd w:id="42"/>
      <w:r/>
      <w:bookmarkEnd w:id="43"/>
      <w:r/>
      <w:bookmarkEnd w:id="44"/>
      <w:r/>
      <w:bookmarkEnd w:id="45"/>
      <w:r/>
      <w:r/>
    </w:p>
    <w:p>
      <w:pPr>
        <w:pStyle w:val="764"/>
        <w:ind w:firstLine="48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 xml:space="preserve">一、提交响应文件要求</w:t>
      </w:r>
      <w:r>
        <w:rPr>
          <w:rFonts w:hint="eastAsia" w:ascii="仿宋" w:hAnsi="仿宋" w:eastAsia="仿宋" w:cs="仿宋"/>
          <w:b/>
          <w:color w:val="000000" w:themeColor="text1"/>
          <w:sz w:val="24"/>
          <w:highlight w:val="none"/>
          <w14:textFill>
            <w14:solidFill>
              <w14:schemeClr w14:val="tx1"/>
            </w14:solidFill>
          </w14:textFill>
        </w:rPr>
        <w:t xml:space="preserve">：</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（一）本项目通过“苏采云”系统进行电子采购，即供应商响应文件从政府采购客户端工具制作并通过“苏采云”系统提交。</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“CA数字证书”的获取：供应商需办理CA锁，“苏采云”系统目前仅支持“苏采云”系统下的</w:t>
      </w:r>
      <w:r>
        <w:rPr>
          <w:rFonts w:hint="eastAsia" w:ascii="仿宋" w:hAnsi="仿宋" w:eastAsia="仿宋" w:cs="仿宋"/>
          <w:b w:val="0"/>
          <w:bCs/>
          <w:color w:val="000000"/>
          <w:sz w:val="24"/>
          <w:highlight w:val="none"/>
          <w:lang w:val="en-US" w:eastAsia="zh-CN"/>
        </w:rPr>
        <w:t xml:space="preserve">政务</w:t>
      </w:r>
      <w:r>
        <w:rPr>
          <w:rFonts w:hint="eastAsia" w:ascii="仿宋" w:hAnsi="仿宋" w:eastAsia="仿宋" w:cs="仿宋"/>
          <w:b w:val="0"/>
          <w:bCs/>
          <w:color w:val="000000"/>
          <w:sz w:val="24"/>
          <w:highlight w:val="none"/>
        </w:rPr>
        <w:t xml:space="preserve">CA，省内各地区办理的“苏采云”系统下的</w:t>
      </w:r>
      <w:r>
        <w:rPr>
          <w:rFonts w:hint="eastAsia" w:ascii="仿宋" w:hAnsi="仿宋" w:eastAsia="仿宋" w:cs="仿宋"/>
          <w:b w:val="0"/>
          <w:bCs/>
          <w:color w:val="000000"/>
          <w:sz w:val="24"/>
          <w:highlight w:val="none"/>
          <w:lang w:val="en-US" w:eastAsia="zh-CN"/>
        </w:rPr>
        <w:t xml:space="preserve">政务</w:t>
      </w:r>
      <w:r>
        <w:rPr>
          <w:rFonts w:hint="eastAsia" w:ascii="仿宋" w:hAnsi="仿宋" w:eastAsia="仿宋" w:cs="仿宋"/>
          <w:b w:val="0"/>
          <w:bCs/>
          <w:color w:val="000000"/>
          <w:sz w:val="24"/>
          <w:highlight w:val="none"/>
        </w:rPr>
        <w:t xml:space="preserve">CA全省通用。“CA数字证书”的办理方法详见“徐州政府采购网-业务工作-快速服务-下载专区”《“苏采云”系统政务CA办理材料、操作手册及控件下载》。</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762"/>
        <w:ind w:firstLine="480"/>
        <w:spacing w:line="460" w:lineRule="exact"/>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rPr>
        <w:t xml:space="preserve">“苏采云”系统使用要求：</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1、使用谷歌浏览器参与不见面开标及磋商环节。</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2、电脑需提前准备好麦克风、音响，摄像头，提前检查保证能够正常使用。</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3、操作系统至少win7以上，建议使用win10操作系统。</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bCs w:val="0"/>
          <w:color w:val="000000"/>
          <w:sz w:val="24"/>
          <w:highlight w:val="none"/>
        </w:rPr>
        <w:t xml:space="preserve">（二）首次响应文件提交的截止时间：</w:t>
      </w:r>
      <w:r>
        <w:rPr>
          <w:rFonts w:hint="eastAsia" w:ascii="仿宋" w:hAnsi="仿宋" w:eastAsia="仿宋" w:cs="仿宋"/>
          <w:b/>
          <w:bCs w:val="0"/>
          <w:color w:val="000000"/>
          <w:sz w:val="24"/>
          <w:highlight w:val="none"/>
          <w:lang w:eastAsia="zh-CN"/>
        </w:rPr>
        <w:t xml:space="preserve">2026年</w:t>
      </w:r>
      <w:r>
        <w:rPr>
          <w:rFonts w:hint="eastAsia" w:ascii="仿宋" w:hAnsi="仿宋" w:eastAsia="仿宋" w:cs="仿宋"/>
          <w:b/>
          <w:bCs w:val="0"/>
          <w:color w:val="000000"/>
          <w:sz w:val="24"/>
          <w:highlight w:val="none"/>
          <w:lang w:val="en-US" w:eastAsia="zh-CN"/>
        </w:rPr>
        <w:t xml:space="preserve">4</w:t>
      </w:r>
      <w:r>
        <w:rPr>
          <w:rFonts w:hint="eastAsia" w:ascii="仿宋" w:hAnsi="仿宋" w:eastAsia="仿宋" w:cs="仿宋"/>
          <w:b/>
          <w:bCs w:val="0"/>
          <w:color w:val="000000"/>
          <w:sz w:val="24"/>
          <w:highlight w:val="none"/>
          <w:lang w:eastAsia="zh-CN"/>
        </w:rPr>
        <w:t xml:space="preserve">月</w:t>
      </w:r>
      <w:r>
        <w:rPr>
          <w:rFonts w:hint="eastAsia" w:ascii="仿宋" w:hAnsi="仿宋" w:eastAsia="仿宋" w:cs="仿宋"/>
          <w:b/>
          <w:bCs w:val="0"/>
          <w:color w:val="000000"/>
          <w:sz w:val="24"/>
          <w:highlight w:val="none"/>
          <w:lang w:val="en-US" w:eastAsia="zh-CN"/>
        </w:rPr>
        <w:t xml:space="preserve">29</w:t>
      </w:r>
      <w:r>
        <w:rPr>
          <w:rFonts w:hint="eastAsia" w:ascii="仿宋" w:hAnsi="仿宋" w:eastAsia="仿宋" w:cs="仿宋"/>
          <w:b/>
          <w:bCs w:val="0"/>
          <w:color w:val="000000"/>
          <w:sz w:val="24"/>
          <w:highlight w:val="none"/>
          <w:lang w:eastAsia="zh-CN"/>
        </w:rPr>
        <w:t xml:space="preserve">日09:30</w:t>
      </w:r>
      <w:r>
        <w:rPr>
          <w:rFonts w:hint="eastAsia" w:ascii="仿宋" w:hAnsi="仿宋" w:eastAsia="仿宋" w:cs="仿宋"/>
          <w:b/>
          <w:bCs w:val="0"/>
          <w:color w:val="000000"/>
          <w:sz w:val="24"/>
          <w:highlight w:val="none"/>
        </w:rPr>
        <w:t xml:space="preserve">，</w:t>
      </w:r>
      <w:r>
        <w:rPr>
          <w:rFonts w:hint="eastAsia" w:ascii="仿宋" w:hAnsi="仿宋" w:eastAsia="仿宋" w:cs="仿宋"/>
          <w:b w:val="0"/>
          <w:bCs/>
          <w:color w:val="000000"/>
          <w:sz w:val="24"/>
          <w:highlight w:val="none"/>
        </w:rPr>
        <w:t xml:space="preserve">在截止时间后提交的首次响应文件为无效文件，将被拒收。</w:t>
      </w:r>
      <w:r/>
    </w:p>
    <w:p>
      <w:pPr>
        <w:pStyle w:val="762"/>
        <w:ind w:firstLine="480"/>
        <w:spacing w:line="460" w:lineRule="exact"/>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rPr>
        <w:t xml:space="preserve">（三）首次响应文件提交时间、地点：</w:t>
      </w:r>
      <w:r>
        <w:rPr>
          <w:rFonts w:hint="eastAsia" w:ascii="仿宋" w:hAnsi="仿宋" w:eastAsia="仿宋" w:cs="仿宋"/>
          <w:b/>
          <w:bCs w:val="0"/>
          <w:color w:val="000000"/>
          <w:sz w:val="24"/>
          <w:highlight w:val="none"/>
          <w:lang w:val="en-US" w:eastAsia="zh-CN"/>
        </w:rPr>
        <w:t xml:space="preserve"> </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1、提交时间</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首次响应文件提交的截止时间</w:t>
      </w:r>
      <w:r>
        <w:rPr>
          <w:rFonts w:hint="eastAsia" w:ascii="仿宋" w:hAnsi="仿宋" w:eastAsia="仿宋" w:cs="仿宋"/>
          <w:b/>
          <w:bCs w:val="0"/>
          <w:color w:val="000000"/>
          <w:sz w:val="24"/>
          <w:highlight w:val="none"/>
        </w:rPr>
        <w:t xml:space="preserve">（</w:t>
      </w:r>
      <w:r>
        <w:rPr>
          <w:rFonts w:hint="eastAsia" w:ascii="仿宋" w:hAnsi="仿宋" w:eastAsia="仿宋" w:cs="仿宋"/>
          <w:b/>
          <w:bCs w:val="0"/>
          <w:color w:val="000000"/>
          <w:sz w:val="24"/>
          <w:highlight w:val="none"/>
          <w:lang w:eastAsia="zh-CN"/>
        </w:rPr>
        <w:t xml:space="preserve">2026年</w:t>
      </w:r>
      <w:r>
        <w:rPr>
          <w:rFonts w:hint="eastAsia" w:ascii="仿宋" w:hAnsi="仿宋" w:eastAsia="仿宋" w:cs="仿宋"/>
          <w:b/>
          <w:bCs w:val="0"/>
          <w:color w:val="000000"/>
          <w:sz w:val="24"/>
          <w:highlight w:val="none"/>
          <w:lang w:val="en-US" w:eastAsia="zh-CN"/>
        </w:rPr>
        <w:t xml:space="preserve">4</w:t>
      </w:r>
      <w:r>
        <w:rPr>
          <w:rFonts w:hint="eastAsia" w:ascii="仿宋" w:hAnsi="仿宋" w:eastAsia="仿宋" w:cs="仿宋"/>
          <w:b/>
          <w:bCs w:val="0"/>
          <w:color w:val="000000"/>
          <w:sz w:val="24"/>
          <w:highlight w:val="none"/>
          <w:lang w:eastAsia="zh-CN"/>
        </w:rPr>
        <w:t xml:space="preserve">月</w:t>
      </w:r>
      <w:r>
        <w:rPr>
          <w:rFonts w:hint="eastAsia" w:ascii="仿宋" w:hAnsi="仿宋" w:eastAsia="仿宋" w:cs="仿宋"/>
          <w:b/>
          <w:bCs w:val="0"/>
          <w:color w:val="000000"/>
          <w:sz w:val="24"/>
          <w:highlight w:val="none"/>
          <w:lang w:val="en-US" w:eastAsia="zh-CN"/>
        </w:rPr>
        <w:t xml:space="preserve">29</w:t>
      </w:r>
      <w:r>
        <w:rPr>
          <w:rFonts w:hint="eastAsia" w:ascii="仿宋" w:hAnsi="仿宋" w:eastAsia="仿宋" w:cs="仿宋"/>
          <w:b/>
          <w:bCs w:val="0"/>
          <w:color w:val="000000"/>
          <w:sz w:val="24"/>
          <w:highlight w:val="none"/>
          <w:lang w:eastAsia="zh-CN"/>
        </w:rPr>
        <w:t xml:space="preserve">日09:30</w:t>
      </w:r>
      <w:r>
        <w:rPr>
          <w:rFonts w:hint="eastAsia" w:ascii="仿宋" w:hAnsi="仿宋" w:eastAsia="仿宋" w:cs="仿宋"/>
          <w:b/>
          <w:bCs w:val="0"/>
          <w:color w:val="000000"/>
          <w:sz w:val="24"/>
          <w:highlight w:val="none"/>
        </w:rPr>
        <w:t xml:space="preserve">）前。</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2、提交地点：</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“苏采云”系统（网址：http://jszfcg.jsczt.cn/）“开标大厅”或进入徐州政府采购网（网址：http://czj.xz.gov.cn/Home/HomeIndex）-业务工作-用户登录，点击“苏采云”进入系统“开标大厅”。 </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bCs w:val="0"/>
          <w:color w:val="000000"/>
          <w:sz w:val="24"/>
          <w:highlight w:val="none"/>
        </w:rPr>
        <w:t xml:space="preserve">（四）首次响应文件开启时间：</w:t>
      </w:r>
      <w:r>
        <w:rPr>
          <w:rFonts w:hint="eastAsia" w:ascii="仿宋" w:hAnsi="仿宋" w:eastAsia="仿宋" w:cs="仿宋"/>
          <w:b/>
          <w:bCs w:val="0"/>
          <w:color w:val="000000"/>
          <w:sz w:val="24"/>
          <w:highlight w:val="none"/>
          <w:lang w:eastAsia="zh-CN"/>
        </w:rPr>
        <w:t xml:space="preserve">2026年</w:t>
      </w:r>
      <w:r>
        <w:rPr>
          <w:rFonts w:hint="eastAsia" w:ascii="仿宋" w:hAnsi="仿宋" w:eastAsia="仿宋" w:cs="仿宋"/>
          <w:b/>
          <w:bCs w:val="0"/>
          <w:color w:val="000000"/>
          <w:sz w:val="24"/>
          <w:highlight w:val="none"/>
          <w:lang w:val="en-US" w:eastAsia="zh-CN"/>
        </w:rPr>
        <w:t xml:space="preserve">4</w:t>
      </w:r>
      <w:r>
        <w:rPr>
          <w:rFonts w:hint="eastAsia" w:ascii="仿宋" w:hAnsi="仿宋" w:eastAsia="仿宋" w:cs="仿宋"/>
          <w:b/>
          <w:bCs w:val="0"/>
          <w:color w:val="000000"/>
          <w:sz w:val="24"/>
          <w:highlight w:val="none"/>
          <w:lang w:eastAsia="zh-CN"/>
        </w:rPr>
        <w:t xml:space="preserve">月</w:t>
      </w:r>
      <w:r>
        <w:rPr>
          <w:rFonts w:hint="eastAsia" w:ascii="仿宋" w:hAnsi="仿宋" w:eastAsia="仿宋" w:cs="仿宋"/>
          <w:b/>
          <w:bCs w:val="0"/>
          <w:color w:val="000000"/>
          <w:sz w:val="24"/>
          <w:highlight w:val="none"/>
          <w:lang w:val="en-US" w:eastAsia="zh-CN"/>
        </w:rPr>
        <w:t xml:space="preserve">29</w:t>
      </w:r>
      <w:r>
        <w:rPr>
          <w:rFonts w:hint="eastAsia" w:ascii="仿宋" w:hAnsi="仿宋" w:eastAsia="仿宋" w:cs="仿宋"/>
          <w:b/>
          <w:bCs w:val="0"/>
          <w:color w:val="000000"/>
          <w:sz w:val="24"/>
          <w:highlight w:val="none"/>
          <w:lang w:eastAsia="zh-CN"/>
        </w:rPr>
        <w:t xml:space="preserve">日09:30</w:t>
      </w:r>
      <w:r>
        <w:rPr>
          <w:rFonts w:hint="eastAsia" w:ascii="仿宋" w:hAnsi="仿宋" w:eastAsia="仿宋" w:cs="仿宋"/>
          <w:b/>
          <w:bCs w:val="0"/>
          <w:color w:val="000000"/>
          <w:sz w:val="24"/>
          <w:highlight w:val="none"/>
        </w:rPr>
        <w:t xml:space="preserve">。</w:t>
      </w:r>
      <w:r/>
    </w:p>
    <w:p>
      <w:pPr>
        <w:pStyle w:val="762"/>
        <w:ind w:firstLine="480"/>
        <w:spacing w:line="460" w:lineRule="exact"/>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rPr>
        <w:t xml:space="preserve">（五）首次响应文件开启地点：</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“苏采云”系统（网址：http://jszfcg.jsczt.cn/）“开标大厅”或进入徐州政府采购网（网址：http://czj.xz.gov.cn/Home/HomeIndex）-业务工作-用户登录，点击“苏采云”进入系统“开标大厅”。</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（七）不接受不按要求加盖公章（电子签章）的首次响应文件。电子签章相关要求见“苏采云”系统。</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（八）首次响应文件解密：到达开启时间，“苏采云”系统自动提取所有响应文件，供应商按采购文件规定方式按时在线解密。本项目采购文件规定的供应商按时在线解密方式：</w:t>
      </w:r>
      <w:r>
        <w:rPr>
          <w:rFonts w:hint="eastAsia" w:ascii="仿宋" w:hAnsi="仿宋" w:eastAsia="仿宋" w:cs="仿宋"/>
          <w:b/>
          <w:bCs w:val="0"/>
          <w:color w:val="000000"/>
          <w:sz w:val="24"/>
          <w:highlight w:val="none"/>
        </w:rPr>
        <w:t xml:space="preserve">开启时间后30分钟内，</w:t>
      </w:r>
      <w:r>
        <w:rPr>
          <w:rFonts w:hint="eastAsia" w:ascii="仿宋" w:hAnsi="仿宋" w:eastAsia="仿宋" w:cs="仿宋"/>
          <w:b w:val="0"/>
          <w:bCs/>
          <w:color w:val="000000"/>
          <w:sz w:val="24"/>
          <w:highlight w:val="none"/>
        </w:rPr>
        <w:t xml:space="preserve">通过“苏采云”系统（使用“CA数字证书”）解密。</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（九）采购文件（后缀名为“.kedt”）、供应商操作手册及政府采购客户端工具可通过“苏采云”系统（网址：</w:t>
      </w:r>
      <w:r>
        <w:rPr>
          <w:rFonts w:hint="eastAsia" w:ascii="仿宋" w:hAnsi="仿宋" w:eastAsia="仿宋" w:cs="仿宋"/>
          <w:b w:val="0"/>
          <w:bCs/>
          <w:color w:val="000000"/>
          <w:sz w:val="24"/>
          <w:highlight w:val="none"/>
        </w:rPr>
        <w:fldChar w:fldCharType="begin"/>
      </w:r>
      <w:r>
        <w:rPr>
          <w:rFonts w:hint="eastAsia" w:ascii="仿宋" w:hAnsi="仿宋" w:eastAsia="仿宋" w:cs="仿宋"/>
          <w:b w:val="0"/>
          <w:bCs/>
          <w:color w:val="000000"/>
          <w:sz w:val="24"/>
          <w:highlight w:val="none"/>
        </w:rPr>
        <w:instrText xml:space="preserve"> HYPERLINK "http://jszfcg.jsczt.cn/" \o "http://jszfcg.jsczt.cn/" </w:instrText>
      </w:r>
      <w:r>
        <w:rPr>
          <w:rFonts w:hint="eastAsia" w:ascii="仿宋" w:hAnsi="仿宋" w:eastAsia="仿宋" w:cs="仿宋"/>
          <w:b w:val="0"/>
          <w:bCs/>
          <w:color w:val="000000"/>
          <w:sz w:val="24"/>
          <w:highlight w:val="none"/>
        </w:rPr>
        <w:fldChar w:fldCharType="separate"/>
      </w:r>
      <w:r>
        <w:rPr>
          <w:rFonts w:hint="eastAsia" w:ascii="仿宋" w:hAnsi="仿宋" w:eastAsia="仿宋" w:cs="仿宋"/>
          <w:b w:val="0"/>
          <w:bCs/>
          <w:color w:val="000000"/>
          <w:sz w:val="24"/>
          <w:highlight w:val="none"/>
        </w:rPr>
        <w:t xml:space="preserve">http://jszfcg.jsczt.cn/</w:t>
      </w:r>
      <w:r>
        <w:rPr>
          <w:rFonts w:hint="eastAsia" w:ascii="仿宋" w:hAnsi="仿宋" w:eastAsia="仿宋" w:cs="仿宋"/>
          <w:b w:val="0"/>
          <w:bCs/>
          <w:color w:val="000000"/>
          <w:sz w:val="24"/>
          <w:highlight w:val="none"/>
        </w:rPr>
        <w:fldChar w:fldCharType="end"/>
      </w:r>
      <w:r>
        <w:rPr>
          <w:rFonts w:hint="eastAsia" w:ascii="仿宋" w:hAnsi="仿宋" w:eastAsia="仿宋" w:cs="仿宋"/>
          <w:b w:val="0"/>
          <w:bCs/>
          <w:color w:val="000000"/>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（十）相关说明: 供应商在“苏采云”系统中提交首次响应文件的时间即为数据电文（响应文件，下同）的发送时间和接收时间。</w:t>
      </w:r>
      <w:r/>
    </w:p>
    <w:p>
      <w:pPr>
        <w:pStyle w:val="763"/>
        <w:rPr>
          <w:rFonts w:hint="eastAsia"/>
        </w:rPr>
      </w:pPr>
      <w:r>
        <w:rPr>
          <w:rFonts w:hint="eastAsia"/>
        </w:rPr>
      </w:r>
      <w:r/>
    </w:p>
    <w:p>
      <w:pPr>
        <w:pStyle w:val="764"/>
        <w:ind w:firstLine="482"/>
        <w:pageBreakBefore w:val="0"/>
        <w:spacing w:line="360" w:lineRule="auto"/>
        <w:rPr>
          <w:rFonts w:hint="eastAsia" w:ascii="仿宋" w:hAnsi="仿宋" w:eastAsia="仿宋" w:cs="仿宋"/>
          <w:color w:val="000000" w:themeColor="text1"/>
          <w:sz w:val="24"/>
          <w:highlight w:val="yellow"/>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 xml:space="preserve">二、响应文件编制要求</w:t>
      </w:r>
      <w:r>
        <w:rPr>
          <w:rFonts w:hint="eastAsia" w:ascii="仿宋" w:hAnsi="仿宋" w:eastAsia="仿宋" w:cs="仿宋"/>
          <w:b/>
          <w:color w:val="000000" w:themeColor="text1"/>
          <w:sz w:val="24"/>
          <w:highlight w:val="none"/>
          <w14:textFill>
            <w14:solidFill>
              <w14:schemeClr w14:val="tx1"/>
            </w14:solidFill>
          </w14:textFill>
        </w:rPr>
        <w:t xml:space="preserve">：</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请按照以下要求（包括但不限于以下要求）制作：</w:t>
      </w:r>
      <w:r/>
    </w:p>
    <w:p>
      <w:pPr>
        <w:numPr>
          <w:ilvl w:val="0"/>
          <w:numId w:val="1"/>
        </w:numPr>
        <w:ind w:firstLine="482"/>
        <w:keepLines w:val="0"/>
        <w:keepNext w:val="0"/>
        <w:pageBreakBefore w:val="0"/>
        <w:spacing w:after="0" w:line="360" w:lineRule="auto"/>
        <w:widowControl/>
        <w:rPr>
          <w:rFonts w:hint="eastAsia" w:ascii="仿宋" w:hAnsi="仿宋" w:eastAsia="仿宋" w:cs="仿宋"/>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基本目录</w:t>
      </w:r>
      <w:r/>
    </w:p>
    <w:p>
      <w:pPr>
        <w:pStyle w:val="715"/>
        <w:numPr>
          <w:ilvl w:val="0"/>
          <w:numId w:val="2"/>
        </w:numPr>
        <w:ind w:firstLine="480"/>
        <w:keepLines/>
        <w:keepNext/>
        <w:pageBreakBefore w:val="0"/>
        <w:spacing w:before="0" w:after="0" w:line="360" w:lineRule="auto"/>
        <w:widowControl/>
        <w:rPr>
          <w:rFonts w:hint="eastAsia" w:ascii="仿宋" w:hAnsi="仿宋" w:eastAsia="仿宋" w:cs="仿宋"/>
          <w:b w:val="0"/>
          <w:bCs/>
          <w:color w:val="000000" w:themeColor="text1"/>
          <w:sz w:val="24"/>
          <w:szCs w:val="20"/>
          <w:highlight w:val="none"/>
          <w:lang w:val="en-US" w:eastAsia="zh-CN" w:bidi="ar-SA"/>
          <w14:textFill>
            <w14:solidFill>
              <w14:schemeClr w14:val="tx1"/>
            </w14:solidFill>
          </w14:textFill>
        </w:rPr>
        <w:outlineLvl w:val="3"/>
      </w:pPr>
      <w:r>
        <w:rPr>
          <w:rFonts w:hint="eastAsia" w:ascii="仿宋" w:hAnsi="仿宋" w:eastAsia="仿宋" w:cs="仿宋"/>
          <w:b w:val="0"/>
          <w:bCs/>
          <w:color w:val="000000" w:themeColor="text1"/>
          <w:sz w:val="24"/>
          <w:szCs w:val="20"/>
          <w:highlight w:val="none"/>
          <w:lang w:val="en-US" w:eastAsia="zh-CN" w:bidi="ar-SA"/>
          <w14:textFill>
            <w14:solidFill>
              <w14:schemeClr w14:val="tx1"/>
            </w14:solidFill>
          </w14:textFill>
        </w:rPr>
        <w:t xml:space="preserve">《目录》（格式自拟，加盖电子签章）；</w:t>
      </w:r>
      <w:r/>
    </w:p>
    <w:p>
      <w:pPr>
        <w:pStyle w:val="715"/>
        <w:numPr>
          <w:ilvl w:val="0"/>
          <w:numId w:val="0"/>
        </w:numPr>
        <w:ind w:firstLine="480"/>
        <w:keepLines/>
        <w:keepNext/>
        <w:pageBreakBefore w:val="0"/>
        <w:spacing w:before="0" w:after="0" w:line="360" w:lineRule="auto"/>
        <w:widowControl/>
        <w:rPr>
          <w:rFonts w:hint="eastAsia" w:ascii="仿宋" w:hAnsi="仿宋" w:eastAsia="仿宋" w:cs="仿宋"/>
          <w:b w:val="0"/>
          <w:bCs/>
          <w:color w:val="000000" w:themeColor="text1"/>
          <w:sz w:val="24"/>
          <w:szCs w:val="20"/>
          <w:highlight w:val="none"/>
          <w:lang w:val="en-US" w:eastAsia="zh-CN" w:bidi="ar-SA"/>
          <w14:textFill>
            <w14:solidFill>
              <w14:schemeClr w14:val="tx1"/>
            </w14:solidFill>
          </w14:textFill>
        </w:rPr>
        <w:outlineLvl w:val="3"/>
      </w:pPr>
      <w:r>
        <w:rPr>
          <w:rFonts w:hint="eastAsia" w:ascii="仿宋" w:hAnsi="仿宋" w:eastAsia="仿宋" w:cs="仿宋"/>
          <w:b w:val="0"/>
          <w:bCs/>
          <w:color w:val="000000" w:themeColor="text1"/>
          <w:sz w:val="24"/>
          <w:szCs w:val="20"/>
          <w:highlight w:val="none"/>
          <w:lang w:val="en-US" w:eastAsia="zh-CN" w:bidi="ar-SA"/>
          <w14:textFill>
            <w14:solidFill>
              <w14:schemeClr w14:val="tx1"/>
            </w14:solidFill>
          </w14:textFill>
        </w:rPr>
        <w:t xml:space="preserve">2.《磋商报价表》（加盖电子签章，</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政府采购客户端工具输入报价自动生成）；</w:t>
      </w:r>
      <w:r/>
    </w:p>
    <w:p>
      <w:pPr>
        <w:ind w:firstLine="482"/>
        <w:keepLines w:val="0"/>
        <w:keepNext w:val="0"/>
        <w:pageBreakBefore w:val="0"/>
        <w:spacing w:after="0" w:line="360" w:lineRule="auto"/>
        <w:widowControl/>
        <w:rPr>
          <w:rFonts w:hint="eastAsia" w:ascii="仿宋" w:hAnsi="仿宋" w:eastAsia="仿宋" w:cs="仿宋"/>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二</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）资格条件（必须提供，否则响应无效）</w:t>
      </w:r>
      <w:r/>
    </w:p>
    <w:p>
      <w:pPr>
        <w:ind w:right="26" w:firstLine="480"/>
        <w:keepLines w:val="0"/>
        <w:keepNext w:val="0"/>
        <w:pageBreakBefore w:val="0"/>
        <w:spacing w:after="0"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highlight w:val="none"/>
          <w:lang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具有独立承担民事责任的能力，提供投标人合法有效的法人的营业执照(或事业单位法人证书)或其他组织应提供合法证明文件的原件扫描件(加盖电子签章)</w:t>
      </w:r>
      <w:r>
        <w:rPr>
          <w:rFonts w:hint="eastAsia" w:ascii="仿宋" w:hAnsi="仿宋" w:eastAsia="仿宋" w:cs="仿宋"/>
          <w:b w:val="0"/>
          <w:bCs/>
          <w:color w:val="000000" w:themeColor="text1"/>
          <w:sz w:val="24"/>
          <w:szCs w:val="24"/>
          <w:highlight w:val="none"/>
          <w:lang w:eastAsia="zh-CN"/>
          <w14:textFill>
            <w14:solidFill>
              <w14:schemeClr w14:val="tx1"/>
            </w14:solidFill>
          </w14:textFill>
        </w:rPr>
        <w:t xml:space="preserve">；</w:t>
      </w:r>
      <w:r/>
    </w:p>
    <w:p>
      <w:pPr>
        <w:ind w:right="26" w:firstLine="480"/>
        <w:keepLines w:val="0"/>
        <w:keepNext w:val="0"/>
        <w:pageBreakBefore w:val="0"/>
        <w:spacing w:after="0" w:line="360" w:lineRule="auto"/>
        <w:rPr>
          <w:rFonts w:hint="eastAsia" w:ascii="仿宋" w:hAnsi="仿宋" w:eastAsia="仿宋" w:cs="仿宋"/>
          <w:b w:val="0"/>
          <w:bCs w:val="0"/>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highlight w:val="none"/>
          <w:lang w:val="en-US" w:eastAsia="zh-CN"/>
        </w:rPr>
        <w:t xml:space="preserve">2.</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财务状况报告；至少提供：即提供投标人的本项目开标时间前6个月内任何1月（不含开标当月）资产负债表原件的扫描件1份；投标人的本项目开标时间前6个月内任何1月（不含开标当月）利润表月报表原件的扫描件1份或提供投标人上年度财务报告原件的扫描件或供应商的本项目开标时间前6个月内银行出具的资信证明原件的扫描件(加盖电子签章)</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w:t>
      </w:r>
      <w:r/>
    </w:p>
    <w:p>
      <w:pPr>
        <w:pStyle w:val="749"/>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b w:val="0"/>
          <w:bCs w:val="0"/>
          <w:color w:val="000000" w:themeColor="text1"/>
          <w:sz w:val="24"/>
          <w:szCs w:val="24"/>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投标人在本项目开标时间前6个月内任何1月（不含开标当月）的依法缴纳税收和社会保障资金的相关材料扫描件；依法免税或不需要缴纳社会保障资金的投标人应提供相应其依法免税或不需要缴纳社会保障资金的证明文件扫描件(加盖电子签章)；</w:t>
      </w:r>
      <w:r/>
    </w:p>
    <w:p>
      <w:pPr>
        <w:ind w:right="26" w:firstLine="480"/>
        <w:keepLines w:val="0"/>
        <w:keepNext w:val="0"/>
        <w:pageBreakBefore w:val="0"/>
        <w:spacing w:after="0" w:line="360" w:lineRule="auto"/>
        <w:rPr>
          <w:rFonts w:hint="eastAsia" w:ascii="仿宋" w:hAnsi="仿宋" w:eastAsia="仿宋" w:cs="仿宋"/>
          <w:b w:val="0"/>
          <w:bCs w:val="0"/>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具备履行合同所必需的设备和专业技术能力的证明材料提供具备履行合同所必需的设备和专业技术能力的书面声明（加盖电子签章，格式见《磋商文件》附件）；</w:t>
      </w:r>
      <w:r/>
    </w:p>
    <w:p>
      <w:pPr>
        <w:ind w:right="26" w:firstLine="480"/>
        <w:keepLines w:val="0"/>
        <w:keepNext w:val="0"/>
        <w:pageBreakBefore w:val="0"/>
        <w:spacing w:after="0" w:line="360" w:lineRule="auto"/>
        <w:rPr>
          <w:rFonts w:hint="eastAsia" w:ascii="仿宋" w:hAnsi="仿宋" w:eastAsia="仿宋" w:cs="仿宋"/>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投标人参加政府采购活动前3年内在经营活动中没有重大违法记录的书面声明（加盖电子签章，格式见《磋商文件》附件）</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w:t>
      </w:r>
      <w:r/>
    </w:p>
    <w:p>
      <w:pPr>
        <w:pStyle w:val="764"/>
        <w:ind w:right="-334" w:firstLine="480"/>
        <w:keepLines w:val="0"/>
        <w:keepNext w:val="0"/>
        <w:pageBreakBefore w:val="0"/>
        <w:spacing w:line="360" w:lineRule="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6.</w:t>
      </w: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供应商为中小微企业（含中型、小型、微型企业，下同）的，提供《中小企业声明函》原件（加盖电子签章，填写完整，必须提供，格式见《磋商文件》附件）。《中小企业声明函》查询渠道参考工业和信息化部发布的中小企业规模自测小程序。</w:t>
      </w:r>
      <w:r/>
    </w:p>
    <w:p>
      <w:pPr>
        <w:pStyle w:val="764"/>
        <w:ind w:right="-334" w:firstLine="480"/>
        <w:keepLines w:val="0"/>
        <w:keepNext w:val="0"/>
        <w:pageBreakBefore w:val="0"/>
        <w:spacing w:line="360" w:lineRule="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注：中小微企业，应当同时符合以下条件：</w:t>
      </w:r>
      <w:r/>
    </w:p>
    <w:p>
      <w:pPr>
        <w:pStyle w:val="764"/>
        <w:ind w:right="-334" w:firstLine="480"/>
        <w:keepLines w:val="0"/>
        <w:keepNext w:val="0"/>
        <w:pageBreakBefore w:val="0"/>
        <w:spacing w:line="360" w:lineRule="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764"/>
        <w:ind w:right="-334" w:firstLine="480"/>
        <w:keepLines w:val="0"/>
        <w:keepNext w:val="0"/>
        <w:pageBreakBefore w:val="0"/>
        <w:spacing w:line="360" w:lineRule="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供应商为残疾人福利性单位的，视同小微企业，提供《残疾人福利性单位声明函》（电子签章，格式见附件》）。具体以《关于促进残疾人就业政府采购政策的通知》（财库〔2017〕141号）的规定为准。</w:t>
      </w:r>
      <w:r/>
    </w:p>
    <w:p>
      <w:pPr>
        <w:pStyle w:val="764"/>
        <w:ind w:right="-334" w:firstLine="480"/>
        <w:keepLines w:val="0"/>
        <w:keepNext w:val="0"/>
        <w:pageBreakBefore w:val="0"/>
        <w:spacing w:line="360" w:lineRule="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774"/>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outlineLvl w:val="3"/>
      </w:pP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t xml:space="preserve">7.</w:t>
      </w:r>
      <w:r>
        <w:rPr>
          <w:rFonts w:hint="eastAsia" w:ascii="仿宋" w:hAnsi="仿宋" w:eastAsia="仿宋" w:cs="仿宋"/>
          <w:color w:val="000000" w:themeColor="text1"/>
          <w:sz w:val="24"/>
          <w:highlight w:val="none"/>
          <w14:textFill>
            <w14:solidFill>
              <w14:schemeClr w14:val="tx1"/>
            </w14:solidFill>
          </w14:textFill>
        </w:rPr>
        <w:t xml:space="preserve">本项目的特定资格要求：</w:t>
      </w:r>
      <w:r/>
    </w:p>
    <w:p>
      <w:pPr>
        <w:ind w:firstLine="480"/>
        <w:pageBreakBefore w:val="0"/>
        <w:spacing w:after="0" w:line="360" w:lineRule="auto"/>
        <w:rPr>
          <w:rFonts w:hint="eastAsia" w:ascii="仿宋" w:hAnsi="仿宋" w:eastAsia="仿宋" w:cs="仿宋"/>
          <w:bCs/>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Cs/>
          <w:color w:val="000000" w:themeColor="text1"/>
          <w:sz w:val="24"/>
          <w:szCs w:val="24"/>
          <w:highlight w:val="none"/>
          <w:lang w:val="en-US" w:eastAsia="zh-CN" w:bidi="ar-SA"/>
          <w14:textFill>
            <w14:solidFill>
              <w14:schemeClr w14:val="tx1"/>
            </w14:solidFill>
          </w14:textFill>
        </w:rPr>
        <w:t xml:space="preserve">（1）、拟派项目经理：供应商拟派项目经理须具备园林绿化类专业中级（含）以上职称（如职称证书无法证明园林类相关专业的，以职称评定表或学历毕业证书为准（园林相关专业），同时提供相关证明为本单位正式员工。相关材料扫描上传并加盖电子签章）。</w:t>
      </w:r>
      <w:r/>
    </w:p>
    <w:p>
      <w:pPr>
        <w:pageBreakBefore w:val="0"/>
        <w:spacing w:after="0"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三</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）符合条件（必须提供，否则响应无效）</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1.《承诺书》（加盖电子签章，格式见《磋商文件》附件）；</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2.《磋商报价表》（加盖电子签章，格式见《磋商文件》附件）；</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3.《分项价格表》（加盖电子签章，格式见《磋商文件》附件）；</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4.《授权委托书》（加盖电子签章，格式见《磋商文件》附件）；</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5.《偏离表》（加盖电子签章，格式见《磋商文件》附件）；</w:t>
      </w:r>
      <w:r/>
    </w:p>
    <w:p>
      <w:pPr>
        <w:ind w:firstLine="480"/>
        <w:pageBreakBefore w:val="0"/>
        <w:spacing w:after="0"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四</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）综合评审评分项</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3"/>
      </w:pPr>
      <w:r>
        <w:rPr>
          <w:rFonts w:hint="eastAsia" w:ascii="仿宋" w:hAnsi="仿宋" w:eastAsia="仿宋" w:cs="仿宋"/>
          <w:color w:val="auto"/>
          <w:sz w:val="24"/>
          <w:szCs w:val="24"/>
          <w:highlight w:val="none"/>
          <w:lang w:eastAsia="zh-CN"/>
        </w:rPr>
        <w:t xml:space="preserve">1.技术部分</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4"/>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《总体施工方案》（</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工期横道图》（</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施工进度计划及保证措施》（</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4"/>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lang w:val="en-US" w:eastAsia="zh-CN"/>
        </w:rPr>
        <w:t xml:space="preserve">施工质量保证措施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lang w:val="en-US" w:eastAsia="zh-CN" w:bidi="ar-SA"/>
        </w:rPr>
        <w:t xml:space="preserve">项目管理班子人员配备、素质及管理经验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（6）《</w:t>
      </w:r>
      <w:r>
        <w:rPr>
          <w:rFonts w:hint="eastAsia" w:ascii="仿宋" w:hAnsi="仿宋" w:eastAsia="仿宋" w:cs="仿宋"/>
          <w:color w:val="auto"/>
          <w:sz w:val="24"/>
          <w:szCs w:val="24"/>
          <w:highlight w:val="none"/>
          <w:lang w:val="en-US" w:eastAsia="zh-CN" w:bidi="ar-SA"/>
        </w:rPr>
        <w:t xml:space="preserve">关键施工技术、工艺及工程项目实施的重点、难点和解决方案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（7）《</w:t>
      </w:r>
      <w:r>
        <w:rPr>
          <w:rFonts w:hint="eastAsia" w:ascii="仿宋" w:hAnsi="仿宋" w:eastAsia="仿宋" w:cs="仿宋"/>
          <w:color w:val="auto"/>
          <w:sz w:val="24"/>
          <w:szCs w:val="24"/>
          <w:highlight w:val="none"/>
          <w:lang w:val="en-US" w:eastAsia="zh-CN" w:bidi="ar-SA"/>
        </w:rPr>
        <w:t xml:space="preserve">安全文明施工方案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bidi="ar-SA"/>
        </w:rPr>
        <w:t xml:space="preserve">后期维保方案及措施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after="0" w:line="360"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3"/>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.商务部分</w:t>
      </w:r>
      <w:r/>
    </w:p>
    <w:p>
      <w:pPr>
        <w:pStyle w:val="1005"/>
        <w:ind w:firstLine="480"/>
        <w:jc w:val="both"/>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类似</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业绩》</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要求见本文</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附件</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《评分细则》</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pStyle w:val="1005"/>
        <w:ind w:firstLine="480"/>
        <w:jc w:val="both"/>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综合实力</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要求见本文</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附件</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《评分细则》</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ind w:firstLine="241"/>
        <w:pageBreakBefore w:val="0"/>
        <w:spacing w:after="0" w:line="360" w:lineRule="auto"/>
        <w:rPr>
          <w:rFonts w:hint="eastAsia" w:ascii="仿宋" w:hAnsi="仿宋" w:eastAsia="仿宋" w:cs="仿宋"/>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五</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）价格折扣文件格式：</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无</w:t>
      </w:r>
      <w:r/>
    </w:p>
    <w:p>
      <w:pPr>
        <w:ind w:firstLine="241"/>
        <w:pageBreakBefore w:val="0"/>
        <w:spacing w:after="0" w:line="360"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（六）提交的首次电子响应文件的密封、签署、盖章要求：</w:t>
      </w:r>
      <w:r/>
    </w:p>
    <w:p>
      <w:pPr>
        <w:pStyle w:val="1005"/>
        <w:ind w:firstLine="480"/>
        <w:jc w:val="both"/>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1、密封（加密）要求：</w:t>
      </w:r>
      <w:r/>
    </w:p>
    <w:p>
      <w:pPr>
        <w:pStyle w:val="1005"/>
        <w:ind w:firstLine="480"/>
        <w:jc w:val="both"/>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05"/>
        <w:ind w:firstLine="480"/>
        <w:jc w:val="both"/>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、签署要求：见《磋商文件》第九章附件中相关格式要求。</w:t>
      </w:r>
      <w:r/>
    </w:p>
    <w:p>
      <w:pPr>
        <w:pStyle w:val="1005"/>
        <w:ind w:firstLine="480"/>
        <w:jc w:val="both"/>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盖章要求：见《磋商文件》第九章附件中相关格式要求。供应商须通过“苏采云”系统提供的政府采购客户端工具（使用“CA数字证书”）加盖电子签章。</w:t>
      </w:r>
      <w:r/>
    </w:p>
    <w:p>
      <w:pPr>
        <w:pStyle w:val="1005"/>
        <w:ind w:firstLine="480"/>
        <w:jc w:val="both"/>
        <w:pageBreakBefore w:val="0"/>
        <w:spacing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（特别提醒：竞争性磋商文件中如需“被授权代表签字或盖章”，供应商可打印成文档，签字或盖章后再扫描上传，最后再电子签章）。</w:t>
      </w:r>
      <w:r/>
    </w:p>
    <w:p>
      <w:pPr>
        <w:ind w:firstLine="241"/>
        <w:pageBreakBefore w:val="0"/>
        <w:spacing w:after="0"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七</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）通过“苏采云”系统提交政府采购客户端工具导出加密的响应文件（后缀名为zip）。响应文件不得超过</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150</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M！</w:t>
      </w:r>
      <w:r/>
    </w:p>
    <w:p>
      <w:pPr>
        <w:pStyle w:val="777"/>
        <w:jc w:val="center"/>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0"/>
      </w:pPr>
      <w:r/>
      <w:bookmarkStart w:id="46" w:name="_Toc1742"/>
      <w:r/>
      <w:bookmarkStart w:id="47" w:name="_Toc25964"/>
      <w:r/>
      <w:bookmarkStart w:id="48" w:name="_Toc4298"/>
      <w:r/>
      <w:bookmarkStart w:id="49" w:name="_Toc17282"/>
      <w:r/>
      <w:bookmarkStart w:id="50" w:name="_Toc575"/>
      <w:r/>
      <w:bookmarkStart w:id="51" w:name="_Toc4286"/>
      <w:r/>
      <w:bookmarkStart w:id="52" w:name="_Toc13331"/>
      <w:r/>
      <w:bookmarkStart w:id="53" w:name="_Toc3749"/>
      <w:r/>
      <w:bookmarkStart w:id="54" w:name="_Toc9739"/>
      <w:r/>
      <w:bookmarkStart w:id="55" w:name="_Toc20389"/>
      <w:r/>
      <w:bookmarkStart w:id="56" w:name="_Toc25734"/>
      <w:r>
        <w:rPr>
          <w:rFonts w:hint="eastAsia" w:ascii="仿宋" w:hAnsi="仿宋" w:eastAsia="仿宋" w:cs="仿宋"/>
          <w:color w:val="000000" w:themeColor="text1"/>
          <w:sz w:val="30"/>
          <w:szCs w:val="30"/>
          <w:highlight w:val="none"/>
          <w14:textFill>
            <w14:solidFill>
              <w14:schemeClr w14:val="tx1"/>
            </w14:solidFill>
          </w14:textFill>
        </w:rPr>
        <w:t xml:space="preserve">第四章 磋商相关说明</w:t>
      </w:r>
      <w:bookmarkEnd w:id="46"/>
      <w:r/>
      <w:bookmarkEnd w:id="47"/>
      <w:r/>
      <w:bookmarkEnd w:id="48"/>
      <w:r/>
      <w:bookmarkEnd w:id="49"/>
      <w:r/>
      <w:bookmarkEnd w:id="50"/>
      <w:r/>
      <w:bookmarkEnd w:id="51"/>
      <w:r/>
      <w:bookmarkEnd w:id="52"/>
      <w:r/>
      <w:bookmarkEnd w:id="53"/>
      <w:r/>
      <w:bookmarkEnd w:id="54"/>
      <w:r/>
      <w:bookmarkEnd w:id="55"/>
      <w:r/>
      <w:bookmarkEnd w:id="56"/>
      <w:r/>
      <w:r/>
    </w:p>
    <w:p>
      <w:pPr>
        <w:pStyle w:val="764"/>
        <w:keepLines w:val="0"/>
        <w:keepNext w:val="0"/>
        <w:pageBreakBefore w:val="0"/>
        <w:spacing w:line="360" w:lineRule="auto"/>
        <w:widowControl w:val="off"/>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t xml:space="preserve">一、评审程序：</w:t>
      </w:r>
      <w:r/>
    </w:p>
    <w:p>
      <w:pPr>
        <w:pStyle w:val="761"/>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2"/>
      </w:pPr>
      <w:r>
        <w:rPr>
          <w:rFonts w:hint="eastAsia" w:ascii="仿宋" w:hAnsi="仿宋" w:eastAsia="仿宋" w:cs="仿宋"/>
          <w:b w:val="0"/>
          <w:bCs/>
          <w:color w:val="000000" w:themeColor="text1"/>
          <w:highlight w:val="none"/>
          <w14:textFill>
            <w14:solidFill>
              <w14:schemeClr w14:val="tx1"/>
            </w14:solidFill>
          </w14:textFill>
        </w:rPr>
        <w:t xml:space="preserve">(一)磋商要求</w:t>
      </w:r>
      <w:r/>
    </w:p>
    <w:p>
      <w:pPr>
        <w:pStyle w:val="761"/>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pStyle w:val="761"/>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2. 供应商可通过CA数字证书，在首次响应文件开启时间后，使用CA数字证书在规定时间内解密各自响应文件。</w:t>
      </w:r>
      <w:r/>
    </w:p>
    <w:p>
      <w:pPr>
        <w:pStyle w:val="761"/>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3.</w:t>
      </w:r>
      <w:r>
        <w:rPr>
          <w:rFonts w:hint="eastAsia" w:ascii="仿宋" w:hAnsi="仿宋" w:eastAsia="仿宋" w:cs="仿宋"/>
          <w:b w:val="0"/>
          <w:bCs/>
          <w:color w:val="000000" w:themeColor="text1"/>
          <w:highlight w:val="none"/>
          <w:lang w:eastAsia="zh-CN"/>
          <w14:textFill>
            <w14:solidFill>
              <w14:schemeClr w14:val="tx1"/>
            </w14:solidFill>
          </w14:textFill>
        </w:rPr>
        <w:t xml:space="preserve">供应商的授权代表或法定代表人须全程守候在“苏采云”系统开标大厅，并确保视频设备正常使用。授权代表或法定代表人须携带授权委托书原件及身份证原件，经磋商小组核查后参与磋商活动</w:t>
      </w:r>
      <w:r>
        <w:rPr>
          <w:rFonts w:hint="eastAsia" w:ascii="仿宋" w:hAnsi="仿宋" w:eastAsia="仿宋" w:cs="仿宋"/>
          <w:b w:val="0"/>
          <w:bCs/>
          <w:color w:val="000000" w:themeColor="text1"/>
          <w:highlight w:val="none"/>
          <w14:textFill>
            <w14:solidFill>
              <w14:schemeClr w14:val="tx1"/>
            </w14:solidFill>
          </w14:textFill>
        </w:rPr>
        <w:t xml:space="preserve">。</w:t>
      </w:r>
      <w:r/>
    </w:p>
    <w:p>
      <w:pPr>
        <w:pStyle w:val="761"/>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4.磋商顺序按照电子标书解密先后时间进行，解密时间相同的，不分先后顺序。</w:t>
      </w:r>
      <w:r/>
    </w:p>
    <w:p>
      <w:pPr>
        <w:pStyle w:val="761"/>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5.磋商方式：</w:t>
      </w:r>
      <w:r>
        <w:rPr>
          <w:rFonts w:hint="eastAsia" w:ascii="仿宋" w:hAnsi="仿宋" w:eastAsia="仿宋" w:cs="仿宋"/>
          <w:color w:val="000000" w:themeColor="text1"/>
          <w:highlight w:val="none"/>
          <w14:textFill>
            <w14:solidFill>
              <w14:schemeClr w14:val="tx1"/>
            </w14:solidFill>
          </w14:textFill>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761"/>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6.未在规定时间内进行答疑澄清的，视同放弃澄清。</w:t>
      </w:r>
      <w:r/>
    </w:p>
    <w:p>
      <w:pPr>
        <w:pStyle w:val="761"/>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7.未在规定时间内进行报价的，视为响应无效。</w:t>
      </w:r>
      <w:r/>
    </w:p>
    <w:p>
      <w:pPr>
        <w:pStyle w:val="769"/>
        <w:ind w:firstLine="480"/>
        <w:keepLines w:val="0"/>
        <w:keepNext w:val="0"/>
        <w:pageBreakBefore w:val="0"/>
        <w:spacing w:line="360" w:lineRule="auto"/>
        <w:widowControl w:val="off"/>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8.被邀请参与磋商的供应商如未按上述磋商要求执行，视同放弃磋商的权利。</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3"/>
      </w:pPr>
      <w:r>
        <w:rPr>
          <w:rFonts w:hint="eastAsia" w:ascii="仿宋" w:hAnsi="仿宋" w:eastAsia="仿宋" w:cs="仿宋"/>
          <w:color w:val="000000" w:themeColor="text1"/>
          <w:highlight w:val="none"/>
          <w14:textFill>
            <w14:solidFill>
              <w14:schemeClr w14:val="tx1"/>
            </w14:solidFill>
          </w14:textFill>
        </w:rPr>
        <w:t xml:space="preserve">9.本项目无效标书判定（磋商文件的实质性要求）</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9.1供应商资格条件不符合国家有关规定或磋商文件要求的；</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9.2响应报价低于成本或者高于磋商文件设定的最高限价的；</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3</w:t>
      </w:r>
      <w:r>
        <w:rPr>
          <w:rFonts w:hint="eastAsia" w:ascii="仿宋" w:hAnsi="仿宋" w:eastAsia="仿宋" w:cs="仿宋"/>
          <w:b w:val="0"/>
          <w:bCs/>
          <w:color w:val="000000" w:themeColor="text1"/>
          <w:highlight w:val="none"/>
          <w14:textFill>
            <w14:solidFill>
              <w14:schemeClr w14:val="tx1"/>
            </w14:solidFill>
          </w14:textFill>
        </w:rPr>
        <w:t xml:space="preserve">响应文件载明的招标项目完成期限超过磋商文件规定的期限的； </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4"/>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4</w:t>
      </w:r>
      <w:r>
        <w:rPr>
          <w:rFonts w:hint="eastAsia" w:ascii="仿宋" w:hAnsi="仿宋" w:eastAsia="仿宋" w:cs="仿宋"/>
          <w:b w:val="0"/>
          <w:bCs/>
          <w:color w:val="000000" w:themeColor="text1"/>
          <w:highlight w:val="none"/>
          <w14:textFill>
            <w14:solidFill>
              <w14:schemeClr w14:val="tx1"/>
            </w14:solidFill>
          </w14:textFill>
        </w:rPr>
        <w:t xml:space="preserve">明显不符合技术规范、技术标准的要求的； </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5</w:t>
      </w:r>
      <w:r>
        <w:rPr>
          <w:rFonts w:hint="eastAsia" w:ascii="仿宋" w:hAnsi="仿宋" w:eastAsia="仿宋" w:cs="仿宋"/>
          <w:b w:val="0"/>
          <w:bCs/>
          <w:color w:val="000000" w:themeColor="text1"/>
          <w:highlight w:val="none"/>
          <w14:textFill>
            <w14:solidFill>
              <w14:schemeClr w14:val="tx1"/>
            </w14:solidFill>
          </w14:textFill>
        </w:rPr>
        <w:t xml:space="preserve">响应文件载明的货物包装方式、检验标准和方法等不符合磋商文件的要求的； </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6</w:t>
      </w:r>
      <w:r>
        <w:rPr>
          <w:rFonts w:hint="eastAsia" w:ascii="仿宋" w:hAnsi="仿宋" w:eastAsia="仿宋" w:cs="仿宋"/>
          <w:b w:val="0"/>
          <w:bCs/>
          <w:color w:val="000000" w:themeColor="text1"/>
          <w:highlight w:val="none"/>
          <w14:textFill>
            <w14:solidFill>
              <w14:schemeClr w14:val="tx1"/>
            </w14:solidFill>
          </w14:textFill>
        </w:rPr>
        <w:t xml:space="preserve">响应文件提出了不能满足磋商文件要求或采购人不能接受的验收、计量、价款结算和支付办法的； </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7</w:t>
      </w:r>
      <w:r>
        <w:rPr>
          <w:rFonts w:hint="eastAsia" w:ascii="仿宋" w:hAnsi="仿宋" w:eastAsia="仿宋" w:cs="仿宋"/>
          <w:b w:val="0"/>
          <w:bCs/>
          <w:color w:val="000000" w:themeColor="text1"/>
          <w:highlight w:val="none"/>
          <w14:textFill>
            <w14:solidFill>
              <w14:schemeClr w14:val="tx1"/>
            </w14:solidFill>
          </w14:textFill>
        </w:rPr>
        <w:t xml:space="preserve">不同供应商的响应文件以及响应文件制作过程出现了评标委员会认为不应当雷同的情况的； </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8</w:t>
      </w:r>
      <w:r>
        <w:rPr>
          <w:rFonts w:hint="eastAsia" w:ascii="仿宋" w:hAnsi="仿宋" w:eastAsia="仿宋" w:cs="仿宋"/>
          <w:b w:val="0"/>
          <w:bCs/>
          <w:color w:val="000000" w:themeColor="text1"/>
          <w:highlight w:val="none"/>
          <w14:textFill>
            <w14:solidFill>
              <w14:schemeClr w14:val="tx1"/>
            </w14:solidFill>
          </w14:textFill>
        </w:rPr>
        <w:t xml:space="preserve">以他人的名义投标、串通投标、以行贿手段谋取成交或者以其他弄虚作假方式投标的；</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9.1</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9</w:t>
      </w:r>
      <w:r>
        <w:rPr>
          <w:rFonts w:hint="eastAsia" w:ascii="仿宋" w:hAnsi="仿宋" w:eastAsia="仿宋" w:cs="仿宋"/>
          <w:b w:val="0"/>
          <w:bCs/>
          <w:color w:val="000000" w:themeColor="text1"/>
          <w:highlight w:val="none"/>
          <w14:textFill>
            <w14:solidFill>
              <w14:schemeClr w14:val="tx1"/>
            </w14:solidFill>
          </w14:textFill>
        </w:rPr>
        <w:t xml:space="preserve">响应文件内容不全或关键字模糊、无法辨认的；未按磋商文件要求提供电子响应文件，或者响应文件未能解密且按照磋商文件明确的响应文件解密失败的补救方案补救不成功的。</w:t>
      </w:r>
      <w:r/>
    </w:p>
    <w:p>
      <w:pPr>
        <w:pStyle w:val="761"/>
        <w:ind w:firstLine="24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2"/>
      </w:pPr>
      <w:r>
        <w:rPr>
          <w:rFonts w:hint="eastAsia" w:ascii="仿宋" w:hAnsi="仿宋" w:eastAsia="仿宋" w:cs="仿宋"/>
          <w:b w:val="0"/>
          <w:bCs/>
          <w:color w:val="000000" w:themeColor="text1"/>
          <w:highlight w:val="none"/>
          <w14:textFill>
            <w14:solidFill>
              <w14:schemeClr w14:val="tx1"/>
            </w14:solidFill>
          </w14:textFill>
        </w:rPr>
        <w:t xml:space="preserve"> (二) 查询及使用供应商信用记录</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1.由采购人查询信用信息。</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2.查询渠道包括：</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(1)“信用中国”网（www.creditchina.gov.cn）；</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3"/>
      </w:pPr>
      <w:r>
        <w:rPr>
          <w:rFonts w:hint="eastAsia" w:ascii="仿宋" w:hAnsi="仿宋" w:eastAsia="仿宋" w:cs="仿宋"/>
          <w:b w:val="0"/>
          <w:bCs/>
          <w:color w:val="000000" w:themeColor="text1"/>
          <w:highlight w:val="none"/>
          <w14:textFill>
            <w14:solidFill>
              <w14:schemeClr w14:val="tx1"/>
            </w14:solidFill>
          </w14:textFill>
        </w:rPr>
        <w:t xml:space="preserve">(2) 中国政府采购网（www.ccgp.gov.cn）；</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(3) “诚信江苏”网（www.jiangsu.gov.cn/jsxy/index.htm）</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和或“信用江苏”网（http://credit.jiangsu.gov.cn/）；</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(4)“诚信徐州”网（ http://www.xuzhoucredit.gov.cn）。</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和或“信用徐州”网（www.xuzhoucredit.gov.cn/）。</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3.截止时点（查询环节）：首次响应文件开启后资格审查结束前。</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4.信用信息查询记录和证据留存的具体方式：</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网页截屏打印，与其他采购文件一并保存。</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4"/>
      </w:pPr>
      <w:r>
        <w:rPr>
          <w:rFonts w:hint="eastAsia" w:ascii="仿宋" w:hAnsi="仿宋" w:eastAsia="仿宋" w:cs="仿宋"/>
          <w:b w:val="0"/>
          <w:bCs/>
          <w:color w:val="000000" w:themeColor="text1"/>
          <w:highlight w:val="none"/>
          <w14:textFill>
            <w14:solidFill>
              <w14:schemeClr w14:val="tx1"/>
            </w14:solidFill>
          </w14:textFill>
        </w:rPr>
        <w:t xml:space="preserve">5.信用信息的使用规则：</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761"/>
        <w:numPr>
          <w:ilvl w:val="0"/>
          <w:numId w:val="3"/>
        </w:numPr>
        <w:ind w:left="0"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2"/>
      </w:pPr>
      <w:r>
        <w:rPr>
          <w:rFonts w:hint="eastAsia" w:ascii="仿宋" w:hAnsi="仿宋" w:eastAsia="仿宋" w:cs="仿宋"/>
          <w:b w:val="0"/>
          <w:bCs/>
          <w:color w:val="000000" w:themeColor="text1"/>
          <w:highlight w:val="none"/>
          <w14:textFill>
            <w14:solidFill>
              <w14:schemeClr w14:val="tx1"/>
            </w14:solidFill>
          </w14:textFill>
        </w:rPr>
        <w:t xml:space="preserve">评审程序</w:t>
      </w:r>
      <w:r/>
    </w:p>
    <w:p>
      <w:pPr>
        <w:pStyle w:val="761"/>
        <w:ind w:firstLine="480"/>
        <w:keepLines w:val="0"/>
        <w:keepNext w:val="0"/>
        <w:pageBreakBefore w:val="0"/>
        <w:spacing w:line="360" w:lineRule="auto"/>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本项目报价采用二轮报价，供应商应凭CA数字证书以及能够登录“苏采云”系统的电脑在规定时间内进行二轮报价，</w:t>
      </w:r>
      <w:r>
        <w:rPr>
          <w:rFonts w:hint="eastAsia" w:ascii="仿宋" w:hAnsi="仿宋" w:eastAsia="仿宋" w:cs="仿宋"/>
          <w:color w:val="000000" w:themeColor="text1"/>
          <w:highlight w:val="none"/>
          <w14:textFill>
            <w14:solidFill>
              <w14:schemeClr w14:val="tx1"/>
            </w14:solidFill>
          </w14:textFill>
        </w:rPr>
        <w:t xml:space="preserve">所有实质性响应的供应商在规定时间内均需提交最后报价</w:t>
      </w:r>
      <w:r>
        <w:rPr>
          <w:rFonts w:hint="eastAsia" w:ascii="仿宋" w:hAnsi="仿宋" w:eastAsia="仿宋" w:cs="仿宋"/>
          <w:color w:val="000000" w:themeColor="text1"/>
          <w:highlight w:val="none"/>
          <w:lang w:eastAsia="zh-CN"/>
          <w14:textFill>
            <w14:solidFill>
              <w14:schemeClr w14:val="tx1"/>
            </w14:solidFill>
          </w14:textFill>
        </w:rPr>
        <w:t xml:space="preserve">。</w:t>
      </w:r>
      <w:r>
        <w:rPr>
          <w:rFonts w:hint="eastAsia" w:ascii="仿宋" w:hAnsi="仿宋" w:eastAsia="仿宋" w:cs="仿宋"/>
          <w:b/>
          <w:bCs w:val="0"/>
          <w:color w:val="000000" w:themeColor="text1"/>
          <w:highlight w:val="none"/>
          <w14:textFill>
            <w14:solidFill>
              <w14:schemeClr w14:val="tx1"/>
            </w14:solidFill>
          </w14:textFill>
        </w:rPr>
        <w:t xml:space="preserve">二轮报价报价时间为</w:t>
      </w:r>
      <w:r>
        <w:rPr>
          <w:rFonts w:hint="eastAsia" w:ascii="仿宋" w:hAnsi="仿宋" w:eastAsia="仿宋" w:cs="仿宋"/>
          <w:b/>
          <w:bCs w:val="0"/>
          <w:color w:val="000000" w:themeColor="text1"/>
          <w:highlight w:val="none"/>
          <w:lang w:val="en-US" w:eastAsia="zh-CN"/>
          <w14:textFill>
            <w14:solidFill>
              <w14:schemeClr w14:val="tx1"/>
            </w14:solidFill>
          </w14:textFill>
        </w:rPr>
        <w:t xml:space="preserve">10</w:t>
      </w:r>
      <w:r>
        <w:rPr>
          <w:rFonts w:hint="eastAsia" w:ascii="仿宋" w:hAnsi="仿宋" w:eastAsia="仿宋" w:cs="仿宋"/>
          <w:b/>
          <w:bCs w:val="0"/>
          <w:color w:val="000000" w:themeColor="text1"/>
          <w:highlight w:val="none"/>
          <w14:textFill>
            <w14:solidFill>
              <w14:schemeClr w14:val="tx1"/>
            </w14:solidFill>
          </w14:textFill>
        </w:rPr>
        <w:t xml:space="preserve">分钟。</w:t>
      </w:r>
      <w:r/>
    </w:p>
    <w:p>
      <w:pPr>
        <w:pStyle w:val="761"/>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磋商评审小组的组建：采购人组建。</w:t>
      </w:r>
      <w:r>
        <w:rPr>
          <w:rFonts w:hint="eastAsia" w:ascii="仿宋" w:hAnsi="仿宋" w:eastAsia="仿宋" w:cs="仿宋"/>
          <w:b w:val="0"/>
          <w:bCs/>
          <w:highlight w:val="none"/>
        </w:rPr>
        <w:t xml:space="preserve">磋商小组成员构成：3人。磋商小组确定方式：由采购人评委和政府采购专家（从《江苏省政府采购专家库》随机抽取）组成。</w:t>
      </w:r>
      <w:r/>
    </w:p>
    <w:p>
      <w:pPr>
        <w:pStyle w:val="761"/>
        <w:ind w:firstLine="480"/>
        <w:keepLines w:val="0"/>
        <w:keepNext w:val="0"/>
        <w:pageBreakBefore w:val="0"/>
        <w:spacing w:line="360" w:lineRule="auto"/>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761"/>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照技术部分优劣顺序推荐。</w:t>
      </w:r>
      <w:r/>
    </w:p>
    <w:p>
      <w:pPr>
        <w:pStyle w:val="761"/>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磋商小组认为供应商的报价明显低于其他供应商的报价，有可能影响</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工程</w:t>
      </w:r>
      <w:r>
        <w:rPr>
          <w:rFonts w:hint="eastAsia" w:ascii="仿宋" w:hAnsi="仿宋" w:eastAsia="仿宋" w:cs="仿宋"/>
          <w:b w:val="0"/>
          <w:bCs/>
          <w:color w:val="000000" w:themeColor="text1"/>
          <w:highlight w:val="none"/>
          <w14:textFill>
            <w14:solidFill>
              <w14:schemeClr w14:val="tx1"/>
            </w14:solidFill>
          </w14:textFill>
        </w:rPr>
        <w:t xml:space="preserve">质量或者不能诚信履约的，应当要求其在评审现场合理的时间内提供书面说明，必要时提交相关证明材料；供应商不能证明其报价合理性的，磋商小组应当将其按响应无效处理。</w:t>
      </w:r>
      <w:r/>
    </w:p>
    <w:p>
      <w:pPr>
        <w:pStyle w:val="765"/>
        <w:rPr>
          <w:rFonts w:hint="eastAsia"/>
        </w:rPr>
      </w:pPr>
      <w:r>
        <w:rPr>
          <w:rFonts w:hint="eastAsia" w:ascii="仿宋" w:hAnsi="仿宋" w:eastAsia="仿宋" w:cs="仿宋"/>
          <w:sz w:val="24"/>
          <w:szCs w:val="24"/>
        </w:rPr>
        <w:t xml:space="preserve">磋商小组启动异常低价投标（响应）审查的情形和具体要求，包括:</w:t>
      </w:r>
      <w:r/>
    </w:p>
    <w:p>
      <w:pPr>
        <w:pStyle w:val="765"/>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评审过程中出现下列情形之一的，评审委员会应当启动异常低价投标(响应)审查程序:</w:t>
      </w:r>
      <w:r/>
    </w:p>
    <w:p>
      <w:pPr>
        <w:pStyle w:val="765"/>
        <w:numPr>
          <w:ilvl w:val="0"/>
          <w:numId w:val="4"/>
        </w:numPr>
        <w:rPr>
          <w:rFonts w:hint="eastAsia" w:ascii="仿宋" w:hAnsi="仿宋" w:eastAsia="仿宋" w:cs="仿宋"/>
          <w:sz w:val="24"/>
          <w:szCs w:val="24"/>
        </w:rPr>
      </w:pPr>
      <w:r>
        <w:rPr>
          <w:rFonts w:hint="eastAsia" w:ascii="仿宋" w:hAnsi="仿宋" w:eastAsia="仿宋" w:cs="仿宋"/>
          <w:sz w:val="24"/>
          <w:szCs w:val="24"/>
        </w:rPr>
        <w:t xml:space="preserve">投标(响应)报价低于采购项目预算50%的，即投标(响应)报价&lt;采购项目预算x50%;</w:t>
      </w:r>
      <w:r/>
    </w:p>
    <w:p>
      <w:pPr>
        <w:pStyle w:val="765"/>
        <w:numPr>
          <w:ilvl w:val="0"/>
          <w:numId w:val="4"/>
        </w:numPr>
        <w:rPr>
          <w:rFonts w:hint="eastAsia" w:ascii="仿宋" w:hAnsi="仿宋" w:eastAsia="仿宋" w:cs="仿宋"/>
          <w:sz w:val="28"/>
          <w:szCs w:val="28"/>
        </w:rPr>
      </w:pPr>
      <w:r>
        <w:rPr>
          <w:rFonts w:hint="eastAsia" w:ascii="仿宋" w:hAnsi="仿宋" w:eastAsia="仿宋" w:cs="仿宋"/>
          <w:sz w:val="24"/>
          <w:szCs w:val="24"/>
        </w:rPr>
        <w:t xml:space="preserve">投标(响应)报价低于采购项目最高限价45%的，即投标(响应)报价&lt;采购项目最高限价x45%;</w:t>
      </w:r>
      <w:r/>
    </w:p>
    <w:p>
      <w:pPr>
        <w:pStyle w:val="765"/>
        <w:numPr>
          <w:ilvl w:val="0"/>
          <w:numId w:val="4"/>
        </w:numPr>
        <w:rPr>
          <w:rFonts w:hint="eastAsia" w:ascii="仿宋" w:hAnsi="仿宋" w:eastAsia="仿宋" w:cs="仿宋"/>
          <w:sz w:val="28"/>
          <w:szCs w:val="28"/>
        </w:rPr>
      </w:pPr>
      <w:r>
        <w:rPr>
          <w:rFonts w:hint="eastAsia" w:ascii="仿宋" w:hAnsi="仿宋" w:eastAsia="仿宋" w:cs="仿宋"/>
          <w:sz w:val="24"/>
          <w:szCs w:val="24"/>
        </w:rPr>
        <w:t xml:space="preserve">评审委员会认定的供应商报价过低、有可能影响产品质量或者不能诚信履约的其他情形</w:t>
      </w:r>
      <w:r>
        <w:rPr>
          <w:rFonts w:hint="eastAsia" w:ascii="仿宋" w:hAnsi="仿宋" w:eastAsia="仿宋" w:cs="仿宋"/>
          <w:sz w:val="24"/>
          <w:szCs w:val="24"/>
          <w:lang w:eastAsia="zh-CN"/>
        </w:rPr>
        <w:t xml:space="preserve">。</w:t>
      </w:r>
      <w:r/>
    </w:p>
    <w:p>
      <w:pPr>
        <w:pStyle w:val="765"/>
        <w:rPr>
          <w:rFonts w:hint="eastAsia" w:ascii="仿宋" w:hAnsi="仿宋" w:eastAsia="仿宋" w:cs="仿宋"/>
          <w:sz w:val="28"/>
          <w:szCs w:val="28"/>
          <w:lang w:val="en-US"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w:t>
      </w:r>
      <w:r>
        <w:rPr>
          <w:rFonts w:hint="eastAsia" w:ascii="仿宋" w:hAnsi="仿宋" w:eastAsia="仿宋" w:cs="仿宋"/>
          <w:b/>
          <w:bCs w:val="0"/>
          <w:color w:val="000000" w:themeColor="text1"/>
          <w:spacing w:val="0"/>
          <w:sz w:val="24"/>
          <w:highlight w:val="none"/>
          <w:lang w:val="en-US" w:eastAsia="zh-CN" w:bidi="ar-SA"/>
          <w14:textFill>
            <w14:solidFill>
              <w14:schemeClr w14:val="tx1"/>
            </w14:solidFill>
          </w14:textFill>
        </w:rPr>
        <w:t xml:space="preserve">启动异常低价投标（</w:t>
      </w:r>
      <w:r>
        <w:rPr>
          <w:rFonts w:hint="eastAsia" w:ascii="仿宋" w:hAnsi="仿宋" w:eastAsia="仿宋" w:cs="仿宋"/>
          <w:b/>
          <w:bCs w:val="0"/>
          <w:color w:val="000000" w:themeColor="text1"/>
          <w:spacing w:val="0"/>
          <w:sz w:val="24"/>
          <w:highlight w:val="none"/>
          <w:lang w:val="en-US" w:eastAsia="zh-CN" w:bidi="ar-SA"/>
          <w14:textFill>
            <w14:solidFill>
              <w14:schemeClr w14:val="tx1"/>
            </w14:solidFill>
          </w14:textFill>
        </w:rPr>
        <w:t xml:space="preserve">响应）审查后，磋商小组应当通过“苏采云”系统要求相关供应商在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磋商小组应当将其作为无效投标处理。审查相关情况应当在评标报告中进行记录。</w:t>
      </w:r>
      <w:r/>
    </w:p>
    <w:p>
      <w:pPr>
        <w:pStyle w:val="769"/>
        <w:ind w:left="2" w:right="29" w:firstLine="480"/>
        <w:keepLines w:val="0"/>
        <w:keepNext w:val="0"/>
        <w:pageBreakBefore w:val="0"/>
        <w:spacing w:line="360" w:lineRule="auto"/>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相关内容和要求见：《中华人民共和国政府采购法》、《中华人民共和国政府采购法实施条例》及《政府采购竞争性磋商采购方式管理暂行办法》。</w:t>
      </w:r>
      <w:r/>
    </w:p>
    <w:p>
      <w:pPr>
        <w:pStyle w:val="764"/>
        <w:keepLines w:val="0"/>
        <w:keepNext w:val="0"/>
        <w:pageBreakBefore w:val="0"/>
        <w:spacing w:line="360" w:lineRule="auto"/>
        <w:widowControl w:val="off"/>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t xml:space="preserve">二、评审方法和评审标准：</w:t>
      </w:r>
      <w:r/>
    </w:p>
    <w:p>
      <w:pPr>
        <w:pStyle w:val="764"/>
        <w:ind w:firstLine="480"/>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outlineLvl w:val="2"/>
      </w:pPr>
      <w:r>
        <w:rPr>
          <w:rFonts w:hint="eastAsia" w:ascii="仿宋" w:hAnsi="仿宋" w:eastAsia="仿宋" w:cs="仿宋"/>
          <w:color w:val="000000" w:themeColor="text1"/>
          <w:sz w:val="24"/>
          <w:highlight w:val="none"/>
          <w14:textFill>
            <w14:solidFill>
              <w14:schemeClr w14:val="tx1"/>
            </w14:solidFill>
          </w14:textFill>
        </w:rPr>
        <w:t xml:space="preserve">1、评审方法：综合评分法</w:t>
      </w:r>
      <w:r/>
    </w:p>
    <w:p>
      <w:pPr>
        <w:pStyle w:val="764"/>
        <w:ind w:firstLine="480"/>
        <w:keepLines w:val="0"/>
        <w:keepNext w:val="0"/>
        <w:pageBreakBefore w:val="0"/>
        <w:spacing w:line="360" w:lineRule="auto"/>
        <w:widowControl w:val="off"/>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评审标准：本项目选用综合评分法，即竞争性磋商响应文件满足竞争性磋商文件全部实质性要求，且按照评审因素的量化指标评审得分最高的供应商为成交候选人。综合评分的主要因素是：报价、技术部分、商务部分，以及相应的比重或者权值等。详见《磋商文件》</w:t>
      </w:r>
      <w:r>
        <w:rPr>
          <w:rFonts w:hint="eastAsia" w:ascii="仿宋" w:hAnsi="仿宋" w:eastAsia="仿宋" w:cs="仿宋"/>
          <w:color w:val="000000" w:themeColor="text1"/>
          <w:sz w:val="24"/>
          <w:highlight w:val="none"/>
          <w:lang w:eastAsia="zh-CN"/>
          <w14:textFill>
            <w14:solidFill>
              <w14:schemeClr w14:val="tx1"/>
            </w14:solidFill>
          </w14:textFill>
        </w:rPr>
        <w:t xml:space="preserve">第九章</w:t>
      </w:r>
      <w:r>
        <w:rPr>
          <w:rFonts w:hint="eastAsia" w:ascii="仿宋" w:hAnsi="仿宋" w:eastAsia="仿宋" w:cs="仿宋"/>
          <w:color w:val="000000" w:themeColor="text1"/>
          <w:sz w:val="24"/>
          <w:highlight w:val="none"/>
          <w14:textFill>
            <w14:solidFill>
              <w14:schemeClr w14:val="tx1"/>
            </w14:solidFill>
          </w14:textFill>
        </w:rPr>
        <w:t xml:space="preserve">附件《评分细则》</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p>
    <w:p>
      <w:pPr>
        <w:pStyle w:val="764"/>
        <w:keepLines w:val="0"/>
        <w:keepNext w:val="0"/>
        <w:pageBreakBefore w:val="0"/>
        <w:spacing w:line="360" w:lineRule="auto"/>
        <w:widowControl w:val="off"/>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t xml:space="preserve">三、磋商过程中可能实质性变动的内容：</w:t>
      </w:r>
      <w:r/>
    </w:p>
    <w:p>
      <w:pPr>
        <w:pStyle w:val="764"/>
        <w:ind w:firstLine="480"/>
        <w:keepLines w:val="0"/>
        <w:keepNext w:val="0"/>
        <w:pageBreakBefore w:val="0"/>
        <w:spacing w:line="360" w:lineRule="auto"/>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在磋商过程中，磋商小组可以根据《磋商文件》和磋商情况实质性变动采购需求中的技术、服务要求以及合同草案条款。</w:t>
      </w:r>
      <w:r/>
    </w:p>
    <w:p>
      <w:pPr>
        <w:pStyle w:val="764"/>
        <w:keepLines w:val="0"/>
        <w:keepNext w:val="0"/>
        <w:pageBreakBefore w:val="0"/>
        <w:spacing w:line="360" w:lineRule="auto"/>
        <w:widowControl w:val="off"/>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四、采购人有权对供应商的响应文件的真实性进行核实</w:t>
      </w:r>
      <w:r>
        <w:rPr>
          <w:rFonts w:hint="eastAsia" w:ascii="仿宋" w:hAnsi="仿宋" w:eastAsia="仿宋" w:cs="仿宋"/>
          <w:color w:val="000000" w:themeColor="text1"/>
          <w:sz w:val="24"/>
          <w:highlight w:val="none"/>
          <w14:textFill>
            <w14:solidFill>
              <w14:schemeClr w14:val="tx1"/>
            </w14:solidFill>
          </w14:textFill>
        </w:rPr>
        <w:t xml:space="preserve">，如供应商不能在采购人规定的时间内向采购人提供有效的证明文件，将被采购人认定为具有《中华人民共和国政府采购法》第七十七条所规定的“提供虚假材料谋取中标、成交的”情形，并承担相应的法律责任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p>
    <w:p>
      <w:pPr>
        <w:pStyle w:val="764"/>
        <w:rPr>
          <w:rFonts w:hint="eastAsia" w:ascii="仿宋" w:hAnsi="仿宋" w:eastAsia="仿宋" w:cs="仿宋"/>
          <w:highlight w:val="none"/>
        </w:rPr>
      </w:pPr>
      <w:r/>
      <w:bookmarkStart w:id="57" w:name="_Toc4900"/>
      <w:r/>
      <w:bookmarkStart w:id="58" w:name="_Toc677"/>
      <w:r/>
      <w:bookmarkStart w:id="59" w:name="_Toc11935"/>
      <w:r/>
      <w:bookmarkStart w:id="60" w:name="_Toc1470"/>
      <w:r/>
      <w:bookmarkStart w:id="61" w:name="_Toc570"/>
      <w:r/>
      <w:bookmarkStart w:id="62" w:name="_Toc18016"/>
      <w:r/>
      <w:bookmarkStart w:id="63" w:name="_Toc4341"/>
      <w:r/>
      <w:bookmarkStart w:id="64" w:name="_Toc1946"/>
      <w:r/>
      <w:bookmarkStart w:id="65" w:name="_Toc5288"/>
      <w:r/>
      <w:bookmarkStart w:id="66" w:name="_Toc8321"/>
      <w:r/>
      <w:r/>
    </w:p>
    <w:p>
      <w:pPr>
        <w:pStyle w:val="764"/>
        <w:jc w:val="center"/>
        <w:keepLines w:val="0"/>
        <w:keepNext w:val="0"/>
        <w:pageBreakBefore w:val="0"/>
        <w:spacing w:line="360" w:lineRule="auto"/>
        <w:widowControl w:val="off"/>
        <w:rPr>
          <w:rFonts w:hint="eastAsia" w:ascii="仿宋" w:hAnsi="仿宋" w:eastAsia="仿宋" w:cs="仿宋"/>
          <w:b/>
          <w:bCs/>
          <w:color w:val="000000" w:themeColor="text1"/>
          <w:highlight w:val="none"/>
          <w14:textFill>
            <w14:solidFill>
              <w14:schemeClr w14:val="tx1"/>
            </w14:solidFill>
          </w14:textFill>
        </w:rPr>
        <w:outlineLvl w:val="0"/>
      </w:pPr>
      <w:r/>
      <w:bookmarkStart w:id="67" w:name="_Toc14298"/>
      <w:r>
        <w:rPr>
          <w:rFonts w:hint="eastAsia" w:ascii="仿宋" w:hAnsi="仿宋" w:eastAsia="仿宋" w:cs="仿宋"/>
          <w:b/>
          <w:bCs/>
          <w:color w:val="000000" w:themeColor="text1"/>
          <w:sz w:val="30"/>
          <w:szCs w:val="30"/>
          <w:highlight w:val="none"/>
          <w14:textFill>
            <w14:solidFill>
              <w14:schemeClr w14:val="tx1"/>
            </w14:solidFill>
          </w14:textFill>
        </w:rPr>
        <w:t xml:space="preserve">第五章  确定成交供应商及合同签订等</w:t>
      </w:r>
      <w:bookmarkEnd w:id="57"/>
      <w:r/>
      <w:bookmarkEnd w:id="58"/>
      <w:r/>
      <w:bookmarkEnd w:id="59"/>
      <w:r/>
      <w:bookmarkEnd w:id="60"/>
      <w:r/>
      <w:bookmarkEnd w:id="61"/>
      <w:r/>
      <w:bookmarkEnd w:id="62"/>
      <w:r/>
      <w:bookmarkEnd w:id="63"/>
      <w:r/>
      <w:bookmarkEnd w:id="64"/>
      <w:r/>
      <w:bookmarkEnd w:id="65"/>
      <w:r/>
      <w:bookmarkEnd w:id="66"/>
      <w:r/>
      <w:bookmarkEnd w:id="67"/>
      <w:r/>
      <w:r/>
    </w:p>
    <w:p>
      <w:pPr>
        <w:pStyle w:val="764"/>
        <w:ind w:firstLine="482"/>
        <w:pageBreakBefore w:val="0"/>
        <w:spacing w:line="360" w:lineRule="auto"/>
        <w:rPr>
          <w:rFonts w:hint="eastAsia" w:ascii="仿宋" w:hAnsi="仿宋" w:eastAsia="仿宋" w:cs="仿宋"/>
          <w:color w:val="auto"/>
          <w:sz w:val="24"/>
          <w:highlight w:val="none"/>
        </w:rPr>
      </w:pPr>
      <w:r>
        <w:rPr>
          <w:rFonts w:hint="eastAsia" w:ascii="仿宋" w:hAnsi="仿宋" w:eastAsia="仿宋" w:cs="仿宋"/>
          <w:bCs/>
          <w:color w:val="000000" w:themeColor="text1"/>
          <w:sz w:val="24"/>
          <w:highlight w:val="none"/>
          <w14:textFill>
            <w14:solidFill>
              <w14:schemeClr w14:val="tx1"/>
            </w14:solidFill>
          </w14:textFill>
        </w:rPr>
        <w:t xml:space="preserve">一、成交结果确认：</w:t>
      </w:r>
      <w:r>
        <w:rPr>
          <w:rFonts w:hint="eastAsia" w:ascii="仿宋" w:hAnsi="仿宋" w:eastAsia="仿宋" w:cs="仿宋"/>
          <w:color w:val="auto"/>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764"/>
        <w:ind w:firstLine="482"/>
        <w:pageBreakBefore w:val="0"/>
        <w:spacing w:line="360" w:lineRule="auto"/>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二、供应商应对响应文件的合法性、真实性负责。</w:t>
      </w:r>
      <w:r>
        <w:rPr>
          <w:rFonts w:hint="eastAsia" w:ascii="仿宋" w:hAnsi="仿宋" w:eastAsia="仿宋" w:cs="仿宋"/>
          <w:b/>
          <w:color w:val="000000" w:themeColor="text1"/>
          <w:sz w:val="24"/>
          <w:highlight w:val="none"/>
          <w14:textFill>
            <w14:solidFill>
              <w14:schemeClr w14:val="tx1"/>
            </w14:solidFill>
          </w14:textFill>
        </w:rPr>
        <w:t xml:space="preserve">签订合同前，中标人必须向采购人提交其响应文件中所有扫描件的原件，采购人核查无误后，签订合同。</w:t>
      </w:r>
      <w:r>
        <w:rPr>
          <w:rFonts w:hint="eastAsia" w:ascii="仿宋" w:hAnsi="仿宋" w:eastAsia="仿宋" w:cs="仿宋"/>
          <w:bCs/>
          <w:color w:val="000000" w:themeColor="text1"/>
          <w:sz w:val="24"/>
          <w:highlight w:val="none"/>
          <w14:textFill>
            <w14:solidFill>
              <w14:schemeClr w14:val="tx1"/>
            </w14:solidFill>
          </w14:textFill>
        </w:rPr>
        <w:t xml:space="preserve">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764"/>
        <w:ind w:firstLine="482"/>
        <w:pageBreakBefore w:val="0"/>
        <w:spacing w:line="360" w:lineRule="auto"/>
        <w:rPr>
          <w:rFonts w:hint="eastAsia" w:ascii="仿宋" w:hAnsi="仿宋" w:eastAsia="仿宋" w:cs="仿宋"/>
          <w:color w:val="auto"/>
          <w:highlight w:val="none"/>
        </w:rPr>
      </w:pP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三</w:t>
      </w:r>
      <w:r>
        <w:rPr>
          <w:rFonts w:hint="eastAsia" w:ascii="仿宋" w:hAnsi="仿宋" w:eastAsia="仿宋" w:cs="仿宋"/>
          <w:bCs/>
          <w:color w:val="000000" w:themeColor="text1"/>
          <w:sz w:val="24"/>
          <w:highlight w:val="none"/>
          <w14:textFill>
            <w14:solidFill>
              <w14:schemeClr w14:val="tx1"/>
            </w14:solidFill>
          </w14:textFill>
        </w:rPr>
        <w:t xml:space="preserve">、</w:t>
      </w:r>
      <w:bookmarkStart w:id="68" w:name="_Toc11048"/>
      <w:r/>
      <w:bookmarkStart w:id="69" w:name="_Toc26370"/>
      <w:r/>
      <w:bookmarkStart w:id="70" w:name="_Toc27571"/>
      <w:r/>
      <w:bookmarkStart w:id="71" w:name="_Toc9526"/>
      <w:r/>
      <w:bookmarkStart w:id="72" w:name="_Toc26346"/>
      <w:r/>
      <w:bookmarkStart w:id="73" w:name="_Toc753"/>
      <w:r/>
      <w:bookmarkStart w:id="74" w:name="_Toc28376"/>
      <w:r/>
      <w:bookmarkStart w:id="75" w:name="_Toc22576"/>
      <w:r/>
      <w:bookmarkStart w:id="76" w:name="_Toc8179"/>
      <w:r/>
      <w:bookmarkStart w:id="77" w:name="_Toc11573"/>
      <w:r>
        <w:rPr>
          <w:rFonts w:hint="eastAsia" w:ascii="仿宋" w:hAnsi="仿宋" w:eastAsia="仿宋" w:cs="仿宋"/>
          <w:color w:val="auto"/>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pStyle w:val="773"/>
        <w:ind w:left="0" w:firstLine="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77"/>
        <w:jc w:val="center"/>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0"/>
      </w:pPr>
      <w:r/>
      <w:bookmarkStart w:id="78" w:name="_Toc23596"/>
      <w:r>
        <w:rPr>
          <w:rFonts w:hint="eastAsia" w:ascii="仿宋" w:hAnsi="仿宋" w:eastAsia="仿宋" w:cs="仿宋"/>
          <w:color w:val="000000" w:themeColor="text1"/>
          <w:sz w:val="30"/>
          <w:szCs w:val="30"/>
          <w:highlight w:val="none"/>
          <w14:textFill>
            <w14:solidFill>
              <w14:schemeClr w14:val="tx1"/>
            </w14:solidFill>
          </w14:textFill>
        </w:rPr>
        <w:t xml:space="preserve">第六章 磋商文件的澄清或者修改</w:t>
      </w:r>
      <w:bookmarkEnd w:id="68"/>
      <w:r/>
      <w:bookmarkEnd w:id="69"/>
      <w:r/>
      <w:bookmarkEnd w:id="70"/>
      <w:r/>
      <w:bookmarkEnd w:id="71"/>
      <w:r/>
      <w:bookmarkEnd w:id="72"/>
      <w:r/>
      <w:bookmarkEnd w:id="73"/>
      <w:r/>
      <w:bookmarkEnd w:id="74"/>
      <w:r/>
      <w:bookmarkEnd w:id="75"/>
      <w:r/>
      <w:bookmarkEnd w:id="76"/>
      <w:r/>
      <w:bookmarkEnd w:id="77"/>
      <w:r/>
      <w:bookmarkEnd w:id="78"/>
      <w:r/>
      <w:r/>
    </w:p>
    <w:p>
      <w:pPr>
        <w:pStyle w:val="764"/>
        <w:ind w:firstLine="48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t xml:space="preserve">一、《磋商文件》的澄清或者修改：</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采购代理机构可以对已发出的招标文件进行必要的澄清或者修改。澄清或者修改的内容以所发布的本项目的“更正（澄清）公告”的形式通知所有获取招标文件的潜在</w:t>
      </w:r>
      <w:r>
        <w:rPr>
          <w:rFonts w:hint="eastAsia" w:ascii="仿宋" w:hAnsi="仿宋" w:eastAsia="仿宋" w:cs="仿宋"/>
          <w:sz w:val="24"/>
          <w:szCs w:val="24"/>
          <w:highlight w:val="none"/>
          <w:lang w:eastAsia="zh-CN" w:bidi="ar"/>
        </w:rPr>
        <w:t xml:space="preserve">供应商</w:t>
      </w:r>
      <w:r>
        <w:rPr>
          <w:rFonts w:hint="eastAsia" w:ascii="仿宋" w:hAnsi="仿宋" w:eastAsia="仿宋" w:cs="仿宋"/>
          <w:sz w:val="24"/>
          <w:szCs w:val="24"/>
          <w:highlight w:val="none"/>
          <w:lang w:bidi="ar"/>
        </w:rPr>
        <w:t xml:space="preserve">。发布本项目的“更正（澄清）公告”后采购代理机构已尽通知义务。敬请各潜在</w:t>
      </w:r>
      <w:r>
        <w:rPr>
          <w:rFonts w:hint="eastAsia" w:ascii="仿宋" w:hAnsi="仿宋" w:eastAsia="仿宋" w:cs="仿宋"/>
          <w:sz w:val="24"/>
          <w:szCs w:val="24"/>
          <w:highlight w:val="none"/>
          <w:lang w:eastAsia="zh-CN" w:bidi="ar"/>
        </w:rPr>
        <w:t xml:space="preserve">供应商</w:t>
      </w:r>
      <w:r>
        <w:rPr>
          <w:rFonts w:hint="eastAsia" w:ascii="仿宋" w:hAnsi="仿宋" w:eastAsia="仿宋" w:cs="仿宋"/>
          <w:sz w:val="24"/>
          <w:szCs w:val="24"/>
          <w:highlight w:val="none"/>
          <w:lang w:bidi="ar"/>
        </w:rPr>
        <w:t xml:space="preserve">关注本项目的“更正（澄清）公告”，并通过“苏采云”系统重新下载更正（澄清）后的采购文件（后缀名为“.kedt”），离线编制投标文件，否则，将自行承担相应的风险。</w:t>
      </w:r>
      <w:r/>
    </w:p>
    <w:p>
      <w:pPr>
        <w:pStyle w:val="1032"/>
        <w:ind w:left="0" w:firstLine="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7"/>
        <w:jc w:val="center"/>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0"/>
      </w:pPr>
      <w:r/>
      <w:bookmarkStart w:id="79" w:name="_Toc7515"/>
      <w:r/>
      <w:bookmarkStart w:id="80" w:name="_Toc31059"/>
      <w:r/>
      <w:bookmarkStart w:id="81" w:name="_Toc8704"/>
      <w:r/>
      <w:bookmarkStart w:id="82" w:name="_Toc21663"/>
      <w:r/>
      <w:bookmarkStart w:id="83" w:name="_Toc24021"/>
      <w:r/>
      <w:bookmarkStart w:id="84" w:name="_Toc24692"/>
      <w:r/>
      <w:bookmarkStart w:id="85" w:name="_Toc6980"/>
      <w:r/>
      <w:bookmarkStart w:id="86" w:name="_Toc31276"/>
      <w:r/>
      <w:bookmarkStart w:id="87" w:name="_Toc21449"/>
      <w:r/>
      <w:bookmarkStart w:id="88" w:name="_Toc29765"/>
      <w:r/>
      <w:bookmarkStart w:id="89" w:name="_Toc26635"/>
      <w:r>
        <w:rPr>
          <w:rFonts w:hint="eastAsia" w:ascii="仿宋" w:hAnsi="仿宋" w:eastAsia="仿宋" w:cs="仿宋"/>
          <w:color w:val="000000" w:themeColor="text1"/>
          <w:sz w:val="30"/>
          <w:szCs w:val="30"/>
          <w:highlight w:val="none"/>
          <w14:textFill>
            <w14:solidFill>
              <w14:schemeClr w14:val="tx1"/>
            </w14:solidFill>
          </w14:textFill>
        </w:rPr>
        <w:t xml:space="preserve">第七章 询问和质疑</w:t>
      </w:r>
      <w:bookmarkEnd w:id="79"/>
      <w:r/>
      <w:bookmarkEnd w:id="80"/>
      <w:r/>
      <w:bookmarkEnd w:id="81"/>
      <w:r/>
      <w:bookmarkEnd w:id="82"/>
      <w:r/>
      <w:bookmarkEnd w:id="83"/>
      <w:r/>
      <w:bookmarkEnd w:id="84"/>
      <w:r/>
      <w:bookmarkEnd w:id="85"/>
      <w:r/>
      <w:bookmarkEnd w:id="86"/>
      <w:r/>
      <w:bookmarkEnd w:id="87"/>
      <w:r/>
      <w:bookmarkEnd w:id="88"/>
      <w:r/>
      <w:bookmarkEnd w:id="89"/>
      <w:r/>
      <w:r/>
    </w:p>
    <w:p>
      <w:pPr>
        <w:pStyle w:val="764"/>
        <w:pageBreakBefore w:val="0"/>
        <w:spacing w:line="360" w:lineRule="auto"/>
        <w:widowControl/>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t xml:space="preserve">一、询问和质疑：</w:t>
      </w:r>
      <w:r/>
    </w:p>
    <w:p>
      <w:pPr>
        <w:pStyle w:val="764"/>
        <w:ind w:firstLine="480"/>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764"/>
        <w:ind w:firstLine="480"/>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2、质疑和投诉按《政府采购质疑和投诉办法》执行。</w:t>
      </w:r>
      <w:r/>
    </w:p>
    <w:p>
      <w:pPr>
        <w:pStyle w:val="764"/>
        <w:ind w:firstLine="480"/>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3、供应商对同一采购程序环节的质疑应在质疑期内一次性提出。</w:t>
      </w:r>
      <w:r/>
    </w:p>
    <w:p>
      <w:pPr>
        <w:pStyle w:val="764"/>
        <w:ind w:firstLine="480"/>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4、接收质疑函的方式：供应商直接送交或供应商通过EMS邮寄。</w:t>
      </w:r>
      <w:r/>
    </w:p>
    <w:p>
      <w:pPr>
        <w:pStyle w:val="764"/>
        <w:ind w:firstLine="1200"/>
        <w:pageBreakBefore w:val="0"/>
        <w:spacing w:line="360" w:lineRule="auto"/>
        <w:widowControl/>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质疑接收人：</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崔</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洋</w:t>
      </w:r>
      <w:r>
        <w:rPr>
          <w:rFonts w:hint="eastAsia" w:ascii="仿宋" w:hAnsi="仿宋" w:eastAsia="仿宋" w:cs="仿宋"/>
          <w:color w:val="000000" w:themeColor="text1"/>
          <w:sz w:val="24"/>
          <w:highlight w:val="none"/>
          <w14:textFill>
            <w14:solidFill>
              <w14:schemeClr w14:val="tx1"/>
            </w14:solidFill>
          </w14:textFill>
        </w:rPr>
        <w:t xml:space="preserve">      联系电话：</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17712073658</w:t>
      </w:r>
      <w:r/>
    </w:p>
    <w:p>
      <w:pPr>
        <w:pStyle w:val="764"/>
        <w:ind w:firstLine="1200"/>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地址：徐州市云龙区中茵商业广场4号楼1-1022 </w:t>
      </w:r>
      <w:r/>
    </w:p>
    <w:p>
      <w:pPr>
        <w:pStyle w:val="773"/>
        <w:rPr>
          <w:rFonts w:hint="eastAsia"/>
          <w:highlight w:val="none"/>
        </w:rPr>
      </w:pPr>
      <w:r>
        <w:rPr>
          <w:rFonts w:hint="eastAsia"/>
          <w:highlight w:val="none"/>
        </w:rPr>
      </w:r>
      <w:r/>
    </w:p>
    <w:p>
      <w:pPr>
        <w:pStyle w:val="777"/>
        <w:jc w:val="center"/>
        <w:pageBreakBefore w:val="0"/>
        <w:spacing w:line="360" w:lineRule="auto"/>
        <w:rPr>
          <w:rFonts w:hint="eastAsia" w:ascii="仿宋" w:hAnsi="仿宋" w:eastAsia="仿宋" w:cs="仿宋"/>
          <w:color w:val="000000" w:themeColor="text1"/>
          <w:sz w:val="30"/>
          <w:szCs w:val="30"/>
          <w:highlight w:val="none"/>
          <w:lang w:eastAsia="zh-CN"/>
          <w14:textFill>
            <w14:solidFill>
              <w14:schemeClr w14:val="tx1"/>
            </w14:solidFill>
          </w14:textFill>
        </w:rPr>
        <w:outlineLvl w:val="0"/>
      </w:pPr>
      <w:r>
        <w:rPr>
          <w:rFonts w:hint="eastAsia" w:ascii="仿宋" w:hAnsi="仿宋" w:eastAsia="仿宋" w:cs="仿宋"/>
          <w:color w:val="000000" w:themeColor="text1"/>
          <w:sz w:val="30"/>
          <w:szCs w:val="30"/>
          <w:highlight w:val="none"/>
          <w14:textFill>
            <w14:solidFill>
              <w14:schemeClr w14:val="tx1"/>
            </w14:solidFill>
          </w14:textFill>
        </w:rPr>
        <w:t xml:space="preserve">第</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八章</w:t>
      </w:r>
      <w:r>
        <w:rPr>
          <w:rFonts w:hint="eastAsia" w:ascii="仿宋" w:hAnsi="仿宋" w:eastAsia="仿宋" w:cs="仿宋"/>
          <w:color w:val="000000" w:themeColor="text1"/>
          <w:sz w:val="30"/>
          <w:szCs w:val="30"/>
          <w:highlight w:val="none"/>
          <w14:textFill>
            <w14:solidFill>
              <w14:schemeClr w14:val="tx1"/>
            </w14:solidFill>
          </w14:textFill>
        </w:rPr>
        <w:t xml:space="preserve"> </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联系方式</w:t>
      </w:r>
      <w:r/>
    </w:p>
    <w:p>
      <w:pPr>
        <w:pStyle w:val="762"/>
        <w:ind w:firstLine="480"/>
        <w:keepLines w:val="0"/>
        <w:keepNext w:val="0"/>
        <w:pageBreakBefore w:val="0"/>
        <w:spacing w:line="360" w:lineRule="auto"/>
        <w:rPr>
          <w:rFonts w:hint="eastAsia" w:ascii="仿宋" w:hAnsi="仿宋" w:eastAsia="仿宋" w:cs="仿宋"/>
          <w:color w:val="000000" w:themeColor="text1"/>
          <w:sz w:val="24"/>
          <w:szCs w:val="24"/>
          <w:highlight w:val="none"/>
          <w:lang w:bidi="en-US"/>
          <w14:textFill>
            <w14:solidFill>
              <w14:schemeClr w14:val="tx1"/>
            </w14:solidFill>
          </w14:textFill>
        </w:rPr>
        <w:outlineLvl w:val="2"/>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1.采购人信息</w:t>
      </w:r>
      <w:r/>
    </w:p>
    <w:p>
      <w:pPr>
        <w:pStyle w:val="762"/>
        <w:ind w:firstLine="480"/>
        <w:keepLines w:val="0"/>
        <w:keepNext w:val="0"/>
        <w:pageBreakBefore w:val="0"/>
        <w:spacing w:line="360" w:lineRule="auto"/>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名称：</w:t>
      </w: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新沂市住房和城乡建设局</w:t>
      </w:r>
      <w:r/>
    </w:p>
    <w:p>
      <w:pPr>
        <w:pStyle w:val="762"/>
        <w:ind w:firstLine="480"/>
        <w:keepLines w:val="0"/>
        <w:keepNext w:val="0"/>
        <w:pageBreakBefore w:val="0"/>
        <w:spacing w:line="360" w:lineRule="auto"/>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地址：</w:t>
      </w: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新沂市市府路37号</w:t>
      </w:r>
      <w:r/>
    </w:p>
    <w:p>
      <w:pPr>
        <w:pStyle w:val="762"/>
        <w:ind w:firstLine="480"/>
        <w:keepLines w:val="0"/>
        <w:keepNext w:val="0"/>
        <w:pageBreakBefore w:val="0"/>
        <w:spacing w:line="360" w:lineRule="auto"/>
        <w:rPr>
          <w:rFonts w:hint="eastAsia" w:ascii="仿宋" w:hAnsi="仿宋" w:eastAsia="仿宋" w:cs="仿宋"/>
          <w:color w:val="000000" w:themeColor="text1"/>
          <w:sz w:val="24"/>
          <w:szCs w:val="24"/>
          <w:highlight w:val="none"/>
          <w:lang w:val="en-US" w:eastAsia="zh-CN" w:bidi="en-US"/>
          <w14:textFill>
            <w14:solidFill>
              <w14:schemeClr w14:val="tx1"/>
            </w14:solidFill>
          </w14:textFill>
        </w:rPr>
      </w:pPr>
      <w:r>
        <w:rPr>
          <w:rFonts w:hint="eastAsia" w:ascii="仿宋" w:hAnsi="仿宋" w:eastAsia="仿宋" w:cs="仿宋"/>
          <w:color w:val="000000" w:themeColor="text1"/>
          <w:sz w:val="24"/>
          <w:szCs w:val="24"/>
          <w:highlight w:val="none"/>
          <w:lang w:val="en-US" w:eastAsia="zh-CN" w:bidi="en-US"/>
          <w14:textFill>
            <w14:solidFill>
              <w14:schemeClr w14:val="tx1"/>
            </w14:solidFill>
          </w14:textFill>
        </w:rPr>
        <w:t xml:space="preserve">联系人：</w:t>
      </w:r>
      <w:r>
        <w:rPr>
          <w:rFonts w:hint="eastAsia" w:ascii="仿宋" w:hAnsi="仿宋" w:eastAsia="仿宋" w:cs="仿宋"/>
          <w:color w:val="000000" w:themeColor="text1"/>
          <w:sz w:val="24"/>
          <w:szCs w:val="24"/>
          <w:highlight w:val="none"/>
          <w:lang w:val="en-US" w:eastAsia="zh-CN" w:bidi="en-US"/>
          <w14:textFill>
            <w14:solidFill>
              <w14:schemeClr w14:val="tx1"/>
            </w14:solidFill>
          </w14:textFill>
        </w:rPr>
      </w:r>
      <w:r>
        <w:rPr>
          <w:rFonts w:ascii="FangSong" w:hAnsi="FangSong" w:eastAsia="FangSong" w:cs="FangSong"/>
          <w:color w:val="000000"/>
          <w:sz w:val="24"/>
        </w:rPr>
        <w:t xml:space="preserve">范箫寒</w:t>
      </w:r>
      <w:r>
        <w:rPr>
          <w:rFonts w:hint="eastAsia" w:ascii="仿宋" w:hAnsi="仿宋" w:eastAsia="仿宋" w:cs="仿宋"/>
          <w:color w:val="000000" w:themeColor="text1"/>
          <w:sz w:val="24"/>
          <w:szCs w:val="24"/>
          <w:highlight w:val="none"/>
          <w:lang w:val="en-US" w:eastAsia="zh-CN" w:bidi="en-US"/>
          <w14:textFill>
            <w14:solidFill>
              <w14:schemeClr w14:val="tx1"/>
            </w14:solidFill>
          </w14:textFill>
        </w:rPr>
      </w:r>
      <w:r/>
    </w:p>
    <w:p>
      <w:pPr>
        <w:pStyle w:val="762"/>
        <w:ind w:firstLine="480"/>
        <w:keepLines w:val="0"/>
        <w:keepNext w:val="0"/>
        <w:pageBreakBefore w:val="0"/>
        <w:spacing w:line="360" w:lineRule="auto"/>
        <w:rPr>
          <w:rFonts w:hint="default" w:ascii="仿宋" w:hAnsi="仿宋" w:eastAsia="仿宋" w:cs="仿宋"/>
          <w:color w:val="000000" w:themeColor="text1"/>
          <w:sz w:val="24"/>
          <w:szCs w:val="24"/>
          <w:highlight w:val="none"/>
          <w:lang w:val="en-US" w:eastAsia="zh-CN" w:bidi="en-US"/>
          <w14:textFill>
            <w14:solidFill>
              <w14:schemeClr w14:val="tx1"/>
            </w14:solidFill>
          </w14:textFill>
        </w:rPr>
      </w:pP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联系方式：</w:t>
      </w:r>
      <w:r>
        <w:rPr>
          <w:rFonts w:hint="eastAsia" w:ascii="仿宋" w:hAnsi="仿宋" w:eastAsia="仿宋" w:cs="仿宋"/>
          <w:color w:val="000000" w:themeColor="text1"/>
          <w:sz w:val="24"/>
          <w:szCs w:val="24"/>
          <w:highlight w:val="none"/>
          <w:lang w:val="en-US" w:eastAsia="zh-CN" w:bidi="en-US"/>
          <w14:textFill>
            <w14:solidFill>
              <w14:schemeClr w14:val="tx1"/>
            </w14:solidFill>
          </w14:textFill>
        </w:rPr>
      </w:r>
      <w:r>
        <w:rPr>
          <w:rFonts w:ascii="FangSong" w:hAnsi="FangSong" w:eastAsia="FangSong" w:cs="FangSong"/>
          <w:color w:val="000000"/>
          <w:sz w:val="24"/>
        </w:rPr>
        <w:t xml:space="preserve">18811918905</w:t>
      </w:r>
      <w:r>
        <w:rPr>
          <w:rFonts w:hint="eastAsia" w:ascii="仿宋" w:hAnsi="仿宋" w:eastAsia="仿宋" w:cs="仿宋"/>
          <w:color w:val="000000" w:themeColor="text1"/>
          <w:sz w:val="24"/>
          <w:szCs w:val="24"/>
          <w:highlight w:val="none"/>
          <w:lang w:val="en-US" w:eastAsia="zh-CN" w:bidi="en-US"/>
          <w14:textFill>
            <w14:solidFill>
              <w14:schemeClr w14:val="tx1"/>
            </w14:solidFill>
          </w14:textFill>
        </w:rPr>
      </w:r>
      <w:r/>
    </w:p>
    <w:p>
      <w:pPr>
        <w:pStyle w:val="762"/>
        <w:ind w:firstLine="480"/>
        <w:keepLines w:val="0"/>
        <w:keepNext w:val="0"/>
        <w:pageBreakBefore w:val="0"/>
        <w:spacing w:line="360" w:lineRule="auto"/>
        <w:rPr>
          <w:rFonts w:hint="eastAsia" w:ascii="仿宋" w:hAnsi="仿宋" w:eastAsia="仿宋" w:cs="仿宋"/>
          <w:color w:val="000000" w:themeColor="text1"/>
          <w:sz w:val="24"/>
          <w:szCs w:val="24"/>
          <w:highlight w:val="none"/>
          <w:lang w:bidi="en-US"/>
          <w14:textFill>
            <w14:solidFill>
              <w14:schemeClr w14:val="tx1"/>
            </w14:solidFill>
          </w14:textFill>
        </w:rPr>
        <w:outlineLvl w:val="2"/>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2.采购代理机构信息</w:t>
      </w:r>
      <w:r/>
    </w:p>
    <w:p>
      <w:pPr>
        <w:pStyle w:val="762"/>
        <w:ind w:firstLine="480"/>
        <w:keepLines w:val="0"/>
        <w:keepNext w:val="0"/>
        <w:pageBreakBefore w:val="0"/>
        <w:spacing w:line="360" w:lineRule="auto"/>
        <w:rPr>
          <w:rFonts w:hint="eastAsia" w:ascii="仿宋" w:hAnsi="仿宋" w:eastAsia="仿宋" w:cs="仿宋"/>
          <w:color w:val="000000" w:themeColor="text1"/>
          <w:sz w:val="24"/>
          <w:szCs w:val="24"/>
          <w:highlight w:val="none"/>
          <w:lang w:eastAsia="zh-CN"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名称：</w:t>
      </w:r>
      <w:bookmarkStart w:id="666" w:name="_GoBack"/>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江苏格恒项目管理咨询有限公司</w:t>
      </w:r>
      <w:bookmarkEnd w:id="666"/>
      <w:r/>
      <w:r/>
    </w:p>
    <w:p>
      <w:pPr>
        <w:pStyle w:val="762"/>
        <w:ind w:firstLine="480"/>
        <w:keepLines w:val="0"/>
        <w:keepNext w:val="0"/>
        <w:pageBreakBefore w:val="0"/>
        <w:spacing w:line="360" w:lineRule="auto"/>
        <w:rPr>
          <w:rFonts w:hint="eastAsia" w:ascii="仿宋" w:hAnsi="仿宋" w:eastAsia="仿宋" w:cs="仿宋"/>
          <w:color w:val="000000" w:themeColor="text1"/>
          <w:sz w:val="24"/>
          <w:szCs w:val="24"/>
          <w:highlight w:val="none"/>
          <w:lang w:val="en-US" w:eastAsia="zh-CN"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地址：徐州市云龙区中茵商业广场4号楼1-1022</w:t>
      </w: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762"/>
        <w:ind w:firstLine="480"/>
        <w:keepLines w:val="0"/>
        <w:keepNext w:val="0"/>
        <w:pageBreakBefore w:val="0"/>
        <w:spacing w:line="360" w:lineRule="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联系人：</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崔</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洋</w:t>
      </w:r>
      <w:r/>
    </w:p>
    <w:p>
      <w:pPr>
        <w:pStyle w:val="762"/>
        <w:ind w:firstLine="480"/>
        <w:keepLines w:val="0"/>
        <w:keepNext w:val="0"/>
        <w:pageBreakBefore w:val="0"/>
        <w:spacing w:line="360" w:lineRule="auto"/>
        <w:rPr>
          <w:rFonts w:hint="eastAsia" w:ascii="仿宋" w:hAnsi="仿宋" w:eastAsia="仿宋" w:cs="仿宋"/>
          <w:color w:val="000000" w:themeColor="text1"/>
          <w:sz w:val="24"/>
          <w:szCs w:val="24"/>
          <w:highlight w:val="none"/>
          <w:lang w:val="en-US" w:eastAsia="zh-CN"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联系方式：</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17712073658</w:t>
      </w:r>
      <w:r/>
    </w:p>
    <w:p>
      <w:pPr>
        <w:pStyle w:val="777"/>
        <w:ind w:firstLine="482"/>
        <w:pageBreakBefore w:val="0"/>
        <w:spacing w:before="0" w:after="0" w:line="360" w:lineRule="auto"/>
        <w:rPr>
          <w:rFonts w:hint="eastAsia" w:ascii="仿宋" w:hAnsi="仿宋" w:eastAsia="仿宋" w:cs="仿宋"/>
          <w:color w:val="000000" w:themeColor="text1"/>
          <w:sz w:val="24"/>
          <w:szCs w:val="24"/>
          <w:highlight w:val="none"/>
          <w14:textFill>
            <w14:solidFill>
              <w14:schemeClr w14:val="tx1"/>
            </w14:solidFill>
          </w14:textFill>
        </w:rPr>
        <w:outlineLvl w:val="0"/>
      </w:pPr>
      <w:r>
        <w:rPr>
          <w:rFonts w:hint="eastAsia" w:ascii="仿宋" w:hAnsi="仿宋" w:eastAsia="仿宋" w:cs="仿宋"/>
          <w:color w:val="000000" w:themeColor="text1"/>
          <w:sz w:val="24"/>
          <w:szCs w:val="24"/>
          <w:highlight w:val="none"/>
          <w14:textFill>
            <w14:solidFill>
              <w14:schemeClr w14:val="tx1"/>
            </w14:solidFill>
          </w14:textFill>
        </w:rPr>
        <w:br w:type="page" w:clear="all"/>
      </w:r>
      <w:bookmarkStart w:id="90" w:name="_Toc31"/>
      <w:r/>
      <w:bookmarkStart w:id="91" w:name="_Toc21113"/>
      <w:r/>
      <w:bookmarkStart w:id="92" w:name="_Toc31547"/>
      <w:r/>
      <w:bookmarkStart w:id="93" w:name="_Toc18403"/>
      <w:r/>
      <w:bookmarkStart w:id="94" w:name="_Toc4671"/>
      <w:r/>
      <w:bookmarkStart w:id="95" w:name="_Toc25097"/>
      <w:r/>
      <w:bookmarkStart w:id="96" w:name="_Toc12825"/>
      <w:r/>
      <w:bookmarkStart w:id="97" w:name="_Toc21146"/>
      <w:r/>
      <w:bookmarkStart w:id="98" w:name="_Toc23683"/>
      <w:r/>
      <w:bookmarkStart w:id="99" w:name="_Toc18729"/>
      <w:r/>
      <w:bookmarkStart w:id="100" w:name="_Toc27653"/>
      <w:r/>
      <w:bookmarkStart w:id="101" w:name="_Toc13230"/>
      <w:r/>
      <w:bookmarkStart w:id="102" w:name="_Toc1807"/>
      <w:r/>
      <w:bookmarkStart w:id="103" w:name="_Toc28238"/>
      <w:r/>
      <w:bookmarkStart w:id="104" w:name="_Toc1369"/>
      <w:r/>
      <w:bookmarkStart w:id="105" w:name="_Toc6628"/>
      <w:r/>
      <w:bookmarkStart w:id="106" w:name="_Toc30822"/>
      <w:r/>
      <w:bookmarkStart w:id="107" w:name="_Toc10229"/>
      <w:r>
        <w:rPr>
          <w:rFonts w:hint="eastAsia" w:ascii="仿宋" w:hAnsi="仿宋" w:eastAsia="仿宋" w:cs="仿宋"/>
          <w:color w:val="000000" w:themeColor="text1"/>
          <w:szCs w:val="28"/>
          <w:highlight w:val="none"/>
          <w:lang w:eastAsia="zh-CN"/>
          <w14:textFill>
            <w14:solidFill>
              <w14:schemeClr w14:val="tx1"/>
            </w14:solidFill>
          </w14:textFill>
        </w:rPr>
        <w:t xml:space="preserve">第九章</w:t>
      </w:r>
      <w:r>
        <w:rPr>
          <w:rFonts w:hint="eastAsia" w:ascii="仿宋" w:hAnsi="仿宋" w:eastAsia="仿宋" w:cs="仿宋"/>
          <w:color w:val="000000" w:themeColor="text1"/>
          <w:szCs w:val="28"/>
          <w:highlight w:val="none"/>
          <w14:textFill>
            <w14:solidFill>
              <w14:schemeClr w14:val="tx1"/>
            </w14:solidFill>
          </w14:textFill>
        </w:rPr>
        <w:t xml:space="preserve"> 附  件</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
    </w:p>
    <w:p>
      <w:pPr>
        <w:pStyle w:val="764"/>
        <w:ind w:firstLine="472"/>
        <w:pageBreakBefore w:val="0"/>
        <w:spacing w:line="360" w:lineRule="auto"/>
        <w:widowControl/>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附件：附后</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1、《评分细则》</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2、《采购需求》</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3、《磋商报价表》</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4、《</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分项报价表</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5、《偏离表》</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6、《承诺书》</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7、《法人授权委托书》</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8、《供应商参加政府采购活动前3年内在经营活动中没有重大违法记录的书面声明》</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9. 《具备履行合同所必需的设备和专业技术能力的书面声明》</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10、《中小企业声明函》</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11、《残疾人福利性单位声明函》</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12、《技术方案》</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13、</w:t>
      </w:r>
      <w:r>
        <w:rPr>
          <w:rFonts w:hint="eastAsia" w:ascii="仿宋" w:hAnsi="仿宋" w:eastAsia="仿宋" w:cs="仿宋"/>
          <w:color w:val="000000" w:themeColor="text1"/>
          <w:sz w:val="24"/>
          <w:highlight w:val="none"/>
          <w14:textFill>
            <w14:solidFill>
              <w14:schemeClr w14:val="tx1"/>
            </w14:solidFill>
          </w14:textFill>
        </w:rPr>
        <w:t xml:space="preserve">《拟签订的合同文本》</w:t>
      </w:r>
      <w:r/>
    </w:p>
    <w:p>
      <w:pPr>
        <w:pStyle w:val="1006"/>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578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578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73"/>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73"/>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73"/>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73"/>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73"/>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73"/>
        <w:numPr>
          <w:ilvl w:val="0"/>
          <w:numId w:val="0"/>
        </w:numPr>
        <w:ind w:right="6"/>
        <w:jc w:val="both"/>
        <w:pageBreakBefore w:val="0"/>
        <w:spacing w:line="360" w:lineRule="auto"/>
        <w:rPr>
          <w:rStyle w:val="941"/>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r>
      <w:r/>
    </w:p>
    <w:p>
      <w:pPr>
        <w:pStyle w:val="773"/>
        <w:numPr>
          <w:ilvl w:val="0"/>
          <w:numId w:val="0"/>
        </w:numPr>
        <w:ind w:right="6"/>
        <w:jc w:val="both"/>
        <w:pageBreakBefore w:val="0"/>
        <w:spacing w:line="360" w:lineRule="auto"/>
        <w:rPr>
          <w:rStyle w:val="941"/>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r>
      <w:r/>
    </w:p>
    <w:p>
      <w:pPr>
        <w:rPr>
          <w:rFonts w:hint="eastAsia" w:ascii="仿宋" w:hAnsi="仿宋" w:eastAsia="仿宋" w:cs="仿宋"/>
          <w:highlight w:val="none"/>
          <w:lang w:val="en-US"/>
        </w:rPr>
      </w:pPr>
      <w:r>
        <w:rPr>
          <w:rFonts w:hint="eastAsia" w:ascii="仿宋" w:hAnsi="仿宋" w:eastAsia="仿宋" w:cs="仿宋"/>
          <w:highlight w:val="none"/>
          <w:lang w:val="en-US"/>
        </w:rPr>
      </w:r>
      <w:r/>
    </w:p>
    <w:p>
      <w:pPr>
        <w:pStyle w:val="773"/>
        <w:numPr>
          <w:ilvl w:val="0"/>
          <w:numId w:val="0"/>
        </w:numPr>
        <w:ind w:right="6"/>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73"/>
        <w:numPr>
          <w:ilvl w:val="0"/>
          <w:numId w:val="0"/>
        </w:numPr>
        <w:ind w:right="6"/>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pPr>
      <w:r>
        <w:rPr>
          <w:rStyle w:val="941"/>
          <w:rFonts w:hint="eastAsia" w:ascii="仿宋" w:hAnsi="仿宋" w:eastAsia="仿宋" w:cs="仿宋"/>
          <w:color w:val="000000" w:themeColor="text1"/>
          <w:sz w:val="24"/>
          <w:szCs w:val="24"/>
          <w:highlight w:val="none"/>
          <w:lang w:val="en-US"/>
          <w14:textFill>
            <w14:solidFill>
              <w14:schemeClr w14:val="tx1"/>
            </w14:solidFill>
          </w14:textFill>
        </w:rPr>
        <w:t xml:space="preserve">1、</w:t>
      </w:r>
      <w:r>
        <w:rPr>
          <w:rStyle w:val="941"/>
          <w:rFonts w:hint="eastAsia" w:ascii="仿宋" w:hAnsi="仿宋" w:eastAsia="仿宋" w:cs="仿宋"/>
          <w:color w:val="000000" w:themeColor="text1"/>
          <w:sz w:val="24"/>
          <w:szCs w:val="24"/>
          <w:highlight w:val="none"/>
          <w14:textFill>
            <w14:solidFill>
              <w14:schemeClr w14:val="tx1"/>
            </w14:solidFill>
          </w14:textFill>
        </w:rPr>
        <w:t xml:space="preserve">评分细则</w:t>
      </w:r>
      <w:r/>
    </w:p>
    <w:tbl>
      <w:tblPr>
        <w:tblStyle w:val="723"/>
        <w:tblW w:w="9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75"/>
        <w:gridCol w:w="6225"/>
      </w:tblGrid>
      <w:tr>
        <w:trPr>
          <w:jc w:val="center"/>
          <w:trHeight w:val="341"/>
        </w:trPr>
        <w:tc>
          <w:tcPr>
            <w:tcBorders>
              <w:top w:val="single" w:color="auto" w:sz="4" w:space="0"/>
              <w:left w:val="single" w:color="auto" w:sz="4" w:space="0"/>
              <w:bottom w:val="single" w:color="auto" w:sz="4" w:space="0"/>
              <w:right w:val="single" w:color="auto" w:sz="4" w:space="0"/>
            </w:tcBorders>
            <w:tcW w:w="760" w:type="dxa"/>
            <w:textDirection w:val="lrTb"/>
            <w:noWrap w:val="false"/>
          </w:tcPr>
          <w:p>
            <w:pPr>
              <w:pStyle w:val="1005"/>
              <w:jc w:val="center"/>
              <w:pageBreakBefore w:val="0"/>
              <w:spacing w:line="360" w:lineRule="auto"/>
              <w:rPr>
                <w:rFonts w:hint="eastAsia" w:ascii="仿宋" w:hAnsi="仿宋" w:eastAsia="仿宋" w:cs="仿宋"/>
                <w:b/>
                <w:color w:val="000000" w:themeColor="text1"/>
                <w:sz w:val="22"/>
                <w:szCs w:val="22"/>
                <w:highlight w:val="none"/>
                <w14:textFill>
                  <w14:solidFill>
                    <w14:schemeClr w14:val="tx1"/>
                  </w14:solidFill>
                </w14:textFill>
              </w:rPr>
            </w:pPr>
            <w:r>
              <w:rPr>
                <w:rFonts w:hint="eastAsia" w:ascii="仿宋" w:hAnsi="仿宋" w:eastAsia="仿宋" w:cs="仿宋"/>
                <w:b/>
                <w:color w:val="000000" w:themeColor="text1"/>
                <w:sz w:val="22"/>
                <w:szCs w:val="22"/>
                <w:highlight w:val="none"/>
                <w14:textFill>
                  <w14:solidFill>
                    <w14:schemeClr w14:val="tx1"/>
                  </w14:solidFill>
                </w14:textFill>
              </w:rPr>
              <w:t xml:space="preserve">项目</w:t>
            </w:r>
            <w:r/>
          </w:p>
        </w:tc>
        <w:tc>
          <w:tcPr>
            <w:gridSpan w:val="2"/>
            <w:tcBorders>
              <w:top w:val="single" w:color="auto" w:sz="4" w:space="0"/>
              <w:left w:val="single" w:color="auto" w:sz="4" w:space="0"/>
              <w:bottom w:val="single" w:color="auto" w:sz="4" w:space="0"/>
              <w:right w:val="single" w:color="auto" w:sz="4" w:space="0"/>
            </w:tcBorders>
            <w:tcW w:w="8300" w:type="dxa"/>
            <w:textDirection w:val="lrTb"/>
            <w:noWrap w:val="false"/>
          </w:tcPr>
          <w:p>
            <w:pPr>
              <w:pStyle w:val="1005"/>
              <w:jc w:val="center"/>
              <w:pageBreakBefore w:val="0"/>
              <w:spacing w:line="360" w:lineRule="auto"/>
              <w:rPr>
                <w:rFonts w:hint="eastAsia" w:ascii="仿宋" w:hAnsi="仿宋" w:eastAsia="仿宋" w:cs="仿宋"/>
                <w:b/>
                <w:color w:val="000000" w:themeColor="text1"/>
                <w:sz w:val="22"/>
                <w:szCs w:val="22"/>
                <w:highlight w:val="none"/>
                <w14:textFill>
                  <w14:solidFill>
                    <w14:schemeClr w14:val="tx1"/>
                  </w14:solidFill>
                </w14:textFill>
              </w:rPr>
            </w:pPr>
            <w:r>
              <w:rPr>
                <w:rFonts w:hint="eastAsia" w:ascii="仿宋" w:hAnsi="仿宋" w:eastAsia="仿宋" w:cs="仿宋"/>
                <w:b/>
                <w:color w:val="000000" w:themeColor="text1"/>
                <w:sz w:val="22"/>
                <w:szCs w:val="22"/>
                <w:highlight w:val="none"/>
                <w14:textFill>
                  <w14:solidFill>
                    <w14:schemeClr w14:val="tx1"/>
                  </w14:solidFill>
                </w14:textFill>
              </w:rPr>
              <w:t xml:space="preserve">评分标准</w:t>
            </w:r>
            <w:r/>
          </w:p>
        </w:tc>
      </w:tr>
      <w:tr>
        <w:trPr>
          <w:jc w:val="center"/>
          <w:trHeight w:val="1624"/>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pStyle w:val="1005"/>
              <w:jc w:val="center"/>
              <w:pageBreakBefore w:val="0"/>
              <w:spacing w:line="360" w:lineRule="auto"/>
              <w:rPr>
                <w:rFonts w:hint="eastAsia" w:ascii="仿宋" w:hAnsi="仿宋" w:eastAsia="仿宋" w:cs="仿宋"/>
                <w:color w:val="000000" w:themeColor="text1"/>
                <w:sz w:val="22"/>
                <w:szCs w:val="22"/>
                <w:highlight w:val="none"/>
                <w:lang w:val="en-US" w:eastAsia="zh-CN"/>
                <w14:textFill>
                  <w14:solidFill>
                    <w14:schemeClr w14:val="tx1"/>
                  </w14:solidFill>
                </w14:textFill>
              </w:rPr>
            </w:pP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价格部分</w:t>
            </w:r>
            <w:r/>
          </w:p>
          <w:p>
            <w:pPr>
              <w:jc w:val="center"/>
              <w:pageBreakBefore w:val="0"/>
              <w:spacing w:line="360" w:lineRule="auto"/>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（10分）</w:t>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1005"/>
              <w:jc w:val="center"/>
              <w:pageBreakBefore w:val="0"/>
              <w:spacing w:line="360" w:lineRule="auto"/>
              <w:rPr>
                <w:rFonts w:hint="eastAsia" w:ascii="仿宋" w:hAnsi="仿宋" w:eastAsia="仿宋" w:cs="仿宋"/>
                <w:color w:val="000000" w:themeColor="text1"/>
                <w:sz w:val="22"/>
                <w:szCs w:val="22"/>
                <w:highlight w:val="none"/>
                <w:lang w:eastAsia="zh-CN"/>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价格</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分</w:t>
            </w:r>
            <w:r/>
          </w:p>
          <w:p>
            <w:pPr>
              <w:pStyle w:val="1005"/>
              <w:jc w:val="center"/>
              <w:pageBreakBefore w:val="0"/>
              <w:spacing w:line="360" w:lineRule="auto"/>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lang w:eastAsia="zh-CN"/>
                <w14:textFill>
                  <w14:solidFill>
                    <w14:schemeClr w14:val="tx1"/>
                  </w14:solidFill>
                </w14:textFill>
              </w:rPr>
              <w:t xml:space="preserve">（</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2"/>
                <w:szCs w:val="22"/>
                <w:highlight w:val="none"/>
                <w14:textFill>
                  <w14:solidFill>
                    <w14:schemeClr w14:val="tx1"/>
                  </w14:solidFill>
                </w14:textFill>
              </w:rPr>
              <w:t xml:space="preserve">分</w:t>
            </w:r>
            <w:r>
              <w:rPr>
                <w:rFonts w:hint="eastAsia" w:ascii="仿宋" w:hAnsi="仿宋" w:eastAsia="仿宋" w:cs="仿宋"/>
                <w:color w:val="000000" w:themeColor="text1"/>
                <w:sz w:val="22"/>
                <w:szCs w:val="22"/>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6225" w:type="dxa"/>
            <w:textDirection w:val="lrTb"/>
            <w:noWrap w:val="false"/>
          </w:tcPr>
          <w:p>
            <w:pPr>
              <w:pStyle w:val="1005"/>
              <w:jc w:val="both"/>
              <w:keepLines w:val="0"/>
              <w:keepNext w:val="0"/>
              <w:pageBreakBefore w:val="0"/>
              <w:spacing w:line="360" w:lineRule="auto"/>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本项目价格评分采用低价优先法计算，即满足</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磋商</w:t>
            </w:r>
            <w:r>
              <w:rPr>
                <w:rFonts w:hint="eastAsia" w:ascii="仿宋" w:hAnsi="仿宋" w:eastAsia="仿宋" w:cs="仿宋"/>
                <w:color w:val="000000" w:themeColor="text1"/>
                <w:sz w:val="22"/>
                <w:szCs w:val="22"/>
                <w:highlight w:val="none"/>
                <w14:textFill>
                  <w14:solidFill>
                    <w14:schemeClr w14:val="tx1"/>
                  </w14:solidFill>
                </w14:textFill>
              </w:rPr>
              <w:t xml:space="preserve">文件要求且投标价格最低的有效投标报价为评标基准价，其价格分为满分。</w:t>
            </w:r>
            <w:r/>
          </w:p>
          <w:p>
            <w:pPr>
              <w:pStyle w:val="1005"/>
              <w:jc w:val="both"/>
              <w:keepLines w:val="0"/>
              <w:keepNext w:val="0"/>
              <w:pageBreakBefore w:val="0"/>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其他供应商报价得分：投标报价得分=(评标基准价／投标报价)×</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2"/>
                <w:szCs w:val="22"/>
                <w:highlight w:val="none"/>
                <w14:textFill>
                  <w14:solidFill>
                    <w14:schemeClr w14:val="tx1"/>
                  </w14:solidFill>
                </w14:textFill>
              </w:rPr>
              <w:t xml:space="preserve">（四舍五入后保留小数点后两位） </w:t>
            </w:r>
            <w:r/>
          </w:p>
        </w:tc>
      </w:tr>
      <w:tr>
        <w:trPr>
          <w:jc w:val="center"/>
          <w:trHeight w:val="1622"/>
        </w:trPr>
        <w:tc>
          <w:tcPr>
            <w:tcBorders>
              <w:top w:val="single" w:color="auto" w:sz="4" w:space="0"/>
              <w:left w:val="single" w:color="auto" w:sz="4" w:space="0"/>
              <w:right w:val="single" w:color="auto" w:sz="4" w:space="0"/>
            </w:tcBorders>
            <w:tcW w:w="760" w:type="dxa"/>
            <w:vAlign w:val="center"/>
            <w:vMerge w:val="restart"/>
            <w:textDirection w:val="lrTb"/>
            <w:noWrap w:val="false"/>
          </w:tcPr>
          <w:p>
            <w:pPr>
              <w:pStyle w:val="1005"/>
              <w:jc w:val="center"/>
              <w:pageBreakBefore w:val="0"/>
              <w:spacing w:line="360" w:lineRule="auto"/>
              <w:rPr>
                <w:rFonts w:hint="eastAsia" w:ascii="仿宋" w:hAnsi="仿宋" w:eastAsia="仿宋" w:cs="仿宋"/>
                <w:b w:val="0"/>
                <w:bCs w:val="0"/>
                <w:color w:val="000000" w:themeColor="text1"/>
                <w:sz w:val="22"/>
                <w:szCs w:val="22"/>
                <w:highlight w:val="none"/>
                <w14:textFill>
                  <w14:solidFill>
                    <w14:schemeClr w14:val="tx1"/>
                  </w14:solidFill>
                </w14:textFill>
              </w:rPr>
            </w:pPr>
            <w:r>
              <w:rPr>
                <w:rFonts w:hint="eastAsia" w:ascii="仿宋" w:hAnsi="仿宋" w:eastAsia="仿宋" w:cs="仿宋"/>
                <w:b w:val="0"/>
                <w:bCs w:val="0"/>
                <w:color w:val="000000" w:themeColor="text1"/>
                <w:sz w:val="22"/>
                <w:szCs w:val="22"/>
                <w:highlight w:val="none"/>
                <w14:textFill>
                  <w14:solidFill>
                    <w14:schemeClr w14:val="tx1"/>
                  </w14:solidFill>
                </w14:textFill>
              </w:rPr>
            </w:r>
            <w:r/>
          </w:p>
          <w:p>
            <w:pPr>
              <w:pStyle w:val="1005"/>
              <w:jc w:val="center"/>
              <w:pageBreakBefore w:val="0"/>
              <w:spacing w:line="360" w:lineRule="auto"/>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pPr>
            <w:r>
              <w:rPr>
                <w:rFonts w:hint="eastAsia" w:ascii="仿宋" w:hAnsi="仿宋" w:eastAsia="仿宋" w:cs="仿宋"/>
                <w:b w:val="0"/>
                <w:bCs w:val="0"/>
                <w:color w:val="000000" w:themeColor="text1"/>
                <w:sz w:val="22"/>
                <w:szCs w:val="22"/>
                <w:highlight w:val="none"/>
                <w14:textFill>
                  <w14:solidFill>
                    <w14:schemeClr w14:val="tx1"/>
                  </w14:solidFill>
                </w14:textFill>
              </w:rPr>
              <w:t xml:space="preserve">商务</w:t>
            </w:r>
            <w: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t xml:space="preserve">部分</w:t>
            </w:r>
            <w:r/>
          </w:p>
          <w:p>
            <w:pPr>
              <w:jc w:val="center"/>
              <w:pageBreakBefore w:val="0"/>
              <w:spacing w:line="360" w:lineRule="auto"/>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pPr>
            <w:r>
              <w:rPr>
                <w:rFonts w:hint="eastAsia" w:ascii="仿宋" w:hAnsi="仿宋" w:eastAsia="仿宋" w:cs="仿宋"/>
                <w:b w:val="0"/>
                <w:bCs w:val="0"/>
                <w:color w:val="000000" w:themeColor="text1"/>
                <w:sz w:val="22"/>
                <w:szCs w:val="22"/>
                <w:highlight w:val="none"/>
                <w:lang w:eastAsia="zh-CN"/>
                <w14:textFill>
                  <w14:solidFill>
                    <w14:schemeClr w14:val="tx1"/>
                  </w14:solidFill>
                </w14:textFill>
              </w:rPr>
              <w:t xml:space="preserve">（</w:t>
            </w:r>
            <w: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t xml:space="preserve">7分）</w:t>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1005"/>
              <w:ind w:firstLine="440"/>
              <w:jc w:val="center"/>
              <w:pageBreakBefore w:val="0"/>
              <w:spacing w:line="360" w:lineRule="auto"/>
              <w:rPr>
                <w:rFonts w:hint="eastAsia" w:ascii="仿宋" w:hAnsi="仿宋" w:eastAsia="仿宋" w:cs="仿宋"/>
                <w:b w:val="0"/>
                <w:bCs w:val="0"/>
                <w:color w:val="000000" w:themeColor="text1"/>
                <w:sz w:val="22"/>
                <w:szCs w:val="22"/>
                <w:highlight w:val="none"/>
                <w14:textFill>
                  <w14:solidFill>
                    <w14:schemeClr w14:val="tx1"/>
                  </w14:solidFill>
                </w14:textFill>
              </w:rPr>
            </w:pPr>
            <w:r>
              <w:rPr>
                <w:rFonts w:hint="eastAsia" w:ascii="仿宋" w:hAnsi="仿宋" w:eastAsia="仿宋" w:cs="仿宋"/>
                <w:b w:val="0"/>
                <w:bCs w:val="0"/>
                <w:color w:val="000000" w:themeColor="text1"/>
                <w:sz w:val="22"/>
                <w:szCs w:val="22"/>
                <w:highlight w:val="none"/>
                <w14:textFill>
                  <w14:solidFill>
                    <w14:schemeClr w14:val="tx1"/>
                  </w14:solidFill>
                </w14:textFill>
              </w:rPr>
            </w:r>
            <w:r/>
          </w:p>
          <w:p>
            <w:pPr>
              <w:pStyle w:val="1005"/>
              <w:ind w:firstLine="440"/>
              <w:jc w:val="both"/>
              <w:pageBreakBefore w:val="0"/>
              <w:spacing w:line="360" w:lineRule="auto"/>
              <w:rPr>
                <w:rFonts w:hint="eastAsia" w:ascii="仿宋" w:hAnsi="仿宋" w:eastAsia="仿宋" w:cs="仿宋"/>
                <w:b w:val="0"/>
                <w:bCs w:val="0"/>
                <w:color w:val="000000" w:themeColor="text1"/>
                <w:sz w:val="22"/>
                <w:szCs w:val="22"/>
                <w:highlight w:val="none"/>
                <w14:textFill>
                  <w14:solidFill>
                    <w14:schemeClr w14:val="tx1"/>
                  </w14:solidFill>
                </w14:textFill>
              </w:rPr>
            </w:pPr>
            <w: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t xml:space="preserve">类似</w:t>
            </w:r>
            <w:r>
              <w:rPr>
                <w:rFonts w:hint="eastAsia" w:ascii="仿宋" w:hAnsi="仿宋" w:eastAsia="仿宋" w:cs="仿宋"/>
                <w:b w:val="0"/>
                <w:bCs w:val="0"/>
                <w:color w:val="000000" w:themeColor="text1"/>
                <w:sz w:val="22"/>
                <w:szCs w:val="22"/>
                <w:highlight w:val="none"/>
                <w14:textFill>
                  <w14:solidFill>
                    <w14:schemeClr w14:val="tx1"/>
                  </w14:solidFill>
                </w14:textFill>
              </w:rPr>
              <w:t xml:space="preserve">业绩</w:t>
            </w:r>
            <w:r/>
          </w:p>
          <w:p>
            <w:pPr>
              <w:pStyle w:val="1005"/>
              <w:ind w:firstLine="440"/>
              <w:jc w:val="both"/>
              <w:pageBreakBefore w:val="0"/>
              <w:spacing w:line="360" w:lineRule="auto"/>
              <w:rPr>
                <w:rFonts w:hint="eastAsia" w:ascii="仿宋" w:hAnsi="仿宋" w:eastAsia="仿宋" w:cs="仿宋"/>
                <w:b w:val="0"/>
                <w:bCs w:val="0"/>
                <w:color w:val="000000" w:themeColor="text1"/>
                <w:sz w:val="22"/>
                <w:szCs w:val="22"/>
                <w:highlight w:val="none"/>
                <w14:textFill>
                  <w14:solidFill>
                    <w14:schemeClr w14:val="tx1"/>
                  </w14:solidFill>
                </w14:textFill>
              </w:rPr>
            </w:pPr>
            <w:r>
              <w:rPr>
                <w:rFonts w:hint="eastAsia" w:ascii="仿宋" w:hAnsi="仿宋" w:eastAsia="仿宋" w:cs="仿宋"/>
                <w:b w:val="0"/>
                <w:bCs w:val="0"/>
                <w:color w:val="000000" w:themeColor="text1"/>
                <w:sz w:val="22"/>
                <w:szCs w:val="22"/>
                <w:highlight w:val="none"/>
                <w14:textFill>
                  <w14:solidFill>
                    <w14:schemeClr w14:val="tx1"/>
                  </w14:solidFill>
                </w14:textFill>
              </w:rPr>
              <w:t xml:space="preserve">（</w:t>
            </w:r>
            <w: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t xml:space="preserve">4</w:t>
            </w:r>
            <w:r>
              <w:rPr>
                <w:rFonts w:hint="eastAsia" w:ascii="仿宋" w:hAnsi="仿宋" w:eastAsia="仿宋" w:cs="仿宋"/>
                <w:b w:val="0"/>
                <w:bCs w:val="0"/>
                <w:color w:val="000000" w:themeColor="text1"/>
                <w:sz w:val="22"/>
                <w:szCs w:val="22"/>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225" w:type="dxa"/>
            <w:textDirection w:val="lrTb"/>
            <w:noWrap w:val="false"/>
          </w:tcPr>
          <w:p>
            <w:pPr>
              <w:pStyle w:val="1038"/>
              <w:pageBreakBefore w:val="0"/>
              <w:spacing w:line="360" w:lineRule="auto"/>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投标供应商</w:t>
            </w:r>
            <w:r>
              <w:rPr>
                <w:rFonts w:hint="eastAsia" w:ascii="仿宋" w:hAnsi="仿宋" w:eastAsia="仿宋" w:cs="仿宋"/>
                <w:color w:val="000000" w:themeColor="text1"/>
                <w:sz w:val="22"/>
                <w:szCs w:val="22"/>
                <w:highlight w:val="none"/>
                <w14:textFill>
                  <w14:solidFill>
                    <w14:schemeClr w14:val="tx1"/>
                  </w14:solidFill>
                </w14:textFill>
              </w:rPr>
              <w:t xml:space="preserve">承接过类似项目</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的业绩证明材料</w:t>
            </w:r>
            <w:r>
              <w:rPr>
                <w:rFonts w:hint="eastAsia" w:ascii="仿宋" w:hAnsi="仿宋" w:eastAsia="仿宋" w:cs="仿宋"/>
                <w:color w:val="000000" w:themeColor="text1"/>
                <w:sz w:val="22"/>
                <w:szCs w:val="22"/>
                <w:highlight w:val="none"/>
                <w14:textFill>
                  <w14:solidFill>
                    <w14:schemeClr w14:val="tx1"/>
                  </w14:solidFill>
                </w14:textFill>
              </w:rPr>
              <w:t xml:space="preserve">，每提供一个得</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2"/>
                <w:szCs w:val="22"/>
                <w:highlight w:val="none"/>
                <w14:textFill>
                  <w14:solidFill>
                    <w14:schemeClr w14:val="tx1"/>
                  </w14:solidFill>
                </w14:textFill>
              </w:rPr>
              <w:t xml:space="preserve">分，最多得</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2"/>
                <w:szCs w:val="22"/>
                <w:highlight w:val="none"/>
                <w14:textFill>
                  <w14:solidFill>
                    <w14:schemeClr w14:val="tx1"/>
                  </w14:solidFill>
                </w14:textFill>
              </w:rPr>
              <w:t xml:space="preserve">分；（提供</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中标通知书、施工</w:t>
            </w:r>
            <w:r>
              <w:rPr>
                <w:rFonts w:hint="eastAsia" w:ascii="仿宋" w:hAnsi="仿宋" w:eastAsia="仿宋" w:cs="仿宋"/>
                <w:color w:val="000000" w:themeColor="text1"/>
                <w:sz w:val="22"/>
                <w:szCs w:val="22"/>
                <w:highlight w:val="none"/>
                <w14:textFill>
                  <w14:solidFill>
                    <w14:schemeClr w14:val="tx1"/>
                  </w14:solidFill>
                </w14:textFill>
              </w:rPr>
              <w:t xml:space="preserve">合同</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及竣工验收证明原</w:t>
            </w:r>
            <w:r>
              <w:rPr>
                <w:rFonts w:hint="eastAsia" w:ascii="仿宋" w:hAnsi="仿宋" w:eastAsia="仿宋" w:cs="仿宋"/>
                <w:color w:val="000000" w:themeColor="text1"/>
                <w:sz w:val="22"/>
                <w:szCs w:val="22"/>
                <w:highlight w:val="none"/>
                <w14:textFill>
                  <w14:solidFill>
                    <w14:schemeClr w14:val="tx1"/>
                  </w14:solidFill>
                </w14:textFill>
              </w:rPr>
              <w:t xml:space="preserve">件</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扫描上传并</w:t>
            </w:r>
            <w:r>
              <w:rPr>
                <w:rFonts w:hint="eastAsia" w:ascii="仿宋" w:hAnsi="仿宋" w:eastAsia="仿宋" w:cs="仿宋"/>
                <w:color w:val="000000" w:themeColor="text1"/>
                <w:sz w:val="22"/>
                <w:szCs w:val="22"/>
                <w:highlight w:val="none"/>
                <w14:textFill>
                  <w14:solidFill>
                    <w14:schemeClr w14:val="tx1"/>
                  </w14:solidFill>
                </w14:textFill>
              </w:rPr>
              <w:t xml:space="preserve">加盖</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电子签章，三者必须同时具备，否则不得分</w:t>
            </w:r>
            <w:r>
              <w:rPr>
                <w:rFonts w:hint="eastAsia" w:ascii="仿宋" w:hAnsi="仿宋" w:eastAsia="仿宋" w:cs="仿宋"/>
                <w:color w:val="000000" w:themeColor="text1"/>
                <w:sz w:val="22"/>
                <w:szCs w:val="22"/>
                <w:highlight w:val="none"/>
                <w14:textFill>
                  <w14:solidFill>
                    <w14:schemeClr w14:val="tx1"/>
                  </w14:solidFill>
                </w14:textFill>
              </w:rPr>
              <w:t xml:space="preserve">）</w:t>
            </w:r>
            <w:r>
              <w:rPr>
                <w:rFonts w:hint="eastAsia" w:ascii="仿宋" w:hAnsi="仿宋" w:eastAsia="仿宋" w:cs="仿宋"/>
                <w:color w:val="000000" w:themeColor="text1"/>
                <w:sz w:val="22"/>
                <w:szCs w:val="22"/>
                <w:highlight w:val="none"/>
                <w:lang w:eastAsia="zh-CN"/>
                <w14:textFill>
                  <w14:solidFill>
                    <w14:schemeClr w14:val="tx1"/>
                  </w14:solidFill>
                </w14:textFill>
              </w:rPr>
              <w:t xml:space="preserve">。</w:t>
            </w:r>
            <w:r/>
          </w:p>
        </w:tc>
      </w:tr>
      <w:tr>
        <w:trPr>
          <w:jc w:val="center"/>
          <w:trHeight w:val="1634"/>
        </w:trPr>
        <w:tc>
          <w:tcPr>
            <w:tcBorders>
              <w:left w:val="single" w:color="auto" w:sz="4" w:space="0"/>
              <w:right w:val="single" w:color="auto" w:sz="4" w:space="0"/>
            </w:tcBorders>
            <w:tcW w:w="760" w:type="dxa"/>
            <w:vAlign w:val="center"/>
            <w:vMerge w:val="continue"/>
            <w:textDirection w:val="lrTb"/>
            <w:noWrap w:val="false"/>
          </w:tcPr>
          <w:p>
            <w:pPr>
              <w:jc w:val="center"/>
              <w:pageBreakBefore w:val="0"/>
              <w:spacing w:line="360" w:lineRule="auto"/>
              <w:rPr>
                <w:rFonts w:hint="eastAsia" w:ascii="仿宋" w:hAnsi="仿宋" w:eastAsia="仿宋" w:cs="仿宋"/>
                <w:b w:val="0"/>
                <w:bCs w:val="0"/>
                <w:color w:val="000000" w:themeColor="text1"/>
                <w:sz w:val="22"/>
                <w:szCs w:val="22"/>
                <w:highlight w:val="none"/>
                <w:lang w:eastAsia="zh-CN"/>
                <w14:textFill>
                  <w14:solidFill>
                    <w14:schemeClr w14:val="tx1"/>
                  </w14:solidFill>
                </w14:textFill>
              </w:rPr>
            </w:pPr>
            <w:r>
              <w:rPr>
                <w:rFonts w:hint="eastAsia" w:ascii="仿宋" w:hAnsi="仿宋" w:eastAsia="仿宋" w:cs="仿宋"/>
                <w:b w:val="0"/>
                <w:bCs w:val="0"/>
                <w:color w:val="000000" w:themeColor="text1"/>
                <w:sz w:val="22"/>
                <w:szCs w:val="22"/>
                <w:highlight w:val="none"/>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1005"/>
              <w:ind w:firstLine="440"/>
              <w:jc w:val="both"/>
              <w:pageBreakBefore w:val="0"/>
              <w:spacing w:line="360" w:lineRule="auto"/>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pPr>
            <w: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t xml:space="preserve">综合实力</w:t>
            </w:r>
            <w:r/>
          </w:p>
          <w:p>
            <w:pPr>
              <w:pStyle w:val="1005"/>
              <w:ind w:firstLine="440"/>
              <w:jc w:val="both"/>
              <w:pageBreakBefore w:val="0"/>
              <w:spacing w:line="360" w:lineRule="auto"/>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pPr>
            <w: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t xml:space="preserve">（3分）</w:t>
            </w:r>
            <w:r/>
          </w:p>
        </w:tc>
        <w:tc>
          <w:tcPr>
            <w:tcBorders>
              <w:top w:val="single" w:color="auto" w:sz="4" w:space="0"/>
              <w:left w:val="single" w:color="auto" w:sz="4" w:space="0"/>
              <w:bottom w:val="single" w:color="auto" w:sz="4" w:space="0"/>
              <w:right w:val="single" w:color="auto" w:sz="4" w:space="0"/>
            </w:tcBorders>
            <w:tcW w:w="6225" w:type="dxa"/>
            <w:textDirection w:val="lrTb"/>
            <w:noWrap w:val="false"/>
          </w:tcPr>
          <w:p>
            <w:pPr>
              <w:numPr>
                <w:ilvl w:val="0"/>
                <w:numId w:val="0"/>
              </w:numPr>
              <w:ind w:left="0" w:right="0"/>
              <w:keepLines w:val="0"/>
              <w:keepNext w:val="0"/>
              <w:spacing w:before="0" w:beforeAutospacing="0" w:after="0" w:afterAutospacing="0" w:line="360" w:lineRule="auto"/>
              <w:widowControl/>
              <w:rPr>
                <w:rFonts w:hint="eastAsia" w:ascii="仿宋" w:hAnsi="仿宋" w:eastAsia="仿宋" w:cs="仿宋"/>
                <w:b w:val="0"/>
                <w:bCs w:val="0"/>
                <w:color w:val="000000"/>
                <w:sz w:val="22"/>
                <w:szCs w:val="22"/>
                <w:highlight w:val="none"/>
              </w:rPr>
              <w:suppressLineNumbers w:val="0"/>
            </w:pPr>
            <w:r>
              <w:rPr>
                <w:rFonts w:hint="eastAsia" w:ascii="仿宋" w:hAnsi="仿宋" w:eastAsia="仿宋" w:cs="仿宋"/>
                <w:b w:val="0"/>
                <w:bCs w:val="0"/>
                <w:color w:val="000000"/>
                <w:sz w:val="22"/>
                <w:szCs w:val="22"/>
                <w:highlight w:val="none"/>
                <w:lang w:val="en-US" w:eastAsia="zh-CN"/>
              </w:rPr>
              <w:t xml:space="preserve">供应商具有有效期内的</w:t>
            </w:r>
            <w:r>
              <w:rPr>
                <w:rFonts w:hint="eastAsia" w:ascii="仿宋" w:hAnsi="仿宋" w:eastAsia="仿宋" w:cs="仿宋"/>
                <w:b w:val="0"/>
                <w:bCs w:val="0"/>
                <w:color w:val="000000"/>
                <w:sz w:val="22"/>
                <w:szCs w:val="22"/>
                <w:highlight w:val="none"/>
              </w:rPr>
              <w:t xml:space="preserve">质量管理体系认证证书</w:t>
            </w:r>
            <w:r>
              <w:rPr>
                <w:rFonts w:hint="eastAsia" w:ascii="仿宋" w:hAnsi="仿宋" w:eastAsia="仿宋" w:cs="仿宋"/>
                <w:b w:val="0"/>
                <w:bCs w:val="0"/>
                <w:color w:val="000000"/>
                <w:sz w:val="22"/>
                <w:szCs w:val="22"/>
                <w:highlight w:val="none"/>
                <w:lang w:eastAsia="zh-CN"/>
              </w:rPr>
              <w:t xml:space="preserve">、</w:t>
            </w:r>
            <w:r>
              <w:rPr>
                <w:rFonts w:hint="eastAsia" w:ascii="仿宋" w:hAnsi="仿宋" w:eastAsia="仿宋" w:cs="仿宋"/>
                <w:b w:val="0"/>
                <w:bCs w:val="0"/>
                <w:color w:val="000000"/>
                <w:sz w:val="22"/>
                <w:szCs w:val="22"/>
                <w:highlight w:val="none"/>
              </w:rPr>
              <w:t xml:space="preserve">环境管理体系认证证书</w:t>
            </w:r>
            <w:r>
              <w:rPr>
                <w:rFonts w:hint="eastAsia" w:ascii="仿宋" w:hAnsi="仿宋" w:eastAsia="仿宋" w:cs="仿宋"/>
                <w:b w:val="0"/>
                <w:bCs w:val="0"/>
                <w:color w:val="000000"/>
                <w:sz w:val="22"/>
                <w:szCs w:val="22"/>
                <w:highlight w:val="none"/>
                <w:lang w:eastAsia="zh-CN"/>
              </w:rPr>
              <w:t xml:space="preserve">、</w:t>
            </w:r>
            <w:r>
              <w:rPr>
                <w:rFonts w:hint="eastAsia" w:ascii="仿宋" w:hAnsi="仿宋" w:eastAsia="仿宋" w:cs="仿宋"/>
                <w:b w:val="0"/>
                <w:bCs w:val="0"/>
                <w:color w:val="000000"/>
                <w:sz w:val="22"/>
                <w:szCs w:val="22"/>
                <w:highlight w:val="none"/>
              </w:rPr>
              <w:t xml:space="preserve">职业健康安全体系认证证书</w:t>
            </w:r>
            <w:r>
              <w:rPr>
                <w:rFonts w:hint="eastAsia" w:ascii="仿宋" w:hAnsi="仿宋" w:eastAsia="仿宋" w:cs="仿宋"/>
                <w:b w:val="0"/>
                <w:bCs w:val="0"/>
                <w:color w:val="000000"/>
                <w:sz w:val="22"/>
                <w:szCs w:val="22"/>
                <w:highlight w:val="none"/>
                <w:lang w:val="en-US" w:eastAsia="zh-CN"/>
              </w:rPr>
              <w:t xml:space="preserve">的，每提供一个认证证书得1分，本项最多得3分。</w:t>
            </w:r>
            <w:r/>
          </w:p>
          <w:p>
            <w:pPr>
              <w:ind w:left="0" w:right="0" w:firstLine="0"/>
              <w:jc w:val="both"/>
              <w:spacing w:before="0" w:after="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注：</w:t>
            </w:r>
            <w:r>
              <w:rPr>
                <w:rFonts w:hint="eastAsia" w:ascii="仿宋" w:hAnsi="仿宋" w:eastAsia="仿宋" w:cs="仿宋"/>
                <w:color w:val="000000"/>
                <w:sz w:val="22"/>
                <w:highlight w:val="none"/>
              </w:rPr>
              <w:t xml:space="preserve">提供证明材料的原件扫描件上传加盖电子签章。</w:t>
            </w:r>
            <w:r/>
          </w:p>
        </w:tc>
      </w:tr>
      <w:tr>
        <w:trPr>
          <w:jc w:val="center"/>
          <w:trHeight w:val="425"/>
        </w:trPr>
        <w:tc>
          <w:tcPr>
            <w:tcBorders>
              <w:top w:val="single" w:color="auto" w:sz="4" w:space="0"/>
              <w:left w:val="single" w:color="auto" w:sz="4" w:space="0"/>
              <w:right w:val="single" w:color="auto" w:sz="4" w:space="0"/>
            </w:tcBorders>
            <w:tcW w:w="760" w:type="dxa"/>
            <w:vMerge w:val="restart"/>
            <w:textDirection w:val="lrTb"/>
            <w:noWrap w:val="false"/>
          </w:tcPr>
          <w:p>
            <w:pPr>
              <w:pStyle w:val="1005"/>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1005"/>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1005"/>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1005"/>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1005"/>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1005"/>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1005"/>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1005"/>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1005"/>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 xml:space="preserve">技术部分</w:t>
            </w:r>
            <w:r/>
          </w:p>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 xml:space="preserve">（83分）</w:t>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764"/>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总体施工方案</w:t>
            </w:r>
            <w:r/>
          </w:p>
          <w:p>
            <w:pPr>
              <w:pStyle w:val="764"/>
              <w:jc w:val="center"/>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13</w:t>
            </w:r>
            <w:r>
              <w:rPr>
                <w:rFonts w:hint="eastAsia" w:ascii="仿宋" w:hAnsi="仿宋" w:eastAsia="仿宋" w:cs="仿宋"/>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根据供应商提供的总体施工方案</w:t>
            </w:r>
            <w:r>
              <w:rPr>
                <w:rFonts w:hint="eastAsia" w:ascii="仿宋" w:hAnsi="仿宋" w:eastAsia="仿宋" w:cs="仿宋"/>
                <w:color w:val="auto"/>
                <w:sz w:val="22"/>
                <w:szCs w:val="22"/>
                <w:highlight w:val="none"/>
                <w:lang w:val="en-US" w:eastAsia="zh-CN"/>
              </w:rPr>
              <w:t xml:space="preserve">中</w:t>
            </w:r>
            <w:r>
              <w:rPr>
                <w:rFonts w:hint="eastAsia" w:ascii="仿宋" w:hAnsi="仿宋" w:eastAsia="仿宋" w:cs="仿宋"/>
                <w:color w:val="auto"/>
                <w:sz w:val="22"/>
                <w:szCs w:val="22"/>
                <w:highlight w:val="none"/>
              </w:rPr>
              <w:t xml:space="preserve">工程总体概述、针对重点部分施工方案及施工工艺方法等方面进行总体评价。</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以上内容不存在瑕疵:</w:t>
            </w:r>
            <w:r>
              <w:rPr>
                <w:rFonts w:hint="eastAsia" w:ascii="仿宋" w:hAnsi="仿宋" w:eastAsia="仿宋" w:cs="仿宋"/>
                <w:color w:val="auto"/>
                <w:sz w:val="22"/>
                <w:szCs w:val="22"/>
                <w:highlight w:val="none"/>
                <w:lang w:val="en-US" w:eastAsia="zh-CN"/>
              </w:rPr>
              <w:t xml:space="preserve">13</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以上内容存在1处瑕疵:</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以上内容存在2处瑕疵:</w:t>
            </w:r>
            <w:r>
              <w:rPr>
                <w:rFonts w:hint="eastAsia" w:ascii="仿宋" w:hAnsi="仿宋" w:eastAsia="仿宋" w:cs="仿宋"/>
                <w:color w:val="auto"/>
                <w:sz w:val="22"/>
                <w:szCs w:val="22"/>
                <w:highlight w:val="none"/>
                <w:lang w:val="en-US" w:eastAsia="zh-CN"/>
              </w:rPr>
              <w:t xml:space="preserve">8</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以上内容存在3处瑕疵:</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处瑕疵</w:t>
            </w:r>
            <w:r>
              <w:rPr>
                <w:rFonts w:hint="eastAsia" w:ascii="仿宋" w:hAnsi="仿宋" w:eastAsia="仿宋" w:cs="仿宋"/>
                <w:color w:val="auto"/>
                <w:sz w:val="22"/>
                <w:szCs w:val="22"/>
                <w:highlight w:val="none"/>
                <w:lang w:val="en-US" w:eastAsia="zh-CN"/>
              </w:rPr>
              <w:t xml:space="preserve">:4分；</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rPr>
              <w:t xml:space="preserve">处瑕疵</w:t>
            </w:r>
            <w:r>
              <w:rPr>
                <w:rFonts w:hint="eastAsia" w:ascii="仿宋" w:hAnsi="仿宋" w:eastAsia="仿宋" w:cs="仿宋"/>
                <w:color w:val="auto"/>
                <w:sz w:val="22"/>
                <w:szCs w:val="22"/>
                <w:highlight w:val="none"/>
                <w:lang w:val="en-US" w:eastAsia="zh-CN"/>
              </w:rPr>
              <w:t xml:space="preserve">:2分；</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（7）</w:t>
            </w:r>
            <w:r>
              <w:rPr>
                <w:rFonts w:hint="eastAsia" w:ascii="仿宋" w:hAnsi="仿宋" w:eastAsia="仿宋" w:cs="仿宋"/>
                <w:color w:val="auto"/>
                <w:sz w:val="22"/>
                <w:szCs w:val="22"/>
                <w:highlight w:val="none"/>
              </w:rPr>
              <w:t xml:space="preserve">未提供方案或不满足施工要求或内容存在</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rPr>
              <w:t xml:space="preserve">处及以上瑕疵:0分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1289"/>
        </w:trPr>
        <w:tc>
          <w:tcPr>
            <w:tcBorders>
              <w:left w:val="single" w:color="auto" w:sz="4" w:space="0"/>
              <w:right w:val="single" w:color="auto" w:sz="4" w:space="0"/>
            </w:tcBorders>
            <w:tcW w:w="760" w:type="dxa"/>
            <w:vMerge w:val="continue"/>
            <w:textDirection w:val="lrTb"/>
            <w:noWrap w:val="false"/>
          </w:tcPr>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764"/>
              <w:jc w:val="center"/>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工期横道图（10分）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根据供应商提供的绿化工程工期横道图及进度安排，从横道图编制合理性、施工进度可执行性、季节性施工管控有效性等方面进行总体评价。</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（1）以上内容不存在瑕疵:10分；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（2）以上内容存在1处瑕疵:8分；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（3）以上内容存在2处瑕疵:6分；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（4）以上内容存在3处瑕疵:4分；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（5）以上内容存在4处瑕疵:2分；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（6）未提供方案或不满足施工要求或内容存在5处及以上瑕疵:0分。</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1289"/>
        </w:trPr>
        <w:tc>
          <w:tcPr>
            <w:tcBorders>
              <w:left w:val="single" w:color="auto" w:sz="4" w:space="0"/>
              <w:right w:val="single" w:color="auto" w:sz="4" w:space="0"/>
            </w:tcBorders>
            <w:tcW w:w="760" w:type="dxa"/>
            <w:vMerge w:val="continue"/>
            <w:textDirection w:val="lrTb"/>
            <w:noWrap w:val="false"/>
          </w:tcPr>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764"/>
              <w:jc w:val="center"/>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施工进度计划及保证措施</w:t>
            </w:r>
            <w:r/>
          </w:p>
          <w:p>
            <w:pPr>
              <w:pStyle w:val="764"/>
              <w:jc w:val="center"/>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根据供应商提供</w:t>
            </w:r>
            <w:r>
              <w:rPr>
                <w:rFonts w:hint="eastAsia" w:ascii="仿宋" w:hAnsi="仿宋" w:eastAsia="仿宋" w:cs="仿宋"/>
                <w:color w:val="auto"/>
                <w:sz w:val="22"/>
                <w:szCs w:val="22"/>
                <w:highlight w:val="none"/>
                <w:lang w:val="en-US" w:eastAsia="zh-CN"/>
              </w:rPr>
              <w:t xml:space="preserve">的施工进度计划及保证措施中</w:t>
            </w:r>
            <w:r>
              <w:rPr>
                <w:rFonts w:hint="eastAsia" w:ascii="仿宋" w:hAnsi="仿宋" w:eastAsia="仿宋" w:cs="仿宋"/>
                <w:color w:val="auto"/>
                <w:sz w:val="22"/>
                <w:szCs w:val="22"/>
                <w:highlight w:val="none"/>
              </w:rPr>
              <w:t xml:space="preserve">针对本项目工程特点、工程进度计划安排、计划开工竣工日期、关键工作计划及工期保证措施等方面进行总体评价。</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（1）以上内容不存在瑕疵:10分；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（2）以上内容存在1处瑕疵:8分；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（3）以上内容存在2处瑕疵:6分；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（4）以上内容存在3处瑕疵:4分；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（5）以上内容存在4处瑕疵:2分；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（6）未提供方案或不满足施工要求或内容存在5处及以上瑕疵:0分。</w:t>
            </w:r>
            <w:r/>
          </w:p>
          <w:p>
            <w:pPr>
              <w:pStyle w:val="764"/>
              <w:jc w:val="left"/>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425"/>
        </w:trPr>
        <w:tc>
          <w:tcPr>
            <w:tcBorders>
              <w:left w:val="single" w:color="auto" w:sz="4" w:space="0"/>
              <w:right w:val="single" w:color="auto" w:sz="4" w:space="0"/>
            </w:tcBorders>
            <w:tcW w:w="760" w:type="dxa"/>
            <w:vMerge w:val="continue"/>
            <w:textDirection w:val="lrTb"/>
            <w:noWrap w:val="false"/>
          </w:tcPr>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764"/>
              <w:jc w:val="center"/>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rPr>
              <w:t xml:space="preserve">施工质量保证</w:t>
            </w:r>
            <w:r>
              <w:rPr>
                <w:rFonts w:hint="eastAsia" w:ascii="仿宋" w:hAnsi="仿宋" w:eastAsia="仿宋" w:cs="仿宋"/>
                <w:color w:val="auto"/>
                <w:sz w:val="22"/>
                <w:szCs w:val="22"/>
                <w:highlight w:val="none"/>
                <w:lang w:val="en-US" w:eastAsia="zh-CN"/>
              </w:rPr>
              <w:t xml:space="preserve">措施</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根据供应商提供的</w:t>
            </w:r>
            <w:r>
              <w:rPr>
                <w:rFonts w:hint="eastAsia" w:ascii="仿宋" w:hAnsi="仿宋" w:eastAsia="仿宋" w:cs="仿宋"/>
                <w:color w:val="auto"/>
                <w:sz w:val="22"/>
                <w:szCs w:val="22"/>
                <w:highlight w:val="none"/>
                <w:lang w:val="en-US" w:eastAsia="zh-CN"/>
              </w:rPr>
              <w:t xml:space="preserve">施工</w:t>
            </w:r>
            <w:r>
              <w:rPr>
                <w:rFonts w:hint="eastAsia" w:ascii="仿宋" w:hAnsi="仿宋" w:eastAsia="仿宋" w:cs="仿宋"/>
                <w:color w:val="auto"/>
                <w:sz w:val="22"/>
                <w:szCs w:val="22"/>
                <w:highlight w:val="none"/>
              </w:rPr>
              <w:t xml:space="preserve">质量保证措施</w:t>
            </w:r>
            <w:r>
              <w:rPr>
                <w:rFonts w:hint="eastAsia" w:ascii="仿宋" w:hAnsi="仿宋" w:eastAsia="仿宋" w:cs="仿宋"/>
                <w:color w:val="auto"/>
                <w:sz w:val="22"/>
                <w:szCs w:val="22"/>
                <w:highlight w:val="none"/>
                <w:lang w:val="en-US" w:eastAsia="zh-CN"/>
              </w:rPr>
              <w:t xml:space="preserve">中</w:t>
            </w:r>
            <w:r>
              <w:rPr>
                <w:rFonts w:hint="eastAsia" w:ascii="仿宋" w:hAnsi="仿宋" w:eastAsia="仿宋" w:cs="仿宋"/>
                <w:color w:val="auto"/>
                <w:sz w:val="22"/>
                <w:szCs w:val="22"/>
                <w:highlight w:val="none"/>
              </w:rPr>
              <w:t xml:space="preserve">对施工质量管理规划及目标、施工质量保证措施及突发情况预防方式等方面进行总体评价。</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（1）以上内容不存在瑕疵:10分；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（2）以上内容存在1处瑕疵:8分；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（3）以上内容存在2处瑕疵:6分；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（4）以上内容存在3处瑕疵:4分；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（5）以上内容存在4处瑕疵:2分；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（6）未提供方案或不满足施工要求或内容存在5处及以上瑕疵:0分。</w:t>
            </w:r>
            <w:r/>
          </w:p>
          <w:p>
            <w:pPr>
              <w:pStyle w:val="764"/>
              <w:jc w:val="left"/>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2476"/>
        </w:trPr>
        <w:tc>
          <w:tcPr>
            <w:tcBorders>
              <w:left w:val="single" w:color="auto" w:sz="4" w:space="0"/>
              <w:right w:val="single" w:color="auto" w:sz="4" w:space="0"/>
            </w:tcBorders>
            <w:tcW w:w="760" w:type="dxa"/>
            <w:vMerge w:val="continue"/>
            <w:textDirection w:val="lrTb"/>
            <w:noWrap w:val="false"/>
          </w:tcPr>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764"/>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项目管理班子人员配备、素质及管理经验</w:t>
            </w:r>
            <w:r/>
          </w:p>
          <w:p>
            <w:pPr>
              <w:pStyle w:val="764"/>
              <w:jc w:val="center"/>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根据供应商提供的项目管理班子人员配备、素质及管理经验等方面进行总体评价。</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（1）以上内容不存在瑕疵:10分；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（2）以上内容存在1处瑕疵:8分；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（3）以上内容存在2处瑕疵:6分；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（4）以上内容存在3处瑕疵:4分；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（5）以上内容存在4处瑕疵:2分；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（6）未提供方案或不满足施工要求或内容存在5处及以上瑕疵:0分。</w:t>
            </w:r>
            <w:r/>
          </w:p>
          <w:p>
            <w:pPr>
              <w:pStyle w:val="764"/>
              <w:jc w:val="left"/>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2178"/>
        </w:trPr>
        <w:tc>
          <w:tcPr>
            <w:tcBorders>
              <w:left w:val="single" w:color="auto" w:sz="4" w:space="0"/>
              <w:right w:val="single" w:color="auto" w:sz="4" w:space="0"/>
            </w:tcBorders>
            <w:tcW w:w="760" w:type="dxa"/>
            <w:vMerge w:val="continue"/>
            <w:textDirection w:val="lrTb"/>
            <w:noWrap w:val="false"/>
          </w:tcPr>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764"/>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关键施工技术、工艺及工程项目实施的重点、难点和解决方案</w:t>
            </w:r>
            <w:r/>
          </w:p>
          <w:p>
            <w:pPr>
              <w:pStyle w:val="764"/>
              <w:jc w:val="center"/>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根据供应商提供的关键施工技术、工艺及工程项目实施的重点、难点和解决方案等方面进行总体评价。</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（1）以上内容不存在瑕疵:10分；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（2）以上内容存在1处瑕疵:8分；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（3）以上内容存在2处瑕疵:6分；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（4）以上内容存在3处瑕疵:4分；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（5）以上内容存在4处瑕疵:2分；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（6）未提供方案或不满足施工要求或内容存在5处及以上瑕疵:0分。</w:t>
            </w:r>
            <w:r/>
          </w:p>
          <w:p>
            <w:pPr>
              <w:pStyle w:val="764"/>
              <w:jc w:val="left"/>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6236"/>
        </w:trPr>
        <w:tc>
          <w:tcPr>
            <w:tcBorders>
              <w:left w:val="single" w:color="auto" w:sz="4" w:space="0"/>
              <w:right w:val="single" w:color="auto" w:sz="4" w:space="0"/>
            </w:tcBorders>
            <w:tcW w:w="760" w:type="dxa"/>
            <w:vMerge w:val="continue"/>
            <w:textDirection w:val="lrTb"/>
            <w:noWrap w:val="false"/>
          </w:tcPr>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764"/>
              <w:jc w:val="center"/>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安全文明施工方案（10分）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根据供应商提供的安全文明施工</w:t>
            </w:r>
            <w:r>
              <w:rPr>
                <w:rFonts w:hint="eastAsia" w:ascii="仿宋" w:hAnsi="仿宋" w:eastAsia="仿宋" w:cs="仿宋"/>
                <w:color w:val="auto"/>
                <w:sz w:val="22"/>
                <w:szCs w:val="22"/>
                <w:highlight w:val="none"/>
                <w:lang w:val="en-US" w:eastAsia="zh-CN"/>
              </w:rPr>
              <w:t xml:space="preserve">方案</w:t>
            </w:r>
            <w:r>
              <w:rPr>
                <w:rFonts w:hint="eastAsia" w:ascii="仿宋" w:hAnsi="仿宋" w:eastAsia="仿宋" w:cs="仿宋"/>
                <w:color w:val="auto"/>
                <w:sz w:val="22"/>
                <w:szCs w:val="22"/>
                <w:highlight w:val="none"/>
              </w:rPr>
              <w:t xml:space="preserve">中安全生产管理措施、文明施工管理措施、环境保护措施等方面进行总体评价。</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以上内容不存在瑕疵:</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以上内容存在1处瑕疵:</w:t>
            </w:r>
            <w:r>
              <w:rPr>
                <w:rFonts w:hint="eastAsia" w:ascii="仿宋" w:hAnsi="仿宋" w:eastAsia="仿宋" w:cs="仿宋"/>
                <w:color w:val="auto"/>
                <w:sz w:val="22"/>
                <w:szCs w:val="22"/>
                <w:highlight w:val="none"/>
                <w:lang w:val="en-US" w:eastAsia="zh-CN"/>
              </w:rPr>
              <w:t xml:space="preserve">8</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以上内容存在2处瑕疵:</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以上内容存在3处瑕疵:</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处瑕疵</w:t>
            </w:r>
            <w:r>
              <w:rPr>
                <w:rFonts w:hint="eastAsia" w:ascii="仿宋" w:hAnsi="仿宋" w:eastAsia="仿宋" w:cs="仿宋"/>
                <w:color w:val="auto"/>
                <w:sz w:val="22"/>
                <w:szCs w:val="22"/>
                <w:highlight w:val="none"/>
                <w:lang w:val="en-US" w:eastAsia="zh-CN"/>
              </w:rPr>
              <w:t xml:space="preserve">:2分；</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未提供方案或不满足施工要求或内容存在</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rPr>
              <w:t xml:space="preserve">处及以上瑕疵:0分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6259"/>
        </w:trPr>
        <w:tc>
          <w:tcPr>
            <w:tcBorders>
              <w:left w:val="single" w:color="auto" w:sz="4" w:space="0"/>
              <w:right w:val="single" w:color="auto" w:sz="4" w:space="0"/>
            </w:tcBorders>
            <w:tcW w:w="760" w:type="dxa"/>
            <w:vMerge w:val="continue"/>
            <w:textDirection w:val="lrTb"/>
            <w:noWrap w:val="false"/>
          </w:tcPr>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ind w:left="0" w:right="0" w:firstLine="0"/>
              <w:jc w:val="center"/>
              <w:keepLines w:val="0"/>
              <w:keepNext w:val="0"/>
              <w:pageBreakBefore w:val="0"/>
              <w:spacing w:before="240" w:after="240" w:line="360" w:lineRule="auto"/>
              <w:rPr>
                <w:rFonts w:hint="eastAsia" w:ascii="仿宋" w:hAnsi="仿宋" w:eastAsia="仿宋" w:cs="仿宋"/>
                <w:sz w:val="22"/>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szCs w:val="22"/>
                <w:highlight w:val="none"/>
              </w:rPr>
              <w:t xml:space="preserve">后期维保方案及措施</w:t>
            </w:r>
            <w:r/>
          </w:p>
          <w:p>
            <w:pPr>
              <w:pStyle w:val="764"/>
              <w:jc w:val="center"/>
              <w:keepLines w:val="0"/>
              <w:keepNext w:val="0"/>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根据供应商提供的绿化工程质保期养护方案及措施，从日常养护内容及范围、养护人员配备、养护机械设备配备、苗木补植与备品备件配备等方面进行总体评价。</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以上内容不存在瑕疵:</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以上内容存在1处瑕疵:</w:t>
            </w:r>
            <w:r>
              <w:rPr>
                <w:rFonts w:hint="eastAsia" w:ascii="仿宋" w:hAnsi="仿宋" w:eastAsia="仿宋" w:cs="仿宋"/>
                <w:color w:val="auto"/>
                <w:sz w:val="22"/>
                <w:szCs w:val="22"/>
                <w:highlight w:val="none"/>
                <w:lang w:val="en-US" w:eastAsia="zh-CN"/>
              </w:rPr>
              <w:t xml:space="preserve">8</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以上内容存在2处瑕疵:</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以上内容存在3处瑕疵:</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处瑕疵</w:t>
            </w:r>
            <w:r>
              <w:rPr>
                <w:rFonts w:hint="eastAsia" w:ascii="仿宋" w:hAnsi="仿宋" w:eastAsia="仿宋" w:cs="仿宋"/>
                <w:color w:val="auto"/>
                <w:sz w:val="22"/>
                <w:szCs w:val="22"/>
                <w:highlight w:val="none"/>
                <w:lang w:val="en-US" w:eastAsia="zh-CN"/>
              </w:rPr>
              <w:t xml:space="preserve">:2分；</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未提供方案或不满足施工要求或内容存在</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rPr>
              <w:t xml:space="preserve">处及以上瑕疵:0分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bl>
    <w:p>
      <w:pPr>
        <w:pStyle w:val="767"/>
        <w:pageBreakBefore w:val="0"/>
        <w:spacing w:line="360" w:lineRule="auto"/>
        <w:rPr>
          <w:rFonts w:hint="eastAsia" w:ascii="仿宋" w:hAnsi="仿宋" w:eastAsia="仿宋" w:cs="仿宋"/>
          <w:b/>
          <w:bCs/>
          <w:color w:val="000000" w:themeColor="text1"/>
          <w:sz w:val="22"/>
          <w:szCs w:val="22"/>
          <w:highlight w:val="none"/>
          <w14:textFill>
            <w14:solidFill>
              <w14:schemeClr w14:val="tx1"/>
            </w14:solidFill>
          </w14:textFill>
        </w:rPr>
      </w:pPr>
      <w:r>
        <w:rPr>
          <w:rFonts w:hint="eastAsia" w:ascii="仿宋" w:hAnsi="仿宋" w:eastAsia="仿宋" w:cs="仿宋"/>
          <w:b/>
          <w:bCs/>
          <w:color w:val="000000" w:themeColor="text1"/>
          <w:sz w:val="22"/>
          <w:szCs w:val="22"/>
          <w:highlight w:val="none"/>
          <w14:textFill>
            <w14:solidFill>
              <w14:schemeClr w14:val="tx1"/>
            </w14:solidFill>
          </w14:textFill>
        </w:rPr>
        <w:t xml:space="preserve">注：本项目采用综合评分法。供应商技术部分得分取所有评委的平均值，保留小数点后二位</w:t>
      </w:r>
      <w:r>
        <w:rPr>
          <w:rFonts w:hint="eastAsia" w:ascii="仿宋" w:hAnsi="仿宋" w:eastAsia="仿宋" w:cs="仿宋"/>
          <w:b/>
          <w:bCs/>
          <w:color w:val="000000" w:themeColor="text1"/>
          <w:sz w:val="22"/>
          <w:szCs w:val="22"/>
          <w:highlight w:val="none"/>
          <w:lang w:eastAsia="zh-CN"/>
          <w14:textFill>
            <w14:solidFill>
              <w14:schemeClr w14:val="tx1"/>
            </w14:solidFill>
          </w14:textFill>
        </w:rPr>
        <w:t xml:space="preserve">。</w:t>
      </w:r>
      <w:r/>
    </w:p>
    <w:p>
      <w:pPr>
        <w:pStyle w:val="764"/>
        <w:numPr>
          <w:ilvl w:val="0"/>
          <w:numId w:val="0"/>
        </w:numPr>
        <w:ind w:left="0" w:firstLine="0"/>
        <w:jc w:val="center"/>
        <w:pageBreakBefore w:val="0"/>
        <w:spacing w:line="360" w:lineRule="auto"/>
        <w:widowControl/>
        <w:rPr>
          <w:rStyle w:val="941"/>
          <w:rFonts w:hint="eastAsia" w:ascii="仿宋" w:hAnsi="仿宋" w:eastAsia="仿宋" w:cs="仿宋"/>
          <w:color w:val="000000" w:themeColor="text1"/>
          <w:sz w:val="24"/>
          <w:szCs w:val="24"/>
          <w:highlight w:val="none"/>
          <w:lang w:val="en-US"/>
          <w14:textFill>
            <w14:solidFill>
              <w14:schemeClr w14:val="tx1"/>
            </w14:solidFill>
          </w14:textFill>
        </w:rPr>
        <w:outlineLvl w:val="1"/>
      </w:pPr>
      <w:r>
        <w:rPr>
          <w:rFonts w:hint="eastAsia" w:ascii="仿宋" w:hAnsi="仿宋" w:eastAsia="仿宋" w:cs="仿宋"/>
          <w:color w:val="000000" w:themeColor="text1"/>
          <w:sz w:val="24"/>
          <w:szCs w:val="24"/>
          <w:highlight w:val="none"/>
          <w:lang w:val="en-US"/>
          <w14:textFill>
            <w14:solidFill>
              <w14:schemeClr w14:val="tx1"/>
            </w14:solidFill>
          </w14:textFill>
        </w:rPr>
      </w:r>
      <w:r/>
    </w:p>
    <w:p>
      <w:pPr>
        <w:rPr>
          <w:rStyle w:val="941"/>
          <w:rFonts w:hint="eastAsia" w:ascii="仿宋" w:hAnsi="仿宋" w:eastAsia="仿宋" w:cs="仿宋"/>
          <w:color w:val="000000" w:themeColor="text1"/>
          <w:sz w:val="24"/>
          <w:szCs w:val="24"/>
          <w:highlight w:val="none"/>
          <w:lang w:val="en-US"/>
          <w14:textFill>
            <w14:solidFill>
              <w14:schemeClr w14:val="tx1"/>
            </w14:solidFill>
          </w14:textFill>
        </w:rPr>
      </w:pPr>
      <w:r>
        <w:rPr>
          <w:rStyle w:val="941"/>
          <w:rFonts w:hint="eastAsia" w:ascii="仿宋" w:hAnsi="仿宋" w:eastAsia="仿宋" w:cs="仿宋"/>
          <w:color w:val="000000" w:themeColor="text1"/>
          <w:sz w:val="24"/>
          <w:szCs w:val="24"/>
          <w:highlight w:val="none"/>
          <w:lang w:val="en-US"/>
          <w14:textFill>
            <w14:solidFill>
              <w14:schemeClr w14:val="tx1"/>
            </w14:solidFill>
          </w14:textFill>
        </w:rPr>
        <w:br w:type="page" w:clear="all"/>
      </w:r>
      <w:r/>
    </w:p>
    <w:p>
      <w:pPr>
        <w:pStyle w:val="764"/>
        <w:numPr>
          <w:ilvl w:val="0"/>
          <w:numId w:val="0"/>
        </w:numPr>
        <w:ind w:left="0" w:firstLine="0"/>
        <w:jc w:val="center"/>
        <w:pageBreakBefore w:val="0"/>
        <w:spacing w:line="360" w:lineRule="auto"/>
        <w:widowControl/>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Style w:val="941"/>
          <w:rFonts w:hint="eastAsia" w:ascii="仿宋" w:hAnsi="仿宋" w:eastAsia="仿宋" w:cs="仿宋"/>
          <w:color w:val="000000" w:themeColor="text1"/>
          <w:sz w:val="24"/>
          <w:szCs w:val="24"/>
          <w:highlight w:val="none"/>
          <w:lang w:val="en-US"/>
          <w14:textFill>
            <w14:solidFill>
              <w14:schemeClr w14:val="tx1"/>
            </w14:solidFill>
          </w14:textFill>
        </w:rPr>
        <w:t xml:space="preserve">2、</w:t>
      </w:r>
      <w:bookmarkStart w:id="108" w:name="OLE_LINK1"/>
      <w:r>
        <w:rPr>
          <w:rStyle w:val="941"/>
          <w:rFonts w:hint="eastAsia" w:ascii="仿宋" w:hAnsi="仿宋" w:eastAsia="仿宋" w:cs="仿宋"/>
          <w:color w:val="000000" w:themeColor="text1"/>
          <w:sz w:val="24"/>
          <w:szCs w:val="24"/>
          <w:highlight w:val="none"/>
          <w14:textFill>
            <w14:solidFill>
              <w14:schemeClr w14:val="tx1"/>
            </w14:solidFill>
          </w14:textFill>
        </w:rPr>
        <w:t xml:space="preserve">采购需求</w:t>
      </w:r>
      <w:r/>
    </w:p>
    <w:p>
      <w:pPr>
        <w:pStyle w:val="947"/>
        <w:ind w:firstLine="482"/>
        <w:pageBreakBefore w:val="0"/>
        <w:spacing w:line="360" w:lineRule="auto"/>
        <w:rPr>
          <w:rFonts w:hint="eastAsia" w:ascii="仿宋" w:hAnsi="仿宋" w:eastAsia="仿宋" w:cs="仿宋"/>
          <w:b/>
          <w:color w:val="000000" w:themeColor="text1"/>
          <w:sz w:val="24"/>
          <w:highlight w:val="none"/>
          <w:lang w:val="en-US" w:eastAsia="zh-CN"/>
          <w14:textFill>
            <w14:solidFill>
              <w14:schemeClr w14:val="tx1"/>
            </w14:solidFill>
          </w14:textFill>
        </w:rPr>
        <w:outlineLvl w:val="2"/>
      </w:pPr>
      <w:r>
        <w:rPr>
          <w:rFonts w:hint="eastAsia" w:ascii="仿宋" w:hAnsi="仿宋" w:eastAsia="仿宋" w:cs="仿宋"/>
          <w:b/>
          <w:color w:val="000000" w:themeColor="text1"/>
          <w:sz w:val="24"/>
          <w:highlight w:val="none"/>
          <w14:textFill>
            <w14:solidFill>
              <w14:schemeClr w14:val="tx1"/>
            </w14:solidFill>
          </w14:textFill>
        </w:rPr>
        <w:t xml:space="preserve">一、</w:t>
      </w:r>
      <w:r>
        <w:rPr>
          <w:rFonts w:hint="eastAsia" w:ascii="仿宋" w:hAnsi="仿宋" w:eastAsia="仿宋" w:cs="仿宋"/>
          <w:b/>
          <w:color w:val="000000" w:themeColor="text1"/>
          <w:sz w:val="24"/>
          <w:highlight w:val="none"/>
          <w:lang w:val="en-US" w:eastAsia="zh-CN"/>
          <w14:textFill>
            <w14:solidFill>
              <w14:schemeClr w14:val="tx1"/>
            </w14:solidFill>
          </w14:textFill>
        </w:rPr>
        <w:t xml:space="preserve">本项目总预算金额为344万元，</w:t>
      </w:r>
      <w:r/>
    </w:p>
    <w:p>
      <w:pPr>
        <w:ind w:firstLine="482"/>
        <w:spacing w:line="360" w:lineRule="auto"/>
        <w:rPr>
          <w:rFonts w:hint="eastAsia" w:ascii="仿宋" w:hAnsi="仿宋" w:eastAsia="仿宋" w:cs="仿宋"/>
          <w:b/>
          <w:bCs/>
          <w:sz w:val="24"/>
          <w:szCs w:val="24"/>
          <w:highlight w:val="none"/>
          <w:lang w:val="en-US" w:eastAsia="zh-CN"/>
        </w:rPr>
        <w:outlineLvl w:val="9"/>
      </w:pPr>
      <w:r>
        <w:rPr>
          <w:rFonts w:hint="eastAsia" w:ascii="仿宋" w:hAnsi="仿宋" w:eastAsia="仿宋" w:cs="仿宋"/>
          <w:b/>
          <w:bCs/>
          <w:sz w:val="24"/>
          <w:highlight w:val="none"/>
        </w:rPr>
        <w:t xml:space="preserve">不接受超过预算金额的磋商报价。</w:t>
      </w:r>
      <w:r>
        <w:rPr>
          <w:rFonts w:hint="eastAsia" w:ascii="仿宋" w:hAnsi="仿宋" w:eastAsia="仿宋" w:cs="仿宋"/>
          <w:sz w:val="24"/>
          <w:highlight w:val="none"/>
        </w:rPr>
        <w:t xml:space="preserve">报价包含项目完成的所有费用，供应商报价时需考虑完成本项目内容所涉及的包含并不限于人工费、材料费、机械费、工具设备费、税费、验收、利润等供应商认为可能发生的一切</w:t>
      </w:r>
      <w:r>
        <w:rPr>
          <w:rFonts w:hint="eastAsia" w:ascii="仿宋" w:hAnsi="仿宋" w:eastAsia="仿宋" w:cs="仿宋"/>
          <w:sz w:val="24"/>
          <w:highlight w:val="none"/>
          <w:lang w:eastAsia="zh-CN"/>
        </w:rPr>
        <w:t xml:space="preserve">相关</w:t>
      </w:r>
      <w:r>
        <w:rPr>
          <w:rFonts w:hint="eastAsia" w:ascii="仿宋" w:hAnsi="仿宋" w:eastAsia="仿宋" w:cs="仿宋"/>
          <w:sz w:val="24"/>
          <w:highlight w:val="none"/>
        </w:rPr>
        <w:t xml:space="preserve">费用。</w:t>
      </w:r>
      <w:r>
        <w:rPr>
          <w:rFonts w:hint="eastAsia" w:ascii="仿宋" w:hAnsi="仿宋" w:eastAsia="仿宋" w:cs="仿宋"/>
          <w:b/>
          <w:bCs/>
          <w:sz w:val="24"/>
          <w:szCs w:val="24"/>
          <w:highlight w:val="none"/>
          <w:lang w:val="en-US" w:eastAsia="zh-CN"/>
        </w:rPr>
        <w:t xml:space="preserve">采购人不支付报价以外的任何费用。</w:t>
      </w:r>
      <w:r/>
    </w:p>
    <w:p>
      <w:pPr>
        <w:pStyle w:val="947"/>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outlineLvl w:val="2"/>
      </w:pPr>
      <w:r>
        <w:rPr>
          <w:rFonts w:hint="eastAsia" w:ascii="仿宋" w:hAnsi="仿宋" w:eastAsia="仿宋" w:cs="仿宋"/>
          <w:b/>
          <w:color w:val="000000" w:themeColor="text1"/>
          <w:sz w:val="24"/>
          <w:highlight w:val="none"/>
          <w14:textFill>
            <w14:solidFill>
              <w14:schemeClr w14:val="tx1"/>
            </w14:solidFill>
          </w14:textFill>
        </w:rPr>
        <w:t xml:space="preserve">二、项目概况：</w:t>
      </w:r>
      <w:r/>
    </w:p>
    <w:p>
      <w:pPr>
        <w:pStyle w:val="947"/>
        <w:ind w:firstLine="480"/>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1、项目名称：</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2026年城南绿化补植及设施维修工程项目。</w:t>
      </w:r>
      <w:r/>
    </w:p>
    <w:p>
      <w:pPr>
        <w:pStyle w:val="1005"/>
        <w:ind w:firstLine="480"/>
        <w:keepLines w:val="0"/>
        <w:keepNext w:val="0"/>
        <w:pageBreakBefore w:val="0"/>
        <w:spacing w:line="360" w:lineRule="auto"/>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w:t>
      </w:r>
      <w:r>
        <w:rPr>
          <w:rFonts w:hint="eastAsia" w:ascii="仿宋" w:hAnsi="仿宋" w:eastAsia="仿宋" w:cs="仿宋"/>
          <w:color w:val="000000" w:themeColor="text1"/>
          <w:highlight w:val="none"/>
          <w14:textFill>
            <w14:solidFill>
              <w14:schemeClr w14:val="tx1"/>
            </w14:solidFill>
          </w14:textFill>
        </w:rPr>
        <w:t xml:space="preserve">本项目主要内容：</w:t>
      </w:r>
      <w:r>
        <w:rPr>
          <w:rFonts w:hint="eastAsia" w:ascii="仿宋" w:hAnsi="仿宋" w:eastAsia="仿宋" w:cs="仿宋"/>
          <w:color w:val="000000" w:themeColor="text1"/>
          <w:sz w:val="24"/>
          <w:highlight w:val="none"/>
          <w:lang w:eastAsia="zh-CN"/>
          <w14:textFill>
            <w14:solidFill>
              <w14:schemeClr w14:val="tx1"/>
            </w14:solidFill>
          </w14:textFill>
        </w:rPr>
        <w:t xml:space="preserve">对城南片区绿化补植及重要节点绿化提升;对城区立体交通设施周边栽种藤本植物;对破损老旧设施进行维修更换及服务功能提升</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改</w:t>
      </w:r>
      <w:r>
        <w:rPr>
          <w:rFonts w:hint="eastAsia" w:ascii="仿宋" w:hAnsi="仿宋" w:eastAsia="仿宋" w:cs="仿宋"/>
          <w:color w:val="000000" w:themeColor="text1"/>
          <w:sz w:val="24"/>
          <w:highlight w:val="none"/>
          <w:lang w:eastAsia="zh-CN"/>
          <w14:textFill>
            <w14:solidFill>
              <w14:schemeClr w14:val="tx1"/>
            </w14:solidFill>
          </w14:textFill>
        </w:rPr>
        <w:t xml:space="preserve">造，</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具体详见招标工程量清单所含全部内容</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p>
    <w:p>
      <w:pPr>
        <w:pStyle w:val="1005"/>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3、工程地点：徐州市新沂市  </w:t>
      </w:r>
      <w:r/>
    </w:p>
    <w:p>
      <w:pPr>
        <w:pStyle w:val="1005"/>
        <w:ind w:firstLine="480"/>
        <w:keepLines w:val="0"/>
        <w:keepNext w:val="0"/>
        <w:pageBreakBefore w:val="0"/>
        <w:spacing w:line="360" w:lineRule="auto"/>
        <w:widowControl w:val="off"/>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4、</w:t>
      </w:r>
      <w:r>
        <w:rPr>
          <w:rFonts w:hint="eastAsia" w:ascii="仿宋" w:hAnsi="仿宋" w:eastAsia="仿宋" w:cs="仿宋"/>
          <w:color w:val="auto"/>
          <w:sz w:val="24"/>
          <w:szCs w:val="24"/>
          <w:highlight w:val="none"/>
          <w:lang w:val="en-US" w:eastAsia="zh-CN" w:bidi="ar-SA"/>
        </w:rPr>
        <w:t xml:space="preserve">要求工期：45日历天。 </w:t>
      </w:r>
      <w:r>
        <w:rPr>
          <w:rFonts w:hint="eastAsia" w:ascii="仿宋" w:hAnsi="仿宋" w:eastAsia="仿宋" w:cs="仿宋"/>
          <w:color w:val="000000" w:themeColor="text1"/>
          <w:sz w:val="24"/>
          <w:highlight w:val="none"/>
          <w:lang w:eastAsia="zh-CN"/>
          <w14:textFill>
            <w14:solidFill>
              <w14:schemeClr w14:val="tx1"/>
            </w14:solidFill>
          </w14:textFill>
        </w:rPr>
        <w:t xml:space="preserve">   </w:t>
      </w:r>
      <w:r/>
    </w:p>
    <w:p>
      <w:pPr>
        <w:pStyle w:val="947"/>
        <w:ind w:firstLine="480"/>
        <w:keepLines w:val="0"/>
        <w:keepNext w:val="0"/>
        <w:pageBreakBefore w:val="0"/>
        <w:spacing w:line="360" w:lineRule="auto"/>
        <w:widowControl w:val="off"/>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4"/>
          <w:highlight w:val="none"/>
          <w:lang w:eastAsia="zh-CN"/>
          <w14:textFill>
            <w14:solidFill>
              <w14:schemeClr w14:val="tx1"/>
            </w14:solidFill>
          </w14:textFill>
        </w:rPr>
        <w:t xml:space="preserve">、质量</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标准</w:t>
      </w:r>
      <w:r>
        <w:rPr>
          <w:rFonts w:hint="eastAsia" w:ascii="仿宋" w:hAnsi="仿宋" w:eastAsia="仿宋" w:cs="仿宋"/>
          <w:color w:val="000000" w:themeColor="text1"/>
          <w:sz w:val="24"/>
          <w:highlight w:val="none"/>
          <w:lang w:eastAsia="zh-CN"/>
          <w14:textFill>
            <w14:solidFill>
              <w14:schemeClr w14:val="tx1"/>
            </w14:solidFill>
          </w14:textFill>
        </w:rPr>
        <w:t xml:space="preserve">：“合格”</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标准</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b w:val="0"/>
          <w:bCs w:val="0"/>
          <w:color w:val="auto"/>
          <w:sz w:val="24"/>
          <w:szCs w:val="24"/>
          <w:highlight w:val="none"/>
        </w:rPr>
        <w:t xml:space="preserve">符合现行国家技术、施工及验收规范规程</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确保一次性通过相关部门的竣工验收，未达到质量要求的，承包人负责无条件返工，直至达到要求，所发生的费用由承包人承担，承包人还应赔偿因此给发包人造成的损失。</w:t>
      </w:r>
      <w:r/>
    </w:p>
    <w:p>
      <w:pPr>
        <w:pStyle w:val="947"/>
        <w:ind w:firstLine="480"/>
        <w:keepLines w:val="0"/>
        <w:keepNext w:val="0"/>
        <w:pageBreakBefore w:val="0"/>
        <w:spacing w:line="360" w:lineRule="auto"/>
        <w:widowControl w:val="off"/>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b w:val="0"/>
          <w:bCs w:val="0"/>
          <w:color w:val="auto"/>
          <w:sz w:val="24"/>
          <w:szCs w:val="24"/>
          <w:highlight w:val="none"/>
        </w:rPr>
        <w:t xml:space="preserve">施工工艺的特殊要求</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按国家有关规定执行</w:t>
      </w:r>
      <w:r>
        <w:rPr>
          <w:rFonts w:hint="eastAsia" w:ascii="仿宋" w:hAnsi="仿宋" w:eastAsia="仿宋" w:cs="仿宋"/>
          <w:b w:val="0"/>
          <w:bCs w:val="0"/>
          <w:color w:val="auto"/>
          <w:sz w:val="24"/>
          <w:szCs w:val="24"/>
          <w:highlight w:val="none"/>
          <w:lang w:eastAsia="zh-CN"/>
        </w:rPr>
        <w:t xml:space="preserve">。</w:t>
      </w:r>
      <w:r/>
    </w:p>
    <w:p>
      <w:pPr>
        <w:pStyle w:val="947"/>
        <w:ind w:firstLine="480"/>
        <w:keepLines w:val="0"/>
        <w:keepNext w:val="0"/>
        <w:pageBreakBefore w:val="0"/>
        <w:spacing w:line="360" w:lineRule="auto"/>
        <w:widowControl w:val="off"/>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4"/>
          <w:highlight w:val="none"/>
          <w:lang w:eastAsia="zh-CN"/>
          <w14:textFill>
            <w14:solidFill>
              <w14:schemeClr w14:val="tx1"/>
            </w14:solidFill>
          </w14:textFill>
        </w:rPr>
        <w:t xml:space="preserve">承包方式：包工包料，</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不得分包与转包</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p>
    <w:p>
      <w:pPr>
        <w:pStyle w:val="947"/>
        <w:pageBreakBefore w:val="0"/>
        <w:spacing w:line="360" w:lineRule="auto"/>
        <w:rPr>
          <w:rFonts w:hint="eastAsia" w:ascii="仿宋" w:hAnsi="仿宋" w:eastAsia="仿宋" w:cs="仿宋"/>
          <w:b/>
          <w:color w:val="000000" w:themeColor="text1"/>
          <w:sz w:val="24"/>
          <w:highlight w:val="none"/>
          <w:lang w:val="en-US" w:eastAsia="zh-CN"/>
          <w14:textFill>
            <w14:solidFill>
              <w14:schemeClr w14:val="tx1"/>
            </w14:solidFill>
          </w14:textFill>
        </w:rPr>
        <w:outlineLvl w:val="2"/>
      </w:pPr>
      <w:r>
        <w:rPr>
          <w:rFonts w:hint="eastAsia" w:ascii="仿宋" w:hAnsi="仿宋" w:eastAsia="仿宋" w:cs="仿宋"/>
          <w:b/>
          <w:color w:val="000000" w:themeColor="text1"/>
          <w:sz w:val="24"/>
          <w:highlight w:val="none"/>
          <w:lang w:val="en-US" w:eastAsia="zh-CN"/>
          <w14:textFill>
            <w14:solidFill>
              <w14:schemeClr w14:val="tx1"/>
            </w14:solidFill>
          </w14:textFill>
        </w:rPr>
        <w:t xml:space="preserve">三、投标报价要求：</w:t>
      </w:r>
      <w:r/>
    </w:p>
    <w:p>
      <w:pPr>
        <w:pStyle w:val="947"/>
        <w:pageBreakBefore w:val="0"/>
        <w:spacing w:line="360" w:lineRule="auto"/>
        <w:rPr>
          <w:rFonts w:hint="eastAsia" w:ascii="仿宋" w:hAnsi="仿宋" w:eastAsia="仿宋" w:cs="仿宋"/>
          <w:b/>
          <w:bCs/>
          <w:color w:val="000000" w:themeColor="text1"/>
          <w:sz w:val="24"/>
          <w:szCs w:val="16"/>
          <w:highlight w:val="none"/>
          <w:lang w:val="en-US" w:eastAsia="zh-CN"/>
          <w14:textFill>
            <w14:solidFill>
              <w14:schemeClr w14:val="tx1"/>
            </w14:solidFill>
          </w14:textFill>
        </w:rPr>
        <w:outlineLvl w:val="1"/>
      </w:pPr>
      <w:r>
        <w:rPr>
          <w:rFonts w:hint="eastAsia" w:ascii="仿宋" w:hAnsi="仿宋" w:eastAsia="仿宋" w:cs="仿宋"/>
          <w:b/>
          <w:bCs/>
          <w:color w:val="000000" w:themeColor="text1"/>
          <w:sz w:val="24"/>
          <w:szCs w:val="16"/>
          <w:highlight w:val="none"/>
          <w:lang w:val="en-US" w:eastAsia="zh-CN"/>
          <w14:textFill>
            <w14:solidFill>
              <w14:schemeClr w14:val="tx1"/>
            </w14:solidFill>
          </w14:textFill>
        </w:rPr>
        <w:t xml:space="preserve">1、响应报价内容</w:t>
      </w:r>
      <w:r/>
    </w:p>
    <w:p>
      <w:pPr>
        <w:pStyle w:val="947"/>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1.1响应报价应包括磋商文件中所确定的招标范围内工程量清单中所含的全部内容，以及为完成上述内容所需的全部费用，其根据为供应商提交的已标价的工程量清单及附表。</w:t>
      </w:r>
      <w:r/>
    </w:p>
    <w:p>
      <w:pPr>
        <w:pStyle w:val="947"/>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1.2供应商应按采购人提供的工程量清单填报价格。填写的项目编码、项目名称、项目特征、计量单位、工程量必须与采购人提供的一致。</w:t>
      </w:r>
      <w:r/>
    </w:p>
    <w:p>
      <w:pPr>
        <w:pStyle w:val="947"/>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1.3实行工程量清单招标的工程建设项目，量的风险由发包人承担，价的风险在约定风险范围内的，由承包人承担，风险范围以外的按合同约定。</w:t>
      </w:r>
      <w:r/>
    </w:p>
    <w:p>
      <w:pPr>
        <w:pStyle w:val="947"/>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1.4供应商应按采购人提供的工程量计算工程项目的单价和合价。工程量清单中的每一单项均需计算填写单价和合价，供应商没有填写单价和合价的项目将不予支付，认为此项费用已包括在工程量清单的其他单价和合价中。项目特征描述不全的工序，如图纸已明确或已指明引用的规范、图集等或是常规工艺必须的工序应包括在报价中。</w:t>
      </w:r>
      <w:r/>
    </w:p>
    <w:p>
      <w:pPr>
        <w:pStyle w:val="947"/>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1.5响应的供应商必须按统一的工程量清单报价，成交后，在施工过程中，不论由于工程量清单有误或漏项，还是由于设计变更、现场变更、签证引起的工程量清单项目或清单项目工程数量的增减，均按实调整。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947"/>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1.6 施工组织设计所描述的技术措施所发生的费用，视为已体现在供应商报价的非实体性消耗所发生的费用中。</w:t>
      </w:r>
      <w:r/>
    </w:p>
    <w:p>
      <w:pPr>
        <w:pStyle w:val="947"/>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1.7 </w:t>
      </w:r>
      <w:r>
        <w:rPr>
          <w:rFonts w:hint="eastAsia" w:ascii="仿宋" w:hAnsi="仿宋" w:eastAsia="仿宋" w:cs="仿宋"/>
          <w:color w:val="000000" w:themeColor="text1"/>
          <w:sz w:val="24"/>
          <w:highlight w:val="none"/>
          <w14:textFill>
            <w14:solidFill>
              <w14:schemeClr w14:val="tx1"/>
            </w14:solidFill>
          </w14:textFill>
        </w:rPr>
        <w:t xml:space="preserve">投标人如勘察现场，投标人在现场勘察活动中须服从采购人指挥</w:t>
      </w:r>
      <w:r>
        <w:rPr>
          <w:rFonts w:hint="eastAsia" w:ascii="仿宋" w:hAnsi="仿宋" w:eastAsia="仿宋" w:cs="仿宋"/>
          <w:color w:val="000000" w:themeColor="text1"/>
          <w:sz w:val="24"/>
          <w:highlight w:val="none"/>
          <w14:textFill>
            <w14:solidFill>
              <w14:schemeClr w14:val="tx1"/>
            </w14:solidFill>
          </w14:textFill>
        </w:rPr>
        <w:t xml:space="preserve">，不得因任何原因使采购人及其人员蒙受损失。投标人在现场勘察中所发生的人员伤亡、财产损失自行负责。供应商在现场勘察时应充分了解周边原有建筑、设施，事先视察工地，取得所有有关资料及充分了解工程位置、邻近建筑物、工地情况、开挖的土质，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947"/>
        <w:ind w:firstLine="480"/>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1.8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947"/>
        <w:ind w:firstLine="480"/>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1.9由供应商负责办理相关建设、城管、市政、安全、环保等部门的手续，施工供应商在响应报价时应考虑这样因素，费用包含在报价中，采购人不接受供应商关于此类费用的任何诉讼或索赔。</w:t>
      </w:r>
      <w:r/>
    </w:p>
    <w:p>
      <w:pPr>
        <w:ind w:right="0"/>
        <w:jc w:val="both"/>
        <w:pageBreakBefore w:val="0"/>
        <w:spacing w:before="220" w:after="0" w:line="360" w:lineRule="auto"/>
        <w:rPr>
          <w:rFonts w:hint="eastAsia" w:ascii="仿宋" w:hAnsi="仿宋" w:eastAsia="仿宋" w:cs="仿宋"/>
          <w:b/>
          <w:bCs/>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bCs/>
          <w:color w:val="000000" w:themeColor="text1"/>
          <w:sz w:val="24"/>
          <w:szCs w:val="16"/>
          <w:highlight w:val="none"/>
          <w:lang w:val="en-US" w:eastAsia="zh-CN"/>
          <w14:textFill>
            <w14:solidFill>
              <w14:schemeClr w14:val="tx1"/>
            </w14:solidFill>
          </w14:textFill>
        </w:rPr>
        <w:t xml:space="preserve">2、投标报价方式</w:t>
      </w:r>
      <w:r/>
    </w:p>
    <w:p>
      <w:pPr>
        <w:ind w:right="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2.1本工程采用固定单价合同（除另有规定外）。供应商应充分考虑施工期间各类建材的市场风险，并计入总报价，供应商在计算报价时应考虑一定的风险系数。</w:t>
      </w:r>
      <w:r/>
    </w:p>
    <w:p>
      <w:pPr>
        <w:ind w:right="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2.2材料风险约定：</w:t>
      </w:r>
      <w:r/>
    </w:p>
    <w:p>
      <w:pPr>
        <w:ind w:right="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2.2.1对于法律、法规、规章或有关政策出台导致工程税金、规费等发生变化的，应按照有关规定执行。</w:t>
      </w:r>
      <w:r/>
    </w:p>
    <w:p>
      <w:pPr>
        <w:ind w:right="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right="0"/>
        <w:jc w:val="both"/>
        <w:pageBreakBefore w:val="0"/>
        <w:spacing w:before="220" w:after="0" w:line="360" w:lineRule="auto"/>
        <w:rPr>
          <w:rFonts w:hint="eastAsia" w:ascii="仿宋" w:hAnsi="仿宋" w:eastAsia="仿宋" w:cs="仿宋"/>
          <w:b/>
          <w:bCs/>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bCs/>
          <w:color w:val="000000" w:themeColor="text1"/>
          <w:sz w:val="24"/>
          <w:szCs w:val="16"/>
          <w:highlight w:val="none"/>
          <w:lang w:val="en-US" w:eastAsia="zh-CN"/>
          <w14:textFill>
            <w14:solidFill>
              <w14:schemeClr w14:val="tx1"/>
            </w14:solidFill>
          </w14:textFill>
        </w:rPr>
        <w:t xml:space="preserve">3、报价的计价方法</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right="0"/>
        <w:jc w:val="both"/>
        <w:pageBreakBefore w:val="0"/>
        <w:spacing w:before="220" w:after="0" w:line="360" w:lineRule="auto"/>
        <w:rPr>
          <w:rFonts w:hint="eastAsia" w:ascii="仿宋" w:hAnsi="仿宋" w:eastAsia="仿宋" w:cs="仿宋"/>
          <w:b/>
          <w:bCs/>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bCs/>
          <w:color w:val="000000" w:themeColor="text1"/>
          <w:sz w:val="24"/>
          <w:szCs w:val="16"/>
          <w:highlight w:val="none"/>
          <w:lang w:val="en-US" w:eastAsia="zh-CN"/>
          <w14:textFill>
            <w14:solidFill>
              <w14:schemeClr w14:val="tx1"/>
            </w14:solidFill>
          </w14:textFill>
        </w:rPr>
        <w:t xml:space="preserve">4、低于成本报价</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磋商专家小组认为供应商的报价明显低于其他通过符合性审查供应商的报价，有可能影响工程质量或者不能诚信履约的，磋商专家小组通过“苏采云”“系统中的视频会议”要求供应商人作出必要的说明，并规定回复时间。供应商说明应当采用通过“苏采云”“系统中的视频会议”系统（扫描件,加盖签章）形式回复。供应商不能证明其报价合理性的，磋商专家小组会应当将其作为不响应磋商文件作无效处理。</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right="0"/>
        <w:jc w:val="both"/>
        <w:pageBreakBefore w:val="0"/>
        <w:spacing w:before="220" w:after="0" w:line="360" w:lineRule="auto"/>
        <w:rPr>
          <w:rFonts w:hint="eastAsia" w:ascii="仿宋" w:hAnsi="仿宋" w:eastAsia="仿宋" w:cs="仿宋"/>
          <w:b/>
          <w:bCs/>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16"/>
          <w:highlight w:val="none"/>
          <w:lang w:val="en-US" w:eastAsia="zh-CN"/>
          <w14:textFill>
            <w14:solidFill>
              <w14:schemeClr w14:val="tx1"/>
            </w14:solidFill>
          </w14:textFill>
        </w:rPr>
        <w:t xml:space="preserve">四、项目实施要求</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1、供应商报价时需考虑完成本项目内容所涉及的</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人工费、材料费、机械费、管理费、验收、税金</w:t>
      </w: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等相关的一切费用。</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2、供应商应根据本项目实际情况，合理配置人员，除项目经理外，安全员、质检员、施工员、预算员、材料员等人员应经验丰富，确保项目顺利实施。</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3、供应商对项目现场和周围环境进行实地踏勘，合理编制本项目施工方案。  </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4、承包人对工程建设期间扬尘治理工作负主体责任。应制定施工现场扬尘污染防治专项方案，按照承包工程范围做好扬尘污染防治措施的落实。</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5、建设工程施工活动及其产品的质量,应保证工程的固有特性满足采购人的需要并符合现行国家法律、行政法规和技术标准、规范的要求。</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6、施工质量要达到的基本要求是:施工建成的工程实体按照国家《建筑工程施工质量验收统一标准》GB50300-2013和相关专业验收规范检查验收合格。施工质量验收合格应符合下列要求:</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（1）符合《建筑工程施工质量验收统一标准》GB50300-2013 和相关专业验收规范的规定;</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符合施工承包合同的约定，且确保一次性通过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bookmarkEnd w:id="108"/>
      <w:r/>
      <w:r/>
    </w:p>
    <w:p>
      <w:pPr>
        <w:pStyle w:val="764"/>
        <w:jc w:val="left"/>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rPr>
          <w:rStyle w:val="941"/>
          <w:rFonts w:hint="eastAsia" w:ascii="仿宋" w:hAnsi="仿宋" w:eastAsia="仿宋" w:cs="仿宋"/>
          <w:color w:val="000000" w:themeColor="text1"/>
          <w:sz w:val="24"/>
          <w:szCs w:val="24"/>
          <w:highlight w:val="none"/>
          <w14:textFill>
            <w14:solidFill>
              <w14:schemeClr w14:val="tx1"/>
            </w14:solidFill>
          </w14:textFill>
        </w:rPr>
      </w:pPr>
      <w:r>
        <w:rPr>
          <w:rStyle w:val="941"/>
          <w:rFonts w:hint="eastAsia" w:ascii="仿宋" w:hAnsi="仿宋" w:eastAsia="仿宋" w:cs="仿宋"/>
          <w:color w:val="000000" w:themeColor="text1"/>
          <w:sz w:val="24"/>
          <w:szCs w:val="24"/>
          <w:highlight w:val="none"/>
          <w14:textFill>
            <w14:solidFill>
              <w14:schemeClr w14:val="tx1"/>
            </w14:solidFill>
          </w14:textFill>
        </w:rPr>
        <w:br w:type="page" w:clear="all"/>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Style w:val="941"/>
          <w:rFonts w:hint="eastAsia" w:ascii="仿宋" w:hAnsi="仿宋" w:eastAsia="仿宋" w:cs="仿宋"/>
          <w:color w:val="000000" w:themeColor="text1"/>
          <w:sz w:val="24"/>
          <w:szCs w:val="24"/>
          <w:highlight w:val="none"/>
          <w14:textFill>
            <w14:solidFill>
              <w14:schemeClr w14:val="tx1"/>
            </w14:solidFill>
          </w14:textFill>
        </w:rPr>
        <w:t xml:space="preserve">3、磋商报价表</w:t>
      </w:r>
      <w:r/>
    </w:p>
    <w:p>
      <w:pPr>
        <w:pStyle w:val="764"/>
        <w:jc w:val="center"/>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bookmarkStart w:id="109" w:name="_Toc2522"/>
      <w:r/>
      <w:bookmarkStart w:id="110" w:name="_Toc17357"/>
      <w:r/>
      <w:bookmarkStart w:id="111" w:name="_Toc28445"/>
      <w:r>
        <w:rPr>
          <w:rFonts w:hint="eastAsia" w:ascii="仿宋" w:hAnsi="仿宋" w:eastAsia="仿宋" w:cs="仿宋"/>
          <w:color w:val="000000" w:themeColor="text1"/>
          <w:sz w:val="24"/>
          <w:highlight w:val="none"/>
          <w14:textFill>
            <w14:solidFill>
              <w14:schemeClr w14:val="tx1"/>
            </w14:solidFill>
          </w14:textFill>
        </w:rPr>
        <w:t xml:space="preserve">（首次）</w:t>
      </w:r>
      <w:bookmarkEnd w:id="109"/>
      <w:r/>
      <w:bookmarkEnd w:id="110"/>
      <w:r/>
      <w:bookmarkEnd w:id="111"/>
      <w:r/>
      <w:r/>
    </w:p>
    <w:p>
      <w:pPr>
        <w:pStyle w:val="764"/>
        <w:ind w:firstLine="472"/>
        <w:pageBreakBefore w:val="0"/>
        <w:spacing w:line="360" w:lineRule="auto"/>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项目名称：</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项目编号：</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货币单位：人民币元</w:t>
      </w:r>
      <w:r/>
    </w:p>
    <w:tbl>
      <w:tblPr>
        <w:tblStyle w:val="723"/>
        <w:tblpPr w:horzAnchor="page" w:tblpX="1339" w:vertAnchor="text" w:tblpY="162" w:leftFromText="180" w:topFromText="0" w:rightFromText="180" w:bottomFromText="0"/>
        <w:tblW w:w="927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093"/>
        <w:gridCol w:w="2820"/>
        <w:gridCol w:w="3365"/>
      </w:tblGrid>
      <w:tr>
        <w:trPr>
          <w:jc w:val="center"/>
          <w:trHeight w:val="404"/>
        </w:trPr>
        <w:tc>
          <w:tcPr>
            <w:tcW w:w="3093" w:type="dxa"/>
            <w:vAlign w:val="center"/>
            <w:textDirection w:val="lrTb"/>
            <w:noWrap w:val="false"/>
          </w:tcPr>
          <w:p>
            <w:pPr>
              <w:pStyle w:val="764"/>
              <w:jc w:val="center"/>
              <w:widowControl w:val="off"/>
              <w:rPr>
                <w:rStyle w:val="1040"/>
                <w:rFonts w:hint="eastAsia" w:ascii="仿宋" w:hAnsi="仿宋" w:eastAsia="仿宋" w:cs="仿宋"/>
                <w:color w:val="000000" w:themeColor="text1"/>
                <w:sz w:val="24"/>
                <w:highlight w:val="none"/>
                <w14:textFill>
                  <w14:solidFill>
                    <w14:schemeClr w14:val="tx1"/>
                  </w14:solidFill>
                </w14:textFill>
              </w:rPr>
            </w:pPr>
            <w:r>
              <w:rPr>
                <w:rStyle w:val="1040"/>
                <w:rFonts w:hint="eastAsia" w:ascii="仿宋" w:hAnsi="仿宋" w:eastAsia="仿宋" w:cs="仿宋"/>
                <w:color w:val="000000" w:themeColor="text1"/>
                <w:sz w:val="24"/>
                <w:highlight w:val="none"/>
                <w14:textFill>
                  <w14:solidFill>
                    <w14:schemeClr w14:val="tx1"/>
                  </w14:solidFill>
                </w14:textFill>
              </w:rPr>
              <w:t xml:space="preserve">项目名称</w:t>
            </w:r>
            <w:r/>
          </w:p>
        </w:tc>
        <w:tc>
          <w:tcPr>
            <w:tcW w:w="2820" w:type="dxa"/>
            <w:vAlign w:val="center"/>
            <w:textDirection w:val="lrTb"/>
            <w:noWrap w:val="false"/>
          </w:tcPr>
          <w:p>
            <w:pPr>
              <w:pStyle w:val="764"/>
              <w:jc w:val="center"/>
              <w:widowControl w:val="off"/>
              <w:rPr>
                <w:rStyle w:val="1040"/>
                <w:rFonts w:hint="eastAsia" w:ascii="仿宋" w:hAnsi="仿宋" w:eastAsia="仿宋" w:cs="仿宋"/>
                <w:color w:val="000000" w:themeColor="text1"/>
                <w:sz w:val="24"/>
                <w:highlight w:val="none"/>
                <w14:textFill>
                  <w14:solidFill>
                    <w14:schemeClr w14:val="tx1"/>
                  </w14:solidFill>
                </w14:textFill>
              </w:rPr>
            </w:pPr>
            <w:r>
              <w:rPr>
                <w:rStyle w:val="1040"/>
                <w:rFonts w:hint="eastAsia" w:ascii="仿宋" w:hAnsi="仿宋" w:eastAsia="仿宋" w:cs="仿宋"/>
                <w:color w:val="000000" w:themeColor="text1"/>
                <w:sz w:val="24"/>
                <w:highlight w:val="none"/>
                <w14:textFill>
                  <w14:solidFill>
                    <w14:schemeClr w14:val="tx1"/>
                  </w14:solidFill>
                </w14:textFill>
              </w:rPr>
              <w:t xml:space="preserve">项目内容</w:t>
            </w:r>
            <w:r/>
          </w:p>
        </w:tc>
        <w:tc>
          <w:tcPr>
            <w:tcW w:w="3365" w:type="dxa"/>
            <w:vAlign w:val="center"/>
            <w:textDirection w:val="lrTb"/>
            <w:noWrap w:val="false"/>
          </w:tcPr>
          <w:p>
            <w:pPr>
              <w:pStyle w:val="764"/>
              <w:jc w:val="center"/>
              <w:widowControl w:val="off"/>
              <w:rPr>
                <w:rStyle w:val="1040"/>
                <w:rFonts w:hint="eastAsia" w:ascii="仿宋" w:hAnsi="仿宋" w:eastAsia="仿宋" w:cs="仿宋"/>
                <w:color w:val="000000" w:themeColor="text1"/>
                <w:sz w:val="24"/>
                <w:highlight w:val="none"/>
                <w14:textFill>
                  <w14:solidFill>
                    <w14:schemeClr w14:val="tx1"/>
                  </w14:solidFill>
                </w14:textFill>
              </w:rPr>
            </w:pPr>
            <w:r>
              <w:rPr>
                <w:rStyle w:val="1040"/>
                <w:rFonts w:hint="eastAsia" w:ascii="仿宋" w:hAnsi="仿宋" w:eastAsia="仿宋" w:cs="仿宋"/>
                <w:color w:val="000000" w:themeColor="text1"/>
                <w:sz w:val="24"/>
                <w:highlight w:val="none"/>
                <w14:textFill>
                  <w14:solidFill>
                    <w14:schemeClr w14:val="tx1"/>
                  </w14:solidFill>
                </w14:textFill>
              </w:rPr>
              <w:t xml:space="preserve">总价</w:t>
            </w:r>
            <w:r/>
          </w:p>
          <w:p>
            <w:pPr>
              <w:pStyle w:val="764"/>
              <w:jc w:val="center"/>
              <w:widowControl w:val="off"/>
              <w:rPr>
                <w:rStyle w:val="1040"/>
                <w:rFonts w:hint="eastAsia" w:ascii="仿宋" w:hAnsi="仿宋" w:eastAsia="仿宋" w:cs="仿宋"/>
                <w:color w:val="000000" w:themeColor="text1"/>
                <w:sz w:val="24"/>
                <w:highlight w:val="none"/>
                <w14:textFill>
                  <w14:solidFill>
                    <w14:schemeClr w14:val="tx1"/>
                  </w14:solidFill>
                </w14:textFill>
              </w:rPr>
            </w:pPr>
            <w:r>
              <w:rPr>
                <w:rStyle w:val="1040"/>
                <w:rFonts w:hint="eastAsia" w:ascii="仿宋" w:hAnsi="仿宋" w:eastAsia="仿宋" w:cs="仿宋"/>
                <w:color w:val="000000" w:themeColor="text1"/>
                <w:sz w:val="24"/>
                <w:highlight w:val="none"/>
                <w14:textFill>
                  <w14:solidFill>
                    <w14:schemeClr w14:val="tx1"/>
                  </w14:solidFill>
                </w14:textFill>
              </w:rPr>
              <w:t xml:space="preserve">（小写）</w:t>
            </w:r>
            <w:r/>
          </w:p>
        </w:tc>
      </w:tr>
      <w:tr>
        <w:trPr>
          <w:jc w:val="center"/>
          <w:trHeight w:val="812"/>
        </w:trPr>
        <w:tc>
          <w:tcPr>
            <w:tcW w:w="3093" w:type="dxa"/>
            <w:vAlign w:val="center"/>
            <w:textDirection w:val="lrTb"/>
            <w:noWrap w:val="false"/>
          </w:tcPr>
          <w:p>
            <w:pPr>
              <w:pStyle w:val="764"/>
              <w:jc w:val="center"/>
              <w:widowControl w:val="off"/>
              <w:rPr>
                <w:rStyle w:val="1040"/>
                <w:rFonts w:hint="eastAsia" w:ascii="仿宋" w:hAnsi="仿宋" w:eastAsia="仿宋" w:cs="仿宋"/>
                <w:color w:val="000000" w:themeColor="text1"/>
                <w:sz w:val="24"/>
                <w:highlight w:val="none"/>
                <w:lang w:eastAsia="zh-CN"/>
                <w14:textFill>
                  <w14:solidFill>
                    <w14:schemeClr w14:val="tx1"/>
                  </w14:solidFill>
                </w14:textFill>
              </w:rPr>
            </w:pPr>
            <w:r>
              <w:rPr>
                <w:rStyle w:val="1040"/>
                <w:rFonts w:hint="eastAsia" w:ascii="仿宋" w:hAnsi="仿宋" w:eastAsia="仿宋" w:cs="仿宋"/>
                <w:color w:val="000000" w:themeColor="text1"/>
                <w:sz w:val="24"/>
                <w:highlight w:val="none"/>
                <w:lang w:val="en-US" w:eastAsia="zh-CN"/>
                <w14:textFill>
                  <w14:solidFill>
                    <w14:schemeClr w14:val="tx1"/>
                  </w14:solidFill>
                </w14:textFill>
              </w:rPr>
              <w:t xml:space="preserve">2026年城南绿化补植及设施维修工程项目</w:t>
            </w:r>
            <w:r/>
          </w:p>
        </w:tc>
        <w:tc>
          <w:tcPr>
            <w:tcW w:w="2820" w:type="dxa"/>
            <w:vAlign w:val="center"/>
            <w:textDirection w:val="lrTb"/>
            <w:noWrap w:val="false"/>
          </w:tcPr>
          <w:p>
            <w:pPr>
              <w:pStyle w:val="764"/>
              <w:jc w:val="center"/>
              <w:widowControl w:val="off"/>
              <w:rPr>
                <w:rStyle w:val="1040"/>
                <w:rFonts w:hint="eastAsia" w:ascii="仿宋" w:hAnsi="仿宋" w:eastAsia="仿宋" w:cs="仿宋"/>
                <w:color w:val="000000" w:themeColor="text1"/>
                <w:sz w:val="24"/>
                <w:highlight w:val="none"/>
                <w14:textFill>
                  <w14:solidFill>
                    <w14:schemeClr w14:val="tx1"/>
                  </w14:solidFill>
                </w14:textFill>
              </w:rPr>
            </w:pPr>
            <w:r>
              <w:rPr>
                <w:rStyle w:val="1040"/>
                <w:rFonts w:hint="eastAsia" w:ascii="仿宋" w:hAnsi="仿宋" w:eastAsia="仿宋" w:cs="仿宋"/>
                <w:color w:val="000000" w:themeColor="text1"/>
                <w:sz w:val="24"/>
                <w:highlight w:val="none"/>
                <w14:textFill>
                  <w14:solidFill>
                    <w14:schemeClr w14:val="tx1"/>
                  </w14:solidFill>
                </w14:textFill>
              </w:rPr>
              <w:t xml:space="preserve">详见响应文件</w:t>
            </w:r>
            <w:r/>
          </w:p>
        </w:tc>
        <w:tc>
          <w:tcPr>
            <w:tcW w:w="3365" w:type="dxa"/>
            <w:vAlign w:val="center"/>
            <w:textDirection w:val="lrTb"/>
            <w:noWrap w:val="false"/>
          </w:tcPr>
          <w:p>
            <w:pPr>
              <w:pStyle w:val="764"/>
              <w:jc w:val="center"/>
              <w:widowControl w:val="off"/>
              <w:rPr>
                <w:rStyle w:val="1040"/>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r>
      <w:tr>
        <w:trPr>
          <w:jc w:val="center"/>
          <w:trHeight w:val="651"/>
        </w:trPr>
        <w:tc>
          <w:tcPr>
            <w:tcW w:w="3093" w:type="dxa"/>
            <w:vAlign w:val="center"/>
            <w:textDirection w:val="lrTb"/>
            <w:noWrap w:val="false"/>
          </w:tcPr>
          <w:p>
            <w:pPr>
              <w:pStyle w:val="764"/>
              <w:jc w:val="center"/>
              <w:widowControl w:val="off"/>
              <w:rPr>
                <w:rStyle w:val="1040"/>
                <w:rFonts w:hint="eastAsia" w:ascii="仿宋" w:hAnsi="仿宋" w:eastAsia="仿宋" w:cs="仿宋"/>
                <w:color w:val="000000" w:themeColor="text1"/>
                <w:sz w:val="24"/>
                <w:highlight w:val="none"/>
                <w14:textFill>
                  <w14:solidFill>
                    <w14:schemeClr w14:val="tx1"/>
                  </w14:solidFill>
                </w14:textFill>
              </w:rPr>
            </w:pPr>
            <w:r>
              <w:rPr>
                <w:rStyle w:val="1040"/>
                <w:rFonts w:hint="eastAsia" w:ascii="仿宋" w:hAnsi="仿宋" w:eastAsia="仿宋" w:cs="仿宋"/>
                <w:color w:val="000000" w:themeColor="text1"/>
                <w:sz w:val="24"/>
                <w:highlight w:val="none"/>
                <w14:textFill>
                  <w14:solidFill>
                    <w14:schemeClr w14:val="tx1"/>
                  </w14:solidFill>
                </w14:textFill>
              </w:rPr>
              <w:t xml:space="preserve">总价（大写）：</w:t>
            </w:r>
            <w:r/>
          </w:p>
        </w:tc>
        <w:tc>
          <w:tcPr>
            <w:gridSpan w:val="2"/>
            <w:tcW w:w="6185" w:type="dxa"/>
            <w:vAlign w:val="center"/>
            <w:textDirection w:val="lrTb"/>
            <w:noWrap w:val="false"/>
          </w:tcPr>
          <w:p>
            <w:pPr>
              <w:pStyle w:val="764"/>
              <w:jc w:val="center"/>
              <w:widowControl w:val="off"/>
              <w:rPr>
                <w:rStyle w:val="1040"/>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r>
      <w:tr>
        <w:trPr>
          <w:jc w:val="center"/>
          <w:trHeight w:val="654"/>
        </w:trPr>
        <w:tc>
          <w:tcPr>
            <w:tcW w:w="3093" w:type="dxa"/>
            <w:vAlign w:val="center"/>
            <w:textDirection w:val="lrTb"/>
            <w:noWrap w:val="false"/>
          </w:tcPr>
          <w:p>
            <w:pPr>
              <w:pStyle w:val="764"/>
              <w:jc w:val="center"/>
              <w:widowControl w:val="off"/>
              <w:rPr>
                <w:rStyle w:val="1040"/>
                <w:rFonts w:hint="eastAsia" w:ascii="仿宋" w:hAnsi="仿宋" w:eastAsia="仿宋" w:cs="仿宋"/>
                <w:color w:val="000000" w:themeColor="text1"/>
                <w:sz w:val="24"/>
                <w:highlight w:val="none"/>
                <w:lang w:val="en-US" w:eastAsia="zh-CN"/>
                <w14:textFill>
                  <w14:solidFill>
                    <w14:schemeClr w14:val="tx1"/>
                  </w14:solidFill>
                </w14:textFill>
              </w:rPr>
            </w:pPr>
            <w:r>
              <w:rPr>
                <w:rStyle w:val="1040"/>
                <w:rFonts w:hint="eastAsia" w:ascii="仿宋" w:hAnsi="仿宋" w:eastAsia="仿宋" w:cs="仿宋"/>
                <w:color w:val="000000" w:themeColor="text1"/>
                <w:sz w:val="24"/>
                <w:highlight w:val="none"/>
                <w:lang w:val="en-US" w:eastAsia="zh-CN"/>
                <w14:textFill>
                  <w14:solidFill>
                    <w14:schemeClr w14:val="tx1"/>
                  </w14:solidFill>
                </w14:textFill>
              </w:rPr>
              <w:t xml:space="preserve">工程质量</w:t>
            </w:r>
            <w:r/>
          </w:p>
        </w:tc>
        <w:tc>
          <w:tcPr>
            <w:gridSpan w:val="2"/>
            <w:tcW w:w="6185" w:type="dxa"/>
            <w:vAlign w:val="center"/>
            <w:textDirection w:val="lrTb"/>
            <w:noWrap w:val="false"/>
          </w:tcPr>
          <w:p>
            <w:pPr>
              <w:jc w:val="center"/>
              <w:widowControl/>
              <w:rPr>
                <w:rStyle w:val="1040"/>
                <w:rFonts w:hint="eastAsia"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r>
            <w:r/>
          </w:p>
        </w:tc>
      </w:tr>
      <w:tr>
        <w:trPr>
          <w:jc w:val="center"/>
          <w:trHeight w:val="587"/>
        </w:trPr>
        <w:tc>
          <w:tcPr>
            <w:tcW w:w="3093" w:type="dxa"/>
            <w:vAlign w:val="center"/>
            <w:textDirection w:val="lrTb"/>
            <w:noWrap w:val="false"/>
          </w:tcPr>
          <w:p>
            <w:pPr>
              <w:pStyle w:val="764"/>
              <w:jc w:val="center"/>
              <w:widowControl w:val="off"/>
              <w:rPr>
                <w:rStyle w:val="1040"/>
                <w:rFonts w:hint="eastAsia" w:ascii="仿宋" w:hAnsi="仿宋" w:eastAsia="仿宋" w:cs="仿宋"/>
                <w:color w:val="000000" w:themeColor="text1"/>
                <w:sz w:val="24"/>
                <w:highlight w:val="none"/>
                <w:lang w:val="en-US" w:eastAsia="zh-CN"/>
                <w14:textFill>
                  <w14:solidFill>
                    <w14:schemeClr w14:val="tx1"/>
                  </w14:solidFill>
                </w14:textFill>
              </w:rPr>
            </w:pPr>
            <w:r>
              <w:rPr>
                <w:rStyle w:val="1040"/>
                <w:rFonts w:hint="eastAsia" w:ascii="仿宋" w:hAnsi="仿宋" w:eastAsia="仿宋" w:cs="仿宋"/>
                <w:color w:val="000000" w:themeColor="text1"/>
                <w:sz w:val="24"/>
                <w:highlight w:val="none"/>
                <w:lang w:val="en-US" w:eastAsia="zh-CN"/>
                <w14:textFill>
                  <w14:solidFill>
                    <w14:schemeClr w14:val="tx1"/>
                  </w14:solidFill>
                </w14:textFill>
              </w:rPr>
              <w:t xml:space="preserve">工期</w:t>
            </w:r>
            <w:r/>
          </w:p>
        </w:tc>
        <w:tc>
          <w:tcPr>
            <w:gridSpan w:val="2"/>
            <w:tcW w:w="6185" w:type="dxa"/>
            <w:vAlign w:val="center"/>
            <w:textDirection w:val="lrTb"/>
            <w:noWrap w:val="false"/>
          </w:tcPr>
          <w:p>
            <w:pPr>
              <w:jc w:val="center"/>
              <w:widowControl/>
              <w:rPr>
                <w:rStyle w:val="1040"/>
                <w:rFonts w:hint="eastAsia"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r>
            <w:r/>
          </w:p>
        </w:tc>
      </w:tr>
    </w:tbl>
    <w:p>
      <w:pPr>
        <w:pStyle w:val="764"/>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供应商承诺：本报价（总价）为供应商本企业提供的服务。</w:t>
      </w:r>
      <w:r/>
    </w:p>
    <w:p>
      <w:pPr>
        <w:pStyle w:val="764"/>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报价说明：</w:t>
      </w:r>
      <w:r/>
    </w:p>
    <w:p>
      <w:pPr>
        <w:pStyle w:val="764"/>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1、报价应包括磋商文件所确定的招标范围内工程量清单所含的全部内容，以及为完成上述内容所需的全部费用，采购人不再支付报价以外的任何费用。</w:t>
      </w:r>
      <w:r/>
    </w:p>
    <w:p>
      <w:pPr>
        <w:pStyle w:val="764"/>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2、报价以总价为准，大小写不一致以大写为准；</w:t>
      </w:r>
      <w:r/>
    </w:p>
    <w:p>
      <w:pPr>
        <w:pStyle w:val="764"/>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3、偏离说明：详见《偏离表》；</w:t>
      </w:r>
      <w:r/>
    </w:p>
    <w:p>
      <w:pPr>
        <w:pStyle w:val="764"/>
        <w:keepLines w:val="0"/>
        <w:keepNext w:val="0"/>
        <w:pageBreakBefore w:val="0"/>
        <w:spacing w:line="360" w:lineRule="auto"/>
        <w:widowControl w:val="off"/>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4、如最后报价未列明单价，则最后所报各项单价计算方法为：（最后总价/最初总价）*各项最初报价的单价。</w:t>
      </w:r>
      <w:r/>
    </w:p>
    <w:p>
      <w:pPr>
        <w:pStyle w:val="765"/>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注：各投标供应商在未进行二次报价前，请不要离开“苏采云”开标系统，随时接受磋商小组发起的二次报价，因投标供应商未能及时在规定时间进行二次报价而引起的废标及损失，由供应商自行承担。</w:t>
      </w:r>
      <w:r/>
    </w:p>
    <w:p>
      <w:pPr>
        <w:pStyle w:val="766"/>
        <w:rPr>
          <w:rFonts w:hint="eastAsia"/>
        </w:rPr>
      </w:pPr>
      <w:r>
        <w:rPr>
          <w:rFonts w:hint="eastAsia"/>
        </w:rPr>
      </w:r>
      <w:r/>
    </w:p>
    <w:p>
      <w:pPr>
        <w:pStyle w:val="764"/>
        <w:ind w:firstLine="472"/>
        <w:jc w:val="left"/>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64"/>
        <w:ind w:firstLine="472"/>
        <w:jc w:val="left"/>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w:t>
      </w:r>
      <w:r/>
    </w:p>
    <w:p>
      <w:pPr>
        <w:pStyle w:val="764"/>
        <w:ind w:firstLine="472"/>
        <w:jc w:val="left"/>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outlineLvl w:val="1"/>
      </w:pPr>
      <w:r>
        <w:rPr>
          <w:rStyle w:val="941"/>
          <w:rFonts w:hint="eastAsia" w:ascii="仿宋" w:hAnsi="仿宋" w:eastAsia="仿宋" w:cs="仿宋"/>
          <w:color w:val="000000" w:themeColor="text1"/>
          <w:sz w:val="24"/>
          <w:szCs w:val="24"/>
          <w:highlight w:val="none"/>
          <w14:textFill>
            <w14:solidFill>
              <w14:schemeClr w14:val="tx1"/>
            </w14:solidFill>
          </w14:textFill>
        </w:rPr>
        <w:t xml:space="preserve">4、报价明细表</w:t>
      </w:r>
      <w:r/>
    </w:p>
    <w:p>
      <w:pPr>
        <w:ind w:right="31"/>
        <w:pageBreakBefore w:val="0"/>
        <w:spacing w:before="240" w:after="240" w:line="360" w:lineRule="auto"/>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本次为首次报价</w:t>
      </w:r>
      <w:r/>
    </w:p>
    <w:p>
      <w:pPr>
        <w:ind w:right="31"/>
        <w:pageBreakBefore w:val="0"/>
        <w:spacing w:before="240" w:after="240" w:line="360" w:lineRule="auto"/>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项目编号：</w:t>
      </w:r>
      <w:r/>
    </w:p>
    <w:p>
      <w:pPr>
        <w:pageBreakBefore w:val="0"/>
        <w:spacing w:before="240" w:after="240" w:line="360" w:lineRule="auto"/>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项目名称：</w:t>
      </w:r>
      <w:r/>
    </w:p>
    <w:p>
      <w:pPr>
        <w:ind w:right="242"/>
        <w:pageBreakBefore w:val="0"/>
        <w:spacing w:before="240" w:after="24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货币单位：人民币元</w:t>
      </w:r>
      <w:r/>
    </w:p>
    <w:p>
      <w:pPr>
        <w:pStyle w:val="759"/>
        <w:ind w:left="0"/>
        <w:jc w:val="center"/>
        <w:widowControl w:val="off"/>
        <w:rPr>
          <w:rFonts w:hint="eastAsia" w:ascii="仿宋" w:hAnsi="仿宋" w:eastAsia="仿宋" w:cs="仿宋"/>
          <w:color w:val="000000" w:themeColor="text1"/>
          <w:sz w:val="24"/>
          <w:highlight w:val="none"/>
          <w:lang w:val="en-US" w:eastAsia="zh-CN" w:bidi="ar-SA"/>
          <w14:textFill>
            <w14:solidFill>
              <w14:schemeClr w14:val="tx1"/>
            </w14:solidFill>
          </w14:textFill>
        </w:rPr>
        <w:outlineLvl w:val="9"/>
      </w:pPr>
      <w:r>
        <w:rPr>
          <w:rFonts w:hint="eastAsia" w:ascii="仿宋" w:hAnsi="仿宋" w:eastAsia="仿宋" w:cs="仿宋"/>
          <w:color w:val="000000" w:themeColor="text1"/>
          <w:sz w:val="24"/>
          <w:highlight w:val="none"/>
          <w:lang w:val="en-US" w:eastAsia="zh-CN" w:bidi="ar-SA"/>
          <w14:textFill>
            <w14:solidFill>
              <w14:schemeClr w14:val="tx1"/>
            </w14:solidFill>
          </w14:textFill>
        </w:rPr>
      </w:r>
      <w:r/>
    </w:p>
    <w:p>
      <w:pPr>
        <w:pStyle w:val="759"/>
        <w:ind w:left="0"/>
        <w:jc w:val="center"/>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bidi="ar-SA"/>
          <w14:textFill>
            <w14:solidFill>
              <w14:schemeClr w14:val="tx1"/>
            </w14:solidFill>
          </w14:textFill>
        </w:rPr>
        <w:t xml:space="preserve">根据发布的《招标工程量清单》进行编制</w:t>
      </w:r>
      <w:r/>
    </w:p>
    <w:p>
      <w:pPr>
        <w:keepLines/>
        <w:keepNext/>
        <w:spacing w:before="320" w:after="200"/>
        <w:rPr>
          <w:rFonts w:hint="eastAsia" w:ascii="仿宋" w:hAnsi="仿宋" w:eastAsia="仿宋" w:cs="仿宋"/>
          <w:b/>
          <w:bCs/>
          <w:color w:val="000000" w:themeColor="text1"/>
          <w:sz w:val="24"/>
          <w:szCs w:val="26"/>
          <w:highlight w:val="none"/>
          <w:lang w:val="en-US" w:eastAsia="zh-CN" w:bidi="ar-SA"/>
          <w14:textFill>
            <w14:solidFill>
              <w14:schemeClr w14:val="tx1"/>
            </w14:solidFill>
          </w14:textFill>
        </w:rPr>
        <w:outlineLvl w:val="9"/>
      </w:pPr>
      <w:r>
        <w:rPr>
          <w:rFonts w:hint="eastAsia" w:ascii="仿宋" w:hAnsi="仿宋" w:eastAsia="仿宋" w:cs="仿宋"/>
          <w:b/>
          <w:bCs/>
          <w:color w:val="000000" w:themeColor="text1"/>
          <w:sz w:val="24"/>
          <w:szCs w:val="26"/>
          <w:highlight w:val="none"/>
          <w:lang w:val="en-US" w:eastAsia="zh-CN" w:bidi="ar-SA"/>
          <w14:textFill>
            <w14:solidFill>
              <w14:schemeClr w14:val="tx1"/>
            </w14:solidFill>
          </w14:textFill>
        </w:rPr>
      </w:r>
      <w:r/>
    </w:p>
    <w:p>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keepLines/>
        <w:keepNext/>
        <w:spacing w:before="320" w:after="200"/>
        <w:rPr>
          <w:rFonts w:hint="eastAsia" w:ascii="仿宋" w:hAnsi="仿宋" w:eastAsia="仿宋" w:cs="仿宋"/>
          <w:b/>
          <w:bCs/>
          <w:color w:val="000000" w:themeColor="text1"/>
          <w:sz w:val="24"/>
          <w:szCs w:val="26"/>
          <w:highlight w:val="none"/>
          <w:lang w:val="en-US" w:eastAsia="zh-CN" w:bidi="ar-SA"/>
          <w14:textFill>
            <w14:solidFill>
              <w14:schemeClr w14:val="tx1"/>
            </w14:solidFill>
          </w14:textFill>
        </w:rPr>
        <w:outlineLvl w:val="9"/>
      </w:pPr>
      <w:r>
        <w:rPr>
          <w:rFonts w:hint="eastAsia" w:ascii="仿宋" w:hAnsi="仿宋" w:eastAsia="仿宋" w:cs="仿宋"/>
          <w:b/>
          <w:bCs/>
          <w:color w:val="000000" w:themeColor="text1"/>
          <w:sz w:val="24"/>
          <w:szCs w:val="26"/>
          <w:highlight w:val="none"/>
          <w:lang w:val="en-US" w:eastAsia="zh-CN" w:bidi="ar-SA"/>
          <w14:textFill>
            <w14:solidFill>
              <w14:schemeClr w14:val="tx1"/>
            </w14:solidFill>
          </w14:textFill>
        </w:rPr>
      </w:r>
      <w:r/>
    </w:p>
    <w:p>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keepLines/>
        <w:keepNext/>
        <w:spacing w:before="320" w:after="200"/>
        <w:rPr>
          <w:rFonts w:hint="eastAsia" w:ascii="仿宋" w:hAnsi="仿宋" w:eastAsia="仿宋" w:cs="仿宋"/>
          <w:b/>
          <w:bCs/>
          <w:color w:val="000000" w:themeColor="text1"/>
          <w:sz w:val="24"/>
          <w:szCs w:val="26"/>
          <w:highlight w:val="none"/>
          <w:lang w:val="en-US" w:eastAsia="zh-CN" w:bidi="ar-SA"/>
          <w14:textFill>
            <w14:solidFill>
              <w14:schemeClr w14:val="tx1"/>
            </w14:solidFill>
          </w14:textFill>
        </w:rPr>
        <w:outlineLvl w:val="9"/>
      </w:pPr>
      <w:r>
        <w:rPr>
          <w:rFonts w:hint="eastAsia" w:ascii="仿宋" w:hAnsi="仿宋" w:eastAsia="仿宋" w:cs="仿宋"/>
          <w:b/>
          <w:bCs/>
          <w:color w:val="000000" w:themeColor="text1"/>
          <w:sz w:val="24"/>
          <w:szCs w:val="26"/>
          <w:highlight w:val="none"/>
          <w:lang w:val="en-US" w:eastAsia="zh-CN" w:bidi="ar-SA"/>
          <w14:textFill>
            <w14:solidFill>
              <w14:schemeClr w14:val="tx1"/>
            </w14:solidFill>
          </w14:textFill>
        </w:rPr>
      </w:r>
      <w:r/>
    </w:p>
    <w:p>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keepLines/>
        <w:keepNext/>
        <w:spacing w:before="320" w:after="200"/>
        <w:rPr>
          <w:rFonts w:hint="eastAsia" w:ascii="仿宋" w:hAnsi="仿宋" w:eastAsia="仿宋" w:cs="仿宋"/>
          <w:b/>
          <w:bCs/>
          <w:sz w:val="26"/>
          <w:szCs w:val="26"/>
          <w:highlight w:val="none"/>
          <w:lang w:val="en-US" w:eastAsia="zh-CN" w:bidi="ar-SA"/>
        </w:rPr>
        <w:outlineLvl w:val="9"/>
      </w:pPr>
      <w:r>
        <w:rPr>
          <w:rFonts w:hint="eastAsia" w:ascii="仿宋" w:hAnsi="仿宋" w:eastAsia="仿宋" w:cs="仿宋"/>
          <w:b/>
          <w:bCs/>
          <w:sz w:val="26"/>
          <w:szCs w:val="26"/>
          <w:highlight w:val="none"/>
          <w:lang w:val="en-US" w:eastAsia="zh-CN" w:bidi="ar-SA"/>
        </w:rPr>
      </w:r>
      <w:r/>
    </w:p>
    <w:p>
      <w:pPr>
        <w:pageBreakBefore w:val="0"/>
        <w:spacing w:before="240" w:after="24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供应商（电子签章）：</w:t>
      </w:r>
      <w:r/>
    </w:p>
    <w:p>
      <w:pPr>
        <w:pageBreakBefore w:val="0"/>
        <w:spacing w:before="240" w:after="24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w:t>
      </w:r>
      <w:r/>
    </w:p>
    <w:p>
      <w:pPr>
        <w:pageBreakBefore w:val="0"/>
        <w:spacing w:before="240" w:after="24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w:t>
      </w:r>
      <w:r/>
    </w:p>
    <w:p>
      <w:pPr>
        <w:ind w:right="0"/>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注：1</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如果按单价计算的结果与总价不一致，以总价为准。</w:t>
      </w:r>
      <w:r/>
    </w:p>
    <w:p>
      <w:pPr>
        <w:ind w:right="0" w:firstLine="480"/>
        <w:keepLines w:val="0"/>
        <w:keepNext w:val="0"/>
        <w:pageBreakBefore w:val="0"/>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highlight w:val="none"/>
          <w14:textFill>
            <w14:solidFill>
              <w14:schemeClr w14:val="tx1"/>
            </w14:solidFill>
          </w14:textFill>
        </w:rPr>
        <w:t xml:space="preserve">、如果不提供详细分项报价将视为没有实质性响应。</w:t>
      </w:r>
      <w:r/>
    </w:p>
    <w:p>
      <w:pPr>
        <w:pStyle w:val="764"/>
        <w:ind w:firstLine="480"/>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highlight w:val="none"/>
          <w14:textFill>
            <w14:solidFill>
              <w14:schemeClr w14:val="tx1"/>
            </w14:solidFill>
          </w14:textFill>
        </w:rPr>
        <w:t xml:space="preserve">、供应商对以上数据的真实性负责。</w:t>
      </w:r>
      <w:r/>
    </w:p>
    <w:p>
      <w:pPr>
        <w:pStyle w:val="764"/>
        <w:ind w:firstLine="480"/>
        <w:keepLines w:val="0"/>
        <w:keepNext w:val="0"/>
        <w:pageBreakBefore w:val="0"/>
        <w:spacing w:line="360" w:lineRule="auto"/>
        <w:widowControl w:val="off"/>
        <w:rPr>
          <w:rFonts w:hint="eastAsia" w:ascii="仿宋" w:hAnsi="仿宋" w:eastAsia="仿宋" w:cs="仿宋"/>
          <w:b/>
          <w:bCs/>
          <w:i/>
          <w:iCs/>
          <w:highlight w:val="none"/>
          <w:u w:val="single"/>
        </w:rPr>
      </w:pPr>
      <w:r>
        <w:rPr>
          <w:rFonts w:hint="eastAsia" w:ascii="仿宋" w:hAnsi="仿宋" w:eastAsia="仿宋" w:cs="仿宋"/>
          <w:b/>
          <w:bCs/>
          <w:i/>
          <w:iCs/>
          <w:color w:val="000000" w:themeColor="text1"/>
          <w:sz w:val="24"/>
          <w:highlight w:val="none"/>
          <w:u w:val="single"/>
          <w14:textFill>
            <w14:solidFill>
              <w14:schemeClr w14:val="tx1"/>
            </w14:solidFill>
          </w14:textFill>
        </w:rPr>
        <w:t xml:space="preserve">采购人或采购代理机构有权将以上内容进行公示。</w:t>
      </w:r>
      <w:r/>
    </w:p>
    <w:p>
      <w:pPr>
        <w:pStyle w:val="764"/>
        <w:numPr>
          <w:ilvl w:val="0"/>
          <w:numId w:val="0"/>
        </w:numPr>
        <w:jc w:val="center"/>
        <w:pageBreakBefore w:val="0"/>
        <w:spacing w:line="360" w:lineRule="auto"/>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r>
      <w:r/>
    </w:p>
    <w:p>
      <w:pPr>
        <w:pStyle w:val="764"/>
        <w:numPr>
          <w:ilvl w:val="0"/>
          <w:numId w:val="0"/>
        </w:numPr>
        <w:jc w:val="center"/>
        <w:pageBreakBefore w:val="0"/>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64"/>
        <w:numPr>
          <w:ilvl w:val="0"/>
          <w:numId w:val="0"/>
        </w:numPr>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t xml:space="preserve">5、</w:t>
      </w:r>
      <w:r>
        <w:rPr>
          <w:rStyle w:val="941"/>
          <w:rFonts w:hint="eastAsia" w:ascii="仿宋" w:hAnsi="仿宋" w:eastAsia="仿宋" w:cs="仿宋"/>
          <w:color w:val="000000" w:themeColor="text1"/>
          <w:sz w:val="24"/>
          <w:szCs w:val="24"/>
          <w:highlight w:val="none"/>
          <w14:textFill>
            <w14:solidFill>
              <w14:schemeClr w14:val="tx1"/>
            </w14:solidFill>
          </w14:textFill>
        </w:rPr>
        <w:t xml:space="preserve">偏离表</w:t>
      </w:r>
      <w:r/>
    </w:p>
    <w:p>
      <w:pPr>
        <w:pStyle w:val="770"/>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项目名称：                                                        </w:t>
      </w:r>
      <w:r/>
    </w:p>
    <w:p>
      <w:pPr>
        <w:pStyle w:val="770"/>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项目编号：</w:t>
      </w:r>
      <w:r/>
    </w:p>
    <w:tbl>
      <w:tblPr>
        <w:tblStyle w:val="723"/>
        <w:tblW w:w="95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caps/>
                <w:sz w:val="24"/>
              </w:rPr>
              <w:t xml:space="preserve">序号</w:t>
            </w:r>
            <w:r/>
          </w:p>
        </w:tc>
        <w:tc>
          <w:tcPr>
            <w:tcW w:w="1220"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caps/>
                <w:sz w:val="24"/>
              </w:rPr>
              <w:t xml:space="preserve">偏离内容</w:t>
            </w:r>
            <w:r/>
          </w:p>
        </w:tc>
        <w:tc>
          <w:tcPr>
            <w:tcW w:w="2415"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sz w:val="24"/>
              </w:rPr>
              <w:t xml:space="preserve">竞争性磋商文件（含竞争性磋商文件的澄清或者修改）的要求</w:t>
            </w:r>
            <w:r/>
          </w:p>
        </w:tc>
        <w:tc>
          <w:tcPr>
            <w:tcW w:w="1575"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sz w:val="24"/>
              </w:rPr>
              <w:t xml:space="preserve">首次响应文件中的内容</w:t>
            </w:r>
            <w:r/>
          </w:p>
        </w:tc>
        <w:tc>
          <w:tcPr>
            <w:tcW w:w="1351"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caps/>
                <w:sz w:val="24"/>
              </w:rPr>
              <w:t xml:space="preserve">（正/负/无）偏离</w:t>
            </w:r>
            <w:r/>
          </w:p>
        </w:tc>
        <w:tc>
          <w:tcPr>
            <w:tcW w:w="2123"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caps/>
                <w:sz w:val="24"/>
              </w:rPr>
              <w:t xml:space="preserve">说明</w:t>
            </w:r>
            <w:r/>
          </w:p>
        </w:tc>
      </w:tr>
      <w:tr>
        <w:trPr>
          <w:jc w:val="center"/>
          <w:trHeight w:val="794"/>
        </w:trPr>
        <w:tc>
          <w:tcPr>
            <w:tcW w:w="888"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122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2415"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1575"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1351"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2123"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bl>
    <w:p>
      <w:pPr>
        <w:pStyle w:val="764"/>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pageBreakBefore w:val="0"/>
        <w:spacing w:line="360" w:lineRule="auto"/>
        <w:rPr>
          <w:rFonts w:hint="eastAsia" w:ascii="仿宋" w:hAnsi="仿宋" w:eastAsia="仿宋" w:cs="仿宋"/>
          <w:highlight w:val="none"/>
        </w:rPr>
      </w:pPr>
      <w:r>
        <w:rPr>
          <w:rFonts w:hint="eastAsia" w:ascii="仿宋" w:hAnsi="仿宋" w:eastAsia="仿宋" w:cs="仿宋"/>
          <w:color w:val="000000" w:themeColor="text1"/>
          <w:sz w:val="24"/>
          <w:highlight w:val="none"/>
          <w14:textFill>
            <w14:solidFill>
              <w14:schemeClr w14:val="tx1"/>
            </w14:solidFill>
          </w14:textFill>
        </w:rPr>
        <w:t xml:space="preserve">注：供应商递交的首次响应文件中与《磋商文件》和《磋商文件修改（澄清）》（如有）的要求有不同时，应逐条列在偏离表中，否则将认为供应商接受磋商文件的要求。</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pageBreakBefore w:val="0"/>
        <w:spacing w:before="240" w:after="240" w:line="360" w:lineRule="auto"/>
        <w:rPr>
          <w:rFonts w:hint="eastAsia"/>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w:t>
      </w:r>
      <w:r/>
    </w:p>
    <w:p>
      <w:pPr>
        <w:pStyle w:val="764"/>
        <w:ind w:firstLine="472"/>
        <w:pageBreakBefore w:val="0"/>
        <w:spacing w:line="360" w:lineRule="auto"/>
        <w:rPr>
          <w:rFonts w:hint="eastAsia" w:ascii="仿宋" w:hAnsi="仿宋" w:eastAsia="仿宋" w:cs="仿宋"/>
          <w:highlight w:val="none"/>
          <w:lang w:val="en-US" w:eastAsia="zh-CN"/>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日期：</w:t>
      </w:r>
      <w:r/>
    </w:p>
    <w:p>
      <w:pPr>
        <w:pStyle w:val="764"/>
        <w:jc w:val="left"/>
        <w:pageBreakBefore w:val="0"/>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772"/>
        <w:rPr>
          <w:rFonts w:hint="eastAsia" w:ascii="仿宋" w:hAnsi="仿宋" w:eastAsia="仿宋" w:cs="仿宋"/>
          <w:highlight w:val="none"/>
        </w:rPr>
      </w:pPr>
      <w:r>
        <w:rPr>
          <w:rFonts w:hint="eastAsia" w:ascii="仿宋" w:hAnsi="仿宋" w:eastAsia="仿宋" w:cs="仿宋"/>
          <w:highlight w:val="none"/>
        </w:rPr>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Style w:val="941"/>
          <w:rFonts w:hint="eastAsia" w:ascii="仿宋" w:hAnsi="仿宋" w:eastAsia="仿宋" w:cs="仿宋"/>
          <w:color w:val="000000" w:themeColor="text1"/>
          <w:sz w:val="24"/>
          <w:szCs w:val="24"/>
          <w:highlight w:val="none"/>
          <w14:textFill>
            <w14:solidFill>
              <w14:schemeClr w14:val="tx1"/>
            </w14:solidFill>
          </w14:textFill>
        </w:rPr>
        <w:t xml:space="preserve">6、承诺书</w:t>
      </w:r>
      <w:r/>
    </w:p>
    <w:p>
      <w:pPr>
        <w:pStyle w:val="764"/>
        <w:keepLines w:val="0"/>
        <w:keepNext w:val="0"/>
        <w:pageBreakBefore w:val="0"/>
        <w:spacing w:line="24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致：</w:t>
      </w:r>
      <w:r>
        <w:rPr>
          <w:rFonts w:hint="eastAsia" w:ascii="仿宋" w:hAnsi="仿宋" w:eastAsia="仿宋" w:cs="仿宋"/>
          <w:color w:val="000000" w:themeColor="text1"/>
          <w:sz w:val="24"/>
          <w:highlight w:val="none"/>
          <w:lang w:eastAsia="zh-CN"/>
          <w14:textFill>
            <w14:solidFill>
              <w14:schemeClr w14:val="tx1"/>
            </w14:solidFill>
          </w14:textFill>
        </w:rPr>
        <w:t xml:space="preserve">江苏格恒项目管理咨询有限公司、新沂市住房和城乡建设局</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根据贵方</w:t>
      </w:r>
      <w:r>
        <w:rPr>
          <w:rFonts w:hint="eastAsia" w:ascii="仿宋" w:hAnsi="仿宋" w:eastAsia="仿宋" w:cs="仿宋"/>
          <w:color w:val="000000" w:themeColor="text1"/>
          <w:sz w:val="24"/>
          <w:highlight w:val="none"/>
          <w:lang w:eastAsia="zh-CN"/>
          <w14:textFill>
            <w14:solidFill>
              <w14:schemeClr w14:val="tx1"/>
            </w14:solidFill>
          </w14:textFill>
        </w:rPr>
        <w:t xml:space="preserve">2026年城南绿化补植及设施维修工程项目</w:t>
      </w:r>
      <w:r>
        <w:rPr>
          <w:rFonts w:hint="eastAsia" w:ascii="仿宋" w:hAnsi="仿宋" w:eastAsia="仿宋" w:cs="仿宋"/>
          <w:color w:val="000000" w:themeColor="text1"/>
          <w:sz w:val="24"/>
          <w:highlight w:val="none"/>
          <w14:textFill>
            <w14:solidFill>
              <w14:schemeClr w14:val="tx1"/>
            </w14:solidFill>
          </w14:textFill>
        </w:rPr>
        <w:t xml:space="preserve">《竞争性磋商文件》（项目编号：</w:t>
      </w:r>
      <w:r>
        <w:rPr>
          <w:rFonts w:hint="eastAsia" w:ascii="仿宋" w:hAnsi="仿宋" w:eastAsia="仿宋" w:cs="仿宋"/>
          <w:color w:val="000000" w:themeColor="text1"/>
          <w:sz w:val="24"/>
          <w:highlight w:val="none"/>
          <w:lang w:eastAsia="zh-CN"/>
          <w14:textFill>
            <w14:solidFill>
              <w14:schemeClr w14:val="tx1"/>
            </w14:solidFill>
          </w14:textFill>
        </w:rPr>
        <w:t xml:space="preserve">JSZC-320381-JGHG-C2026-0001</w:t>
      </w:r>
      <w:r>
        <w:rPr>
          <w:rFonts w:hint="eastAsia" w:ascii="仿宋" w:hAnsi="仿宋" w:eastAsia="仿宋" w:cs="仿宋"/>
          <w:color w:val="000000" w:themeColor="text1"/>
          <w:sz w:val="24"/>
          <w:highlight w:val="none"/>
          <w14:textFill>
            <w14:solidFill>
              <w14:schemeClr w14:val="tx1"/>
            </w14:solidFill>
          </w14:textFill>
        </w:rPr>
        <w:t xml:space="preserve">）要求，本供应商正式提交以下首次响应文件。</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w:t>
      </w:r>
      <w:r>
        <w:rPr>
          <w:rFonts w:hint="eastAsia" w:ascii="仿宋" w:hAnsi="仿宋" w:eastAsia="仿宋" w:cs="仿宋"/>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3" name="直接连接符 6"/>
                <wp:cNvGraphicFramePr/>
                <a:graphic xmlns:a="http://schemas.openxmlformats.org/drawingml/2006/main">
                  <a:graphicData uri="http://schemas.microsoft.com/office/word/2010/wordprocessingShape">
                    <wps:wsp>
                      <wps:cNvPr id="0" name=""/>
                      <wps:cNvSpPr/>
                      <wps:spPr bwMode="auto">
                        <a:xfrm rot="21600000" flipV="1">
                          <a:off x="0" y="0"/>
                          <a:ext cx="762" cy="16510"/>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2" o:spid="_x0000_s2" style="position:absolute;left:0;text-align:left;z-index:251661312;mso-wrap-distance-left:7.1pt;mso-wrap-distance-top:0.0pt;mso-wrap-distance-right:7.1pt;mso-wrap-distance-bottom:0.0pt;rotation:360;flip:y;visibility:visible;" from="147.0pt,1.3pt" to="147.1pt,2.6pt" fillcolor="#FFFFFF" strokecolor="#000000" strokeweight="0.75pt">
                <v:stroke dashstyle="solid"/>
              </v:line>
            </w:pict>
          </mc:Fallback>
        </mc:AlternateContent>
      </w:r>
      <w:r>
        <w:rPr>
          <w:rFonts w:hint="eastAsia" w:ascii="仿宋" w:hAnsi="仿宋" w:eastAsia="仿宋" w:cs="仿宋"/>
          <w:color w:val="000000" w:themeColor="text1"/>
          <w:sz w:val="24"/>
          <w:highlight w:val="none"/>
          <w14:textFill>
            <w14:solidFill>
              <w14:schemeClr w14:val="tx1"/>
            </w14:solidFill>
          </w14:textFill>
        </w:rPr>
        <w:t xml:space="preserve">承诺书；</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bookmarkStart w:id="112" w:name="_Toc18142"/>
      <w:r/>
      <w:bookmarkStart w:id="113" w:name="_Toc24561"/>
      <w:r/>
      <w:bookmarkStart w:id="114" w:name="_Toc30031"/>
      <w:r/>
      <w:bookmarkStart w:id="115" w:name="_Toc20543"/>
      <w:r/>
      <w:bookmarkStart w:id="116" w:name="_Toc16644"/>
      <w:r>
        <w:rPr>
          <w:rFonts w:hint="eastAsia" w:ascii="仿宋" w:hAnsi="仿宋" w:eastAsia="仿宋" w:cs="仿宋"/>
          <w:color w:val="000000" w:themeColor="text1"/>
          <w:sz w:val="24"/>
          <w:highlight w:val="none"/>
          <w14:textFill>
            <w14:solidFill>
              <w14:schemeClr w14:val="tx1"/>
            </w14:solidFill>
          </w14:textFill>
        </w:rPr>
        <w:t xml:space="preserve">（2）磋商报价表；</w:t>
      </w:r>
      <w:bookmarkEnd w:id="112"/>
      <w:r/>
      <w:bookmarkEnd w:id="113"/>
      <w:r/>
      <w:bookmarkEnd w:id="114"/>
      <w:r/>
      <w:bookmarkEnd w:id="115"/>
      <w:r/>
      <w:bookmarkEnd w:id="116"/>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bookmarkStart w:id="117" w:name="_Toc27728"/>
      <w:r/>
      <w:bookmarkStart w:id="118" w:name="_Toc8339"/>
      <w:r/>
      <w:bookmarkStart w:id="119" w:name="_Toc27515"/>
      <w:r/>
      <w:bookmarkStart w:id="120" w:name="_Toc15322"/>
      <w:r/>
      <w:bookmarkStart w:id="121" w:name="_Toc26005"/>
      <w:r>
        <w:rPr>
          <w:rFonts w:hint="eastAsia" w:ascii="仿宋" w:hAnsi="仿宋" w:eastAsia="仿宋" w:cs="仿宋"/>
          <w:color w:val="000000" w:themeColor="text1"/>
          <w:sz w:val="24"/>
          <w:highlight w:val="none"/>
          <w14:textFill>
            <w14:solidFill>
              <w14:schemeClr w14:val="tx1"/>
            </w14:solidFill>
          </w14:textFill>
        </w:rPr>
        <w:t xml:space="preserve">（3）偏离表；</w:t>
      </w:r>
      <w:bookmarkEnd w:id="117"/>
      <w:r/>
      <w:bookmarkEnd w:id="118"/>
      <w:r/>
      <w:bookmarkEnd w:id="119"/>
      <w:r/>
      <w:bookmarkEnd w:id="120"/>
      <w:r/>
      <w:bookmarkEnd w:id="121"/>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bookmarkStart w:id="122" w:name="_Toc22961"/>
      <w:r/>
      <w:bookmarkStart w:id="123" w:name="_Toc10380"/>
      <w:r/>
      <w:bookmarkStart w:id="124" w:name="_Toc2652"/>
      <w:r/>
      <w:bookmarkStart w:id="125" w:name="_Toc1135"/>
      <w:r/>
      <w:bookmarkStart w:id="126" w:name="_Toc30830"/>
      <w:r>
        <w:rPr>
          <w:rFonts w:hint="eastAsia" w:ascii="仿宋" w:hAnsi="仿宋" w:eastAsia="仿宋" w:cs="仿宋"/>
          <w:color w:val="000000" w:themeColor="text1"/>
          <w:sz w:val="24"/>
          <w:highlight w:val="none"/>
          <w14:textFill>
            <w14:solidFill>
              <w14:schemeClr w14:val="tx1"/>
            </w14:solidFill>
          </w14:textFill>
        </w:rPr>
        <w:t xml:space="preserve">（4）磋商文件要求提供的其他响应文件。</w:t>
      </w:r>
      <w:bookmarkEnd w:id="122"/>
      <w:r/>
      <w:bookmarkEnd w:id="123"/>
      <w:r/>
      <w:bookmarkEnd w:id="124"/>
      <w:r/>
      <w:bookmarkEnd w:id="125"/>
      <w:r/>
      <w:bookmarkEnd w:id="126"/>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我单位符合《中华人民共和国政府采购法》第二十二条的规定，符合本项目供应商资格要求。</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我单位按照磋商文件的要求编制响应文件，并对其提交的响应文件的真实性、合法性承担法律责任。</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供应商兹宣布同意如下: </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2336" behindDoc="0" locked="0" layoutInCell="0" allowOverlap="1">
                <wp:simplePos x="0" y="0"/>
                <wp:positionH relativeFrom="column">
                  <wp:posOffset>3133725</wp:posOffset>
                </wp:positionH>
                <wp:positionV relativeFrom="paragraph">
                  <wp:posOffset>297180</wp:posOffset>
                </wp:positionV>
                <wp:extent cx="635" cy="635"/>
                <wp:effectExtent l="0" t="0" r="0" b="0"/>
                <wp:wrapNone/>
                <wp:docPr id="4" name="直接连接符 7"/>
                <wp:cNvGraphicFramePr/>
                <a:graphic xmlns:a="http://schemas.openxmlformats.org/drawingml/2006/main">
                  <a:graphicData uri="http://schemas.microsoft.com/office/word/2010/wordprocessingShape">
                    <wps:wsp>
                      <wps:cNvPr id="0" name=""/>
                      <wps:cNvSpPr/>
                      <wps:spPr bwMode="auto">
                        <a:xfrm>
                          <a:off x="0" y="0"/>
                          <a:ext cx="762" cy="761"/>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3" o:spid="_x0000_s3" style="position:absolute;left:0;text-align:left;z-index:251662336;mso-wrap-distance-left:7.1pt;mso-wrap-distance-top:0.0pt;mso-wrap-distance-right:7.1pt;mso-wrap-distance-bottom:0.0pt;visibility:visible;" from="246.8pt,23.4pt" to="246.8pt,23.4pt" fillcolor="#FFFFFF" strokecolor="#000000" strokeweight="0.75pt">
                <v:stroke dashstyle="solid"/>
              </v:line>
            </w:pict>
          </mc:Fallback>
        </mc:AlternateContent>
      </w:r>
      <w:r>
        <w:rPr>
          <w:rFonts w:hint="eastAsia" w:ascii="仿宋" w:hAnsi="仿宋" w:eastAsia="仿宋" w:cs="仿宋"/>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3360" behindDoc="0" locked="0" layoutInCell="0" allowOverlap="1">
                <wp:simplePos x="0" y="0"/>
                <wp:positionH relativeFrom="column">
                  <wp:posOffset>2800350</wp:posOffset>
                </wp:positionH>
                <wp:positionV relativeFrom="paragraph">
                  <wp:posOffset>594360</wp:posOffset>
                </wp:positionV>
                <wp:extent cx="635" cy="635"/>
                <wp:effectExtent l="0" t="0" r="0" b="0"/>
                <wp:wrapNone/>
                <wp:docPr id="5" name="直接连接符 8"/>
                <wp:cNvGraphicFramePr/>
                <a:graphic xmlns:a="http://schemas.openxmlformats.org/drawingml/2006/main">
                  <a:graphicData uri="http://schemas.microsoft.com/office/word/2010/wordprocessingShape">
                    <wps:wsp>
                      <wps:cNvPr id="0" name=""/>
                      <wps:cNvSpPr/>
                      <wps:spPr bwMode="auto">
                        <a:xfrm>
                          <a:off x="0" y="0"/>
                          <a:ext cx="762" cy="761"/>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4" o:spid="_x0000_s4" style="position:absolute;left:0;text-align:left;z-index:251663360;mso-wrap-distance-left:7.1pt;mso-wrap-distance-top:0.0pt;mso-wrap-distance-right:7.1pt;mso-wrap-distance-bottom:0.0pt;visibility:visible;" from="220.5pt,46.8pt" to="220.6pt,46.8pt" fillcolor="#FFFFFF" strokecolor="#000000" strokeweight="0.75pt">
                <v:stroke dashstyle="solid"/>
              </v:line>
            </w:pict>
          </mc:Fallback>
        </mc:AlternateContent>
      </w:r>
      <w:r>
        <w:rPr>
          <w:rFonts w:hint="eastAsia" w:ascii="仿宋" w:hAnsi="仿宋" w:eastAsia="仿宋" w:cs="仿宋"/>
          <w:color w:val="000000" w:themeColor="text1"/>
          <w:sz w:val="24"/>
          <w:highlight w:val="none"/>
          <w14:textFill>
            <w14:solidFill>
              <w14:schemeClr w14:val="tx1"/>
            </w14:solidFill>
          </w14:textFill>
        </w:rPr>
        <w:t xml:space="preserve">一、完全承担根据《磋商文件》规定完成合同的责任和义务（如有偏离，将全部填写在偏离表中）。</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3360" behindDoc="0" locked="0" layoutInCell="0" allowOverlap="1">
                <wp:simplePos x="0" y="0"/>
                <wp:positionH relativeFrom="column">
                  <wp:posOffset>2667000</wp:posOffset>
                </wp:positionH>
                <wp:positionV relativeFrom="paragraph">
                  <wp:posOffset>247650</wp:posOffset>
                </wp:positionV>
                <wp:extent cx="635" cy="635"/>
                <wp:effectExtent l="0" t="0" r="0" b="0"/>
                <wp:wrapNone/>
                <wp:docPr id="6" name="直接连接符 9"/>
                <wp:cNvGraphicFramePr/>
                <a:graphic xmlns:a="http://schemas.openxmlformats.org/drawingml/2006/main">
                  <a:graphicData uri="http://schemas.microsoft.com/office/word/2010/wordprocessingShape">
                    <wps:wsp>
                      <wps:cNvPr id="0" name=""/>
                      <wps:cNvSpPr/>
                      <wps:spPr bwMode="auto">
                        <a:xfrm>
                          <a:off x="0" y="0"/>
                          <a:ext cx="762" cy="761"/>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5" o:spid="_x0000_s5" style="position:absolute;left:0;text-align:left;z-index:251663360;mso-wrap-distance-left:7.1pt;mso-wrap-distance-top:0.0pt;mso-wrap-distance-right:7.1pt;mso-wrap-distance-bottom:0.0pt;visibility:visible;" from="210.0pt,19.5pt" to="210.1pt,19.6pt" fillcolor="#FFFFFF" strokecolor="#000000" strokeweight="0.75pt">
                <v:stroke dashstyle="solid"/>
              </v:line>
            </w:pict>
          </mc:Fallback>
        </mc:AlternateContent>
      </w:r>
      <w:r>
        <w:rPr>
          <w:rFonts w:hint="eastAsia" w:ascii="仿宋" w:hAnsi="仿宋" w:eastAsia="仿宋" w:cs="仿宋"/>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4384" behindDoc="0" locked="0" layoutInCell="0" allowOverlap="1">
                <wp:simplePos x="0" y="0"/>
                <wp:positionH relativeFrom="column">
                  <wp:posOffset>2667000</wp:posOffset>
                </wp:positionH>
                <wp:positionV relativeFrom="paragraph">
                  <wp:posOffset>247650</wp:posOffset>
                </wp:positionV>
                <wp:extent cx="635" cy="635"/>
                <wp:effectExtent l="0" t="0" r="0" b="0"/>
                <wp:wrapNone/>
                <wp:docPr id="7" name="直接连接符 10"/>
                <wp:cNvGraphicFramePr/>
                <a:graphic xmlns:a="http://schemas.openxmlformats.org/drawingml/2006/main">
                  <a:graphicData uri="http://schemas.microsoft.com/office/word/2010/wordprocessingShape">
                    <wps:wsp>
                      <wps:cNvPr id="0" name=""/>
                      <wps:cNvSpPr/>
                      <wps:spPr bwMode="auto">
                        <a:xfrm>
                          <a:off x="0" y="0"/>
                          <a:ext cx="762" cy="761"/>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6" o:spid="_x0000_s6" style="position:absolute;left:0;text-align:left;z-index:251664384;mso-wrap-distance-left:7.1pt;mso-wrap-distance-top:0.0pt;mso-wrap-distance-right:7.1pt;mso-wrap-distance-bottom:0.0pt;visibility:visible;" from="210.0pt,19.5pt" to="210.1pt,19.6pt" fillcolor="#FFFFFF" strokecolor="#000000" strokeweight="0.75pt">
                <v:stroke dashstyle="solid"/>
              </v:line>
            </w:pict>
          </mc:Fallback>
        </mc:AlternateContent>
      </w:r>
      <w:r>
        <w:rPr>
          <w:rFonts w:hint="eastAsia" w:ascii="仿宋" w:hAnsi="仿宋" w:eastAsia="仿宋" w:cs="仿宋"/>
          <w:color w:val="000000" w:themeColor="text1"/>
          <w:sz w:val="24"/>
          <w:highlight w:val="none"/>
          <w14:textFill>
            <w14:solidFill>
              <w14:schemeClr w14:val="tx1"/>
            </w14:solidFill>
          </w14:textFill>
        </w:rPr>
        <w:t xml:space="preserve">二、保证所提供的响应文件及所有材料的真实、合法、有效，并对其负责。</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三、已详细审核竞争性磋商文件（含竞争性磋商文件的澄清或者修改），本供应商完全理解并同意放弃对这方面不明及误解的权利。</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四、所供服务保证符合国家有关产品质量、性能和安全标准，无权利瑕疵。</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outlineLvl w:val="2"/>
      </w:pPr>
      <w:r>
        <w:rPr>
          <w:rFonts w:hint="eastAsia" w:ascii="仿宋" w:hAnsi="仿宋" w:eastAsia="仿宋" w:cs="仿宋"/>
          <w:color w:val="000000" w:themeColor="text1"/>
          <w:sz w:val="24"/>
          <w:highlight w:val="none"/>
          <w14:textFill>
            <w14:solidFill>
              <w14:schemeClr w14:val="tx1"/>
            </w14:solidFill>
          </w14:textFill>
        </w:rPr>
        <w:t xml:space="preserve">五、投标有效期为</w:t>
      </w:r>
      <w:r>
        <w:rPr>
          <w:rFonts w:hint="eastAsia" w:ascii="仿宋" w:hAnsi="仿宋" w:eastAsia="仿宋" w:cs="仿宋"/>
          <w:color w:val="000000" w:themeColor="text1"/>
          <w:sz w:val="24"/>
          <w:highlight w:val="none"/>
          <w:u w:val="single"/>
          <w14:textFill>
            <w14:solidFill>
              <w14:schemeClr w14:val="tx1"/>
            </w14:solidFill>
          </w14:textFill>
        </w:rPr>
        <w:t xml:space="preserve">45</w:t>
      </w:r>
      <w:r>
        <w:rPr>
          <w:rFonts w:hint="eastAsia" w:ascii="仿宋" w:hAnsi="仿宋" w:eastAsia="仿宋" w:cs="仿宋"/>
          <w:color w:val="000000" w:themeColor="text1"/>
          <w:sz w:val="24"/>
          <w:highlight w:val="none"/>
          <w14:textFill>
            <w14:solidFill>
              <w14:schemeClr w14:val="tx1"/>
            </w14:solidFill>
          </w14:textFill>
        </w:rPr>
        <w:t xml:space="preserve">日。</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六、同意向贵方提供贵方可能要求的与本次磋商采购有关的任何证据或资料。</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outlineLvl w:val="2"/>
      </w:pPr>
      <w:r>
        <w:rPr>
          <w:rFonts w:hint="eastAsia" w:ascii="仿宋" w:hAnsi="仿宋" w:eastAsia="仿宋" w:cs="仿宋"/>
          <w:color w:val="000000" w:themeColor="text1"/>
          <w:sz w:val="24"/>
          <w:highlight w:val="none"/>
          <w14:textFill>
            <w14:solidFill>
              <w14:schemeClr w14:val="tx1"/>
            </w14:solidFill>
          </w14:textFill>
        </w:rPr>
        <w:t xml:space="preserve">七、完全理解贵方不一定要接受最低的报价或收到的任何报价。</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八、</w:t>
      </w:r>
      <w:r>
        <w:rPr>
          <w:rFonts w:hint="eastAsia" w:ascii="仿宋" w:hAnsi="仿宋" w:eastAsia="仿宋" w:cs="仿宋"/>
          <w:color w:val="000000" w:themeColor="text1"/>
          <w:sz w:val="24"/>
          <w:highlight w:val="none"/>
          <w:lang w:eastAsia="zh-CN"/>
          <w14:textFill>
            <w14:solidFill>
              <w14:schemeClr w14:val="tx1"/>
            </w14:solidFill>
          </w14:textFill>
        </w:rPr>
        <w:t xml:space="preserve">江苏格恒项目管理咨询有限公司</w:t>
      </w:r>
      <w:r>
        <w:rPr>
          <w:rFonts w:hint="eastAsia" w:ascii="仿宋" w:hAnsi="仿宋" w:eastAsia="仿宋" w:cs="仿宋"/>
          <w:color w:val="000000" w:themeColor="text1"/>
          <w:sz w:val="24"/>
          <w:highlight w:val="none"/>
          <w14:textFill>
            <w14:solidFill>
              <w14:schemeClr w14:val="tx1"/>
            </w14:solidFill>
          </w14:textFill>
        </w:rPr>
        <w:t xml:space="preserve">有权将我单位本项目的《磋商报价表》予以公示，公示的方式由</w:t>
      </w:r>
      <w:r>
        <w:rPr>
          <w:rFonts w:hint="eastAsia" w:ascii="仿宋" w:hAnsi="仿宋" w:eastAsia="仿宋" w:cs="仿宋"/>
          <w:color w:val="000000" w:themeColor="text1"/>
          <w:sz w:val="24"/>
          <w:highlight w:val="none"/>
          <w:lang w:eastAsia="zh-CN"/>
          <w14:textFill>
            <w14:solidFill>
              <w14:schemeClr w14:val="tx1"/>
            </w14:solidFill>
          </w14:textFill>
        </w:rPr>
        <w:t xml:space="preserve">江苏格恒项目管理咨询有限公司</w:t>
      </w:r>
      <w:r>
        <w:rPr>
          <w:rFonts w:hint="eastAsia" w:ascii="仿宋" w:hAnsi="仿宋" w:eastAsia="仿宋" w:cs="仿宋"/>
          <w:color w:val="000000" w:themeColor="text1"/>
          <w:sz w:val="24"/>
          <w:highlight w:val="none"/>
          <w14:textFill>
            <w14:solidFill>
              <w14:schemeClr w14:val="tx1"/>
            </w14:solidFill>
          </w14:textFill>
        </w:rPr>
        <w:t xml:space="preserve">确定。</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十、同意按照有关规定</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在领取</w:t>
      </w:r>
      <w:r>
        <w:rPr>
          <w:rFonts w:hint="eastAsia" w:ascii="仿宋" w:hAnsi="仿宋" w:eastAsia="仿宋" w:cs="仿宋"/>
          <w:color w:val="000000" w:themeColor="text1"/>
          <w:sz w:val="24"/>
          <w:highlight w:val="none"/>
          <w:lang w:eastAsia="zh-CN"/>
          <w14:textFill>
            <w14:solidFill>
              <w14:schemeClr w14:val="tx1"/>
            </w14:solidFill>
          </w14:textFill>
        </w:rPr>
        <w:t xml:space="preserve">成交（中标）通知书</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前一次性向江苏格恒项目管理咨询有限公司</w:t>
      </w:r>
      <w:r>
        <w:rPr>
          <w:rFonts w:hint="eastAsia" w:ascii="仿宋" w:hAnsi="仿宋" w:eastAsia="仿宋" w:cs="仿宋"/>
          <w:color w:val="000000" w:themeColor="text1"/>
          <w:sz w:val="24"/>
          <w:highlight w:val="none"/>
          <w14:textFill>
            <w14:solidFill>
              <w14:schemeClr w14:val="tx1"/>
            </w14:solidFill>
          </w14:textFill>
        </w:rPr>
        <w:t xml:space="preserve">支付代理服务费。</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8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64"/>
        <w:ind w:firstLine="472"/>
        <w:keepLines w:val="0"/>
        <w:keepNext w:val="0"/>
        <w:pageBreakBefore w:val="0"/>
        <w:spacing w:line="240" w:lineRule="auto"/>
        <w:widowControl/>
        <w:rPr>
          <w:rFonts w:hint="eastAsia" w:ascii="仿宋" w:hAnsi="仿宋" w:eastAsia="仿宋" w:cs="仿宋"/>
          <w:color w:val="000000" w:themeColor="text1"/>
          <w:sz w:val="24"/>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764"/>
        <w:ind w:firstLine="472"/>
        <w:keepLines w:val="0"/>
        <w:keepNext w:val="0"/>
        <w:pageBreakBefore w:val="0"/>
        <w:spacing w:line="240" w:lineRule="auto"/>
        <w:widowControl/>
        <w:rPr>
          <w:rFonts w:hint="eastAsia" w:ascii="仿宋" w:hAnsi="仿宋" w:eastAsia="仿宋" w:cs="仿宋"/>
          <w:color w:val="000000" w:themeColor="text1"/>
          <w:sz w:val="24"/>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  </w:t>
      </w:r>
      <w:r/>
    </w:p>
    <w:p>
      <w:pPr>
        <w:pStyle w:val="764"/>
        <w:ind w:firstLine="472"/>
        <w:keepLines w:val="0"/>
        <w:keepNext w:val="0"/>
        <w:pageBreakBefore w:val="0"/>
        <w:spacing w:line="240" w:lineRule="auto"/>
        <w:widowControl/>
        <w:rPr>
          <w:rFonts w:hint="eastAsia" w:ascii="仿宋" w:hAnsi="仿宋" w:eastAsia="仿宋" w:cs="仿宋"/>
          <w:color w:val="000000" w:themeColor="text1"/>
          <w:sz w:val="24"/>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764"/>
        <w:ind w:firstLine="472"/>
        <w:keepLines w:val="0"/>
        <w:keepNext w:val="0"/>
        <w:pageBreakBefore w:val="0"/>
        <w:spacing w:line="240" w:lineRule="auto"/>
        <w:widowControl/>
        <w:rPr>
          <w:rFonts w:hint="eastAsia" w:ascii="仿宋" w:hAnsi="仿宋" w:eastAsia="仿宋" w:cs="仿宋"/>
          <w:color w:val="000000" w:themeColor="text1"/>
          <w:sz w:val="24"/>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联系电话：</w:t>
      </w:r>
      <w:r/>
    </w:p>
    <w:p>
      <w:pPr>
        <w:pStyle w:val="764"/>
        <w:ind w:firstLine="472"/>
        <w:keepLines w:val="0"/>
        <w:keepNext w:val="0"/>
        <w:pageBreakBefore w:val="0"/>
        <w:spacing w:line="240" w:lineRule="auto"/>
        <w:widowControl/>
        <w:rPr>
          <w:rFonts w:hint="eastAsia" w:ascii="仿宋" w:hAnsi="仿宋" w:eastAsia="仿宋" w:cs="仿宋"/>
          <w:color w:val="000000" w:themeColor="text1"/>
          <w:sz w:val="24"/>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764"/>
        <w:ind w:firstLine="472"/>
        <w:keepLines w:val="0"/>
        <w:keepNext w:val="0"/>
        <w:pageBreakBefore w:val="0"/>
        <w:spacing w:line="240" w:lineRule="auto"/>
        <w:widowControl/>
        <w:rPr>
          <w:rFonts w:hint="eastAsia" w:ascii="仿宋" w:hAnsi="仿宋" w:eastAsia="仿宋" w:cs="仿宋"/>
          <w:color w:val="000000" w:themeColor="text1"/>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日期：</w:t>
      </w:r>
      <w:r/>
    </w:p>
    <w:p>
      <w:pPr>
        <w:pStyle w:val="764"/>
        <w:jc w:val="center"/>
        <w:pageBreakBefore w:val="0"/>
        <w:spacing w:line="360" w:lineRule="auto"/>
        <w:widowControl/>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widowControl/>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widowControl/>
        <w:rPr>
          <w:rFonts w:hint="eastAsia" w:ascii="仿宋" w:hAnsi="仿宋" w:eastAsia="仿宋" w:cs="仿宋"/>
          <w:b/>
          <w:color w:val="000000" w:themeColor="text1"/>
          <w:sz w:val="24"/>
          <w:highlight w:val="none"/>
          <w14:textFill>
            <w14:solidFill>
              <w14:schemeClr w14:val="tx1"/>
            </w14:solidFill>
          </w14:textFill>
        </w:rPr>
        <w:outlineLvl w:val="1"/>
      </w:pPr>
      <w:r>
        <w:rPr>
          <w:rStyle w:val="941"/>
          <w:rFonts w:hint="eastAsia" w:ascii="仿宋" w:hAnsi="仿宋" w:eastAsia="仿宋" w:cs="仿宋"/>
          <w:color w:val="000000" w:themeColor="text1"/>
          <w:sz w:val="24"/>
          <w:szCs w:val="24"/>
          <w:highlight w:val="none"/>
          <w14:textFill>
            <w14:solidFill>
              <w14:schemeClr w14:val="tx1"/>
            </w14:solidFill>
          </w14:textFill>
        </w:rPr>
        <w:t xml:space="preserve">7、法人授权委托书</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委托人（全称）：</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地  址：</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               </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法人营业执照注册号（统一社会信用代码）：</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受托人：                  先生（女士）  </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联系电话：                     </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身份证号：</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兹委托（           ）全权代表我企业（公司）参与</w:t>
      </w:r>
      <w:r>
        <w:rPr>
          <w:rFonts w:hint="eastAsia" w:ascii="仿宋" w:hAnsi="仿宋" w:eastAsia="仿宋" w:cs="仿宋"/>
          <w:color w:val="000000" w:themeColor="text1"/>
          <w:sz w:val="24"/>
          <w:highlight w:val="none"/>
          <w:u w:val="single"/>
          <w:lang w:eastAsia="zh-CN"/>
          <w14:textFill>
            <w14:solidFill>
              <w14:schemeClr w14:val="tx1"/>
            </w14:solidFill>
          </w14:textFill>
        </w:rPr>
        <w:t xml:space="preserve">2026年城南绿化补植及设施维修工程项目</w:t>
      </w:r>
      <w:r>
        <w:rPr>
          <w:rFonts w:hint="eastAsia" w:ascii="仿宋" w:hAnsi="仿宋" w:eastAsia="仿宋" w:cs="仿宋"/>
          <w:color w:val="000000" w:themeColor="text1"/>
          <w:sz w:val="24"/>
          <w:highlight w:val="none"/>
          <w14:textFill>
            <w14:solidFill>
              <w14:schemeClr w14:val="tx1"/>
            </w14:solidFill>
          </w14:textFill>
        </w:rPr>
        <w:t xml:space="preserve">[项目编号：</w:t>
      </w:r>
      <w:r>
        <w:rPr>
          <w:rFonts w:hint="eastAsia" w:ascii="仿宋" w:hAnsi="仿宋" w:eastAsia="仿宋" w:cs="仿宋"/>
          <w:color w:val="000000" w:themeColor="text1"/>
          <w:sz w:val="24"/>
          <w:highlight w:val="none"/>
          <w:lang w:eastAsia="zh-CN"/>
          <w14:textFill>
            <w14:solidFill>
              <w14:schemeClr w14:val="tx1"/>
            </w14:solidFill>
          </w14:textFill>
        </w:rPr>
        <w:t xml:space="preserve">JSZC-320381-JGHG-C2026-0001</w:t>
      </w:r>
      <w:r>
        <w:rPr>
          <w:rFonts w:hint="eastAsia" w:ascii="仿宋" w:hAnsi="仿宋" w:eastAsia="仿宋" w:cs="仿宋"/>
          <w:color w:val="000000" w:themeColor="text1"/>
          <w:sz w:val="24"/>
          <w:highlight w:val="none"/>
          <w14:textFill>
            <w14:solidFill>
              <w14:schemeClr w14:val="tx1"/>
            </w14:solidFill>
          </w14:textFill>
        </w:rPr>
        <w:t xml:space="preserve">]的磋商活动。（           ）以我单位名义所为的行为及签署的文件，我单位均予以认可。有关法律责任均由我单位承担。（           ）无转委托权。</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委托期限自     年   月  日起至    年   月   日止。</w:t>
      </w:r>
      <w:r/>
    </w:p>
    <w:p>
      <w:pPr>
        <w:pStyle w:val="764"/>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委托人（</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64"/>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法定代表人（签字）：</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764"/>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受托人（签字）：</w:t>
      </w:r>
      <w:r/>
    </w:p>
    <w:p>
      <w:pPr>
        <w:pStyle w:val="764"/>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法定代表人、</w:t>
      </w:r>
      <w:r>
        <w:rPr>
          <w:rFonts w:hint="eastAsia" w:ascii="仿宋" w:hAnsi="仿宋" w:eastAsia="仿宋" w:cs="仿宋"/>
          <w:color w:val="000000" w:themeColor="text1"/>
          <w:sz w:val="24"/>
          <w:highlight w:val="none"/>
          <w14:textFill>
            <w14:solidFill>
              <w14:schemeClr w14:val="tx1"/>
            </w14:solidFill>
          </w14:textFill>
        </w:rPr>
        <w:t xml:space="preserve">受托人身份证正反面附后（加盖电子章）)</w:t>
      </w:r>
      <w:r/>
    </w:p>
    <w:p>
      <w:pPr>
        <w:pStyle w:val="770"/>
        <w:rPr>
          <w:rFonts w:hint="eastAsia" w:ascii="仿宋" w:hAnsi="仿宋" w:eastAsia="仿宋" w:cs="仿宋"/>
          <w:highlight w:val="none"/>
        </w:rPr>
      </w:pPr>
      <w:r>
        <w:rPr>
          <w:rFonts w:hint="eastAsia" w:ascii="仿宋" w:hAnsi="仿宋" w:eastAsia="仿宋" w:cs="仿宋"/>
          <w:highlight w:val="none"/>
        </w:rPr>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Style w:val="941"/>
          <w:rFonts w:hint="eastAsia" w:ascii="仿宋" w:hAnsi="仿宋" w:eastAsia="仿宋" w:cs="仿宋"/>
          <w:color w:val="000000" w:themeColor="text1"/>
          <w:sz w:val="24"/>
          <w:szCs w:val="24"/>
          <w:highlight w:val="none"/>
          <w14:textFill>
            <w14:solidFill>
              <w14:schemeClr w14:val="tx1"/>
            </w14:solidFill>
          </w14:textFill>
        </w:rPr>
        <w:t xml:space="preserve">8、供应商参加政府采购活动前3年内在经营活动中没有重大违法记录的书面声明</w:t>
      </w:r>
      <w:r/>
    </w:p>
    <w:p>
      <w:pPr>
        <w:pStyle w:val="764"/>
        <w:ind w:firstLine="47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4"/>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我单位在参加</w:t>
      </w:r>
      <w:r>
        <w:rPr>
          <w:rFonts w:hint="eastAsia" w:ascii="仿宋" w:hAnsi="仿宋" w:eastAsia="仿宋" w:cs="仿宋"/>
          <w:color w:val="000000" w:themeColor="text1"/>
          <w:sz w:val="24"/>
          <w:highlight w:val="none"/>
          <w:lang w:eastAsia="zh-CN"/>
          <w14:textFill>
            <w14:solidFill>
              <w14:schemeClr w14:val="tx1"/>
            </w14:solidFill>
          </w14:textFill>
        </w:rPr>
        <w:t xml:space="preserve">2026年城南绿化补植及设施维修工程项目</w:t>
      </w:r>
      <w:r>
        <w:rPr>
          <w:rFonts w:hint="eastAsia" w:ascii="仿宋" w:hAnsi="仿宋" w:eastAsia="仿宋" w:cs="仿宋"/>
          <w:color w:val="000000" w:themeColor="text1"/>
          <w:sz w:val="24"/>
          <w:highlight w:val="none"/>
          <w14:textFill>
            <w14:solidFill>
              <w14:schemeClr w14:val="tx1"/>
            </w14:solidFill>
          </w14:textFill>
        </w:rPr>
        <w:t xml:space="preserve">[项目编号：</w:t>
      </w:r>
      <w:r>
        <w:rPr>
          <w:rFonts w:hint="eastAsia" w:ascii="仿宋" w:hAnsi="仿宋" w:eastAsia="仿宋" w:cs="仿宋"/>
          <w:color w:val="000000" w:themeColor="text1"/>
          <w:sz w:val="24"/>
          <w:highlight w:val="none"/>
          <w:lang w:eastAsia="zh-CN"/>
          <w14:textFill>
            <w14:solidFill>
              <w14:schemeClr w14:val="tx1"/>
            </w14:solidFill>
          </w14:textFill>
        </w:rPr>
        <w:t xml:space="preserve">JSZC-320381-JGHG-C2026-0001</w:t>
      </w:r>
      <w:r>
        <w:rPr>
          <w:rFonts w:hint="eastAsia" w:ascii="仿宋" w:hAnsi="仿宋" w:eastAsia="仿宋" w:cs="仿宋"/>
          <w:color w:val="000000" w:themeColor="text1"/>
          <w:sz w:val="24"/>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764"/>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我单位对上述声明的真实性负责。如有虚假，将依法承担相应责任。</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供应商名称：</w:t>
      </w:r>
      <w:r/>
    </w:p>
    <w:p>
      <w:pPr>
        <w:pStyle w:val="77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7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764"/>
        <w:ind w:firstLine="47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4"/>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4"/>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4"/>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4"/>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4"/>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4"/>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4"/>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70"/>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59"/>
        <w:rPr>
          <w:rFonts w:hint="eastAsia" w:ascii="仿宋" w:hAnsi="仿宋" w:eastAsia="仿宋" w:cs="仿宋"/>
          <w:highlight w:val="none"/>
        </w:rPr>
        <w:outlineLvl w:val="9"/>
      </w:pPr>
      <w:r>
        <w:rPr>
          <w:rFonts w:hint="eastAsia" w:ascii="仿宋" w:hAnsi="仿宋" w:eastAsia="仿宋" w:cs="仿宋"/>
          <w:highlight w:val="none"/>
        </w:rPr>
      </w:r>
      <w:r/>
    </w:p>
    <w:p>
      <w:pPr>
        <w:pStyle w:val="762"/>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62"/>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Style w:val="941"/>
          <w:rFonts w:hint="eastAsia" w:ascii="仿宋" w:hAnsi="仿宋" w:eastAsia="仿宋" w:cs="仿宋"/>
          <w:color w:val="000000" w:themeColor="text1"/>
          <w:sz w:val="24"/>
          <w:szCs w:val="24"/>
          <w:highlight w:val="none"/>
          <w14:textFill>
            <w14:solidFill>
              <w14:schemeClr w14:val="tx1"/>
            </w14:solidFill>
          </w14:textFill>
        </w:rPr>
        <w:t xml:space="preserve">9. 具备履行合同所必需的设备和专业技术能力的书面声明</w:t>
      </w:r>
      <w:r/>
    </w:p>
    <w:p>
      <w:pPr>
        <w:pStyle w:val="76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2"/>
        <w:pageBreakBefore w:val="0"/>
        <w:spacing w:line="360" w:lineRule="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项目名称：</w:t>
      </w:r>
      <w:r>
        <w:rPr>
          <w:rFonts w:hint="eastAsia" w:ascii="仿宋" w:hAnsi="仿宋" w:eastAsia="仿宋" w:cs="仿宋"/>
          <w:color w:val="000000" w:themeColor="text1"/>
          <w:sz w:val="24"/>
          <w:highlight w:val="none"/>
          <w:u w:val="single"/>
          <w:lang w:eastAsia="zh-CN"/>
          <w14:textFill>
            <w14:solidFill>
              <w14:schemeClr w14:val="tx1"/>
            </w14:solidFill>
          </w14:textFill>
        </w:rPr>
        <w:t xml:space="preserve">2026年城南绿化补植及设施维修工程项目</w:t>
      </w:r>
      <w:r/>
    </w:p>
    <w:p>
      <w:pPr>
        <w:pStyle w:val="762"/>
        <w:pageBreakBefore w:val="0"/>
        <w:spacing w:line="360" w:lineRule="auto"/>
        <w:rPr>
          <w:rFonts w:hint="eastAsia" w:ascii="仿宋" w:hAnsi="仿宋" w:eastAsia="仿宋" w:cs="仿宋"/>
          <w:color w:val="000000" w:themeColor="text1"/>
          <w:sz w:val="24"/>
          <w:highlight w:val="none"/>
          <w:u w:val="singl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项目编号：</w:t>
      </w:r>
      <w:r>
        <w:rPr>
          <w:rFonts w:hint="eastAsia" w:ascii="仿宋" w:hAnsi="仿宋" w:eastAsia="仿宋" w:cs="仿宋"/>
          <w:color w:val="000000" w:themeColor="text1"/>
          <w:sz w:val="24"/>
          <w:highlight w:val="none"/>
          <w:u w:val="single"/>
          <w:lang w:eastAsia="zh-CN"/>
          <w14:textFill>
            <w14:solidFill>
              <w14:schemeClr w14:val="tx1"/>
            </w14:solidFill>
          </w14:textFill>
        </w:rPr>
        <w:t xml:space="preserve">JSZC-320381-JGHG-C2026-0001</w:t>
      </w:r>
      <w:r/>
    </w:p>
    <w:p>
      <w:pPr>
        <w:pStyle w:val="762"/>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2"/>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我单位郑重声明：我单位具备履行合同（项目名称：</w:t>
      </w:r>
      <w:r>
        <w:rPr>
          <w:rFonts w:hint="eastAsia" w:ascii="仿宋" w:hAnsi="仿宋" w:eastAsia="仿宋" w:cs="仿宋"/>
          <w:color w:val="000000" w:themeColor="text1"/>
          <w:sz w:val="24"/>
          <w:highlight w:val="none"/>
          <w:u w:val="single"/>
          <w:lang w:eastAsia="zh-CN"/>
          <w14:textFill>
            <w14:solidFill>
              <w14:schemeClr w14:val="tx1"/>
            </w14:solidFill>
          </w14:textFill>
        </w:rPr>
        <w:t xml:space="preserve">2026年城南绿化补植及设施维修工程项目</w:t>
      </w:r>
      <w:r>
        <w:rPr>
          <w:rFonts w:hint="eastAsia" w:ascii="仿宋" w:hAnsi="仿宋" w:eastAsia="仿宋" w:cs="仿宋"/>
          <w:color w:val="000000" w:themeColor="text1"/>
          <w:sz w:val="24"/>
          <w:highlight w:val="none"/>
          <w14:textFill>
            <w14:solidFill>
              <w14:schemeClr w14:val="tx1"/>
            </w14:solidFill>
          </w14:textFill>
        </w:rPr>
        <w:t xml:space="preserve">，项目编号：</w:t>
      </w:r>
      <w:r>
        <w:rPr>
          <w:rFonts w:hint="eastAsia" w:ascii="仿宋" w:hAnsi="仿宋" w:eastAsia="仿宋" w:cs="仿宋"/>
          <w:color w:val="000000" w:themeColor="text1"/>
          <w:sz w:val="24"/>
          <w:highlight w:val="none"/>
          <w:u w:val="single"/>
          <w:lang w:eastAsia="zh-CN"/>
          <w14:textFill>
            <w14:solidFill>
              <w14:schemeClr w14:val="tx1"/>
            </w14:solidFill>
          </w14:textFill>
        </w:rPr>
        <w:t xml:space="preserve">JSZC-320381-JGHG-C2026-0001</w:t>
      </w:r>
      <w:r>
        <w:rPr>
          <w:rFonts w:hint="eastAsia" w:ascii="仿宋" w:hAnsi="仿宋" w:eastAsia="仿宋" w:cs="仿宋"/>
          <w:color w:val="000000" w:themeColor="text1"/>
          <w:sz w:val="24"/>
          <w:highlight w:val="none"/>
          <w14:textFill>
            <w14:solidFill>
              <w14:schemeClr w14:val="tx1"/>
            </w14:solidFill>
          </w14:textFill>
        </w:rPr>
        <w:t xml:space="preserve">）所必需的设备和专业技术能力。</w:t>
      </w:r>
      <w:r/>
    </w:p>
    <w:p>
      <w:pPr>
        <w:pStyle w:val="762"/>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2"/>
        <w:ind w:firstLine="48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特此声明。</w:t>
      </w:r>
      <w:r/>
    </w:p>
    <w:p>
      <w:pPr>
        <w:pStyle w:val="762"/>
        <w:ind w:firstLine="48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我单位对上述声明的真实性负责。如有虚假，将依法承担相应责任。</w:t>
      </w:r>
      <w:r/>
    </w:p>
    <w:p>
      <w:pPr>
        <w:pStyle w:val="76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2"/>
        <w:ind w:firstLine="300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31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64"/>
        <w:ind w:firstLine="31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w:t>
      </w:r>
      <w:r/>
    </w:p>
    <w:p>
      <w:pPr>
        <w:pStyle w:val="764"/>
        <w:ind w:firstLine="31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764"/>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br w:type="page" w:clear="all"/>
      </w:r>
      <w:r>
        <w:rPr>
          <w:rStyle w:val="941"/>
          <w:rFonts w:hint="eastAsia" w:ascii="仿宋" w:hAnsi="仿宋" w:eastAsia="仿宋" w:cs="仿宋"/>
          <w:color w:val="000000" w:themeColor="text1"/>
          <w:sz w:val="24"/>
          <w:szCs w:val="24"/>
          <w:highlight w:val="none"/>
          <w14:textFill>
            <w14:solidFill>
              <w14:schemeClr w14:val="tx1"/>
            </w14:solidFill>
          </w14:textFill>
        </w:rPr>
        <w:t xml:space="preserve">10、中小企业声明函</w:t>
      </w:r>
      <w:r/>
    </w:p>
    <w:p>
      <w:pPr>
        <w:pStyle w:val="764"/>
        <w:ind w:firstLine="480"/>
        <w:pageBreakBefore w:val="0"/>
        <w:spacing w:before="292"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项目名称：</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项目编号：</w:t>
      </w:r>
      <w:r/>
    </w:p>
    <w:p>
      <w:pPr>
        <w:pStyle w:val="764"/>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本公司郑重声明，根据《政府采购促进中小企业发展管理办法》（财库﹝2020﹞46 号）的规定，本公司参加</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新沂市住房和城乡建设局</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2026年城南绿化补植及设施维修工程项目</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采购活动，工程的施工单位全部为符合政策要求的中小企业。相关企业的具体情况如下：</w:t>
      </w:r>
      <w:r/>
    </w:p>
    <w:p>
      <w:pPr>
        <w:pStyle w:val="764"/>
        <w:ind w:firstLine="480"/>
        <w:spacing w:line="360" w:lineRule="auto"/>
        <w:rPr>
          <w:rFonts w:hint="eastAsia"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2026年城南绿化补植及设施维修工程项目</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建筑业</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；承建（承接）企业为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万元，属于（□中型企业、□小型企业、□微型企业，请勾选）；</w:t>
      </w:r>
      <w:r/>
    </w:p>
    <w:p>
      <w:pPr>
        <w:pStyle w:val="764"/>
        <w:ind w:firstLine="480"/>
        <w:spacing w:line="360" w:lineRule="auto"/>
        <w:rPr>
          <w:rFonts w:hint="eastAsia"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pStyle w:val="764"/>
        <w:ind w:firstLine="480"/>
        <w:spacing w:line="360" w:lineRule="auto"/>
        <w:rPr>
          <w:rFonts w:hint="eastAsia"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pStyle w:val="764"/>
        <w:ind w:firstLine="60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64"/>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企业名称（</w:t>
      </w:r>
      <w:r>
        <w:rPr>
          <w:rFonts w:hint="eastAsia" w:ascii="仿宋" w:hAnsi="仿宋" w:eastAsia="仿宋" w:cs="仿宋"/>
          <w:color w:val="auto"/>
          <w:sz w:val="24"/>
          <w:szCs w:val="24"/>
          <w:highlight w:val="none"/>
          <w:lang w:val="en-US" w:eastAsia="zh-CN"/>
        </w:rPr>
        <w:t xml:space="preserve">电子签章</w:t>
      </w:r>
      <w:r>
        <w:rPr>
          <w:rFonts w:hint="eastAsia" w:ascii="仿宋" w:hAnsi="仿宋" w:eastAsia="仿宋" w:cs="仿宋"/>
          <w:color w:val="auto"/>
          <w:sz w:val="24"/>
          <w:szCs w:val="24"/>
          <w:highlight w:val="none"/>
        </w:rPr>
        <w:t xml:space="preserve">）：</w:t>
      </w:r>
      <w:r/>
    </w:p>
    <w:p>
      <w:pPr>
        <w:pStyle w:val="764"/>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日期： 年  月  日</w:t>
      </w:r>
      <w:r/>
    </w:p>
    <w:p>
      <w:pPr>
        <w:pStyle w:val="7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64"/>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764"/>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764"/>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注：</w:t>
      </w:r>
      <w:r>
        <w:rPr>
          <w:rFonts w:hint="eastAsia" w:ascii="仿宋" w:hAnsi="仿宋" w:eastAsia="仿宋" w:cs="仿宋"/>
          <w:b/>
          <w:color w:val="auto"/>
          <w:sz w:val="24"/>
          <w:szCs w:val="24"/>
          <w:highlight w:val="none"/>
          <w:lang w:val="en-US" w:eastAsia="zh-CN"/>
        </w:rPr>
        <w:t xml:space="preserve">1、</w:t>
      </w:r>
      <w:r>
        <w:rPr>
          <w:rFonts w:hint="eastAsia" w:ascii="仿宋" w:hAnsi="仿宋" w:eastAsia="仿宋" w:cs="仿宋"/>
          <w:b/>
          <w:color w:val="auto"/>
          <w:sz w:val="24"/>
          <w:szCs w:val="24"/>
          <w:highlight w:val="none"/>
        </w:rPr>
        <w:t xml:space="preserve">从业人员、营业收入、资产总额填报上一年度数据，无上一年度数据的新成立企业可不填报。</w:t>
      </w:r>
      <w:r/>
    </w:p>
    <w:p>
      <w:pPr>
        <w:jc w:val="both"/>
        <w:spacing w:after="120"/>
        <w:widowControl w:val="off"/>
        <w:rPr>
          <w:rFonts w:hint="eastAsia" w:ascii="仿宋" w:hAnsi="仿宋" w:eastAsia="仿宋" w:cs="仿宋"/>
          <w:sz w:val="21"/>
          <w:szCs w:val="24"/>
          <w:highlight w:val="none"/>
          <w:lang w:val="en-US" w:eastAsia="zh-CN" w:bidi="ar-SA"/>
        </w:rPr>
        <w:outlineLvl w:val="1"/>
      </w:pPr>
      <w:r>
        <w:rPr>
          <w:rFonts w:hint="eastAsia" w:ascii="仿宋" w:hAnsi="仿宋" w:eastAsia="仿宋" w:cs="仿宋"/>
          <w:b/>
          <w:color w:val="auto"/>
          <w:sz w:val="24"/>
          <w:szCs w:val="24"/>
          <w:highlight w:val="none"/>
          <w:lang w:val="en-US" w:eastAsia="zh-CN" w:bidi="ar-SA"/>
        </w:rPr>
        <w:t xml:space="preserve">        2、采购人确定的采购项目属性：工程。</w:t>
      </w:r>
      <w:r/>
    </w:p>
    <w:p>
      <w:pPr>
        <w:pStyle w:val="770"/>
        <w:rPr>
          <w:rFonts w:hint="eastAsia" w:ascii="仿宋" w:hAnsi="仿宋" w:eastAsia="仿宋" w:cs="仿宋"/>
          <w:highlight w:val="none"/>
        </w:rPr>
      </w:pPr>
      <w:r>
        <w:rPr>
          <w:rFonts w:hint="eastAsia" w:ascii="仿宋" w:hAnsi="仿宋" w:eastAsia="仿宋" w:cs="仿宋"/>
          <w:highlight w:val="none"/>
        </w:rPr>
      </w:r>
      <w:r/>
    </w:p>
    <w:p>
      <w:pPr>
        <w:pStyle w:val="772"/>
        <w:ind w:left="0" w:firstLine="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说明：如提供虚假中小企业声明函的，则采购人有权取消投标、中标候选或中标资格，有权终止合同，并报政府采购监管部门。</w:t>
      </w:r>
      <w:r/>
    </w:p>
    <w:p>
      <w:pPr>
        <w:pStyle w:val="960"/>
        <w:jc w:val="both"/>
        <w:keepLines w:val="0"/>
        <w:keepNext w:val="0"/>
        <w:pageBreakBefore w:val="0"/>
        <w:spacing w:before="0" w:after="210" w:line="360" w:lineRule="auto"/>
        <w:shd w:val="clear" w:color="auto" w:fill="ffffff"/>
        <w:widowControl/>
        <w:rPr>
          <w:rFonts w:hint="eastAsia" w:ascii="仿宋" w:hAnsi="仿宋" w:eastAsia="仿宋" w:cs="仿宋"/>
          <w:color w:val="000000" w:themeColor="text1"/>
          <w:spacing w:val="8"/>
          <w:sz w:val="33"/>
          <w:szCs w:val="33"/>
          <w:highlight w:val="none"/>
          <w:shd w:val="clear" w:color="auto" w:fill="ffffff"/>
          <w14:textFill>
            <w14:solidFill>
              <w14:schemeClr w14:val="tx1"/>
            </w14:solidFill>
          </w14:textFill>
        </w:rPr>
        <w:outlineLvl w:val="9"/>
      </w:pPr>
      <w:r/>
      <w:bookmarkStart w:id="127" w:name="_Toc20404"/>
      <w:r/>
      <w:bookmarkStart w:id="128" w:name="_Toc28289"/>
      <w:r/>
      <w:bookmarkStart w:id="129" w:name="_Toc20052"/>
      <w:r/>
      <w:bookmarkStart w:id="130" w:name="_Toc8932"/>
      <w:r/>
      <w:bookmarkStart w:id="131" w:name="_Toc14588"/>
      <w:r/>
      <w:bookmarkStart w:id="132" w:name="_Toc16442"/>
      <w:r/>
      <w:bookmarkStart w:id="133" w:name="_Toc369"/>
      <w:r/>
      <w:r/>
    </w:p>
    <w:p>
      <w:pPr>
        <w:pStyle w:val="960"/>
        <w:jc w:val="center"/>
        <w:keepLines w:val="0"/>
        <w:keepNext w:val="0"/>
        <w:pageBreakBefore w:val="0"/>
        <w:spacing w:before="0" w:after="210" w:line="360" w:lineRule="auto"/>
        <w:shd w:val="clear" w:color="auto" w:fill="ffffff"/>
        <w:widowControl/>
        <w:rPr>
          <w:rFonts w:hint="eastAsia" w:ascii="仿宋" w:hAnsi="仿宋" w:eastAsia="仿宋" w:cs="仿宋"/>
          <w:color w:val="000000" w:themeColor="text1"/>
          <w:spacing w:val="8"/>
          <w:sz w:val="33"/>
          <w:szCs w:val="33"/>
          <w:highlight w:val="none"/>
          <w14:textFill>
            <w14:solidFill>
              <w14:schemeClr w14:val="tx1"/>
            </w14:solidFill>
          </w14:textFill>
        </w:rPr>
        <w:outlineLvl w:val="2"/>
      </w:pPr>
      <w:r>
        <w:rPr>
          <w:rFonts w:hint="eastAsia" w:ascii="仿宋" w:hAnsi="仿宋" w:eastAsia="仿宋" w:cs="仿宋"/>
          <w:color w:val="000000" w:themeColor="text1"/>
          <w:spacing w:val="8"/>
          <w:sz w:val="33"/>
          <w:szCs w:val="33"/>
          <w:highlight w:val="none"/>
          <w:shd w:val="clear" w:color="auto" w:fill="ffffff"/>
          <w14:textFill>
            <w14:solidFill>
              <w14:schemeClr w14:val="tx1"/>
            </w14:solidFill>
          </w14:textFill>
        </w:rPr>
        <w:t xml:space="preserve">中小企业规模类型自测小程序</w:t>
      </w:r>
      <w:bookmarkEnd w:id="127"/>
      <w:r/>
      <w:bookmarkEnd w:id="128"/>
      <w:r/>
      <w:bookmarkEnd w:id="129"/>
      <w:r/>
      <w:bookmarkEnd w:id="130"/>
      <w:r/>
      <w:bookmarkEnd w:id="131"/>
      <w:r/>
      <w:bookmarkEnd w:id="132"/>
      <w:r/>
      <w:bookmarkEnd w:id="133"/>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1357630</wp:posOffset>
                </wp:positionH>
                <wp:positionV relativeFrom="page">
                  <wp:posOffset>2827020</wp:posOffset>
                </wp:positionV>
                <wp:extent cx="2857500" cy="5715000"/>
                <wp:effectExtent l="0" t="0" r="32" b="11"/>
                <wp:wrapSquare wrapText="bothSides"/>
                <wp:docPr id="8" name="图片 11"/>
                <wp:cNvGraphicFramePr/>
                <a:graphic xmlns:a="http://schemas.openxmlformats.org/drawingml/2006/main">
                  <a:graphicData uri="http://schemas.openxmlformats.org/drawingml/2006/picture">
                    <pic:pic xmlns:pic="http://schemas.openxmlformats.org/drawingml/2006/picture">
                      <pic:nvPicPr>
                        <pic:cNvPr id="8" name="图片 11"/>
                        <pic:cNvPicPr/>
                        <pic:nvPr/>
                      </pic:nvPicPr>
                      <pic:blipFill>
                        <a:blip r:embed="rId12"/>
                        <a:stretch/>
                      </pic:blipFill>
                      <pic:spPr bwMode="auto">
                        <a:xfrm>
                          <a:off x="0" y="0"/>
                          <a:ext cx="2857500" cy="5714999"/>
                        </a:xfrm>
                        <a:prstGeom prst="rect">
                          <a:avLst/>
                        </a:prstGeom>
                        <a:noFill/>
                        <a:ln w="9525" cap="flat" cmpd="sng">
                          <a:noFill/>
                          <a:prstDash val="solid"/>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5408;o:allowoverlap:true;o:allowincell:true;mso-position-horizontal-relative:text;margin-left:106.9pt;mso-position-horizontal:absolute;mso-position-vertical-relative:page;margin-top:222.6pt;mso-position-vertical:absolute;width:225.0pt;height:450.0pt;mso-wrap-distance-left:9.0pt;mso-wrap-distance-top:0.0pt;mso-wrap-distance-right:9.0pt;mso-wrap-distance-bottom:0.0pt;" stroked="f" strokeweight="0.75pt">
                <v:path textboxrect="0,0,0,0"/>
                <w10:wrap type="square"/>
                <v:imagedata r:id="rId12" o:title=""/>
              </v:shape>
            </w:pict>
          </mc:Fallback>
        </mc:AlternateContent>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Style w:val="941"/>
          <w:rFonts w:hint="eastAsia" w:ascii="仿宋" w:hAnsi="仿宋" w:eastAsia="仿宋" w:cs="仿宋"/>
          <w:color w:val="000000" w:themeColor="text1"/>
          <w:sz w:val="24"/>
          <w:szCs w:val="24"/>
          <w:highlight w:val="none"/>
          <w14:textFill>
            <w14:solidFill>
              <w14:schemeClr w14:val="tx1"/>
            </w14:solidFill>
          </w14:textFill>
        </w:rPr>
        <w:t xml:space="preserve">11、残疾人福利性单位声明函</w:t>
      </w:r>
      <w:r/>
    </w:p>
    <w:p>
      <w:pPr>
        <w:pStyle w:val="764"/>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项目名称：</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项目编号：</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单位的</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764"/>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本单位对上述声明的真实性负责。如有虚假，将依法承担相应责任。</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  </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764"/>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jc w:val="left"/>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jc w:val="center"/>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2"/>
        <w:ind w:firstLine="496"/>
        <w:pageBreakBefore w:val="0"/>
        <w:spacing w:line="360" w:lineRule="auto"/>
        <w:rPr>
          <w:rFonts w:hint="eastAsia" w:ascii="仿宋" w:hAnsi="仿宋" w:eastAsia="仿宋" w:cs="仿宋"/>
          <w:b/>
          <w:color w:val="000000" w:themeColor="text1"/>
          <w:spacing w:val="6"/>
          <w:sz w:val="24"/>
          <w:highlight w:val="none"/>
          <w14:textFill>
            <w14:solidFill>
              <w14:schemeClr w14:val="tx1"/>
            </w14:solidFill>
          </w14:textFill>
        </w:rPr>
      </w:pPr>
      <w:r>
        <w:rPr>
          <w:rFonts w:hint="eastAsia" w:ascii="仿宋" w:hAnsi="仿宋" w:eastAsia="仿宋" w:cs="仿宋"/>
          <w:b/>
          <w:color w:val="000000" w:themeColor="text1"/>
          <w:spacing w:val="6"/>
          <w:sz w:val="24"/>
          <w:highlight w:val="none"/>
          <w14:textFill>
            <w14:solidFill>
              <w14:schemeClr w14:val="tx1"/>
            </w14:solidFill>
          </w14:textFill>
        </w:rPr>
        <w:t xml:space="preserve">说明：</w:t>
      </w:r>
      <w:r/>
    </w:p>
    <w:p>
      <w:pPr>
        <w:pStyle w:val="762"/>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pacing w:val="6"/>
          <w:sz w:val="24"/>
          <w:highlight w:val="none"/>
          <w14:textFill>
            <w14:solidFill>
              <w14:schemeClr w14:val="tx1"/>
            </w14:solidFill>
          </w14:textFill>
        </w:rPr>
        <w:t xml:space="preserve">1、</w:t>
      </w:r>
      <w:r>
        <w:rPr>
          <w:rFonts w:hint="eastAsia" w:ascii="仿宋" w:hAnsi="仿宋" w:eastAsia="仿宋" w:cs="仿宋"/>
          <w:color w:val="000000" w:themeColor="text1"/>
          <w:sz w:val="24"/>
          <w:highlight w:val="none"/>
          <w14:textFill>
            <w14:solidFill>
              <w14:schemeClr w14:val="tx1"/>
            </w14:solidFill>
          </w14:textFill>
        </w:rPr>
        <w:t xml:space="preserve">如提供虚假残疾人福利性单位声明函的，则采购人有权取消投标、中标候选或中标资格，有权终止合同，并报政府采购监管部门。</w:t>
      </w:r>
      <w:r/>
    </w:p>
    <w:p>
      <w:pPr>
        <w:pStyle w:val="773"/>
        <w:ind w:left="0" w:right="6" w:firstLine="0"/>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color w:val="000000" w:themeColor="text1"/>
          <w:sz w:val="24"/>
          <w:highlight w:val="none"/>
          <w14:textFill>
            <w14:solidFill>
              <w14:schemeClr w14:val="tx1"/>
            </w14:solidFill>
          </w14:textFill>
        </w:rPr>
        <w:br w:type="page" w:clear="all"/>
      </w:r>
      <w:r>
        <w:rPr>
          <w:rFonts w:hint="eastAsia" w:ascii="仿宋" w:hAnsi="仿宋" w:eastAsia="仿宋" w:cs="仿宋"/>
          <w:b/>
          <w:color w:val="000000" w:themeColor="text1"/>
          <w:sz w:val="24"/>
          <w:highlight w:val="none"/>
          <w14:textFill>
            <w14:solidFill>
              <w14:schemeClr w14:val="tx1"/>
            </w14:solidFill>
          </w14:textFill>
        </w:rPr>
        <w:t xml:space="preserve">12、技术方案</w:t>
      </w:r>
      <w:r/>
    </w:p>
    <w:p>
      <w:pPr>
        <w:pStyle w:val="773"/>
        <w:ind w:left="0" w:firstLine="0"/>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2"/>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73"/>
        <w:ind w:left="0" w:firstLine="0"/>
        <w:jc w:val="center"/>
        <w:pageBreakBefore w:val="0"/>
        <w:spacing w:line="360" w:lineRule="auto"/>
        <w:rPr>
          <w:rFonts w:hint="eastAsia" w:ascii="仿宋" w:hAnsi="仿宋" w:eastAsia="仿宋" w:cs="仿宋"/>
          <w:bCs/>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p>
    <w:p>
      <w:pPr>
        <w:pStyle w:val="773"/>
        <w:ind w:left="0" w:firstLine="0"/>
        <w:jc w:val="center"/>
        <w:pageBreakBefore w:val="0"/>
        <w:spacing w:line="360" w:lineRule="auto"/>
        <w:rPr>
          <w:rFonts w:hint="eastAsia" w:ascii="仿宋" w:hAnsi="仿宋" w:eastAsia="仿宋" w:cs="仿宋"/>
          <w:bCs/>
          <w:color w:val="000000" w:themeColor="text1"/>
          <w:sz w:val="24"/>
          <w:szCs w:val="24"/>
          <w:highlight w:val="none"/>
          <w14:textFill>
            <w14:solidFill>
              <w14:schemeClr w14:val="tx1"/>
            </w14:solidFill>
          </w14:textFill>
        </w:rPr>
        <w:sectPr>
          <w:footerReference w:type="default" r:id="rId9"/>
          <w:footnotePr/>
          <w:endnotePr/>
          <w:type w:val="nextPage"/>
          <w:pgSz w:w="11906" w:h="16838" w:orient="portrait"/>
          <w:pgMar w:top="1418" w:right="1474" w:bottom="1701" w:left="1588" w:header="851" w:footer="1418" w:gutter="0"/>
          <w:pgNumType w:start="1"/>
          <w:cols w:num="1" w:sep="0" w:space="720" w:equalWidth="1"/>
          <w:docGrid w:linePitch="360"/>
        </w:sectPr>
      </w:pPr>
      <w:r>
        <w:rPr>
          <w:rFonts w:hint="eastAsia" w:ascii="仿宋" w:hAnsi="仿宋" w:eastAsia="仿宋" w:cs="仿宋"/>
          <w:bCs/>
          <w:color w:val="000000" w:themeColor="text1"/>
          <w:sz w:val="24"/>
          <w:szCs w:val="24"/>
          <w:highlight w:val="none"/>
          <w14:textFill>
            <w14:solidFill>
              <w14:schemeClr w14:val="tx1"/>
            </w14:solidFill>
          </w14:textFill>
        </w:rPr>
        <w:t xml:space="preserve">（格式自拟</w:t>
      </w:r>
      <w:r>
        <w:rPr>
          <w:rFonts w:hint="eastAsia" w:ascii="仿宋" w:hAnsi="仿宋" w:eastAsia="仿宋" w:cs="仿宋"/>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要求见本文</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附件</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《评分细则》</w:t>
      </w:r>
      <w:r>
        <w:rPr>
          <w:rFonts w:hint="eastAsia" w:ascii="仿宋" w:hAnsi="仿宋" w:eastAsia="仿宋" w:cs="仿宋"/>
          <w:bCs/>
          <w:color w:val="000000" w:themeColor="text1"/>
          <w:sz w:val="24"/>
          <w:szCs w:val="24"/>
          <w:highlight w:val="none"/>
          <w14:textFill>
            <w14:solidFill>
              <w14:schemeClr w14:val="tx1"/>
            </w14:solidFill>
          </w14:textFill>
        </w:rPr>
        <w:t xml:space="preserve">）</w:t>
      </w:r>
      <w:r/>
    </w:p>
    <w:p>
      <w:pPr>
        <w:pStyle w:val="764"/>
        <w:numPr>
          <w:ilvl w:val="0"/>
          <w:numId w:val="0"/>
        </w:numPr>
        <w:ind w:left="0" w:firstLine="0"/>
        <w:jc w:val="center"/>
        <w:pageBreakBefore w:val="0"/>
        <w:spacing w:line="360" w:lineRule="auto"/>
        <w:rPr>
          <w:rFonts w:hint="eastAsia" w:ascii="仿宋" w:hAnsi="仿宋" w:eastAsia="仿宋" w:cs="仿宋"/>
          <w:b/>
          <w:color w:val="000000" w:themeColor="text1"/>
          <w:sz w:val="24"/>
          <w:szCs w:val="20"/>
          <w:highlight w:val="none"/>
          <w14:textFill>
            <w14:solidFill>
              <w14:schemeClr w14:val="tx1"/>
            </w14:solidFill>
          </w14:textFill>
        </w:rPr>
        <w:outlineLvl w:val="1"/>
      </w:pPr>
      <w:r>
        <w:rPr>
          <w:rFonts w:hint="eastAsia" w:ascii="仿宋" w:hAnsi="仿宋" w:eastAsia="仿宋" w:cs="仿宋"/>
          <w:b/>
          <w:color w:val="000000" w:themeColor="text1"/>
          <w:sz w:val="24"/>
          <w:szCs w:val="20"/>
          <w:highlight w:val="none"/>
          <w:lang w:val="en-US" w:eastAsia="zh-CN"/>
          <w14:textFill>
            <w14:solidFill>
              <w14:schemeClr w14:val="tx1"/>
            </w14:solidFill>
          </w14:textFill>
        </w:rPr>
        <w:t xml:space="preserve">13、</w:t>
      </w:r>
      <w:r>
        <w:rPr>
          <w:rFonts w:hint="eastAsia" w:ascii="仿宋" w:hAnsi="仿宋" w:eastAsia="仿宋" w:cs="仿宋"/>
          <w:b/>
          <w:color w:val="000000" w:themeColor="text1"/>
          <w:sz w:val="24"/>
          <w:szCs w:val="20"/>
          <w:highlight w:val="none"/>
          <w14:textFill>
            <w14:solidFill>
              <w14:schemeClr w14:val="tx1"/>
            </w14:solidFill>
          </w14:textFill>
        </w:rPr>
        <w:t xml:space="preserve">拟签订的合同文本</w:t>
      </w:r>
      <w:r/>
    </w:p>
    <w:p>
      <w:pPr>
        <w:jc w:val="center"/>
        <w:keepLines w:val="0"/>
        <w:keepNext w:val="0"/>
        <w:pageBreakBefore w:val="0"/>
        <w:spacing w:before="220" w:after="0" w:line="360" w:lineRule="auto"/>
        <w:rPr>
          <w:rFonts w:hint="eastAsia" w:ascii="仿宋" w:hAnsi="仿宋" w:eastAsia="仿宋" w:cs="仿宋"/>
          <w:b/>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szCs w:val="24"/>
          <w:highlight w:val="none"/>
          <w:lang w:val="en-US" w:eastAsia="zh-CN"/>
          <w14:textFill>
            <w14:solidFill>
              <w14:schemeClr w14:val="tx1"/>
            </w14:solidFill>
          </w14:textFill>
        </w:rPr>
      </w:r>
      <w:r/>
    </w:p>
    <w:p>
      <w:pPr>
        <w:pStyle w:val="770"/>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项目名称：</w:t>
      </w:r>
      <w:r>
        <w:rPr>
          <w:rFonts w:hint="eastAsia" w:ascii="仿宋" w:hAnsi="仿宋" w:eastAsia="仿宋" w:cs="仿宋"/>
          <w:color w:val="auto"/>
          <w:sz w:val="24"/>
          <w:highlight w:val="none"/>
          <w:lang w:eastAsia="zh-CN"/>
        </w:rPr>
        <w:t xml:space="preserve">2026年城南绿化补植及设施维修工程项目</w:t>
      </w:r>
      <w:r/>
    </w:p>
    <w:p>
      <w:pPr>
        <w:pStyle w:val="770"/>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项目编号：</w:t>
      </w:r>
      <w:r>
        <w:rPr>
          <w:rFonts w:hint="eastAsia" w:ascii="仿宋" w:hAnsi="仿宋" w:eastAsia="仿宋" w:cs="仿宋"/>
          <w:color w:val="auto"/>
          <w:sz w:val="24"/>
          <w:highlight w:val="none"/>
          <w:lang w:eastAsia="zh-CN"/>
        </w:rPr>
        <w:t xml:space="preserve">JSZC-320381-JGHG-C2026-0001</w:t>
      </w:r>
      <w:r/>
    </w:p>
    <w:p>
      <w:pPr>
        <w:pStyle w:val="770"/>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770"/>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772"/>
        <w:ind w:left="0" w:firstLine="0"/>
        <w:rPr>
          <w:rFonts w:hint="eastAsia" w:ascii="仿宋" w:hAnsi="仿宋" w:eastAsia="仿宋" w:cs="仿宋"/>
          <w:color w:val="auto"/>
          <w:highlight w:val="none"/>
        </w:rPr>
      </w:pPr>
      <w:r>
        <w:rPr>
          <w:rFonts w:hint="eastAsia" w:ascii="仿宋" w:hAnsi="仿宋" w:eastAsia="仿宋" w:cs="仿宋"/>
          <w:color w:val="auto"/>
          <w:highlight w:val="none"/>
        </w:rPr>
      </w:r>
      <w:r/>
    </w:p>
    <w:p>
      <w:pPr>
        <w:pStyle w:val="783"/>
        <w:rPr>
          <w:rFonts w:hint="eastAsia" w:ascii="仿宋" w:hAnsi="仿宋" w:eastAsia="仿宋" w:cs="仿宋"/>
          <w:color w:val="auto"/>
          <w:highlight w:val="none"/>
        </w:rPr>
      </w:pPr>
      <w:r>
        <w:rPr>
          <w:rFonts w:hint="eastAsia" w:ascii="仿宋" w:hAnsi="仿宋" w:eastAsia="仿宋" w:cs="仿宋"/>
          <w:color w:val="auto"/>
          <w:highlight w:val="none"/>
        </w:rPr>
      </w:r>
      <w:r/>
    </w:p>
    <w:p>
      <w:pPr>
        <w:pStyle w:val="764"/>
        <w:rPr>
          <w:rFonts w:hint="eastAsia" w:ascii="仿宋" w:hAnsi="仿宋" w:eastAsia="仿宋" w:cs="仿宋"/>
          <w:highlight w:val="none"/>
        </w:rPr>
      </w:pPr>
      <w:r>
        <w:rPr>
          <w:rFonts w:hint="eastAsia" w:ascii="仿宋" w:hAnsi="仿宋" w:eastAsia="仿宋" w:cs="仿宋"/>
          <w:highlight w:val="none"/>
        </w:rPr>
      </w:r>
      <w:r/>
    </w:p>
    <w:p>
      <w:pPr>
        <w:pStyle w:val="770"/>
        <w:jc w:val="center"/>
        <w:widowControl w:val="off"/>
        <w:rPr>
          <w:rFonts w:hint="eastAsia" w:ascii="仿宋" w:hAnsi="仿宋" w:eastAsia="仿宋" w:cs="仿宋"/>
          <w:bCs/>
          <w:color w:val="auto"/>
          <w:sz w:val="44"/>
          <w:szCs w:val="52"/>
          <w:highlight w:val="none"/>
        </w:rPr>
      </w:pPr>
      <w:r>
        <w:rPr>
          <w:rFonts w:hint="eastAsia" w:ascii="仿宋" w:hAnsi="仿宋" w:eastAsia="仿宋" w:cs="仿宋"/>
          <w:bCs/>
          <w:color w:val="auto"/>
          <w:sz w:val="44"/>
          <w:szCs w:val="52"/>
          <w:highlight w:val="none"/>
        </w:rPr>
        <w:t xml:space="preserve">建设工程施工合同</w:t>
      </w:r>
      <w:r/>
    </w:p>
    <w:p>
      <w:pPr>
        <w:pStyle w:val="770"/>
        <w:jc w:val="center"/>
        <w:widowControl w:val="off"/>
        <w:rPr>
          <w:rFonts w:hint="eastAsia" w:ascii="仿宋" w:hAnsi="仿宋" w:eastAsia="仿宋" w:cs="仿宋"/>
          <w:bCs/>
          <w:color w:val="auto"/>
          <w:sz w:val="44"/>
          <w:szCs w:val="52"/>
          <w:highlight w:val="none"/>
        </w:rPr>
      </w:pPr>
      <w:r>
        <w:rPr>
          <w:rFonts w:hint="eastAsia" w:ascii="仿宋" w:hAnsi="仿宋" w:eastAsia="仿宋" w:cs="仿宋"/>
          <w:bCs/>
          <w:color w:val="auto"/>
          <w:sz w:val="44"/>
          <w:szCs w:val="52"/>
          <w:highlight w:val="none"/>
        </w:rPr>
        <w:t xml:space="preserve">（示范文本）</w:t>
      </w:r>
      <w:r/>
    </w:p>
    <w:p>
      <w:pPr>
        <w:pStyle w:val="770"/>
        <w:jc w:val="center"/>
        <w:widowControl w:val="off"/>
        <w:rPr>
          <w:rFonts w:hint="eastAsia" w:ascii="仿宋" w:hAnsi="仿宋" w:eastAsia="仿宋" w:cs="仿宋"/>
          <w:bCs/>
          <w:color w:val="auto"/>
          <w:sz w:val="44"/>
          <w:szCs w:val="52"/>
          <w:highlight w:val="none"/>
        </w:rPr>
        <w:sectPr>
          <w:footerReference w:type="default" r:id="rId10"/>
          <w:footnotePr/>
          <w:endnotePr/>
          <w:type w:val="nextColumn"/>
          <w:pgSz w:w="11906" w:h="16838" w:orient="portrait"/>
          <w:pgMar w:top="1440" w:right="1588" w:bottom="1440" w:left="1588" w:header="851" w:footer="992" w:gutter="0"/>
          <w:cols w:num="1" w:sep="0" w:space="720" w:equalWidth="1"/>
          <w:docGrid w:linePitch="360"/>
        </w:sectPr>
      </w:pPr>
      <w:r>
        <w:rPr>
          <w:rFonts w:hint="eastAsia" w:ascii="仿宋" w:hAnsi="仿宋" w:eastAsia="仿宋" w:cs="仿宋"/>
          <w:bCs/>
          <w:color w:val="auto"/>
          <w:sz w:val="44"/>
          <w:szCs w:val="52"/>
          <w:highlight w:val="none"/>
        </w:rPr>
        <w:t xml:space="preserve">（GF—2017—0201）</w:t>
      </w:r>
      <w:r/>
    </w:p>
    <w:p>
      <w:pPr>
        <w:pStyle w:val="1046"/>
        <w:jc w:val="center"/>
        <w:rPr>
          <w:rFonts w:hint="eastAsia" w:ascii="仿宋" w:hAnsi="仿宋" w:eastAsia="仿宋" w:cs="仿宋"/>
          <w:b w:val="0"/>
          <w:color w:val="auto"/>
          <w:sz w:val="44"/>
          <w:szCs w:val="44"/>
          <w:highlight w:val="none"/>
        </w:rPr>
      </w:pPr>
      <w:r/>
      <w:bookmarkStart w:id="134" w:name="_Toc110245277"/>
      <w:r>
        <w:rPr>
          <w:rFonts w:hint="eastAsia" w:ascii="仿宋" w:hAnsi="仿宋" w:eastAsia="仿宋" w:cs="仿宋"/>
          <w:b w:val="0"/>
          <w:color w:val="auto"/>
          <w:sz w:val="44"/>
          <w:szCs w:val="44"/>
          <w:highlight w:val="none"/>
        </w:rPr>
        <w:t xml:space="preserve">第一部分 合同协议书</w:t>
      </w:r>
      <w:bookmarkEnd w:id="134"/>
      <w:r/>
      <w:r/>
    </w:p>
    <w:p>
      <w:pPr>
        <w:spacing w:line="360" w:lineRule="auto"/>
        <w:rPr>
          <w:rFonts w:hint="eastAsia" w:ascii="仿宋" w:hAnsi="仿宋" w:eastAsia="仿宋" w:cs="仿宋"/>
          <w:color w:val="auto"/>
          <w:sz w:val="24"/>
          <w:szCs w:val="24"/>
          <w:highlight w:val="none"/>
          <w:u w:val="single"/>
        </w:rPr>
        <w:outlineLvl w:val="3"/>
      </w:pPr>
      <w:r>
        <w:rPr>
          <w:rFonts w:hint="eastAsia" w:ascii="仿宋" w:hAnsi="仿宋" w:eastAsia="仿宋" w:cs="仿宋"/>
          <w:b/>
          <w:color w:val="auto"/>
          <w:sz w:val="24"/>
          <w:szCs w:val="24"/>
          <w:highlight w:val="none"/>
        </w:rPr>
        <w:t xml:space="preserve">发包人（全称）：</w:t>
      </w:r>
      <w:r>
        <w:rPr>
          <w:rFonts w:hint="eastAsia" w:ascii="仿宋" w:hAnsi="仿宋" w:eastAsia="仿宋" w:cs="仿宋"/>
          <w:color w:val="auto"/>
          <w:sz w:val="24"/>
          <w:szCs w:val="24"/>
          <w:highlight w:val="none"/>
          <w:u w:val="single"/>
          <w:lang w:eastAsia="zh-CN"/>
        </w:rPr>
        <w:t xml:space="preserve">新沂市住房和城乡建设局</w:t>
      </w:r>
      <w:r/>
    </w:p>
    <w:p>
      <w:pPr>
        <w:spacing w:after="164" w:line="360"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 xml:space="preserve">承包人（全称）：</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根据《中华人民共和国民法典》、《中华人民共和国建筑法》及有关法律规定，遵循平等、自愿、公平和诚实信用的原则，双方就</w:t>
      </w:r>
      <w:r>
        <w:rPr>
          <w:rFonts w:hint="eastAsia" w:ascii="仿宋" w:hAnsi="仿宋" w:eastAsia="仿宋" w:cs="仿宋"/>
          <w:color w:val="auto"/>
          <w:sz w:val="24"/>
          <w:highlight w:val="none"/>
          <w:lang w:eastAsia="zh-CN"/>
        </w:rPr>
        <w:t xml:space="preserve">2026年城南绿化补植及设施维修工程项目</w:t>
      </w:r>
      <w:r>
        <w:rPr>
          <w:rFonts w:hint="eastAsia" w:ascii="仿宋" w:hAnsi="仿宋" w:eastAsia="仿宋" w:cs="仿宋"/>
          <w:color w:val="auto"/>
          <w:sz w:val="24"/>
          <w:szCs w:val="24"/>
          <w:highlight w:val="none"/>
        </w:rPr>
        <w:t xml:space="preserve">施工及有关事项协商一致，共同达成如下协议：</w:t>
      </w:r>
      <w:r/>
    </w:p>
    <w:p>
      <w:pPr>
        <w:keepLines/>
        <w:keepNext/>
        <w:spacing w:before="327" w:line="360" w:lineRule="auto"/>
        <w:rPr>
          <w:rFonts w:hint="eastAsia" w:ascii="仿宋" w:hAnsi="仿宋" w:eastAsia="仿宋" w:cs="仿宋"/>
          <w:color w:val="auto"/>
          <w:sz w:val="24"/>
          <w:szCs w:val="24"/>
          <w:highlight w:val="none"/>
        </w:rPr>
        <w:outlineLvl w:val="3"/>
      </w:pPr>
      <w:r/>
      <w:bookmarkStart w:id="135" w:name="_Toc351203481"/>
      <w:r>
        <w:rPr>
          <w:rFonts w:hint="eastAsia" w:ascii="仿宋" w:hAnsi="仿宋" w:eastAsia="仿宋" w:cs="仿宋"/>
          <w:color w:val="auto"/>
          <w:sz w:val="24"/>
          <w:szCs w:val="24"/>
          <w:highlight w:val="none"/>
        </w:rPr>
        <w:t xml:space="preserve">一、工程概况</w:t>
      </w:r>
      <w:bookmarkEnd w:id="135"/>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1.工程名称：</w:t>
      </w:r>
      <w:r>
        <w:rPr>
          <w:rFonts w:hint="eastAsia" w:ascii="仿宋" w:hAnsi="仿宋" w:eastAsia="仿宋" w:cs="仿宋"/>
          <w:color w:val="auto"/>
          <w:sz w:val="24"/>
          <w:szCs w:val="24"/>
          <w:highlight w:val="none"/>
          <w:u w:val="singl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2.工程地点：</w:t>
      </w:r>
      <w:r>
        <w:rPr>
          <w:rFonts w:hint="eastAsia" w:ascii="仿宋" w:hAnsi="仿宋" w:eastAsia="仿宋" w:cs="仿宋"/>
          <w:color w:val="auto"/>
          <w:sz w:val="24"/>
          <w:szCs w:val="24"/>
          <w:highlight w:val="none"/>
          <w:u w:val="singl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3.工程立项批准文号：</w:t>
      </w:r>
      <w:r>
        <w:rPr>
          <w:rFonts w:hint="eastAsia" w:ascii="仿宋" w:hAnsi="仿宋" w:eastAsia="仿宋" w:cs="仿宋"/>
          <w:color w:val="auto"/>
          <w:sz w:val="24"/>
          <w:szCs w:val="24"/>
          <w:highlight w:val="none"/>
          <w:u w:val="singl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4.资金来源：</w:t>
      </w:r>
      <w:r>
        <w:rPr>
          <w:rFonts w:hint="eastAsia" w:ascii="仿宋" w:hAnsi="仿宋" w:eastAsia="仿宋" w:cs="仿宋"/>
          <w:color w:val="auto"/>
          <w:sz w:val="24"/>
          <w:szCs w:val="24"/>
          <w:highlight w:val="none"/>
          <w:u w:val="single"/>
        </w:rPr>
        <w:t xml:space="preserve">                                                。</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5.工程内容：</w:t>
      </w:r>
      <w:r>
        <w:rPr>
          <w:rFonts w:hint="eastAsia" w:ascii="仿宋" w:hAnsi="仿宋" w:eastAsia="仿宋" w:cs="仿宋"/>
          <w:color w:val="auto"/>
          <w:sz w:val="24"/>
          <w:szCs w:val="24"/>
          <w:highlight w:val="none"/>
          <w:u w:val="single"/>
        </w:rPr>
        <w:t xml:space="preserve">                                                。</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6.工程承包范围：</w:t>
      </w:r>
      <w:r>
        <w:rPr>
          <w:rFonts w:hint="eastAsia" w:ascii="仿宋" w:hAnsi="仿宋" w:eastAsia="仿宋" w:cs="仿宋"/>
          <w:color w:val="auto"/>
          <w:sz w:val="24"/>
          <w:szCs w:val="24"/>
          <w:highlight w:val="none"/>
          <w:u w:val="single"/>
        </w:rPr>
        <w:t xml:space="preserve">                                            。</w:t>
      </w:r>
      <w:r/>
    </w:p>
    <w:p>
      <w:pPr>
        <w:keepLines/>
        <w:keepNext/>
        <w:spacing w:before="327" w:line="360" w:lineRule="auto"/>
        <w:rPr>
          <w:rFonts w:hint="eastAsia" w:ascii="仿宋" w:hAnsi="仿宋" w:eastAsia="仿宋" w:cs="仿宋"/>
          <w:color w:val="auto"/>
          <w:sz w:val="24"/>
          <w:szCs w:val="24"/>
          <w:highlight w:val="none"/>
        </w:rPr>
        <w:outlineLvl w:val="3"/>
      </w:pPr>
      <w:r/>
      <w:bookmarkStart w:id="136" w:name="_Toc351203482"/>
      <w:r>
        <w:rPr>
          <w:rFonts w:hint="eastAsia" w:ascii="仿宋" w:hAnsi="仿宋" w:eastAsia="仿宋" w:cs="仿宋"/>
          <w:color w:val="auto"/>
          <w:sz w:val="24"/>
          <w:szCs w:val="24"/>
          <w:highlight w:val="none"/>
        </w:rPr>
        <w:t xml:space="preserve">二、合同工期</w:t>
      </w:r>
      <w:bookmarkEnd w:id="136"/>
      <w:r/>
      <w:r/>
    </w:p>
    <w:p>
      <w:pPr>
        <w:ind w:firstLine="45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计划开工日期：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日。</w:t>
      </w:r>
      <w:r/>
    </w:p>
    <w:p>
      <w:pPr>
        <w:ind w:firstLine="45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计划竣工日期：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日。</w:t>
      </w:r>
      <w:r/>
    </w:p>
    <w:p>
      <w:pPr>
        <w:ind w:firstLine="459"/>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工期总日历天数：</w:t>
      </w:r>
      <w:r>
        <w:rPr>
          <w:rFonts w:hint="eastAsia" w:ascii="仿宋" w:hAnsi="仿宋" w:eastAsia="仿宋" w:cs="仿宋"/>
          <w:color w:val="auto"/>
          <w:sz w:val="24"/>
          <w:szCs w:val="24"/>
          <w:highlight w:val="none"/>
          <w:u w:val="single"/>
          <w:lang w:val="en-US" w:eastAsia="zh-CN"/>
        </w:rPr>
        <w:t xml:space="preserve">45</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日历天</w:t>
      </w:r>
      <w:r>
        <w:rPr>
          <w:rFonts w:hint="eastAsia" w:ascii="仿宋" w:hAnsi="仿宋" w:eastAsia="仿宋" w:cs="仿宋"/>
          <w:color w:val="auto"/>
          <w:sz w:val="24"/>
          <w:szCs w:val="24"/>
          <w:highlight w:val="none"/>
        </w:rPr>
        <w:t xml:space="preserve">。工期总日历天数与根据前述计划开竣工日期计算的工期天数不一致的，以工期总日历天数为准。</w:t>
      </w:r>
      <w:r/>
    </w:p>
    <w:p>
      <w:pPr>
        <w:keepLines/>
        <w:keepNext/>
        <w:spacing w:before="327" w:line="360" w:lineRule="auto"/>
        <w:rPr>
          <w:rFonts w:hint="eastAsia" w:ascii="仿宋" w:hAnsi="仿宋" w:eastAsia="仿宋" w:cs="仿宋"/>
          <w:color w:val="auto"/>
          <w:sz w:val="24"/>
          <w:szCs w:val="24"/>
          <w:highlight w:val="none"/>
        </w:rPr>
        <w:outlineLvl w:val="3"/>
      </w:pPr>
      <w:r/>
      <w:bookmarkStart w:id="137" w:name="_Toc351203483"/>
      <w:r>
        <w:rPr>
          <w:rFonts w:hint="eastAsia" w:ascii="仿宋" w:hAnsi="仿宋" w:eastAsia="仿宋" w:cs="仿宋"/>
          <w:color w:val="auto"/>
          <w:sz w:val="24"/>
          <w:szCs w:val="24"/>
          <w:highlight w:val="none"/>
        </w:rPr>
        <w:t xml:space="preserve">三、质量标准</w:t>
      </w:r>
      <w:bookmarkEnd w:id="137"/>
      <w:r/>
      <w:r/>
    </w:p>
    <w:p>
      <w:pPr>
        <w:ind w:firstLine="45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工程质量符合</w:t>
      </w:r>
      <w:r>
        <w:rPr>
          <w:rFonts w:hint="eastAsia" w:ascii="仿宋" w:hAnsi="仿宋" w:eastAsia="仿宋" w:cs="仿宋"/>
          <w:color w:val="auto"/>
          <w:sz w:val="24"/>
          <w:szCs w:val="24"/>
          <w:highlight w:val="none"/>
          <w:u w:val="single"/>
        </w:rPr>
        <w:t xml:space="preserve">  合格   </w:t>
      </w:r>
      <w:r>
        <w:rPr>
          <w:rFonts w:hint="eastAsia" w:ascii="仿宋" w:hAnsi="仿宋" w:eastAsia="仿宋" w:cs="仿宋"/>
          <w:color w:val="auto"/>
          <w:sz w:val="24"/>
          <w:szCs w:val="24"/>
          <w:highlight w:val="none"/>
        </w:rPr>
        <w:t xml:space="preserve">标准。</w:t>
      </w:r>
      <w:r/>
    </w:p>
    <w:p>
      <w:pPr>
        <w:keepLines/>
        <w:keepNext/>
        <w:spacing w:before="327" w:line="360" w:lineRule="auto"/>
        <w:rPr>
          <w:rFonts w:hint="eastAsia" w:ascii="仿宋" w:hAnsi="仿宋" w:eastAsia="仿宋" w:cs="仿宋"/>
          <w:color w:val="auto"/>
          <w:sz w:val="24"/>
          <w:szCs w:val="24"/>
          <w:highlight w:val="none"/>
        </w:rPr>
        <w:outlineLvl w:val="3"/>
      </w:pPr>
      <w:r/>
      <w:bookmarkStart w:id="138" w:name="_Toc351203484"/>
      <w:r>
        <w:rPr>
          <w:rFonts w:hint="eastAsia" w:ascii="仿宋" w:hAnsi="仿宋" w:eastAsia="仿宋" w:cs="仿宋"/>
          <w:color w:val="auto"/>
          <w:sz w:val="24"/>
          <w:szCs w:val="24"/>
          <w:highlight w:val="none"/>
        </w:rPr>
        <w:t xml:space="preserve">四、签约合同价与合同价格形式</w:t>
      </w:r>
      <w:bookmarkEnd w:id="138"/>
      <w:r>
        <w:rPr>
          <w:rFonts w:hint="eastAsia" w:ascii="仿宋" w:hAnsi="仿宋" w:eastAsia="仿宋" w:cs="仿宋"/>
          <w:color w:val="auto"/>
          <w:sz w:val="24"/>
          <w:szCs w:val="24"/>
          <w:highlight w:val="none"/>
        </w:rPr>
        <w:tab/>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1.签约合同价为：</w:t>
      </w:r>
      <w:r/>
    </w:p>
    <w:p>
      <w:pPr>
        <w:ind w:firstLine="52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人民币（大写）(¥元)；</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其中：</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（1）安全文明施工费：</w:t>
      </w:r>
      <w:r/>
    </w:p>
    <w:p>
      <w:pPr>
        <w:ind w:firstLine="94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 (¥元)；</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（2）材料和工程设备暂估价金额：</w:t>
      </w:r>
      <w:r/>
    </w:p>
    <w:p>
      <w:pPr>
        <w:ind w:firstLine="94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 (¥元)；</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（3）专业工程暂估价金额：</w:t>
      </w:r>
      <w:r/>
    </w:p>
    <w:p>
      <w:pPr>
        <w:ind w:firstLine="94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 (¥元)；</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（4）暂列金额：</w:t>
      </w:r>
      <w:r/>
    </w:p>
    <w:p>
      <w:pPr>
        <w:ind w:firstLine="94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 (¥元)。</w:t>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2.合同价格形式：</w:t>
      </w:r>
      <w:r>
        <w:rPr>
          <w:rFonts w:hint="eastAsia" w:ascii="仿宋" w:hAnsi="仿宋" w:eastAsia="仿宋" w:cs="仿宋"/>
          <w:color w:val="auto"/>
          <w:sz w:val="24"/>
          <w:szCs w:val="24"/>
          <w:highlight w:val="none"/>
          <w:u w:val="single"/>
        </w:rPr>
        <w:t xml:space="preserve">固定单价合同  </w:t>
      </w:r>
      <w:r>
        <w:rPr>
          <w:rFonts w:hint="eastAsia" w:ascii="仿宋" w:hAnsi="仿宋" w:eastAsia="仿宋" w:cs="仿宋"/>
          <w:color w:val="auto"/>
          <w:sz w:val="24"/>
          <w:szCs w:val="24"/>
          <w:highlight w:val="none"/>
        </w:rPr>
        <w:t xml:space="preserve">。</w:t>
      </w:r>
      <w:r/>
    </w:p>
    <w:p>
      <w:pPr>
        <w:keepLines/>
        <w:keepNext/>
        <w:spacing w:before="327" w:line="360" w:lineRule="auto"/>
        <w:rPr>
          <w:rFonts w:hint="eastAsia" w:ascii="仿宋" w:hAnsi="仿宋" w:eastAsia="仿宋" w:cs="仿宋"/>
          <w:color w:val="auto"/>
          <w:sz w:val="24"/>
          <w:szCs w:val="24"/>
          <w:highlight w:val="none"/>
        </w:rPr>
        <w:outlineLvl w:val="2"/>
      </w:pPr>
      <w:r/>
      <w:bookmarkStart w:id="139" w:name="_Toc351203485"/>
      <w:r>
        <w:rPr>
          <w:rFonts w:hint="eastAsia" w:ascii="仿宋" w:hAnsi="仿宋" w:eastAsia="仿宋" w:cs="仿宋"/>
          <w:color w:val="auto"/>
          <w:sz w:val="24"/>
          <w:szCs w:val="24"/>
          <w:highlight w:val="none"/>
        </w:rPr>
        <w:t xml:space="preserve">五、</w:t>
      </w:r>
      <w:bookmarkEnd w:id="139"/>
      <w:r>
        <w:rPr>
          <w:rFonts w:hint="eastAsia" w:ascii="仿宋" w:hAnsi="仿宋" w:eastAsia="仿宋" w:cs="仿宋"/>
          <w:color w:val="auto"/>
          <w:sz w:val="24"/>
          <w:szCs w:val="24"/>
          <w:highlight w:val="none"/>
        </w:rPr>
        <w:t xml:space="preserve">项目经理</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承包人项目经理：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keepLines/>
        <w:keepNext/>
        <w:spacing w:before="327" w:line="360" w:lineRule="auto"/>
        <w:rPr>
          <w:rFonts w:hint="eastAsia" w:ascii="仿宋" w:hAnsi="仿宋" w:eastAsia="仿宋" w:cs="仿宋"/>
          <w:color w:val="auto"/>
          <w:sz w:val="24"/>
          <w:szCs w:val="24"/>
          <w:highlight w:val="none"/>
        </w:rPr>
        <w:outlineLvl w:val="2"/>
      </w:pPr>
      <w:r/>
      <w:bookmarkStart w:id="140" w:name="_Toc351203486"/>
      <w:r>
        <w:rPr>
          <w:rFonts w:hint="eastAsia" w:ascii="仿宋" w:hAnsi="仿宋" w:eastAsia="仿宋" w:cs="仿宋"/>
          <w:color w:val="auto"/>
          <w:sz w:val="24"/>
          <w:szCs w:val="24"/>
          <w:highlight w:val="none"/>
        </w:rPr>
        <w:t xml:space="preserve">六、合同文件构成</w:t>
      </w:r>
      <w:bookmarkEnd w:id="140"/>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本协议书与下列文件一起构成合同文件：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（1）中标通知书（如果有）；</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（2）投标函及其附录（如果有）；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（3）专用合同条款及其附件；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（4）通用合同条款；</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（5）技术标准和要求；</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（6）图纸；</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（7）已标价工程量清单或预算书；</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（8）其他合同文件。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在合同订立及履行过程中形成的与合同有关的文件均构成合同文件组成部分。</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before="327" w:line="360" w:lineRule="auto"/>
        <w:rPr>
          <w:rFonts w:hint="eastAsia" w:ascii="仿宋" w:hAnsi="仿宋" w:eastAsia="仿宋" w:cs="仿宋"/>
          <w:color w:val="auto"/>
          <w:sz w:val="24"/>
          <w:szCs w:val="24"/>
          <w:highlight w:val="none"/>
        </w:rPr>
        <w:outlineLvl w:val="2"/>
      </w:pPr>
      <w:r/>
      <w:bookmarkStart w:id="141" w:name="_Toc351203487"/>
      <w:r>
        <w:rPr>
          <w:rFonts w:hint="eastAsia" w:ascii="仿宋" w:hAnsi="仿宋" w:eastAsia="仿宋" w:cs="仿宋"/>
          <w:color w:val="auto"/>
          <w:sz w:val="24"/>
          <w:szCs w:val="24"/>
          <w:highlight w:val="none"/>
        </w:rPr>
        <w:t xml:space="preserve">七、承诺</w:t>
      </w:r>
      <w:bookmarkEnd w:id="141"/>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1.发包人承诺按照法律规定履行项目审批手续、筹集工程建设资金并按照合同约定的期限和方式支付合同价款。</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3.发包人和承包人通过招投标形式签订合同的，双方理解并承诺不再就同一工程另行签订与合同实质性内容相背离的协议。</w:t>
      </w:r>
      <w:r/>
    </w:p>
    <w:p>
      <w:pPr>
        <w:keepLines/>
        <w:keepNext/>
        <w:spacing w:before="327" w:line="360" w:lineRule="auto"/>
        <w:rPr>
          <w:rFonts w:hint="eastAsia" w:ascii="仿宋" w:hAnsi="仿宋" w:eastAsia="仿宋" w:cs="仿宋"/>
          <w:color w:val="auto"/>
          <w:sz w:val="24"/>
          <w:szCs w:val="24"/>
          <w:highlight w:val="none"/>
        </w:rPr>
        <w:outlineLvl w:val="2"/>
      </w:pPr>
      <w:r/>
      <w:bookmarkStart w:id="142" w:name="_Toc351203488"/>
      <w:r>
        <w:rPr>
          <w:rFonts w:hint="eastAsia" w:ascii="仿宋" w:hAnsi="仿宋" w:eastAsia="仿宋" w:cs="仿宋"/>
          <w:color w:val="auto"/>
          <w:sz w:val="24"/>
          <w:szCs w:val="24"/>
          <w:highlight w:val="none"/>
        </w:rPr>
        <w:t xml:space="preserve">八、词语含义</w:t>
      </w:r>
      <w:bookmarkEnd w:id="142"/>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本协议书中词语含义与第二部分通用合同条款中赋予的含义相同。</w:t>
      </w:r>
      <w:r/>
    </w:p>
    <w:p>
      <w:pPr>
        <w:keepLines/>
        <w:keepNext/>
        <w:spacing w:before="327" w:line="360" w:lineRule="auto"/>
        <w:rPr>
          <w:rFonts w:hint="eastAsia" w:ascii="仿宋" w:hAnsi="仿宋" w:eastAsia="仿宋" w:cs="仿宋"/>
          <w:color w:val="auto"/>
          <w:sz w:val="24"/>
          <w:szCs w:val="24"/>
          <w:highlight w:val="none"/>
        </w:rPr>
        <w:outlineLvl w:val="2"/>
      </w:pPr>
      <w:r/>
      <w:bookmarkStart w:id="143" w:name="_Toc351203489"/>
      <w:r>
        <w:rPr>
          <w:rFonts w:hint="eastAsia" w:ascii="仿宋" w:hAnsi="仿宋" w:eastAsia="仿宋" w:cs="仿宋"/>
          <w:color w:val="auto"/>
          <w:sz w:val="24"/>
          <w:szCs w:val="24"/>
          <w:highlight w:val="none"/>
        </w:rPr>
        <w:t xml:space="preserve">九、签订时间</w:t>
      </w:r>
      <w:bookmarkEnd w:id="143"/>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日签订。</w:t>
      </w:r>
      <w:r/>
    </w:p>
    <w:p>
      <w:pPr>
        <w:keepLines/>
        <w:keepNext/>
        <w:spacing w:before="327" w:line="360" w:lineRule="auto"/>
        <w:rPr>
          <w:rFonts w:hint="eastAsia" w:ascii="仿宋" w:hAnsi="仿宋" w:eastAsia="仿宋" w:cs="仿宋"/>
          <w:color w:val="auto"/>
          <w:sz w:val="24"/>
          <w:szCs w:val="24"/>
          <w:highlight w:val="none"/>
        </w:rPr>
        <w:outlineLvl w:val="2"/>
      </w:pPr>
      <w:r/>
      <w:bookmarkStart w:id="144" w:name="_Toc351203490"/>
      <w:r>
        <w:rPr>
          <w:rFonts w:hint="eastAsia" w:ascii="仿宋" w:hAnsi="仿宋" w:eastAsia="仿宋" w:cs="仿宋"/>
          <w:color w:val="auto"/>
          <w:sz w:val="24"/>
          <w:szCs w:val="24"/>
          <w:highlight w:val="none"/>
        </w:rPr>
        <w:t xml:space="preserve">十、签订地点</w:t>
      </w:r>
      <w:bookmarkEnd w:id="144"/>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本合同在</w:t>
      </w:r>
      <w:r>
        <w:rPr>
          <w:rFonts w:hint="eastAsia" w:ascii="仿宋" w:hAnsi="仿宋" w:eastAsia="仿宋" w:cs="仿宋"/>
          <w:color w:val="auto"/>
          <w:sz w:val="24"/>
          <w:szCs w:val="24"/>
          <w:highlight w:val="none"/>
          <w:u w:val="single"/>
        </w:rPr>
        <w:t xml:space="preserve">   江苏省新沂市   </w:t>
      </w:r>
      <w:r>
        <w:rPr>
          <w:rFonts w:hint="eastAsia" w:ascii="仿宋" w:hAnsi="仿宋" w:eastAsia="仿宋" w:cs="仿宋"/>
          <w:color w:val="auto"/>
          <w:sz w:val="24"/>
          <w:szCs w:val="24"/>
          <w:highlight w:val="none"/>
        </w:rPr>
        <w:t xml:space="preserve">签订。</w:t>
      </w:r>
      <w:r/>
    </w:p>
    <w:p>
      <w:pPr>
        <w:keepLines/>
        <w:keepNext/>
        <w:spacing w:before="327" w:line="360" w:lineRule="auto"/>
        <w:rPr>
          <w:rFonts w:hint="eastAsia" w:ascii="仿宋" w:hAnsi="仿宋" w:eastAsia="仿宋" w:cs="仿宋"/>
          <w:color w:val="auto"/>
          <w:sz w:val="24"/>
          <w:szCs w:val="24"/>
          <w:highlight w:val="none"/>
        </w:rPr>
        <w:outlineLvl w:val="2"/>
      </w:pPr>
      <w:r/>
      <w:bookmarkStart w:id="145" w:name="_Toc351203491"/>
      <w:r>
        <w:rPr>
          <w:rFonts w:hint="eastAsia" w:ascii="仿宋" w:hAnsi="仿宋" w:eastAsia="仿宋" w:cs="仿宋"/>
          <w:color w:val="auto"/>
          <w:sz w:val="24"/>
          <w:szCs w:val="24"/>
          <w:highlight w:val="none"/>
        </w:rPr>
        <w:t xml:space="preserve">十一、补充协议</w:t>
      </w:r>
      <w:bookmarkEnd w:id="145"/>
      <w:r/>
      <w:r/>
    </w:p>
    <w:p>
      <w:pPr>
        <w:ind w:firstLine="420"/>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合同未尽事宜，合同当事人另行签订补充协议，补充协议是合同的组成部分。</w:t>
      </w:r>
      <w:r/>
    </w:p>
    <w:p>
      <w:pPr>
        <w:keepLines/>
        <w:keepNext/>
        <w:spacing w:before="327" w:line="360" w:lineRule="auto"/>
        <w:rPr>
          <w:rFonts w:hint="eastAsia" w:ascii="仿宋" w:hAnsi="仿宋" w:eastAsia="仿宋" w:cs="仿宋"/>
          <w:color w:val="auto"/>
          <w:sz w:val="24"/>
          <w:szCs w:val="24"/>
          <w:highlight w:val="none"/>
        </w:rPr>
        <w:outlineLvl w:val="2"/>
      </w:pPr>
      <w:r/>
      <w:bookmarkStart w:id="146" w:name="_Toc351203492"/>
      <w:r>
        <w:rPr>
          <w:rFonts w:hint="eastAsia" w:ascii="仿宋" w:hAnsi="仿宋" w:eastAsia="仿宋" w:cs="仿宋"/>
          <w:color w:val="auto"/>
          <w:sz w:val="24"/>
          <w:szCs w:val="24"/>
          <w:highlight w:val="none"/>
        </w:rPr>
        <w:t xml:space="preserve">十二、合同生效</w:t>
      </w:r>
      <w:bookmarkEnd w:id="146"/>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本合同自</w:t>
      </w:r>
      <w:r>
        <w:rPr>
          <w:rFonts w:hint="eastAsia" w:ascii="仿宋" w:hAnsi="仿宋" w:eastAsia="仿宋" w:cs="仿宋"/>
          <w:color w:val="auto"/>
          <w:sz w:val="24"/>
          <w:szCs w:val="24"/>
          <w:highlight w:val="none"/>
          <w:u w:val="single"/>
        </w:rPr>
        <w:t xml:space="preserve">   签字、盖章   </w:t>
      </w:r>
      <w:r>
        <w:rPr>
          <w:rFonts w:hint="eastAsia" w:ascii="仿宋" w:hAnsi="仿宋" w:eastAsia="仿宋" w:cs="仿宋"/>
          <w:color w:val="auto"/>
          <w:sz w:val="24"/>
          <w:szCs w:val="24"/>
          <w:highlight w:val="none"/>
        </w:rPr>
        <w:t xml:space="preserve">生效。</w:t>
      </w:r>
      <w:r/>
    </w:p>
    <w:p>
      <w:pPr>
        <w:keepLines/>
        <w:keepNext/>
        <w:spacing w:before="327" w:line="360" w:lineRule="auto"/>
        <w:rPr>
          <w:rFonts w:hint="eastAsia" w:ascii="仿宋" w:hAnsi="仿宋" w:eastAsia="仿宋" w:cs="仿宋"/>
          <w:color w:val="auto"/>
          <w:sz w:val="24"/>
          <w:szCs w:val="24"/>
          <w:highlight w:val="none"/>
        </w:rPr>
        <w:outlineLvl w:val="2"/>
      </w:pPr>
      <w:r/>
      <w:bookmarkStart w:id="147" w:name="_Toc351203493"/>
      <w:r>
        <w:rPr>
          <w:rFonts w:hint="eastAsia" w:ascii="仿宋" w:hAnsi="仿宋" w:eastAsia="仿宋" w:cs="仿宋"/>
          <w:color w:val="auto"/>
          <w:sz w:val="24"/>
          <w:szCs w:val="24"/>
          <w:highlight w:val="none"/>
        </w:rPr>
        <w:t xml:space="preserve">十三、合同份数</w:t>
      </w:r>
      <w:bookmarkEnd w:id="147"/>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本合同一式</w:t>
      </w:r>
      <w:r>
        <w:rPr>
          <w:rFonts w:hint="eastAsia" w:ascii="仿宋" w:hAnsi="仿宋" w:eastAsia="仿宋" w:cs="仿宋"/>
          <w:color w:val="auto"/>
          <w:sz w:val="24"/>
          <w:szCs w:val="24"/>
          <w:highlight w:val="none"/>
          <w:u w:val="single"/>
        </w:rPr>
        <w:t xml:space="preserve">  肆  </w:t>
      </w:r>
      <w:r>
        <w:rPr>
          <w:rFonts w:hint="eastAsia" w:ascii="仿宋" w:hAnsi="仿宋" w:eastAsia="仿宋" w:cs="仿宋"/>
          <w:color w:val="auto"/>
          <w:sz w:val="24"/>
          <w:szCs w:val="24"/>
          <w:highlight w:val="none"/>
        </w:rPr>
        <w:t xml:space="preserve">份，均具有同等法律效力，发包人执</w:t>
      </w:r>
      <w:r>
        <w:rPr>
          <w:rFonts w:hint="eastAsia" w:ascii="仿宋" w:hAnsi="仿宋" w:eastAsia="仿宋" w:cs="仿宋"/>
          <w:color w:val="auto"/>
          <w:sz w:val="24"/>
          <w:szCs w:val="24"/>
          <w:highlight w:val="none"/>
          <w:u w:val="single"/>
        </w:rPr>
        <w:t xml:space="preserve">  贰  </w:t>
      </w:r>
      <w:r>
        <w:rPr>
          <w:rFonts w:hint="eastAsia" w:ascii="仿宋" w:hAnsi="仿宋" w:eastAsia="仿宋" w:cs="仿宋"/>
          <w:color w:val="auto"/>
          <w:sz w:val="24"/>
          <w:szCs w:val="24"/>
          <w:highlight w:val="none"/>
        </w:rPr>
        <w:t xml:space="preserve">份，承包人执</w:t>
      </w:r>
      <w:r>
        <w:rPr>
          <w:rFonts w:hint="eastAsia" w:ascii="仿宋" w:hAnsi="仿宋" w:eastAsia="仿宋" w:cs="仿宋"/>
          <w:color w:val="auto"/>
          <w:sz w:val="24"/>
          <w:szCs w:val="24"/>
          <w:highlight w:val="none"/>
          <w:u w:val="single"/>
        </w:rPr>
        <w:t xml:space="preserve">  贰  </w:t>
      </w:r>
      <w:r>
        <w:rPr>
          <w:rFonts w:hint="eastAsia" w:ascii="仿宋" w:hAnsi="仿宋" w:eastAsia="仿宋" w:cs="仿宋"/>
          <w:color w:val="auto"/>
          <w:sz w:val="24"/>
          <w:szCs w:val="24"/>
          <w:highlight w:val="none"/>
        </w:rPr>
        <w:t xml:space="preserve">份。</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bl>
      <w:tblPr>
        <w:tblStyle w:val="723"/>
        <w:tblW w:w="9410"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4705"/>
        <w:gridCol w:w="4705"/>
      </w:tblGrid>
      <w:tr>
        <w:trPr>
          <w:jc w:val="center"/>
          <w:trHeight w:val="850" w:hRule="exact"/>
        </w:trPr>
        <w:tc>
          <w:tcPr>
            <w:tcBorders>
              <w:top w:val="none" w:color="000000" w:sz="4" w:space="0"/>
              <w:left w:val="none" w:color="000000" w:sz="4" w:space="0"/>
              <w:bottom w:val="none" w:color="000000" w:sz="4" w:space="0"/>
              <w:right w:val="none" w:color="000000" w:sz="4" w:space="0"/>
            </w:tcBorders>
            <w:tcW w:w="4705"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  (公章)</w:t>
            </w:r>
            <w:r/>
          </w:p>
        </w:tc>
        <w:tc>
          <w:tcPr>
            <w:tcBorders>
              <w:top w:val="none" w:color="000000" w:sz="4" w:space="0"/>
              <w:left w:val="none" w:color="000000" w:sz="4" w:space="0"/>
              <w:bottom w:val="none" w:color="000000" w:sz="4" w:space="0"/>
              <w:right w:val="none" w:color="000000" w:sz="4" w:space="0"/>
            </w:tcBorders>
            <w:tcW w:w="4705"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  (公章)</w:t>
            </w:r>
            <w:r/>
          </w:p>
        </w:tc>
      </w:tr>
      <w:tr>
        <w:trPr>
          <w:jc w:val="center"/>
          <w:trHeight w:val="85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法定代表人或其委托代理人：</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法定代表人或其委托代理人：</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组织机构代码：</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组织机构代码：</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    号：</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    号：</w:t>
            </w:r>
            <w:r/>
          </w:p>
        </w:tc>
      </w:tr>
    </w:tbl>
    <w:p>
      <w:pPr>
        <w:jc w:val="center"/>
        <w:keepLines/>
        <w:keepNex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bookmarkStart w:id="148" w:name="_Toc498006745"/>
      <w:r/>
      <w:r/>
    </w:p>
    <w:p>
      <w:pPr>
        <w:jc w:val="center"/>
        <w:keepLines/>
        <w:keepNext/>
        <w:rPr>
          <w:rFonts w:hint="eastAsia" w:ascii="仿宋" w:hAnsi="仿宋" w:eastAsia="仿宋" w:cs="仿宋"/>
          <w:color w:val="auto"/>
          <w:sz w:val="32"/>
          <w:szCs w:val="32"/>
          <w:highlight w:val="none"/>
        </w:rPr>
        <w:outlineLvl w:val="3"/>
      </w:pPr>
      <w:r>
        <w:rPr>
          <w:rFonts w:hint="eastAsia" w:ascii="仿宋" w:hAnsi="仿宋" w:eastAsia="仿宋" w:cs="仿宋"/>
          <w:color w:val="auto"/>
          <w:sz w:val="32"/>
          <w:szCs w:val="32"/>
          <w:highlight w:val="none"/>
        </w:rPr>
        <w:t xml:space="preserve">第二部分 通用合同条款</w:t>
      </w:r>
      <w:bookmarkEnd w:id="148"/>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2"/>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      采用《建设工程施工合同（示范文本）》（GF—2017—0201）。</w:t>
      </w:r>
      <w:r/>
    </w:p>
    <w:p>
      <w:pPr>
        <w:ind w:right="-36" w:firstLine="529"/>
        <w:spacing w:line="540" w:lineRule="exact"/>
        <w:tabs>
          <w:tab w:val="left" w:pos="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6"/>
        <w:jc w:val="center"/>
        <w:rPr>
          <w:rFonts w:hint="eastAsia" w:ascii="仿宋" w:hAnsi="仿宋" w:eastAsia="仿宋" w:cs="仿宋"/>
          <w:color w:val="auto"/>
          <w:sz w:val="32"/>
          <w:szCs w:val="32"/>
          <w:highlight w:val="none"/>
        </w:rPr>
        <w:outlineLvl w:val="3"/>
      </w:pPr>
      <w:r>
        <w:rPr>
          <w:rFonts w:hint="eastAsia" w:ascii="仿宋" w:hAnsi="仿宋" w:eastAsia="仿宋" w:cs="仿宋"/>
          <w:color w:val="auto"/>
          <w:sz w:val="24"/>
          <w:szCs w:val="24"/>
          <w:highlight w:val="none"/>
        </w:rPr>
        <w:br w:type="page" w:clear="all"/>
      </w:r>
      <w:bookmarkStart w:id="149" w:name="_Toc498006746"/>
      <w:r/>
      <w:bookmarkStart w:id="150" w:name="_Toc110245278"/>
      <w:r>
        <w:rPr>
          <w:rFonts w:hint="eastAsia" w:ascii="仿宋" w:hAnsi="仿宋" w:eastAsia="仿宋" w:cs="仿宋"/>
          <w:b w:val="0"/>
          <w:color w:val="auto"/>
          <w:sz w:val="32"/>
          <w:szCs w:val="32"/>
          <w:highlight w:val="none"/>
        </w:rPr>
        <w:t xml:space="preserve">第三部分 专用合同条款</w:t>
      </w:r>
      <w:bookmarkEnd w:id="149"/>
      <w:r/>
      <w:bookmarkEnd w:id="150"/>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151" w:name="_Toc351203633"/>
      <w:r>
        <w:rPr>
          <w:rFonts w:hint="eastAsia" w:ascii="仿宋" w:hAnsi="仿宋" w:eastAsia="仿宋" w:cs="仿宋"/>
          <w:color w:val="auto"/>
          <w:sz w:val="24"/>
          <w:szCs w:val="24"/>
          <w:highlight w:val="none"/>
        </w:rPr>
        <w:t xml:space="preserve">1</w:t>
      </w:r>
      <w:bookmarkStart w:id="152" w:name="_Toc297120456"/>
      <w:r/>
      <w:bookmarkStart w:id="153" w:name="_Toc296944495"/>
      <w:r/>
      <w:bookmarkStart w:id="154" w:name="_Toc296890984"/>
      <w:r/>
      <w:bookmarkStart w:id="155" w:name="_Toc296346657"/>
      <w:r/>
      <w:bookmarkStart w:id="156" w:name="_Toc292559361"/>
      <w:r/>
      <w:bookmarkStart w:id="157" w:name="_Toc296347155"/>
      <w:r/>
      <w:bookmarkStart w:id="158" w:name="_Toc296891196"/>
      <w:r/>
      <w:bookmarkStart w:id="159" w:name="_Toc296503156"/>
      <w:r/>
      <w:bookmarkStart w:id="160" w:name="_Toc292559866"/>
      <w:r/>
      <w:bookmarkStart w:id="161" w:name="_Toc297048342"/>
      <w:r>
        <w:rPr>
          <w:rFonts w:hint="eastAsia" w:ascii="仿宋" w:hAnsi="仿宋" w:eastAsia="仿宋" w:cs="仿宋"/>
          <w:color w:val="auto"/>
          <w:sz w:val="24"/>
          <w:szCs w:val="24"/>
          <w:highlight w:val="none"/>
        </w:rPr>
        <w:t xml:space="preserve">. 一般约定</w:t>
      </w:r>
      <w:bookmarkEnd w:id="151"/>
      <w:r/>
      <w:bookmarkEnd w:id="152"/>
      <w:r/>
      <w:bookmarkEnd w:id="153"/>
      <w:r/>
      <w:bookmarkEnd w:id="154"/>
      <w:r/>
      <w:bookmarkEnd w:id="155"/>
      <w:r/>
      <w:bookmarkEnd w:id="156"/>
      <w:r/>
      <w:bookmarkEnd w:id="157"/>
      <w:r/>
      <w:bookmarkEnd w:id="158"/>
      <w:r/>
      <w:bookmarkEnd w:id="159"/>
      <w:r/>
      <w:bookmarkEnd w:id="160"/>
      <w:r/>
      <w:bookmarkEnd w:id="161"/>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1.1 词语定义</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1.1.1 合同</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1.1.1.1 其他合同文件包括：。</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1.1.2 合同当事人及其他相关方</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1.1.2.1 监理人：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资质类别和等级：；</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1.1.2.2 设计人：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资质类别和等级：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1.1.3 工程和设备</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1.1.3.1 作为施工现场组成部分的其他场所包括：</w:t>
      </w:r>
      <w:r>
        <w:rPr>
          <w:rFonts w:hint="eastAsia" w:ascii="仿宋" w:hAnsi="仿宋" w:eastAsia="仿宋" w:cs="仿宋"/>
          <w:color w:val="auto"/>
          <w:sz w:val="24"/>
          <w:szCs w:val="24"/>
          <w:highlight w:val="none"/>
          <w:u w:val="single"/>
        </w:rPr>
        <w:t xml:space="preserve">符合通用条款规定的发包人提供的施工场地</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1.1.3.2 永久占地包括：</w:t>
      </w:r>
      <w:r>
        <w:rPr>
          <w:rFonts w:hint="eastAsia" w:ascii="仿宋" w:hAnsi="仿宋" w:eastAsia="仿宋" w:cs="仿宋"/>
          <w:color w:val="auto"/>
          <w:sz w:val="24"/>
          <w:szCs w:val="24"/>
          <w:highlight w:val="none"/>
          <w:u w:val="single"/>
        </w:rPr>
        <w:t xml:space="preserve">规划红线范围内的土地</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1.1.3.3 临时占地包括：</w:t>
      </w:r>
      <w:r>
        <w:rPr>
          <w:rFonts w:hint="eastAsia" w:ascii="仿宋" w:hAnsi="仿宋" w:eastAsia="仿宋" w:cs="仿宋"/>
          <w:color w:val="auto"/>
          <w:sz w:val="24"/>
          <w:szCs w:val="24"/>
          <w:highlight w:val="none"/>
          <w:u w:val="single"/>
        </w:rPr>
        <w:t xml:space="preserve">规划红线范围外因施工需要而占用的土地</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1.2 法律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适用于合同的其他规范性文件：</w:t>
      </w:r>
      <w:r>
        <w:rPr>
          <w:rFonts w:hint="eastAsia" w:ascii="仿宋" w:hAnsi="仿宋" w:eastAsia="仿宋" w:cs="仿宋"/>
          <w:color w:val="auto"/>
          <w:sz w:val="24"/>
          <w:szCs w:val="24"/>
          <w:highlight w:val="none"/>
          <w:u w:val="single"/>
        </w:rPr>
        <w:t xml:space="preserve">适用《中华人民共和国民法典》、《中华人民共和国建筑法》、《中华人民共和国招标投标法》、《中华人民共和国招标投标法实施条例》、《建筑工程质量管理条例》等相关法律法规及工程所在地的地方法规、规定</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1.3 标准和规范</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 适用于工程的标准规范包括：</w:t>
      </w:r>
      <w:r>
        <w:rPr>
          <w:rFonts w:hint="eastAsia" w:ascii="仿宋" w:hAnsi="仿宋" w:eastAsia="仿宋" w:cs="仿宋"/>
          <w:color w:val="auto"/>
          <w:sz w:val="24"/>
          <w:szCs w:val="24"/>
          <w:highlight w:val="none"/>
          <w:u w:val="single"/>
        </w:rPr>
        <w:t xml:space="preserve">适用国家、行业及工程所在地现行的相关标准、规范、规定（对于同一标准、规范应以最新颁布者为准）</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 发包人提供国外标准、规范的名称：</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 发包人对工程的技术标准和功能要求的特殊要求：</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按设计图纸施工，若设计图纸中也没有的，经发包人批准后按发包人批准的要求执行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1.4 合同文件的优先顺序</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合同文件组成及优先顺序为：</w:t>
      </w:r>
      <w:r>
        <w:rPr>
          <w:rFonts w:hint="eastAsia" w:ascii="仿宋" w:hAnsi="仿宋" w:eastAsia="仿宋" w:cs="仿宋"/>
          <w:color w:val="auto"/>
          <w:sz w:val="24"/>
          <w:szCs w:val="24"/>
          <w:highlight w:val="none"/>
          <w:u w:val="single"/>
        </w:rPr>
        <w:t xml:space="preserve">⑴ 本工程有关洽商、变更的书面协议；⑵ 本合同协议书；⑶ 本合同专用条款及附件（附件中包含承包人最终确认的工程量清单报价书；另外若补充条款与其它条款不一致的，以补充条款为准）；⑷ 中标通知书；⑸ 招标文件（含答疑文件）； ⑹ 工程量清单；⑺ 投标文件（含投标文件澄清、说明及确认函）；⑻ 本合同通用条款；⑼ 标准、规范及有关技术文件；⑽ 施工图纸</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1.5 图纸和承包人文件</w:t>
      </w:r>
      <w:r>
        <w:rPr>
          <w:rFonts w:hint="eastAsia" w:ascii="仿宋" w:hAnsi="仿宋" w:eastAsia="仿宋" w:cs="仿宋"/>
          <w:color w:val="auto"/>
          <w:sz w:val="24"/>
          <w:szCs w:val="24"/>
          <w:highlight w:val="none"/>
        </w:rPr>
        <w:tab/>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1.5.1 图纸的提供</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发包人向承包人提供图纸的期限：</w:t>
      </w:r>
      <w:r>
        <w:rPr>
          <w:rFonts w:hint="eastAsia" w:ascii="仿宋" w:hAnsi="仿宋" w:eastAsia="仿宋" w:cs="仿宋"/>
          <w:color w:val="auto"/>
          <w:sz w:val="24"/>
          <w:szCs w:val="24"/>
          <w:highlight w:val="none"/>
          <w:u w:val="single"/>
        </w:rPr>
        <w:t xml:space="preserve">开工前5天</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发包人向承包人提供图纸的数量：</w:t>
      </w:r>
      <w:r>
        <w:rPr>
          <w:rFonts w:hint="eastAsia" w:ascii="仿宋" w:hAnsi="仿宋" w:eastAsia="仿宋" w:cs="仿宋"/>
          <w:color w:val="auto"/>
          <w:sz w:val="24"/>
          <w:szCs w:val="24"/>
          <w:highlight w:val="none"/>
          <w:u w:val="single"/>
        </w:rPr>
        <w:t xml:space="preserve">肆套（不含竣工图纸），如施工过程中，承包人另有图纸需要，发包人可代为联系，费用由承包人承担。承包人在接到发包人施工图后应认真组织相关专业人员进行审核，图纸中存在问题的应在图纸会审时提出，否则在施工过程中因图纸本身存在的问题而发生变更，并由此导致费用增加的，发包人不予认可，且工期不予顺延</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发包人向承包人提供图纸的内容：</w:t>
      </w:r>
      <w:r>
        <w:rPr>
          <w:rFonts w:hint="eastAsia" w:ascii="仿宋" w:hAnsi="仿宋" w:eastAsia="仿宋" w:cs="仿宋"/>
          <w:color w:val="auto"/>
          <w:sz w:val="24"/>
          <w:szCs w:val="24"/>
          <w:highlight w:val="none"/>
          <w:u w:val="single"/>
        </w:rPr>
        <w:t xml:space="preserve">通过图纸审核的全套施工图纸及相关资料</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1.5.2 承包人文件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需要由承包人提供的文件，包括：</w:t>
      </w:r>
      <w:r>
        <w:rPr>
          <w:rFonts w:hint="eastAsia" w:ascii="仿宋" w:hAnsi="仿宋" w:eastAsia="仿宋" w:cs="仿宋"/>
          <w:color w:val="auto"/>
          <w:sz w:val="24"/>
          <w:szCs w:val="24"/>
          <w:highlight w:val="none"/>
          <w:u w:val="single"/>
        </w:rPr>
        <w:t xml:space="preserve">根据项目的工期总目标编制项目总进度计划，并在开工前一周提供施工进度总计划、施工组织设计和材料（设备）进场计划表等资料。工程的进展不符合进度计划时，发包人及监理人可要求承包人修改计划。除本合同另有规定外，任何计划的修改都不得造成完成期限的延误，因进度计划修改造成的费用增加由承包人承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承包人提供的文件的期限为：</w:t>
      </w:r>
      <w:r>
        <w:rPr>
          <w:rFonts w:hint="eastAsia" w:ascii="仿宋" w:hAnsi="仿宋" w:eastAsia="仿宋" w:cs="仿宋"/>
          <w:color w:val="auto"/>
          <w:sz w:val="24"/>
          <w:szCs w:val="24"/>
          <w:highlight w:val="none"/>
          <w:u w:val="single"/>
        </w:rPr>
        <w:t xml:space="preserve">见上述条款</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承包人提供的文件的数量为：</w:t>
      </w:r>
      <w:r>
        <w:rPr>
          <w:rFonts w:hint="eastAsia" w:ascii="仿宋" w:hAnsi="仿宋" w:eastAsia="仿宋" w:cs="仿宋"/>
          <w:color w:val="auto"/>
          <w:sz w:val="24"/>
          <w:szCs w:val="24"/>
          <w:highlight w:val="none"/>
          <w:u w:val="single"/>
        </w:rPr>
        <w:t xml:space="preserve">依据发包人需要</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承包人提供的文件的形式为：</w:t>
      </w:r>
      <w:r>
        <w:rPr>
          <w:rFonts w:hint="eastAsia" w:ascii="仿宋" w:hAnsi="仿宋" w:eastAsia="仿宋" w:cs="仿宋"/>
          <w:color w:val="auto"/>
          <w:sz w:val="24"/>
          <w:szCs w:val="24"/>
          <w:highlight w:val="none"/>
          <w:u w:val="single"/>
        </w:rPr>
        <w:t xml:space="preserve">书面形式，以上资料必须经总监理工程师签字认可后报发包人</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发包人审批承包人文件的期限：</w:t>
      </w:r>
      <w:r>
        <w:rPr>
          <w:rFonts w:hint="eastAsia" w:ascii="仿宋" w:hAnsi="仿宋" w:eastAsia="仿宋" w:cs="仿宋"/>
          <w:color w:val="auto"/>
          <w:sz w:val="24"/>
          <w:szCs w:val="24"/>
          <w:highlight w:val="none"/>
          <w:u w:val="single"/>
        </w:rPr>
        <w:t xml:space="preserve">收到齐全的资料后合理时间内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1.5.3 现场图纸准备</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关于现场图纸准备的约定：</w:t>
      </w:r>
      <w:r>
        <w:rPr>
          <w:rFonts w:hint="eastAsia" w:ascii="仿宋" w:hAnsi="仿宋" w:eastAsia="仿宋" w:cs="仿宋"/>
          <w:color w:val="auto"/>
          <w:sz w:val="24"/>
          <w:szCs w:val="24"/>
          <w:highlight w:val="none"/>
          <w:u w:val="single"/>
        </w:rPr>
        <w:t xml:space="preserve">执行通用条款中相关1.6.2、1.6.3约定</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1.6 联络</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 发包人和承包人应当在</w:t>
      </w:r>
      <w:r>
        <w:rPr>
          <w:rFonts w:hint="eastAsia" w:ascii="仿宋" w:hAnsi="仿宋" w:eastAsia="仿宋" w:cs="仿宋"/>
          <w:color w:val="auto"/>
          <w:sz w:val="24"/>
          <w:szCs w:val="24"/>
          <w:highlight w:val="none"/>
          <w:u w:val="single"/>
        </w:rPr>
        <w:t xml:space="preserve"> 7 </w:t>
      </w:r>
      <w:r>
        <w:rPr>
          <w:rFonts w:hint="eastAsia" w:ascii="仿宋" w:hAnsi="仿宋" w:eastAsia="仿宋" w:cs="仿宋"/>
          <w:color w:val="auto"/>
          <w:sz w:val="24"/>
          <w:szCs w:val="24"/>
          <w:highlight w:val="none"/>
        </w:rPr>
        <w:t xml:space="preserve">天内将与合同有关的通知、批准、证明、证书、指示、指令、要求、请求、同意、意见、确定和决定等书面函件送达对方当事人。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 发包人接收文件的地点：</w:t>
      </w:r>
      <w:r>
        <w:rPr>
          <w:rFonts w:hint="eastAsia" w:ascii="仿宋" w:hAnsi="仿宋" w:eastAsia="仿宋" w:cs="仿宋"/>
          <w:color w:val="auto"/>
          <w:sz w:val="24"/>
          <w:szCs w:val="24"/>
          <w:highlight w:val="none"/>
          <w:u w:val="single"/>
        </w:rPr>
        <w:t xml:space="preserve"> 项目所在地发包人办公室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发包人指定的接收人为：。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承包人接收文件的地点：</w:t>
      </w:r>
      <w:r>
        <w:rPr>
          <w:rFonts w:hint="eastAsia" w:ascii="仿宋" w:hAnsi="仿宋" w:eastAsia="仿宋" w:cs="仿宋"/>
          <w:color w:val="auto"/>
          <w:sz w:val="24"/>
          <w:szCs w:val="24"/>
          <w:highlight w:val="none"/>
          <w:u w:val="single"/>
        </w:rPr>
        <w:t xml:space="preserve"> 项目所在地发包人办公室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承包人指定的接收人为：。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监理人接收文件的地点：</w:t>
      </w:r>
      <w:r>
        <w:rPr>
          <w:rFonts w:hint="eastAsia" w:ascii="仿宋" w:hAnsi="仿宋" w:eastAsia="仿宋" w:cs="仿宋"/>
          <w:color w:val="auto"/>
          <w:sz w:val="24"/>
          <w:szCs w:val="24"/>
          <w:highlight w:val="none"/>
          <w:u w:val="single"/>
        </w:rPr>
        <w:t xml:space="preserve"> 项目所在地监理人项目部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监理人指定的接收人为：。</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1.7 交通运输</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w:t>
      </w:r>
      <w:bookmarkStart w:id="162" w:name="_Toc303539100"/>
      <w:r/>
      <w:bookmarkStart w:id="163" w:name="_Toc318581155"/>
      <w:r/>
      <w:bookmarkStart w:id="164" w:name="_Toc304295521"/>
      <w:r/>
      <w:bookmarkStart w:id="165" w:name="_Toc312677986"/>
      <w:r/>
      <w:bookmarkStart w:id="166" w:name="_Toc300934943"/>
      <w:r>
        <w:rPr>
          <w:rFonts w:hint="eastAsia" w:ascii="仿宋" w:hAnsi="仿宋" w:eastAsia="仿宋" w:cs="仿宋"/>
          <w:color w:val="auto"/>
          <w:sz w:val="24"/>
          <w:szCs w:val="24"/>
          <w:highlight w:val="none"/>
        </w:rPr>
        <w:t xml:space="preserve">.7.1 出入现场的权利</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关于出入现场的权利的约定：</w:t>
      </w:r>
      <w:r>
        <w:rPr>
          <w:rFonts w:hint="eastAsia" w:ascii="仿宋" w:hAnsi="仿宋" w:eastAsia="仿宋" w:cs="仿宋"/>
          <w:color w:val="auto"/>
          <w:sz w:val="24"/>
          <w:szCs w:val="24"/>
          <w:highlight w:val="none"/>
          <w:u w:val="single"/>
        </w:rPr>
        <w:t xml:space="preserve"> 由承包人按发包人要求负责取得出入施工现场所需的批准手续和全部权利，以及取得因施工所需修建临时道路以及其他基础设施的权利，并承担相关手续费用和建设费用 </w:t>
      </w:r>
      <w:r>
        <w:rPr>
          <w:rFonts w:hint="eastAsia" w:ascii="仿宋" w:hAnsi="仿宋" w:eastAsia="仿宋" w:cs="仿宋"/>
          <w:color w:val="auto"/>
          <w:sz w:val="24"/>
          <w:szCs w:val="24"/>
          <w:highlight w:val="none"/>
        </w:rPr>
        <w:t xml:space="preserve">。</w:t>
      </w:r>
      <w:bookmarkEnd w:id="162"/>
      <w:r/>
      <w:bookmarkEnd w:id="163"/>
      <w:r/>
      <w:bookmarkEnd w:id="164"/>
      <w:r/>
      <w:bookmarkEnd w:id="165"/>
      <w:r/>
      <w:bookmarkEnd w:id="166"/>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w:t>
      </w:r>
      <w:bookmarkStart w:id="167" w:name="_Toc312677987"/>
      <w:r/>
      <w:bookmarkStart w:id="168" w:name="_Toc304295522"/>
      <w:r/>
      <w:bookmarkStart w:id="169" w:name="_Toc303539101"/>
      <w:r/>
      <w:bookmarkStart w:id="170" w:name="_Toc318581156"/>
      <w:r/>
      <w:bookmarkStart w:id="171" w:name="_Toc300934944"/>
      <w:r>
        <w:rPr>
          <w:rFonts w:hint="eastAsia" w:ascii="仿宋" w:hAnsi="仿宋" w:eastAsia="仿宋" w:cs="仿宋"/>
          <w:color w:val="auto"/>
          <w:sz w:val="24"/>
          <w:szCs w:val="24"/>
          <w:highlight w:val="none"/>
        </w:rPr>
        <w:t xml:space="preserve">.7.2 场内交通</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关于场外交通和场内交通的边界的约定：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关于发包人向承包人免费提供满足工程施工需要的场内道路和交通设施的约定：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bookmarkEnd w:id="167"/>
      <w:r/>
      <w:bookmarkEnd w:id="168"/>
      <w:r/>
      <w:bookmarkEnd w:id="169"/>
      <w:r/>
      <w:bookmarkEnd w:id="170"/>
      <w:r/>
      <w:bookmarkEnd w:id="171"/>
      <w:r/>
      <w:bookmarkStart w:id="172" w:name="_Toc318581157"/>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1.7.3 超大件和超重件的运输</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运输超大件或超重件所需的道路和桥梁临时加固改造费用和其他有关费用由</w:t>
      </w:r>
      <w:r>
        <w:rPr>
          <w:rFonts w:hint="eastAsia" w:ascii="仿宋" w:hAnsi="仿宋" w:eastAsia="仿宋" w:cs="仿宋"/>
          <w:color w:val="auto"/>
          <w:sz w:val="24"/>
          <w:szCs w:val="24"/>
          <w:highlight w:val="none"/>
          <w:u w:val="single"/>
        </w:rPr>
        <w:t xml:space="preserve"> 承包人 </w:t>
      </w:r>
      <w:r>
        <w:rPr>
          <w:rFonts w:hint="eastAsia" w:ascii="仿宋" w:hAnsi="仿宋" w:eastAsia="仿宋" w:cs="仿宋"/>
          <w:color w:val="auto"/>
          <w:sz w:val="24"/>
          <w:szCs w:val="24"/>
          <w:highlight w:val="none"/>
        </w:rPr>
        <w:t xml:space="preserve">承担。</w:t>
      </w:r>
      <w:bookmarkEnd w:id="172"/>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1.8 知识产权</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 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关于发包人提供的上述文件的使用限制的要求：</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未经发包人同意，承包人不得私自复印或将发包人提供的图纸等资料提供给第三人。若违反本条，承包人应承担由此引起的法律责任，发包人有权向承包人索赔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1.8.2 关于承包人为实施工程所编制文件的著作权的归属：</w:t>
      </w:r>
      <w:r>
        <w:rPr>
          <w:rFonts w:hint="eastAsia" w:ascii="仿宋" w:hAnsi="仿宋" w:eastAsia="仿宋" w:cs="仿宋"/>
          <w:color w:val="auto"/>
          <w:sz w:val="24"/>
          <w:szCs w:val="24"/>
          <w:highlight w:val="none"/>
          <w:u w:val="single"/>
        </w:rPr>
        <w:t xml:space="preserve"> 归承包人所有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关于承包人提供的上述文件的使用限制的要求：</w:t>
      </w:r>
      <w:r>
        <w:rPr>
          <w:rFonts w:hint="eastAsia" w:ascii="仿宋" w:hAnsi="仿宋" w:eastAsia="仿宋" w:cs="仿宋"/>
          <w:color w:val="auto"/>
          <w:sz w:val="24"/>
          <w:szCs w:val="24"/>
          <w:highlight w:val="none"/>
          <w:u w:val="single"/>
        </w:rPr>
        <w:t xml:space="preserve"> 仅限于此工程项目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1.8.3 承包人在施工过程中所采用的专利、专有技术、技术秘密的使用费的承担方式：</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1.9 工程量清单错误的修正</w:t>
      </w:r>
      <w:r/>
    </w:p>
    <w:p>
      <w:pPr>
        <w:ind w:firstLine="42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出现工程量清单错误时，是否调整合同价格：</w:t>
      </w:r>
      <w:r>
        <w:rPr>
          <w:rFonts w:hint="eastAsia" w:ascii="仿宋" w:hAnsi="仿宋" w:eastAsia="仿宋" w:cs="仿宋"/>
          <w:b/>
          <w:color w:val="auto"/>
          <w:sz w:val="24"/>
          <w:szCs w:val="24"/>
          <w:highlight w:val="none"/>
          <w:u w:val="single"/>
        </w:rPr>
        <w:t xml:space="preserve"> 应在招标时提出，其他情况均不调整 </w:t>
      </w:r>
      <w:r>
        <w:rPr>
          <w:rFonts w:hint="eastAsia" w:ascii="仿宋" w:hAnsi="仿宋" w:eastAsia="仿宋" w:cs="仿宋"/>
          <w:b/>
          <w:color w:val="auto"/>
          <w:sz w:val="24"/>
          <w:szCs w:val="24"/>
          <w:highlight w:val="none"/>
        </w:rPr>
        <w:t xml:space="preserve">。</w:t>
      </w:r>
      <w:r/>
    </w:p>
    <w:p>
      <w:pPr>
        <w:ind w:firstLine="42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允许调整合同价格的工程量偏差范围：</w:t>
      </w:r>
      <w:r>
        <w:rPr>
          <w:rFonts w:hint="eastAsia" w:ascii="仿宋" w:hAnsi="仿宋" w:eastAsia="仿宋" w:cs="仿宋"/>
          <w:b/>
          <w:color w:val="auto"/>
          <w:sz w:val="24"/>
          <w:szCs w:val="24"/>
          <w:highlight w:val="none"/>
          <w:u w:val="single"/>
        </w:rPr>
        <w:t xml:space="preserve">  /  </w:t>
      </w:r>
      <w:r>
        <w:rPr>
          <w:rFonts w:hint="eastAsia" w:ascii="仿宋" w:hAnsi="仿宋" w:eastAsia="仿宋" w:cs="仿宋"/>
          <w:b/>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173" w:name="_Toc351203634"/>
      <w:r>
        <w:rPr>
          <w:rFonts w:hint="eastAsia" w:ascii="仿宋" w:hAnsi="仿宋" w:eastAsia="仿宋" w:cs="仿宋"/>
          <w:color w:val="auto"/>
          <w:sz w:val="24"/>
          <w:szCs w:val="24"/>
          <w:highlight w:val="none"/>
        </w:rPr>
        <w:t xml:space="preserve">2</w:t>
      </w:r>
      <w:bookmarkStart w:id="174" w:name="_Toc297048343"/>
      <w:r/>
      <w:bookmarkStart w:id="175" w:name="_Toc296944496"/>
      <w:r/>
      <w:bookmarkStart w:id="176" w:name="_Toc296890985"/>
      <w:r/>
      <w:bookmarkStart w:id="177" w:name="_Toc297120457"/>
      <w:r/>
      <w:bookmarkStart w:id="178" w:name="_Toc296346658"/>
      <w:r/>
      <w:bookmarkStart w:id="179" w:name="_Toc296891197"/>
      <w:r/>
      <w:bookmarkStart w:id="180" w:name="_Toc292559867"/>
      <w:r/>
      <w:bookmarkStart w:id="181" w:name="_Toc292559362"/>
      <w:r/>
      <w:bookmarkStart w:id="182" w:name="_Toc296347156"/>
      <w:r/>
      <w:bookmarkStart w:id="183" w:name="_Toc296503157"/>
      <w:r>
        <w:rPr>
          <w:rFonts w:hint="eastAsia" w:ascii="仿宋" w:hAnsi="仿宋" w:eastAsia="仿宋" w:cs="仿宋"/>
          <w:color w:val="auto"/>
          <w:sz w:val="24"/>
          <w:szCs w:val="24"/>
          <w:highlight w:val="none"/>
        </w:rPr>
        <w:t xml:space="preserve">. 发包人</w:t>
      </w:r>
      <w:bookmarkEnd w:id="173"/>
      <w:r/>
      <w:bookmarkEnd w:id="174"/>
      <w:r/>
      <w:bookmarkEnd w:id="175"/>
      <w:r/>
      <w:bookmarkEnd w:id="176"/>
      <w:r/>
      <w:bookmarkEnd w:id="177"/>
      <w:r/>
      <w:bookmarkEnd w:id="178"/>
      <w:r/>
      <w:bookmarkEnd w:id="179"/>
      <w:r/>
      <w:bookmarkEnd w:id="180"/>
      <w:r/>
      <w:bookmarkEnd w:id="181"/>
      <w:r/>
      <w:bookmarkEnd w:id="182"/>
      <w:r/>
      <w:bookmarkEnd w:id="183"/>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2.1 发包人代表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发包人代表：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    务：</w:t>
      </w:r>
      <w:r>
        <w:rPr>
          <w:rFonts w:hint="eastAsia" w:ascii="仿宋" w:hAnsi="仿宋" w:eastAsia="仿宋" w:cs="仿宋"/>
          <w:color w:val="auto"/>
          <w:sz w:val="24"/>
          <w:szCs w:val="24"/>
          <w:highlight w:val="none"/>
          <w:u w:val="single"/>
        </w:rPr>
        <w:t xml:space="preserve"> 项目现场负责人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发包人对发包人代表的授权范围如下：</w:t>
      </w:r>
      <w:r>
        <w:rPr>
          <w:rFonts w:hint="eastAsia" w:ascii="仿宋" w:hAnsi="仿宋" w:eastAsia="仿宋" w:cs="仿宋"/>
          <w:color w:val="auto"/>
          <w:sz w:val="24"/>
          <w:szCs w:val="24"/>
          <w:highlight w:val="none"/>
          <w:u w:val="single"/>
        </w:rPr>
        <w:t xml:space="preserve">现场管理；施工中有关项目的会签；对工程质量、安全、进度实施全面的监督管理，履行变更审批手续，负责技术、经济签证的现场确认，确定支付工程款，协调处理并解决有关变更、施工中的问题；凡需发包人确认的内容均须项目现场负责人签字确认 。</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2.2 施工现场、施工条件和基础资料的提供</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2.2.1 提供施工现场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关于发包人移交施工现场的期限要求：</w:t>
      </w:r>
      <w:r>
        <w:rPr>
          <w:rFonts w:hint="eastAsia" w:ascii="仿宋" w:hAnsi="仿宋" w:eastAsia="仿宋" w:cs="仿宋"/>
          <w:color w:val="auto"/>
          <w:sz w:val="24"/>
          <w:szCs w:val="24"/>
          <w:highlight w:val="none"/>
          <w:u w:val="single"/>
        </w:rPr>
        <w:t xml:space="preserve"> 场地移交可以全部移交，所移交的场地能满足施工要求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2.2.2 提供施工条件</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关于发包人应负责提供施工所需要的条件，包括：</w:t>
      </w:r>
      <w:r>
        <w:rPr>
          <w:rFonts w:hint="eastAsia" w:ascii="仿宋" w:hAnsi="仿宋" w:eastAsia="仿宋" w:cs="仿宋"/>
          <w:color w:val="auto"/>
          <w:sz w:val="24"/>
          <w:szCs w:val="24"/>
          <w:highlight w:val="none"/>
          <w:u w:val="single"/>
        </w:rPr>
        <w:t xml:space="preserve">开工前根据施工现场要求提供水、电线路接口，承包人根据发包人和施工总承包单位要求自行接驳水、电线路，分别挂表计量，其他线路由承包人自行办理。水、电费用（含摊销）由承包人承担，并包含在合同总价内，如不挂表计量或计量不准的，则按照结算价的1%扣回水电费</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2.2 资金来源证明及支付担保</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发包人提供资金来源证明的期限要求：</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发包人是否提供支付担保：</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发包人提供支付担保的形式：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184" w:name="_Toc351203635"/>
      <w:r>
        <w:rPr>
          <w:rFonts w:hint="eastAsia" w:ascii="仿宋" w:hAnsi="仿宋" w:eastAsia="仿宋" w:cs="仿宋"/>
          <w:color w:val="auto"/>
          <w:sz w:val="24"/>
          <w:szCs w:val="24"/>
          <w:highlight w:val="none"/>
        </w:rPr>
        <w:t xml:space="preserve">3</w:t>
      </w:r>
      <w:bookmarkStart w:id="185" w:name="_Toc296503158"/>
      <w:r/>
      <w:bookmarkStart w:id="186" w:name="_Toc296346659"/>
      <w:r/>
      <w:bookmarkStart w:id="187" w:name="_Toc296891198"/>
      <w:r/>
      <w:bookmarkStart w:id="188" w:name="_Toc296944497"/>
      <w:r/>
      <w:bookmarkStart w:id="189" w:name="_Toc297048344"/>
      <w:r/>
      <w:bookmarkStart w:id="190" w:name="_Toc292559868"/>
      <w:r/>
      <w:bookmarkStart w:id="191" w:name="_Toc296890986"/>
      <w:r/>
      <w:bookmarkStart w:id="192" w:name="_Toc296347157"/>
      <w:r/>
      <w:bookmarkStart w:id="193" w:name="_Toc292559363"/>
      <w:r/>
      <w:bookmarkStart w:id="194" w:name="_Toc297120458"/>
      <w:r>
        <w:rPr>
          <w:rFonts w:hint="eastAsia" w:ascii="仿宋" w:hAnsi="仿宋" w:eastAsia="仿宋" w:cs="仿宋"/>
          <w:color w:val="auto"/>
          <w:sz w:val="24"/>
          <w:szCs w:val="24"/>
          <w:highlight w:val="none"/>
        </w:rPr>
        <w:t xml:space="preserve">. 承包人</w:t>
      </w:r>
      <w:bookmarkEnd w:id="184"/>
      <w:r/>
      <w:bookmarkEnd w:id="185"/>
      <w:r/>
      <w:bookmarkEnd w:id="186"/>
      <w:r/>
      <w:bookmarkEnd w:id="187"/>
      <w:r/>
      <w:bookmarkEnd w:id="188"/>
      <w:r/>
      <w:bookmarkEnd w:id="189"/>
      <w:r/>
      <w:bookmarkEnd w:id="190"/>
      <w:r/>
      <w:bookmarkEnd w:id="191"/>
      <w:r/>
      <w:bookmarkEnd w:id="192"/>
      <w:r/>
      <w:bookmarkEnd w:id="193"/>
      <w:r/>
      <w:bookmarkEnd w:id="194"/>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3.1 承包人的一般义务</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(1)承包人提交的竣工资料的内容：</w:t>
      </w:r>
      <w:r>
        <w:rPr>
          <w:rFonts w:hint="eastAsia" w:ascii="仿宋" w:hAnsi="仿宋" w:eastAsia="仿宋" w:cs="仿宋"/>
          <w:color w:val="auto"/>
          <w:sz w:val="24"/>
          <w:szCs w:val="24"/>
          <w:highlight w:val="none"/>
          <w:u w:val="single"/>
        </w:rPr>
        <w:t xml:space="preserve">符合竣工资料规范要求（含竣工图及相关文件）</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承包人需要提交的竣工资料套数：</w:t>
      </w:r>
      <w:r>
        <w:rPr>
          <w:rFonts w:hint="eastAsia" w:ascii="仿宋" w:hAnsi="仿宋" w:eastAsia="仿宋" w:cs="仿宋"/>
          <w:color w:val="auto"/>
          <w:sz w:val="24"/>
          <w:szCs w:val="24"/>
          <w:highlight w:val="none"/>
          <w:u w:val="single"/>
        </w:rPr>
        <w:t xml:space="preserve">肆套</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承包人提交的竣工资料的费用承担：</w:t>
      </w:r>
      <w:r>
        <w:rPr>
          <w:rFonts w:hint="eastAsia" w:ascii="仿宋" w:hAnsi="仿宋" w:eastAsia="仿宋" w:cs="仿宋"/>
          <w:color w:val="auto"/>
          <w:sz w:val="24"/>
          <w:szCs w:val="24"/>
          <w:highlight w:val="none"/>
          <w:u w:val="single"/>
        </w:rPr>
        <w:t xml:space="preserve">由承包人自行解决，费用包含在合同总价内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承包人提交的竣工资料移交时间：</w:t>
      </w:r>
      <w:r>
        <w:rPr>
          <w:rFonts w:hint="eastAsia" w:ascii="仿宋" w:hAnsi="仿宋" w:eastAsia="仿宋" w:cs="仿宋"/>
          <w:color w:val="auto"/>
          <w:sz w:val="24"/>
          <w:szCs w:val="24"/>
          <w:highlight w:val="none"/>
          <w:u w:val="single"/>
        </w:rPr>
        <w:t xml:space="preserve">承包人在工程竣工后一个月内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承包人提交的竣工资料形式要求：</w:t>
      </w:r>
      <w:r>
        <w:rPr>
          <w:rFonts w:hint="eastAsia" w:ascii="仿宋" w:hAnsi="仿宋" w:eastAsia="仿宋" w:cs="仿宋"/>
          <w:color w:val="auto"/>
          <w:sz w:val="24"/>
          <w:szCs w:val="24"/>
          <w:highlight w:val="none"/>
          <w:u w:val="single"/>
        </w:rPr>
        <w:t xml:space="preserve">符合竣工备案要求的纸质件（按要求盖章、签字）和电子件（刻光盘）</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(2)承包人应履行的其他义务：</w:t>
      </w:r>
      <w:r>
        <w:rPr>
          <w:rFonts w:hint="eastAsia" w:ascii="仿宋" w:hAnsi="仿宋" w:eastAsia="仿宋" w:cs="仿宋"/>
          <w:color w:val="auto"/>
          <w:sz w:val="24"/>
          <w:szCs w:val="24"/>
          <w:highlight w:val="none"/>
          <w:u w:val="single"/>
        </w:rPr>
        <w:t xml:space="preserve">① 本工程实行总承包管理，土建安装施工单位为总承包管理单位，行使总包管理职能，承担总包管理责任。本工程承包人在完成本合同规</w:t>
      </w:r>
      <w:r>
        <w:rPr>
          <w:rFonts w:hint="eastAsia" w:ascii="仿宋" w:hAnsi="仿宋" w:eastAsia="仿宋" w:cs="仿宋"/>
          <w:color w:val="auto"/>
          <w:sz w:val="24"/>
          <w:szCs w:val="24"/>
          <w:highlight w:val="none"/>
          <w:u w:val="single"/>
        </w:rPr>
        <w:t xml:space="preserve">定的管网工程施工任务过程中，应服从总承包管理单位的监督、管理，与总承包管理单位协调、配合，按总承包人要求编报各类报审表资料。如与总承包管理单位就有关问题产生分歧，应书面上报发包人和监理人，并根据发包人的指示采取应对措施；② 应提供计划、报表的名称及完成时间：开工前一周须提供工程进度报表；③ 承担施工安全保卫工作的责任和要求：应采取有效防盗措施。主要工作人员进场应佩戴证明其身份的名卡，其他施工人员宜有识别标识。建立和执行防火管理制度，施工现场如设食堂其饮食、饮水设施应卫生可靠（一旦发生饮食卫生问题，一切责任由</w:t>
      </w:r>
      <w:r>
        <w:rPr>
          <w:rFonts w:hint="eastAsia" w:ascii="仿宋" w:hAnsi="仿宋" w:eastAsia="仿宋" w:cs="仿宋"/>
          <w:color w:val="auto"/>
          <w:sz w:val="24"/>
          <w:szCs w:val="24"/>
          <w:highlight w:val="none"/>
          <w:u w:val="single"/>
        </w:rPr>
        <w:t xml:space="preserve">承包人负责）。施工现场临时用电按相关规范执行。承包人按照规定负责施工现场安全保卫工作，负责施工人员的治安教育及管理工作，由此发生事故，均由承包人负责；④ 需承包人办理的有关施工场地交通、环卫和施工噪音管理等手续：环保、环卫等相关手续由承包人办理。费用由承包人承担；⑤ 已完工程成品保护的特殊要求及费用承担：工程交付前成品保护由承包人负责，费用由承包人承担；⑥ 施工场地周围地下管线和邻近建筑物、构筑物(含文物保护建筑)、古树名木的保护要求及费用承担：对施工场地周围所有管网、管线、排水、道路及邻近建筑物承包人负责</w:t>
      </w:r>
      <w:r>
        <w:rPr>
          <w:rFonts w:hint="eastAsia" w:ascii="仿宋" w:hAnsi="仿宋" w:eastAsia="仿宋" w:cs="仿宋"/>
          <w:color w:val="auto"/>
          <w:sz w:val="24"/>
          <w:szCs w:val="24"/>
          <w:highlight w:val="none"/>
          <w:u w:val="single"/>
        </w:rPr>
        <w:t xml:space="preserve">观测，若发生问题承包人要采取补救措施，费用承包人承担；⑦ 施工场地清洁卫生的要求：保证施工现场清洁卫生符合有关规定，达到标化现场工地要求（且满足总包单位管理要求）；⑧ 双方约定承包人应做的其它工作：必须严格执行施工场地管理规定以及发包人和总承包管理人的场地管理要求；严格执行发包人施工中变更、签证的规定；有配合发包人做好资料归档、决算审计的义务，及时处理好现场事务；⑨ 承包人必须对工程现场施工人员全部实行实名制考勤管理，签订劳动合同，设立工资存储专户，按照工程进度和工人实名制登记信息，按月足额由银行代发工资。</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3.2 项目经理</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3.2.1 项目经理：</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建造师执业资格等级：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建造师注册证书号：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建造师执业印章号：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安全生产考核合格证书号：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1、领导、决策，调集企业所属各单位、各部门为项目进行全面服务和控制 ；</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2、代表承包人履行对业主的合约，并受业主委托行使对项目所有分包商统一指挥、协调、管理权；</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3、负责组织编制与审批工程总体进度计划及其修订与调整；</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4、负责组织编制与审批质量保证计划及其修订与调整；</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5、负责组织编制与审批主要物资供应与采购计划及其修订与调整；</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6、负责组织编制与审批工程分包计划及其修订与调整；</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7、组织工程成本分析、预测及控制，对项目资金管理与财务运作负责；</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8、与业主、监理保持经常沟通，了解业主需求，解决随时出现的问题，替业主排忧解难，保护业主利益；</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9、负责组织人力资源调配、内部和外部关系协调；遵照合同约定及施工组织设计中的内容实施于工程，当超出实施范围应向上级决策机构申报。</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关于项目经理每月在施工现场的时间要求：</w:t>
      </w:r>
      <w:r>
        <w:rPr>
          <w:rFonts w:hint="eastAsia" w:ascii="仿宋" w:hAnsi="仿宋" w:eastAsia="仿宋" w:cs="仿宋"/>
          <w:color w:val="auto"/>
          <w:sz w:val="24"/>
          <w:szCs w:val="24"/>
          <w:highlight w:val="none"/>
          <w:u w:val="single"/>
        </w:rPr>
        <w:t xml:space="preserve">每周不少于6天，每天不少于7小时</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承包人未提交劳动合同，以及没有为项目经理缴纳社会保险证明的违约责任：</w:t>
      </w:r>
      <w:r>
        <w:rPr>
          <w:rFonts w:hint="eastAsia" w:ascii="仿宋" w:hAnsi="仿宋" w:eastAsia="仿宋" w:cs="仿宋"/>
          <w:color w:val="auto"/>
          <w:sz w:val="24"/>
          <w:szCs w:val="24"/>
          <w:highlight w:val="none"/>
          <w:u w:val="single"/>
        </w:rPr>
        <w:t xml:space="preserve">发包人有权与承包人解除合同，已完工程，按照建设工程成本价结算，并追究由此带来的发包人一切损失</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项目经理未经批准，擅自离开施工现场的违约责任：</w:t>
      </w:r>
      <w:r>
        <w:rPr>
          <w:rFonts w:hint="eastAsia" w:ascii="仿宋" w:hAnsi="仿宋" w:eastAsia="仿宋" w:cs="仿宋"/>
          <w:color w:val="auto"/>
          <w:sz w:val="24"/>
          <w:szCs w:val="24"/>
          <w:highlight w:val="none"/>
          <w:u w:val="single"/>
        </w:rPr>
        <w:t xml:space="preserve">如果项目经理未经发包人同意，违反项目经理每月在施工现场的时间要求，每发现一次支付给发包人违约金人民币伍仟元（￥5000.00元），上不封顶。连续5天或一个月内累计5天不在现场，发包人有权要求承包人更换项目经理直至要求解除合同，追究违约责任，并报行政主管部门备案</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3.2.2 承包人擅自更换项目经理的违约责任：</w:t>
      </w:r>
      <w:r>
        <w:rPr>
          <w:rFonts w:hint="eastAsia" w:ascii="仿宋" w:hAnsi="仿宋" w:eastAsia="仿宋" w:cs="仿宋"/>
          <w:color w:val="auto"/>
          <w:sz w:val="24"/>
          <w:szCs w:val="24"/>
          <w:highlight w:val="none"/>
          <w:u w:val="single"/>
        </w:rPr>
        <w:t xml:space="preserve">项目经理不得擅自变更，若出现承包人擅自更换项目经理的情况，发包人有权解除合同并责令承包人退场,承包人承诺每天向发包人支付人民币贰仟元（￥2000.00元）违约金（从进场之日至退场之日），并追究由此带来的发包人的一切损失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3.2.3 承包人无正当理由拒绝更换项目经理的违约责任：</w:t>
      </w:r>
      <w:r>
        <w:rPr>
          <w:rFonts w:hint="eastAsia" w:ascii="仿宋" w:hAnsi="仿宋" w:eastAsia="仿宋" w:cs="仿宋"/>
          <w:color w:val="auto"/>
          <w:sz w:val="24"/>
          <w:szCs w:val="24"/>
          <w:highlight w:val="none"/>
          <w:u w:val="single"/>
        </w:rPr>
        <w:t xml:space="preserve">发包人有权要求更换其认为不称职的项目经理。项目经理必须采取有效措施保证在整个施工期间现场有足够的劳力、材料、设备，保证工程顺利实施，并不受节假日的影响，否则视为项目经理失职，承包人承诺每次向发包人支付人民币贰仟元/次（￥2000.00元/次）的违约金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3.3 承包人人员</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3.3.1 承包人提交项目管理机构及施工现场管理人员安排报告的期限：</w:t>
      </w:r>
      <w:r>
        <w:rPr>
          <w:rFonts w:hint="eastAsia" w:ascii="仿宋" w:hAnsi="仿宋" w:eastAsia="仿宋" w:cs="仿宋"/>
          <w:color w:val="auto"/>
          <w:sz w:val="24"/>
          <w:szCs w:val="24"/>
          <w:highlight w:val="none"/>
          <w:u w:val="single"/>
        </w:rPr>
        <w:t xml:space="preserve">合同签订7日内，如承包人不按时送审符合要求的项目管理机构及施工现场管理人员安排报告，承包人承诺按照现实情况支付给发包人1000-2000元的违约金，发包人有权拒付相应部分工程进度款，责任由承包人承担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3.3.2 承包人无正当理由拒绝撤换主要施工管理人员的违约责任：</w:t>
      </w:r>
      <w:r>
        <w:rPr>
          <w:rFonts w:hint="eastAsia" w:ascii="仿宋" w:hAnsi="仿宋" w:eastAsia="仿宋" w:cs="仿宋"/>
          <w:color w:val="auto"/>
          <w:sz w:val="24"/>
          <w:szCs w:val="24"/>
          <w:highlight w:val="none"/>
          <w:u w:val="single"/>
        </w:rPr>
        <w:t xml:space="preserve">承包人应对其主要施工管理人员必须进行有效的管理。监理人和发包人要求撤换不能胜任本职工作、行为不端或玩忽职守的承包人主要施工管理人员的，承包人应予以撤换，否则发包人有权解除合同，已完工程，按照建设工程成本价结算，并追究由此带来的发包人一切损失</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3.3.3 承包人主要施工管理人员离开施工现场的批准要求：</w:t>
      </w:r>
      <w:r>
        <w:rPr>
          <w:rFonts w:hint="eastAsia" w:ascii="仿宋" w:hAnsi="仿宋" w:eastAsia="仿宋" w:cs="仿宋"/>
          <w:color w:val="auto"/>
          <w:sz w:val="24"/>
          <w:szCs w:val="24"/>
          <w:highlight w:val="none"/>
          <w:u w:val="single"/>
        </w:rPr>
        <w:t xml:space="preserve">承包人主要施工管理人员如有特殊原因需要离开施工现场的，需提前一周报发包人、监理人，经发包人、监理人批准后才可离开施工现场，承包人承诺每违约一项（或一人）,需向发包人支付违约金1000元</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3.3.4 承包人擅自更换主要施工管理人员的违约责任：</w:t>
      </w:r>
      <w:r>
        <w:rPr>
          <w:rFonts w:hint="eastAsia" w:ascii="仿宋" w:hAnsi="仿宋" w:eastAsia="仿宋" w:cs="仿宋"/>
          <w:color w:val="auto"/>
          <w:sz w:val="24"/>
          <w:szCs w:val="24"/>
          <w:highlight w:val="none"/>
          <w:u w:val="single"/>
        </w:rPr>
        <w:t xml:space="preserve">承包人投标文件所载明的项目经理不得变更，如擅自变更，视为违约，发包人有权终止合同，并追究由此带来的发包人一切损失。</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3.3.5 承包人主要施工管理人员擅自离开施工现场的违约责任：</w:t>
      </w:r>
      <w:r>
        <w:rPr>
          <w:rFonts w:hint="eastAsia" w:ascii="仿宋" w:hAnsi="仿宋" w:eastAsia="仿宋" w:cs="仿宋"/>
          <w:color w:val="auto"/>
          <w:sz w:val="24"/>
          <w:szCs w:val="24"/>
          <w:highlight w:val="none"/>
          <w:u w:val="single"/>
        </w:rPr>
        <w:t xml:space="preserve">承包人投标文件所载明的主要施工管理人员必须常驻现场，不得擅自离开施工现场，发包人每发现1次，承包人承诺每次向发包人支付人民币贰仟元/次（￥2000.00元/次）的违约金；上不封顶</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3.3.6 承包人未按时每月发放农民工工资和及时结算社保资金的违约责任：</w:t>
      </w:r>
      <w:r>
        <w:rPr>
          <w:rFonts w:hint="eastAsia" w:ascii="仿宋" w:hAnsi="仿宋" w:eastAsia="仿宋" w:cs="仿宋"/>
          <w:color w:val="auto"/>
          <w:sz w:val="24"/>
          <w:szCs w:val="24"/>
          <w:highlight w:val="none"/>
          <w:u w:val="single"/>
        </w:rPr>
        <w:t xml:space="preserve">承包人必须按时每月发放农民工工资和及时结算社保资金，否则视为违约，发包人有权暂缓支付工程款，责任由承包人承担，并追究由此带来的发包人一切损失。</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3.3.7 对承包人失信行为的处罚：</w:t>
      </w:r>
      <w:r>
        <w:rPr>
          <w:rFonts w:hint="eastAsia" w:ascii="仿宋" w:hAnsi="仿宋" w:eastAsia="仿宋" w:cs="仿宋"/>
          <w:color w:val="auto"/>
          <w:sz w:val="24"/>
          <w:szCs w:val="24"/>
          <w:highlight w:val="none"/>
          <w:u w:val="single"/>
        </w:rPr>
        <w:t xml:space="preserve">承包人失信拖欠工资，报由有关部门在政府资金支持、政府采购、招投标、生产许可、履约担保、资质审核、融资贷款、市场准入、评优评先等方面依法依规予以限制；恶意欠薪涉嫌犯罪，依法移送司法机关追究刑事责任。</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w:t>
      </w:r>
      <w:bookmarkStart w:id="195" w:name="_Toc292559869"/>
      <w:r/>
      <w:bookmarkStart w:id="196" w:name="_Toc312677988"/>
      <w:r/>
      <w:bookmarkStart w:id="197" w:name="_Toc296891199"/>
      <w:r/>
      <w:bookmarkStart w:id="198" w:name="_Toc296890987"/>
      <w:r/>
      <w:bookmarkStart w:id="199" w:name="_Toc296346660"/>
      <w:r/>
      <w:bookmarkStart w:id="200" w:name="_Toc304295523"/>
      <w:r/>
      <w:bookmarkStart w:id="201" w:name="_Toc297120459"/>
      <w:r/>
      <w:bookmarkStart w:id="202" w:name="_Toc300934945"/>
      <w:r/>
      <w:bookmarkStart w:id="203" w:name="_Toc292559364"/>
      <w:r/>
      <w:bookmarkStart w:id="204" w:name="_Toc296944498"/>
      <w:r/>
      <w:bookmarkStart w:id="205" w:name="_Toc296347158"/>
      <w:r/>
      <w:bookmarkStart w:id="206" w:name="_Toc303539102"/>
      <w:r/>
      <w:bookmarkStart w:id="207" w:name="_Toc297123492"/>
      <w:r/>
      <w:bookmarkStart w:id="208" w:name="_Toc296503159"/>
      <w:r/>
      <w:bookmarkStart w:id="209" w:name="_Toc297216151"/>
      <w:r/>
      <w:bookmarkStart w:id="210" w:name="_Toc297048345"/>
      <w:r>
        <w:rPr>
          <w:rFonts w:hint="eastAsia" w:ascii="仿宋" w:hAnsi="仿宋" w:eastAsia="仿宋" w:cs="仿宋"/>
          <w:color w:val="auto"/>
          <w:sz w:val="24"/>
          <w:szCs w:val="24"/>
          <w:highlight w:val="none"/>
        </w:rPr>
        <w:t xml:space="preserve">.4 分包</w:t>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3.4.1 分包的一般约定</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禁止分包的工程包括：</w:t>
      </w:r>
      <w:r>
        <w:rPr>
          <w:rFonts w:hint="eastAsia" w:ascii="仿宋" w:hAnsi="仿宋" w:eastAsia="仿宋" w:cs="仿宋"/>
          <w:color w:val="auto"/>
          <w:sz w:val="24"/>
          <w:szCs w:val="24"/>
          <w:highlight w:val="none"/>
          <w:u w:val="single"/>
        </w:rPr>
        <w:t xml:space="preserve">本工程不允许承包人有任何形式的转包和未经允许的分包，否则发包人有权终止合同，一切损失由承包人承担。如某些专业工程，承包人自行施工质量不能令发包人和监理人满意，发包人同意承包人做分包处理，承包人应做好分包人的管理工作和负总责。分包单位的任何违约行为或疏忽导致工程损害或给发包人造成其他损失，承包人承担连带责任</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主体结构、关键性工作的范围：</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3</w:t>
      </w:r>
      <w:bookmarkStart w:id="211" w:name="_Toc318581159"/>
      <w:r/>
      <w:bookmarkStart w:id="212" w:name="_Toc312677990"/>
      <w:r>
        <w:rPr>
          <w:rFonts w:hint="eastAsia" w:ascii="仿宋" w:hAnsi="仿宋" w:eastAsia="仿宋" w:cs="仿宋"/>
          <w:color w:val="auto"/>
          <w:sz w:val="24"/>
          <w:szCs w:val="24"/>
          <w:highlight w:val="none"/>
        </w:rPr>
        <w:t xml:space="preserve">.4.2 分包的确定</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允许分包的专业工程包括：</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其他关于分包的约定：</w:t>
      </w:r>
      <w:r>
        <w:rPr>
          <w:rFonts w:hint="eastAsia" w:ascii="仿宋" w:hAnsi="仿宋" w:eastAsia="仿宋" w:cs="仿宋"/>
          <w:color w:val="auto"/>
          <w:sz w:val="24"/>
          <w:szCs w:val="24"/>
          <w:highlight w:val="none"/>
          <w:u w:val="single"/>
        </w:rPr>
        <w:t xml:space="preserve">本工程不允许承包人有任何形式的转包和未经发包人允许的分包，否则发包人有权终止合同，一切损失由承包人承担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3.4.3 分包合同价款</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关于分包合同价款支付的约定：</w:t>
      </w:r>
      <w:r>
        <w:rPr>
          <w:rFonts w:hint="eastAsia" w:ascii="仿宋" w:hAnsi="仿宋" w:eastAsia="仿宋" w:cs="仿宋"/>
          <w:color w:val="auto"/>
          <w:sz w:val="24"/>
          <w:szCs w:val="24"/>
          <w:highlight w:val="none"/>
          <w:u w:val="single"/>
        </w:rPr>
        <w:t xml:space="preserve">无</w:t>
      </w:r>
      <w:r>
        <w:rPr>
          <w:rFonts w:hint="eastAsia" w:ascii="仿宋" w:hAnsi="仿宋" w:eastAsia="仿宋" w:cs="仿宋"/>
          <w:color w:val="auto"/>
          <w:sz w:val="24"/>
          <w:szCs w:val="24"/>
          <w:highlight w:val="none"/>
        </w:rPr>
        <w:t xml:space="preserve">。</w:t>
      </w:r>
      <w:bookmarkEnd w:id="211"/>
      <w:r/>
      <w:bookmarkEnd w:id="212"/>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3.5 工程照管与成品、半成品保护</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承包人负责照管工程及工程相关的材料、工程设备的起始时间：</w:t>
      </w:r>
      <w:r>
        <w:rPr>
          <w:rFonts w:hint="eastAsia" w:ascii="仿宋" w:hAnsi="仿宋" w:eastAsia="仿宋" w:cs="仿宋"/>
          <w:color w:val="auto"/>
          <w:sz w:val="24"/>
          <w:szCs w:val="24"/>
          <w:highlight w:val="none"/>
          <w:u w:val="single"/>
        </w:rPr>
        <w:t xml:space="preserve">在工程交付前，成品保护由承包人负责，费用已含在合同价款内，发生成品损坏，承包人负责予以修复，费用自理；如交付后，发包人要求承包人继续保护，费用另行商定</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3.6 履约担保</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承包人是否提供履约担保：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是</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pStyle w:val="732"/>
        <w:numPr>
          <w:ilvl w:val="0"/>
          <w:numId w:val="0"/>
        </w:numPr>
        <w:ind w:left="116" w:right="63" w:firstLine="24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履约担保的形式：银行支票、汇票； </w:t>
      </w:r>
      <w:r/>
    </w:p>
    <w:p>
      <w:pPr>
        <w:pStyle w:val="732"/>
        <w:numPr>
          <w:ilvl w:val="0"/>
          <w:numId w:val="0"/>
        </w:numPr>
        <w:ind w:left="116" w:right="63" w:firstLine="24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履约担保金额：中标价的10%； </w:t>
      </w:r>
      <w:r/>
    </w:p>
    <w:p>
      <w:pPr>
        <w:pStyle w:val="732"/>
        <w:numPr>
          <w:ilvl w:val="0"/>
          <w:numId w:val="0"/>
        </w:numPr>
        <w:ind w:left="116" w:right="63" w:firstLine="24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履约担保的提交方式：银行支票、汇票。</w:t>
      </w:r>
      <w:r/>
    </w:p>
    <w:p>
      <w:pPr>
        <w:pStyle w:val="732"/>
        <w:numPr>
          <w:ilvl w:val="0"/>
          <w:numId w:val="0"/>
        </w:numPr>
        <w:ind w:left="116" w:right="63" w:firstLine="24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履约担保的递交时间：中标人自领取书面中标通知书 10日内按采购文件规定缴纳履约保证金。中标人未在规定时间内领取中标通知书或未在规定期限内缴纳履约保证金的，视为自动放弃中标资格。</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履约担保收款人:</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履约担保开户行:</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履约担保开户账号:</w:t>
      </w:r>
      <w:r/>
    </w:p>
    <w:p>
      <w:pPr>
        <w:pStyle w:val="732"/>
        <w:numPr>
          <w:ilvl w:val="0"/>
          <w:numId w:val="0"/>
        </w:numPr>
        <w:ind w:right="63" w:firstLine="24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履约保证金的返还（无息）：承包人在无违法、违纪现象的情况下，完成竣工结算审计后14日内，全额返还。</w:t>
      </w:r>
      <w:r/>
    </w:p>
    <w:p>
      <w:pPr>
        <w:ind w:firstLine="420"/>
        <w:keepLines/>
        <w:keepNext/>
        <w:spacing w:before="164" w:after="164" w:line="360" w:lineRule="auto"/>
        <w:rPr>
          <w:rFonts w:hint="eastAsia" w:ascii="仿宋" w:hAnsi="仿宋" w:eastAsia="仿宋" w:cs="仿宋"/>
          <w:color w:val="auto"/>
          <w:sz w:val="24"/>
          <w:szCs w:val="24"/>
          <w:highlight w:val="none"/>
        </w:rPr>
        <w:outlineLvl w:val="1"/>
      </w:pPr>
      <w:r/>
      <w:bookmarkStart w:id="213" w:name="_Toc351203636"/>
      <w:r>
        <w:rPr>
          <w:rFonts w:hint="eastAsia" w:ascii="仿宋" w:hAnsi="仿宋" w:eastAsia="仿宋" w:cs="仿宋"/>
          <w:color w:val="auto"/>
          <w:sz w:val="24"/>
          <w:szCs w:val="24"/>
          <w:highlight w:val="none"/>
        </w:rPr>
        <w:t xml:space="preserve">4</w:t>
      </w:r>
      <w:bookmarkStart w:id="214" w:name="_Toc296944501"/>
      <w:r/>
      <w:bookmarkStart w:id="215" w:name="_Toc267251413"/>
      <w:r/>
      <w:bookmarkStart w:id="216" w:name="_Toc297120462"/>
      <w:r/>
      <w:bookmarkStart w:id="217" w:name="_Toc292559366"/>
      <w:r/>
      <w:bookmarkStart w:id="218" w:name="_Toc296890990"/>
      <w:r/>
      <w:bookmarkStart w:id="219" w:name="_Toc292559871"/>
      <w:r/>
      <w:bookmarkStart w:id="220" w:name="_Toc296891202"/>
      <w:r/>
      <w:bookmarkStart w:id="221" w:name="_Toc297048348"/>
      <w:r/>
      <w:bookmarkStart w:id="222" w:name="_Toc296347161"/>
      <w:r/>
      <w:bookmarkStart w:id="223" w:name="_Toc296503162"/>
      <w:r/>
      <w:bookmarkStart w:id="224" w:name="_Toc296346663"/>
      <w:r>
        <w:rPr>
          <w:rFonts w:hint="eastAsia" w:ascii="仿宋" w:hAnsi="仿宋" w:eastAsia="仿宋" w:cs="仿宋"/>
          <w:color w:val="auto"/>
          <w:sz w:val="24"/>
          <w:szCs w:val="24"/>
          <w:highlight w:val="none"/>
        </w:rPr>
        <w:t xml:space="preserve">. 监</w:t>
      </w:r>
      <w:bookmarkEnd w:id="214"/>
      <w:r/>
      <w:bookmarkEnd w:id="215"/>
      <w:r/>
      <w:bookmarkEnd w:id="216"/>
      <w:r/>
      <w:bookmarkEnd w:id="217"/>
      <w:r/>
      <w:bookmarkEnd w:id="218"/>
      <w:r/>
      <w:bookmarkEnd w:id="219"/>
      <w:r/>
      <w:bookmarkEnd w:id="220"/>
      <w:r/>
      <w:bookmarkEnd w:id="221"/>
      <w:r/>
      <w:bookmarkEnd w:id="222"/>
      <w:r/>
      <w:bookmarkEnd w:id="223"/>
      <w:r/>
      <w:bookmarkEnd w:id="224"/>
      <w:r>
        <w:rPr>
          <w:rFonts w:hint="eastAsia" w:ascii="仿宋" w:hAnsi="仿宋" w:eastAsia="仿宋" w:cs="仿宋"/>
          <w:color w:val="auto"/>
          <w:sz w:val="24"/>
          <w:szCs w:val="24"/>
          <w:highlight w:val="none"/>
        </w:rPr>
        <w:t xml:space="preserve">理人</w:t>
      </w:r>
      <w:bookmarkEnd w:id="213"/>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4.1 监理人的一般规定</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关于监理人的监理内容：</w:t>
      </w:r>
      <w:r>
        <w:rPr>
          <w:rFonts w:hint="eastAsia" w:ascii="仿宋" w:hAnsi="仿宋" w:eastAsia="仿宋" w:cs="仿宋"/>
          <w:color w:val="auto"/>
          <w:sz w:val="24"/>
          <w:szCs w:val="24"/>
          <w:highlight w:val="none"/>
          <w:u w:val="single"/>
        </w:rPr>
        <w:t xml:space="preserve">对建设工程的质量控制、进度控制、成本控制、合同管理、信息管理和各方协调工作，监督施工单位对工程施工进行科学管理、安全施工、文明施工，具体详见监理合同</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关于监理人的监理权限：</w:t>
      </w:r>
      <w:r>
        <w:rPr>
          <w:rFonts w:hint="eastAsia" w:ascii="仿宋" w:hAnsi="仿宋" w:eastAsia="仿宋" w:cs="仿宋"/>
          <w:color w:val="auto"/>
          <w:sz w:val="24"/>
          <w:szCs w:val="24"/>
          <w:highlight w:val="none"/>
          <w:u w:val="single"/>
        </w:rPr>
        <w:t xml:space="preserve">需要取得发包人批准才能行使的职权为工程款拨付、各项工程变更洽商的确认及重大质量、进度、安全问题的处理权</w:t>
      </w:r>
      <w:r>
        <w:rPr>
          <w:rFonts w:hint="eastAsia" w:ascii="仿宋" w:hAnsi="仿宋" w:eastAsia="仿宋" w:cs="仿宋"/>
          <w:color w:val="auto"/>
          <w:sz w:val="24"/>
          <w:szCs w:val="24"/>
          <w:highlight w:val="non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关于监理人在施工现场的办公场所、生活场所的提供和费用承担的约定：</w:t>
      </w:r>
      <w:r>
        <w:rPr>
          <w:rFonts w:hint="eastAsia" w:ascii="仿宋" w:hAnsi="仿宋" w:eastAsia="仿宋" w:cs="仿宋"/>
          <w:color w:val="auto"/>
          <w:sz w:val="24"/>
          <w:szCs w:val="24"/>
          <w:highlight w:val="none"/>
          <w:u w:val="single"/>
        </w:rPr>
        <w:t xml:space="preserve">承包人应积极配合向监理人提供施工现场的办公用房和生活场所，其费用已包含在合同总价中</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4.2 监理人员</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总监理工程师：</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    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监理工程师执业资格证书号：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关于监理人的其他约定：</w:t>
      </w:r>
      <w:r>
        <w:rPr>
          <w:rFonts w:hint="eastAsia" w:ascii="仿宋" w:hAnsi="仿宋" w:eastAsia="仿宋" w:cs="仿宋"/>
          <w:color w:val="auto"/>
          <w:sz w:val="24"/>
          <w:szCs w:val="24"/>
          <w:highlight w:val="none"/>
          <w:u w:val="single"/>
        </w:rPr>
        <w:t xml:space="preserve">具体见监理合同</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4.3 商定或确定</w:t>
      </w:r>
      <w:r/>
    </w:p>
    <w:p>
      <w:pPr>
        <w:ind w:firstLine="420"/>
        <w:spacing w:line="360" w:lineRule="auto"/>
        <w:rPr>
          <w:rFonts w:hint="eastAsia" w:ascii="仿宋" w:hAnsi="仿宋" w:eastAsia="仿宋" w:cs="仿宋"/>
          <w:color w:val="auto"/>
          <w:sz w:val="24"/>
          <w:szCs w:val="24"/>
          <w:highlight w:val="none"/>
        </w:rPr>
      </w:pPr>
      <w:r/>
      <w:bookmarkStart w:id="225" w:name="_Toc267251418"/>
      <w:r>
        <w:rPr>
          <w:rFonts w:hint="eastAsia" w:ascii="仿宋" w:hAnsi="仿宋" w:eastAsia="仿宋" w:cs="仿宋"/>
          <w:color w:val="auto"/>
          <w:sz w:val="24"/>
          <w:szCs w:val="24"/>
          <w:highlight w:val="none"/>
        </w:rPr>
        <w:t xml:space="preserve">在发包人和承包人不能通过协商达成一致意见时，发包人授权监理人对以下事项进行确定：</w:t>
      </w:r>
      <w:r/>
    </w:p>
    <w:p>
      <w:pPr>
        <w:ind w:firstLine="420"/>
        <w:spacing w:line="360" w:lineRule="auto"/>
        <w:rPr>
          <w:rFonts w:hint="eastAsia" w:ascii="仿宋" w:hAnsi="仿宋" w:eastAsia="仿宋" w:cs="仿宋"/>
          <w:color w:val="auto"/>
          <w:sz w:val="24"/>
          <w:szCs w:val="24"/>
          <w:highlight w:val="none"/>
        </w:rPr>
      </w:pPr>
      <w:r/>
      <w:bookmarkStart w:id="226" w:name="_Toc351203637"/>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另行约定</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5</w:t>
      </w:r>
      <w:bookmarkEnd w:id="225"/>
      <w:r/>
      <w:bookmarkStart w:id="227" w:name="_Toc292559872"/>
      <w:r/>
      <w:bookmarkStart w:id="228" w:name="_Toc296503163"/>
      <w:r/>
      <w:bookmarkStart w:id="229" w:name="_Toc296944502"/>
      <w:r/>
      <w:bookmarkStart w:id="230" w:name="_Toc296891203"/>
      <w:r/>
      <w:bookmarkStart w:id="231" w:name="_Toc297120463"/>
      <w:r/>
      <w:bookmarkStart w:id="232" w:name="_Toc296346664"/>
      <w:r/>
      <w:bookmarkStart w:id="233" w:name="_Toc297048349"/>
      <w:r/>
      <w:bookmarkStart w:id="234" w:name="_Toc292559367"/>
      <w:r/>
      <w:bookmarkStart w:id="235" w:name="_Toc296347162"/>
      <w:r/>
      <w:bookmarkStart w:id="236" w:name="_Toc296890991"/>
      <w:r>
        <w:rPr>
          <w:rFonts w:hint="eastAsia" w:ascii="仿宋" w:hAnsi="仿宋" w:eastAsia="仿宋" w:cs="仿宋"/>
          <w:color w:val="auto"/>
          <w:sz w:val="24"/>
          <w:szCs w:val="24"/>
          <w:highlight w:val="none"/>
        </w:rPr>
        <w:t xml:space="preserve">. 工程质量</w:t>
      </w:r>
      <w:bookmarkEnd w:id="226"/>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5.1 质量要求</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5</w:t>
      </w:r>
      <w:bookmarkStart w:id="237" w:name="_Toc297216155"/>
      <w:r/>
      <w:bookmarkStart w:id="238" w:name="_Toc297123496"/>
      <w:r/>
      <w:bookmarkStart w:id="239" w:name="_Toc304295527"/>
      <w:r/>
      <w:bookmarkStart w:id="240" w:name="_Toc312677997"/>
      <w:r/>
      <w:bookmarkStart w:id="241" w:name="_Toc318581164"/>
      <w:r/>
      <w:bookmarkStart w:id="242" w:name="_Toc303539106"/>
      <w:r/>
      <w:bookmarkStart w:id="243" w:name="_Toc300934949"/>
      <w:r>
        <w:rPr>
          <w:rFonts w:hint="eastAsia" w:ascii="仿宋" w:hAnsi="仿宋" w:eastAsia="仿宋" w:cs="仿宋"/>
          <w:color w:val="auto"/>
          <w:sz w:val="24"/>
          <w:szCs w:val="24"/>
          <w:highlight w:val="none"/>
        </w:rPr>
        <w:t xml:space="preserve">.1.1 特殊质量标准和要求：</w:t>
      </w:r>
      <w:r>
        <w:rPr>
          <w:rFonts w:hint="eastAsia" w:ascii="仿宋" w:hAnsi="仿宋" w:eastAsia="仿宋" w:cs="仿宋"/>
          <w:color w:val="auto"/>
          <w:sz w:val="24"/>
          <w:szCs w:val="24"/>
          <w:highlight w:val="none"/>
          <w:u w:val="single"/>
        </w:rPr>
        <w:t xml:space="preserve"> 一次性验收合格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关于工程奖项的约定：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5.2 隐蔽工程检查</w:t>
      </w:r>
      <w:r/>
    </w:p>
    <w:p>
      <w:pPr>
        <w:ind w:firstLine="420"/>
        <w:spacing w:line="360" w:lineRule="auto"/>
        <w:rPr>
          <w:rFonts w:hint="eastAsia" w:ascii="仿宋" w:hAnsi="仿宋" w:eastAsia="仿宋" w:cs="仿宋"/>
          <w:color w:val="auto"/>
          <w:sz w:val="24"/>
          <w:szCs w:val="24"/>
          <w:highlight w:val="none"/>
        </w:rPr>
      </w:pPr>
      <w:r/>
      <w:bookmarkStart w:id="244" w:name="_Toc351203638"/>
      <w:r>
        <w:rPr>
          <w:rFonts w:hint="eastAsia" w:ascii="仿宋" w:hAnsi="仿宋" w:eastAsia="仿宋" w:cs="仿宋"/>
          <w:color w:val="auto"/>
          <w:sz w:val="24"/>
          <w:szCs w:val="24"/>
          <w:highlight w:val="none"/>
        </w:rPr>
        <w:t xml:space="preserve">5.2.1 承包人提前通知监理人隐蔽工程检查的期限的约定：</w:t>
      </w:r>
      <w:r>
        <w:rPr>
          <w:rFonts w:hint="eastAsia" w:ascii="仿宋" w:hAnsi="仿宋" w:eastAsia="仿宋" w:cs="仿宋"/>
          <w:color w:val="auto"/>
          <w:sz w:val="24"/>
          <w:szCs w:val="24"/>
          <w:highlight w:val="none"/>
          <w:u w:val="single"/>
        </w:rPr>
        <w:t xml:space="preserve">按质监部门的有关要求及通用条款规定执行</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监理人不能按时进行检查时，应提前</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小时提交书面延期要求。</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关于延期最长不得超过：</w:t>
      </w:r>
      <w:r>
        <w:rPr>
          <w:rFonts w:hint="eastAsia" w:ascii="仿宋" w:hAnsi="仿宋" w:eastAsia="仿宋" w:cs="仿宋"/>
          <w:color w:val="auto"/>
          <w:sz w:val="24"/>
          <w:szCs w:val="24"/>
          <w:highlight w:val="none"/>
          <w:u w:val="single"/>
        </w:rPr>
        <w:t xml:space="preserve"> 48 </w:t>
      </w:r>
      <w:r>
        <w:rPr>
          <w:rFonts w:hint="eastAsia" w:ascii="仿宋" w:hAnsi="仿宋" w:eastAsia="仿宋" w:cs="仿宋"/>
          <w:color w:val="auto"/>
          <w:sz w:val="24"/>
          <w:szCs w:val="24"/>
          <w:highlight w:val="none"/>
        </w:rPr>
        <w:t xml:space="preserve">小时。</w:t>
      </w:r>
      <w:r/>
    </w:p>
    <w:p>
      <w:pPr>
        <w:keepLines/>
        <w:keepNext/>
        <w:spacing w:before="164" w:after="164"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6. 安全文明施工与环境保护</w:t>
      </w:r>
      <w:bookmarkEnd w:id="244"/>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6.1 安全文明施工</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6.1.1 项目安全生产的达标目标及相应事项的约定：</w:t>
      </w:r>
      <w:r>
        <w:rPr>
          <w:rFonts w:hint="eastAsia" w:ascii="仿宋" w:hAnsi="仿宋" w:eastAsia="仿宋" w:cs="仿宋"/>
          <w:color w:val="auto"/>
          <w:sz w:val="24"/>
          <w:szCs w:val="24"/>
          <w:highlight w:val="none"/>
          <w:u w:val="single"/>
        </w:rPr>
        <w:t xml:space="preserve">承包人应遵守工程建设安全生产有关管理规定以及发包人相关安全生产规定，严格按安全标准组织施工，并随时接受行业安全检查人员依法实施的监督检查，采取必要的安全防护措施，消除事故隐患。其安全施工防护费用已</w:t>
      </w:r>
      <w:r>
        <w:rPr>
          <w:rFonts w:hint="eastAsia" w:ascii="仿宋" w:hAnsi="仿宋" w:eastAsia="仿宋" w:cs="仿宋"/>
          <w:color w:val="auto"/>
          <w:sz w:val="24"/>
          <w:szCs w:val="24"/>
          <w:highlight w:val="none"/>
          <w:u w:val="single"/>
        </w:rPr>
        <w:t xml:space="preserve">经含在合同价款内。本工程在整个施工期间杜绝一切人身伤亡和重大质量安全事故，如发生上述事故，则发包人视为承包人违约，承包人承担安全事故全部责任和费用；在施工期间每发生一起重伤事故，承包人除了接受政府相关部门处罚外，承包人应保证在整个合同履行过程中所用的全部工器具、设备、施工机械及现场设施等的安全、性能和状态完好，能够实现预定的作用，满足合同约定和业主代表的要求。与工程有关的大中型施工机械、现场变配电设备以及重要施工器具等的检修、维护须提前7天通知发包人、监理工程师。承包人必须服从发包人和总现场安全考核管理办法</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6.1.2 关于治安保卫的特别约定：</w:t>
      </w:r>
      <w:r>
        <w:rPr>
          <w:rFonts w:hint="eastAsia" w:ascii="仿宋" w:hAnsi="仿宋" w:eastAsia="仿宋" w:cs="仿宋"/>
          <w:color w:val="auto"/>
          <w:sz w:val="24"/>
          <w:szCs w:val="24"/>
          <w:highlight w:val="none"/>
          <w:u w:val="single"/>
        </w:rPr>
        <w:t xml:space="preserve">承包人应保证在整个合同履行过程中不发生民事或刑事案件，并承担施工安全保卫工作及非夜间施工照明的责任和要求：在实施和完成</w:t>
      </w:r>
      <w:r>
        <w:rPr>
          <w:rFonts w:hint="eastAsia" w:ascii="仿宋" w:hAnsi="仿宋" w:eastAsia="仿宋" w:cs="仿宋"/>
          <w:color w:val="auto"/>
          <w:sz w:val="24"/>
          <w:szCs w:val="24"/>
          <w:highlight w:val="none"/>
          <w:u w:val="single"/>
        </w:rPr>
        <w:t xml:space="preserve">本工程过程中，承包人应充分关注和保障所有在场人员的安全，承包人对安全防护工作负全责（包括但不限于责任和费用），并禁止非施工人员、车辆进入现场。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费用含在合同总价中。所有安全事故及责任，由承包人承担。如承包人未履行上述约定及通用条款相关义务造成工程、财产和人身伤害，由承包人承担责任，赔偿损失及支付发生的费用</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关于编制施工场地治安管理计划的约定：</w:t>
      </w:r>
      <w:r>
        <w:rPr>
          <w:rFonts w:hint="eastAsia" w:ascii="仿宋" w:hAnsi="仿宋" w:eastAsia="仿宋" w:cs="仿宋"/>
          <w:color w:val="auto"/>
          <w:sz w:val="24"/>
          <w:szCs w:val="24"/>
          <w:highlight w:val="none"/>
          <w:u w:val="single"/>
        </w:rPr>
        <w:t xml:space="preserve">承包人应在工程开工前编制施工场地治安管理计划，并制定应对突发治安事件的紧急预案上报发包人。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6.1.3 文明施工</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合同当事人对文明施工的要求：</w:t>
      </w:r>
      <w:r>
        <w:rPr>
          <w:rFonts w:hint="eastAsia" w:ascii="仿宋" w:hAnsi="仿宋" w:eastAsia="仿宋" w:cs="仿宋"/>
          <w:color w:val="auto"/>
          <w:sz w:val="24"/>
          <w:szCs w:val="24"/>
          <w:highlight w:val="none"/>
          <w:u w:val="single"/>
        </w:rPr>
        <w:t xml:space="preserve">按照《徐州市市区扬尘污染防治办</w:t>
      </w:r>
      <w:r>
        <w:rPr>
          <w:rFonts w:hint="eastAsia" w:ascii="仿宋" w:hAnsi="仿宋" w:eastAsia="仿宋" w:cs="仿宋"/>
          <w:color w:val="auto"/>
          <w:sz w:val="24"/>
          <w:szCs w:val="24"/>
          <w:highlight w:val="none"/>
          <w:u w:val="single"/>
        </w:rPr>
        <w:t xml:space="preserve">法》的要求，开工前15日内向项目所在地环境保护行政主管部门进行排污申报；施工工地一律实行封闭 施工、防尘网覆盖、定时洒水，控制扬尘污染等安全文明施工措施，制定并落实扬尘污染 防治措施；扬尘污染防治设施应当保持完好、正常运行，不得擅自拆除和闲置；确需 拆除和闲置的，应当报经环境保护行政主管部门批准；拆除、开挖后的建筑垃圾必须 当日清除，并且覆盖运输，如因建筑垃圾未及时清理或运输不当，造成工地周边扬尘。及其他给发包人带来不利影响的事件，承包人承诺每查实一次向发包人支付3000元违约金；造成损失的，由承包人承担。</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承包人应负责修建、维修、养护和管理施工所需的临时道路和交通设施，并承担相应 费用；承包人修建的临时道路和交通设施应免费提供给发包人、监理人和其他承包人使用。</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为保证道路交通安全及运输畅通,当施工期间，承包人必须与交通和公安部门协商，采取足够的交通疏导措施；承包人制定运输计划时，应避开现有道路上在高峰时的运输。投标人的扬尘防控环保要求必须符合严格按照现行有效文件执行。该费用已经包含在投标报价当中，结算不再增加此项费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6.1.4 关于安全文明施工费支付比例和支付期限的约定：</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bookmarkEnd w:id="237"/>
      <w:r/>
      <w:bookmarkEnd w:id="238"/>
      <w:r/>
      <w:bookmarkEnd w:id="239"/>
      <w:r/>
      <w:bookmarkEnd w:id="240"/>
      <w:r/>
      <w:bookmarkEnd w:id="241"/>
      <w:r/>
      <w:bookmarkEnd w:id="242"/>
      <w:r/>
      <w:bookmarkEnd w:id="243"/>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245" w:name="_Toc351203639"/>
      <w:r>
        <w:rPr>
          <w:rFonts w:hint="eastAsia" w:ascii="仿宋" w:hAnsi="仿宋" w:eastAsia="仿宋" w:cs="仿宋"/>
          <w:color w:val="auto"/>
          <w:sz w:val="24"/>
          <w:szCs w:val="24"/>
          <w:highlight w:val="none"/>
        </w:rPr>
        <w:t xml:space="preserve">7. 工期和进度</w:t>
      </w:r>
      <w:bookmarkEnd w:id="245"/>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7.1 施工组织设计</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7.1.1 合同当事人约定的施工组织设计应包括的其他内容：</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7.1.2 施工组织设计的提交和修改</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承包人提交详细施工组织设计的期限的约定：</w:t>
      </w:r>
      <w:r>
        <w:rPr>
          <w:rFonts w:hint="eastAsia" w:ascii="仿宋" w:hAnsi="仿宋" w:eastAsia="仿宋" w:cs="仿宋"/>
          <w:color w:val="auto"/>
          <w:sz w:val="24"/>
          <w:szCs w:val="24"/>
          <w:highlight w:val="none"/>
          <w:u w:val="single"/>
        </w:rPr>
        <w:t xml:space="preserve">承包人收到施工图后，应在七天内做出详细的施工组织设计及文明施工标准化现场方案，报发包人及总监审批，施工组织设计应包括全部设备、材料、成品、半成品等需求供应进场计划，人员安排、质保体系、安保体系、安全文明施工措施、施工机械设备配备情况，以及施工现场优化布置等内容，增加费用由承包人自行承担。发包人接到监理报来的施工组织设计（各工期节点不得迟于合同工期节点规定）后五天内组织审核批准或提出修改意见，发包人批准的施工组织设计可作为工程款的支付参考依据。</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发包人和监理人在收到详细的施工组织设计后确认或提出修改意见的期限：</w:t>
      </w:r>
      <w:r>
        <w:rPr>
          <w:rFonts w:hint="eastAsia" w:ascii="仿宋" w:hAnsi="仿宋" w:eastAsia="仿宋" w:cs="仿宋"/>
          <w:color w:val="auto"/>
          <w:sz w:val="24"/>
          <w:szCs w:val="24"/>
          <w:highlight w:val="none"/>
          <w:u w:val="single"/>
        </w:rPr>
        <w:t xml:space="preserve">收到需要确认的文件后7日内。工程师对施工组织设计和进度计划的任何确认、调整和修改意见不免除和减轻承包人的工期责任</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w:t>
      </w:r>
      <w:bookmarkStart w:id="246" w:name="_Toc300934966"/>
      <w:r/>
      <w:bookmarkStart w:id="247" w:name="_Toc297216173"/>
      <w:r/>
      <w:bookmarkStart w:id="248" w:name="_Toc304295541"/>
      <w:r/>
      <w:bookmarkStart w:id="249" w:name="_Toc312678005"/>
      <w:r/>
      <w:bookmarkStart w:id="250" w:name="_Toc303539123"/>
      <w:r/>
      <w:bookmarkStart w:id="251" w:name="_Toc297123514"/>
      <w:r/>
      <w:bookmarkStart w:id="252" w:name="_Toc312677479"/>
      <w:r>
        <w:rPr>
          <w:rFonts w:hint="eastAsia" w:ascii="仿宋" w:hAnsi="仿宋" w:eastAsia="仿宋" w:cs="仿宋"/>
          <w:color w:val="auto"/>
          <w:sz w:val="24"/>
          <w:szCs w:val="24"/>
          <w:highlight w:val="none"/>
        </w:rPr>
        <w:t xml:space="preserve">.2 施工进度计划</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7.2.1 施工进度计划的修订</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发包人和监理人在收到修订的施工进度计划后确认或提出修改意见的期限：</w:t>
      </w:r>
      <w:r>
        <w:rPr>
          <w:rFonts w:hint="eastAsia" w:ascii="仿宋" w:hAnsi="仿宋" w:eastAsia="仿宋" w:cs="仿宋"/>
          <w:color w:val="auto"/>
          <w:sz w:val="24"/>
          <w:szCs w:val="24"/>
          <w:highlight w:val="none"/>
          <w:u w:val="single"/>
        </w:rPr>
        <w:t xml:space="preserve"> 收到后一周内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7.3 开工</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7.3.1 开工准备</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关于承包人提交工程开工报审表的期限：</w:t>
      </w:r>
      <w:r>
        <w:rPr>
          <w:rFonts w:hint="eastAsia" w:ascii="仿宋" w:hAnsi="仿宋" w:eastAsia="仿宋" w:cs="仿宋"/>
          <w:color w:val="auto"/>
          <w:sz w:val="24"/>
          <w:szCs w:val="24"/>
          <w:highlight w:val="none"/>
          <w:u w:val="single"/>
        </w:rPr>
        <w:t xml:space="preserve"> 开工前14日内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关于发包人应完成的其他开工准备工作及期限：</w:t>
      </w:r>
      <w:r>
        <w:rPr>
          <w:rFonts w:hint="eastAsia" w:ascii="仿宋" w:hAnsi="仿宋" w:eastAsia="仿宋" w:cs="仿宋"/>
          <w:color w:val="auto"/>
          <w:sz w:val="24"/>
          <w:szCs w:val="24"/>
          <w:highlight w:val="none"/>
          <w:u w:val="single"/>
        </w:rPr>
        <w:t xml:space="preserve">协商办理</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关于承包人应完成的其他开工准备工作及期限：</w:t>
      </w:r>
      <w:r>
        <w:rPr>
          <w:rFonts w:hint="eastAsia" w:ascii="仿宋" w:hAnsi="仿宋" w:eastAsia="仿宋" w:cs="仿宋"/>
          <w:color w:val="auto"/>
          <w:sz w:val="24"/>
          <w:szCs w:val="24"/>
          <w:highlight w:val="none"/>
          <w:u w:val="single"/>
        </w:rPr>
        <w:t xml:space="preserve">协商办理</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7.3.2 开工通知</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因发包人原因造成监理人未能在计划开工日期之日起</w:t>
      </w:r>
      <w:r>
        <w:rPr>
          <w:rFonts w:hint="eastAsia" w:ascii="仿宋" w:hAnsi="仿宋" w:eastAsia="仿宋" w:cs="仿宋"/>
          <w:color w:val="auto"/>
          <w:sz w:val="24"/>
          <w:szCs w:val="24"/>
          <w:highlight w:val="none"/>
          <w:u w:val="single"/>
        </w:rPr>
        <w:t xml:space="preserve"> 90 </w:t>
      </w:r>
      <w:r>
        <w:rPr>
          <w:rFonts w:hint="eastAsia" w:ascii="仿宋" w:hAnsi="仿宋" w:eastAsia="仿宋" w:cs="仿宋"/>
          <w:color w:val="auto"/>
          <w:sz w:val="24"/>
          <w:szCs w:val="24"/>
          <w:highlight w:val="none"/>
        </w:rPr>
        <w:t xml:space="preserve">天内发出开工通知的，承包人有权提出价格调整要求，或者解除合同。</w:t>
      </w:r>
      <w:bookmarkEnd w:id="246"/>
      <w:r/>
      <w:bookmarkEnd w:id="247"/>
      <w:r/>
      <w:bookmarkEnd w:id="248"/>
      <w:r/>
      <w:bookmarkEnd w:id="249"/>
      <w:r/>
      <w:bookmarkEnd w:id="250"/>
      <w:r/>
      <w:bookmarkEnd w:id="251"/>
      <w:r/>
      <w:bookmarkEnd w:id="252"/>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7.4 测量放线</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7.4.1 发包人通过监理人向承包人提供测量基准点、基准线和水准点及其书面资料的期限：</w:t>
      </w:r>
      <w:r>
        <w:rPr>
          <w:rFonts w:hint="eastAsia" w:ascii="仿宋" w:hAnsi="仿宋" w:eastAsia="仿宋" w:cs="仿宋"/>
          <w:color w:val="auto"/>
          <w:sz w:val="24"/>
          <w:szCs w:val="24"/>
          <w:highlight w:val="none"/>
          <w:u w:val="single"/>
        </w:rPr>
        <w:t xml:space="preserve">开工前一周由发包人、承包人及总包单位在监理人见证下进行现场交验，并以书面形式提供给承包人。水准点、坐标控制点交验完毕，即由承包人自费负责保护，此后由于破坏或失准带来的重新测量、放点费用及由此造成的其他损失均由承包人承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w:t>
      </w:r>
      <w:bookmarkStart w:id="253" w:name="_Toc303539125"/>
      <w:r/>
      <w:bookmarkStart w:id="254" w:name="_Toc304295546"/>
      <w:r/>
      <w:bookmarkStart w:id="255" w:name="_Toc297216175"/>
      <w:r/>
      <w:bookmarkStart w:id="256" w:name="_Toc312677484"/>
      <w:r/>
      <w:bookmarkStart w:id="257" w:name="_Toc297123516"/>
      <w:r/>
      <w:bookmarkStart w:id="258" w:name="_Toc300934968"/>
      <w:r/>
      <w:bookmarkStart w:id="259" w:name="_Toc312678010"/>
      <w:r>
        <w:rPr>
          <w:rFonts w:hint="eastAsia" w:ascii="仿宋" w:hAnsi="仿宋" w:eastAsia="仿宋" w:cs="仿宋"/>
          <w:color w:val="auto"/>
          <w:sz w:val="24"/>
          <w:szCs w:val="24"/>
          <w:highlight w:val="none"/>
        </w:rPr>
        <w:t xml:space="preserve">.5 工期延误</w:t>
      </w:r>
      <w:bookmarkEnd w:id="253"/>
      <w:r/>
      <w:bookmarkEnd w:id="254"/>
      <w:r/>
      <w:bookmarkEnd w:id="255"/>
      <w:r/>
      <w:bookmarkEnd w:id="256"/>
      <w:r/>
      <w:bookmarkEnd w:id="257"/>
      <w:r/>
      <w:bookmarkEnd w:id="258"/>
      <w:r/>
      <w:bookmarkEnd w:id="259"/>
      <w:r/>
      <w:r/>
    </w:p>
    <w:p>
      <w:pPr>
        <w:ind w:firstLine="420"/>
        <w:spacing w:line="360" w:lineRule="auto"/>
        <w:rPr>
          <w:rFonts w:hint="eastAsia" w:ascii="仿宋" w:hAnsi="仿宋" w:eastAsia="仿宋" w:cs="仿宋"/>
          <w:color w:val="auto"/>
          <w:sz w:val="24"/>
          <w:szCs w:val="24"/>
          <w:highlight w:val="none"/>
        </w:rPr>
        <w:outlineLvl w:val="3"/>
      </w:pPr>
      <w:r/>
      <w:bookmarkStart w:id="260" w:name="_Toc312678014"/>
      <w:r/>
      <w:bookmarkStart w:id="261" w:name="_Toc318581171"/>
      <w:r>
        <w:rPr>
          <w:rFonts w:hint="eastAsia" w:ascii="仿宋" w:hAnsi="仿宋" w:eastAsia="仿宋" w:cs="仿宋"/>
          <w:color w:val="auto"/>
          <w:sz w:val="24"/>
          <w:szCs w:val="24"/>
          <w:highlight w:val="none"/>
        </w:rPr>
        <w:t xml:space="preserve">7.5.1 因发包人原因导致工期延误</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因发包人原因导致工期延误的其他情形：</w:t>
      </w:r>
      <w:r>
        <w:rPr>
          <w:rFonts w:hint="eastAsia" w:ascii="仿宋" w:hAnsi="仿宋" w:eastAsia="仿宋" w:cs="仿宋"/>
          <w:color w:val="auto"/>
          <w:sz w:val="24"/>
          <w:szCs w:val="24"/>
          <w:highlight w:val="none"/>
          <w:u w:val="single"/>
        </w:rPr>
        <w:t xml:space="preserve">由于发包人原因造成工期延误的，承包人应在情况发生后2天内，就延误的工期以书面报告向发包人提出。发包人在收到报告后14天内予以确认，逾期不予确认也不提出意见，视为同意顺延工期。上述工期顺延的情况，发包人不承担窝工、停工、机械进出场、台班费等在内的其它责任和费用。双方在确定竣工日期时，已充分考虑可能出现各种形式的雨雪、冰雹、台风、高温天气、停电、停水、节假日、扰民和民扰、道路施工影响等不利因素及发包人分包工程的合理工期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7</w:t>
      </w:r>
      <w:bookmarkStart w:id="262" w:name="_Toc312678012"/>
      <w:r/>
      <w:bookmarkStart w:id="263" w:name="_Toc312677486"/>
      <w:r/>
      <w:bookmarkStart w:id="264" w:name="_Toc318581169"/>
      <w:r/>
      <w:bookmarkStart w:id="265" w:name="_Toc304295548"/>
      <w:r/>
      <w:bookmarkStart w:id="266" w:name="_Toc297216177"/>
      <w:r/>
      <w:bookmarkStart w:id="267" w:name="_Toc297123518"/>
      <w:r/>
      <w:bookmarkStart w:id="268" w:name="_Toc300934970"/>
      <w:r/>
      <w:bookmarkStart w:id="269" w:name="_Toc303539127"/>
      <w:r>
        <w:rPr>
          <w:rFonts w:hint="eastAsia" w:ascii="仿宋" w:hAnsi="仿宋" w:eastAsia="仿宋" w:cs="仿宋"/>
          <w:color w:val="auto"/>
          <w:sz w:val="24"/>
          <w:szCs w:val="24"/>
          <w:highlight w:val="none"/>
        </w:rPr>
        <w:t xml:space="preserve">.5.2 因承包人原因导致工期延误</w:t>
      </w:r>
      <w:bookmarkEnd w:id="262"/>
      <w:r/>
      <w:bookmarkEnd w:id="263"/>
      <w:r/>
      <w:bookmarkEnd w:id="264"/>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w:t>
      </w:r>
      <w:bookmarkStart w:id="270" w:name="_Toc318581170"/>
      <w:r/>
      <w:bookmarkStart w:id="271" w:name="_Toc312677487"/>
      <w:r/>
      <w:bookmarkStart w:id="272" w:name="_Toc312678013"/>
      <w:r>
        <w:rPr>
          <w:rFonts w:hint="eastAsia" w:ascii="仿宋" w:hAnsi="仿宋" w:eastAsia="仿宋" w:cs="仿宋"/>
          <w:color w:val="auto"/>
          <w:sz w:val="24"/>
          <w:szCs w:val="24"/>
          <w:highlight w:val="none"/>
        </w:rPr>
        <w:t xml:space="preserve">承包人原因造成工期延误，逾期竣工违约金的计算方法为：</w:t>
      </w:r>
      <w:r>
        <w:rPr>
          <w:rFonts w:hint="eastAsia" w:ascii="仿宋" w:hAnsi="仿宋" w:eastAsia="仿宋" w:cs="仿宋"/>
          <w:color w:val="auto"/>
          <w:sz w:val="24"/>
          <w:szCs w:val="24"/>
          <w:highlight w:val="none"/>
          <w:u w:val="single"/>
        </w:rPr>
        <w:t xml:space="preserve">如承包人不能按合同约定工期完成合同工作内容而造成工期延误，应承担违约责任，并向发包人支付违约金，即按照合同工期每延误一天以合同总价的3‰计算违约金，累计延误工期天数不得超过30天；超过30天部分，承包人承诺每延误一天以合同总价的1%计算违约金；该违约金发包人从应向承包人支付的任何款项中扣除，此违约金的支付并不能解除承包人完成该工程的责任和合同规定的其他责任  </w:t>
      </w:r>
      <w:r>
        <w:rPr>
          <w:rFonts w:hint="eastAsia" w:ascii="仿宋" w:hAnsi="仿宋" w:eastAsia="仿宋" w:cs="仿宋"/>
          <w:color w:val="auto"/>
          <w:sz w:val="24"/>
          <w:szCs w:val="24"/>
          <w:highlight w:val="none"/>
        </w:rPr>
        <w:t xml:space="preserve">。</w:t>
      </w:r>
      <w:bookmarkEnd w:id="265"/>
      <w:r/>
      <w:bookmarkEnd w:id="266"/>
      <w:r/>
      <w:bookmarkEnd w:id="267"/>
      <w:r/>
      <w:bookmarkEnd w:id="268"/>
      <w:r/>
      <w:bookmarkEnd w:id="269"/>
      <w:r/>
      <w:bookmarkEnd w:id="270"/>
      <w:r/>
      <w:bookmarkEnd w:id="271"/>
      <w:r/>
      <w:bookmarkEnd w:id="272"/>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因承包人原因造成工期延误，逾期竣工违约金的上限：</w:t>
      </w:r>
      <w:r>
        <w:rPr>
          <w:rFonts w:hint="eastAsia" w:ascii="仿宋" w:hAnsi="仿宋" w:eastAsia="仿宋" w:cs="仿宋"/>
          <w:color w:val="auto"/>
          <w:sz w:val="24"/>
          <w:szCs w:val="24"/>
          <w:highlight w:val="none"/>
          <w:u w:val="single"/>
        </w:rPr>
        <w:t xml:space="preserve">合同总价的 5 % </w:t>
      </w:r>
      <w:r>
        <w:rPr>
          <w:rFonts w:hint="eastAsia" w:ascii="仿宋" w:hAnsi="仿宋" w:eastAsia="仿宋" w:cs="仿宋"/>
          <w:color w:val="auto"/>
          <w:sz w:val="24"/>
          <w:szCs w:val="24"/>
          <w:highlight w:val="none"/>
        </w:rPr>
        <w:t xml:space="preserve">。</w:t>
      </w:r>
      <w:bookmarkEnd w:id="260"/>
      <w:r/>
      <w:bookmarkEnd w:id="261"/>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w:t>
      </w:r>
      <w:bookmarkStart w:id="273" w:name="_Toc312678015"/>
      <w:r/>
      <w:bookmarkStart w:id="274" w:name="_Toc300934971"/>
      <w:r/>
      <w:bookmarkStart w:id="275" w:name="_Toc304295549"/>
      <w:r/>
      <w:bookmarkStart w:id="276" w:name="_Toc303539128"/>
      <w:r/>
      <w:bookmarkStart w:id="277" w:name="_Toc297216178"/>
      <w:r/>
      <w:bookmarkStart w:id="278" w:name="_Toc297123519"/>
      <w:r>
        <w:rPr>
          <w:rFonts w:hint="eastAsia" w:ascii="仿宋" w:hAnsi="仿宋" w:eastAsia="仿宋" w:cs="仿宋"/>
          <w:color w:val="auto"/>
          <w:sz w:val="24"/>
          <w:szCs w:val="24"/>
          <w:highlight w:val="none"/>
        </w:rPr>
        <w:t xml:space="preserve">.6 不</w:t>
      </w:r>
      <w:bookmarkEnd w:id="273"/>
      <w:r/>
      <w:bookmarkEnd w:id="274"/>
      <w:r/>
      <w:bookmarkEnd w:id="275"/>
      <w:r/>
      <w:bookmarkEnd w:id="276"/>
      <w:r/>
      <w:bookmarkEnd w:id="277"/>
      <w:r/>
      <w:bookmarkEnd w:id="278"/>
      <w:r>
        <w:rPr>
          <w:rFonts w:hint="eastAsia" w:ascii="仿宋" w:hAnsi="仿宋" w:eastAsia="仿宋" w:cs="仿宋"/>
          <w:color w:val="auto"/>
          <w:sz w:val="24"/>
          <w:szCs w:val="24"/>
          <w:highlight w:val="none"/>
        </w:rPr>
        <w:t xml:space="preserve">利物质条件</w:t>
      </w:r>
      <w:r/>
    </w:p>
    <w:p>
      <w:pPr>
        <w:ind w:firstLine="420"/>
        <w:spacing w:line="360" w:lineRule="auto"/>
        <w:rPr>
          <w:rFonts w:hint="eastAsia" w:ascii="仿宋" w:hAnsi="仿宋" w:eastAsia="仿宋" w:cs="仿宋"/>
          <w:color w:val="auto"/>
          <w:sz w:val="24"/>
          <w:szCs w:val="24"/>
          <w:highlight w:val="none"/>
        </w:rPr>
      </w:pPr>
      <w:r/>
      <w:bookmarkStart w:id="279" w:name="_Toc304295550"/>
      <w:r/>
      <w:bookmarkStart w:id="280" w:name="_Toc312678016"/>
      <w:r/>
      <w:bookmarkStart w:id="281" w:name="_Toc297216179"/>
      <w:r/>
      <w:bookmarkStart w:id="282" w:name="_Toc318581172"/>
      <w:r/>
      <w:bookmarkStart w:id="283" w:name="_Toc297123520"/>
      <w:r/>
      <w:bookmarkStart w:id="284" w:name="_Toc300934972"/>
      <w:r/>
      <w:bookmarkStart w:id="285" w:name="_Toc303539129"/>
      <w:r>
        <w:rPr>
          <w:rFonts w:hint="eastAsia" w:ascii="仿宋" w:hAnsi="仿宋" w:eastAsia="仿宋" w:cs="仿宋"/>
          <w:color w:val="auto"/>
          <w:sz w:val="24"/>
          <w:szCs w:val="24"/>
          <w:highlight w:val="none"/>
        </w:rPr>
        <w:t xml:space="preserve">不利物质条件的其他情形和有关约定：</w:t>
      </w:r>
      <w:r>
        <w:rPr>
          <w:rFonts w:hint="eastAsia" w:ascii="仿宋" w:hAnsi="仿宋" w:eastAsia="仿宋" w:cs="仿宋"/>
          <w:color w:val="auto"/>
          <w:sz w:val="24"/>
          <w:szCs w:val="24"/>
          <w:highlight w:val="none"/>
          <w:u w:val="single"/>
        </w:rPr>
        <w:t xml:space="preserve">招标文件中已明确或投标文件承包人承诺完成，但暂未计入报价的项目不作为顺延工期的理由。雨雪、冰雹、台风、高温天气、低温天气、停水、停电、节假日、扰民和民扰、市政影响等不利因素等在总工期内，不另外考虑。如遇国家和政府要求短期（临时）停工的，双方商量处理 </w:t>
      </w:r>
      <w:r>
        <w:rPr>
          <w:rFonts w:hint="eastAsia" w:ascii="仿宋" w:hAnsi="仿宋" w:eastAsia="仿宋" w:cs="仿宋"/>
          <w:color w:val="auto"/>
          <w:sz w:val="24"/>
          <w:szCs w:val="24"/>
          <w:highlight w:val="none"/>
        </w:rPr>
        <w:t xml:space="preserve">。</w:t>
      </w:r>
      <w:bookmarkEnd w:id="279"/>
      <w:r/>
      <w:bookmarkEnd w:id="280"/>
      <w:r/>
      <w:bookmarkEnd w:id="281"/>
      <w:r/>
      <w:bookmarkEnd w:id="282"/>
      <w:r/>
      <w:bookmarkEnd w:id="283"/>
      <w:r/>
      <w:bookmarkEnd w:id="284"/>
      <w:r/>
      <w:bookmarkEnd w:id="285"/>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w:t>
      </w:r>
      <w:bookmarkStart w:id="286" w:name="_Toc304295551"/>
      <w:r/>
      <w:bookmarkStart w:id="287" w:name="_Toc297123521"/>
      <w:r/>
      <w:bookmarkStart w:id="288" w:name="_Toc297216180"/>
      <w:r/>
      <w:bookmarkStart w:id="289" w:name="_Toc312678017"/>
      <w:r/>
      <w:bookmarkStart w:id="290" w:name="_Toc300934973"/>
      <w:r/>
      <w:bookmarkStart w:id="291" w:name="_Toc303539130"/>
      <w:r>
        <w:rPr>
          <w:rFonts w:hint="eastAsia" w:ascii="仿宋" w:hAnsi="仿宋" w:eastAsia="仿宋" w:cs="仿宋"/>
          <w:color w:val="auto"/>
          <w:sz w:val="24"/>
          <w:szCs w:val="24"/>
          <w:highlight w:val="none"/>
        </w:rPr>
        <w:t xml:space="preserve">.7 异常恶劣的气候条件</w:t>
      </w:r>
      <w:bookmarkEnd w:id="286"/>
      <w:r/>
      <w:bookmarkEnd w:id="287"/>
      <w:r/>
      <w:bookmarkEnd w:id="288"/>
      <w:r/>
      <w:bookmarkEnd w:id="289"/>
      <w:r/>
      <w:bookmarkEnd w:id="290"/>
      <w:r/>
      <w:bookmarkEnd w:id="291"/>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发包人和承包人同意以下情形视为异常恶劣的气候条件：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7.8 提前竣工的奖励</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7.8.1 提前竣工的奖励：</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292" w:name="_Toc351203640"/>
      <w:r>
        <w:rPr>
          <w:rFonts w:hint="eastAsia" w:ascii="仿宋" w:hAnsi="仿宋" w:eastAsia="仿宋" w:cs="仿宋"/>
          <w:color w:val="auto"/>
          <w:sz w:val="24"/>
          <w:szCs w:val="24"/>
          <w:highlight w:val="none"/>
        </w:rPr>
        <w:t xml:space="preserve">8. 材料与设备</w:t>
      </w:r>
      <w:bookmarkEnd w:id="227"/>
      <w:r/>
      <w:bookmarkEnd w:id="228"/>
      <w:r/>
      <w:bookmarkEnd w:id="229"/>
      <w:r/>
      <w:bookmarkEnd w:id="230"/>
      <w:r/>
      <w:bookmarkEnd w:id="231"/>
      <w:r/>
      <w:bookmarkEnd w:id="232"/>
      <w:r/>
      <w:bookmarkEnd w:id="233"/>
      <w:r/>
      <w:bookmarkEnd w:id="234"/>
      <w:r/>
      <w:bookmarkEnd w:id="235"/>
      <w:r/>
      <w:bookmarkEnd w:id="236"/>
      <w:r/>
      <w:bookmarkEnd w:id="292"/>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8</w:t>
      </w:r>
      <w:bookmarkStart w:id="293" w:name="_Toc296347166"/>
      <w:r/>
      <w:bookmarkStart w:id="294" w:name="_Toc296346668"/>
      <w:r/>
      <w:bookmarkStart w:id="295" w:name="_Toc312677493"/>
      <w:r/>
      <w:bookmarkStart w:id="296" w:name="_Toc297123527"/>
      <w:r/>
      <w:bookmarkStart w:id="297" w:name="_Toc292559877"/>
      <w:r/>
      <w:bookmarkStart w:id="298" w:name="_Toc303539136"/>
      <w:r/>
      <w:bookmarkStart w:id="299" w:name="_Toc296503167"/>
      <w:r/>
      <w:bookmarkStart w:id="300" w:name="_Toc292559372"/>
      <w:r/>
      <w:bookmarkStart w:id="301" w:name="_Toc300934979"/>
      <w:r/>
      <w:bookmarkStart w:id="302" w:name="_Toc297120467"/>
      <w:r/>
      <w:bookmarkStart w:id="303" w:name="_Toc296890995"/>
      <w:r/>
      <w:bookmarkStart w:id="304" w:name="_Toc312678019"/>
      <w:r/>
      <w:bookmarkStart w:id="305" w:name="_Toc296944506"/>
      <w:r/>
      <w:bookmarkStart w:id="306" w:name="_Toc280868654"/>
      <w:r/>
      <w:bookmarkStart w:id="307" w:name="_Toc304295556"/>
      <w:r/>
      <w:bookmarkStart w:id="308" w:name="_Toc297216186"/>
      <w:r/>
      <w:bookmarkStart w:id="309" w:name="_Toc297048353"/>
      <w:r/>
      <w:bookmarkStart w:id="310" w:name="_Toc296891207"/>
      <w:r/>
      <w:bookmarkStart w:id="311" w:name="_Toc267251424"/>
      <w:r/>
      <w:bookmarkStart w:id="312" w:name="_Toc280868655"/>
      <w:r/>
      <w:bookmarkStart w:id="313" w:name="_Toc280868656"/>
      <w:r>
        <w:rPr>
          <w:rFonts w:hint="eastAsia" w:ascii="仿宋" w:hAnsi="仿宋" w:eastAsia="仿宋" w:cs="仿宋"/>
          <w:color w:val="auto"/>
          <w:sz w:val="24"/>
          <w:szCs w:val="24"/>
          <w:highlight w:val="none"/>
        </w:rPr>
        <w:t xml:space="preserve">.4 材料与工程设备的保管与使用</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bookmarkStart w:id="314" w:name="_Toc292559878"/>
      <w:r/>
      <w:bookmarkStart w:id="315" w:name="_Toc292559373"/>
      <w:r/>
      <w:bookmarkStart w:id="316" w:name="_Toc303539137"/>
      <w:r/>
      <w:bookmarkStart w:id="317" w:name="_Toc296503168"/>
      <w:r/>
      <w:bookmarkStart w:id="318" w:name="_Toc300934980"/>
      <w:r/>
      <w:bookmarkStart w:id="319" w:name="_Toc304295557"/>
      <w:r/>
      <w:bookmarkStart w:id="320" w:name="_Toc297216187"/>
      <w:r/>
      <w:bookmarkStart w:id="321" w:name="_Toc296347167"/>
      <w:r/>
      <w:bookmarkStart w:id="322" w:name="_Toc297048354"/>
      <w:r/>
      <w:bookmarkStart w:id="323" w:name="_Toc296890996"/>
      <w:r/>
      <w:bookmarkStart w:id="324" w:name="_Toc297123528"/>
      <w:r/>
      <w:bookmarkStart w:id="325" w:name="_Toc312678020"/>
      <w:r/>
      <w:bookmarkStart w:id="326" w:name="_Toc318581173"/>
      <w:r/>
      <w:bookmarkStart w:id="327" w:name="_Toc296944507"/>
      <w:r/>
      <w:bookmarkStart w:id="328" w:name="_Toc296346669"/>
      <w:r/>
      <w:bookmarkStart w:id="329" w:name="_Toc312677494"/>
      <w:r/>
      <w:bookmarkStart w:id="330" w:name="_Toc297120468"/>
      <w:r/>
      <w:bookmarkStart w:id="331" w:name="_Toc296891208"/>
      <w:r>
        <w:rPr>
          <w:rFonts w:hint="eastAsia" w:ascii="仿宋" w:hAnsi="仿宋" w:eastAsia="仿宋" w:cs="仿宋"/>
          <w:color w:val="auto"/>
          <w:sz w:val="24"/>
          <w:szCs w:val="24"/>
          <w:highlight w:val="none"/>
        </w:rPr>
        <w:t xml:space="preserve">.4.1 发包人供应的材料设备的保管费用的承担：</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bookmarkEnd w:id="314"/>
      <w:r/>
      <w:bookmarkEnd w:id="315"/>
      <w:r/>
      <w:r/>
    </w:p>
    <w:p>
      <w:pPr>
        <w:ind w:firstLine="42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8.4.2 本工程检测费用的承担：</w:t>
      </w:r>
      <w:r>
        <w:rPr>
          <w:rFonts w:hint="eastAsia" w:ascii="仿宋" w:hAnsi="仿宋" w:eastAsia="仿宋" w:cs="仿宋"/>
          <w:b/>
          <w:color w:val="auto"/>
          <w:sz w:val="24"/>
          <w:szCs w:val="24"/>
          <w:highlight w:val="none"/>
          <w:u w:val="single"/>
        </w:rPr>
        <w:t xml:space="preserve">承包人承担，包含在投标报价中，发包人不在另行支付。</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8.5 样品</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8.5.1 样品的报送与封存</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需要承包人报送样品的材料或工程设备，样品的种类、名称、规格、数量要求：</w:t>
      </w:r>
      <w:r>
        <w:rPr>
          <w:rFonts w:hint="eastAsia" w:ascii="仿宋" w:hAnsi="仿宋" w:eastAsia="仿宋" w:cs="仿宋"/>
          <w:color w:val="auto"/>
          <w:sz w:val="24"/>
          <w:szCs w:val="24"/>
          <w:highlight w:val="none"/>
          <w:u w:val="single"/>
        </w:rPr>
        <w:t xml:space="preserve">用于本工程之任何材料的品质，在使用前必须得到发包人认可或批准。在施工前，承包人须提供各有关材料的样本作认可之用。发包人对任何样本之认可或批准，并不免除承包人对工程质量应付的责任和义务。承包人须提供发包人认可或批准的样本在工地，以便发包人核对作为以后验收工程的标准</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8.6 施工设备和临时设施</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8.6.1 承包人提供的施工设备和临时设施</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关于修建临时设施费用承担的约定：</w:t>
      </w:r>
      <w:r>
        <w:rPr>
          <w:rFonts w:hint="eastAsia" w:ascii="仿宋" w:hAnsi="仿宋" w:eastAsia="仿宋" w:cs="仿宋"/>
          <w:color w:val="auto"/>
          <w:sz w:val="24"/>
          <w:szCs w:val="24"/>
          <w:highlight w:val="none"/>
          <w:u w:val="single"/>
        </w:rPr>
        <w:t xml:space="preserve">由承包人自行承担，并包含在合同总价内  </w:t>
      </w:r>
      <w:r>
        <w:rPr>
          <w:rFonts w:hint="eastAsia" w:ascii="仿宋" w:hAnsi="仿宋" w:eastAsia="仿宋" w:cs="仿宋"/>
          <w:color w:val="auto"/>
          <w:sz w:val="24"/>
          <w:szCs w:val="24"/>
          <w:highlight w:val="none"/>
        </w:rPr>
        <w:t xml:space="preserve">。</w:t>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332" w:name="_Toc351203641"/>
      <w:r>
        <w:rPr>
          <w:rFonts w:hint="eastAsia" w:ascii="仿宋" w:hAnsi="仿宋" w:eastAsia="仿宋" w:cs="仿宋"/>
          <w:color w:val="auto"/>
          <w:sz w:val="24"/>
          <w:szCs w:val="24"/>
          <w:highlight w:val="none"/>
        </w:rPr>
        <w:t xml:space="preserve">9</w:t>
      </w:r>
      <w:bookmarkEnd w:id="311"/>
      <w:r/>
      <w:bookmarkEnd w:id="312"/>
      <w:r/>
      <w:bookmarkEnd w:id="313"/>
      <w:r/>
      <w:bookmarkStart w:id="333" w:name="_Toc303539139"/>
      <w:r/>
      <w:bookmarkStart w:id="334" w:name="_Toc312677495"/>
      <w:r/>
      <w:bookmarkStart w:id="335" w:name="_Toc297123533"/>
      <w:r/>
      <w:bookmarkStart w:id="336" w:name="_Toc300934982"/>
      <w:r/>
      <w:bookmarkStart w:id="337" w:name="_Toc312678021"/>
      <w:r/>
      <w:bookmarkStart w:id="338" w:name="_Toc304295559"/>
      <w:r/>
      <w:bookmarkStart w:id="339" w:name="_Toc297216192"/>
      <w:r/>
      <w:bookmarkStart w:id="340" w:name="_Toc292559883"/>
      <w:r/>
      <w:bookmarkStart w:id="341" w:name="_Toc296891001"/>
      <w:r/>
      <w:bookmarkStart w:id="342" w:name="_Toc297120473"/>
      <w:r/>
      <w:bookmarkStart w:id="343" w:name="_Toc296944512"/>
      <w:r/>
      <w:bookmarkStart w:id="344" w:name="_Toc297048359"/>
      <w:r/>
      <w:bookmarkStart w:id="345" w:name="_Toc296346674"/>
      <w:r/>
      <w:bookmarkStart w:id="346" w:name="_Toc292559378"/>
      <w:r/>
      <w:bookmarkStart w:id="347" w:name="_Toc267251428"/>
      <w:r/>
      <w:bookmarkStart w:id="348" w:name="_Toc296347172"/>
      <w:r/>
      <w:bookmarkStart w:id="349" w:name="_Toc296891213"/>
      <w:r/>
      <w:bookmarkStart w:id="350" w:name="_Toc296503173"/>
      <w:r/>
      <w:bookmarkStart w:id="351" w:name="_Toc267251427"/>
      <w:r>
        <w:rPr>
          <w:rFonts w:hint="eastAsia" w:ascii="仿宋" w:hAnsi="仿宋" w:eastAsia="仿宋" w:cs="仿宋"/>
          <w:color w:val="auto"/>
          <w:sz w:val="24"/>
          <w:szCs w:val="24"/>
          <w:highlight w:val="none"/>
        </w:rPr>
        <w:t xml:space="preserve">. 试验与检验</w:t>
      </w:r>
      <w:bookmarkEnd w:id="332"/>
      <w:r/>
      <w:bookmarkEnd w:id="333"/>
      <w:r/>
      <w:bookmarkEnd w:id="334"/>
      <w:r/>
      <w:bookmarkEnd w:id="335"/>
      <w:r/>
      <w:bookmarkEnd w:id="336"/>
      <w:r/>
      <w:bookmarkEnd w:id="337"/>
      <w:r/>
      <w:bookmarkEnd w:id="338"/>
      <w:r/>
      <w:bookmarkEnd w:id="339"/>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9</w:t>
      </w:r>
      <w:bookmarkStart w:id="352" w:name="_Toc297216193"/>
      <w:r/>
      <w:bookmarkStart w:id="353" w:name="_Toc312678022"/>
      <w:r/>
      <w:bookmarkStart w:id="354" w:name="_Toc297123534"/>
      <w:r/>
      <w:bookmarkStart w:id="355" w:name="_Toc300934983"/>
      <w:r/>
      <w:bookmarkStart w:id="356" w:name="_Toc304295560"/>
      <w:r/>
      <w:bookmarkStart w:id="357" w:name="_Toc303539140"/>
      <w:r/>
      <w:bookmarkStart w:id="358" w:name="_Toc312677496"/>
      <w:r>
        <w:rPr>
          <w:rFonts w:hint="eastAsia" w:ascii="仿宋" w:hAnsi="仿宋" w:eastAsia="仿宋" w:cs="仿宋"/>
          <w:color w:val="auto"/>
          <w:sz w:val="24"/>
          <w:szCs w:val="24"/>
          <w:highlight w:val="none"/>
        </w:rPr>
        <w:t xml:space="preserve">.1 试验设备与试验人员</w:t>
      </w:r>
      <w:bookmarkEnd w:id="352"/>
      <w:r/>
      <w:bookmarkEnd w:id="353"/>
      <w:r/>
      <w:bookmarkEnd w:id="354"/>
      <w:r/>
      <w:bookmarkEnd w:id="355"/>
      <w:r/>
      <w:bookmarkEnd w:id="356"/>
      <w:r/>
      <w:bookmarkEnd w:id="357"/>
      <w:r/>
      <w:bookmarkEnd w:id="358"/>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9</w:t>
      </w:r>
      <w:bookmarkStart w:id="359" w:name="_Toc304295561"/>
      <w:r/>
      <w:bookmarkStart w:id="360" w:name="_Toc297216194"/>
      <w:r/>
      <w:bookmarkStart w:id="361" w:name="_Toc312677497"/>
      <w:r/>
      <w:bookmarkStart w:id="362" w:name="_Toc312678023"/>
      <w:r/>
      <w:bookmarkStart w:id="363" w:name="_Toc297123535"/>
      <w:r/>
      <w:bookmarkStart w:id="364" w:name="_Toc303539141"/>
      <w:r/>
      <w:bookmarkStart w:id="365" w:name="_Toc300934984"/>
      <w:r/>
      <w:bookmarkStart w:id="366" w:name="_Toc318581174"/>
      <w:r>
        <w:rPr>
          <w:rFonts w:hint="eastAsia" w:ascii="仿宋" w:hAnsi="仿宋" w:eastAsia="仿宋" w:cs="仿宋"/>
          <w:color w:val="auto"/>
          <w:sz w:val="24"/>
          <w:szCs w:val="24"/>
          <w:highlight w:val="none"/>
        </w:rPr>
        <w:t xml:space="preserve">.1.1 试验设备</w:t>
      </w:r>
      <w:bookmarkEnd w:id="359"/>
      <w:r/>
      <w:bookmarkEnd w:id="360"/>
      <w:r/>
      <w:bookmarkEnd w:id="361"/>
      <w:r/>
      <w:bookmarkEnd w:id="362"/>
      <w:r/>
      <w:bookmarkEnd w:id="363"/>
      <w:r/>
      <w:bookmarkEnd w:id="364"/>
      <w:r/>
      <w:bookmarkEnd w:id="365"/>
      <w:r/>
      <w:r/>
    </w:p>
    <w:p>
      <w:pPr>
        <w:ind w:firstLine="420"/>
        <w:spacing w:line="360" w:lineRule="auto"/>
        <w:rPr>
          <w:rFonts w:hint="eastAsia" w:ascii="仿宋" w:hAnsi="仿宋" w:eastAsia="仿宋" w:cs="仿宋"/>
          <w:color w:val="auto"/>
          <w:sz w:val="24"/>
          <w:szCs w:val="24"/>
          <w:highlight w:val="none"/>
        </w:rPr>
      </w:pPr>
      <w:r/>
      <w:bookmarkStart w:id="367" w:name="_Toc297216195"/>
      <w:r/>
      <w:bookmarkStart w:id="368" w:name="_Toc312677498"/>
      <w:r/>
      <w:bookmarkStart w:id="369" w:name="_Toc300934985"/>
      <w:r/>
      <w:bookmarkStart w:id="370" w:name="_Toc304295562"/>
      <w:r/>
      <w:bookmarkStart w:id="371" w:name="_Toc297123536"/>
      <w:r/>
      <w:bookmarkStart w:id="372" w:name="_Toc303539142"/>
      <w:r/>
      <w:bookmarkStart w:id="373" w:name="_Toc312678024"/>
      <w:r>
        <w:rPr>
          <w:rFonts w:hint="eastAsia" w:ascii="仿宋" w:hAnsi="仿宋" w:eastAsia="仿宋" w:cs="仿宋"/>
          <w:color w:val="auto"/>
          <w:sz w:val="24"/>
          <w:szCs w:val="24"/>
          <w:highlight w:val="none"/>
        </w:rPr>
        <w:t xml:space="preserve">施工现场需要配置的试验场所：</w:t>
      </w:r>
      <w:r>
        <w:rPr>
          <w:rFonts w:hint="eastAsia" w:ascii="仿宋" w:hAnsi="仿宋" w:eastAsia="仿宋" w:cs="仿宋"/>
          <w:color w:val="auto"/>
          <w:sz w:val="24"/>
          <w:szCs w:val="24"/>
          <w:highlight w:val="none"/>
          <w:u w:val="single"/>
        </w:rPr>
        <w:t xml:space="preserve">由承包人根据工程情况自行设置建设  </w:t>
      </w:r>
      <w:r>
        <w:rPr>
          <w:rFonts w:hint="eastAsia" w:ascii="仿宋" w:hAnsi="仿宋" w:eastAsia="仿宋" w:cs="仿宋"/>
          <w:color w:val="auto"/>
          <w:sz w:val="24"/>
          <w:szCs w:val="24"/>
          <w:highlight w:val="non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施工现场需要配备的试验设备：</w:t>
      </w:r>
      <w:r>
        <w:rPr>
          <w:rFonts w:hint="eastAsia" w:ascii="仿宋" w:hAnsi="仿宋" w:eastAsia="仿宋" w:cs="仿宋"/>
          <w:color w:val="auto"/>
          <w:sz w:val="24"/>
          <w:szCs w:val="24"/>
          <w:highlight w:val="none"/>
          <w:u w:val="single"/>
        </w:rPr>
        <w:t xml:space="preserve">由承包人自行承担，并包含在合同总价内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施工现场需要具备的其他试验条件：</w:t>
      </w:r>
      <w:r>
        <w:rPr>
          <w:rFonts w:hint="eastAsia" w:ascii="仿宋" w:hAnsi="仿宋" w:eastAsia="仿宋" w:cs="仿宋"/>
          <w:color w:val="auto"/>
          <w:sz w:val="24"/>
          <w:szCs w:val="24"/>
          <w:highlight w:val="none"/>
          <w:u w:val="single"/>
        </w:rPr>
        <w:t xml:space="preserve">由承包人自行承担，并包含在合同总价内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9.2 现场工艺试验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现场工艺试验的有关约定：</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bookmarkEnd w:id="366"/>
      <w:r/>
      <w:bookmarkEnd w:id="367"/>
      <w:r/>
      <w:bookmarkEnd w:id="368"/>
      <w:r/>
      <w:bookmarkEnd w:id="369"/>
      <w:r/>
      <w:bookmarkEnd w:id="370"/>
      <w:r/>
      <w:bookmarkEnd w:id="371"/>
      <w:r/>
      <w:bookmarkEnd w:id="372"/>
      <w:r/>
      <w:bookmarkEnd w:id="373"/>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374" w:name="_Toc351203642"/>
      <w:r>
        <w:rPr>
          <w:rFonts w:hint="eastAsia" w:ascii="仿宋" w:hAnsi="仿宋" w:eastAsia="仿宋" w:cs="仿宋"/>
          <w:color w:val="auto"/>
          <w:sz w:val="24"/>
          <w:szCs w:val="24"/>
          <w:highlight w:val="none"/>
        </w:rPr>
        <w:t xml:space="preserve">1</w:t>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Start w:id="375" w:name="_Toc297048379"/>
      <w:r/>
      <w:bookmarkStart w:id="376" w:name="_Toc304295566"/>
      <w:r/>
      <w:bookmarkStart w:id="377" w:name="_Toc296346694"/>
      <w:r/>
      <w:bookmarkStart w:id="378" w:name="_Toc297216199"/>
      <w:r/>
      <w:bookmarkStart w:id="379" w:name="_Toc292559398"/>
      <w:r/>
      <w:bookmarkStart w:id="380" w:name="_Toc296944532"/>
      <w:r/>
      <w:bookmarkStart w:id="381" w:name="_Toc296891233"/>
      <w:r/>
      <w:bookmarkStart w:id="382" w:name="_Toc296347192"/>
      <w:r/>
      <w:bookmarkStart w:id="383" w:name="_Toc297123540"/>
      <w:r/>
      <w:bookmarkStart w:id="384" w:name="_Toc300934989"/>
      <w:r/>
      <w:bookmarkStart w:id="385" w:name="_Toc296891021"/>
      <w:r/>
      <w:bookmarkStart w:id="386" w:name="_Toc296503193"/>
      <w:r/>
      <w:bookmarkStart w:id="387" w:name="_Toc312678025"/>
      <w:r/>
      <w:bookmarkStart w:id="388" w:name="_Toc312677499"/>
      <w:r/>
      <w:bookmarkStart w:id="389" w:name="_Toc297120493"/>
      <w:r/>
      <w:bookmarkStart w:id="390" w:name="_Toc303539146"/>
      <w:r/>
      <w:bookmarkStart w:id="391" w:name="_Toc292559903"/>
      <w:r/>
      <w:bookmarkStart w:id="392" w:name="_Toc267251440"/>
      <w:r/>
      <w:bookmarkStart w:id="393" w:name="_Toc267251437"/>
      <w:r/>
      <w:bookmarkStart w:id="394" w:name="_Toc267251435"/>
      <w:r/>
      <w:bookmarkStart w:id="395" w:name="_Toc267251433"/>
      <w:r/>
      <w:bookmarkStart w:id="396" w:name="_Toc267251439"/>
      <w:r/>
      <w:bookmarkStart w:id="397" w:name="_Toc267251441"/>
      <w:r/>
      <w:bookmarkStart w:id="398" w:name="_Toc267251442"/>
      <w:r>
        <w:rPr>
          <w:rFonts w:hint="eastAsia" w:ascii="仿宋" w:hAnsi="仿宋" w:eastAsia="仿宋" w:cs="仿宋"/>
          <w:color w:val="auto"/>
          <w:sz w:val="24"/>
          <w:szCs w:val="24"/>
          <w:highlight w:val="none"/>
        </w:rPr>
        <w:t xml:space="preserve">0. 变更</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w:t>
      </w:r>
      <w:bookmarkStart w:id="399" w:name="_Toc296347193"/>
      <w:r/>
      <w:bookmarkStart w:id="400" w:name="_Toc303539147"/>
      <w:r/>
      <w:bookmarkStart w:id="401" w:name="_Toc297048380"/>
      <w:r/>
      <w:bookmarkStart w:id="402" w:name="_Toc296891234"/>
      <w:r/>
      <w:bookmarkStart w:id="403" w:name="_Toc297123541"/>
      <w:r/>
      <w:bookmarkStart w:id="404" w:name="_Toc297216200"/>
      <w:r/>
      <w:bookmarkStart w:id="405" w:name="_Toc312678026"/>
      <w:r/>
      <w:bookmarkStart w:id="406" w:name="_Toc304295567"/>
      <w:r/>
      <w:bookmarkStart w:id="407" w:name="_Toc297120494"/>
      <w:r/>
      <w:bookmarkStart w:id="408" w:name="_Toc296346695"/>
      <w:r/>
      <w:bookmarkStart w:id="409" w:name="_Toc296891022"/>
      <w:r/>
      <w:bookmarkStart w:id="410" w:name="_Toc292559399"/>
      <w:r/>
      <w:bookmarkStart w:id="411" w:name="_Toc296503194"/>
      <w:r/>
      <w:bookmarkStart w:id="412" w:name="_Toc300934990"/>
      <w:r/>
      <w:bookmarkStart w:id="413" w:name="_Toc292559904"/>
      <w:r/>
      <w:bookmarkStart w:id="414" w:name="_Toc296944533"/>
      <w:r/>
      <w:bookmarkStart w:id="415" w:name="_Toc312677500"/>
      <w:r>
        <w:rPr>
          <w:rFonts w:hint="eastAsia" w:ascii="仿宋" w:hAnsi="仿宋" w:eastAsia="仿宋" w:cs="仿宋"/>
          <w:color w:val="auto"/>
          <w:sz w:val="24"/>
          <w:szCs w:val="24"/>
          <w:highlight w:val="none"/>
        </w:rPr>
        <w:t xml:space="preserve">0.1 变更的范围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关于变更的范围的约定：</w:t>
      </w:r>
      <w:r>
        <w:rPr>
          <w:rFonts w:hint="eastAsia" w:ascii="仿宋" w:hAnsi="仿宋" w:eastAsia="仿宋" w:cs="仿宋"/>
          <w:color w:val="auto"/>
          <w:sz w:val="24"/>
          <w:szCs w:val="24"/>
          <w:highlight w:val="none"/>
          <w:u w:val="single"/>
        </w:rPr>
        <w:t xml:space="preserve">工程的设计变更由发包人提前通知监理、承包人，承包人应执行变更，工程变更、签证应先进行费用审批后实施</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10.2 变更估价</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10.2.1 变更估价原则</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关于变更估价的约定: </w:t>
      </w:r>
      <w:r>
        <w:rPr>
          <w:rFonts w:hint="eastAsia" w:ascii="仿宋" w:hAnsi="仿宋" w:eastAsia="仿宋" w:cs="仿宋"/>
          <w:color w:val="auto"/>
          <w:sz w:val="24"/>
          <w:szCs w:val="24"/>
          <w:highlight w:val="none"/>
          <w:u w:val="single"/>
        </w:rPr>
        <w:t xml:space="preserve">① 对承包人超出设计图纸（含设计变更）范围和因承包人原因造成返工的工程量，发包人不予计量；</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 对于发包人要求承包人完成合同以外的零星项目，承包人应在完成任务后7日内就用工数量和单价、机械台班数量和单价、使用材料和金额等向监理和发包人提出书面签证，发包人在收到经监理核准书面签证后7日内进行确认。承包人未在规定时间内提出书面签证，则视为放弃，逾期发包人不予办理；</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③ 所有涉及工程造价确定方面的资料（含所有的变更签证资料），必须经过发包人代表的书面确认后，方可作为竣工后价款结算的唯一依据。</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Start w:id="416" w:name="_Toc300934993"/>
      <w:r/>
      <w:bookmarkStart w:id="417" w:name="_Toc296347196"/>
      <w:r/>
      <w:bookmarkStart w:id="418" w:name="_Toc297123544"/>
      <w:r/>
      <w:bookmarkStart w:id="419" w:name="_Toc297120497"/>
      <w:r/>
      <w:bookmarkStart w:id="420" w:name="_Toc292559907"/>
      <w:r/>
      <w:bookmarkStart w:id="421" w:name="_Toc292559402"/>
      <w:r/>
      <w:bookmarkStart w:id="422" w:name="_Toc296944536"/>
      <w:r/>
      <w:bookmarkStart w:id="423" w:name="_Toc303539150"/>
      <w:r/>
      <w:bookmarkStart w:id="424" w:name="_Toc296891025"/>
      <w:r/>
      <w:bookmarkStart w:id="425" w:name="_Toc296891237"/>
      <w:r/>
      <w:bookmarkStart w:id="426" w:name="_Toc296503197"/>
      <w:r/>
      <w:bookmarkStart w:id="427" w:name="_Toc297048383"/>
      <w:r/>
      <w:bookmarkStart w:id="428" w:name="_Toc296346698"/>
      <w:r/>
      <w:bookmarkStart w:id="429" w:name="_Toc297216203"/>
      <w:r/>
      <w:bookmarkStart w:id="430" w:name="_Toc304295570"/>
      <w:r/>
      <w:bookmarkStart w:id="431" w:name="_Toc312677503"/>
      <w:r/>
      <w:bookmarkStart w:id="432" w:name="_Toc312678029"/>
      <w:r>
        <w:rPr>
          <w:rFonts w:hint="eastAsia" w:ascii="仿宋" w:hAnsi="仿宋" w:eastAsia="仿宋" w:cs="仿宋"/>
          <w:color w:val="auto"/>
          <w:sz w:val="24"/>
          <w:szCs w:val="24"/>
          <w:highlight w:val="none"/>
        </w:rPr>
        <w:t xml:space="preserve">0.3 承</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Start w:id="433" w:name="_Toc296346704"/>
      <w:r/>
      <w:bookmarkStart w:id="434" w:name="_Toc297048389"/>
      <w:r/>
      <w:bookmarkStart w:id="435" w:name="_Toc303539151"/>
      <w:r/>
      <w:bookmarkStart w:id="436" w:name="_Toc296944542"/>
      <w:r/>
      <w:bookmarkStart w:id="437" w:name="_Toc296347202"/>
      <w:r/>
      <w:bookmarkStart w:id="438" w:name="_Toc297123545"/>
      <w:r/>
      <w:bookmarkStart w:id="439" w:name="_Toc296891243"/>
      <w:r/>
      <w:bookmarkStart w:id="440" w:name="_Toc292559913"/>
      <w:r/>
      <w:bookmarkStart w:id="441" w:name="_Toc296503203"/>
      <w:r/>
      <w:bookmarkStart w:id="442" w:name="_Toc300934994"/>
      <w:r/>
      <w:bookmarkStart w:id="443" w:name="_Toc296891031"/>
      <w:r/>
      <w:bookmarkStart w:id="444" w:name="_Toc292559408"/>
      <w:r/>
      <w:bookmarkStart w:id="445" w:name="_Toc297216204"/>
      <w:r/>
      <w:bookmarkStart w:id="446" w:name="_Toc297120503"/>
      <w:r>
        <w:rPr>
          <w:rFonts w:hint="eastAsia" w:ascii="仿宋" w:hAnsi="仿宋" w:eastAsia="仿宋" w:cs="仿宋"/>
          <w:color w:val="auto"/>
          <w:sz w:val="24"/>
          <w:szCs w:val="24"/>
          <w:highlight w:val="none"/>
        </w:rPr>
        <w:t xml:space="preserve">包人的合理化建议</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监理人审查承包人合理化建议的期限：</w:t>
      </w:r>
      <w:r>
        <w:rPr>
          <w:rFonts w:hint="eastAsia" w:ascii="仿宋" w:hAnsi="仿宋" w:eastAsia="仿宋" w:cs="仿宋"/>
          <w:color w:val="auto"/>
          <w:sz w:val="24"/>
          <w:szCs w:val="24"/>
          <w:highlight w:val="none"/>
          <w:u w:val="single"/>
        </w:rPr>
        <w:t xml:space="preserve"> 7日内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发包人审批承包人合理化建议的期限：</w:t>
      </w:r>
      <w:r>
        <w:rPr>
          <w:rFonts w:hint="eastAsia" w:ascii="仿宋" w:hAnsi="仿宋" w:eastAsia="仿宋" w:cs="仿宋"/>
          <w:color w:val="auto"/>
          <w:sz w:val="24"/>
          <w:szCs w:val="24"/>
          <w:highlight w:val="none"/>
          <w:u w:val="single"/>
        </w:rPr>
        <w:t xml:space="preserve"> 7日内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w:t>
      </w:r>
      <w:bookmarkStart w:id="447" w:name="_Toc318581175"/>
      <w:r/>
      <w:bookmarkStart w:id="448" w:name="_Toc296944543"/>
      <w:r/>
      <w:bookmarkStart w:id="449" w:name="_Toc296346705"/>
      <w:r/>
      <w:bookmarkStart w:id="450" w:name="_Toc292559914"/>
      <w:r/>
      <w:bookmarkStart w:id="451" w:name="_Toc312678030"/>
      <w:r/>
      <w:bookmarkStart w:id="452" w:name="_Toc296891032"/>
      <w:r/>
      <w:bookmarkStart w:id="453" w:name="_Toc304295571"/>
      <w:r/>
      <w:bookmarkStart w:id="454" w:name="_Toc297048390"/>
      <w:r/>
      <w:bookmarkStart w:id="455" w:name="_Toc312677504"/>
      <w:r/>
      <w:bookmarkStart w:id="456" w:name="_Toc297123546"/>
      <w:r/>
      <w:bookmarkStart w:id="457" w:name="_Toc303539152"/>
      <w:r/>
      <w:bookmarkStart w:id="458" w:name="_Toc297120504"/>
      <w:r/>
      <w:bookmarkStart w:id="459" w:name="_Toc296347203"/>
      <w:r/>
      <w:bookmarkStart w:id="460" w:name="_Toc292559409"/>
      <w:r/>
      <w:bookmarkStart w:id="461" w:name="_Toc296891244"/>
      <w:r/>
      <w:bookmarkStart w:id="462" w:name="_Toc300934995"/>
      <w:r/>
      <w:bookmarkStart w:id="463" w:name="_Toc297216205"/>
      <w:r/>
      <w:bookmarkStart w:id="464" w:name="_Toc296503204"/>
      <w:r>
        <w:rPr>
          <w:rFonts w:hint="eastAsia" w:ascii="仿宋" w:hAnsi="仿宋" w:eastAsia="仿宋" w:cs="仿宋"/>
          <w:color w:val="auto"/>
          <w:sz w:val="24"/>
          <w:szCs w:val="24"/>
          <w:highlight w:val="none"/>
        </w:rPr>
        <w:t xml:space="preserve">包人提出的合理化建议降低了合同价格或者提高了工程经济效益的奖励的方法和金额为：</w:t>
      </w:r>
      <w:r>
        <w:rPr>
          <w:rFonts w:hint="eastAsia" w:ascii="仿宋" w:hAnsi="仿宋" w:eastAsia="仿宋" w:cs="仿宋"/>
          <w:color w:val="auto"/>
          <w:sz w:val="24"/>
          <w:szCs w:val="24"/>
          <w:highlight w:val="none"/>
          <w:u w:val="single"/>
        </w:rPr>
        <w:t xml:space="preserve"> 另行协商 </w:t>
      </w:r>
      <w:r>
        <w:rPr>
          <w:rFonts w:hint="eastAsia" w:ascii="仿宋" w:hAnsi="仿宋" w:eastAsia="仿宋" w:cs="仿宋"/>
          <w:color w:val="auto"/>
          <w:sz w:val="24"/>
          <w:szCs w:val="24"/>
          <w:highlight w:val="none"/>
        </w:rPr>
        <w:t xml:space="preserve">。</w:t>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w:t>
      </w:r>
      <w:bookmarkStart w:id="465" w:name="_Toc297120499"/>
      <w:r/>
      <w:bookmarkStart w:id="466" w:name="_Toc296891239"/>
      <w:r/>
      <w:bookmarkStart w:id="467" w:name="_Toc304295574"/>
      <w:r/>
      <w:bookmarkStart w:id="468" w:name="_Toc303539154"/>
      <w:r/>
      <w:bookmarkStart w:id="469" w:name="_Toc312678033"/>
      <w:r/>
      <w:bookmarkStart w:id="470" w:name="_Toc300934997"/>
      <w:r/>
      <w:bookmarkStart w:id="471" w:name="_Toc292559404"/>
      <w:r/>
      <w:bookmarkStart w:id="472" w:name="_Toc296944538"/>
      <w:r/>
      <w:bookmarkStart w:id="473" w:name="_Toc296503199"/>
      <w:r/>
      <w:bookmarkStart w:id="474" w:name="_Toc296346700"/>
      <w:r/>
      <w:bookmarkStart w:id="475" w:name="_Toc296891027"/>
      <w:r/>
      <w:bookmarkStart w:id="476" w:name="_Toc297123548"/>
      <w:r/>
      <w:bookmarkStart w:id="477" w:name="_Toc297216207"/>
      <w:r/>
      <w:bookmarkStart w:id="478" w:name="_Toc296347198"/>
      <w:r/>
      <w:bookmarkStart w:id="479" w:name="_Toc297048385"/>
      <w:r/>
      <w:bookmarkStart w:id="480" w:name="_Toc312677507"/>
      <w:r/>
      <w:bookmarkStart w:id="481" w:name="_Toc292559909"/>
      <w:r>
        <w:rPr>
          <w:rFonts w:hint="eastAsia" w:ascii="仿宋" w:hAnsi="仿宋" w:eastAsia="仿宋" w:cs="仿宋"/>
          <w:color w:val="auto"/>
          <w:sz w:val="24"/>
          <w:szCs w:val="24"/>
          <w:highlight w:val="none"/>
        </w:rPr>
        <w:t xml:space="preserve">0.4 暂估价</w:t>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暂</w:t>
      </w:r>
      <w:bookmarkStart w:id="482" w:name="_Toc312677508"/>
      <w:r/>
      <w:bookmarkStart w:id="483" w:name="_Toc312678034"/>
      <w:r/>
      <w:bookmarkStart w:id="484" w:name="_Toc318581176"/>
      <w:r>
        <w:rPr>
          <w:rFonts w:hint="eastAsia" w:ascii="仿宋" w:hAnsi="仿宋" w:eastAsia="仿宋" w:cs="仿宋"/>
          <w:color w:val="auto"/>
          <w:sz w:val="24"/>
          <w:szCs w:val="24"/>
          <w:highlight w:val="none"/>
        </w:rPr>
        <w:t xml:space="preserve">估价材料和工程设备的明细详见附件11：《暂估价一览表》。</w:t>
      </w:r>
      <w:bookmarkEnd w:id="482"/>
      <w:r/>
      <w:bookmarkEnd w:id="483"/>
      <w:r/>
      <w:bookmarkEnd w:id="484"/>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w:t>
      </w:r>
      <w:bookmarkStart w:id="485" w:name="_Toc312677509"/>
      <w:r/>
      <w:bookmarkStart w:id="486" w:name="_Toc318581177"/>
      <w:r/>
      <w:bookmarkStart w:id="487" w:name="_Toc312678035"/>
      <w:r>
        <w:rPr>
          <w:rFonts w:hint="eastAsia" w:ascii="仿宋" w:hAnsi="仿宋" w:eastAsia="仿宋" w:cs="仿宋"/>
          <w:color w:val="auto"/>
          <w:sz w:val="24"/>
          <w:szCs w:val="24"/>
          <w:highlight w:val="none"/>
        </w:rPr>
        <w:t xml:space="preserve">0.4.1 依法必须招标的暂估价项目</w:t>
      </w:r>
      <w:bookmarkEnd w:id="485"/>
      <w:r/>
      <w:bookmarkEnd w:id="486"/>
      <w:r/>
      <w:bookmarkEnd w:id="487"/>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对于依法必须招标的暂估价项目的确认和批准采取第</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种方式确定。</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10.4.2 不属于依法必须招标的暂估价项目</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对于不属于依法必须招标的暂估价项目的确认和批准采取第</w:t>
      </w:r>
      <w:r>
        <w:rPr>
          <w:rFonts w:hint="eastAsia" w:ascii="仿宋" w:hAnsi="仿宋" w:eastAsia="仿宋" w:cs="仿宋"/>
          <w:color w:val="auto"/>
          <w:sz w:val="24"/>
          <w:szCs w:val="24"/>
          <w:highlight w:val="none"/>
          <w:u w:val="single"/>
        </w:rPr>
        <w:t xml:space="preserve">  3  </w:t>
      </w:r>
      <w:r>
        <w:rPr>
          <w:rFonts w:hint="eastAsia" w:ascii="仿宋" w:hAnsi="仿宋" w:eastAsia="仿宋" w:cs="仿宋"/>
          <w:color w:val="auto"/>
          <w:sz w:val="24"/>
          <w:szCs w:val="24"/>
          <w:highlight w:val="none"/>
        </w:rPr>
        <w:t xml:space="preserve">种方式确定。</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第3种方式：承包人直接实施的暂估价项目</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承包人直接实施的暂估价项目的约定：</w:t>
      </w:r>
      <w:r>
        <w:rPr>
          <w:rFonts w:hint="eastAsia" w:ascii="仿宋" w:hAnsi="仿宋" w:eastAsia="仿宋" w:cs="仿宋"/>
          <w:b/>
          <w:color w:val="auto"/>
          <w:sz w:val="24"/>
          <w:szCs w:val="24"/>
          <w:highlight w:val="none"/>
          <w:u w:val="single"/>
        </w:rPr>
        <w:t xml:space="preserve">材料暂估价中所有材料，施工过程中由发包方负责采购，费用由工程款支付</w:t>
      </w:r>
      <w:r>
        <w:rPr>
          <w:rFonts w:hint="eastAsia" w:ascii="仿宋" w:hAnsi="仿宋" w:eastAsia="仿宋" w:cs="仿宋"/>
          <w:b/>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10.5 暂列金额</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合同当事人关于暂列金额使用的约定：</w:t>
      </w:r>
      <w:r>
        <w:rPr>
          <w:rFonts w:hint="eastAsia" w:ascii="仿宋" w:hAnsi="仿宋" w:eastAsia="仿宋" w:cs="仿宋"/>
          <w:color w:val="auto"/>
          <w:sz w:val="24"/>
          <w:szCs w:val="24"/>
          <w:highlight w:val="none"/>
          <w:u w:val="single"/>
        </w:rPr>
        <w:t xml:space="preserve">如有，暂列金额应按照发包人的要求使用，发包人的要求应通过监理人发出，承包人应对发包人发出的要求进行响应</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488" w:name="_Toc351203643"/>
      <w:r>
        <w:rPr>
          <w:rFonts w:hint="eastAsia" w:ascii="仿宋" w:hAnsi="仿宋" w:eastAsia="仿宋" w:cs="仿宋"/>
          <w:color w:val="auto"/>
          <w:sz w:val="24"/>
          <w:szCs w:val="24"/>
          <w:highlight w:val="none"/>
        </w:rPr>
        <w:t xml:space="preserve">11. 价格调整</w:t>
      </w:r>
      <w:bookmarkEnd w:id="488"/>
      <w:r/>
      <w:r/>
    </w:p>
    <w:p>
      <w:pPr>
        <w:ind w:firstLine="420"/>
        <w:spacing w:line="360" w:lineRule="auto"/>
        <w:rPr>
          <w:rFonts w:hint="eastAsia" w:ascii="仿宋" w:hAnsi="仿宋" w:eastAsia="仿宋" w:cs="仿宋"/>
          <w:color w:val="auto"/>
          <w:sz w:val="24"/>
          <w:szCs w:val="24"/>
          <w:highlight w:val="none"/>
        </w:rPr>
        <w:outlineLvl w:val="2"/>
      </w:pPr>
      <w:r/>
      <w:bookmarkStart w:id="489" w:name="_Toc296347200"/>
      <w:r/>
      <w:bookmarkStart w:id="490" w:name="_Toc296346702"/>
      <w:r/>
      <w:bookmarkStart w:id="491" w:name="_Toc297123550"/>
      <w:r/>
      <w:bookmarkStart w:id="492" w:name="_Toc304295577"/>
      <w:r/>
      <w:bookmarkStart w:id="493" w:name="_Toc296944540"/>
      <w:r/>
      <w:bookmarkStart w:id="494" w:name="_Toc292559406"/>
      <w:r/>
      <w:bookmarkStart w:id="495" w:name="_Toc300935000"/>
      <w:r/>
      <w:bookmarkStart w:id="496" w:name="_Toc296891029"/>
      <w:r/>
      <w:bookmarkStart w:id="497" w:name="_Toc296503201"/>
      <w:r/>
      <w:bookmarkStart w:id="498" w:name="_Toc312678039"/>
      <w:r/>
      <w:bookmarkStart w:id="499" w:name="_Toc296891241"/>
      <w:r/>
      <w:bookmarkStart w:id="500" w:name="_Toc297216209"/>
      <w:r/>
      <w:bookmarkStart w:id="501" w:name="_Toc297120501"/>
      <w:r/>
      <w:bookmarkStart w:id="502" w:name="_Toc292559911"/>
      <w:r/>
      <w:bookmarkStart w:id="503" w:name="_Toc303539157"/>
      <w:r/>
      <w:bookmarkStart w:id="504" w:name="_Toc297048387"/>
      <w:r>
        <w:rPr>
          <w:rFonts w:hint="eastAsia" w:ascii="仿宋" w:hAnsi="仿宋" w:eastAsia="仿宋" w:cs="仿宋"/>
          <w:color w:val="auto"/>
          <w:sz w:val="24"/>
          <w:szCs w:val="24"/>
          <w:highlight w:val="none"/>
        </w:rPr>
        <w:t xml:space="preserve">11.1 市场价格波动引起的调整</w:t>
      </w:r>
      <w:bookmarkEnd w:id="392"/>
      <w:r/>
      <w:bookmarkEnd w:id="393"/>
      <w:r/>
      <w:bookmarkEnd w:id="394"/>
      <w:r/>
      <w:bookmarkEnd w:id="395"/>
      <w:r/>
      <w:bookmarkEnd w:id="396"/>
      <w:r/>
      <w:bookmarkEnd w:id="397"/>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r/>
    </w:p>
    <w:p>
      <w:pPr>
        <w:ind w:firstLine="420"/>
        <w:spacing w:line="360" w:lineRule="auto"/>
        <w:rPr>
          <w:rFonts w:hint="eastAsia" w:ascii="仿宋" w:hAnsi="仿宋" w:eastAsia="仿宋" w:cs="仿宋"/>
          <w:color w:val="auto"/>
          <w:sz w:val="24"/>
          <w:szCs w:val="24"/>
          <w:highlight w:val="none"/>
        </w:rPr>
      </w:pPr>
      <w:r/>
      <w:bookmarkStart w:id="505" w:name="_Toc296944544"/>
      <w:r/>
      <w:bookmarkStart w:id="506" w:name="_Toc297120505"/>
      <w:r/>
      <w:bookmarkStart w:id="507" w:name="_Toc292559915"/>
      <w:r/>
      <w:bookmarkStart w:id="508" w:name="_Toc296346706"/>
      <w:r/>
      <w:bookmarkStart w:id="509" w:name="_Toc292559410"/>
      <w:r/>
      <w:bookmarkStart w:id="510" w:name="_Toc296891033"/>
      <w:r/>
      <w:bookmarkStart w:id="511" w:name="_Toc296503205"/>
      <w:r/>
      <w:bookmarkStart w:id="512" w:name="_Toc297048391"/>
      <w:r/>
      <w:bookmarkStart w:id="513" w:name="_Toc296347204"/>
      <w:r/>
      <w:bookmarkStart w:id="514" w:name="_Toc296891245"/>
      <w:r/>
      <w:bookmarkStart w:id="515" w:name="_Toc300935002"/>
      <w:r/>
      <w:bookmarkStart w:id="516" w:name="_Toc303539159"/>
      <w:r/>
      <w:bookmarkStart w:id="517" w:name="_Toc297216211"/>
      <w:r/>
      <w:bookmarkStart w:id="518" w:name="_Toc297123552"/>
      <w:r/>
      <w:bookmarkStart w:id="519" w:name="_Toc351203644"/>
      <w:r/>
      <w:bookmarkStart w:id="520" w:name="_Toc312678040"/>
      <w:r/>
      <w:bookmarkStart w:id="521" w:name="_Toc304295579"/>
      <w:r>
        <w:rPr>
          <w:rFonts w:hint="eastAsia" w:ascii="仿宋" w:hAnsi="仿宋" w:eastAsia="仿宋" w:cs="仿宋"/>
          <w:color w:val="auto"/>
          <w:sz w:val="24"/>
          <w:szCs w:val="24"/>
          <w:highlight w:val="none"/>
        </w:rPr>
        <w:t xml:space="preserve">市场价格波动是否调整合同价格的约定：</w:t>
      </w:r>
      <w:r>
        <w:rPr>
          <w:rFonts w:hint="eastAsia" w:ascii="仿宋" w:hAnsi="仿宋" w:eastAsia="仿宋" w:cs="仿宋"/>
          <w:color w:val="auto"/>
          <w:sz w:val="24"/>
          <w:szCs w:val="24"/>
          <w:highlight w:val="none"/>
          <w:u w:val="single"/>
        </w:rPr>
        <w:t xml:space="preserve">除约定的调整范围外，其他材料、设备、机械费用等市场价格变化在投标综合单价里已考虑，不做调整，除不可抗力以外的其他风险</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因市场价格波动调整合同价格，采用以下第</w:t>
      </w:r>
      <w:r>
        <w:rPr>
          <w:rFonts w:hint="eastAsia" w:ascii="仿宋" w:hAnsi="仿宋" w:eastAsia="仿宋" w:cs="仿宋"/>
          <w:color w:val="auto"/>
          <w:sz w:val="24"/>
          <w:szCs w:val="24"/>
          <w:highlight w:val="none"/>
          <w:u w:val="single"/>
        </w:rPr>
        <w:t xml:space="preserve">  3  </w:t>
      </w:r>
      <w:r>
        <w:rPr>
          <w:rFonts w:hint="eastAsia" w:ascii="仿宋" w:hAnsi="仿宋" w:eastAsia="仿宋" w:cs="仿宋"/>
          <w:color w:val="auto"/>
          <w:sz w:val="24"/>
          <w:szCs w:val="24"/>
          <w:highlight w:val="none"/>
        </w:rPr>
        <w:t xml:space="preserve">种方式对合同价格进行调整：</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第1种方式：采用价格指数进行价格调整。</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关于各可调因子、定值和变值权重，以及基本价格指数及其来源的约定：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  </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第2种方式：采用造价信息进行价格调整。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关于基准价格的约定：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%时，或材料单价跌幅以已标价工程量清单或预算书中载明材料单价为基础超过%时，其超过部分据实调整。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②承包人在已标价工程量清单或预算书中载明的材料单价高于基准价格的：专用合同条款合同履行期间材料单价跌幅以基准价格为基础超过</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%时，材料单价涨幅以已标价工程量清单或预算书中载明材料单价为基础超过</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%时，其超过部分据实调整。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③承包人在已标价工程量清单或预算书中载明的材料单价等于基准单价的：专用合同条款合同履行期间材料单价涨跌幅以基准单价为基础超过±%时，其超过部分据实调整。</w:t>
      </w:r>
      <w:r/>
    </w:p>
    <w:p>
      <w:pPr>
        <w:ind w:firstLine="420"/>
        <w:spacing w:line="360" w:lineRule="auto"/>
        <w:rPr>
          <w:rFonts w:hint="eastAsia" w:ascii="仿宋" w:hAnsi="仿宋" w:eastAsia="仿宋" w:cs="仿宋"/>
          <w:color w:val="auto"/>
          <w:sz w:val="24"/>
          <w:szCs w:val="24"/>
          <w:highlight w:val="none"/>
          <w:u w:val="single"/>
        </w:rPr>
        <w:outlineLvl w:val="3"/>
      </w:pPr>
      <w:r>
        <w:rPr>
          <w:rFonts w:hint="eastAsia" w:ascii="仿宋" w:hAnsi="仿宋" w:eastAsia="仿宋" w:cs="仿宋"/>
          <w:color w:val="auto"/>
          <w:sz w:val="24"/>
          <w:szCs w:val="24"/>
          <w:highlight w:val="none"/>
        </w:rPr>
        <w:t xml:space="preserve">第3种方式：其他价格调整方式：</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签证、变更、变动后的子目或漏项的综合单价，按以下办法调整：⑴工程量清单中已有工作内容和价格组成相同于变更子目或单项的综合单价时，按合同已有综合单价执行；⑵工程量清单中只有工作内容和价格组成类似于变更子目或单项的综合单价时，可以参照类似综合单价，由双方协商调整后确定变更的综合单价；⑶工程量清单中没有工作内容和价格组成相同或类似于变更子目或单项的综合单价时，由承包人按投标时的计价标准及投标费率编制变更综合单价报送监理工程师复核，最终由发包人、监理、跟踪审计共同确定变更的综合单价。 </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 xml:space="preserve">2、</w:t>
      </w:r>
      <w:r>
        <w:rPr>
          <w:rFonts w:hint="eastAsia" w:ascii="仿宋" w:hAnsi="仿宋" w:eastAsia="仿宋" w:cs="仿宋"/>
          <w:color w:val="auto"/>
          <w:sz w:val="24"/>
          <w:szCs w:val="24"/>
          <w:highlight w:val="none"/>
          <w:u w:val="single"/>
        </w:rPr>
        <w:t xml:space="preserve">根据苏建价〔2008〕67号《关于加强建筑材料价格风险控制的指导意见》规定：</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主要建筑材料差价的取定：应以工程所在地造价管理部门发布的材料指导价格为基准（缺指导价的材料以双方确认的市场信息价为准），差价为施工期同类材料加权平均指导价格与合同工程基准期（招标工程为递交投标文件截止日期前28天）当月的材料指导价格的差额。</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施工期材料加权平均指导价按下列公式计算：施工期材料加权平均指导价=Σ（每月实际使用量×当月材料指导价）/同类材料总用量。3、因发包人原因造成工期延误的，延误期间发生的材料价格上涨差额由发包人承担；因承包人原因造成工期延误的，延误期间发生的材料价格上涨差额由承包人承担。</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4、本工程的措施项目（模板、脚手架、文明施工措施费除外）实行一次性包干费用，过程中发生的变更、签证费将不计取措施费，仅计取规费及税金。</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5、承包人在施工过程中发生的变更、签证，应严格按发包人的变更、签证管理流程进行申报，其人工、机械、管理费、利润均按照投标时优惠率和费率。</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6、人工费调整执行本项目工程量清单的规定同比例调整</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 </w:t>
      </w:r>
      <w:bookmarkEnd w:id="505"/>
      <w:r/>
      <w:bookmarkEnd w:id="506"/>
      <w:r/>
      <w:bookmarkEnd w:id="507"/>
      <w:r/>
      <w:bookmarkEnd w:id="508"/>
      <w:r/>
      <w:bookmarkEnd w:id="509"/>
      <w:r/>
      <w:bookmarkEnd w:id="510"/>
      <w:r/>
      <w:bookmarkEnd w:id="511"/>
      <w:r/>
      <w:bookmarkEnd w:id="512"/>
      <w:r/>
      <w:bookmarkEnd w:id="513"/>
      <w:r/>
      <w:bookmarkEnd w:id="514"/>
      <w:r>
        <w:rPr>
          <w:rFonts w:hint="eastAsia" w:ascii="仿宋" w:hAnsi="仿宋" w:eastAsia="仿宋" w:cs="仿宋"/>
          <w:color w:val="auto"/>
          <w:sz w:val="24"/>
          <w:szCs w:val="24"/>
          <w:highlight w:val="none"/>
        </w:rPr>
        <w:t xml:space="preserve">合同价格、计量与支付</w:t>
      </w:r>
      <w:bookmarkEnd w:id="515"/>
      <w:r/>
      <w:bookmarkEnd w:id="516"/>
      <w:r/>
      <w:bookmarkEnd w:id="517"/>
      <w:r/>
      <w:bookmarkEnd w:id="518"/>
      <w:r/>
      <w:bookmarkEnd w:id="519"/>
      <w:r/>
      <w:bookmarkEnd w:id="520"/>
      <w:r/>
      <w:bookmarkEnd w:id="521"/>
      <w:r/>
      <w:r/>
    </w:p>
    <w:p>
      <w:pPr>
        <w:ind w:firstLine="420"/>
        <w:spacing w:line="360" w:lineRule="auto"/>
        <w:rPr>
          <w:rFonts w:hint="eastAsia" w:ascii="仿宋" w:hAnsi="仿宋" w:eastAsia="仿宋" w:cs="仿宋"/>
          <w:color w:val="auto"/>
          <w:sz w:val="24"/>
          <w:szCs w:val="24"/>
          <w:highlight w:val="none"/>
        </w:rPr>
        <w:outlineLvl w:val="2"/>
      </w:pPr>
      <w:r/>
      <w:bookmarkStart w:id="522" w:name="_Toc292559916"/>
      <w:r/>
      <w:bookmarkStart w:id="523" w:name="_Toc267251461"/>
      <w:r/>
      <w:bookmarkStart w:id="524" w:name="_Toc292559411"/>
      <w:r/>
      <w:bookmarkStart w:id="525" w:name="_Toc296891246"/>
      <w:r/>
      <w:bookmarkStart w:id="526" w:name="_Toc296891034"/>
      <w:r/>
      <w:bookmarkStart w:id="527" w:name="_Toc296944545"/>
      <w:r/>
      <w:bookmarkStart w:id="528" w:name="_Toc296347205"/>
      <w:r/>
      <w:bookmarkStart w:id="529" w:name="_Toc296346707"/>
      <w:r/>
      <w:bookmarkStart w:id="530" w:name="_Toc297120506"/>
      <w:r/>
      <w:bookmarkStart w:id="531" w:name="_Toc297048392"/>
      <w:r/>
      <w:bookmarkStart w:id="532" w:name="_Toc296503206"/>
      <w:r/>
      <w:bookmarkStart w:id="533" w:name="_Toc297123553"/>
      <w:r/>
      <w:bookmarkStart w:id="534" w:name="_Toc297216212"/>
      <w:r/>
      <w:bookmarkStart w:id="535" w:name="_Toc303539160"/>
      <w:r/>
      <w:bookmarkStart w:id="536" w:name="_Toc304295580"/>
      <w:r/>
      <w:bookmarkStart w:id="537" w:name="_Toc312678041"/>
      <w:r/>
      <w:bookmarkStart w:id="538" w:name="_Toc300935003"/>
      <w:r>
        <w:rPr>
          <w:rFonts w:hint="eastAsia" w:ascii="仿宋" w:hAnsi="仿宋" w:eastAsia="仿宋" w:cs="仿宋"/>
          <w:color w:val="auto"/>
          <w:sz w:val="24"/>
          <w:szCs w:val="24"/>
          <w:highlight w:val="none"/>
        </w:rPr>
        <w:t xml:space="preserve">12.1 合</w:t>
      </w:r>
      <w:bookmarkEnd w:id="522"/>
      <w:r/>
      <w:bookmarkEnd w:id="523"/>
      <w:r/>
      <w:bookmarkEnd w:id="524"/>
      <w:r>
        <w:rPr>
          <w:rFonts w:hint="eastAsia" w:ascii="仿宋" w:hAnsi="仿宋" w:eastAsia="仿宋" w:cs="仿宋"/>
          <w:color w:val="auto"/>
          <w:sz w:val="24"/>
          <w:szCs w:val="24"/>
          <w:highlight w:val="none"/>
        </w:rPr>
        <w:t xml:space="preserve">同价</w:t>
      </w:r>
      <w:bookmarkEnd w:id="525"/>
      <w:r/>
      <w:bookmarkEnd w:id="526"/>
      <w:r/>
      <w:bookmarkEnd w:id="527"/>
      <w:r/>
      <w:bookmarkEnd w:id="528"/>
      <w:r/>
      <w:bookmarkEnd w:id="529"/>
      <w:r/>
      <w:bookmarkEnd w:id="530"/>
      <w:r/>
      <w:bookmarkEnd w:id="531"/>
      <w:r/>
      <w:bookmarkEnd w:id="532"/>
      <w:r>
        <w:rPr>
          <w:rFonts w:hint="eastAsia" w:ascii="仿宋" w:hAnsi="仿宋" w:eastAsia="仿宋" w:cs="仿宋"/>
          <w:color w:val="auto"/>
          <w:sz w:val="24"/>
          <w:szCs w:val="24"/>
          <w:highlight w:val="none"/>
        </w:rPr>
        <w:t xml:space="preserve">格形式</w:t>
      </w:r>
      <w:bookmarkEnd w:id="533"/>
      <w:r/>
      <w:bookmarkEnd w:id="534"/>
      <w:r/>
      <w:bookmarkEnd w:id="535"/>
      <w:r/>
      <w:bookmarkEnd w:id="536"/>
      <w:r/>
      <w:bookmarkEnd w:id="537"/>
      <w:r/>
      <w:bookmarkEnd w:id="538"/>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1、单价合同。</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综合单价包含的风险范围：</w:t>
      </w:r>
      <w:r>
        <w:rPr>
          <w:rFonts w:hint="eastAsia" w:ascii="仿宋" w:hAnsi="仿宋" w:eastAsia="仿宋" w:cs="仿宋"/>
          <w:color w:val="auto"/>
          <w:sz w:val="24"/>
          <w:szCs w:val="24"/>
          <w:highlight w:val="none"/>
          <w:u w:val="single"/>
        </w:rPr>
        <w:t xml:space="preserve">（1）一周内非承包人原因停水、停电造成累计停工在八小时以内的风险；</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招标图纸范围内的或在招标文件中已经明示或暗示的风险、责任和义务的费用，承包人不得因工程所需的材料、供应品及设备价格的涨价，或因与本合同施工有关的成本费用的增加为理由而要求调整综合单价，不得以未充分了解成本因素而要求调整综合单价或请求额外补偿，本合同另有约定的除外；</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（3）作为一个有经验的承包人可以或应该预见的，为完成整体工程内容所必须考虑的风险；</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（4）双方约定的不可抗力范围的风险；</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（5）投标报价时所报的一次性包干的固定费用的风险；</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（6）招标文件中的暂定价以及原图纸或招标清单中未实施项的项目结算中予以扣除的风险；</w:t>
      </w:r>
      <w:r/>
    </w:p>
    <w:p>
      <w:pPr>
        <w:ind w:firstLine="420"/>
        <w:spacing w:line="360" w:lineRule="auto"/>
        <w:rPr>
          <w:rFonts w:hint="eastAsia" w:ascii="仿宋" w:hAnsi="仿宋" w:eastAsia="仿宋" w:cs="仿宋"/>
          <w:color w:val="auto"/>
          <w:sz w:val="24"/>
          <w:szCs w:val="24"/>
          <w:highlight w:val="none"/>
          <w:u w:val="single"/>
        </w:rPr>
        <w:outlineLvl w:val="2"/>
      </w:pPr>
      <w:r>
        <w:rPr>
          <w:rFonts w:hint="eastAsia" w:ascii="仿宋" w:hAnsi="仿宋" w:eastAsia="仿宋" w:cs="仿宋"/>
          <w:color w:val="auto"/>
          <w:sz w:val="24"/>
          <w:szCs w:val="24"/>
          <w:highlight w:val="none"/>
          <w:u w:val="single"/>
        </w:rPr>
        <w:t xml:space="preserve">（7）工程量误差或错误造成的工程造价调整的风险；</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承包人承认在递交投标书之时已详细审阅、了解本合同及其附件，并经现场踏勘，已充分了解工程位置现状及工程进度等，对工程场地周围的环境、场地现状、可能发生的困难与风险已充分考虑，并已反映到合同价款中。</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9）合同文件对承包人施工质量的要求高于国家标准或一般质量标准而引起承包人施工时多投入的费用、承包人提高建设标准高于发包人要求标准时引起承包人多投入的费用以及为避免施工期间噪声扰民，承包人对诸如夜间施工等所采取的防护措施而多投入的费用等均已包含在合同价款中，不再另行增补；</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10）承包人必须严格按照施工图纸内容进行施工，不得以合同报价书中缺项或漏项及工程量与图纸不符等为理由拒绝施工。如果属于施工图纸或者合同报价书中包含的项目，承包人拒不施工的，发包人有权委托其他单位进行施工，发生的费用从承包人工程款中扣除；</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11）承包人承诺已对施工现场进行考察，合同价款中包含由于施工现场多家施工单位交叉作业引起的工效降低、费用增加、工序颠倒引起费用增加等各项应有费用；考虑并包含周边区域已有的建（构）筑物、提升设备、以及自身提升设备间对施工的影响及费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12）措施项目是指为完成工程项目施工，发生于该工程施工前和施工过程中技术、生活、安全等方面的非工程实体项目。承包人在投标报价时已将该措施项目费考虑在内，费用标准自定，措施项目费用（除安全文明施工费外）以包干形式计入，无论在投标报价中是否单独列出均由承包人承担，结算时与分部分项工程量变化、设计变更、现场签证无关，不再调整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风险费用的计算方法：</w:t>
      </w:r>
      <w:r>
        <w:rPr>
          <w:rFonts w:hint="eastAsia" w:ascii="仿宋" w:hAnsi="仿宋" w:eastAsia="仿宋" w:cs="仿宋"/>
          <w:color w:val="auto"/>
          <w:sz w:val="24"/>
          <w:szCs w:val="24"/>
          <w:highlight w:val="none"/>
          <w:u w:val="single"/>
        </w:rPr>
        <w:t xml:space="preserve">此合同的风险费用已包含在合同价款中，不再另行计取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风险范围以外合同价格的调整方法：</w:t>
      </w:r>
      <w:r>
        <w:rPr>
          <w:rFonts w:hint="eastAsia" w:ascii="仿宋" w:hAnsi="仿宋" w:eastAsia="仿宋" w:cs="仿宋"/>
          <w:color w:val="auto"/>
          <w:sz w:val="24"/>
          <w:szCs w:val="24"/>
          <w:highlight w:val="none"/>
          <w:u w:val="single"/>
        </w:rPr>
        <w:t xml:space="preserve">①至本工程投标截止日前28天，其后国家的法律、法规、规章和政策发生变化时，应按省级或行业建设主管部门或其授权的工程造价管理机构发布的规定调整合同价格，但承包人对人工费或人工单价的投标报价高于发布价格的除外。</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②本招标工程合同，发包人按固定综合单价的办法签约的，工程完工后按实际完成工程量进行计量结算。承包人投标时是在仔细阅读招标文件、设计图纸、技术规范等前提下，结合对此工程的风险分析，作出自己的投标报价的。工程设计变更、现场变更签证以及发包人另行委托施工的追加工程，结算时必须有经发包人、监理等有关各方共同签字确认，按照约定办法进行结算，具体调整办法约定如下：①结算时调整项目与投标文件中清单项目相同的，</w:t>
      </w:r>
      <w:r>
        <w:rPr>
          <w:rFonts w:hint="eastAsia" w:ascii="仿宋" w:hAnsi="仿宋" w:eastAsia="仿宋" w:cs="仿宋"/>
          <w:color w:val="auto"/>
          <w:sz w:val="24"/>
          <w:szCs w:val="24"/>
          <w:highlight w:val="none"/>
          <w:u w:val="single"/>
        </w:rPr>
        <w:t xml:space="preserve">按照投标文件中的综合单价执行。若投标文件中相同清单综合单价不一致的，按照最低的综合单价执行。②若投标文件中无此清单项目的，由承包人编制变更综合单价报送监理复核，并经发包人确认后执行。承包人编制变更综合单价的依据为：人工、机械、取费按投标报价为基准，材料以相应变更项目施工期之前一个月，最近一期的《新沂市工程造价信息》下浮10%为基准，无信息价的按发包人、监理共同认可的价格。③措施项目清单中的费用（除安全文明施工费外）无论工程量是否发生变化、设计图纸是否发生变更，结算时将不得调整，这些费用在整个工程是包干的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2、总价合同。</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总价包含的风险范围：</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风险费用的计算方法：</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风险范围以外合同价格的调整方法：</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3、其他价格方式：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bookmarkStart w:id="539" w:name="_Toc304295581"/>
      <w:r/>
      <w:bookmarkStart w:id="540" w:name="_Toc297216213"/>
      <w:r/>
      <w:bookmarkStart w:id="541" w:name="_Toc300935004"/>
      <w:r/>
      <w:bookmarkStart w:id="542" w:name="_Toc303539161"/>
      <w:r/>
      <w:bookmarkStart w:id="543" w:name="_Toc297123554"/>
      <w:r/>
      <w:bookmarkStart w:id="544" w:name="_Toc312678042"/>
      <w:r/>
      <w:bookmarkStart w:id="545" w:name="_Toc296347206"/>
      <w:r/>
      <w:bookmarkStart w:id="546" w:name="_Toc296891035"/>
      <w:r/>
      <w:bookmarkStart w:id="547" w:name="_Toc292559412"/>
      <w:r/>
      <w:bookmarkStart w:id="548" w:name="_Toc296346708"/>
      <w:r/>
      <w:bookmarkStart w:id="549" w:name="_Toc292559917"/>
      <w:r/>
      <w:bookmarkStart w:id="550" w:name="_Toc297048393"/>
      <w:r/>
      <w:bookmarkStart w:id="551" w:name="_Toc297120507"/>
      <w:r/>
      <w:bookmarkStart w:id="552" w:name="_Toc296503207"/>
      <w:r/>
      <w:bookmarkStart w:id="553" w:name="_Toc296891247"/>
      <w:r/>
      <w:bookmarkStart w:id="554" w:name="_Toc296944546"/>
      <w:r>
        <w:rPr>
          <w:rFonts w:hint="eastAsia" w:ascii="仿宋" w:hAnsi="仿宋" w:eastAsia="仿宋" w:cs="仿宋"/>
          <w:color w:val="auto"/>
          <w:sz w:val="24"/>
          <w:szCs w:val="24"/>
          <w:highlight w:val="none"/>
        </w:rPr>
        <w:t xml:space="preserve">12.2 预付款</w:t>
      </w:r>
      <w:bookmarkEnd w:id="539"/>
      <w:r/>
      <w:bookmarkEnd w:id="540"/>
      <w:r/>
      <w:bookmarkEnd w:id="541"/>
      <w:r/>
      <w:bookmarkEnd w:id="542"/>
      <w:r/>
      <w:bookmarkEnd w:id="543"/>
      <w:r/>
      <w:bookmarkEnd w:id="544"/>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12.2.1 预付款的支付</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预付款支付比例或金额：</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预付款支付期限：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预付款扣回的方式：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12.2.2 预付款担保</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承包人提交预付款担保的期限：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预付款担保的形式为：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bookmarkEnd w:id="545"/>
      <w:r/>
      <w:bookmarkEnd w:id="546"/>
      <w:r/>
      <w:bookmarkEnd w:id="547"/>
      <w:r/>
      <w:bookmarkEnd w:id="548"/>
      <w:r/>
      <w:bookmarkEnd w:id="549"/>
      <w:r/>
      <w:bookmarkEnd w:id="550"/>
      <w:r/>
      <w:bookmarkEnd w:id="551"/>
      <w:r/>
      <w:bookmarkEnd w:id="552"/>
      <w:r/>
      <w:bookmarkEnd w:id="553"/>
      <w:r/>
      <w:bookmarkEnd w:id="554"/>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12.3 计量</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12.3.1 计量原则</w:t>
      </w:r>
      <w:r/>
    </w:p>
    <w:p>
      <w:pPr>
        <w:ind w:firstLine="42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工程量计算规则：</w:t>
      </w:r>
      <w:r>
        <w:rPr>
          <w:rFonts w:hint="eastAsia" w:ascii="仿宋" w:hAnsi="仿宋" w:eastAsia="仿宋" w:cs="仿宋"/>
          <w:color w:val="auto"/>
          <w:sz w:val="24"/>
          <w:szCs w:val="24"/>
          <w:highlight w:val="none"/>
          <w:u w:val="single"/>
        </w:rPr>
        <w:t xml:space="preserve">  计价规则执行国家标准《建设工程工程量清单计价规范》(GB50500-2013)、《房屋建筑与装饰工程工程量计算规范》（GB50854-2013）、《市政工程工程量计算规范》（GB50857-2013）</w:t>
      </w:r>
      <w:r>
        <w:rPr>
          <w:rFonts w:hint="eastAsia" w:ascii="仿宋" w:hAnsi="仿宋" w:eastAsia="仿宋" w:cs="仿宋"/>
          <w:color w:val="auto"/>
          <w:sz w:val="24"/>
          <w:szCs w:val="24"/>
          <w:highlight w:val="none"/>
          <w:u w:val="single"/>
        </w:rPr>
        <w:t xml:space="preserve">、《通用安装工程工程量计算规范》（GB5085-2013）、《园林绿化工程工程量计算规范》（GB50858-2013），承包人实际完成的工程量按《江苏省建筑与装饰工程计价定额》（2014年版）、《江苏省市政工程计价定额》（2014年版）、《江苏省安装工程计价定额》（2014年版）、《江苏省园林工程计价定额》（2007年版）、《江苏省建设工程费用定额》（2014年）和苏建价【2016】154号文《省住房城乡建设厅关于建筑业实施营改增后江苏省建设工程计价依据调整的通知》及其附件内容、有合同约束力的图纸进行计量 </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12.3.2 计量周期</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关于计量周期的约定：</w:t>
      </w:r>
      <w:r>
        <w:rPr>
          <w:rFonts w:hint="eastAsia" w:ascii="仿宋" w:hAnsi="仿宋" w:eastAsia="仿宋" w:cs="仿宋"/>
          <w:color w:val="auto"/>
          <w:sz w:val="24"/>
          <w:szCs w:val="24"/>
          <w:highlight w:val="none"/>
          <w:u w:val="single"/>
        </w:rPr>
        <w:t xml:space="preserve">  根据工程进度节点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12.3.3 单价合同的计量</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关于单价合同计量的约定：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12.3.4 总价合同的计量</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关于总价合同计量的约定：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12.3.5 总价合同采用支付分解表计量支付的，是否适用第12.3.4 项〔总价合同的计量〕约定进行计量：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12.3.6 其他价格形式合同的计量</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其他价格形式的计量方式和程序：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12.4 工程进度款支付</w:t>
      </w:r>
      <w:r/>
    </w:p>
    <w:p>
      <w:pPr>
        <w:ind w:firstLine="420"/>
        <w:spacing w:line="360" w:lineRule="auto"/>
        <w:rPr>
          <w:rFonts w:hint="eastAsia" w:ascii="仿宋" w:hAnsi="仿宋" w:eastAsia="仿宋" w:cs="仿宋"/>
          <w:color w:val="auto"/>
          <w:sz w:val="24"/>
          <w:szCs w:val="24"/>
          <w:highlight w:val="none"/>
        </w:rPr>
        <w:outlineLvl w:val="3"/>
      </w:pPr>
      <w:r/>
      <w:bookmarkStart w:id="555" w:name="_Toc296347210"/>
      <w:r/>
      <w:bookmarkStart w:id="556" w:name="_Toc300935006"/>
      <w:r/>
      <w:bookmarkStart w:id="557" w:name="_Toc297120511"/>
      <w:r/>
      <w:bookmarkStart w:id="558" w:name="_Toc296944550"/>
      <w:r/>
      <w:bookmarkStart w:id="559" w:name="_Toc297123556"/>
      <w:r/>
      <w:bookmarkStart w:id="560" w:name="_Toc292559921"/>
      <w:r/>
      <w:bookmarkStart w:id="561" w:name="_Toc296891039"/>
      <w:r/>
      <w:bookmarkStart w:id="562" w:name="_Toc296891251"/>
      <w:r/>
      <w:bookmarkStart w:id="563" w:name="_Toc296503211"/>
      <w:r/>
      <w:bookmarkStart w:id="564" w:name="_Toc297048397"/>
      <w:r/>
      <w:bookmarkStart w:id="565" w:name="_Toc297216215"/>
      <w:r/>
      <w:bookmarkStart w:id="566" w:name="_Toc303539163"/>
      <w:r/>
      <w:bookmarkStart w:id="567" w:name="_Toc292559416"/>
      <w:r/>
      <w:bookmarkStart w:id="568" w:name="_Toc296346712"/>
      <w:r>
        <w:rPr>
          <w:rFonts w:hint="eastAsia" w:ascii="仿宋" w:hAnsi="仿宋" w:eastAsia="仿宋" w:cs="仿宋"/>
          <w:color w:val="auto"/>
          <w:sz w:val="24"/>
          <w:szCs w:val="24"/>
          <w:highlight w:val="none"/>
        </w:rPr>
        <w:t xml:space="preserve">12.4.1 付款周期</w:t>
      </w:r>
      <w:r/>
    </w:p>
    <w:p>
      <w:pPr>
        <w:ind w:firstLine="42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关于付款周期的约定：</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关于付款周期的约定：</w:t>
      </w:r>
      <w:r>
        <w:rPr>
          <w:rFonts w:hint="eastAsia" w:ascii="仿宋" w:hAnsi="仿宋" w:eastAsia="仿宋" w:cs="仿宋"/>
          <w:color w:val="auto"/>
          <w:sz w:val="24"/>
          <w:szCs w:val="24"/>
          <w:highlight w:val="yellow"/>
        </w:rPr>
        <w:t xml:space="preserve">具体支付的方式和时间：工程进度款按月计量，定期支付，验收合格付合同总价80%，审计结束付97%，养护期1年，期满后付清余款。</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12.4.2 形象进度付款申请单的编制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关于形象进度付款申请单编制的约定：</w:t>
      </w:r>
      <w:r>
        <w:rPr>
          <w:rFonts w:hint="eastAsia" w:ascii="仿宋" w:hAnsi="仿宋" w:eastAsia="仿宋" w:cs="仿宋"/>
          <w:color w:val="auto"/>
          <w:sz w:val="24"/>
          <w:szCs w:val="24"/>
          <w:highlight w:val="none"/>
          <w:u w:val="single"/>
        </w:rPr>
        <w:t xml:space="preserve">执行通用条款，并由承包人提交，经发包人和监理单位确认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w:t>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rPr>
          <w:rFonts w:hint="eastAsia" w:ascii="仿宋" w:hAnsi="仿宋" w:eastAsia="仿宋" w:cs="仿宋"/>
          <w:color w:val="auto"/>
          <w:sz w:val="24"/>
          <w:szCs w:val="24"/>
          <w:highlight w:val="none"/>
        </w:rPr>
        <w:t xml:space="preserve">2.4.3 形象进度付款申请单的提交</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（1）单价合同形象进度付款申请单提交的约定：</w:t>
      </w:r>
      <w:r>
        <w:rPr>
          <w:rFonts w:hint="eastAsia" w:ascii="仿宋" w:hAnsi="仿宋" w:eastAsia="仿宋" w:cs="仿宋"/>
          <w:color w:val="auto"/>
          <w:sz w:val="24"/>
          <w:szCs w:val="24"/>
          <w:highlight w:val="none"/>
          <w:u w:val="single"/>
        </w:rPr>
        <w:t xml:space="preserve">达到相应付款节点后由承包人14日内提交</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（2）总价合同形象进度付款申请单提交的约定：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（3）其他价格形式形象合同进度付款申请单提交的约定：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12.4.4 形象进度款审核和支付</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（1）监理人审查并报送发包人的期限：</w:t>
      </w:r>
      <w:r>
        <w:rPr>
          <w:rFonts w:hint="eastAsia" w:ascii="仿宋" w:hAnsi="仿宋" w:eastAsia="仿宋" w:cs="仿宋"/>
          <w:color w:val="auto"/>
          <w:sz w:val="24"/>
          <w:szCs w:val="24"/>
          <w:highlight w:val="none"/>
          <w:u w:val="single"/>
        </w:rPr>
        <w:t xml:space="preserve">收到承包人形象进度付款申请表以及相关资料后14天内完成审查并报送发包人</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发包人完成审批并签发形象进度款支付证书的期限：</w:t>
      </w:r>
      <w:r>
        <w:rPr>
          <w:rFonts w:hint="eastAsia" w:ascii="仿宋" w:hAnsi="仿宋" w:eastAsia="仿宋" w:cs="仿宋"/>
          <w:color w:val="auto"/>
          <w:sz w:val="24"/>
          <w:szCs w:val="24"/>
          <w:highlight w:val="none"/>
          <w:u w:val="single"/>
        </w:rPr>
        <w:t xml:space="preserve">收到进度付款申请表以及相关资料后14天内完成审批并签发进度款支付证书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（2）发包人支付形象进度款的期限：</w:t>
      </w:r>
      <w:r>
        <w:rPr>
          <w:rFonts w:hint="eastAsia" w:ascii="仿宋" w:hAnsi="仿宋" w:eastAsia="仿宋" w:cs="仿宋"/>
          <w:color w:val="auto"/>
          <w:sz w:val="24"/>
          <w:szCs w:val="24"/>
          <w:highlight w:val="none"/>
          <w:u w:val="single"/>
        </w:rPr>
        <w:t xml:space="preserve">  签发形象进度款支付证书或临时形象进度款支付证书后28天内完成支付</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发包人逾期支形象付进度款的违约金的计算方式：</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12.4.6 支付分解表的编制</w:t>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1、总价合同支付分解表的编制与审批：</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2、单价合同的总价项目支付分解表的编制与审批：</w:t>
      </w:r>
      <w:r>
        <w:rPr>
          <w:rFonts w:hint="eastAsia" w:ascii="仿宋" w:hAnsi="仿宋" w:eastAsia="仿宋" w:cs="仿宋"/>
          <w:color w:val="auto"/>
          <w:sz w:val="24"/>
          <w:szCs w:val="24"/>
          <w:highlight w:val="none"/>
          <w:u w:val="single"/>
        </w:rPr>
        <w:t xml:space="preserve">由承包人根据施工进度计划节点以及合同对应付款基数进行分解，形成支付分解表  </w:t>
      </w:r>
      <w:r>
        <w:rPr>
          <w:rFonts w:hint="eastAsia" w:ascii="仿宋" w:hAnsi="仿宋" w:eastAsia="仿宋" w:cs="仿宋"/>
          <w:color w:val="auto"/>
          <w:sz w:val="24"/>
          <w:szCs w:val="24"/>
          <w:highlight w:val="none"/>
        </w:rPr>
        <w:t xml:space="preserve">。</w:t>
      </w:r>
      <w:bookmarkEnd w:id="398"/>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569" w:name="_Toc292559929"/>
      <w:r/>
      <w:bookmarkStart w:id="570" w:name="_Toc296503219"/>
      <w:r/>
      <w:bookmarkStart w:id="571" w:name="_Toc297216223"/>
      <w:r/>
      <w:bookmarkStart w:id="572" w:name="_Toc303539172"/>
      <w:r/>
      <w:bookmarkStart w:id="573" w:name="_Toc304295593"/>
      <w:r/>
      <w:bookmarkStart w:id="574" w:name="_Toc296944558"/>
      <w:r/>
      <w:bookmarkStart w:id="575" w:name="_Toc296891047"/>
      <w:r/>
      <w:bookmarkStart w:id="576" w:name="_Toc297123564"/>
      <w:r/>
      <w:bookmarkStart w:id="577" w:name="_Toc292559424"/>
      <w:r/>
      <w:bookmarkStart w:id="578" w:name="_Toc351203645"/>
      <w:r/>
      <w:bookmarkStart w:id="579" w:name="_Toc297120519"/>
      <w:r/>
      <w:bookmarkStart w:id="580" w:name="_Toc296347218"/>
      <w:r/>
      <w:bookmarkStart w:id="581" w:name="_Toc296346720"/>
      <w:r/>
      <w:bookmarkStart w:id="582" w:name="_Toc300935015"/>
      <w:r/>
      <w:bookmarkStart w:id="583" w:name="_Toc296891259"/>
      <w:r/>
      <w:bookmarkStart w:id="584" w:name="_Toc297048405"/>
      <w:r/>
      <w:bookmarkStart w:id="585" w:name="_Toc312678053"/>
      <w:r>
        <w:rPr>
          <w:rFonts w:hint="eastAsia" w:ascii="仿宋" w:hAnsi="仿宋" w:eastAsia="仿宋" w:cs="仿宋"/>
          <w:color w:val="auto"/>
          <w:sz w:val="24"/>
          <w:szCs w:val="24"/>
          <w:highlight w:val="none"/>
        </w:rPr>
        <w:t xml:space="preserve">13. 验收和工程试车</w:t>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13.1 分部分项工程验收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13.1.1 监理人不能按时进行验收时，应提前</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小时提交书面延期要求。</w:t>
      </w:r>
      <w:r/>
    </w:p>
    <w:p>
      <w:pPr>
        <w:ind w:firstLine="420"/>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关于延期最长不得超过：</w:t>
      </w:r>
      <w:r>
        <w:rPr>
          <w:rFonts w:hint="eastAsia" w:ascii="仿宋" w:hAnsi="仿宋" w:eastAsia="仿宋" w:cs="仿宋"/>
          <w:color w:val="auto"/>
          <w:sz w:val="24"/>
          <w:szCs w:val="24"/>
          <w:highlight w:val="none"/>
          <w:u w:val="single"/>
        </w:rPr>
        <w:t xml:space="preserve">  48  </w:t>
      </w:r>
      <w:r>
        <w:rPr>
          <w:rFonts w:hint="eastAsia" w:ascii="仿宋" w:hAnsi="仿宋" w:eastAsia="仿宋" w:cs="仿宋"/>
          <w:color w:val="auto"/>
          <w:sz w:val="24"/>
          <w:szCs w:val="24"/>
          <w:highlight w:val="none"/>
        </w:rPr>
        <w:t xml:space="preserve">小时。</w:t>
      </w:r>
      <w:r/>
    </w:p>
    <w:p>
      <w:pPr>
        <w:ind w:firstLine="420"/>
        <w:spacing w:line="360" w:lineRule="auto"/>
        <w:rPr>
          <w:rFonts w:hint="eastAsia" w:ascii="仿宋" w:hAnsi="仿宋" w:eastAsia="仿宋" w:cs="仿宋"/>
          <w:color w:val="auto"/>
          <w:sz w:val="24"/>
          <w:szCs w:val="24"/>
          <w:highlight w:val="none"/>
        </w:rPr>
        <w:outlineLvl w:val="2"/>
      </w:pPr>
      <w:r/>
      <w:bookmarkStart w:id="586" w:name="_Toc297123565"/>
      <w:r/>
      <w:bookmarkStart w:id="587" w:name="_Toc312678056"/>
      <w:r/>
      <w:bookmarkStart w:id="588" w:name="_Toc296944562"/>
      <w:r/>
      <w:bookmarkStart w:id="589" w:name="_Toc297048409"/>
      <w:r/>
      <w:bookmarkStart w:id="590" w:name="_Toc296891051"/>
      <w:r/>
      <w:bookmarkStart w:id="591" w:name="_Toc297120523"/>
      <w:r/>
      <w:bookmarkStart w:id="592" w:name="_Toc296347222"/>
      <w:r/>
      <w:bookmarkStart w:id="593" w:name="_Toc296503223"/>
      <w:r/>
      <w:bookmarkStart w:id="594" w:name="_Toc297216224"/>
      <w:r/>
      <w:bookmarkStart w:id="595" w:name="_Toc296891263"/>
      <w:r/>
      <w:bookmarkStart w:id="596" w:name="_Toc300935016"/>
      <w:r/>
      <w:bookmarkStart w:id="597" w:name="_Toc304295596"/>
      <w:r/>
      <w:bookmarkStart w:id="598" w:name="_Toc292559933"/>
      <w:r/>
      <w:bookmarkStart w:id="599" w:name="_Toc292559428"/>
      <w:r/>
      <w:bookmarkStart w:id="600" w:name="_Toc303539173"/>
      <w:r/>
      <w:bookmarkStart w:id="601" w:name="_Toc296346724"/>
      <w:r/>
      <w:bookmarkStart w:id="602" w:name="_Toc267251472"/>
      <w:r/>
      <w:bookmarkStart w:id="603" w:name="_Toc267251473"/>
      <w:r/>
      <w:bookmarkStart w:id="604" w:name="_Toc267251471"/>
      <w:r/>
      <w:bookmarkStart w:id="605" w:name="_Toc267251470"/>
      <w:r/>
      <w:bookmarkStart w:id="606" w:name="_Toc267251476"/>
      <w:r/>
      <w:bookmarkStart w:id="607" w:name="_Toc267251475"/>
      <w:r/>
      <w:bookmarkStart w:id="608" w:name="_Toc267251474"/>
      <w:r>
        <w:rPr>
          <w:rFonts w:hint="eastAsia" w:ascii="仿宋" w:hAnsi="仿宋" w:eastAsia="仿宋" w:cs="仿宋"/>
          <w:color w:val="auto"/>
          <w:sz w:val="24"/>
          <w:szCs w:val="24"/>
          <w:highlight w:val="none"/>
        </w:rPr>
        <w:t xml:space="preserve">13.2 竣工验收</w:t>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r/>
    </w:p>
    <w:p>
      <w:pPr>
        <w:ind w:firstLine="420"/>
        <w:spacing w:line="360" w:lineRule="auto"/>
        <w:rPr>
          <w:rFonts w:hint="eastAsia" w:ascii="仿宋" w:hAnsi="仿宋" w:eastAsia="仿宋" w:cs="仿宋"/>
          <w:color w:val="auto"/>
          <w:sz w:val="24"/>
          <w:szCs w:val="24"/>
          <w:highlight w:val="none"/>
        </w:rPr>
        <w:outlineLvl w:val="3"/>
      </w:pPr>
      <w:r/>
      <w:bookmarkStart w:id="609" w:name="_Toc280868704"/>
      <w:r/>
      <w:bookmarkStart w:id="610" w:name="_Toc280868705"/>
      <w:r/>
      <w:bookmarkStart w:id="611" w:name="_Toc280868707"/>
      <w:r/>
      <w:bookmarkStart w:id="612" w:name="_Toc280868706"/>
      <w:r/>
      <w:bookmarkStart w:id="613" w:name="_Toc280868708"/>
      <w:r/>
      <w:bookmarkStart w:id="614" w:name="_Toc280868709"/>
      <w:r>
        <w:rPr>
          <w:rFonts w:hint="eastAsia" w:ascii="仿宋" w:hAnsi="仿宋" w:eastAsia="仿宋" w:cs="仿宋"/>
          <w:color w:val="auto"/>
          <w:sz w:val="24"/>
          <w:szCs w:val="24"/>
          <w:highlight w:val="none"/>
        </w:rPr>
        <w:t xml:space="preserve">13.2.1 竣工验收程序</w:t>
      </w:r>
      <w:bookmarkEnd w:id="609"/>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关于竣工验收程序的约定：</w:t>
      </w:r>
      <w:r>
        <w:rPr>
          <w:rFonts w:hint="eastAsia" w:ascii="仿宋" w:hAnsi="仿宋" w:eastAsia="仿宋" w:cs="仿宋"/>
          <w:color w:val="auto"/>
          <w:sz w:val="24"/>
          <w:szCs w:val="24"/>
          <w:highlight w:val="none"/>
          <w:u w:val="single"/>
        </w:rPr>
        <w:t xml:space="preserve">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发包人不按照本项约定组织竣工验收、颁发工程接收证书的违约金的计算方法</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bookmarkEnd w:id="610"/>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13.2.2 移交、接收全部与部分工程</w:t>
      </w:r>
      <w:bookmarkEnd w:id="611"/>
      <w:r/>
      <w:bookmarkEnd w:id="612"/>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承包人向发包人移交工程的期限：</w:t>
      </w:r>
      <w:r>
        <w:rPr>
          <w:rFonts w:hint="eastAsia" w:ascii="仿宋" w:hAnsi="仿宋" w:eastAsia="仿宋" w:cs="仿宋"/>
          <w:color w:val="auto"/>
          <w:sz w:val="24"/>
          <w:szCs w:val="24"/>
          <w:highlight w:val="none"/>
          <w:u w:val="single"/>
        </w:rPr>
        <w:t xml:space="preserve"> 竣工时间以发包人组织的竣工验收合格日期为准。经发包人组织验收合格的工程，则自验收结束之日起15天内承包人将工程移交给发包人，撤出全部临建、施工人员、施工机械和剩余材料，并将承包范围内的所有工程垃圾清理干净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发包人未按本合同约定接收全部或部分工程的，违约金的计算方法为：</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承包人未按时移交工程的，违约金的计算方法为：</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13.3 工程试车</w:t>
      </w:r>
      <w:bookmarkEnd w:id="613"/>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13.3.1 试车程序</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工程试车内容：</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（1）单机无负荷试车费用由承担；</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（2）无负荷联动试车费用由承担。</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13.3.2 投料试车</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关于投料试车相关事项的约定：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13.4 竣工退场</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13.6.1 竣工退场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承包人完成竣工退场的期限：</w:t>
      </w:r>
      <w:r>
        <w:rPr>
          <w:rFonts w:hint="eastAsia" w:ascii="仿宋" w:hAnsi="仿宋" w:eastAsia="仿宋" w:cs="仿宋"/>
          <w:color w:val="auto"/>
          <w:sz w:val="24"/>
          <w:szCs w:val="24"/>
          <w:highlight w:val="none"/>
          <w:u w:val="single"/>
        </w:rPr>
        <w:t xml:space="preserve"> 竣工验收合格后14日内 </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615" w:name="_Toc351203646"/>
      <w:r>
        <w:rPr>
          <w:rFonts w:hint="eastAsia" w:ascii="仿宋" w:hAnsi="仿宋" w:eastAsia="仿宋" w:cs="仿宋"/>
          <w:color w:val="auto"/>
          <w:sz w:val="24"/>
          <w:szCs w:val="24"/>
          <w:highlight w:val="none"/>
        </w:rPr>
        <w:t xml:space="preserve">14. 竣工结算</w:t>
      </w:r>
      <w:bookmarkEnd w:id="615"/>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14.1 竣工结算申请</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承包人提交竣工结算申请单的期限：</w:t>
      </w:r>
      <w:r>
        <w:rPr>
          <w:rFonts w:hint="eastAsia" w:ascii="仿宋" w:hAnsi="仿宋" w:eastAsia="仿宋" w:cs="仿宋"/>
          <w:color w:val="auto"/>
          <w:sz w:val="24"/>
          <w:szCs w:val="24"/>
          <w:highlight w:val="none"/>
          <w:u w:val="single"/>
        </w:rPr>
        <w:t xml:space="preserve"> 工程竣工验收合格后一个月内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竣工结算申请单应包括的内容：</w:t>
      </w:r>
      <w:r>
        <w:rPr>
          <w:rFonts w:hint="eastAsia" w:ascii="仿宋" w:hAnsi="仿宋" w:eastAsia="仿宋" w:cs="仿宋"/>
          <w:color w:val="auto"/>
          <w:sz w:val="24"/>
          <w:szCs w:val="24"/>
          <w:highlight w:val="none"/>
          <w:u w:val="single"/>
        </w:rPr>
        <w:t xml:space="preserve">结算项目承包合同及合同报价书；经审查批准的竣工图；招标文件；变更及现场签证累计统计表、审批表、结算表及变更签证的详细资料；工程竣工验收记录表；施工单位上报的完整的竣工结算资料；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如核减额在承包人送审总价5%以内（含5%）审计费用由发包人承担，核减额在5%以上至10%（含10%），由承包人与发包人分别承担50%，核减额大于10%的，其审计费用由承包人全部承担审计费按基本费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元+核减额的5%计算</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14.2 竣工结算审核</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发包人审批竣工付款申请单的期限：</w:t>
      </w:r>
      <w:r>
        <w:rPr>
          <w:rFonts w:hint="eastAsia" w:ascii="仿宋" w:hAnsi="仿宋" w:eastAsia="仿宋" w:cs="仿宋"/>
          <w:color w:val="auto"/>
          <w:sz w:val="24"/>
          <w:szCs w:val="24"/>
          <w:highlight w:val="none"/>
          <w:u w:val="single"/>
        </w:rPr>
        <w:t xml:space="preserve">  收到承包人提交的最终结清申请后28天内完成审批并向承包人颁发最终结清证书</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发包人完成竣工付款的期限：</w:t>
      </w:r>
      <w:r>
        <w:rPr>
          <w:rFonts w:hint="eastAsia" w:ascii="仿宋" w:hAnsi="仿宋" w:eastAsia="仿宋" w:cs="仿宋"/>
          <w:color w:val="auto"/>
          <w:sz w:val="24"/>
          <w:szCs w:val="24"/>
          <w:highlight w:val="none"/>
          <w:u w:val="single"/>
        </w:rPr>
        <w:t xml:space="preserve">  签发竣工付款证书后28天内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关于竣工付款证书异议部分复核的方式和程序：</w:t>
      </w:r>
      <w:r>
        <w:rPr>
          <w:rFonts w:hint="eastAsia" w:ascii="仿宋" w:hAnsi="仿宋" w:eastAsia="仿宋" w:cs="仿宋"/>
          <w:color w:val="auto"/>
          <w:sz w:val="24"/>
          <w:szCs w:val="24"/>
          <w:highlight w:val="none"/>
          <w:u w:val="single"/>
        </w:rPr>
        <w:t xml:space="preserve">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审减率约定：</w:t>
      </w:r>
      <w:r>
        <w:rPr>
          <w:rFonts w:hint="eastAsia" w:ascii="仿宋" w:hAnsi="仿宋" w:eastAsia="仿宋" w:cs="仿宋"/>
          <w:color w:val="auto"/>
          <w:sz w:val="24"/>
          <w:szCs w:val="24"/>
          <w:highlight w:val="none"/>
          <w:u w:val="single"/>
        </w:rPr>
        <w:t xml:space="preserve">审计报告结（决）算审减率10%-15%的，承包人按审减金额的20%支付违约金，超过15%的，按照审减金额的30%支付违约金，发包人有权从工程款中直接扣除。</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项目终审费用约定：</w:t>
      </w:r>
      <w:r>
        <w:rPr>
          <w:rFonts w:hint="eastAsia" w:ascii="仿宋" w:hAnsi="仿宋" w:eastAsia="仿宋" w:cs="仿宋"/>
          <w:color w:val="auto"/>
          <w:sz w:val="24"/>
          <w:szCs w:val="24"/>
          <w:highlight w:val="none"/>
          <w:u w:val="single"/>
        </w:rPr>
        <w:t xml:space="preserve">工程结（决）算经市审计中心终审后，审减率在3%（含3%）以内的，审计服务费用由发包人支付，3%-5%（含5%）发包人和承包人各付一半，5%以上的承包人全额支付。</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14.3 最终结清</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14.3.1 最终结清申请单</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承包人提交最终结清申请单的份数：</w:t>
      </w:r>
      <w:r>
        <w:rPr>
          <w:rFonts w:hint="eastAsia" w:ascii="仿宋" w:hAnsi="仿宋" w:eastAsia="仿宋" w:cs="仿宋"/>
          <w:color w:val="auto"/>
          <w:sz w:val="24"/>
          <w:szCs w:val="24"/>
          <w:highlight w:val="none"/>
          <w:u w:val="single"/>
        </w:rPr>
        <w:t xml:space="preserve">       4份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承包人提交最终结算申请单的期限：</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 </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14.3.2 最终结清证书和支付</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（1）发包人完成最终结清申请单的审批并颁发最终结清证书的期限：</w:t>
      </w:r>
      <w:r>
        <w:rPr>
          <w:rFonts w:hint="eastAsia" w:ascii="仿宋" w:hAnsi="仿宋" w:eastAsia="仿宋" w:cs="仿宋"/>
          <w:color w:val="auto"/>
          <w:sz w:val="24"/>
          <w:szCs w:val="24"/>
          <w:highlight w:val="none"/>
          <w:u w:val="single"/>
        </w:rPr>
        <w:t xml:space="preserve">收到承包人提交的最终结清申请后28天内完成审批并向承包人颁发最终结清证书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（2）发包人完成支付的期限：</w:t>
      </w:r>
      <w:r>
        <w:rPr>
          <w:rFonts w:hint="eastAsia" w:ascii="仿宋" w:hAnsi="仿宋" w:eastAsia="仿宋" w:cs="仿宋"/>
          <w:color w:val="auto"/>
          <w:sz w:val="24"/>
          <w:szCs w:val="24"/>
          <w:highlight w:val="none"/>
          <w:u w:val="single"/>
        </w:rPr>
        <w:t xml:space="preserve">  签发最终结清证书后的28天内 </w:t>
      </w:r>
      <w:r>
        <w:rPr>
          <w:rFonts w:hint="eastAsia" w:ascii="仿宋" w:hAnsi="仿宋" w:eastAsia="仿宋" w:cs="仿宋"/>
          <w:color w:val="auto"/>
          <w:sz w:val="24"/>
          <w:szCs w:val="24"/>
          <w:highlight w:val="none"/>
        </w:rPr>
        <w:t xml:space="preserve">。</w:t>
      </w:r>
      <w:bookmarkEnd w:id="602"/>
      <w:r/>
      <w:bookmarkEnd w:id="603"/>
      <w:r/>
      <w:bookmarkEnd w:id="604"/>
      <w:r/>
      <w:bookmarkEnd w:id="605"/>
      <w:r/>
      <w:bookmarkEnd w:id="606"/>
      <w:r/>
      <w:bookmarkEnd w:id="607"/>
      <w:r/>
      <w:bookmarkEnd w:id="608"/>
      <w:r/>
      <w:bookmarkEnd w:id="614"/>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616" w:name="_Toc351203647"/>
      <w:r/>
      <w:bookmarkStart w:id="617" w:name="_Toc267251483"/>
      <w:r/>
      <w:bookmarkStart w:id="618" w:name="_Toc267251484"/>
      <w:r/>
      <w:bookmarkStart w:id="619" w:name="_Toc267251482"/>
      <w:r/>
      <w:bookmarkStart w:id="620" w:name="_Toc267251485"/>
      <w:r/>
      <w:bookmarkStart w:id="621" w:name="_Toc267251489"/>
      <w:r/>
      <w:bookmarkStart w:id="622" w:name="_Toc267251488"/>
      <w:r/>
      <w:bookmarkStart w:id="623" w:name="_Toc267251490"/>
      <w:r/>
      <w:bookmarkStart w:id="624" w:name="_Toc267251486"/>
      <w:r/>
      <w:bookmarkStart w:id="625" w:name="_Toc267251494"/>
      <w:r/>
      <w:bookmarkStart w:id="626" w:name="_Toc267251493"/>
      <w:r/>
      <w:bookmarkStart w:id="627" w:name="_Toc267251501"/>
      <w:r/>
      <w:bookmarkStart w:id="628" w:name="_Toc267251491"/>
      <w:r/>
      <w:bookmarkStart w:id="629" w:name="_Toc267251496"/>
      <w:r/>
      <w:bookmarkStart w:id="630" w:name="_Toc267251502"/>
      <w:r/>
      <w:bookmarkStart w:id="631" w:name="_Toc267251498"/>
      <w:r/>
      <w:bookmarkStart w:id="632" w:name="_Toc267251495"/>
      <w:r/>
      <w:bookmarkStart w:id="633" w:name="_Toc267251503"/>
      <w:r/>
      <w:bookmarkStart w:id="634" w:name="_Toc267251492"/>
      <w:r/>
      <w:bookmarkStart w:id="635" w:name="_Toc267251497"/>
      <w:r/>
      <w:bookmarkStart w:id="636" w:name="_Toc267251499"/>
      <w:r/>
      <w:bookmarkStart w:id="637" w:name="_Toc267251504"/>
      <w:r/>
      <w:bookmarkStart w:id="638" w:name="_Toc267251506"/>
      <w:r/>
      <w:bookmarkStart w:id="639" w:name="_Toc267251507"/>
      <w:r/>
      <w:bookmarkStart w:id="640" w:name="_Toc267251508"/>
      <w:r/>
      <w:bookmarkStart w:id="641" w:name="_Toc267251515"/>
      <w:r/>
      <w:bookmarkStart w:id="642" w:name="_Toc267251514"/>
      <w:r/>
      <w:bookmarkStart w:id="643" w:name="_Toc267251511"/>
      <w:r/>
      <w:bookmarkStart w:id="644" w:name="_Toc267251509"/>
      <w:r/>
      <w:bookmarkStart w:id="645" w:name="_Toc267251513"/>
      <w:r/>
      <w:bookmarkStart w:id="646" w:name="_Toc267251510"/>
      <w:r>
        <w:rPr>
          <w:rFonts w:hint="eastAsia" w:ascii="仿宋" w:hAnsi="仿宋" w:eastAsia="仿宋" w:cs="仿宋"/>
          <w:color w:val="auto"/>
          <w:sz w:val="24"/>
          <w:szCs w:val="24"/>
          <w:highlight w:val="none"/>
        </w:rPr>
        <w:t xml:space="preserve">15. 缺陷责任期与保修</w:t>
      </w:r>
      <w:bookmarkEnd w:id="616"/>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15.1 缺陷责任期</w:t>
      </w:r>
      <w:bookmarkEnd w:id="617"/>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缺陷责任期的具体期限：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u w:val="single"/>
        </w:rPr>
        <w:t xml:space="preserve">年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15.2 质量保证金</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关于是否扣留质量保证金的约定：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否</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bookmarkEnd w:id="618"/>
      <w:r/>
      <w:bookmarkEnd w:id="619"/>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15.3 保修</w:t>
      </w:r>
      <w:bookmarkEnd w:id="620"/>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15.3.1 保修责任</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工程保修期为：</w:t>
      </w:r>
      <w:r>
        <w:rPr>
          <w:rFonts w:hint="eastAsia" w:ascii="仿宋" w:hAnsi="仿宋" w:eastAsia="仿宋" w:cs="仿宋"/>
          <w:color w:val="auto"/>
          <w:sz w:val="24"/>
          <w:szCs w:val="24"/>
          <w:highlight w:val="none"/>
          <w:u w:val="single"/>
        </w:rPr>
        <w:t xml:space="preserve"> 地基基础工程、主体结构工程终身，防水5年，其它</w:t>
      </w: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u w:val="single"/>
        </w:rPr>
        <w:t xml:space="preserve">年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15.3.2 修复通知</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承包人收到保修通知并到达工程现场的合理时间：</w:t>
      </w:r>
      <w:r>
        <w:rPr>
          <w:rFonts w:hint="eastAsia" w:ascii="仿宋" w:hAnsi="仿宋" w:eastAsia="仿宋" w:cs="仿宋"/>
          <w:color w:val="auto"/>
          <w:sz w:val="24"/>
          <w:szCs w:val="24"/>
          <w:highlight w:val="none"/>
          <w:u w:val="single"/>
        </w:rPr>
        <w:t xml:space="preserve"> 承包人收到保修通知后24小时内到达工程现场</w:t>
      </w:r>
      <w:r>
        <w:rPr>
          <w:rFonts w:hint="eastAsia" w:ascii="仿宋" w:hAnsi="仿宋" w:eastAsia="仿宋" w:cs="仿宋"/>
          <w:color w:val="auto"/>
          <w:sz w:val="24"/>
          <w:szCs w:val="24"/>
          <w:highlight w:val="none"/>
        </w:rPr>
        <w:t xml:space="preserve">。</w:t>
      </w:r>
      <w:bookmarkEnd w:id="621"/>
      <w:r/>
      <w:bookmarkEnd w:id="622"/>
      <w:r/>
      <w:bookmarkEnd w:id="623"/>
      <w:r/>
      <w:bookmarkEnd w:id="624"/>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647" w:name="_Toc351203648"/>
      <w:r/>
      <w:bookmarkStart w:id="648" w:name="_Toc280868717"/>
      <w:r/>
      <w:bookmarkStart w:id="649" w:name="_Toc280868718"/>
      <w:r>
        <w:rPr>
          <w:rFonts w:hint="eastAsia" w:ascii="仿宋" w:hAnsi="仿宋" w:eastAsia="仿宋" w:cs="仿宋"/>
          <w:color w:val="auto"/>
          <w:sz w:val="24"/>
          <w:szCs w:val="24"/>
          <w:highlight w:val="none"/>
        </w:rPr>
        <w:t xml:space="preserve">16. 违约</w:t>
      </w:r>
      <w:bookmarkEnd w:id="647"/>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16.1 发包人违约</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16.1.1 发包人违约的情形</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发包人违约的其他情形：</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    16.1.2 发包人违约的责任</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发包人违约责任的承担方式和计算方法：</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(1)因发包人原因未能在计划开工日期前7天内下达开工通知的违约责任：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(2)因发包人原因未能按合同约定支付合同价款的违约责任：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(3)发包人违反第10.1款〔变更的范围〕第（2）项约定，自行实施被取消的工作或转由他人实施的违约责任：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(5)因发包人违反合同约定造成暂停施工的违约责任：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(6)发包人无正当理由没有在约定期限内发出复工指示，导致承包人无法复工的违约责任：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(7)其他：</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16.1.3 因发包人违约解除合同</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承包人按16.1.1项〔发包人违约的情形〕约定暂停施工满</w:t>
      </w:r>
      <w:r>
        <w:rPr>
          <w:rFonts w:hint="eastAsia" w:ascii="仿宋" w:hAnsi="仿宋" w:eastAsia="仿宋" w:cs="仿宋"/>
          <w:color w:val="auto"/>
          <w:sz w:val="24"/>
          <w:szCs w:val="24"/>
          <w:highlight w:val="none"/>
          <w:u w:val="single"/>
        </w:rPr>
        <w:t xml:space="preserve">  60  </w:t>
      </w:r>
      <w:r>
        <w:rPr>
          <w:rFonts w:hint="eastAsia" w:ascii="仿宋" w:hAnsi="仿宋" w:eastAsia="仿宋" w:cs="仿宋"/>
          <w:color w:val="auto"/>
          <w:sz w:val="24"/>
          <w:szCs w:val="24"/>
          <w:highlight w:val="none"/>
        </w:rPr>
        <w:t xml:space="preserve">天后发包人仍不纠正其违约行为并致使合同目的不能实现的，承包人有权解除合同。</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16.2 承包人违约</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16.2.1 承包人违约的情形</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承包人违约的其他情形：</w:t>
      </w:r>
      <w:r>
        <w:rPr>
          <w:rFonts w:hint="eastAsia" w:ascii="仿宋" w:hAnsi="仿宋" w:eastAsia="仿宋" w:cs="仿宋"/>
          <w:color w:val="auto"/>
          <w:sz w:val="24"/>
          <w:szCs w:val="24"/>
          <w:highlight w:val="none"/>
          <w:u w:val="single"/>
        </w:rPr>
        <w:t xml:space="preserve">1、承包人应当按照合同中确定的开工日期开工，承包人承诺每逾期一天，按照合同总价款的万分之二计算，向发包人给付违约金。</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2、承包人承诺有下列情形之一者，发包人有权要求承包人承担违约责任，赔偿发包人损失，并可以要求解除或终止本合同的一部分或全部：</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超过合同中确定的或发包人要求开工日期达十天（含十天）以上的；</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承包人有转移资产、抽逃资金、工人及设备数据不足及其它丧失履约能力之情形；</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t xml:space="preserve">承包人违反本合同任何条款规定，经发包人限期改正而未改正；</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u w:val="single"/>
        </w:rPr>
        <w:t xml:space="preserve">承包人工作草率、偷工减料、消极怠工或不听从发包人指示，屡教不改；</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u w:val="single"/>
        </w:rPr>
        <w:t xml:space="preserve">承包人工程质量不合格，发包人有权要求承包人在限期内无偿修理或者返工、改建，并进行相应经济处罚，如未在限期内完成，发包人有权解除或终止合同；</w:t>
      </w:r>
      <w:r/>
    </w:p>
    <w:p>
      <w:pPr>
        <w:ind w:firstLine="420"/>
        <w:spacing w:line="360" w:lineRule="auto"/>
        <w:rPr>
          <w:rFonts w:hint="eastAsia" w:ascii="仿宋" w:hAnsi="仿宋" w:eastAsia="仿宋" w:cs="仿宋"/>
          <w:color w:val="auto"/>
          <w:sz w:val="24"/>
          <w:szCs w:val="24"/>
          <w:highlight w:val="none"/>
          <w:u w:val="single"/>
        </w:rPr>
        <w:outlineLvl w:val="4"/>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u w:val="single"/>
        </w:rPr>
        <w:t xml:space="preserve">承包人其他违约行为，影响合同目的实现的。</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如本合同经发包人解除或终止，承包人承诺按照发包人的要求妥善做好施工场地的保护和移交工作，按发包人要求将自有机械设备和人员撤出施工场地。发包人有权以任何方式将全部或一部分工程改交他人承揽或施工，对此承包人不得异议﹐且应积极配合发包人办理工程报建等相关项目的变更登记手续。</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3、在合同履行过程中，承包人不得以任何理由暂停工程或影响工程进度，只有经发包人书面同意才可顺延工期；非经发包人书面同意，任何事实、指令或文件都不能顺延工期。若承包人擅自停工而影响工程进度，发包人可以有权随时解除合同，并没收承包人的履约保函等各种担保、保证。承包人应立即返还发包人所付之工程、材料款。解除合同后，发包人可以依其认为适当的条件、方式与其它施工单位签约以完成工程，承包人应赔偿发包人因此所受之损失及所增加之费用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16.2.2 承包人违约的责任</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承包人违约责任的承担方式和计算方法：</w:t>
      </w:r>
      <w:r>
        <w:rPr>
          <w:rFonts w:hint="eastAsia" w:ascii="仿宋" w:hAnsi="仿宋" w:eastAsia="仿宋" w:cs="仿宋"/>
          <w:color w:val="auto"/>
          <w:sz w:val="24"/>
          <w:szCs w:val="24"/>
          <w:highlight w:val="none"/>
          <w:u w:val="single"/>
        </w:rPr>
        <w:t xml:space="preserve">1、发包人有权要求解除合同，并由承包人承担由此引起的一切损失，并负责由此引起的一切法律责任，并赔偿由此引起的发包人的一切经济损失。</w:t>
      </w:r>
      <w:r/>
    </w:p>
    <w:p>
      <w:pPr>
        <w:ind w:firstLine="420"/>
        <w:spacing w:line="360" w:lineRule="auto"/>
        <w:rPr>
          <w:rFonts w:hint="eastAsia" w:ascii="仿宋" w:hAnsi="仿宋" w:eastAsia="仿宋" w:cs="仿宋"/>
          <w:color w:val="auto"/>
          <w:sz w:val="24"/>
          <w:szCs w:val="24"/>
          <w:highlight w:val="none"/>
          <w:u w:val="single"/>
        </w:rPr>
        <w:outlineLvl w:val="1"/>
      </w:pPr>
      <w:r>
        <w:rPr>
          <w:rFonts w:hint="eastAsia" w:ascii="仿宋" w:hAnsi="仿宋" w:eastAsia="仿宋" w:cs="仿宋"/>
          <w:color w:val="auto"/>
          <w:sz w:val="24"/>
          <w:szCs w:val="24"/>
          <w:highlight w:val="none"/>
          <w:u w:val="single"/>
        </w:rPr>
        <w:t xml:space="preserve">2、工期每延期一天，罚款合同总价的5‰ 。</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3、承包人确保达到投标时承诺的质量标准，否则赔偿合同总价的2%。</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承包人若发生重大安全、质量事故，除按有关规定执行外所增加的费用，由承包人承担。对因此而引起的工期延误等给发包方造成的损失承包人应承担赔偿责任。对质量问题，承包人必须采取措施，达到设计要求  </w:t>
      </w:r>
      <w:r>
        <w:rPr>
          <w:rFonts w:hint="eastAsia" w:ascii="仿宋" w:hAnsi="仿宋" w:eastAsia="仿宋" w:cs="仿宋"/>
          <w:color w:val="auto"/>
          <w:sz w:val="24"/>
          <w:szCs w:val="24"/>
          <w:highlight w:val="none"/>
        </w:rPr>
        <w:t xml:space="preserve">。    </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16.2.3 因承包人违约解除合同</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关于承包人违约解除合同的特别约定：</w:t>
      </w:r>
      <w:r>
        <w:rPr>
          <w:rFonts w:hint="eastAsia" w:ascii="仿宋" w:hAnsi="仿宋" w:eastAsia="仿宋" w:cs="仿宋"/>
          <w:color w:val="auto"/>
          <w:sz w:val="24"/>
          <w:szCs w:val="24"/>
          <w:highlight w:val="none"/>
          <w:u w:val="single"/>
        </w:rPr>
        <w:t xml:space="preserve">工期延误达10天以上，发包人有权解除合同，合同的解除不免除承包人按照本条款的约定承担工期延误违约责任。如果承包人借故拖延工程进度、导致工程停工超过15日，发包人有权更换施工单位，并且由此造成的一切损失（包括但不限于重新招标费用、重新招 标的中标价与原中标价的价差、工期延误等）均由承包人负责赔偿。所有违约金和赔偿金的支付不减轻承包人合同项下的任何责任和义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auto"/>
          <w:sz w:val="24"/>
          <w:szCs w:val="24"/>
          <w:highlight w:val="none"/>
          <w:u w:val="single"/>
        </w:rPr>
        <w:t xml:space="preserve">  另行协商  </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650" w:name="_Toc351203649"/>
      <w:r>
        <w:rPr>
          <w:rFonts w:hint="eastAsia" w:ascii="仿宋" w:hAnsi="仿宋" w:eastAsia="仿宋" w:cs="仿宋"/>
          <w:color w:val="auto"/>
          <w:sz w:val="24"/>
          <w:szCs w:val="24"/>
          <w:highlight w:val="none"/>
        </w:rPr>
        <w:t xml:space="preserve">17. 不可抗力</w:t>
      </w:r>
      <w:bookmarkEnd w:id="648"/>
      <w:r/>
      <w:bookmarkEnd w:id="650"/>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17.1 不可抗力的确认</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除通用合同条款约定的不可抗力事件之外，视为不可抗力的其他情形</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17.4 因不可抗力解除合同</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合同解除后，发包人应在商定或确定发包人应支付款项后</w:t>
      </w:r>
      <w:r>
        <w:rPr>
          <w:rFonts w:hint="eastAsia" w:ascii="仿宋" w:hAnsi="仿宋" w:eastAsia="仿宋" w:cs="仿宋"/>
          <w:color w:val="auto"/>
          <w:sz w:val="24"/>
          <w:szCs w:val="24"/>
          <w:highlight w:val="none"/>
          <w:u w:val="single"/>
        </w:rPr>
        <w:t xml:space="preserve">  60  </w:t>
      </w:r>
      <w:r>
        <w:rPr>
          <w:rFonts w:hint="eastAsia" w:ascii="仿宋" w:hAnsi="仿宋" w:eastAsia="仿宋" w:cs="仿宋"/>
          <w:color w:val="auto"/>
          <w:sz w:val="24"/>
          <w:szCs w:val="24"/>
          <w:highlight w:val="none"/>
        </w:rPr>
        <w:t xml:space="preserve">天内完成款项的支付。</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651" w:name="_Toc351203650"/>
      <w:r>
        <w:rPr>
          <w:rFonts w:hint="eastAsia" w:ascii="仿宋" w:hAnsi="仿宋" w:eastAsia="仿宋" w:cs="仿宋"/>
          <w:color w:val="auto"/>
          <w:sz w:val="24"/>
          <w:szCs w:val="24"/>
          <w:highlight w:val="none"/>
        </w:rPr>
        <w:t xml:space="preserve">18. 保险</w:t>
      </w:r>
      <w:bookmarkEnd w:id="649"/>
      <w:r/>
      <w:bookmarkEnd w:id="651"/>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18.1 工程保险</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关于工程保险的特别约定：</w:t>
      </w:r>
      <w:r>
        <w:rPr>
          <w:rFonts w:hint="eastAsia" w:ascii="仿宋" w:hAnsi="仿宋" w:eastAsia="仿宋" w:cs="仿宋"/>
          <w:color w:val="auto"/>
          <w:sz w:val="24"/>
          <w:szCs w:val="24"/>
          <w:highlight w:val="none"/>
          <w:u w:val="single"/>
        </w:rPr>
        <w:t xml:space="preserve">  承包人应按照国家强制性规定和自身需要，以承包人或承包人和发包人共同名义投保有关险种，所需费用包含在投标报价中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18.3 其他保险</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关于其他保险的约定：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承包人是否应为其施工设备等办理财产保险：</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18.4 通知义务</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关于变更保险合同时的通知义务的约定：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652" w:name="_Toc351203651"/>
      <w:r>
        <w:rPr>
          <w:rFonts w:hint="eastAsia" w:ascii="仿宋" w:hAnsi="仿宋" w:eastAsia="仿宋" w:cs="仿宋"/>
          <w:color w:val="auto"/>
          <w:sz w:val="24"/>
          <w:szCs w:val="24"/>
          <w:highlight w:val="none"/>
        </w:rPr>
        <w:t xml:space="preserve">19. 争议解决</w:t>
      </w:r>
      <w:bookmarkEnd w:id="637"/>
      <w:r/>
      <w:bookmarkEnd w:id="638"/>
      <w:r/>
      <w:bookmarkEnd w:id="652"/>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19.1 争</w:t>
      </w:r>
      <w:bookmarkEnd w:id="639"/>
      <w:r>
        <w:rPr>
          <w:rFonts w:hint="eastAsia" w:ascii="仿宋" w:hAnsi="仿宋" w:eastAsia="仿宋" w:cs="仿宋"/>
          <w:color w:val="auto"/>
          <w:sz w:val="24"/>
          <w:szCs w:val="24"/>
          <w:highlight w:val="none"/>
        </w:rPr>
        <w:t xml:space="preserve">议评审</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合同当事人是否同意将工程争议提交争议评审小组决定：。  </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19.1.1 争议评审小组的确定</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争议评审小组成员的确定：</w:t>
      </w:r>
      <w:r>
        <w:rPr>
          <w:rFonts w:hint="eastAsia" w:ascii="仿宋" w:hAnsi="仿宋" w:eastAsia="仿宋" w:cs="仿宋"/>
          <w:color w:val="auto"/>
          <w:sz w:val="24"/>
          <w:szCs w:val="24"/>
          <w:highlight w:val="none"/>
          <w:u w:val="single"/>
        </w:rPr>
        <w:t xml:space="preserve">       不提交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选定争议评审员的期限：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争议评审小组成员的报酬承担方式：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其他事项的约定：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19.1.2 争议评审小组的决定</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合同当事人关于本项的约定：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19.2 仲裁或诉讼</w:t>
      </w:r>
      <w:bookmarkEnd w:id="640"/>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因合同及合同有关事项发生的争议，按下列第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种方式解决：</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(1)向仲裁委员会申请仲裁；</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(2)向</w:t>
      </w:r>
      <w:r>
        <w:rPr>
          <w:rFonts w:hint="eastAsia" w:ascii="仿宋" w:hAnsi="仿宋" w:eastAsia="仿宋" w:cs="仿宋"/>
          <w:color w:val="auto"/>
          <w:sz w:val="24"/>
          <w:szCs w:val="24"/>
          <w:highlight w:val="none"/>
          <w:u w:val="single"/>
        </w:rPr>
        <w:t xml:space="preserve">   新沂市  </w:t>
      </w:r>
      <w:r>
        <w:rPr>
          <w:rFonts w:hint="eastAsia" w:ascii="仿宋" w:hAnsi="仿宋" w:eastAsia="仿宋" w:cs="仿宋"/>
          <w:color w:val="auto"/>
          <w:sz w:val="24"/>
          <w:szCs w:val="24"/>
          <w:highlight w:val="none"/>
        </w:rPr>
        <w:t xml:space="preserve">人民法院起诉。</w:t>
      </w:r>
      <w:bookmarkEnd w:id="641"/>
      <w:r/>
      <w:bookmarkEnd w:id="642"/>
      <w:r/>
      <w:bookmarkEnd w:id="643"/>
      <w:r/>
      <w:bookmarkEnd w:id="644"/>
      <w:r/>
      <w:bookmarkEnd w:id="645"/>
      <w:r/>
      <w:bookmarkEnd w:id="646"/>
      <w:r/>
      <w:bookmarkStart w:id="653" w:name="_Toc358569763"/>
      <w:r/>
      <w:r/>
    </w:p>
    <w:p>
      <w:pPr>
        <w:pStyle w:val="1048"/>
        <w:keepLines w:val="0"/>
        <w:keepNext w:val="0"/>
        <w:spacing w:before="0" w:after="0" w:line="360" w:lineRule="auto"/>
        <w:widowControl/>
        <w:rPr>
          <w:rFonts w:hint="eastAsia" w:ascii="仿宋" w:hAnsi="仿宋" w:eastAsia="仿宋" w:cs="仿宋"/>
          <w:color w:val="auto"/>
          <w:sz w:val="24"/>
          <w:szCs w:val="24"/>
          <w:highlight w:val="none"/>
        </w:rPr>
        <w:outlineLvl w:val="9"/>
      </w:pPr>
      <w:r/>
      <w:bookmarkStart w:id="654" w:name="_Toc2511"/>
      <w:r/>
      <w:bookmarkStart w:id="655" w:name="_Toc25273"/>
      <w:r/>
      <w:r/>
    </w:p>
    <w:p>
      <w:pPr>
        <w:pStyle w:val="733"/>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49"/>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49"/>
        <w:rPr>
          <w:rFonts w:hint="eastAsia" w:ascii="仿宋" w:hAnsi="仿宋" w:eastAsia="仿宋" w:cs="仿宋"/>
          <w:highlight w:val="none"/>
        </w:rPr>
        <w:outlineLvl w:val="9"/>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pStyle w:val="1048"/>
        <w:keepLines w:val="0"/>
        <w:keepNext w:val="0"/>
        <w:spacing w:before="0" w:after="0" w:line="360" w:lineRule="auto"/>
        <w:widowControl/>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专用合同条件附件</w:t>
      </w:r>
      <w:bookmarkEnd w:id="654"/>
      <w:r/>
      <w:bookmarkEnd w:id="655"/>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附件1：工程质量保修书</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附件2：主要建设工程文件目录</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附件3：承包人主要管理人员表</w:t>
      </w:r>
      <w:r/>
    </w:p>
    <w:p>
      <w:pPr>
        <w:pStyle w:val="1050"/>
        <w:rPr>
          <w:rFonts w:hint="eastAsia" w:ascii="仿宋" w:hAnsi="仿宋" w:eastAsia="仿宋" w:cs="仿宋"/>
          <w:color w:val="auto"/>
          <w:sz w:val="24"/>
          <w:szCs w:val="24"/>
          <w:highlight w:val="none"/>
        </w:rPr>
        <w:outlineLvl w:val="9"/>
      </w:pPr>
      <w:r/>
      <w:bookmarkStart w:id="656" w:name="_Toc32488"/>
      <w:r/>
      <w:bookmarkStart w:id="657" w:name="_Toc20171895"/>
      <w:r>
        <w:rPr>
          <w:rFonts w:hint="eastAsia" w:ascii="仿宋" w:hAnsi="仿宋" w:eastAsia="仿宋" w:cs="仿宋"/>
          <w:color w:val="auto"/>
          <w:sz w:val="24"/>
          <w:szCs w:val="24"/>
          <w:highlight w:val="none"/>
        </w:rPr>
        <w:br w:type="page" w:clear="all"/>
      </w:r>
      <w:r>
        <w:rPr>
          <w:rFonts w:hint="eastAsia" w:ascii="仿宋" w:hAnsi="仿宋" w:eastAsia="仿宋" w:cs="仿宋"/>
          <w:color w:val="auto"/>
          <w:sz w:val="24"/>
          <w:szCs w:val="24"/>
          <w:highlight w:val="none"/>
        </w:rPr>
        <w:t xml:space="preserve">附件1  工程质量保修书</w:t>
      </w:r>
      <w:bookmarkEnd w:id="656"/>
      <w:r/>
      <w:bookmarkEnd w:id="657"/>
      <w:r/>
      <w:r/>
    </w:p>
    <w:p>
      <w:pPr>
        <w:ind w:firstLine="42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发包人（全称）：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新沂市住房和城乡建设局</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承包人（全称）：</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发包人和承包人根据《中华人民共和国建筑法》和《建设工程质量管理条例》，经协商一致就（工程全称）订立工程质量保修书。</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一、工程质量保修范围和内容</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承包人在质量保修期内，按照有关法律规定和合同约定，承担工程质量保修责任。</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二、质量保修期</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根据《建设工程质量管理条例》及有关规定，工程的质量保修期如下：</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1．地基基础工程和主体结构工程为设计文件规定的工程合理使用年限；</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2．屋面防水工程、有防水要求的卫生间、房间和外墙面的防渗为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5</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3．装修工程为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4．电气管线、给排水管道、设备安装工程为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5．供热与供冷系统为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个采暖期、供冷期；</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6．住宅小区内的给排水设施、道路等配套工程为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年；</w:t>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7．其他项目保修期限约定如下：。</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质量保修期自工程竣工验收合格之日起计算。</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三、缺陷责任期</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工程缺陷责任期为</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个月，缺陷责任期自工程通过竣工验收之日起计算。单位/区段工程先于全部工程进行验收，单位/区段工程缺陷责任期自单位/区段工程验收合格之日起算。</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四、质量保修责任</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1．属于保修范围、内容的项目，承包人应当在接到保修通知之日起7天内派人保修。承包人不在约定期限内派人保修的，发包人可以委托他人修理。</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2．发生紧急事故需抢修的，承包人在接到事故通知后，应当立即到达事故现场抢修。</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4．质量保修完成后，由发包人组织验收。</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五、保修费用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保修费用由造成质量缺陷的责任方承担。</w:t>
      </w:r>
      <w:r/>
    </w:p>
    <w:p>
      <w:pPr>
        <w:ind w:firstLine="420"/>
        <w:spacing w:line="360" w:lineRule="auto"/>
        <w:rPr>
          <w:rFonts w:hint="eastAsia" w:ascii="仿宋" w:hAnsi="仿宋" w:eastAsia="仿宋" w:cs="仿宋"/>
          <w:color w:val="auto"/>
          <w:sz w:val="24"/>
          <w:szCs w:val="24"/>
          <w:highlight w:val="none"/>
          <w:u w:val="single"/>
        </w:rPr>
        <w:outlineLvl w:val="2"/>
      </w:pPr>
      <w:r>
        <w:rPr>
          <w:rFonts w:hint="eastAsia" w:ascii="仿宋" w:hAnsi="仿宋" w:eastAsia="仿宋" w:cs="仿宋"/>
          <w:color w:val="auto"/>
          <w:sz w:val="24"/>
          <w:szCs w:val="24"/>
          <w:highlight w:val="none"/>
        </w:rPr>
        <w:t xml:space="preserve">六、双方约定的其他工程质量保修事项：。</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工程质量保修书由发包人、承包人在工程竣工验收前共同签署，作为工程总承包合同附件，其有效期限至保修期满。</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7"/>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发包人(公章)：                           承包人(公章)：          </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                                 地  址：       </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法定代表人(签字)：                       法定代表人(签字)：       </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委托代理人(签字)：                       委托代理人(签字)：       </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                                 电  话：</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                                 传  真：  </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                               开户银行：</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  号：                                 账  号： </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                               邮政编码：</w:t>
      </w:r>
      <w:r/>
    </w:p>
    <w:p>
      <w:pPr>
        <w:pStyle w:val="1050"/>
        <w:rPr>
          <w:rFonts w:hint="eastAsia" w:ascii="仿宋" w:hAnsi="仿宋" w:eastAsia="仿宋" w:cs="仿宋"/>
          <w:color w:val="auto"/>
          <w:sz w:val="24"/>
          <w:szCs w:val="24"/>
          <w:highlight w:val="none"/>
        </w:rPr>
        <w:outlineLvl w:val="9"/>
      </w:pPr>
      <w:r/>
      <w:bookmarkStart w:id="658" w:name="_Toc9101"/>
      <w:r/>
      <w:bookmarkStart w:id="659" w:name="_Toc20171896"/>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50"/>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50"/>
        <w:rPr>
          <w:rFonts w:hint="eastAsia" w:ascii="仿宋" w:hAnsi="仿宋" w:eastAsia="仿宋" w:cs="仿宋"/>
          <w:color w:val="auto"/>
          <w:sz w:val="24"/>
          <w:szCs w:val="24"/>
          <w:highlight w:val="none"/>
        </w:rPr>
        <w:outlineLvl w:val="0"/>
      </w:pPr>
      <w:r/>
      <w:bookmarkStart w:id="660" w:name="_Toc7898"/>
      <w:r/>
      <w:bookmarkStart w:id="661" w:name="_Toc16795"/>
      <w:r>
        <w:rPr>
          <w:rFonts w:hint="eastAsia" w:ascii="仿宋" w:hAnsi="仿宋" w:eastAsia="仿宋" w:cs="仿宋"/>
          <w:color w:val="auto"/>
          <w:sz w:val="24"/>
          <w:szCs w:val="24"/>
          <w:highlight w:val="none"/>
        </w:rPr>
        <w:t xml:space="preserve">附件2  主要建设工程文件目录</w:t>
      </w:r>
      <w:bookmarkEnd w:id="658"/>
      <w:r/>
      <w:bookmarkEnd w:id="659"/>
      <w:r/>
      <w:bookmarkEnd w:id="660"/>
      <w:r/>
      <w:bookmarkEnd w:id="661"/>
      <w:r/>
      <w:r/>
    </w:p>
    <w:tbl>
      <w:tblPr>
        <w:tblStyle w:val="723"/>
        <w:tblW w:w="921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2125"/>
        <w:gridCol w:w="1276"/>
        <w:gridCol w:w="1450"/>
        <w:gridCol w:w="1243"/>
        <w:gridCol w:w="1450"/>
        <w:gridCol w:w="1670"/>
      </w:tblGrid>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文件名称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套数</w:t>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费用（元）</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w:t>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移交时间</w:t>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责任人</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bookmarkStart w:id="662" w:name="_Toc16062"/>
      <w:r/>
      <w:bookmarkStart w:id="663" w:name="_Toc20171897"/>
      <w:r/>
      <w:r/>
    </w:p>
    <w:p>
      <w:pPr>
        <w:pStyle w:val="1050"/>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1050"/>
        <w:rPr>
          <w:rFonts w:hint="eastAsia" w:ascii="仿宋" w:hAnsi="仿宋" w:eastAsia="仿宋" w:cs="仿宋"/>
          <w:highlight w:val="none"/>
        </w:rPr>
        <w:outlineLvl w:val="0"/>
      </w:pPr>
      <w:r/>
      <w:bookmarkStart w:id="664" w:name="_Toc21360"/>
      <w:r/>
      <w:bookmarkStart w:id="665" w:name="_Toc27181"/>
      <w:r>
        <w:rPr>
          <w:rFonts w:hint="eastAsia" w:ascii="仿宋" w:hAnsi="仿宋" w:eastAsia="仿宋" w:cs="仿宋"/>
          <w:color w:val="auto"/>
          <w:sz w:val="24"/>
          <w:szCs w:val="24"/>
          <w:highlight w:val="none"/>
        </w:rPr>
        <w:t xml:space="preserve">附件3 承包人主要管理人员表</w:t>
      </w:r>
      <w:bookmarkEnd w:id="662"/>
      <w:r/>
      <w:bookmarkEnd w:id="663"/>
      <w:r/>
      <w:bookmarkEnd w:id="664"/>
      <w:r/>
      <w:bookmarkEnd w:id="665"/>
      <w:r/>
      <w:r/>
    </w:p>
    <w:tbl>
      <w:tblPr>
        <w:tblStyle w:val="723"/>
        <w:tblW w:w="887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1470"/>
        <w:gridCol w:w="1385"/>
        <w:gridCol w:w="1107"/>
        <w:gridCol w:w="1107"/>
        <w:gridCol w:w="3808"/>
      </w:tblGrid>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职务</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职称</w:t>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主要资历、经验及承担过的项目</w:t>
            </w:r>
            <w:r/>
          </w:p>
        </w:tc>
      </w:tr>
      <w:tr>
        <w:trPr>
          <w:jc w:val="center"/>
          <w:trHeight w:val="591" w:hRule="exact"/>
        </w:trPr>
        <w:tc>
          <w:tcPr>
            <w:gridSpan w:val="5"/>
            <w:tcBorders>
              <w:top w:val="single" w:color="auto" w:sz="4" w:space="0"/>
              <w:left w:val="single" w:color="auto" w:sz="4" w:space="0"/>
              <w:bottom w:val="single" w:color="auto" w:sz="4" w:space="0"/>
              <w:right w:val="single" w:color="auto" w:sz="4" w:space="0"/>
            </w:tcBorders>
            <w:tcW w:w="887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一、总部人员</w:t>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项目主管</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其他人员</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gridSpan w:val="5"/>
            <w:tcBorders>
              <w:top w:val="single" w:color="auto" w:sz="4" w:space="0"/>
              <w:left w:val="single" w:color="auto" w:sz="4" w:space="0"/>
              <w:bottom w:val="single" w:color="auto" w:sz="4" w:space="0"/>
              <w:right w:val="single" w:color="auto" w:sz="4" w:space="0"/>
            </w:tcBorders>
            <w:tcW w:w="887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二、现场人员</w:t>
            </w:r>
            <w:r/>
          </w:p>
        </w:tc>
      </w:tr>
      <w:tr>
        <w:trPr>
          <w:jc w:val="center"/>
          <w:trHeight w:val="802"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工程总承包</w:t>
            </w:r>
            <w:r/>
          </w:p>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项目经理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项目副经理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设计负责人</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采购负责人</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施工负责人</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技术负责人</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造价管理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环境管理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其他人员</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bookmarkEnd w:id="653"/>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48"/>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768"/>
        <w:ind w:left="0" w:firstLine="0"/>
        <w:keepLines w:val="0"/>
        <w:keepNext w:val="0"/>
        <w:pageBreakBefore w:val="0"/>
        <w:spacing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sectPr>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Courier New">
    <w:panose1 w:val="02070309020205020404"/>
  </w:font>
  <w:font w:name="Tahoma">
    <w:panose1 w:val="020B0604030504040204"/>
  </w:font>
  <w:font w:name="金山简黑体">
    <w:panose1 w:val="020B0503020202020204"/>
  </w:font>
  <w:font w:name="仿宋">
    <w:panose1 w:val="02010609060101010101"/>
  </w:font>
  <w:font w:name="Cambria">
    <w:panose1 w:val="02040503050406030204"/>
  </w:font>
  <w:font w:name="黑体">
    <w:panose1 w:val="02010609060101010101"/>
  </w:font>
  <w:font w:name="仿宋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9"/>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9"/>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uiPriority w:val="0"/>
    <w:qFormat/>
    <w:rPr>
      <w:rFonts w:hint="default" w:ascii="Calibri" w:hAnsi="Calibri" w:eastAsia="宋体" w:cs="Times New Roman"/>
      <w:lang w:val="en-US" w:eastAsia="zh-CN" w:bidi="ar-SA"/>
    </w:rPr>
  </w:style>
  <w:style w:type="paragraph" w:styleId="713">
    <w:name w:val="Heading 1"/>
    <w:basedOn w:val="712"/>
    <w:next w:val="712"/>
    <w:uiPriority w:val="0"/>
    <w:qFormat/>
    <w:pPr>
      <w:keepLines/>
      <w:keepNext/>
      <w:spacing w:before="480" w:after="200"/>
      <w:outlineLvl w:val="0"/>
    </w:pPr>
    <w:rPr>
      <w:rFonts w:ascii="Arial" w:hAnsi="Arial" w:eastAsia="Arial" w:cs="Arial"/>
      <w:sz w:val="40"/>
      <w:szCs w:val="40"/>
    </w:rPr>
  </w:style>
  <w:style w:type="paragraph" w:styleId="714">
    <w:name w:val="Heading 2"/>
    <w:basedOn w:val="712"/>
    <w:next w:val="724"/>
    <w:uiPriority w:val="0"/>
    <w:qFormat/>
    <w:pPr>
      <w:keepLines/>
      <w:keepNext/>
      <w:spacing w:before="360" w:after="200"/>
      <w:outlineLvl w:val="1"/>
    </w:pPr>
    <w:rPr>
      <w:rFonts w:ascii="Arial" w:hAnsi="Arial" w:eastAsia="Arial" w:cs="Arial"/>
      <w:sz w:val="34"/>
    </w:rPr>
  </w:style>
  <w:style w:type="paragraph" w:styleId="715">
    <w:name w:val="Heading 3"/>
    <w:basedOn w:val="712"/>
    <w:next w:val="712"/>
    <w:uiPriority w:val="0"/>
    <w:qFormat/>
    <w:pPr>
      <w:keepLines/>
      <w:keepNext/>
      <w:spacing w:before="320" w:after="200"/>
      <w:outlineLvl w:val="2"/>
    </w:pPr>
    <w:rPr>
      <w:rFonts w:ascii="Arial" w:hAnsi="Arial" w:eastAsia="Arial" w:cs="Arial"/>
      <w:sz w:val="30"/>
      <w:szCs w:val="30"/>
      <w:lang w:val="en-US" w:eastAsia="zh-CN" w:bidi="ar-SA"/>
    </w:rPr>
  </w:style>
  <w:style w:type="paragraph" w:styleId="716">
    <w:name w:val="Heading 4"/>
    <w:basedOn w:val="712"/>
    <w:next w:val="712"/>
    <w:uiPriority w:val="0"/>
    <w:qFormat/>
    <w:pPr>
      <w:keepLines/>
      <w:keepNext/>
      <w:spacing w:before="320" w:after="200"/>
      <w:outlineLvl w:val="3"/>
    </w:pPr>
    <w:rPr>
      <w:rFonts w:ascii="Arial" w:hAnsi="Arial" w:eastAsia="Arial" w:cs="Arial"/>
      <w:b/>
      <w:bCs/>
      <w:sz w:val="26"/>
      <w:szCs w:val="26"/>
    </w:rPr>
  </w:style>
  <w:style w:type="paragraph" w:styleId="717">
    <w:name w:val="Heading 5"/>
    <w:next w:val="712"/>
    <w:uiPriority w:val="0"/>
    <w:qFormat/>
    <w:pPr>
      <w:keepLines/>
      <w:keepNext/>
      <w:spacing w:before="320" w:after="200"/>
      <w:outlineLvl w:val="4"/>
    </w:pPr>
    <w:rPr>
      <w:rFonts w:hint="default" w:ascii="Arial" w:hAnsi="Arial" w:eastAsia="Arial" w:cs="Arial"/>
      <w:b/>
      <w:bCs/>
      <w:sz w:val="24"/>
      <w:szCs w:val="24"/>
      <w:lang w:val="en-US" w:eastAsia="zh-CN" w:bidi="ar-SA"/>
    </w:rPr>
  </w:style>
  <w:style w:type="paragraph" w:styleId="718">
    <w:name w:val="Heading 6"/>
    <w:next w:val="712"/>
    <w:uiPriority w:val="0"/>
    <w:qFormat/>
    <w:pPr>
      <w:keepLines/>
      <w:keepNext/>
      <w:spacing w:before="320" w:after="200"/>
      <w:outlineLvl w:val="5"/>
    </w:pPr>
    <w:rPr>
      <w:rFonts w:hint="default" w:ascii="Arial" w:hAnsi="Arial" w:eastAsia="Arial" w:cs="Arial"/>
      <w:b/>
      <w:bCs/>
      <w:sz w:val="22"/>
      <w:szCs w:val="22"/>
      <w:lang w:val="en-US" w:eastAsia="zh-CN" w:bidi="ar-SA"/>
    </w:rPr>
  </w:style>
  <w:style w:type="paragraph" w:styleId="719">
    <w:name w:val="Heading 7"/>
    <w:next w:val="712"/>
    <w:uiPriority w:val="0"/>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20">
    <w:name w:val="Heading 8"/>
    <w:next w:val="712"/>
    <w:uiPriority w:val="0"/>
    <w:qFormat/>
    <w:pPr>
      <w:keepLines/>
      <w:keepNext/>
      <w:spacing w:before="320" w:after="200"/>
      <w:outlineLvl w:val="7"/>
    </w:pPr>
    <w:rPr>
      <w:rFonts w:hint="default" w:ascii="Arial" w:hAnsi="Arial" w:eastAsia="Arial" w:cs="Arial"/>
      <w:i/>
      <w:iCs/>
      <w:sz w:val="22"/>
      <w:szCs w:val="22"/>
      <w:lang w:val="en-US" w:eastAsia="zh-CN" w:bidi="ar-SA"/>
    </w:rPr>
  </w:style>
  <w:style w:type="paragraph" w:styleId="721">
    <w:name w:val="Heading 9"/>
    <w:next w:val="712"/>
    <w:uiPriority w:val="0"/>
    <w:qFormat/>
    <w:pPr>
      <w:keepLines/>
      <w:keepNext/>
      <w:spacing w:before="320" w:after="200"/>
      <w:outlineLvl w:val="8"/>
    </w:pPr>
    <w:rPr>
      <w:rFonts w:hint="default" w:ascii="Arial" w:hAnsi="Arial" w:eastAsia="Arial" w:cs="Arial"/>
      <w:i/>
      <w:iCs/>
      <w:sz w:val="21"/>
      <w:szCs w:val="21"/>
      <w:lang w:val="en-US" w:eastAsia="zh-CN" w:bidi="ar-SA"/>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Layout w:type="fixed"/>
      <w:tblCellMar>
        <w:left w:w="108" w:type="dxa"/>
        <w:top w:w="0" w:type="dxa"/>
        <w:right w:w="108" w:type="dxa"/>
        <w:bottom w:w="0" w:type="dxa"/>
      </w:tblCellMar>
    </w:tblPr>
  </w:style>
  <w:style w:type="paragraph" w:styleId="724">
    <w:name w:val="Normal Indent"/>
    <w:basedOn w:val="712"/>
    <w:next w:val="725"/>
    <w:uiPriority w:val="99"/>
    <w:unhideWhenUsed/>
    <w:qFormat/>
    <w:pPr>
      <w:ind w:firstLine="420"/>
    </w:pPr>
  </w:style>
  <w:style w:type="paragraph" w:styleId="725">
    <w:name w:val="Body Text Indent"/>
    <w:basedOn w:val="712"/>
    <w:next w:val="726"/>
    <w:uiPriority w:val="0"/>
    <w:qFormat/>
    <w:pPr>
      <w:ind w:firstLine="567"/>
      <w:spacing w:line="500" w:lineRule="exact"/>
      <w:tabs>
        <w:tab w:val="left" w:pos="0" w:leader="none"/>
        <w:tab w:val="left" w:pos="993" w:leader="none"/>
        <w:tab w:val="left" w:pos="1134" w:leader="none"/>
      </w:tabs>
    </w:pPr>
    <w:rPr>
      <w:rFonts w:ascii="宋体"/>
    </w:rPr>
  </w:style>
  <w:style w:type="paragraph" w:styleId="726">
    <w:name w:val="envelope return"/>
    <w:basedOn w:val="712"/>
    <w:uiPriority w:val="99"/>
    <w:unhideWhenUsed/>
    <w:qFormat/>
    <w:rPr>
      <w:rFonts w:ascii="Arial" w:hAnsi="Arial"/>
    </w:rPr>
  </w:style>
  <w:style w:type="paragraph" w:styleId="727">
    <w:name w:val="toc 7"/>
    <w:next w:val="712"/>
    <w:uiPriority w:val="0"/>
    <w:qFormat/>
    <w:pPr>
      <w:ind w:left="1701"/>
      <w:spacing w:after="57"/>
    </w:pPr>
    <w:rPr>
      <w:rFonts w:hint="default" w:ascii="Calibri" w:hAnsi="Calibri" w:eastAsia="宋体" w:cs="Times New Roman"/>
      <w:lang w:val="en-US" w:eastAsia="zh-CN" w:bidi="ar-SA"/>
    </w:rPr>
  </w:style>
  <w:style w:type="paragraph" w:styleId="728">
    <w:name w:val="Body Text First Indent"/>
    <w:basedOn w:val="729"/>
    <w:next w:val="730"/>
    <w:uiPriority w:val="0"/>
    <w:qFormat/>
    <w:pPr>
      <w:ind w:firstLine="200"/>
      <w:spacing w:line="360" w:lineRule="auto"/>
    </w:pPr>
    <w:rPr>
      <w:rFonts w:ascii="仿宋_GB2312" w:eastAsia="仿宋_GB2312"/>
      <w:sz w:val="30"/>
      <w:szCs w:val="30"/>
    </w:rPr>
  </w:style>
  <w:style w:type="paragraph" w:styleId="729">
    <w:name w:val="Body Text"/>
    <w:basedOn w:val="712"/>
    <w:next w:val="728"/>
    <w:uiPriority w:val="0"/>
    <w:qFormat/>
    <w:pPr>
      <w:spacing w:after="120"/>
    </w:pPr>
    <w:rPr>
      <w:rFonts w:ascii="Times New Roman" w:hAnsi="Times New Roman"/>
    </w:rPr>
  </w:style>
  <w:style w:type="paragraph" w:styleId="730">
    <w:name w:val="toc 6"/>
    <w:basedOn w:val="712"/>
    <w:next w:val="712"/>
    <w:uiPriority w:val="0"/>
    <w:qFormat/>
    <w:pPr>
      <w:ind w:left="1417"/>
      <w:spacing w:after="57"/>
    </w:pPr>
    <w:rPr>
      <w:rFonts w:hint="default" w:ascii="Calibri" w:hAnsi="Calibri" w:eastAsia="宋体" w:cs="Times New Roman"/>
      <w:lang w:val="en-US" w:eastAsia="zh-CN" w:bidi="ar-SA"/>
    </w:rPr>
  </w:style>
  <w:style w:type="paragraph" w:styleId="731">
    <w:name w:val="Caption"/>
    <w:next w:val="712"/>
    <w:uiPriority w:val="0"/>
    <w:qFormat/>
    <w:pPr>
      <w:spacing w:line="276" w:lineRule="auto"/>
    </w:pPr>
    <w:rPr>
      <w:rFonts w:hint="default" w:ascii="Calibri" w:hAnsi="Calibri" w:eastAsia="宋体" w:cs="Times New Roman"/>
      <w:b/>
      <w:bCs/>
      <w:color w:val="4f81bd"/>
      <w:sz w:val="18"/>
      <w:szCs w:val="18"/>
      <w:lang w:val="en-US" w:eastAsia="zh-CN" w:bidi="ar-SA"/>
    </w:rPr>
  </w:style>
  <w:style w:type="paragraph" w:styleId="732">
    <w:name w:val="annotation text"/>
    <w:basedOn w:val="712"/>
    <w:uiPriority w:val="0"/>
    <w:qFormat/>
    <w:pPr>
      <w:jc w:val="left"/>
    </w:pPr>
  </w:style>
  <w:style w:type="paragraph" w:styleId="733">
    <w:name w:val="Block Text"/>
    <w:basedOn w:val="712"/>
    <w:next w:val="712"/>
    <w:uiPriority w:val="0"/>
    <w:qFormat/>
    <w:pPr>
      <w:ind w:left="256" w:right="6" w:firstLine="624"/>
    </w:pPr>
    <w:rPr>
      <w:rFonts w:ascii="Times New Roman" w:hAnsi="Times New Roman" w:eastAsia="仿宋_GB2312"/>
      <w:sz w:val="28"/>
    </w:rPr>
  </w:style>
  <w:style w:type="paragraph" w:styleId="734">
    <w:name w:val="toc 5"/>
    <w:next w:val="712"/>
    <w:uiPriority w:val="0"/>
    <w:qFormat/>
    <w:pPr>
      <w:ind w:left="1134"/>
      <w:spacing w:after="57"/>
    </w:pPr>
    <w:rPr>
      <w:rFonts w:hint="default" w:ascii="Calibri" w:hAnsi="Calibri" w:eastAsia="宋体" w:cs="Times New Roman"/>
      <w:lang w:val="en-US" w:eastAsia="zh-CN" w:bidi="ar-SA"/>
    </w:rPr>
  </w:style>
  <w:style w:type="paragraph" w:styleId="735">
    <w:name w:val="toc 3"/>
    <w:next w:val="712"/>
    <w:uiPriority w:val="0"/>
    <w:qFormat/>
    <w:pPr>
      <w:ind w:left="567"/>
      <w:spacing w:after="57"/>
    </w:pPr>
    <w:rPr>
      <w:rFonts w:hint="default" w:ascii="Calibri" w:hAnsi="Calibri" w:eastAsia="宋体" w:cs="Times New Roman"/>
      <w:lang w:val="en-US" w:eastAsia="zh-CN" w:bidi="ar-SA"/>
    </w:rPr>
  </w:style>
  <w:style w:type="paragraph" w:styleId="736">
    <w:name w:val="Plain Text"/>
    <w:basedOn w:val="712"/>
    <w:uiPriority w:val="0"/>
    <w:qFormat/>
    <w:rPr>
      <w:rFonts w:ascii="宋体"/>
    </w:rPr>
  </w:style>
  <w:style w:type="paragraph" w:styleId="737">
    <w:name w:val="toc 8"/>
    <w:next w:val="712"/>
    <w:uiPriority w:val="0"/>
    <w:qFormat/>
    <w:pPr>
      <w:ind w:left="1984"/>
      <w:spacing w:after="57"/>
    </w:pPr>
    <w:rPr>
      <w:rFonts w:hint="default" w:ascii="Calibri" w:hAnsi="Calibri" w:eastAsia="宋体" w:cs="Times New Roman"/>
      <w:lang w:val="en-US" w:eastAsia="zh-CN" w:bidi="ar-SA"/>
    </w:rPr>
  </w:style>
  <w:style w:type="paragraph" w:styleId="738">
    <w:name w:val="endnote text"/>
    <w:uiPriority w:val="0"/>
    <w:qFormat/>
    <w:rPr>
      <w:rFonts w:hint="default" w:ascii="Calibri" w:hAnsi="Calibri" w:eastAsia="宋体" w:cs="Times New Roman"/>
      <w:lang w:val="en-US" w:eastAsia="zh-CN" w:bidi="ar-SA"/>
    </w:rPr>
  </w:style>
  <w:style w:type="paragraph" w:styleId="739">
    <w:name w:val="Footer"/>
    <w:basedOn w:val="712"/>
    <w:uiPriority w:val="0"/>
    <w:qFormat/>
    <w:pPr>
      <w:tabs>
        <w:tab w:val="center" w:pos="7143" w:leader="none"/>
        <w:tab w:val="right" w:pos="14287" w:leader="none"/>
      </w:tabs>
    </w:pPr>
    <w:rPr>
      <w:rFonts w:hint="default" w:ascii="Calibri" w:hAnsi="Calibri" w:eastAsia="宋体" w:cs="Times New Roman"/>
      <w:lang w:val="en-US" w:eastAsia="zh-CN" w:bidi="ar-SA"/>
    </w:rPr>
  </w:style>
  <w:style w:type="paragraph" w:styleId="740">
    <w:name w:val="Header"/>
    <w:uiPriority w:val="0"/>
    <w:qFormat/>
    <w:pPr>
      <w:tabs>
        <w:tab w:val="center" w:pos="7143" w:leader="none"/>
        <w:tab w:val="right" w:pos="14287" w:leader="none"/>
      </w:tabs>
    </w:pPr>
    <w:rPr>
      <w:rFonts w:hint="default" w:ascii="Calibri" w:hAnsi="Calibri" w:eastAsia="宋体" w:cs="Times New Roman"/>
      <w:lang w:val="en-US" w:eastAsia="zh-CN" w:bidi="ar-SA"/>
    </w:rPr>
  </w:style>
  <w:style w:type="paragraph" w:styleId="741">
    <w:name w:val="toc 1"/>
    <w:next w:val="712"/>
    <w:uiPriority w:val="0"/>
    <w:qFormat/>
    <w:pPr>
      <w:spacing w:after="57"/>
    </w:pPr>
    <w:rPr>
      <w:rFonts w:hint="default" w:ascii="Calibri" w:hAnsi="Calibri" w:eastAsia="宋体" w:cs="Times New Roman"/>
      <w:lang w:val="en-US" w:eastAsia="zh-CN" w:bidi="ar-SA"/>
    </w:rPr>
  </w:style>
  <w:style w:type="paragraph" w:styleId="742">
    <w:name w:val="toc 4"/>
    <w:next w:val="712"/>
    <w:uiPriority w:val="0"/>
    <w:qFormat/>
    <w:pPr>
      <w:ind w:left="850"/>
      <w:spacing w:after="57"/>
    </w:pPr>
    <w:rPr>
      <w:rFonts w:hint="default" w:ascii="Calibri" w:hAnsi="Calibri" w:eastAsia="宋体" w:cs="Times New Roman"/>
      <w:lang w:val="en-US" w:eastAsia="zh-CN" w:bidi="ar-SA"/>
    </w:rPr>
  </w:style>
  <w:style w:type="paragraph" w:styleId="743">
    <w:name w:val="Subtitle"/>
    <w:uiPriority w:val="0"/>
    <w:qFormat/>
    <w:pPr>
      <w:spacing w:before="200" w:after="200"/>
    </w:pPr>
    <w:rPr>
      <w:rFonts w:hint="default" w:ascii="Calibri" w:hAnsi="Calibri" w:eastAsia="宋体" w:cs="Times New Roman"/>
      <w:sz w:val="24"/>
      <w:szCs w:val="24"/>
      <w:lang w:val="en-US" w:eastAsia="zh-CN" w:bidi="ar-SA"/>
    </w:rPr>
  </w:style>
  <w:style w:type="paragraph" w:styleId="744">
    <w:name w:val="footnote text"/>
    <w:uiPriority w:val="0"/>
    <w:qFormat/>
    <w:pPr>
      <w:spacing w:after="40"/>
    </w:pPr>
    <w:rPr>
      <w:rFonts w:hint="default" w:ascii="Calibri" w:hAnsi="Calibri" w:eastAsia="宋体" w:cs="Times New Roman"/>
      <w:sz w:val="18"/>
      <w:lang w:val="en-US" w:eastAsia="zh-CN" w:bidi="ar-SA"/>
    </w:rPr>
  </w:style>
  <w:style w:type="paragraph" w:styleId="745">
    <w:name w:val="table of figures"/>
    <w:next w:val="712"/>
    <w:uiPriority w:val="0"/>
    <w:qFormat/>
    <w:rPr>
      <w:rFonts w:hint="default" w:ascii="Calibri" w:hAnsi="Calibri" w:eastAsia="宋体" w:cs="Times New Roman"/>
      <w:lang w:val="en-US" w:eastAsia="zh-CN" w:bidi="ar-SA"/>
    </w:rPr>
  </w:style>
  <w:style w:type="paragraph" w:styleId="746">
    <w:name w:val="toc 2"/>
    <w:next w:val="712"/>
    <w:uiPriority w:val="0"/>
    <w:qFormat/>
    <w:pPr>
      <w:ind w:left="283"/>
      <w:spacing w:after="57"/>
    </w:pPr>
    <w:rPr>
      <w:rFonts w:hint="default" w:ascii="Calibri" w:hAnsi="Calibri" w:eastAsia="宋体" w:cs="Times New Roman"/>
      <w:lang w:val="en-US" w:eastAsia="zh-CN" w:bidi="ar-SA"/>
    </w:rPr>
  </w:style>
  <w:style w:type="paragraph" w:styleId="747">
    <w:name w:val="toc 9"/>
    <w:basedOn w:val="712"/>
    <w:next w:val="712"/>
    <w:uiPriority w:val="0"/>
    <w:qFormat/>
    <w:pPr>
      <w:ind w:left="2268"/>
      <w:spacing w:after="57"/>
    </w:pPr>
    <w:rPr>
      <w:rFonts w:hint="default" w:ascii="Calibri" w:hAnsi="Calibri" w:eastAsia="宋体" w:cs="Times New Roman"/>
      <w:lang w:val="en-US" w:eastAsia="zh-CN" w:bidi="ar-SA"/>
    </w:rPr>
  </w:style>
  <w:style w:type="paragraph" w:styleId="748">
    <w:name w:val="Body Text 2"/>
    <w:basedOn w:val="712"/>
    <w:uiPriority w:val="0"/>
    <w:qFormat/>
    <w:pPr>
      <w:spacing w:after="120" w:line="480" w:lineRule="auto"/>
    </w:pPr>
  </w:style>
  <w:style w:type="paragraph" w:styleId="749">
    <w:name w:val="Normal (Web)"/>
    <w:basedOn w:val="712"/>
    <w:uiPriority w:val="0"/>
    <w:qFormat/>
    <w:pPr>
      <w:ind w:left="0" w:right="0"/>
      <w:jc w:val="left"/>
      <w:spacing w:before="0" w:beforeAutospacing="1" w:after="0" w:afterAutospacing="1"/>
    </w:pPr>
    <w:rPr>
      <w:sz w:val="24"/>
      <w:lang w:val="en-US" w:eastAsia="zh-CN" w:bidi="ar"/>
    </w:rPr>
  </w:style>
  <w:style w:type="paragraph" w:styleId="750">
    <w:name w:val="Title"/>
    <w:basedOn w:val="712"/>
    <w:next w:val="712"/>
    <w:uiPriority w:val="0"/>
    <w:qFormat/>
    <w:pPr>
      <w:contextualSpacing/>
      <w:spacing w:before="300" w:after="200"/>
    </w:pPr>
    <w:rPr>
      <w:sz w:val="48"/>
      <w:szCs w:val="48"/>
    </w:rPr>
  </w:style>
  <w:style w:type="character" w:styleId="751">
    <w:name w:val="Strong"/>
    <w:basedOn w:val="722"/>
    <w:uiPriority w:val="22"/>
    <w:qFormat/>
    <w:rPr>
      <w:b/>
    </w:rPr>
  </w:style>
  <w:style w:type="character" w:styleId="752">
    <w:name w:val="endnote reference"/>
    <w:uiPriority w:val="0"/>
    <w:qFormat/>
    <w:rPr>
      <w:vertAlign w:val="superscript"/>
    </w:rPr>
  </w:style>
  <w:style w:type="character" w:styleId="753">
    <w:name w:val="page number"/>
    <w:basedOn w:val="722"/>
    <w:uiPriority w:val="0"/>
    <w:qFormat/>
  </w:style>
  <w:style w:type="character" w:styleId="754">
    <w:name w:val="Emphasis"/>
    <w:basedOn w:val="722"/>
    <w:uiPriority w:val="0"/>
    <w:qFormat/>
    <w:rPr>
      <w:color w:val="cc0033"/>
    </w:rPr>
  </w:style>
  <w:style w:type="character" w:styleId="755">
    <w:name w:val="Hyperlink"/>
    <w:uiPriority w:val="0"/>
    <w:qFormat/>
    <w:rPr>
      <w:color w:val="0000ff"/>
      <w:u w:val="single"/>
    </w:rPr>
  </w:style>
  <w:style w:type="character" w:styleId="756">
    <w:name w:val="footnote reference"/>
    <w:uiPriority w:val="0"/>
    <w:qFormat/>
    <w:rPr>
      <w:vertAlign w:val="superscript"/>
    </w:rPr>
  </w:style>
  <w:style w:type="table" w:styleId="757">
    <w:name w:val="Table Grid"/>
    <w:basedOn w:val="723"/>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58" w:customStyle="1">
    <w:name w:val="BodyText"/>
    <w:basedOn w:val="712"/>
    <w:next w:val="712"/>
    <w:uiPriority w:val="0"/>
    <w:qFormat/>
    <w:pPr>
      <w:ind w:left="72" w:right="30"/>
      <w:jc w:val="center"/>
      <w:spacing w:after="60" w:line="360" w:lineRule="atLeast"/>
    </w:pPr>
    <w:rPr>
      <w:szCs w:val="22"/>
    </w:rPr>
  </w:style>
  <w:style w:type="paragraph" w:styleId="759" w:customStyle="1">
    <w:name w:val="一级条标题"/>
    <w:basedOn w:val="760"/>
    <w:next w:val="768"/>
    <w:uiPriority w:val="0"/>
    <w:qFormat/>
    <w:pPr>
      <w:ind w:left="907" w:hanging="907"/>
      <w:spacing w:before="0" w:after="0"/>
      <w:tabs>
        <w:tab w:val="left" w:pos="420" w:leader="none"/>
        <w:tab w:val="left" w:pos="810" w:leader="none"/>
        <w:tab w:val="left" w:pos="907" w:leader="none"/>
        <w:tab w:val="left" w:pos="1265" w:leader="none"/>
      </w:tabs>
      <w:outlineLvl w:val="2"/>
    </w:pPr>
    <w:rPr>
      <w:sz w:val="20"/>
    </w:rPr>
  </w:style>
  <w:style w:type="paragraph" w:styleId="760" w:customStyle="1">
    <w:name w:val="章标题"/>
    <w:basedOn w:val="761"/>
    <w:next w:val="761"/>
    <w:uiPriority w:val="0"/>
    <w:qFormat/>
    <w:pPr>
      <w:ind w:left="810" w:hanging="810"/>
      <w:jc w:val="both"/>
      <w:spacing w:before="50" w:after="50"/>
      <w:tabs>
        <w:tab w:val="left" w:pos="420" w:leader="none"/>
        <w:tab w:val="left" w:pos="810" w:leader="none"/>
        <w:tab w:val="left" w:pos="1265" w:leader="none"/>
      </w:tabs>
      <w:outlineLvl w:val="1"/>
    </w:pPr>
    <w:rPr>
      <w:rFonts w:hint="default" w:ascii="黑体" w:hAnsi="Times New Roman" w:eastAsia="黑体" w:cs="Times New Roman"/>
      <w:sz w:val="22"/>
      <w:lang w:val="en-US" w:eastAsia="zh-CN" w:bidi="ar-SA"/>
    </w:rPr>
  </w:style>
  <w:style w:type="paragraph" w:styleId="761" w:customStyle="1">
    <w:name w:val="正文1"/>
    <w:basedOn w:val="762"/>
    <w:next w:val="765"/>
    <w:uiPriority w:val="0"/>
    <w:qFormat/>
    <w:pPr>
      <w:ind w:firstLine="432"/>
      <w:spacing w:line="360" w:lineRule="auto"/>
      <w:tabs>
        <w:tab w:val="left" w:pos="420" w:leader="none"/>
      </w:tabs>
    </w:pPr>
    <w:rPr>
      <w:rFonts w:ascii="宋体"/>
      <w:b/>
      <w:sz w:val="24"/>
    </w:rPr>
  </w:style>
  <w:style w:type="paragraph" w:styleId="762" w:customStyle="1">
    <w:name w:val="正文111"/>
    <w:next w:val="763"/>
    <w:uiPriority w:val="0"/>
    <w:qFormat/>
    <w:rPr>
      <w:rFonts w:hint="default" w:ascii="Calibri" w:hAnsi="Calibri" w:eastAsia="宋体" w:cs="Times New Roman"/>
      <w:lang w:val="en-US" w:eastAsia="zh-CN" w:bidi="ar-SA"/>
    </w:rPr>
  </w:style>
  <w:style w:type="paragraph" w:styleId="763" w:customStyle="1">
    <w:name w:val="正文文本缩进1"/>
    <w:basedOn w:val="764"/>
    <w:next w:val="767"/>
    <w:uiPriority w:val="0"/>
    <w:qFormat/>
    <w:pPr>
      <w:ind w:left="420"/>
      <w:spacing w:after="120"/>
    </w:pPr>
    <w:rPr>
      <w:rFonts w:ascii="Times New Roman" w:hAnsi="Times New Roman"/>
    </w:rPr>
  </w:style>
  <w:style w:type="paragraph" w:styleId="764" w:customStyle="1">
    <w:name w:val="正文11"/>
    <w:next w:val="765"/>
    <w:link w:val="1040"/>
    <w:uiPriority w:val="0"/>
    <w:qFormat/>
    <w:pPr>
      <w:jc w:val="both"/>
      <w:widowControl w:val="off"/>
    </w:pPr>
    <w:rPr>
      <w:rFonts w:hint="default" w:ascii="Calibri" w:hAnsi="Calibri" w:eastAsia="宋体" w:cs="Times New Roman"/>
      <w:sz w:val="21"/>
      <w:szCs w:val="24"/>
      <w:lang w:val="en-US" w:eastAsia="zh-CN" w:bidi="ar-SA"/>
    </w:rPr>
  </w:style>
  <w:style w:type="paragraph" w:styleId="765" w:customStyle="1">
    <w:name w:val="正文文本1"/>
    <w:basedOn w:val="761"/>
    <w:next w:val="766"/>
    <w:uiPriority w:val="0"/>
    <w:qFormat/>
    <w:rPr>
      <w:rFonts w:eastAsia="黑体"/>
      <w:bCs/>
      <w:spacing w:val="20"/>
      <w:sz w:val="56"/>
    </w:rPr>
  </w:style>
  <w:style w:type="paragraph" w:styleId="766" w:customStyle="1">
    <w:name w:val="正文文本 21"/>
    <w:basedOn w:val="712"/>
    <w:uiPriority w:val="0"/>
    <w:qFormat/>
    <w:pPr>
      <w:spacing w:after="120" w:line="480" w:lineRule="auto"/>
    </w:pPr>
    <w:rPr>
      <w:rFonts w:ascii="Calibri" w:hAnsi="Calibri" w:eastAsia="宋体"/>
      <w:szCs w:val="22"/>
    </w:rPr>
  </w:style>
  <w:style w:type="paragraph" w:styleId="767" w:customStyle="1">
    <w:name w:val="寄信人地址1"/>
    <w:basedOn w:val="762"/>
    <w:uiPriority w:val="0"/>
    <w:qFormat/>
    <w:rPr>
      <w:rFonts w:ascii="Arial" w:hAnsi="Arial"/>
    </w:rPr>
  </w:style>
  <w:style w:type="paragraph" w:styleId="768" w:customStyle="1">
    <w:name w:val="段"/>
    <w:basedOn w:val="769"/>
    <w:next w:val="761"/>
    <w:uiPriority w:val="0"/>
    <w:qFormat/>
    <w:pPr>
      <w:ind w:firstLine="200"/>
      <w:widowControl/>
    </w:pPr>
    <w:rPr>
      <w:rFonts w:ascii="宋体"/>
      <w:sz w:val="20"/>
      <w:szCs w:val="20"/>
    </w:rPr>
  </w:style>
  <w:style w:type="paragraph" w:styleId="769" w:customStyle="1">
    <w:name w:val="正文112"/>
    <w:next w:val="7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0" w:customStyle="1">
    <w:name w:val="正文文本11"/>
    <w:basedOn w:val="769"/>
    <w:next w:val="759"/>
    <w:uiPriority w:val="0"/>
    <w:qFormat/>
    <w:pPr>
      <w:spacing w:after="120"/>
    </w:pPr>
    <w:rPr>
      <w:rFonts w:ascii="Times New Roman" w:hAnsi="Times New Roman"/>
    </w:rPr>
  </w:style>
  <w:style w:type="paragraph" w:styleId="771" w:customStyle="1">
    <w:name w:val="正文首行缩进1"/>
    <w:basedOn w:val="770"/>
    <w:next w:val="772"/>
    <w:uiPriority w:val="0"/>
    <w:qFormat/>
    <w:pPr>
      <w:ind w:firstLine="100"/>
      <w:tabs>
        <w:tab w:val="left" w:pos="180" w:leader="none"/>
      </w:tabs>
    </w:pPr>
  </w:style>
  <w:style w:type="paragraph" w:styleId="772" w:customStyle="1">
    <w:name w:val="正文首行缩进 21"/>
    <w:basedOn w:val="763"/>
    <w:next w:val="762"/>
    <w:uiPriority w:val="0"/>
    <w:qFormat/>
    <w:pPr>
      <w:ind w:left="0" w:firstLine="420"/>
      <w:spacing w:after="0" w:line="360" w:lineRule="auto"/>
    </w:pPr>
    <w:rPr>
      <w:rFonts w:ascii="宋体"/>
      <w:sz w:val="20"/>
      <w:szCs w:val="20"/>
    </w:rPr>
  </w:style>
  <w:style w:type="paragraph" w:styleId="773" w:customStyle="1">
    <w:name w:val="文本块1"/>
    <w:basedOn w:val="774"/>
    <w:next w:val="712"/>
    <w:uiPriority w:val="0"/>
    <w:qFormat/>
    <w:pPr>
      <w:ind w:left="256" w:right="6" w:firstLine="624"/>
    </w:pPr>
    <w:rPr>
      <w:rFonts w:ascii="Times New Roman" w:hAnsi="Times New Roman" w:eastAsia="仿宋_GB2312"/>
      <w:sz w:val="28"/>
    </w:rPr>
  </w:style>
  <w:style w:type="paragraph" w:styleId="774" w:customStyle="1">
    <w:name w:val="正文12"/>
    <w:next w:val="7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5" w:customStyle="1">
    <w:name w:val="脚注文本1"/>
    <w:basedOn w:val="761"/>
    <w:next w:val="776"/>
    <w:uiPriority w:val="0"/>
    <w:qFormat/>
    <w:pPr>
      <w:spacing w:after="40"/>
    </w:pPr>
    <w:rPr>
      <w:rFonts w:hint="default" w:ascii="Calibri" w:hAnsi="Calibri" w:eastAsia="宋体" w:cs="Times New Roman"/>
      <w:sz w:val="18"/>
      <w:lang w:val="en-US" w:eastAsia="zh-CN" w:bidi="ar-SA"/>
    </w:rPr>
  </w:style>
  <w:style w:type="paragraph" w:styleId="776" w:customStyle="1">
    <w:name w:val="索引 51"/>
    <w:basedOn w:val="774"/>
    <w:next w:val="761"/>
    <w:uiPriority w:val="0"/>
    <w:qFormat/>
    <w:pPr>
      <w:ind w:left="798"/>
      <w:jc w:val="left"/>
    </w:pPr>
  </w:style>
  <w:style w:type="paragraph" w:styleId="777" w:customStyle="1">
    <w:name w:val="标题 21"/>
    <w:basedOn w:val="774"/>
    <w:next w:val="774"/>
    <w:link w:val="941"/>
    <w:uiPriority w:val="0"/>
    <w:qFormat/>
    <w:pPr>
      <w:jc w:val="center"/>
      <w:keepLines/>
      <w:keepNext/>
      <w:spacing w:before="260" w:after="260" w:line="415" w:lineRule="auto"/>
      <w:tabs>
        <w:tab w:val="left" w:pos="720" w:leader="none"/>
      </w:tabs>
      <w:outlineLvl w:val="1"/>
    </w:pPr>
    <w:rPr>
      <w:rFonts w:ascii="Cambria" w:hAnsi="Cambria"/>
      <w:b/>
      <w:bCs/>
      <w:sz w:val="28"/>
      <w:szCs w:val="32"/>
    </w:rPr>
  </w:style>
  <w:style w:type="paragraph" w:styleId="778" w:customStyle="1">
    <w:name w:val="正文首行缩进11"/>
    <w:basedOn w:val="765"/>
    <w:next w:val="779"/>
    <w:uiPriority w:val="0"/>
    <w:qFormat/>
    <w:pPr>
      <w:ind w:firstLine="200"/>
      <w:spacing w:line="360" w:lineRule="auto"/>
    </w:pPr>
    <w:rPr>
      <w:rFonts w:ascii="仿宋_GB2312" w:eastAsia="仿宋_GB2312"/>
      <w:sz w:val="30"/>
      <w:szCs w:val="30"/>
    </w:rPr>
  </w:style>
  <w:style w:type="paragraph" w:styleId="779" w:customStyle="1">
    <w:name w:val="正文首行缩进 211"/>
    <w:basedOn w:val="780"/>
    <w:uiPriority w:val="99"/>
    <w:qFormat/>
    <w:pPr>
      <w:ind w:left="0" w:firstLine="420"/>
      <w:spacing w:after="0" w:line="360" w:lineRule="auto"/>
    </w:pPr>
    <w:rPr>
      <w:rFonts w:ascii="宋体" w:hAnsi="宋体"/>
    </w:rPr>
  </w:style>
  <w:style w:type="paragraph" w:styleId="780" w:customStyle="1">
    <w:name w:val="正文文本缩进11"/>
    <w:basedOn w:val="774"/>
    <w:next w:val="767"/>
    <w:uiPriority w:val="99"/>
    <w:unhideWhenUsed/>
    <w:qFormat/>
    <w:pPr>
      <w:ind w:firstLine="425"/>
      <w:jc w:val="both"/>
      <w:spacing w:line="360" w:lineRule="auto"/>
    </w:pPr>
    <w:rPr>
      <w:lang w:val="en-US" w:eastAsia="zh-CN"/>
    </w:rPr>
  </w:style>
  <w:style w:type="paragraph" w:styleId="781" w:customStyle="1">
    <w:name w:val="寄信人地址11"/>
    <w:basedOn w:val="712"/>
    <w:uiPriority w:val="99"/>
    <w:unhideWhenUsed/>
    <w:qFormat/>
    <w:rPr>
      <w:rFonts w:ascii="Arial" w:hAnsi="Arial"/>
    </w:rPr>
  </w:style>
  <w:style w:type="paragraph" w:styleId="782" w:customStyle="1">
    <w:name w:val="无间隔1"/>
    <w:uiPriority w:val="0"/>
    <w:qFormat/>
    <w:rPr>
      <w:rFonts w:hint="default" w:ascii="Calibri" w:hAnsi="Calibri" w:eastAsia="宋体" w:cs="Times New Roman"/>
      <w:lang w:val="en-US" w:eastAsia="zh-CN" w:bidi="ar-SA"/>
    </w:rPr>
  </w:style>
  <w:style w:type="paragraph" w:styleId="783" w:customStyle="1">
    <w:name w:val="正文缩进1"/>
    <w:basedOn w:val="769"/>
    <w:next w:val="764"/>
    <w:uiPriority w:val="0"/>
    <w:qFormat/>
    <w:pPr>
      <w:ind w:firstLine="420"/>
    </w:pPr>
  </w:style>
  <w:style w:type="paragraph" w:styleId="784" w:customStyle="1">
    <w:name w:val="正文首行缩进 22"/>
    <w:basedOn w:val="785"/>
    <w:next w:val="769"/>
    <w:uiPriority w:val="0"/>
    <w:qFormat/>
    <w:pPr>
      <w:ind w:firstLine="420"/>
    </w:pPr>
  </w:style>
  <w:style w:type="paragraph" w:styleId="785" w:customStyle="1">
    <w:name w:val="正文文本缩进2"/>
    <w:basedOn w:val="762"/>
    <w:uiPriority w:val="0"/>
    <w:qFormat/>
    <w:pPr>
      <w:ind w:left="420"/>
      <w:spacing w:after="120"/>
    </w:pPr>
  </w:style>
  <w:style w:type="character" w:styleId="786" w:customStyle="1">
    <w:name w:val="Heading 1 Char"/>
    <w:basedOn w:val="722"/>
    <w:uiPriority w:val="9"/>
    <w:qFormat/>
    <w:rPr>
      <w:rFonts w:ascii="Arial" w:hAnsi="Arial" w:eastAsia="Arial" w:cs="Arial"/>
      <w:sz w:val="40"/>
      <w:szCs w:val="40"/>
    </w:rPr>
  </w:style>
  <w:style w:type="paragraph" w:styleId="787">
    <w:name w:val="No Spacing"/>
    <w:uiPriority w:val="1"/>
    <w:qFormat/>
    <w:pPr>
      <w:spacing w:before="0" w:after="0" w:line="240" w:lineRule="auto"/>
    </w:pPr>
    <w:rPr>
      <w:rFonts w:hint="default" w:ascii="Times New Roman" w:hAnsi="Times New Roman" w:eastAsia="宋体" w:cs="Times New Roman"/>
    </w:rPr>
  </w:style>
  <w:style w:type="paragraph" w:styleId="788">
    <w:name w:val="Quote"/>
    <w:basedOn w:val="712"/>
    <w:next w:val="712"/>
    <w:uiPriority w:val="29"/>
    <w:qFormat/>
    <w:pPr>
      <w:ind w:left="720" w:right="720"/>
    </w:pPr>
    <w:rPr>
      <w:i/>
    </w:rPr>
  </w:style>
  <w:style w:type="paragraph" w:styleId="789">
    <w:name w:val="Intense Quote"/>
    <w:basedOn w:val="712"/>
    <w:next w:val="7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90" w:customStyle="1">
    <w:name w:val="Table Grid Light"/>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91" w:customStyle="1">
    <w:name w:val="Plain Table 1"/>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basedOn w:val="7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basedOn w:val="7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1"/>
    <w:basedOn w:val="72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2"/>
    <w:basedOn w:val="72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3"/>
    <w:basedOn w:val="72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4"/>
    <w:basedOn w:val="72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5"/>
    <w:basedOn w:val="72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6"/>
    <w:basedOn w:val="72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3" w:customStyle="1">
    <w:name w:val="Grid Table 2"/>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4" w:customStyle="1">
    <w:name w:val="Grid Table 2 - Accent 1"/>
    <w:basedOn w:val="72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5" w:customStyle="1">
    <w:name w:val="Grid Table 2 - Accent 2"/>
    <w:basedOn w:val="72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Grid Table 2 - Accent 3"/>
    <w:basedOn w:val="72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7" w:customStyle="1">
    <w:name w:val="Grid Table 2 - Accent 4"/>
    <w:basedOn w:val="72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2 - Accent 5"/>
    <w:basedOn w:val="72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Grid Table 2 - Accent 6"/>
    <w:basedOn w:val="72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Grid Table 3"/>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1"/>
    <w:basedOn w:val="72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2"/>
    <w:basedOn w:val="72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3"/>
    <w:basedOn w:val="72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4"/>
    <w:basedOn w:val="72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5"/>
    <w:basedOn w:val="72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6"/>
    <w:basedOn w:val="72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4"/>
    <w:basedOn w:val="7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customStyle="1">
    <w:name w:val="Grid Table 4 - Accent 1"/>
    <w:basedOn w:val="72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9" w:customStyle="1">
    <w:name w:val="Grid Table 4 - Accent 2"/>
    <w:basedOn w:val="72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0" w:customStyle="1">
    <w:name w:val="Grid Table 4 - Accent 3"/>
    <w:basedOn w:val="72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1" w:customStyle="1">
    <w:name w:val="Grid Table 4 - Accent 4"/>
    <w:basedOn w:val="72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2" w:customStyle="1">
    <w:name w:val="Grid Table 4 - Accent 5"/>
    <w:basedOn w:val="72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3" w:customStyle="1">
    <w:name w:val="Grid Table 4 - Accent 6"/>
    <w:basedOn w:val="72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4" w:customStyle="1">
    <w:name w:val="Grid Table 5 Dark"/>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Grid Table 5 Dark- Accent 1"/>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6" w:customStyle="1">
    <w:name w:val="Grid Table 5 Dark - Accent 2"/>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7" w:customStyle="1">
    <w:name w:val="Grid Table 5 Dark - Accent 3"/>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8" w:customStyle="1">
    <w:name w:val="Grid Table 5 Dark- Accent 4"/>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9" w:customStyle="1">
    <w:name w:val="Grid Table 5 Dark - Accent 5"/>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0" w:customStyle="1">
    <w:name w:val="Grid Table 5 Dark - Accent 6"/>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1" w:customStyle="1">
    <w:name w:val="Grid Table 6 Colorful"/>
    <w:basedOn w:val="7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2" w:customStyle="1">
    <w:name w:val="Grid Table 6 Colorful - Accent 1"/>
    <w:basedOn w:val="72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3" w:customStyle="1">
    <w:name w:val="Grid Table 6 Colorful - Accent 2"/>
    <w:basedOn w:val="72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4" w:customStyle="1">
    <w:name w:val="Grid Table 6 Colorful - Accent 3"/>
    <w:basedOn w:val="72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5" w:customStyle="1">
    <w:name w:val="Grid Table 6 Colorful - Accent 4"/>
    <w:basedOn w:val="72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6" w:customStyle="1">
    <w:name w:val="Grid Table 6 Colorful - Accent 5"/>
    <w:basedOn w:val="72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7" w:customStyle="1">
    <w:name w:val="Grid Table 6 Colorful - Accent 6"/>
    <w:basedOn w:val="72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7 Colorful"/>
    <w:basedOn w:val="7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Grid Table 7 Colorful - Accent 1"/>
    <w:basedOn w:val="72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0" w:customStyle="1">
    <w:name w:val="Grid Table 7 Colorful - Accent 2"/>
    <w:basedOn w:val="72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7 Colorful - Accent 3"/>
    <w:basedOn w:val="72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7 Colorful - Accent 4"/>
    <w:basedOn w:val="72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7 Colorful - Accent 5"/>
    <w:basedOn w:val="72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4" w:customStyle="1">
    <w:name w:val="Grid Table 7 Colorful - Accent 6"/>
    <w:basedOn w:val="72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5" w:customStyle="1">
    <w:name w:val="List Table 1 Light"/>
    <w:basedOn w:val="72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List Table 1 Light - Accent 1"/>
    <w:basedOn w:val="72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1 Light - Accent 2"/>
    <w:basedOn w:val="72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8" w:customStyle="1">
    <w:name w:val="List Table 1 Light - Accent 3"/>
    <w:basedOn w:val="72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9" w:customStyle="1">
    <w:name w:val="List Table 1 Light - Accent 4"/>
    <w:basedOn w:val="72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0" w:customStyle="1">
    <w:name w:val="List Table 1 Light - Accent 5"/>
    <w:basedOn w:val="72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List Table 1 Light - Accent 6"/>
    <w:basedOn w:val="72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List Table 2"/>
    <w:basedOn w:val="7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3" w:customStyle="1">
    <w:name w:val="List Table 2 - Accent 1"/>
    <w:basedOn w:val="72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4" w:customStyle="1">
    <w:name w:val="List Table 2 - Accent 2"/>
    <w:basedOn w:val="72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5" w:customStyle="1">
    <w:name w:val="List Table 2 - Accent 3"/>
    <w:basedOn w:val="72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6" w:customStyle="1">
    <w:name w:val="List Table 2 - Accent 4"/>
    <w:basedOn w:val="72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7" w:customStyle="1">
    <w:name w:val="List Table 2 - Accent 5"/>
    <w:basedOn w:val="72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8" w:customStyle="1">
    <w:name w:val="List Table 2 - Accent 6"/>
    <w:basedOn w:val="72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9" w:customStyle="1">
    <w:name w:val="List Table 3"/>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3 - Accent 1"/>
    <w:basedOn w:val="72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3 - Accent 2"/>
    <w:basedOn w:val="72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2" w:customStyle="1">
    <w:name w:val="List Table 3 - Accent 3"/>
    <w:basedOn w:val="72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3" w:customStyle="1">
    <w:name w:val="List Table 3 - Accent 4"/>
    <w:basedOn w:val="72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4" w:customStyle="1">
    <w:name w:val="List Table 3 - Accent 5"/>
    <w:basedOn w:val="72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5" w:customStyle="1">
    <w:name w:val="List Table 3 - Accent 6"/>
    <w:basedOn w:val="72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6" w:customStyle="1">
    <w:name w:val="List Table 4"/>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4 - Accent 1"/>
    <w:basedOn w:val="72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4 - Accent 2"/>
    <w:basedOn w:val="72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9" w:customStyle="1">
    <w:name w:val="List Table 4 - Accent 3"/>
    <w:basedOn w:val="72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0" w:customStyle="1">
    <w:name w:val="List Table 4 - Accent 4"/>
    <w:basedOn w:val="72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1" w:customStyle="1">
    <w:name w:val="List Table 4 - Accent 5"/>
    <w:basedOn w:val="72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2" w:customStyle="1">
    <w:name w:val="List Table 4 - Accent 6"/>
    <w:basedOn w:val="72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3" w:customStyle="1">
    <w:name w:val="List Table 5 Dark"/>
    <w:basedOn w:val="7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1"/>
    <w:basedOn w:val="72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2"/>
    <w:basedOn w:val="72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3"/>
    <w:basedOn w:val="72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4"/>
    <w:basedOn w:val="72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5"/>
    <w:basedOn w:val="72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6"/>
    <w:basedOn w:val="72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6 Colorful"/>
    <w:basedOn w:val="723"/>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1" w:customStyle="1">
    <w:name w:val="List Table 6 Colorful - Accent 1"/>
    <w:basedOn w:val="723"/>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2" w:customStyle="1">
    <w:name w:val="List Table 6 Colorful - Accent 2"/>
    <w:basedOn w:val="723"/>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3" w:customStyle="1">
    <w:name w:val="List Table 6 Colorful - Accent 3"/>
    <w:basedOn w:val="72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4" w:customStyle="1">
    <w:name w:val="List Table 6 Colorful - Accent 4"/>
    <w:basedOn w:val="723"/>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5" w:customStyle="1">
    <w:name w:val="List Table 6 Colorful - Accent 5"/>
    <w:basedOn w:val="723"/>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6" w:customStyle="1">
    <w:name w:val="List Table 6 Colorful - Accent 6"/>
    <w:basedOn w:val="723"/>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7" w:customStyle="1">
    <w:name w:val="List Table 7 Colorful"/>
    <w:basedOn w:val="723"/>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List Table 7 Colorful - Accent 1"/>
    <w:basedOn w:val="723"/>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7 Colorful - Accent 2"/>
    <w:basedOn w:val="723"/>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List Table 7 Colorful - Accent 3"/>
    <w:basedOn w:val="72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1" w:customStyle="1">
    <w:name w:val="List Table 7 Colorful - Accent 4"/>
    <w:basedOn w:val="723"/>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List Table 7 Colorful - Accent 5"/>
    <w:basedOn w:val="723"/>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3" w:customStyle="1">
    <w:name w:val="List Table 7 Colorful - Accent 6"/>
    <w:basedOn w:val="723"/>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4" w:customStyle="1">
    <w:name w:val="Lined - Accent"/>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Lined - Accent 1"/>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Lined - Accent 2"/>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Lined - Accent 3"/>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Lined - Accent 4"/>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Lined - Accent 5"/>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Lined - Accent 6"/>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amp; Lined - Accent"/>
    <w:basedOn w:val="72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Bordered &amp; Lined - Accent 1"/>
    <w:basedOn w:val="72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Bordered &amp; Lined - Accent 2"/>
    <w:basedOn w:val="72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Bordered &amp; Lined - Accent 3"/>
    <w:basedOn w:val="72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Bordered &amp; Lined - Accent 4"/>
    <w:basedOn w:val="72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Bordered &amp; Lined - Accent 5"/>
    <w:basedOn w:val="72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Bordered &amp; Lined - Accent 6"/>
    <w:basedOn w:val="72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w:basedOn w:val="72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9" w:customStyle="1">
    <w:name w:val="Bordered - Accent 1"/>
    <w:basedOn w:val="72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0" w:customStyle="1">
    <w:name w:val="Bordered - Accent 2"/>
    <w:basedOn w:val="72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1" w:customStyle="1">
    <w:name w:val="Bordered - Accent 3"/>
    <w:basedOn w:val="72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2" w:customStyle="1">
    <w:name w:val="Bordered - Accent 4"/>
    <w:basedOn w:val="72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3" w:customStyle="1">
    <w:name w:val="Bordered - Accent 5"/>
    <w:basedOn w:val="72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4" w:customStyle="1">
    <w:name w:val="Bordered - Accent 6"/>
    <w:basedOn w:val="72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15" w:customStyle="1">
    <w:name w:val="TOC Heading"/>
    <w:uiPriority w:val="39"/>
    <w:unhideWhenUsed/>
    <w:qFormat/>
    <w:rPr>
      <w:rFonts w:hint="default" w:ascii="Times New Roman" w:hAnsi="Times New Roman" w:eastAsia="宋体" w:cs="Times New Roman"/>
    </w:rPr>
  </w:style>
  <w:style w:type="paragraph" w:styleId="916" w:customStyle="1">
    <w:name w:val="样式 正文文本缩进 + 首行缩进:  2 字符 行距: 1.5 倍行距"/>
    <w:basedOn w:val="763"/>
    <w:uiPriority w:val="0"/>
    <w:qFormat/>
    <w:pPr>
      <w:ind w:firstLine="645"/>
      <w:spacing w:before="156"/>
    </w:pPr>
    <w:rPr>
      <w:rFonts w:ascii="Calibri" w:hAnsi="Calibri"/>
      <w:sz w:val="28"/>
    </w:rPr>
  </w:style>
  <w:style w:type="paragraph" w:styleId="917" w:customStyle="1">
    <w:name w:val="标题1"/>
    <w:basedOn w:val="774"/>
    <w:next w:val="918"/>
    <w:uiPriority w:val="0"/>
    <w:qFormat/>
    <w:pPr>
      <w:jc w:val="center"/>
      <w:spacing w:before="240" w:after="60"/>
      <w:outlineLvl w:val="0"/>
    </w:pPr>
    <w:rPr>
      <w:rFonts w:ascii="Cambria" w:hAnsi="Cambria"/>
      <w:b/>
      <w:bCs/>
      <w:sz w:val="32"/>
      <w:szCs w:val="32"/>
    </w:rPr>
  </w:style>
  <w:style w:type="paragraph" w:styleId="918" w:customStyle="1">
    <w:name w:val="纯文本1"/>
    <w:basedOn w:val="764"/>
    <w:uiPriority w:val="0"/>
    <w:qFormat/>
    <w:rPr>
      <w:rFonts w:ascii="宋体"/>
      <w:szCs w:val="21"/>
    </w:rPr>
  </w:style>
  <w:style w:type="paragraph" w:styleId="919" w:customStyle="1">
    <w:name w:val="标题 41"/>
    <w:basedOn w:val="774"/>
    <w:next w:val="764"/>
    <w:uiPriority w:val="0"/>
    <w:qFormat/>
    <w:pPr>
      <w:keepLines/>
      <w:keepNext/>
      <w:spacing w:before="280" w:after="290" w:line="377" w:lineRule="auto"/>
      <w:outlineLvl w:val="3"/>
    </w:pPr>
    <w:rPr>
      <w:rFonts w:ascii="Cambria" w:hAnsi="Cambria"/>
      <w:b/>
      <w:bCs/>
      <w:sz w:val="28"/>
      <w:szCs w:val="28"/>
    </w:rPr>
  </w:style>
  <w:style w:type="character" w:styleId="920" w:customStyle="1">
    <w:name w:val="正文11 Char"/>
    <w:basedOn w:val="722"/>
    <w:link w:val="764"/>
    <w:uiPriority w:val="0"/>
    <w:qFormat/>
    <w:rPr>
      <w:rFonts w:ascii="Calibri" w:hAnsi="Calibri" w:eastAsia="宋体" w:cs="Times New Roman"/>
      <w:sz w:val="21"/>
      <w:szCs w:val="24"/>
      <w:lang w:val="en-US" w:eastAsia="zh-CN" w:bidi="ar-SA"/>
    </w:rPr>
  </w:style>
  <w:style w:type="character" w:styleId="921" w:customStyle="1">
    <w:name w:val="Heading 2 Char"/>
    <w:basedOn w:val="722"/>
    <w:uiPriority w:val="0"/>
    <w:qFormat/>
    <w:rPr>
      <w:rFonts w:ascii="Arial" w:hAnsi="Arial" w:eastAsia="Arial" w:cs="Arial"/>
      <w:sz w:val="34"/>
    </w:rPr>
  </w:style>
  <w:style w:type="character" w:styleId="922" w:customStyle="1">
    <w:name w:val="Heading 3 Char"/>
    <w:basedOn w:val="722"/>
    <w:uiPriority w:val="0"/>
    <w:qFormat/>
    <w:rPr>
      <w:rFonts w:ascii="Arial" w:hAnsi="Arial" w:eastAsia="Arial" w:cs="Arial"/>
      <w:sz w:val="30"/>
      <w:szCs w:val="30"/>
    </w:rPr>
  </w:style>
  <w:style w:type="character" w:styleId="923" w:customStyle="1">
    <w:name w:val="Heading 4 Char"/>
    <w:basedOn w:val="722"/>
    <w:uiPriority w:val="0"/>
    <w:qFormat/>
    <w:rPr>
      <w:rFonts w:ascii="Arial" w:hAnsi="Arial" w:eastAsia="Arial" w:cs="Arial"/>
      <w:b/>
      <w:bCs/>
      <w:sz w:val="26"/>
      <w:szCs w:val="26"/>
    </w:rPr>
  </w:style>
  <w:style w:type="character" w:styleId="924" w:customStyle="1">
    <w:name w:val="Heading 5 Char"/>
    <w:basedOn w:val="722"/>
    <w:uiPriority w:val="0"/>
    <w:qFormat/>
    <w:rPr>
      <w:rFonts w:ascii="Arial" w:hAnsi="Arial" w:eastAsia="Arial" w:cs="Arial"/>
      <w:b/>
      <w:bCs/>
      <w:sz w:val="24"/>
      <w:szCs w:val="24"/>
    </w:rPr>
  </w:style>
  <w:style w:type="character" w:styleId="925" w:customStyle="1">
    <w:name w:val="Heading 6 Char"/>
    <w:basedOn w:val="722"/>
    <w:uiPriority w:val="0"/>
    <w:qFormat/>
    <w:rPr>
      <w:rFonts w:ascii="Arial" w:hAnsi="Arial" w:eastAsia="Arial" w:cs="Arial"/>
      <w:b/>
      <w:bCs/>
      <w:sz w:val="22"/>
      <w:szCs w:val="22"/>
    </w:rPr>
  </w:style>
  <w:style w:type="character" w:styleId="926" w:customStyle="1">
    <w:name w:val="Heading 7 Char"/>
    <w:basedOn w:val="722"/>
    <w:uiPriority w:val="0"/>
    <w:qFormat/>
    <w:rPr>
      <w:rFonts w:ascii="Arial" w:hAnsi="Arial" w:eastAsia="Arial" w:cs="Arial"/>
      <w:b/>
      <w:bCs/>
      <w:i/>
      <w:iCs/>
      <w:sz w:val="22"/>
      <w:szCs w:val="22"/>
    </w:rPr>
  </w:style>
  <w:style w:type="character" w:styleId="927" w:customStyle="1">
    <w:name w:val="Heading 8 Char"/>
    <w:basedOn w:val="722"/>
    <w:uiPriority w:val="0"/>
    <w:qFormat/>
    <w:rPr>
      <w:rFonts w:ascii="Arial" w:hAnsi="Arial" w:eastAsia="Arial" w:cs="Arial"/>
      <w:i/>
      <w:iCs/>
      <w:sz w:val="22"/>
      <w:szCs w:val="22"/>
    </w:rPr>
  </w:style>
  <w:style w:type="character" w:styleId="928" w:customStyle="1">
    <w:name w:val="Heading 9 Char"/>
    <w:basedOn w:val="722"/>
    <w:uiPriority w:val="0"/>
    <w:qFormat/>
    <w:rPr>
      <w:rFonts w:ascii="Arial" w:hAnsi="Arial" w:eastAsia="Arial" w:cs="Arial"/>
      <w:i/>
      <w:iCs/>
      <w:sz w:val="21"/>
      <w:szCs w:val="21"/>
    </w:rPr>
  </w:style>
  <w:style w:type="character" w:styleId="929" w:customStyle="1">
    <w:name w:val="Title Char"/>
    <w:basedOn w:val="722"/>
    <w:uiPriority w:val="0"/>
    <w:qFormat/>
    <w:rPr>
      <w:sz w:val="48"/>
      <w:szCs w:val="48"/>
    </w:rPr>
  </w:style>
  <w:style w:type="character" w:styleId="930" w:customStyle="1">
    <w:name w:val="Subtitle Char"/>
    <w:basedOn w:val="722"/>
    <w:uiPriority w:val="0"/>
    <w:qFormat/>
    <w:rPr>
      <w:sz w:val="24"/>
      <w:szCs w:val="24"/>
    </w:rPr>
  </w:style>
  <w:style w:type="character" w:styleId="931" w:customStyle="1">
    <w:name w:val="Quote Char"/>
    <w:uiPriority w:val="0"/>
    <w:qFormat/>
    <w:rPr>
      <w:i/>
    </w:rPr>
  </w:style>
  <w:style w:type="character" w:styleId="932" w:customStyle="1">
    <w:name w:val="Intense Quote Char"/>
    <w:uiPriority w:val="0"/>
    <w:qFormat/>
    <w:rPr>
      <w:i/>
    </w:rPr>
  </w:style>
  <w:style w:type="character" w:styleId="933" w:customStyle="1">
    <w:name w:val="Header Char"/>
    <w:basedOn w:val="722"/>
    <w:uiPriority w:val="0"/>
    <w:qFormat/>
  </w:style>
  <w:style w:type="character" w:styleId="934" w:customStyle="1">
    <w:name w:val="Caption Char"/>
    <w:uiPriority w:val="0"/>
    <w:qFormat/>
  </w:style>
  <w:style w:type="character" w:styleId="935" w:customStyle="1">
    <w:name w:val="Footnote Text Char"/>
    <w:uiPriority w:val="0"/>
    <w:qFormat/>
    <w:rPr>
      <w:sz w:val="18"/>
    </w:rPr>
  </w:style>
  <w:style w:type="character" w:styleId="936" w:customStyle="1">
    <w:name w:val="Endnote Text Char"/>
    <w:uiPriority w:val="0"/>
    <w:qFormat/>
    <w:rPr>
      <w:sz w:val="20"/>
    </w:rPr>
  </w:style>
  <w:style w:type="paragraph" w:styleId="937" w:customStyle="1">
    <w:name w:val="TOC 标题1"/>
    <w:uiPriority w:val="0"/>
    <w:qFormat/>
    <w:rPr>
      <w:rFonts w:hint="default" w:ascii="Times New Roman" w:hAnsi="Times New Roman" w:eastAsia="宋体" w:cs="Times New Roman"/>
      <w:lang w:val="en-US" w:eastAsia="zh-CN" w:bidi="ar-SA"/>
    </w:rPr>
  </w:style>
  <w:style w:type="paragraph" w:styleId="938" w:customStyle="1">
    <w:name w:val="列出段落1"/>
    <w:next w:val="712"/>
    <w:uiPriority w:val="0"/>
    <w:qFormat/>
    <w:pPr>
      <w:contextualSpacing/>
      <w:ind w:left="720"/>
    </w:pPr>
    <w:rPr>
      <w:rFonts w:hint="default" w:ascii="Calibri" w:hAnsi="Calibri" w:eastAsia="宋体" w:cs="Times New Roman"/>
      <w:lang w:val="en-US" w:eastAsia="zh-CN" w:bidi="ar-SA"/>
    </w:rPr>
  </w:style>
  <w:style w:type="paragraph" w:styleId="939" w:customStyle="1">
    <w:name w:val="引用1"/>
    <w:uiPriority w:val="0"/>
    <w:qFormat/>
    <w:pPr>
      <w:ind w:left="720" w:right="720"/>
    </w:pPr>
    <w:rPr>
      <w:rFonts w:hint="default" w:ascii="Calibri" w:hAnsi="Calibri" w:eastAsia="宋体" w:cs="Times New Roman"/>
      <w:i/>
      <w:lang w:val="en-US" w:eastAsia="zh-CN" w:bidi="ar-SA"/>
    </w:rPr>
  </w:style>
  <w:style w:type="paragraph" w:styleId="940" w:customStyle="1">
    <w:name w:val="明显引用1"/>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Calibri" w:hAnsi="Calibri" w:eastAsia="宋体" w:cs="Times New Roman"/>
      <w:i/>
      <w:lang w:val="en-US" w:eastAsia="zh-CN" w:bidi="ar-SA"/>
    </w:rPr>
  </w:style>
  <w:style w:type="character" w:styleId="941" w:customStyle="1">
    <w:name w:val="标题 21 Char"/>
    <w:basedOn w:val="920"/>
    <w:link w:val="777"/>
    <w:uiPriority w:val="0"/>
    <w:qFormat/>
    <w:rPr>
      <w:rFonts w:ascii="Cambria" w:hAnsi="Cambria" w:eastAsia="宋体" w:cs="Times New Roman"/>
      <w:b/>
      <w:bCs/>
      <w:sz w:val="28"/>
      <w:szCs w:val="32"/>
      <w:lang w:val="en-US" w:eastAsia="zh-CN" w:bidi="ar-SA"/>
    </w:rPr>
  </w:style>
  <w:style w:type="paragraph" w:styleId="942" w:customStyle="1">
    <w:name w:val="正文122"/>
    <w:next w:val="943"/>
    <w:uiPriority w:val="0"/>
    <w:qFormat/>
    <w:rPr>
      <w:rFonts w:hint="default" w:ascii="Times New Roman" w:hAnsi="Times New Roman" w:eastAsia="宋体" w:cs="Times New Roman"/>
      <w:lang w:val="en-US" w:eastAsia="zh-CN" w:bidi="ar-SA"/>
    </w:rPr>
  </w:style>
  <w:style w:type="paragraph" w:styleId="943" w:customStyle="1">
    <w:name w:val="目录 21"/>
    <w:basedOn w:val="762"/>
    <w:next w:val="942"/>
    <w:uiPriority w:val="0"/>
    <w:qFormat/>
    <w:pPr>
      <w:ind w:left="283"/>
      <w:spacing w:after="57"/>
    </w:pPr>
    <w:rPr>
      <w:rFonts w:ascii="Times New Roman" w:hAnsi="Times New Roman"/>
    </w:rPr>
  </w:style>
  <w:style w:type="paragraph" w:styleId="944" w:customStyle="1">
    <w:name w:val="列表 211"/>
    <w:basedOn w:val="942"/>
    <w:uiPriority w:val="0"/>
    <w:qFormat/>
    <w:pPr>
      <w:ind w:left="100" w:hanging="200"/>
    </w:pPr>
  </w:style>
  <w:style w:type="paragraph" w:styleId="945" w:customStyle="1">
    <w:name w:val="标题 111"/>
    <w:basedOn w:val="764"/>
    <w:next w:val="762"/>
    <w:uiPriority w:val="0"/>
    <w:qFormat/>
    <w:pPr>
      <w:ind w:left="1373"/>
      <w:jc w:val="left"/>
      <w:spacing w:before="59"/>
      <w:outlineLvl w:val="1"/>
    </w:pPr>
    <w:rPr>
      <w:rFonts w:ascii="仿宋" w:eastAsia="仿宋"/>
      <w:b/>
      <w:bCs/>
      <w:sz w:val="30"/>
      <w:szCs w:val="30"/>
      <w:lang w:val="zh-CN" w:bidi="zh-CN"/>
    </w:rPr>
  </w:style>
  <w:style w:type="paragraph" w:styleId="946" w:customStyle="1">
    <w:name w:val="标题 211"/>
    <w:next w:val="947"/>
    <w:uiPriority w:val="0"/>
    <w:qFormat/>
    <w:pPr>
      <w:keepLines/>
      <w:keepNext/>
      <w:spacing w:before="360" w:after="200"/>
      <w:outlineLvl w:val="1"/>
    </w:pPr>
    <w:rPr>
      <w:rFonts w:hint="default" w:ascii="Arial" w:hAnsi="Arial" w:eastAsia="Arial" w:cs="Times New Roman"/>
      <w:sz w:val="34"/>
      <w:lang w:val="en-US" w:eastAsia="zh-CN" w:bidi="ar-SA"/>
    </w:rPr>
  </w:style>
  <w:style w:type="paragraph" w:styleId="947" w:customStyle="1">
    <w:name w:val="正文1111"/>
    <w:next w:val="9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8" w:customStyle="1">
    <w:name w:val="标题 311"/>
    <w:next w:val="762"/>
    <w:uiPriority w:val="0"/>
    <w:qFormat/>
    <w:pPr>
      <w:keepLines/>
      <w:keepNext/>
      <w:spacing w:before="320" w:after="200"/>
      <w:outlineLvl w:val="2"/>
    </w:pPr>
    <w:rPr>
      <w:rFonts w:hint="default" w:ascii="Arial" w:hAnsi="Arial" w:eastAsia="Arial" w:cs="Times New Roman"/>
      <w:sz w:val="30"/>
      <w:szCs w:val="30"/>
      <w:lang w:val="en-US" w:eastAsia="zh-CN" w:bidi="ar-SA"/>
    </w:rPr>
  </w:style>
  <w:style w:type="paragraph" w:styleId="949" w:customStyle="1">
    <w:name w:val="标题 411"/>
    <w:basedOn w:val="774"/>
    <w:next w:val="712"/>
    <w:uiPriority w:val="0"/>
    <w:qFormat/>
    <w:pPr>
      <w:keepLines/>
      <w:keepNext/>
      <w:spacing w:before="320" w:after="200"/>
      <w:outlineLvl w:val="3"/>
    </w:pPr>
    <w:rPr>
      <w:rFonts w:ascii="Arial" w:hAnsi="Arial" w:eastAsia="Arial"/>
      <w:b/>
      <w:bCs/>
      <w:sz w:val="26"/>
      <w:szCs w:val="26"/>
    </w:rPr>
  </w:style>
  <w:style w:type="paragraph" w:styleId="950" w:customStyle="1">
    <w:name w:val="标题 51"/>
    <w:next w:val="762"/>
    <w:uiPriority w:val="0"/>
    <w:qFormat/>
    <w:pPr>
      <w:keepLines/>
      <w:keepNext/>
      <w:spacing w:before="320" w:after="200"/>
      <w:outlineLvl w:val="4"/>
    </w:pPr>
    <w:rPr>
      <w:rFonts w:hint="default" w:ascii="Arial" w:hAnsi="Arial" w:eastAsia="Arial" w:cs="Times New Roman"/>
      <w:b/>
      <w:bCs/>
      <w:sz w:val="24"/>
      <w:szCs w:val="24"/>
      <w:lang w:val="en-US" w:eastAsia="zh-CN" w:bidi="ar-SA"/>
    </w:rPr>
  </w:style>
  <w:style w:type="paragraph" w:styleId="951" w:customStyle="1">
    <w:name w:val="标题 61"/>
    <w:next w:val="762"/>
    <w:uiPriority w:val="0"/>
    <w:qFormat/>
    <w:pPr>
      <w:keepLines/>
      <w:keepNext/>
      <w:spacing w:before="320" w:after="200"/>
      <w:outlineLvl w:val="5"/>
    </w:pPr>
    <w:rPr>
      <w:rFonts w:hint="default" w:ascii="Arial" w:hAnsi="Arial" w:eastAsia="Arial" w:cs="Times New Roman"/>
      <w:b/>
      <w:bCs/>
      <w:sz w:val="22"/>
      <w:szCs w:val="22"/>
      <w:lang w:val="en-US" w:eastAsia="zh-CN" w:bidi="ar-SA"/>
    </w:rPr>
  </w:style>
  <w:style w:type="paragraph" w:styleId="952" w:customStyle="1">
    <w:name w:val="标题 71"/>
    <w:next w:val="762"/>
    <w:uiPriority w:val="0"/>
    <w:qFormat/>
    <w:pPr>
      <w:keepLines/>
      <w:keepNext/>
      <w:spacing w:before="320" w:after="200"/>
      <w:outlineLvl w:val="6"/>
    </w:pPr>
    <w:rPr>
      <w:rFonts w:hint="default" w:ascii="Arial" w:hAnsi="Arial" w:eastAsia="Arial" w:cs="Times New Roman"/>
      <w:b/>
      <w:bCs/>
      <w:i/>
      <w:iCs/>
      <w:sz w:val="22"/>
      <w:szCs w:val="22"/>
      <w:lang w:val="en-US" w:eastAsia="zh-CN" w:bidi="ar-SA"/>
    </w:rPr>
  </w:style>
  <w:style w:type="paragraph" w:styleId="953" w:customStyle="1">
    <w:name w:val="标题 81"/>
    <w:next w:val="762"/>
    <w:uiPriority w:val="0"/>
    <w:qFormat/>
    <w:pPr>
      <w:keepLines/>
      <w:keepNext/>
      <w:spacing w:before="320" w:after="200"/>
      <w:outlineLvl w:val="7"/>
    </w:pPr>
    <w:rPr>
      <w:rFonts w:hint="default" w:ascii="Arial" w:hAnsi="Arial" w:eastAsia="Arial" w:cs="Times New Roman"/>
      <w:i/>
      <w:iCs/>
      <w:sz w:val="22"/>
      <w:szCs w:val="22"/>
      <w:lang w:val="en-US" w:eastAsia="zh-CN" w:bidi="ar-SA"/>
    </w:rPr>
  </w:style>
  <w:style w:type="paragraph" w:styleId="954" w:customStyle="1">
    <w:name w:val="标题 91"/>
    <w:next w:val="762"/>
    <w:uiPriority w:val="0"/>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955" w:customStyle="1">
    <w:name w:val="默认段落字体11"/>
    <w:uiPriority w:val="0"/>
    <w:qFormat/>
  </w:style>
  <w:style w:type="character" w:styleId="956" w:customStyle="1">
    <w:name w:val="脚注引用1"/>
    <w:uiPriority w:val="0"/>
    <w:qFormat/>
    <w:rPr>
      <w:vertAlign w:val="superscript"/>
    </w:rPr>
  </w:style>
  <w:style w:type="character" w:styleId="957" w:customStyle="1">
    <w:name w:val="强调11"/>
    <w:uiPriority w:val="0"/>
    <w:qFormat/>
    <w:rPr>
      <w:i/>
    </w:rPr>
  </w:style>
  <w:style w:type="character" w:styleId="958" w:customStyle="1">
    <w:name w:val="页码1"/>
    <w:basedOn w:val="959"/>
    <w:link w:val="764"/>
    <w:uiPriority w:val="0"/>
    <w:qFormat/>
    <w:rPr>
      <w:rFonts w:ascii="Times New Roman" w:hAnsi="Times New Roman" w:eastAsia="宋体"/>
    </w:rPr>
  </w:style>
  <w:style w:type="character" w:styleId="959" w:customStyle="1">
    <w:name w:val="默认段落字体1"/>
    <w:link w:val="764"/>
    <w:uiPriority w:val="0"/>
    <w:qFormat/>
    <w:rPr>
      <w:rFonts w:ascii="Times New Roman" w:hAnsi="Times New Roman" w:eastAsia="宋体"/>
    </w:rPr>
  </w:style>
  <w:style w:type="paragraph" w:styleId="960" w:customStyle="1">
    <w:name w:val="标题 11"/>
    <w:basedOn w:val="764"/>
    <w:next w:val="764"/>
    <w:uiPriority w:val="0"/>
    <w:qFormat/>
    <w:pPr>
      <w:keepLines/>
      <w:keepNext/>
      <w:spacing w:before="340" w:after="330" w:line="576" w:lineRule="auto"/>
      <w:outlineLvl w:val="0"/>
    </w:pPr>
    <w:rPr>
      <w:b/>
      <w:sz w:val="44"/>
      <w:szCs w:val="20"/>
    </w:rPr>
  </w:style>
  <w:style w:type="character" w:styleId="961" w:customStyle="1">
    <w:name w:val="HTML 引文1"/>
    <w:uiPriority w:val="0"/>
    <w:qFormat/>
    <w:rPr>
      <w:color w:val="008000"/>
    </w:rPr>
  </w:style>
  <w:style w:type="character" w:styleId="962" w:customStyle="1">
    <w:name w:val="已访问的超链接1"/>
    <w:uiPriority w:val="0"/>
    <w:qFormat/>
    <w:rPr>
      <w:color w:val="771caa"/>
      <w:u w:val="none"/>
    </w:rPr>
  </w:style>
  <w:style w:type="paragraph" w:styleId="963" w:customStyle="1">
    <w:name w:val="批注框文本1"/>
    <w:basedOn w:val="764"/>
    <w:uiPriority w:val="0"/>
    <w:qFormat/>
    <w:rPr>
      <w:sz w:val="18"/>
      <w:szCs w:val="18"/>
    </w:rPr>
  </w:style>
  <w:style w:type="character" w:styleId="964" w:customStyle="1">
    <w:name w:val="font11"/>
    <w:uiPriority w:val="0"/>
    <w:qFormat/>
    <w:rPr>
      <w:rFonts w:ascii="宋体" w:eastAsia="宋体"/>
      <w:color w:val="000000"/>
      <w:sz w:val="28"/>
      <w:szCs w:val="28"/>
      <w:u w:val="none"/>
      <w:vertAlign w:val="superscript"/>
    </w:rPr>
  </w:style>
  <w:style w:type="paragraph" w:styleId="965" w:customStyle="1">
    <w:name w:val="页眉1"/>
    <w:basedOn w:val="764"/>
    <w:uiPriority w:val="0"/>
    <w:qFormat/>
    <w:pPr>
      <w:jc w:val="center"/>
      <w:tabs>
        <w:tab w:val="center" w:pos="4153" w:leader="none"/>
        <w:tab w:val="right" w:pos="8306" w:leader="none"/>
      </w:tabs>
      <w:pBdr>
        <w:bottom w:val="single" w:color="000000" w:sz="6" w:space="1"/>
      </w:pBdr>
    </w:pPr>
    <w:rPr>
      <w:sz w:val="18"/>
      <w:szCs w:val="18"/>
    </w:rPr>
  </w:style>
  <w:style w:type="paragraph" w:styleId="966" w:customStyle="1">
    <w:name w:val="无间隔11"/>
    <w:uiPriority w:val="0"/>
    <w:qFormat/>
    <w:rPr>
      <w:rFonts w:hint="default" w:ascii="Calibri" w:hAnsi="Calibri" w:eastAsia="宋体" w:cs="Times New Roman"/>
      <w:sz w:val="22"/>
      <w:szCs w:val="22"/>
      <w:lang w:val="en-US" w:eastAsia="zh-CN" w:bidi="ar-SA"/>
    </w:rPr>
  </w:style>
  <w:style w:type="paragraph" w:styleId="967" w:customStyle="1">
    <w:name w:val="批注文字1"/>
    <w:basedOn w:val="764"/>
    <w:uiPriority w:val="0"/>
    <w:qFormat/>
    <w:pPr>
      <w:jc w:val="left"/>
    </w:pPr>
  </w:style>
  <w:style w:type="character" w:styleId="968" w:customStyle="1">
    <w:name w:val="chewduserlogo"/>
    <w:uiPriority w:val="0"/>
    <w:qFormat/>
  </w:style>
  <w:style w:type="character" w:styleId="969" w:customStyle="1">
    <w:name w:val="HTML 定义1"/>
    <w:uiPriority w:val="0"/>
    <w:qFormat/>
  </w:style>
  <w:style w:type="paragraph" w:styleId="970" w:customStyle="1">
    <w:name w:val="批注主题1"/>
    <w:basedOn w:val="967"/>
    <w:next w:val="967"/>
    <w:uiPriority w:val="0"/>
    <w:qFormat/>
    <w:rPr>
      <w:b/>
      <w:bCs/>
    </w:rPr>
  </w:style>
  <w:style w:type="paragraph" w:styleId="971" w:customStyle="1">
    <w:name w:val="副标题1"/>
    <w:uiPriority w:val="0"/>
    <w:qFormat/>
    <w:pPr>
      <w:spacing w:before="200" w:after="200"/>
    </w:pPr>
    <w:rPr>
      <w:rFonts w:hint="default" w:ascii="Calibri" w:hAnsi="Calibri" w:eastAsia="宋体" w:cs="Times New Roman"/>
      <w:sz w:val="24"/>
      <w:szCs w:val="24"/>
      <w:lang w:val="en-US" w:eastAsia="zh-CN" w:bidi="ar-SA"/>
    </w:rPr>
  </w:style>
  <w:style w:type="character" w:styleId="972" w:customStyle="1">
    <w:name w:val="超链接11"/>
    <w:uiPriority w:val="0"/>
    <w:qFormat/>
    <w:rPr>
      <w:color w:val="0000ff"/>
      <w:u w:val="single"/>
    </w:rPr>
  </w:style>
  <w:style w:type="character" w:styleId="973" w:customStyle="1">
    <w:name w:val="尾注引用1"/>
    <w:uiPriority w:val="0"/>
    <w:qFormat/>
    <w:rPr>
      <w:vertAlign w:val="superscript"/>
    </w:rPr>
  </w:style>
  <w:style w:type="character" w:styleId="974" w:customStyle="1">
    <w:name w:val="hover27"/>
    <w:uiPriority w:val="0"/>
    <w:qFormat/>
    <w:rPr>
      <w:color w:val="315efb"/>
    </w:rPr>
  </w:style>
  <w:style w:type="paragraph" w:styleId="975" w:customStyle="1">
    <w:name w:val="页脚11"/>
    <w:basedOn w:val="762"/>
    <w:uiPriority w:val="0"/>
    <w:qFormat/>
    <w:pPr>
      <w:tabs>
        <w:tab w:val="center" w:pos="7143" w:leader="none"/>
        <w:tab w:val="right" w:pos="14287" w:leader="none"/>
      </w:tabs>
    </w:pPr>
  </w:style>
  <w:style w:type="character" w:styleId="976" w:customStyle="1">
    <w:name w:val="hover26"/>
    <w:uiPriority w:val="0"/>
    <w:qFormat/>
  </w:style>
  <w:style w:type="paragraph" w:styleId="977" w:customStyle="1">
    <w:name w:val="页脚1"/>
    <w:basedOn w:val="764"/>
    <w:uiPriority w:val="0"/>
    <w:qFormat/>
    <w:pPr>
      <w:jc w:val="left"/>
      <w:tabs>
        <w:tab w:val="center" w:pos="4153" w:leader="none"/>
        <w:tab w:val="right" w:pos="8306" w:leader="none"/>
      </w:tabs>
    </w:pPr>
    <w:rPr>
      <w:sz w:val="18"/>
      <w:szCs w:val="18"/>
    </w:rPr>
  </w:style>
  <w:style w:type="character" w:styleId="978" w:customStyle="1">
    <w:name w:val="hover25"/>
    <w:uiPriority w:val="0"/>
    <w:qFormat/>
  </w:style>
  <w:style w:type="character" w:styleId="979" w:customStyle="1">
    <w:name w:val="awspan"/>
    <w:uiPriority w:val="0"/>
    <w:qFormat/>
  </w:style>
  <w:style w:type="character" w:styleId="980" w:customStyle="1">
    <w:name w:val="批注引用1"/>
    <w:uiPriority w:val="0"/>
    <w:qFormat/>
    <w:rPr>
      <w:rFonts w:ascii="Times New Roman" w:hAnsi="Times New Roman" w:eastAsia="宋体"/>
      <w:sz w:val="21"/>
      <w:szCs w:val="21"/>
    </w:rPr>
  </w:style>
  <w:style w:type="character" w:styleId="981" w:customStyle="1">
    <w:name w:val="Footer Char"/>
    <w:uiPriority w:val="0"/>
    <w:qFormat/>
  </w:style>
  <w:style w:type="paragraph" w:styleId="982" w:customStyle="1">
    <w:name w:val="引用11"/>
    <w:uiPriority w:val="0"/>
    <w:qFormat/>
    <w:pPr>
      <w:ind w:left="720" w:right="720"/>
    </w:pPr>
    <w:rPr>
      <w:rFonts w:hint="default" w:ascii="Calibri" w:hAnsi="Calibri" w:eastAsia="宋体" w:cs="Times New Roman"/>
      <w:i/>
      <w:lang w:val="en-US" w:eastAsia="zh-CN" w:bidi="ar-SA"/>
    </w:rPr>
  </w:style>
  <w:style w:type="character" w:styleId="983" w:customStyle="1">
    <w:name w:val="page-start"/>
    <w:uiPriority w:val="0"/>
    <w:qFormat/>
    <w:rPr>
      <w:color w:val="999999"/>
      <w:u w:val="none"/>
      <w:shd w:val="clear" w:color="auto" w:fill="fafafa"/>
    </w:rPr>
  </w:style>
  <w:style w:type="paragraph" w:styleId="984" w:customStyle="1">
    <w:name w:val="明显引用11"/>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Calibri" w:hAnsi="Calibri" w:eastAsia="宋体" w:cs="Times New Roman"/>
      <w:i/>
      <w:lang w:val="en-US" w:eastAsia="zh-CN" w:bidi="ar-SA"/>
    </w:rPr>
  </w:style>
  <w:style w:type="character" w:styleId="985" w:customStyle="1">
    <w:name w:val="c-icon"/>
    <w:uiPriority w:val="0"/>
    <w:qFormat/>
  </w:style>
  <w:style w:type="paragraph" w:styleId="986" w:customStyle="1">
    <w:name w:val="标题11"/>
    <w:uiPriority w:val="0"/>
    <w:qFormat/>
    <w:pPr>
      <w:contextualSpacing/>
      <w:spacing w:before="300" w:after="200"/>
    </w:pPr>
    <w:rPr>
      <w:rFonts w:hint="default" w:ascii="Calibri" w:hAnsi="Calibri" w:eastAsia="宋体" w:cs="Times New Roman"/>
      <w:sz w:val="48"/>
      <w:szCs w:val="48"/>
      <w:lang w:val="en-US" w:eastAsia="zh-CN" w:bidi="ar-SA"/>
    </w:rPr>
  </w:style>
  <w:style w:type="paragraph" w:styleId="987" w:customStyle="1">
    <w:name w:val="尾注文本1"/>
    <w:uiPriority w:val="0"/>
    <w:qFormat/>
    <w:rPr>
      <w:rFonts w:hint="default" w:ascii="Calibri" w:hAnsi="Calibri" w:eastAsia="宋体" w:cs="Times New Roman"/>
      <w:lang w:val="en-US" w:eastAsia="zh-CN" w:bidi="ar-SA"/>
    </w:rPr>
  </w:style>
  <w:style w:type="character" w:styleId="988" w:customStyle="1">
    <w:name w:val="强调1"/>
    <w:uiPriority w:val="0"/>
    <w:qFormat/>
    <w:rPr>
      <w:color w:val="f73131"/>
    </w:rPr>
  </w:style>
  <w:style w:type="character" w:styleId="989" w:customStyle="1">
    <w:name w:val="hover24"/>
    <w:uiPriority w:val="0"/>
    <w:qFormat/>
    <w:rPr>
      <w:color w:val="315efb"/>
    </w:rPr>
  </w:style>
  <w:style w:type="paragraph" w:styleId="990" w:customStyle="1">
    <w:name w:val="页眉11"/>
    <w:basedOn w:val="762"/>
    <w:uiPriority w:val="0"/>
    <w:qFormat/>
    <w:pPr>
      <w:tabs>
        <w:tab w:val="center" w:pos="7143" w:leader="none"/>
        <w:tab w:val="right" w:pos="14287" w:leader="none"/>
      </w:tabs>
    </w:pPr>
  </w:style>
  <w:style w:type="character" w:styleId="991" w:customStyle="1">
    <w:name w:val="超链接1"/>
    <w:uiPriority w:val="0"/>
    <w:qFormat/>
    <w:rPr>
      <w:color w:val="2440b3"/>
      <w:u w:val="none"/>
    </w:rPr>
  </w:style>
  <w:style w:type="character" w:styleId="992" w:customStyle="1">
    <w:name w:val="c-icon30"/>
    <w:uiPriority w:val="0"/>
    <w:qFormat/>
  </w:style>
  <w:style w:type="character" w:styleId="993" w:customStyle="1">
    <w:name w:val="page-cur"/>
    <w:uiPriority w:val="0"/>
    <w:qFormat/>
    <w:rPr>
      <w:color w:val="999999"/>
      <w:u w:val="none"/>
      <w:shd w:val="clear" w:color="auto" w:fill="fafafa"/>
    </w:rPr>
  </w:style>
  <w:style w:type="character" w:styleId="994" w:customStyle="1">
    <w:name w:val="awspan1"/>
    <w:uiPriority w:val="0"/>
    <w:qFormat/>
    <w:rPr>
      <w:color w:val="000000"/>
      <w:sz w:val="24"/>
      <w:szCs w:val="24"/>
    </w:rPr>
  </w:style>
  <w:style w:type="paragraph" w:styleId="995" w:customStyle="1">
    <w:name w:val="目录 11"/>
    <w:basedOn w:val="774"/>
    <w:next w:val="774"/>
    <w:uiPriority w:val="0"/>
    <w:qFormat/>
    <w:pPr>
      <w:spacing w:after="57"/>
    </w:pPr>
    <w:rPr>
      <w:rFonts w:hint="default" w:ascii="Calibri" w:hAnsi="Calibri" w:eastAsia="宋体" w:cs="Times New Roman"/>
      <w:lang w:val="en-US" w:eastAsia="zh-CN" w:bidi="ar-SA"/>
    </w:rPr>
  </w:style>
  <w:style w:type="paragraph" w:styleId="996" w:customStyle="1">
    <w:name w:val="目录 31"/>
    <w:next w:val="762"/>
    <w:uiPriority w:val="0"/>
    <w:qFormat/>
    <w:pPr>
      <w:ind w:left="567"/>
      <w:spacing w:after="57"/>
    </w:pPr>
    <w:rPr>
      <w:rFonts w:hint="default" w:ascii="Calibri" w:hAnsi="Calibri" w:eastAsia="宋体" w:cs="Times New Roman"/>
      <w:lang w:val="en-US" w:eastAsia="zh-CN" w:bidi="ar-SA"/>
    </w:rPr>
  </w:style>
  <w:style w:type="paragraph" w:styleId="997" w:customStyle="1">
    <w:name w:val="文本块11"/>
    <w:basedOn w:val="762"/>
    <w:uiPriority w:val="0"/>
    <w:qFormat/>
    <w:pPr>
      <w:ind w:left="268" w:right="-24" w:firstLine="473"/>
    </w:pPr>
    <w:rPr>
      <w:bCs/>
    </w:rPr>
  </w:style>
  <w:style w:type="paragraph" w:styleId="998" w:customStyle="1">
    <w:name w:val="目录 61"/>
    <w:next w:val="762"/>
    <w:uiPriority w:val="0"/>
    <w:qFormat/>
    <w:pPr>
      <w:ind w:left="1417"/>
      <w:spacing w:after="57"/>
    </w:pPr>
    <w:rPr>
      <w:rFonts w:hint="default" w:ascii="Calibri" w:hAnsi="Calibri" w:eastAsia="宋体" w:cs="Times New Roman"/>
      <w:lang w:val="en-US" w:eastAsia="zh-CN" w:bidi="ar-SA"/>
    </w:rPr>
  </w:style>
  <w:style w:type="paragraph" w:styleId="999" w:customStyle="1">
    <w:name w:val="目录 71"/>
    <w:next w:val="762"/>
    <w:uiPriority w:val="0"/>
    <w:qFormat/>
    <w:pPr>
      <w:ind w:left="1701"/>
      <w:spacing w:after="57"/>
    </w:pPr>
    <w:rPr>
      <w:rFonts w:hint="default" w:ascii="Calibri" w:hAnsi="Calibri" w:eastAsia="宋体" w:cs="Times New Roman"/>
      <w:lang w:val="en-US" w:eastAsia="zh-CN" w:bidi="ar-SA"/>
    </w:rPr>
  </w:style>
  <w:style w:type="paragraph" w:styleId="1000" w:customStyle="1">
    <w:name w:val="纯文本11"/>
    <w:basedOn w:val="774"/>
    <w:uiPriority w:val="0"/>
    <w:qFormat/>
    <w:rPr>
      <w:rFonts w:ascii="宋体" w:hAnsi="宋体" w:eastAsia="仿宋_GB2312"/>
      <w:sz w:val="30"/>
    </w:rPr>
  </w:style>
  <w:style w:type="paragraph" w:styleId="1001" w:customStyle="1">
    <w:name w:val="正文文本111"/>
    <w:basedOn w:val="762"/>
    <w:next w:val="759"/>
    <w:uiPriority w:val="0"/>
    <w:qFormat/>
    <w:rPr>
      <w:rFonts w:ascii="金山简黑体" w:eastAsia="金山简黑体"/>
      <w:b/>
      <w:spacing w:val="-8"/>
      <w:sz w:val="44"/>
    </w:rPr>
  </w:style>
  <w:style w:type="paragraph" w:styleId="1002" w:customStyle="1">
    <w:name w:val="批注文字11"/>
    <w:basedOn w:val="762"/>
    <w:uiPriority w:val="0"/>
    <w:qFormat/>
    <w:rPr>
      <w:sz w:val="22"/>
      <w:szCs w:val="22"/>
    </w:rPr>
  </w:style>
  <w:style w:type="paragraph" w:styleId="1003" w:customStyle="1">
    <w:name w:val="首行缩进"/>
    <w:basedOn w:val="764"/>
    <w:next w:val="764"/>
    <w:uiPriority w:val="0"/>
    <w:qFormat/>
    <w:pPr>
      <w:ind w:firstLine="480"/>
      <w:spacing w:line="360" w:lineRule="auto"/>
    </w:pPr>
    <w:rPr>
      <w:rFonts w:ascii="宋体"/>
      <w:sz w:val="24"/>
    </w:rPr>
  </w:style>
  <w:style w:type="paragraph" w:styleId="1004" w:customStyle="1">
    <w:name w:val="+正文"/>
    <w:basedOn w:val="764"/>
    <w:uiPriority w:val="0"/>
    <w:qFormat/>
    <w:pPr>
      <w:ind w:firstLine="200"/>
      <w:jc w:val="left"/>
      <w:spacing w:line="500" w:lineRule="exact"/>
    </w:pPr>
    <w:rPr>
      <w:rFonts w:ascii="Times New Roman" w:hAnsi="Times New Roman"/>
      <w:sz w:val="24"/>
      <w:szCs w:val="28"/>
    </w:rPr>
  </w:style>
  <w:style w:type="paragraph" w:styleId="1005" w:customStyle="1">
    <w:name w:val="Default"/>
    <w:uiPriority w:val="0"/>
    <w:qFormat/>
    <w:pPr>
      <w:widowControl w:val="off"/>
    </w:pPr>
    <w:rPr>
      <w:rFonts w:hint="default" w:ascii="Arial" w:hAnsi="Arial" w:eastAsia="宋体" w:cs="Times New Roman"/>
      <w:color w:val="000000"/>
      <w:sz w:val="24"/>
      <w:szCs w:val="24"/>
      <w:lang w:val="en-US" w:eastAsia="zh-CN" w:bidi="ar-SA"/>
    </w:rPr>
  </w:style>
  <w:style w:type="paragraph" w:styleId="1006" w:customStyle="1">
    <w:name w:val="正文文本缩进 21"/>
    <w:basedOn w:val="764"/>
    <w:uiPriority w:val="0"/>
    <w:qFormat/>
    <w:pPr>
      <w:ind w:left="630" w:firstLine="645"/>
    </w:pPr>
    <w:rPr>
      <w:rFonts w:ascii="Arial" w:hAnsi="Arial" w:eastAsia="仿宋_GB2312"/>
      <w:sz w:val="32"/>
      <w:szCs w:val="32"/>
    </w:rPr>
  </w:style>
  <w:style w:type="paragraph" w:styleId="1007" w:customStyle="1">
    <w:name w:val="列出段落11"/>
    <w:basedOn w:val="764"/>
    <w:uiPriority w:val="0"/>
    <w:qFormat/>
    <w:pPr>
      <w:ind w:firstLine="420"/>
      <w:jc w:val="left"/>
      <w:spacing w:line="360" w:lineRule="atLeast"/>
    </w:pPr>
    <w:rPr>
      <w:sz w:val="24"/>
    </w:rPr>
  </w:style>
  <w:style w:type="paragraph" w:styleId="1008" w:customStyle="1">
    <w:name w:val="无间隔121"/>
    <w:uiPriority w:val="0"/>
    <w:qFormat/>
    <w:rPr>
      <w:rFonts w:hint="default" w:ascii="Calibri" w:hAnsi="Calibri" w:eastAsia="宋体" w:cs="Times New Roman"/>
      <w:lang w:val="en-US" w:eastAsia="zh-CN" w:bidi="ar-SA"/>
    </w:rPr>
  </w:style>
  <w:style w:type="paragraph" w:styleId="1009" w:customStyle="1">
    <w:name w:val="表格文本"/>
    <w:basedOn w:val="764"/>
    <w:uiPriority w:val="0"/>
    <w:qFormat/>
    <w:pPr>
      <w:jc w:val="center"/>
    </w:pPr>
    <w:rPr>
      <w:rFonts w:ascii="宋体"/>
      <w:bCs/>
      <w:szCs w:val="21"/>
    </w:rPr>
  </w:style>
  <w:style w:type="paragraph" w:styleId="1010" w:customStyle="1">
    <w:name w:val="表格文字"/>
    <w:basedOn w:val="764"/>
    <w:next w:val="770"/>
    <w:uiPriority w:val="0"/>
    <w:qFormat/>
    <w:pPr>
      <w:jc w:val="left"/>
    </w:pPr>
    <w:rPr>
      <w:bCs/>
      <w:spacing w:val="10"/>
      <w:sz w:val="20"/>
      <w:szCs w:val="20"/>
    </w:rPr>
  </w:style>
  <w:style w:type="paragraph" w:styleId="1011" w:customStyle="1">
    <w:name w:val="题注1"/>
    <w:next w:val="762"/>
    <w:uiPriority w:val="0"/>
    <w:qFormat/>
    <w:pPr>
      <w:spacing w:line="276" w:lineRule="auto"/>
    </w:pPr>
    <w:rPr>
      <w:rFonts w:hint="default" w:ascii="Calibri" w:hAnsi="Calibri" w:eastAsia="宋体" w:cs="Times New Roman"/>
      <w:b/>
      <w:bCs/>
      <w:color w:val="4f81bd"/>
      <w:sz w:val="18"/>
      <w:szCs w:val="18"/>
      <w:lang w:val="en-US" w:eastAsia="zh-CN" w:bidi="ar-SA"/>
    </w:rPr>
  </w:style>
  <w:style w:type="paragraph" w:styleId="1012" w:customStyle="1">
    <w:name w:val="正文121"/>
    <w:next w:val="943"/>
    <w:uiPriority w:val="0"/>
    <w:qFormat/>
    <w:rPr>
      <w:rFonts w:hint="default" w:ascii="Times New Roman" w:hAnsi="Times New Roman" w:eastAsia="宋体" w:cs="Times New Roman"/>
      <w:lang w:val="en-US" w:eastAsia="zh-CN" w:bidi="ar-SA"/>
    </w:rPr>
  </w:style>
  <w:style w:type="paragraph" w:styleId="1013" w:customStyle="1">
    <w:name w:val="普通(网站)11"/>
    <w:basedOn w:val="762"/>
    <w:uiPriority w:val="0"/>
    <w:qFormat/>
    <w:rPr>
      <w:sz w:val="24"/>
    </w:rPr>
  </w:style>
  <w:style w:type="paragraph" w:styleId="1014" w:customStyle="1">
    <w:name w:val="目录 41"/>
    <w:next w:val="762"/>
    <w:uiPriority w:val="0"/>
    <w:qFormat/>
    <w:pPr>
      <w:ind w:left="850"/>
      <w:spacing w:after="57"/>
    </w:pPr>
    <w:rPr>
      <w:rFonts w:hint="default" w:ascii="Calibri" w:hAnsi="Calibri" w:eastAsia="宋体" w:cs="Times New Roman"/>
      <w:lang w:val="en-US" w:eastAsia="zh-CN" w:bidi="ar-SA"/>
    </w:rPr>
  </w:style>
  <w:style w:type="paragraph" w:styleId="1015" w:customStyle="1">
    <w:name w:val="目录 81"/>
    <w:next w:val="762"/>
    <w:uiPriority w:val="0"/>
    <w:qFormat/>
    <w:pPr>
      <w:ind w:left="1984"/>
      <w:spacing w:after="57"/>
    </w:pPr>
    <w:rPr>
      <w:rFonts w:hint="default" w:ascii="Calibri" w:hAnsi="Calibri" w:eastAsia="宋体" w:cs="Times New Roman"/>
      <w:lang w:val="en-US" w:eastAsia="zh-CN" w:bidi="ar-SA"/>
    </w:rPr>
  </w:style>
  <w:style w:type="paragraph" w:styleId="1016" w:customStyle="1">
    <w:name w:val="图表目录1"/>
    <w:next w:val="762"/>
    <w:uiPriority w:val="0"/>
    <w:qFormat/>
    <w:rPr>
      <w:rFonts w:hint="default" w:ascii="Calibri" w:hAnsi="Calibri" w:eastAsia="宋体" w:cs="Times New Roman"/>
      <w:lang w:val="en-US" w:eastAsia="zh-CN" w:bidi="ar-SA"/>
    </w:rPr>
  </w:style>
  <w:style w:type="paragraph" w:styleId="1017" w:customStyle="1">
    <w:name w:val="寄信人地址2"/>
    <w:basedOn w:val="762"/>
    <w:uiPriority w:val="0"/>
    <w:qFormat/>
    <w:rPr>
      <w:rFonts w:ascii="Arial" w:hAnsi="Arial"/>
    </w:rPr>
  </w:style>
  <w:style w:type="paragraph" w:styleId="1018" w:customStyle="1">
    <w:name w:val="目录 91"/>
    <w:basedOn w:val="762"/>
    <w:next w:val="762"/>
    <w:uiPriority w:val="0"/>
    <w:qFormat/>
    <w:pPr>
      <w:ind w:left="2268"/>
      <w:spacing w:after="57"/>
    </w:pPr>
    <w:rPr>
      <w:rFonts w:ascii="Times New Roman" w:hAnsi="Times New Roman"/>
    </w:rPr>
  </w:style>
  <w:style w:type="paragraph" w:styleId="1019" w:customStyle="1">
    <w:name w:val="目录 51"/>
    <w:next w:val="762"/>
    <w:uiPriority w:val="0"/>
    <w:qFormat/>
    <w:pPr>
      <w:ind w:left="1134"/>
      <w:spacing w:after="57"/>
    </w:pPr>
    <w:rPr>
      <w:rFonts w:hint="default" w:ascii="Calibri" w:hAnsi="Calibri" w:eastAsia="宋体" w:cs="Times New Roman"/>
      <w:lang w:val="en-US" w:eastAsia="zh-CN" w:bidi="ar-SA"/>
    </w:rPr>
  </w:style>
  <w:style w:type="paragraph" w:styleId="1020" w:customStyle="1">
    <w:name w:val="正文文本缩进 22"/>
    <w:basedOn w:val="762"/>
    <w:uiPriority w:val="0"/>
    <w:qFormat/>
    <w:pPr>
      <w:ind w:left="420"/>
      <w:spacing w:after="120" w:line="480" w:lineRule="auto"/>
    </w:pPr>
  </w:style>
  <w:style w:type="paragraph" w:styleId="1021" w:customStyle="1">
    <w:name w:val="表格3"/>
    <w:basedOn w:val="764"/>
    <w:uiPriority w:val="0"/>
    <w:qFormat/>
    <w:pPr>
      <w:jc w:val="center"/>
    </w:pPr>
    <w:rPr>
      <w:rFonts w:ascii="Times New Roman" w:hAnsi="Times New Roman"/>
    </w:rPr>
  </w:style>
  <w:style w:type="paragraph" w:styleId="1022" w:customStyle="1">
    <w:name w:val="Char"/>
    <w:basedOn w:val="764"/>
    <w:uiPriority w:val="0"/>
    <w:qFormat/>
    <w:pPr>
      <w:tabs>
        <w:tab w:val="left" w:pos="360" w:leader="none"/>
      </w:tabs>
    </w:pPr>
    <w:rPr>
      <w:rFonts w:ascii="Times New Roman" w:hAnsi="Times New Roman"/>
      <w:sz w:val="24"/>
    </w:rPr>
  </w:style>
  <w:style w:type="paragraph" w:styleId="1023" w:customStyle="1">
    <w:name w:val="样式"/>
    <w:basedOn w:val="764"/>
    <w:uiPriority w:val="0"/>
    <w:qFormat/>
    <w:pPr>
      <w:jc w:val="left"/>
    </w:pPr>
    <w:rPr>
      <w:rFonts w:ascii="宋体"/>
      <w:sz w:val="24"/>
    </w:rPr>
  </w:style>
  <w:style w:type="paragraph" w:styleId="1024" w:customStyle="1">
    <w:name w:val="_Style 49"/>
    <w:basedOn w:val="762"/>
    <w:next w:val="1000"/>
    <w:uiPriority w:val="0"/>
    <w:qFormat/>
    <w:rPr>
      <w:rFonts w:ascii="宋体"/>
      <w:sz w:val="24"/>
    </w:rPr>
  </w:style>
  <w:style w:type="paragraph" w:styleId="1025" w:customStyle="1">
    <w:name w:val="默认段落字体 Para Char Char Char Char Char Char Char"/>
    <w:basedOn w:val="764"/>
    <w:uiPriority w:val="0"/>
    <w:qFormat/>
    <w:rPr>
      <w:rFonts w:ascii="Tahoma" w:hAnsi="Tahoma"/>
      <w:sz w:val="24"/>
      <w:szCs w:val="20"/>
    </w:rPr>
  </w:style>
  <w:style w:type="paragraph" w:styleId="1026" w:customStyle="1">
    <w:name w:val="[基本段落]"/>
    <w:basedOn w:val="764"/>
    <w:uiPriority w:val="0"/>
    <w:qFormat/>
    <w:pPr>
      <w:spacing w:line="288" w:lineRule="auto"/>
    </w:pPr>
    <w:rPr>
      <w:rFonts w:ascii="宋体"/>
      <w:color w:val="000000"/>
      <w:sz w:val="24"/>
      <w:lang w:val="zh-CN"/>
    </w:rPr>
  </w:style>
  <w:style w:type="paragraph" w:styleId="1027" w:customStyle="1">
    <w:name w:val="普通(网站)1"/>
    <w:basedOn w:val="764"/>
    <w:uiPriority w:val="0"/>
    <w:qFormat/>
    <w:pPr>
      <w:jc w:val="left"/>
      <w:spacing w:before="100" w:beforeAutospacing="1" w:after="100" w:afterAutospacing="1"/>
      <w:widowControl/>
    </w:pPr>
    <w:rPr>
      <w:rFonts w:ascii="宋体"/>
      <w:sz w:val="24"/>
    </w:rPr>
  </w:style>
  <w:style w:type="paragraph" w:styleId="1028" w:customStyle="1">
    <w:name w:val="TOC 标题11"/>
    <w:uiPriority w:val="0"/>
    <w:qFormat/>
    <w:rPr>
      <w:rFonts w:hint="default" w:ascii="Calibri" w:hAnsi="Calibri" w:eastAsia="宋体" w:cs="Times New Roman"/>
      <w:lang w:val="en-US" w:eastAsia="zh-CN" w:bidi="ar-SA"/>
    </w:rPr>
  </w:style>
  <w:style w:type="paragraph" w:styleId="1029" w:customStyle="1">
    <w:name w:val="样式 首行缩进:  2 字符"/>
    <w:basedOn w:val="764"/>
    <w:uiPriority w:val="0"/>
    <w:qFormat/>
    <w:pPr>
      <w:ind w:firstLine="200"/>
      <w:spacing w:line="400" w:lineRule="exact"/>
    </w:pPr>
    <w:rPr>
      <w:sz w:val="24"/>
    </w:rPr>
  </w:style>
  <w:style w:type="paragraph" w:styleId="1030" w:customStyle="1">
    <w:name w:val="Table Paragraph"/>
    <w:basedOn w:val="764"/>
    <w:uiPriority w:val="0"/>
    <w:qFormat/>
    <w:pPr>
      <w:jc w:val="left"/>
    </w:pPr>
    <w:rPr>
      <w:rFonts w:ascii="仿宋" w:eastAsia="仿宋"/>
      <w:sz w:val="22"/>
      <w:szCs w:val="22"/>
      <w:lang w:val="zh-CN" w:bidi="zh-CN"/>
    </w:rPr>
  </w:style>
  <w:style w:type="paragraph" w:styleId="1031" w:customStyle="1">
    <w:name w:val="Style1"/>
    <w:basedOn w:val="762"/>
    <w:uiPriority w:val="0"/>
    <w:qFormat/>
    <w:pPr>
      <w:spacing w:after="120"/>
      <w:tabs>
        <w:tab w:val="left" w:pos="-720" w:leader="none"/>
      </w:tabs>
    </w:pPr>
    <w:rPr>
      <w:spacing w:val="-3"/>
      <w:sz w:val="24"/>
      <w:lang w:val="en-AU"/>
    </w:rPr>
  </w:style>
  <w:style w:type="paragraph" w:styleId="1032" w:customStyle="1">
    <w:name w:val="列表 21"/>
    <w:basedOn w:val="764"/>
    <w:uiPriority w:val="0"/>
    <w:qFormat/>
    <w:pPr>
      <w:ind w:left="100" w:hanging="200"/>
    </w:pPr>
  </w:style>
  <w:style w:type="paragraph" w:styleId="1033" w:customStyle="1">
    <w:name w:val="标题 31"/>
    <w:basedOn w:val="764"/>
    <w:next w:val="764"/>
    <w:uiPriority w:val="0"/>
    <w:qFormat/>
    <w:pPr>
      <w:ind w:left="50" w:right="31"/>
      <w:jc w:val="center"/>
      <w:spacing w:before="39"/>
      <w:outlineLvl w:val="2"/>
    </w:pPr>
    <w:rPr>
      <w:sz w:val="30"/>
      <w:szCs w:val="30"/>
    </w:rPr>
  </w:style>
  <w:style w:type="paragraph" w:styleId="1034" w:customStyle="1">
    <w:name w:val="列表段落1"/>
    <w:basedOn w:val="764"/>
    <w:next w:val="712"/>
    <w:uiPriority w:val="0"/>
    <w:qFormat/>
    <w:pPr>
      <w:ind w:firstLine="420"/>
    </w:pPr>
    <w:rPr>
      <w:sz w:val="22"/>
      <w:szCs w:val="22"/>
    </w:rPr>
  </w:style>
  <w:style w:type="paragraph" w:styleId="1035" w:customStyle="1">
    <w:name w:val="列出段落2"/>
    <w:basedOn w:val="762"/>
    <w:uiPriority w:val="0"/>
    <w:qFormat/>
    <w:pPr>
      <w:contextualSpacing/>
      <w:ind w:left="720"/>
    </w:pPr>
    <w:rPr>
      <w:rFonts w:ascii="Times New Roman" w:hAnsi="Times New Roman"/>
    </w:rPr>
  </w:style>
  <w:style w:type="paragraph" w:styleId="1036" w:customStyle="1">
    <w:name w:val="WPSOffice手动目录 1"/>
    <w:uiPriority w:val="0"/>
    <w:qFormat/>
    <w:rPr>
      <w:rFonts w:hint="default" w:ascii="Calibri" w:hAnsi="Calibri" w:eastAsia="宋体" w:cs="Times New Roman"/>
      <w:lang w:val="en-US" w:eastAsia="zh-CN" w:bidi="ar-SA"/>
    </w:rPr>
  </w:style>
  <w:style w:type="paragraph" w:styleId="1037" w:customStyle="1">
    <w:name w:val="无间隔12"/>
    <w:uiPriority w:val="0"/>
    <w:qFormat/>
    <w:pPr>
      <w:jc w:val="both"/>
      <w:widowControl w:val="off"/>
    </w:pPr>
    <w:rPr>
      <w:rFonts w:hint="default" w:ascii="Calibri" w:hAnsi="Calibri" w:eastAsia="宋体" w:cs="Times New Roman"/>
      <w:sz w:val="21"/>
      <w:szCs w:val="22"/>
      <w:lang w:val="en-US" w:eastAsia="zh-CN" w:bidi="ar-SA"/>
    </w:rPr>
  </w:style>
  <w:style w:type="paragraph" w:styleId="1038" w:customStyle="1">
    <w:name w:val="footer1"/>
    <w:basedOn w:val="712"/>
    <w:uiPriority w:val="0"/>
    <w:qFormat/>
    <w:pPr>
      <w:spacing w:line="856" w:lineRule="atLeast"/>
      <w:tabs>
        <w:tab w:val="center" w:pos="4153" w:leader="none"/>
        <w:tab w:val="right" w:pos="8306" w:leader="none"/>
      </w:tabs>
    </w:pPr>
    <w:rPr>
      <w:rFonts w:ascii="Times New Roman" w:hAnsi="Times New Roman"/>
      <w:color w:val="000000"/>
      <w:sz w:val="18"/>
    </w:rPr>
  </w:style>
  <w:style w:type="paragraph" w:styleId="1039" w:customStyle="1">
    <w:name w:val="段落文字"/>
    <w:basedOn w:val="712"/>
    <w:uiPriority w:val="0"/>
    <w:qFormat/>
    <w:pPr>
      <w:ind w:firstLine="200"/>
      <w:spacing w:line="360" w:lineRule="auto"/>
    </w:pPr>
    <w:rPr>
      <w:rFonts w:ascii="仿宋" w:eastAsia="仿宋"/>
      <w:sz w:val="28"/>
      <w:szCs w:val="28"/>
    </w:rPr>
  </w:style>
  <w:style w:type="character" w:styleId="1040" w:customStyle="1">
    <w:name w:val="NormalCharacter1"/>
    <w:link w:val="764"/>
    <w:uiPriority w:val="0"/>
    <w:semiHidden/>
    <w:qFormat/>
    <w:rPr>
      <w:rFonts w:ascii="Times New Roman" w:hAnsi="Times New Roman" w:eastAsia="宋体" w:cs="Times New Roman"/>
      <w:sz w:val="21"/>
      <w:szCs w:val="24"/>
      <w:lang w:val="en-US" w:eastAsia="zh-CN" w:bidi="ar-SA"/>
    </w:rPr>
  </w:style>
  <w:style w:type="paragraph" w:styleId="1041">
    <w:name w:val="List Paragraph"/>
    <w:basedOn w:val="712"/>
    <w:uiPriority w:val="0"/>
    <w:qFormat/>
    <w:pPr>
      <w:ind w:firstLine="420"/>
    </w:pPr>
    <w:rPr>
      <w:rFonts w:ascii="Calibri" w:hAnsi="Calibri" w:cstheme="minorBidi"/>
      <w:szCs w:val="22"/>
    </w:rPr>
  </w:style>
  <w:style w:type="paragraph" w:styleId="1042" w:customStyle="1">
    <w:name w:val="Normal_0_3"/>
    <w:uiPriority w:val="0"/>
    <w:qFormat/>
    <w:rPr>
      <w:rFonts w:hint="default" w:ascii="Times New Roman" w:hAnsi="Times New Roman" w:eastAsia="Times New Roman" w:cs="Times New Roman"/>
      <w:sz w:val="24"/>
      <w:szCs w:val="24"/>
      <w:lang w:val="en-US" w:eastAsia="zh-CN" w:bidi="ar-SA"/>
    </w:rPr>
  </w:style>
  <w:style w:type="character" w:styleId="1043" w:customStyle="1">
    <w:name w:val="font31"/>
    <w:basedOn w:val="722"/>
    <w:uiPriority w:val="0"/>
    <w:qFormat/>
    <w:rPr>
      <w:rFonts w:hint="eastAsia" w:ascii="宋体" w:hAnsi="宋体" w:eastAsia="宋体" w:cs="宋体"/>
      <w:color w:val="000000"/>
      <w:sz w:val="20"/>
      <w:szCs w:val="20"/>
      <w:u w:val="none"/>
    </w:rPr>
  </w:style>
  <w:style w:type="character" w:styleId="1044" w:customStyle="1">
    <w:name w:val="font61"/>
    <w:basedOn w:val="722"/>
    <w:uiPriority w:val="0"/>
    <w:qFormat/>
    <w:rPr>
      <w:rFonts w:hint="default" w:ascii="Times New Roman" w:hAnsi="Times New Roman" w:cs="Times New Roman"/>
      <w:color w:val="000000"/>
      <w:sz w:val="20"/>
      <w:szCs w:val="20"/>
      <w:u w:val="none"/>
    </w:rPr>
  </w:style>
  <w:style w:type="paragraph" w:styleId="1045" w:customStyle="1">
    <w:name w:val="文本块12"/>
    <w:basedOn w:val="712"/>
    <w:uiPriority w:val="0"/>
    <w:qFormat/>
    <w:pPr>
      <w:ind w:left="256" w:right="6" w:firstLine="624"/>
    </w:pPr>
    <w:rPr>
      <w:rFonts w:ascii="Times New Roman" w:hAnsi="Times New Roman" w:eastAsia="仿宋" w:cs="Times New Roman"/>
      <w:sz w:val="28"/>
      <w:szCs w:val="20"/>
    </w:rPr>
  </w:style>
  <w:style w:type="paragraph" w:styleId="1046" w:customStyle="1">
    <w:name w:val="Heading 3"/>
    <w:basedOn w:val="712"/>
    <w:next w:val="712"/>
    <w:uiPriority w:val="0"/>
    <w:unhideWhenUsed/>
    <w:qFormat/>
    <w:pPr>
      <w:keepLines/>
      <w:keepNext/>
      <w:spacing w:line="415" w:lineRule="auto"/>
      <w:outlineLvl w:val="2"/>
    </w:pPr>
    <w:rPr>
      <w:b/>
      <w:sz w:val="32"/>
      <w:szCs w:val="32"/>
    </w:rPr>
  </w:style>
  <w:style w:type="paragraph" w:styleId="1047" w:customStyle="1">
    <w:name w:val="Heading 4"/>
    <w:basedOn w:val="712"/>
    <w:next w:val="712"/>
    <w:uiPriority w:val="0"/>
    <w:unhideWhenUsed/>
    <w:qFormat/>
    <w:pPr>
      <w:keepLines/>
      <w:keepNext/>
      <w:spacing w:before="120" w:after="120"/>
      <w:outlineLvl w:val="3"/>
    </w:pPr>
    <w:rPr>
      <w:rFonts w:ascii="Arial" w:hAnsi="Arial" w:eastAsia="黑体"/>
      <w:b/>
      <w:sz w:val="20"/>
      <w:szCs w:val="20"/>
    </w:rPr>
  </w:style>
  <w:style w:type="paragraph" w:styleId="1048" w:customStyle="1">
    <w:name w:val="TOC 标题2"/>
    <w:basedOn w:val="1049"/>
    <w:next w:val="712"/>
    <w:uiPriority w:val="0"/>
    <w:unhideWhenUsed/>
    <w:qFormat/>
    <w:pPr>
      <w:jc w:val="center"/>
      <w:spacing w:before="260" w:after="260" w:line="413" w:lineRule="auto"/>
    </w:pPr>
    <w:rPr>
      <w:rFonts w:hint="eastAsia" w:ascii="宋体" w:hAnsi="宋体"/>
      <w:sz w:val="36"/>
      <w:lang w:val="zh-CN"/>
    </w:rPr>
  </w:style>
  <w:style w:type="paragraph" w:styleId="1049" w:customStyle="1">
    <w:name w:val="Heading 1"/>
    <w:basedOn w:val="712"/>
    <w:next w:val="712"/>
    <w:uiPriority w:val="0"/>
    <w:unhideWhenUsed/>
    <w:qFormat/>
    <w:pPr>
      <w:keepLines/>
      <w:keepNext/>
      <w:spacing w:before="340" w:after="330" w:line="578" w:lineRule="auto"/>
      <w:outlineLvl w:val="0"/>
    </w:pPr>
    <w:rPr>
      <w:b/>
      <w:sz w:val="44"/>
      <w:szCs w:val="44"/>
    </w:rPr>
  </w:style>
  <w:style w:type="paragraph" w:styleId="1050" w:customStyle="1">
    <w:name w:val="附件标题"/>
    <w:basedOn w:val="1051"/>
    <w:next w:val="712"/>
    <w:uiPriority w:val="0"/>
    <w:unhideWhenUsed/>
    <w:qFormat/>
    <w:pPr>
      <w:jc w:val="center"/>
      <w:spacing w:line="360" w:lineRule="auto"/>
      <w:widowControl/>
      <w:tabs>
        <w:tab w:val="left" w:pos="312" w:leader="none"/>
        <w:tab w:val="left" w:pos="1134" w:leader="none"/>
      </w:tabs>
    </w:pPr>
    <w:rPr>
      <w:rFonts w:hint="eastAsia" w:ascii="黑体" w:hAnsi="黑体"/>
      <w:sz w:val="30"/>
      <w:szCs w:val="30"/>
    </w:rPr>
  </w:style>
  <w:style w:type="paragraph" w:styleId="1051" w:customStyle="1">
    <w:name w:val="Heading 2"/>
    <w:basedOn w:val="712"/>
    <w:next w:val="712"/>
    <w:uiPriority w:val="0"/>
    <w:unhideWhenUsed/>
    <w:qFormat/>
    <w:pPr>
      <w:keepLines/>
      <w:keepNext/>
      <w:spacing w:line="415" w:lineRule="auto"/>
      <w:outlineLvl w:val="1"/>
    </w:pPr>
    <w:rPr>
      <w:rFonts w:ascii="Arial" w:hAnsi="Arial" w:eastAsia="黑体"/>
      <w:b/>
      <w:sz w:val="32"/>
      <w:szCs w:val="32"/>
    </w:rPr>
  </w:style>
  <w:style w:type="numbering" w:styleId="10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无羡。</dc:creator>
  <cp:lastModifiedBy>崔洋</cp:lastModifiedBy>
  <cp:revision>39</cp:revision>
  <dcterms:created xsi:type="dcterms:W3CDTF">2023-07-07T04:13:00Z</dcterms:created>
  <dcterms:modified xsi:type="dcterms:W3CDTF">2026-04-14T07:04:56Z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2685ACB92CE647519D03CBDA603EA9F0_13</vt:lpwstr>
  </property>
  <property fmtid="{D5CDD505-2E9C-101B-9397-08002B2CF9AE}" pid="4" name="KSOTemplateDocerSaveRecord">
    <vt:lpwstr>eyJoZGlkIjoiOWM1N2Q2MTFhNDQzZGJhMjgxMzNmYTYwMmIzM2NlYzgiLCJ1c2VySWQiOiIzODE5MDA4MzEifQ==</vt:lpwstr>
  </property>
</Properties>
</file>