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rPr>
          <w:rFonts w:hint="eastAsia" w:ascii="宋体" w:hAnsi="宋体" w:cs="宋体"/>
          <w:color w:val="auto"/>
          <w:spacing w:val="76"/>
          <w:sz w:val="72"/>
          <w:szCs w:val="16"/>
          <w:highlight w:val="none"/>
        </w:rPr>
      </w:pPr>
      <w:r>
        <w:rPr>
          <w:rFonts w:hint="eastAsia" w:ascii="宋体" w:hAnsi="宋体" w:cs="宋体"/>
          <w:color w:val="auto"/>
          <w:spacing w:val="76"/>
          <w:sz w:val="72"/>
          <w:szCs w:val="16"/>
          <w:highlight w:val="none"/>
        </w:rPr>
      </w:r>
      <w:r/>
    </w:p>
    <w:p>
      <w:pPr>
        <w:jc w:val="center"/>
        <w:spacing w:line="240" w:lineRule="auto"/>
        <w:rPr>
          <w:rFonts w:hint="eastAsia" w:ascii="宋体" w:hAnsi="宋体" w:cs="宋体"/>
          <w:color w:val="auto"/>
          <w:sz w:val="36"/>
          <w:szCs w:val="36"/>
          <w:highlight w:val="none"/>
        </w:rPr>
      </w:pPr>
      <w:r>
        <w:rPr>
          <w:rFonts w:hint="eastAsia" w:ascii="宋体" w:hAnsi="宋体" w:eastAsia="宋体" w:cs="宋体"/>
          <w:color w:val="auto"/>
          <w:spacing w:val="76"/>
          <w:sz w:val="144"/>
          <w:highlight w:val="none"/>
        </w:rPr>
        <w:t xml:space="preserve">招标文件</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项目名称：丰县分布式污水处理项目(四号沟站点)</w:t>
      </w: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项目编号：JSZC-320321-JSTQ-G2026-0001</w:t>
      </w: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招 标 人：丰县水务局</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50"/>
        <w:jc w:val="cente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66"/>
        <w:rPr>
          <w:rFonts w:hint="eastAsia" w:ascii="宋体" w:hAnsi="宋体" w:cs="宋体"/>
          <w:color w:val="auto"/>
          <w:highlight w:val="none"/>
        </w:rPr>
      </w:pPr>
      <w:r>
        <w:rPr>
          <w:rFonts w:hint="eastAsia" w:ascii="宋体" w:hAnsi="宋体" w:cs="宋体"/>
          <w:color w:val="auto"/>
          <w:highlight w:val="none"/>
        </w:rPr>
      </w:r>
      <w:r/>
    </w:p>
    <w:p>
      <w:pPr>
        <w:pStyle w:val="766"/>
        <w:rPr>
          <w:rFonts w:hint="eastAsia" w:ascii="宋体" w:hAnsi="宋体" w:cs="宋体"/>
          <w:color w:val="auto"/>
          <w:highlight w:val="none"/>
        </w:rPr>
      </w:pPr>
      <w:r>
        <w:rPr>
          <w:rFonts w:hint="eastAsia" w:ascii="宋体" w:hAnsi="宋体" w:cs="宋体"/>
          <w:color w:val="auto"/>
          <w:highlight w:val="none"/>
        </w:rPr>
      </w:r>
      <w:r/>
    </w:p>
    <w:p>
      <w:pPr>
        <w:pStyle w:val="76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68"/>
        <w:ind w:firstLine="1520"/>
        <w:rPr>
          <w:rFonts w:hint="eastAsia" w:ascii="宋体" w:hAnsi="宋体" w:cs="宋体"/>
          <w:color w:val="auto"/>
          <w:highlight w:val="none"/>
        </w:rPr>
      </w:pPr>
      <w:r>
        <w:rPr>
          <w:rFonts w:hint="eastAsia" w:ascii="宋体" w:hAnsi="宋体" w:eastAsia="宋体" w:cs="宋体"/>
          <w:color w:val="auto"/>
          <w:sz w:val="32"/>
          <w:szCs w:val="32"/>
          <w:highlight w:val="none"/>
        </w:rPr>
        <w:t xml:space="preserve">采购代理机构：</w:t>
      </w:r>
      <w:r>
        <w:rPr>
          <w:rFonts w:hint="eastAsia" w:ascii="宋体" w:hAnsi="宋体" w:eastAsia="宋体" w:cs="宋体"/>
          <w:color w:val="auto"/>
          <w:sz w:val="32"/>
          <w:szCs w:val="32"/>
          <w:highlight w:val="none"/>
          <w:lang w:eastAsia="zh-CN"/>
        </w:rPr>
        <w:t xml:space="preserve">江苏天奇项目管理咨询有限公司</w:t>
      </w:r>
      <w:r/>
    </w:p>
    <w:p>
      <w:pPr>
        <w:jc w:val="center"/>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二〇二六年</w:t>
      </w:r>
      <w:r>
        <w:rPr>
          <w:rFonts w:hint="eastAsia" w:ascii="宋体" w:hAnsi="宋体" w:eastAsia="宋体" w:cs="宋体"/>
          <w:color w:val="auto"/>
          <w:sz w:val="32"/>
          <w:szCs w:val="32"/>
          <w:highlight w:val="none"/>
          <w:lang w:val="en-US" w:eastAsia="zh-CN"/>
        </w:rPr>
        <w:t xml:space="preserve">四</w:t>
      </w:r>
      <w:r>
        <w:rPr>
          <w:rFonts w:hint="eastAsia" w:ascii="宋体" w:hAnsi="宋体" w:eastAsia="宋体" w:cs="宋体"/>
          <w:color w:val="auto"/>
          <w:sz w:val="32"/>
          <w:szCs w:val="32"/>
          <w:highlight w:val="none"/>
          <w:lang w:eastAsia="zh-CN"/>
        </w:rPr>
        <w:t xml:space="preserve">月</w:t>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40"/>
          <w:szCs w:val="28"/>
          <w:highlight w:val="none"/>
        </w:rPr>
        <w:fldChar w:fldCharType="begin"/>
      </w:r>
      <w:r>
        <w:rPr>
          <w:rFonts w:hint="eastAsia" w:ascii="宋体" w:hAnsi="宋体" w:eastAsia="仿宋" w:cs="宋体"/>
          <w:color w:val="auto"/>
          <w:sz w:val="40"/>
          <w:szCs w:val="28"/>
          <w:highlight w:val="none"/>
        </w:rPr>
        <w:instrText xml:space="preserve">TOC \o "1-1" \h \u </w:instrText>
      </w:r>
      <w:r>
        <w:rPr>
          <w:rFonts w:hint="eastAsia" w:ascii="宋体" w:hAnsi="宋体" w:eastAsia="仿宋" w:cs="宋体"/>
          <w:color w:val="auto"/>
          <w:sz w:val="40"/>
          <w:szCs w:val="28"/>
          <w:highlight w:val="none"/>
        </w:rPr>
        <w:fldChar w:fldCharType="separate"/>
      </w: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_Toc27696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第一章 投标邀请</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_Toc27696 \h </w:instrText>
      </w:r>
      <w:r>
        <w:rPr>
          <w:rFonts w:ascii="宋体" w:hAnsi="宋体" w:cs="宋体"/>
          <w:color w:val="auto"/>
          <w:sz w:val="36"/>
          <w:szCs w:val="24"/>
        </w:rPr>
        <w:fldChar w:fldCharType="separate"/>
      </w:r>
      <w:r>
        <w:rPr>
          <w:rFonts w:ascii="宋体" w:hAnsi="宋体" w:cs="宋体"/>
          <w:color w:val="auto"/>
          <w:sz w:val="36"/>
          <w:szCs w:val="24"/>
        </w:rPr>
        <w:t xml:space="preserve">1</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_Toc3209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第二章 投标人须知</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_Toc3209 \h </w:instrText>
      </w:r>
      <w:r>
        <w:rPr>
          <w:rFonts w:ascii="宋体" w:hAnsi="宋体" w:cs="宋体"/>
          <w:color w:val="auto"/>
          <w:sz w:val="36"/>
          <w:szCs w:val="24"/>
        </w:rPr>
        <w:fldChar w:fldCharType="separate"/>
      </w:r>
      <w:r>
        <w:rPr>
          <w:rFonts w:ascii="宋体" w:hAnsi="宋体" w:cs="宋体"/>
          <w:color w:val="auto"/>
          <w:sz w:val="36"/>
          <w:szCs w:val="24"/>
        </w:rPr>
        <w:t xml:space="preserve">3</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_Toc10690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第三章 投标资料表</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_Toc10690 \h </w:instrText>
      </w:r>
      <w:r>
        <w:rPr>
          <w:rFonts w:ascii="宋体" w:hAnsi="宋体" w:cs="宋体"/>
          <w:color w:val="auto"/>
          <w:sz w:val="36"/>
          <w:szCs w:val="24"/>
        </w:rPr>
        <w:fldChar w:fldCharType="separate"/>
      </w:r>
      <w:r>
        <w:rPr>
          <w:rFonts w:ascii="宋体" w:hAnsi="宋体" w:cs="宋体"/>
          <w:color w:val="auto"/>
          <w:sz w:val="36"/>
          <w:szCs w:val="24"/>
        </w:rPr>
        <w:t xml:space="preserve">12</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_Toc13052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lang w:val="en-US" w:eastAsia="zh-CN"/>
        </w:rPr>
        <w:t xml:space="preserve">第四章  </w:t>
      </w:r>
      <w:r>
        <w:rPr>
          <w:rFonts w:hint="eastAsia" w:ascii="宋体" w:hAnsi="宋体" w:eastAsia="宋体" w:cs="宋体"/>
          <w:color w:val="auto"/>
          <w:sz w:val="36"/>
          <w:szCs w:val="24"/>
          <w:highlight w:val="none"/>
        </w:rPr>
        <w:t xml:space="preserve">评标标准</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_Toc13052 \h </w:instrText>
      </w:r>
      <w:r>
        <w:rPr>
          <w:rFonts w:ascii="宋体" w:hAnsi="宋体" w:cs="宋体"/>
          <w:color w:val="auto"/>
          <w:sz w:val="36"/>
          <w:szCs w:val="24"/>
        </w:rPr>
        <w:fldChar w:fldCharType="separate"/>
      </w:r>
      <w:r>
        <w:rPr>
          <w:rFonts w:ascii="宋体" w:hAnsi="宋体" w:cs="宋体"/>
          <w:color w:val="auto"/>
          <w:sz w:val="36"/>
          <w:szCs w:val="24"/>
        </w:rPr>
        <w:t xml:space="preserve">20</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_Toc8588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52"/>
          <w:highlight w:val="none"/>
          <w:lang w:val="en-US" w:eastAsia="zh-CN" w:bidi="ar-SA"/>
        </w:rPr>
        <w:t xml:space="preserve">第五章 </w:t>
      </w:r>
      <w:r>
        <w:rPr>
          <w:rFonts w:hint="eastAsia" w:ascii="宋体" w:hAnsi="宋体" w:eastAsia="宋体" w:cs="宋体"/>
          <w:color w:val="auto"/>
          <w:sz w:val="36"/>
          <w:szCs w:val="24"/>
          <w:highlight w:val="none"/>
        </w:rPr>
        <w:t xml:space="preserve">拟签订的合同文本</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_Toc8588 \h </w:instrText>
      </w:r>
      <w:r>
        <w:rPr>
          <w:rFonts w:ascii="宋体" w:hAnsi="宋体" w:cs="宋体"/>
          <w:color w:val="auto"/>
          <w:sz w:val="36"/>
          <w:szCs w:val="24"/>
        </w:rPr>
        <w:fldChar w:fldCharType="separate"/>
      </w:r>
      <w:r>
        <w:rPr>
          <w:rFonts w:ascii="宋体" w:hAnsi="宋体" w:cs="宋体"/>
          <w:color w:val="auto"/>
          <w:sz w:val="36"/>
          <w:szCs w:val="24"/>
        </w:rPr>
        <w:t xml:space="preserve">24</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_Toc28758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第六章 采购需求</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_Toc28758 \h </w:instrText>
      </w:r>
      <w:r>
        <w:rPr>
          <w:rFonts w:ascii="宋体" w:hAnsi="宋体" w:cs="宋体"/>
          <w:color w:val="auto"/>
          <w:sz w:val="36"/>
          <w:szCs w:val="24"/>
        </w:rPr>
        <w:fldChar w:fldCharType="separate"/>
      </w:r>
      <w:r>
        <w:rPr>
          <w:rFonts w:ascii="宋体" w:hAnsi="宋体" w:cs="宋体"/>
          <w:color w:val="auto"/>
          <w:sz w:val="36"/>
          <w:szCs w:val="24"/>
        </w:rPr>
        <w:t xml:space="preserve">31</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_Toc18682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第七章 投标文件相关格式</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_Toc18682 \h </w:instrText>
      </w:r>
      <w:r>
        <w:rPr>
          <w:rFonts w:ascii="宋体" w:hAnsi="宋体" w:cs="宋体"/>
          <w:color w:val="auto"/>
          <w:sz w:val="36"/>
          <w:szCs w:val="24"/>
        </w:rPr>
        <w:fldChar w:fldCharType="separate"/>
      </w:r>
      <w:r>
        <w:rPr>
          <w:rFonts w:ascii="宋体" w:hAnsi="宋体" w:cs="宋体"/>
          <w:color w:val="auto"/>
          <w:sz w:val="36"/>
          <w:szCs w:val="24"/>
        </w:rPr>
        <w:t xml:space="preserve">35</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keepLines w:val="0"/>
        <w:keepNext w:val="0"/>
        <w:pageBreakBefore w:val="0"/>
        <w:spacing w:line="480" w:lineRule="auto"/>
        <w:widowControl/>
        <w:rPr>
          <w:rFonts w:hint="eastAsia" w:ascii="宋体" w:hAnsi="宋体" w:cs="宋体"/>
          <w:color w:val="auto"/>
          <w:highlight w:val="none"/>
        </w:rPr>
      </w:pPr>
      <w:r>
        <w:rPr>
          <w:rFonts w:hint="eastAsia" w:ascii="宋体" w:hAnsi="宋体" w:eastAsia="仿宋" w:cs="宋体"/>
          <w:color w:val="auto"/>
          <w:sz w:val="36"/>
          <w:szCs w:val="28"/>
          <w:highlight w:val="none"/>
        </w:rPr>
        <w:fldChar w:fldCharType="end"/>
      </w:r>
      <w:r/>
    </w:p>
    <w:p>
      <w:pPr>
        <w:pStyle w:val="805"/>
        <w:jc w:val="center"/>
        <w:spacing w:line="520" w:lineRule="exact"/>
        <w:rPr>
          <w:rFonts w:hint="eastAsia" w:ascii="宋体" w:hAnsi="宋体" w:cs="宋体"/>
          <w:b/>
          <w:color w:val="auto"/>
          <w:sz w:val="44"/>
          <w:szCs w:val="44"/>
          <w:highlight w:val="none"/>
        </w:rPr>
        <w:sectPr>
          <w:footerReference w:type="default" r:id="rId11"/>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cs="宋体"/>
          <w:b/>
          <w:color w:val="auto"/>
          <w:sz w:val="44"/>
          <w:szCs w:val="44"/>
          <w:highlight w:val="none"/>
        </w:rPr>
      </w:r>
      <w:r/>
    </w:p>
    <w:p>
      <w:pPr>
        <w:pStyle w:val="805"/>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丰县水务局</w:t>
      </w:r>
      <w:r/>
    </w:p>
    <w:p>
      <w:pPr>
        <w:pStyle w:val="805"/>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丰县分布式污水处理项目(四号沟站点)</w:t>
      </w:r>
      <w:r>
        <w:rPr>
          <w:rFonts w:hint="eastAsia" w:ascii="宋体" w:hAnsi="宋体" w:eastAsia="宋体" w:cs="宋体"/>
          <w:b/>
          <w:color w:val="auto"/>
          <w:sz w:val="28"/>
          <w:szCs w:val="28"/>
          <w:highlight w:val="none"/>
        </w:rPr>
        <w:t xml:space="preserve">》</w:t>
      </w:r>
      <w:r/>
    </w:p>
    <w:p>
      <w:pPr>
        <w:pStyle w:val="805"/>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rPr>
        <w:t xml:space="preserve">招标文件</w:t>
      </w:r>
      <w:r/>
    </w:p>
    <w:p>
      <w:pPr>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cs="宋体"/>
          <w:color w:val="auto"/>
          <w:highlight w:val="none"/>
        </w:rPr>
      </w:pPr>
      <w:r>
        <w:rPr>
          <w:rFonts w:hint="eastAsia" w:ascii="宋体" w:hAnsi="宋体" w:cs="宋体"/>
          <w:color w:val="auto"/>
          <w:highlight w:val="none"/>
        </w:rPr>
      </w:r>
      <w:r/>
    </w:p>
    <w:p>
      <w:pPr>
        <w:pStyle w:val="755"/>
        <w:ind w:left="0" w:firstLine="0"/>
        <w:jc w:val="center"/>
        <w:rPr>
          <w:rFonts w:hint="eastAsia" w:ascii="宋体" w:hAnsi="宋体" w:cs="宋体"/>
          <w:color w:val="auto"/>
          <w:highlight w:val="none"/>
        </w:rPr>
      </w:pPr>
      <w:r/>
      <w:bookmarkStart w:id="0" w:name="_Toc27696"/>
      <w:r/>
      <w:bookmarkStart w:id="1" w:name="_Toc523404695"/>
      <w:r>
        <w:rPr>
          <w:rFonts w:hint="eastAsia" w:ascii="宋体" w:hAnsi="宋体" w:eastAsia="宋体" w:cs="宋体"/>
          <w:color w:val="auto"/>
          <w:highlight w:val="none"/>
        </w:rPr>
        <w:t xml:space="preserve">第一章 投标邀请</w:t>
      </w:r>
      <w:bookmarkEnd w:id="0"/>
      <w:r/>
      <w:bookmarkEnd w:id="1"/>
      <w:r/>
      <w:r/>
    </w:p>
    <w:p>
      <w:pPr>
        <w:ind w:firstLine="480"/>
        <w:rPr>
          <w:rFonts w:hint="eastAsia" w:ascii="宋体" w:hAnsi="宋体" w:cs="宋体"/>
          <w:color w:val="auto"/>
          <w:highlight w:val="none"/>
        </w:rPr>
      </w:pP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丰县水务局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(一)项目名称：</w:t>
      </w:r>
      <w:r>
        <w:rPr>
          <w:rFonts w:hint="eastAsia" w:ascii="宋体" w:hAnsi="宋体" w:eastAsia="宋体" w:cs="宋体"/>
          <w:color w:val="auto"/>
          <w:highlight w:val="none"/>
          <w:lang w:eastAsia="zh-CN"/>
        </w:rPr>
        <w:t xml:space="preserve">丰县分布式污水处理项目(四号沟站点)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(二)项目编号：</w:t>
      </w:r>
      <w:r>
        <w:rPr>
          <w:rFonts w:hint="eastAsia" w:ascii="宋体" w:hAnsi="宋体" w:eastAsia="仿宋" w:cs="宋体"/>
          <w:color w:val="auto"/>
          <w:highlight w:val="none"/>
          <w:lang w:eastAsia="zh-CN"/>
        </w:rPr>
        <w:t xml:space="preserve">JSZC-320321-JSTQ-G2026-0001</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①登录徐州政府采购网  https://czj.xz.gov.cn/zfcg/ ，或进入徐州政府采购网--业务工作--用户登录，点击“苏采云”进入系统。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CA数字证书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（3）售价：免费。 </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四、投标有关信息</w:t>
      </w:r>
      <w:r/>
    </w:p>
    <w:p>
      <w:pPr>
        <w:ind w:firstLine="480"/>
        <w:rPr>
          <w:rFonts w:hint="eastAsia" w:ascii="宋体" w:hAnsi="宋体" w:cs="宋体"/>
          <w:b/>
          <w:bCs/>
          <w:color w:val="auto"/>
          <w:highlight w:val="none"/>
        </w:rPr>
      </w:pPr>
      <w:r>
        <w:rPr>
          <w:rFonts w:hint="eastAsia" w:ascii="宋体" w:hAnsi="宋体" w:eastAsia="宋体" w:cs="宋体"/>
          <w:b/>
          <w:bCs/>
          <w:color w:val="auto"/>
          <w:highlight w:val="none"/>
        </w:rPr>
        <w:t xml:space="preserve">（一）投标截止时间：</w:t>
      </w:r>
      <w:r>
        <w:rPr>
          <w:rFonts w:hint="eastAsia" w:ascii="宋体" w:hAnsi="宋体" w:eastAsia="宋体" w:cs="宋体"/>
          <w:b/>
          <w:bCs/>
          <w:color w:val="auto"/>
          <w:highlight w:val="none"/>
          <w:lang w:eastAsia="zh-CN"/>
        </w:rPr>
        <w:t xml:space="preserve">2026年</w:t>
      </w:r>
      <w:r>
        <w:rPr>
          <w:rFonts w:hint="eastAsia" w:ascii="宋体" w:hAnsi="宋体" w:eastAsia="宋体" w:cs="宋体"/>
          <w:b/>
          <w:bCs/>
          <w:color w:val="auto"/>
          <w:highlight w:val="none"/>
          <w:lang w:val="en-US" w:eastAsia="zh-CN"/>
        </w:rPr>
        <w:t xml:space="preserve">5月25</w:t>
      </w:r>
      <w:r>
        <w:rPr>
          <w:rFonts w:hint="eastAsia" w:ascii="宋体" w:hAnsi="宋体" w:eastAsia="宋体" w:cs="宋体"/>
          <w:b/>
          <w:bCs/>
          <w:color w:val="auto"/>
          <w:highlight w:val="none"/>
          <w:lang w:eastAsia="zh-CN"/>
        </w:rPr>
        <w:t xml:space="preserve">日北京时间</w:t>
      </w:r>
      <w:r>
        <w:rPr>
          <w:rFonts w:hint="eastAsia" w:ascii="宋体" w:hAnsi="宋体" w:eastAsia="仿宋" w:cs="宋体"/>
          <w:b/>
          <w:bCs/>
          <w:color w:val="auto"/>
          <w:highlight w:val="none"/>
          <w:lang w:val="en-US" w:eastAsia="zh-CN"/>
        </w:rPr>
        <w:t xml:space="preserve">09</w:t>
      </w:r>
      <w:r>
        <w:rPr>
          <w:rFonts w:hint="eastAsia" w:ascii="宋体" w:hAnsi="宋体" w:eastAsia="宋体" w:cs="宋体"/>
          <w:b/>
          <w:bCs/>
          <w:color w:val="auto"/>
          <w:highlight w:val="none"/>
          <w:lang w:eastAsia="zh-CN"/>
        </w:rPr>
        <w:t xml:space="preserve">：</w:t>
      </w:r>
      <w:r>
        <w:rPr>
          <w:rFonts w:hint="eastAsia" w:ascii="宋体" w:hAnsi="宋体" w:eastAsia="仿宋" w:cs="宋体"/>
          <w:b/>
          <w:bCs/>
          <w:color w:val="auto"/>
          <w:highlight w:val="none"/>
          <w:lang w:val="en-US" w:eastAsia="zh-CN"/>
        </w:rPr>
        <w:t xml:space="preserve">3</w:t>
      </w:r>
      <w:r>
        <w:rPr>
          <w:rFonts w:hint="eastAsia" w:ascii="宋体" w:hAnsi="宋体" w:eastAsia="仿宋" w:cs="宋体"/>
          <w:b/>
          <w:bCs/>
          <w:color w:val="auto"/>
          <w:highlight w:val="none"/>
          <w:lang w:eastAsia="zh-CN"/>
        </w:rPr>
        <w:t xml:space="preserve">0</w:t>
      </w:r>
      <w:r>
        <w:rPr>
          <w:rFonts w:hint="eastAsia" w:ascii="宋体" w:hAnsi="宋体" w:eastAsia="宋体" w:cs="宋体"/>
          <w:b/>
          <w:bCs/>
          <w:color w:val="auto"/>
          <w:highlight w:val="none"/>
        </w:rPr>
        <w:t xml:space="preserve">。</w:t>
      </w:r>
      <w:r/>
    </w:p>
    <w:p>
      <w:pPr>
        <w:ind w:firstLine="480"/>
        <w:rPr>
          <w:rFonts w:hint="eastAsia" w:ascii="宋体" w:hAnsi="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auto"/>
          <w:highlight w:val="none"/>
          <w:lang w:eastAsia="zh-CN"/>
        </w:rPr>
        <w:t xml:space="preserve">2026年</w:t>
      </w:r>
      <w:r>
        <w:rPr>
          <w:rFonts w:hint="eastAsia" w:ascii="宋体" w:hAnsi="宋体" w:eastAsia="宋体" w:cs="宋体"/>
          <w:b/>
          <w:bCs/>
          <w:color w:val="auto"/>
          <w:highlight w:val="none"/>
          <w:lang w:val="en-US" w:eastAsia="zh-CN"/>
        </w:rPr>
        <w:t xml:space="preserve">5月25</w:t>
      </w:r>
      <w:r>
        <w:rPr>
          <w:rFonts w:hint="eastAsia" w:ascii="宋体" w:hAnsi="宋体" w:eastAsia="宋体" w:cs="宋体"/>
          <w:b/>
          <w:bCs/>
          <w:color w:val="auto"/>
          <w:highlight w:val="none"/>
          <w:lang w:eastAsia="zh-CN"/>
        </w:rPr>
        <w:t xml:space="preserve">日北京时间</w:t>
      </w:r>
      <w:r>
        <w:rPr>
          <w:rFonts w:hint="eastAsia" w:ascii="宋体" w:hAnsi="宋体" w:eastAsia="仿宋" w:cs="宋体"/>
          <w:b/>
          <w:bCs/>
          <w:color w:val="auto"/>
          <w:highlight w:val="none"/>
          <w:lang w:val="en-US" w:eastAsia="zh-CN"/>
        </w:rPr>
        <w:t xml:space="preserve">09</w:t>
      </w:r>
      <w:r>
        <w:rPr>
          <w:rFonts w:hint="eastAsia" w:ascii="宋体" w:hAnsi="宋体" w:eastAsia="宋体" w:cs="宋体"/>
          <w:b/>
          <w:bCs/>
          <w:color w:val="auto"/>
          <w:highlight w:val="none"/>
          <w:lang w:eastAsia="zh-CN"/>
        </w:rPr>
        <w:t xml:space="preserve">：</w:t>
      </w:r>
      <w:r>
        <w:rPr>
          <w:rFonts w:hint="eastAsia" w:ascii="宋体" w:hAnsi="宋体" w:eastAsia="仿宋" w:cs="宋体"/>
          <w:b/>
          <w:bCs/>
          <w:color w:val="auto"/>
          <w:highlight w:val="none"/>
          <w:lang w:val="en-US" w:eastAsia="zh-CN"/>
        </w:rPr>
        <w:t xml:space="preserve">3</w:t>
      </w:r>
      <w:r>
        <w:rPr>
          <w:rFonts w:hint="eastAsia" w:ascii="宋体" w:hAnsi="宋体" w:eastAsia="仿宋" w:cs="宋体"/>
          <w:b/>
          <w:bCs/>
          <w:color w:val="auto"/>
          <w:highlight w:val="none"/>
          <w:lang w:eastAsia="zh-CN"/>
        </w:rPr>
        <w:t xml:space="preserve">0</w:t>
      </w:r>
      <w:r>
        <w:rPr>
          <w:rFonts w:hint="eastAsia" w:ascii="宋体" w:hAnsi="宋体" w:eastAsia="宋体" w:cs="宋体"/>
          <w:b/>
          <w:bCs/>
          <w:color w:val="auto"/>
          <w:highlight w:val="none"/>
        </w:rPr>
        <w:t xml:space="preserve">。</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（三）开标地点：“苏采云”系购网（网址：</w:t>
      </w:r>
      <w:r>
        <w:rPr>
          <w:rFonts w:hint="eastAsia" w:ascii="宋体" w:hAnsi="宋体" w:eastAsia="仿宋" w:cs="宋体"/>
          <w:color w:val="auto"/>
          <w:highlight w:val="none"/>
          <w:lang w:eastAsia="zh-CN"/>
        </w:rPr>
        <w:t xml:space="preserve">https://czj.xz.gov.cn/zfcg/index.html</w:t>
      </w:r>
      <w:r>
        <w:rPr>
          <w:rFonts w:hint="eastAsia" w:ascii="宋体" w:hAnsi="宋体" w:eastAsia="宋体" w:cs="宋体"/>
          <w:color w:val="auto"/>
          <w:highlight w:val="none"/>
        </w:rPr>
        <w:t xml:space="preserve">）统（网址：</w:t>
      </w:r>
      <w:r>
        <w:rPr>
          <w:rFonts w:hint="eastAsia" w:ascii="宋体" w:hAnsi="宋体" w:eastAsia="仿宋" w:cs="宋体"/>
          <w:color w:val="auto"/>
          <w:highlight w:val="none"/>
          <w:lang w:eastAsia="zh-CN"/>
        </w:rPr>
        <w:t xml:space="preserve">https://czj.xz.gov.cn/zfcg/index.html</w:t>
      </w:r>
      <w:r>
        <w:rPr>
          <w:rFonts w:hint="eastAsia" w:ascii="宋体" w:hAnsi="宋体" w:eastAsia="宋体" w:cs="宋体"/>
          <w:color w:val="auto"/>
          <w:highlight w:val="none"/>
        </w:rPr>
        <w:t xml:space="preserve">）“开标大厅”或进入徐州政府采-业务工作 -用户登录，点击“苏采云”进入系统“开标大厅”。 </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五、采购人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丰县水务局</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（二）地址：</w:t>
      </w:r>
      <w:r>
        <w:rPr>
          <w:rFonts w:hint="eastAsia" w:ascii="宋体" w:hAnsi="宋体" w:eastAsia="宋体" w:cs="宋体"/>
          <w:color w:val="auto"/>
          <w:sz w:val="24"/>
          <w:lang w:eastAsia="zh-CN"/>
        </w:rPr>
        <w:t xml:space="preserve">丰县南苑路31号</w:t>
      </w:r>
      <w:r/>
    </w:p>
    <w:p>
      <w:pPr>
        <w:ind w:firstLine="480"/>
        <w:rPr>
          <w:rFonts w:hint="eastAsia" w:ascii="宋体" w:hAnsi="宋体" w:cs="宋体"/>
          <w:color w:val="auto"/>
          <w:sz w:val="24"/>
        </w:rPr>
      </w:pPr>
      <w:r>
        <w:rPr>
          <w:rFonts w:hint="eastAsia" w:ascii="宋体" w:hAnsi="宋体" w:eastAsia="宋体" w:cs="宋体"/>
          <w:color w:val="auto"/>
          <w:highlight w:val="none"/>
        </w:rPr>
        <w:t xml:space="preserve">（三）联系方式：</w:t>
      </w:r>
      <w:r>
        <w:rPr>
          <w:rFonts w:hint="eastAsia" w:ascii="宋体" w:hAnsi="宋体" w:eastAsia="仿宋" w:cs="宋体"/>
          <w:color w:val="auto"/>
          <w:highlight w:val="none"/>
          <w:lang w:val="en-US" w:eastAsia="zh-CN"/>
        </w:rPr>
        <w:t xml:space="preserve"> </w:t>
      </w:r>
      <w:r>
        <w:rPr>
          <w:rFonts w:hint="eastAsia" w:ascii="宋体" w:hAnsi="宋体" w:eastAsia="仿宋" w:cs="宋体"/>
          <w:color w:val="auto"/>
          <w:sz w:val="24"/>
          <w:lang w:val="en-US" w:eastAsia="zh-CN"/>
        </w:rPr>
        <w:t xml:space="preserve">15190785688</w:t>
      </w:r>
      <w:r/>
    </w:p>
    <w:p>
      <w:pPr>
        <w:ind w:firstLine="480"/>
        <w:rPr>
          <w:rFonts w:hint="eastAsia" w:ascii="宋体" w:hAnsi="宋体" w:cs="宋体"/>
          <w:color w:val="auto"/>
          <w:sz w:val="24"/>
        </w:rPr>
      </w:pPr>
      <w:r>
        <w:rPr>
          <w:rFonts w:hint="eastAsia" w:ascii="宋体" w:hAnsi="宋体" w:eastAsia="宋体" w:cs="宋体"/>
          <w:color w:val="auto"/>
          <w:sz w:val="24"/>
          <w:lang w:eastAsia="zh-CN"/>
        </w:rPr>
        <w:t xml:space="preserve">（四）采购项目联系人：</w:t>
      </w:r>
      <w:r>
        <w:rPr>
          <w:rFonts w:hint="eastAsia" w:ascii="宋体" w:hAnsi="宋体" w:eastAsia="宋体" w:cs="宋体"/>
          <w:color w:val="auto"/>
          <w:sz w:val="24"/>
          <w:lang w:val="en-US" w:eastAsia="zh-CN"/>
        </w:rPr>
        <w:t xml:space="preserve">张忠新</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江苏天奇项目管理咨询有限公司</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eastAsia="zh-CN"/>
        </w:rPr>
        <w:t xml:space="preserve">丰县金地首府状元街114号四楼</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（三）联系方法：</w:t>
      </w:r>
      <w:r>
        <w:rPr>
          <w:rFonts w:hint="eastAsia" w:ascii="宋体" w:hAnsi="宋体" w:eastAsia="仿宋" w:cs="宋体"/>
          <w:color w:val="auto"/>
          <w:sz w:val="24"/>
          <w:highlight w:val="none"/>
          <w:lang w:val="en-US" w:eastAsia="zh-CN"/>
        </w:rPr>
        <w:t xml:space="preserve">18252139142</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val="en-US" w:eastAsia="zh-CN"/>
        </w:rPr>
        <w:t xml:space="preserve">史青春</w:t>
      </w:r>
      <w:r>
        <w:rPr>
          <w:rFonts w:hint="eastAsia" w:ascii="宋体" w:hAnsi="宋体" w:eastAsia="仿宋" w:cs="宋体"/>
          <w:color w:val="auto"/>
          <w:highlight w:val="none"/>
        </w:rPr>
        <w:br w:type="page" w:clear="all"/>
      </w:r>
      <w:r/>
    </w:p>
    <w:p>
      <w:pPr>
        <w:pStyle w:val="755"/>
        <w:ind w:left="0" w:firstLine="0"/>
        <w:jc w:val="center"/>
        <w:rPr>
          <w:rFonts w:hint="eastAsia" w:ascii="宋体" w:hAnsi="宋体" w:cs="宋体"/>
          <w:color w:val="auto"/>
          <w:highlight w:val="none"/>
        </w:rPr>
      </w:pPr>
      <w:r/>
      <w:bookmarkStart w:id="2" w:name="_Toc3209"/>
      <w:r>
        <w:rPr>
          <w:rFonts w:hint="eastAsia" w:ascii="宋体" w:hAnsi="宋体" w:eastAsia="宋体" w:cs="宋体"/>
          <w:color w:val="auto"/>
          <w:highlight w:val="none"/>
        </w:rPr>
        <w:t xml:space="preserve">第二章 投标人须知</w:t>
      </w:r>
      <w:bookmarkEnd w:id="2"/>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一、总则</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（一）采购人。采购人即指依法进行政府采购的国家机关、事业单位和团体组织。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（二）政府招标采购方式。政府采购货物或服务（以下简称“货物服务”）的招标方式，分为公开招标和邀请招标。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（五）采购人委托采购代理机构代理招标的，采购代理机构必须在采购人委托的范围内依法开展采购活动。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（六）投标人的资格条件：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投标人是指响应招标、参加投标竞争的法人、其他组织或者自然人。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投标人授权代表系指法定代表人或受法人委托的受托人。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（七）投标费用：投标人应承担所有与准备和参加投标有关的费用。无论投标的结果如何，采购代理机构对上述费用不承担任何责任和义务。</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二、招标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（八）招标文件应包括以下内容：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第一章，投标邀请；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第二章，投标人须知；</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第三章，投标资料表；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第四章，评标标准；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第五章，拟签订的合同文本；</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第六章，采购需求；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第七章，投标文件相关格式。</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（九）招标文件澄清或者修改：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现场考察以本文件第三章《投标资料表》中的要求为准。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开标前答疑会以本文件第三章《投标资料表》中的要求为准。</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三、投标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（十）投标人应当按照招标文件的要求编制投标文件。投标文件应对招标文件提出的要求和条件作出实质性响应。</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（十二）投标文件的构成：</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投标文件的构成以本文件第三章《投标资料表》中的要求为准。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投标人应当提交的资格、资信证明文件，以本文件第三章《投标资料表》中的所提要求为准。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（十三）投标函和价格表、商务条件、交货和提供服务的时间：</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投标函和价格表的要求见本章（十二）、（十三），格式见本文件第七章《投标文件相关格式》中《投标函》和《开标一览表》。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商务条件以本文件第三章《投标资料表》中的要求为准。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交货和提供服务的时间，以本文件第三章《投标资料表》中所提要求为准。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（十四）投标报价要求：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投标人应按照招标文件的要求报出分项价格和总价。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投标人应按照招标文件的要求进行报价，如投标人作出偏离，应在《偏离表》中列出。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采购人不支付报价以外的任何费用。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投标人只能提交一个投标价格，投标人提交多个价格的投标文件，在资格性、符合性检查时按照无效投标处理。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（十五）投标货币。以本文件第三章《投标资料表》中所提要求为准。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（十六）投标有效期：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投标有效期为开标之日后90天。采购人可以要求对投标有效期延长一次，但该延长期最长不得超过30天。</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（十七）投标文件的编制要求和签署要求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（2）投标人应对 CA 证书妥善保管，如被他人盗用投标，因此带来的结果均由投标人自行承担。</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（3）投标人应当对招标文件提出的要求和条件作出实质性响应，并在电子投标系统逐条应答。</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（4）投标人应对要求提供的资格证明文件（如资质证书、资格证书）、技术资料（如白皮书、彩页、手册、检测报告等）扫描上传至投标系统。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（十八）投标文件的盖章要求：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投标文件的盖章要求，以本文件第三章《投标资料表》中所提要求为准。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（二十二）本项目不允许分包。</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（二十三）投标人应当遵循公平竞争的原则，不得恶意串通，不得妨碍其他投标人的竞争行为，不得损害采购人或者其他投标人的合法权益。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在评标过程中发现投标人有上述情形的，评标委员会应当认定其投标无效，并书面报告本级财政部门。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（二十四）有下列情形之一的，其投标无效。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不同投标人的投标文件，由同一单位或者个人编制；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不同投标人委托同一单位或者个人办理投标事宜；</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不同投标人的投标文件中，所载明的项目管理成员或联系人为同一人；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不同投标人的投标文件，异常一致或者投标报价呈规律性差异；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 电子投标文件未按规定期限投标的；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7. 电子投标文件未按招标文件要求签章的；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 投标人未在规定时间内解密电子投标文件的；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 投标文件未按招标文件规定的内容和要求填写的；没有在投标系统指定位置上传对应文件、材料的；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10. 不具备招标文件中规定的资格要求的；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11. 报价超过招标文件中规定的预算金额或者最高限价的；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12. 投标文件含有采购人不能接受的附加条件的；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13. 法律、法规和招标文件规定的其他无效情形。</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四、开标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（二十五）开标：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开标时间及地点。开标应当在招标文件确定的提交投标文件截止时间的同一时间公开进行；开标地点应当为招标文件中预先确定的地点。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由电子招标投标交易平台主持，邀请投标人参加。</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所有投标单位使用 CA 证书在开标时间时，解密各自投标文件，由工作人员操作系统进行开标，投标人不足3家的，不得评标。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五、评标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（二十六）公开招标采购项目开标结束后，采购人依法对投标人的资格进行审查。合格投标人不足3家的，不得评标。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评标工作由采购代理机构负责组织，并履行下列职责：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（2）宣布评标纪律；</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（3）公布投标人名单，告知评审专家应当回避的情形；</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（4）组织评标委员会推选评标组长（采购人代表不得担任组长）；</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（5）在评标期间采取必要的通讯管理措施，保证评标活动不受外界干扰；</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（6）根据评标委员会的要求介绍政府采购相关政策法规、招标文件；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（9）评审工作完成后，按照规定向评审专家支付劳务报酬和异地评审差旅费，不得向评审专家以外的其他人员支付评审劳务报酬；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（10）处理与评标有关的其他事项。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评标委员会负责具体评标事务，并独立履行下列职责：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（1）审查、评价投标文件是否符合招标文件的商务、技术等实质性要求；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（2）要求投标人对投标文件有关事项作出澄清或者说明；</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（3）对投标文件进行比较和评价；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（4）确定中标候选人名单，以及根据采购人委托直接确定中标人；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（5）向采购人、采购代理机构或有关部门报告评标中发现的违法行为。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（二十七）评标方法分为最低评标价法和综合评分法。</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（二十八）评标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评标工作程序：</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（1）投标文件初审。</w:t>
      </w:r>
      <w:r/>
    </w:p>
    <w:p>
      <w:pPr>
        <w:ind w:left="480" w:firstLine="480"/>
        <w:rPr>
          <w:rFonts w:hint="eastAsia" w:ascii="宋体" w:hAnsi="宋体" w:cs="宋体"/>
          <w:color w:val="auto"/>
          <w:highlight w:val="none"/>
        </w:rPr>
      </w:pPr>
      <w:r>
        <w:rPr>
          <w:rFonts w:hint="eastAsia" w:ascii="宋体" w:hAnsi="宋体" w:eastAsia="宋体" w:cs="宋体"/>
          <w:color w:val="auto"/>
          <w:highlight w:val="none"/>
        </w:rPr>
        <w:t xml:space="preserve">①资格性审查。</w:t>
      </w:r>
      <w:r/>
    </w:p>
    <w:p>
      <w:pPr>
        <w:ind w:left="480" w:firstLine="480"/>
        <w:rPr>
          <w:rFonts w:hint="eastAsia" w:ascii="宋体" w:hAnsi="宋体" w:cs="宋体"/>
          <w:color w:val="auto"/>
          <w:highlight w:val="none"/>
        </w:rPr>
      </w:pPr>
      <w:r>
        <w:rPr>
          <w:rFonts w:hint="eastAsia" w:ascii="宋体" w:hAnsi="宋体" w:eastAsia="宋体" w:cs="宋体"/>
          <w:color w:val="auto"/>
          <w:highlight w:val="none"/>
        </w:rPr>
        <w:t xml:space="preserve">②符合性审查。</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（2）澄清有关问题。</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（3）比较与评价。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（4）推荐中标候选供应商名单。</w:t>
      </w:r>
      <w:r/>
    </w:p>
    <w:p>
      <w:pPr>
        <w:pStyle w:val="768"/>
        <w:rPr>
          <w:rFonts w:hint="eastAsia" w:ascii="宋体" w:hAnsi="宋体" w:cs="宋体"/>
          <w:color w:val="auto"/>
          <w:highlight w:val="none"/>
        </w:rPr>
      </w:pPr>
      <w:r>
        <w:rPr>
          <w:rFonts w:hint="eastAsia" w:ascii="宋体" w:hAnsi="宋体" w:eastAsia="宋体" w:cs="宋体"/>
          <w:color w:val="auto"/>
          <w:highlight w:val="none"/>
        </w:rPr>
        <w:t xml:space="preserve">（5）编写评审报告（评标报告）。</w:t>
      </w:r>
      <w:r/>
    </w:p>
    <w:p>
      <w:pPr>
        <w:pStyle w:val="768"/>
        <w:rPr>
          <w:rFonts w:hint="eastAsia" w:ascii="宋体" w:hAnsi="宋体" w:cs="宋体"/>
          <w:color w:val="auto"/>
          <w:highlight w:val="none"/>
        </w:rPr>
      </w:pPr>
      <w:r>
        <w:rPr>
          <w:rFonts w:hint="eastAsia" w:ascii="宋体" w:hAnsi="宋体" w:eastAsia="宋体" w:cs="宋体"/>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非单一产品采购项目，多家投标人提供的核心产品品牌相同的，按前两款规定处理。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（二十九）投标文件报价出现前后不一致的，按照下列规定修正：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投标文件中开标一览表（报价表）内容与投标文件中相应内容不一致的，以开标一览表（报价表）为准；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大写金额和小写金额不一致的，以大写金额为准；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单价金额小数点或者百分比有明显错位的，以开标一览表的总价为准，并修改单价；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总价金额与按单价合计金额不一致的，以单价金额计算结果为准。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评标中需要投标人对投标文件澄清或者说明的，应当通过“苏采云”系统交换数据电文。在评标期间，请投标人保持在线。</w:t>
      </w:r>
      <w:r/>
    </w:p>
    <w:p>
      <w:pPr>
        <w:ind w:firstLine="480"/>
        <w:rPr>
          <w:rFonts w:hint="eastAsia" w:ascii="宋体" w:hAnsi="宋体" w:cs="宋体"/>
          <w:b/>
          <w:bCs/>
          <w:color w:val="auto"/>
          <w:highlight w:val="none"/>
        </w:rPr>
      </w:pPr>
      <w:r>
        <w:rPr>
          <w:rFonts w:hint="eastAsia" w:ascii="宋体" w:hAnsi="宋体" w:eastAsia="宋体" w:cs="宋体"/>
          <w:color w:val="auto"/>
          <w:highlight w:val="none"/>
        </w:rPr>
        <w:t xml:space="preserve">（三十）</w:t>
      </w:r>
      <w:r>
        <w:rPr>
          <w:rFonts w:hint="eastAsia" w:ascii="宋体" w:hAnsi="宋体" w:eastAsia="宋体" w:cs="宋体"/>
          <w:b/>
          <w:bCs/>
          <w:color w:val="auto"/>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评标过程中出现下列情形之一的，评标委员会应当启动异常低价投标审查程序：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1、投标报价低于采购项目预算50%的，即投标报价&lt;采购项目最高限价×50%。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2、投标报价低于采购项目最高限价45%的，即投标报价&lt;采购项目最高限价×45%。</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2、评标委员会认定的投标人报价过低、有可能影响产品质量或者不能诚信履约的其他情形。</w:t>
      </w:r>
      <w:r/>
    </w:p>
    <w:p>
      <w:pPr>
        <w:ind w:firstLine="480"/>
        <w:rPr>
          <w:rFonts w:hint="eastAsia" w:ascii="宋体" w:hAnsi="宋体" w:cs="宋体"/>
          <w:b/>
          <w:bCs/>
          <w:color w:val="auto"/>
          <w:highlight w:val="none"/>
        </w:rPr>
      </w:pPr>
      <w:r>
        <w:rPr>
          <w:rFonts w:hint="eastAsia" w:ascii="宋体" w:hAnsi="宋体" w:eastAsia="宋体" w:cs="宋体"/>
          <w:b/>
          <w:bCs/>
          <w:color w:val="auto"/>
          <w:sz w:val="24"/>
          <w:szCs w:val="24"/>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rPr>
          <w:rFonts w:hint="eastAsia" w:ascii="宋体" w:hAnsi="宋体" w:eastAsia="宋体" w:cs="宋体"/>
          <w:b/>
          <w:bCs/>
          <w:color w:val="auto"/>
          <w:sz w:val="24"/>
          <w:szCs w:val="24"/>
          <w:lang w:eastAsia="zh-CN"/>
        </w:rPr>
        <w:t xml:space="preserve">。</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（三十二）废标条款：</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出现下列情形之一的，应予废标。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符合专业条件的供应商或者对招标文件作实质响应的供应商不足三家的；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出现影响采购公正的违法、违规行为的；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投标人的报价均超过了采购预算，采购人不能支付的；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因重大变故，采购任务取消的。</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六、定标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（三十三）采购代理机构应当在评标结束后2个工作日内将评标报告送采购人。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（三十四）采购人应当自收到评标报告之日起5个工作日内，在评标报告确定的中标候选人名单中按顺序确定中标人。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七、政府采购合同</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（三十六）签订政府采购合同（合同签订方式）：</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采购人不得向中标人提出任何不合理的要求作为签订合同的条件。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（三十八）腐败和欺诈行为：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采购代理机构、采购人、投标人等参与招投标的各方，均应在招标、采购、合同执行等过程中保持廉洁和最高的道德水准。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（1）腐败和欺诈行为的含义：</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（2）如果被推荐的中标人有腐败和欺诈行为，将取消其中标资格。</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（3）如果投标人在任何时候，被法院及政府有关管理部门认定为有腐败和欺诈行为，采购代理机构有权拒绝其投标、取消其中标资格和撤销其已签署的合同。</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八、询问和质疑</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（四十）询问和质疑</w:t>
      </w:r>
      <w:r/>
    </w:p>
    <w:p>
      <w:pPr>
        <w:pStyle w:val="768"/>
        <w:rPr>
          <w:rFonts w:hint="eastAsia" w:ascii="宋体" w:hAnsi="宋体" w:cs="宋体"/>
          <w:color w:val="auto"/>
          <w:highlight w:val="none"/>
        </w:rPr>
      </w:pPr>
      <w:r>
        <w:rPr>
          <w:rFonts w:hint="eastAsia" w:ascii="宋体" w:hAnsi="宋体" w:eastAsia="宋体" w:cs="宋体"/>
          <w:color w:val="auto"/>
          <w:highlight w:val="none"/>
        </w:rPr>
        <w:t xml:space="preserve">供应商对政府采购活动事项有疑问的，向采购代理机构提出询问；供应商认为采购文</w:t>
      </w:r>
      <w:r/>
    </w:p>
    <w:p>
      <w:pPr>
        <w:rPr>
          <w:rFonts w:hint="eastAsia" w:ascii="宋体" w:hAnsi="宋体" w:cs="宋体"/>
          <w:color w:val="auto"/>
          <w:highlight w:val="none"/>
        </w:rPr>
      </w:pPr>
      <w:r>
        <w:rPr>
          <w:rFonts w:hint="eastAsia" w:ascii="宋体" w:hAnsi="宋体" w:eastAsia="宋体" w:cs="宋体"/>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九、电子招标投标交易平台</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（四十一）电子招标投标交易平台（即“苏采云”系统，网址：</w:t>
      </w:r>
      <w:r>
        <w:rPr>
          <w:rFonts w:hint="eastAsia" w:ascii="宋体" w:hAnsi="宋体" w:eastAsia="仿宋" w:cs="宋体"/>
          <w:color w:val="auto"/>
          <w:sz w:val="24"/>
          <w:lang w:eastAsia="zh-CN"/>
        </w:rPr>
        <w:t xml:space="preserve">http://jszfcg.jsczt.cn/jszc/loginjszc/login</w:t>
      </w:r>
      <w:r>
        <w:rPr>
          <w:rFonts w:hint="eastAsia" w:ascii="宋体" w:hAnsi="宋体" w:eastAsia="宋体" w:cs="宋体"/>
          <w:color w:val="auto"/>
          <w:highlight w:val="none"/>
        </w:rPr>
        <w:t xml:space="preserve">）相关要求是本招标文件的组成部分。</w:t>
      </w:r>
      <w:r/>
    </w:p>
    <w:p>
      <w:pPr>
        <w:rPr>
          <w:rFonts w:hint="eastAsia" w:ascii="宋体" w:hAnsi="宋体" w:cs="宋体"/>
          <w:color w:val="auto"/>
        </w:rPr>
      </w:pPr>
      <w:r>
        <w:rPr>
          <w:rFonts w:hint="eastAsia" w:ascii="宋体" w:hAnsi="宋体" w:eastAsia="仿宋" w:cs="宋体"/>
          <w:color w:val="auto"/>
          <w:highlight w:val="none"/>
        </w:rPr>
        <w:br w:type="page" w:clear="all"/>
      </w:r>
      <w:r/>
    </w:p>
    <w:p>
      <w:pPr>
        <w:pStyle w:val="755"/>
        <w:ind w:left="0" w:firstLine="0"/>
        <w:jc w:val="center"/>
        <w:rPr>
          <w:rFonts w:hint="eastAsia" w:ascii="宋体" w:hAnsi="宋体" w:cs="宋体"/>
          <w:color w:val="auto"/>
          <w:highlight w:val="none"/>
        </w:rPr>
      </w:pPr>
      <w:r/>
      <w:bookmarkStart w:id="3" w:name="_Toc10690"/>
      <w:r>
        <w:rPr>
          <w:rFonts w:hint="eastAsia" w:ascii="宋体" w:hAnsi="宋体" w:eastAsia="宋体" w:cs="宋体"/>
          <w:color w:val="auto"/>
          <w:highlight w:val="none"/>
        </w:rPr>
        <w:t xml:space="preserve">第三章 投标资料表</w:t>
      </w:r>
      <w:bookmarkEnd w:id="3"/>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5"/>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8853"/>
      </w:tblGrid>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both"/>
              <w:spacing w:line="4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丰县水务局</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江苏天奇项目管理咨询有限公司</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二、本项目不属于专门面向中小企业采购的项目</w:t>
            </w:r>
            <w:r>
              <w:rPr>
                <w:rFonts w:hint="eastAsia" w:ascii="宋体" w:hAnsi="宋体" w:eastAsia="宋体" w:cs="宋体"/>
                <w:b/>
                <w:bCs/>
                <w:color w:val="auto"/>
                <w:sz w:val="24"/>
                <w:szCs w:val="24"/>
                <w:highlight w:val="none"/>
                <w:lang w:eastAsia="zh-CN"/>
              </w:rPr>
              <w:t xml:space="preserve">。</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三、本项目特定资格条件：</w:t>
            </w:r>
            <w:r>
              <w:rPr>
                <w:rFonts w:hint="eastAsia" w:ascii="宋体" w:hAnsi="宋体" w:eastAsia="宋体" w:cs="宋体"/>
                <w:b/>
                <w:bCs/>
                <w:color w:val="auto"/>
                <w:sz w:val="24"/>
                <w:szCs w:val="24"/>
                <w:highlight w:val="none"/>
                <w:lang w:val="en-US" w:eastAsia="zh-CN"/>
              </w:rPr>
              <w:t xml:space="preserve">无</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仿宋" w:cs="宋体"/>
                <w:color w:val="auto"/>
                <w:sz w:val="24"/>
                <w:szCs w:val="24"/>
                <w:highlight w:val="none"/>
              </w:rPr>
              <w:fldChar w:fldCharType="begin"/>
            </w:r>
            <w:r>
              <w:rPr>
                <w:rFonts w:hint="eastAsia" w:ascii="宋体" w:hAnsi="宋体" w:eastAsia="仿宋" w:cs="宋体"/>
                <w:color w:val="auto"/>
                <w:sz w:val="24"/>
                <w:szCs w:val="24"/>
                <w:highlight w:val="none"/>
              </w:rPr>
              <w:instrText xml:space="preserve"> HYPERLINK "http://www.creditchina.gov.cn/" </w:instrText>
            </w:r>
            <w:r>
              <w:rPr>
                <w:rFonts w:hint="eastAsia" w:ascii="宋体" w:hAnsi="宋体" w:eastAsia="仿宋" w:cs="宋体"/>
                <w:color w:val="auto"/>
                <w:sz w:val="24"/>
                <w:szCs w:val="24"/>
                <w:highlight w:val="none"/>
              </w:rPr>
              <w:fldChar w:fldCharType="separate"/>
            </w:r>
            <w:r>
              <w:rPr>
                <w:rFonts w:hint="eastAsia" w:ascii="宋体" w:hAnsi="宋体" w:eastAsia="仿宋" w:cs="宋体"/>
                <w:color w:val="auto"/>
                <w:sz w:val="24"/>
                <w:szCs w:val="24"/>
                <w:highlight w:val="none"/>
              </w:rPr>
              <w:t xml:space="preserve">www.creditchina.gov.cn</w:t>
            </w:r>
            <w:r>
              <w:rPr>
                <w:rFonts w:hint="eastAsia" w:ascii="宋体" w:hAnsi="宋体" w:eastAsia="仿宋"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仿宋" w:cs="宋体"/>
                <w:color w:val="auto"/>
                <w:sz w:val="24"/>
                <w:szCs w:val="24"/>
                <w:highlight w:val="none"/>
              </w:rPr>
              <w:fldChar w:fldCharType="begin"/>
            </w:r>
            <w:r>
              <w:rPr>
                <w:rFonts w:hint="eastAsia" w:ascii="宋体" w:hAnsi="宋体" w:eastAsia="仿宋" w:cs="宋体"/>
                <w:color w:val="auto"/>
                <w:sz w:val="24"/>
                <w:szCs w:val="24"/>
                <w:highlight w:val="none"/>
              </w:rPr>
              <w:instrText xml:space="preserve"> HYPERLINK "http://www.ccgp.gov.cn/" </w:instrText>
            </w:r>
            <w:r>
              <w:rPr>
                <w:rFonts w:hint="eastAsia" w:ascii="宋体" w:hAnsi="宋体" w:eastAsia="仿宋" w:cs="宋体"/>
                <w:color w:val="auto"/>
                <w:sz w:val="24"/>
                <w:szCs w:val="24"/>
                <w:highlight w:val="none"/>
              </w:rPr>
              <w:fldChar w:fldCharType="separate"/>
            </w:r>
            <w:r>
              <w:rPr>
                <w:rFonts w:hint="eastAsia" w:ascii="宋体" w:hAnsi="宋体" w:eastAsia="仿宋" w:cs="宋体"/>
                <w:color w:val="auto"/>
                <w:sz w:val="24"/>
                <w:szCs w:val="24"/>
                <w:highlight w:val="none"/>
              </w:rPr>
              <w:t xml:space="preserve">www.ccgp.gov.cn</w:t>
            </w:r>
            <w:r>
              <w:rPr>
                <w:rFonts w:hint="eastAsia" w:ascii="宋体" w:hAnsi="宋体" w:eastAsia="仿宋"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pStyle w:val="805"/>
              <w:spacing w:line="400" w:lineRule="exact"/>
              <w:rPr>
                <w:rFonts w:hint="eastAsia" w:ascii="宋体" w:hAnsi="宋体" w:cs="宋体"/>
                <w:color w:val="auto"/>
                <w:sz w:val="24"/>
                <w:szCs w:val="24"/>
                <w:highlight w:val="none"/>
              </w:rPr>
            </w:pP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“信用中国(江苏徐州)”网（http://www.xuzhoucredit.gov.cn）；</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(三)截止时点（查询环节）：资格审查结束前。</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按《徐州政府采购业务代理服务费行业指导价格标准》规定收取；</w:t>
            </w:r>
            <w:r>
              <w:rPr>
                <w:rFonts w:hint="eastAsia" w:ascii="宋体" w:hAnsi="宋体" w:eastAsia="宋体" w:cs="宋体"/>
                <w:color w:val="auto"/>
                <w:sz w:val="24"/>
                <w:szCs w:val="24"/>
                <w:highlight w:val="none"/>
                <w:lang w:eastAsia="zh-CN"/>
              </w:rPr>
              <w:t xml:space="preserve">详见第七章第十一</w:t>
            </w:r>
            <w:r>
              <w:rPr>
                <w:rFonts w:hint="eastAsia" w:ascii="宋体" w:hAnsi="宋体" w:eastAsia="宋体" w:cs="宋体"/>
                <w:color w:val="auto"/>
                <w:sz w:val="24"/>
                <w:szCs w:val="24"/>
                <w:highlight w:val="none"/>
                <w:lang w:val="en-US" w:eastAsia="zh-CN"/>
              </w:rPr>
              <w:t xml:space="preserve">招标代理服务费收费标准</w:t>
            </w:r>
            <w:r>
              <w:rPr>
                <w:rFonts w:hint="eastAsia" w:ascii="宋体" w:hAnsi="宋体" w:eastAsia="宋体" w:cs="宋体"/>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tabs>
                <w:tab w:val="left" w:pos="576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1.《开标一览表》（加盖电子签章，政府采购客户端工具输入报价自动生成）。</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2.所投产品的环境标志产品认证证书原件的扫描件（如有）。</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3.所投产品的节能产品认证证书原件的扫描件（如有）。</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仿宋" w:cs="宋体"/>
                <w:color w:val="auto"/>
                <w:sz w:val="24"/>
                <w:szCs w:val="24"/>
                <w:highlight w:val="none"/>
              </w:rPr>
              <w:t xml:space="preserve">4.</w:t>
            </w:r>
            <w:r>
              <w:rPr>
                <w:rFonts w:hint="eastAsia" w:ascii="宋体" w:hAnsi="宋体" w:eastAsia="宋体" w:cs="宋体"/>
                <w:bCs/>
                <w:color w:val="auto"/>
                <w:sz w:val="24"/>
                <w:szCs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auto"/>
                <w:sz w:val="24"/>
                <w:szCs w:val="24"/>
                <w:highlight w:val="none"/>
              </w:rPr>
              <w:t xml:space="preserve">）</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5.投标人认为制作投标文件需要提供的其他材料(如有）</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eastAsia="仿宋"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必须提供；否则投标无效）</w:t>
            </w: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1.具有独立承担民事责任的能力，提供投标人合法有效的法人的营业执照或事业法人证或其他组织应提供合法证明文件</w:t>
            </w:r>
            <w:r>
              <w:rPr>
                <w:rFonts w:hint="eastAsia" w:ascii="宋体" w:hAnsi="宋体" w:eastAsia="宋体" w:cs="宋体"/>
                <w:b/>
                <w:bCs/>
                <w:color w:val="auto"/>
                <w:sz w:val="24"/>
                <w:szCs w:val="24"/>
                <w:highlight w:val="none"/>
                <w:lang w:eastAsia="zh-CN"/>
              </w:rPr>
              <w:t xml:space="preserve">；</w:t>
            </w: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2.财务状况报告：即提供投标人的本项目开标时间前6个月内（不含“投标文件提交的截止时间”当月）任何时间的资产负债表、利润表各一份或合法有效的经第三方机构审计的</w:t>
            </w:r>
            <w:r>
              <w:rPr>
                <w:rFonts w:hint="eastAsia" w:ascii="宋体" w:hAnsi="宋体" w:eastAsia="宋体" w:cs="宋体"/>
                <w:b/>
                <w:bCs/>
                <w:color w:val="auto"/>
                <w:sz w:val="24"/>
                <w:szCs w:val="24"/>
                <w:highlight w:val="none"/>
                <w:lang w:val="en-US" w:eastAsia="zh-CN"/>
              </w:rPr>
              <w:t xml:space="preserve">2023年度或2024年度</w:t>
            </w:r>
            <w:r>
              <w:rPr>
                <w:rFonts w:hint="eastAsia" w:ascii="宋体" w:hAnsi="宋体" w:eastAsia="宋体" w:cs="宋体"/>
                <w:b/>
                <w:bCs/>
                <w:color w:val="auto"/>
                <w:sz w:val="24"/>
                <w:szCs w:val="24"/>
                <w:highlight w:val="none"/>
              </w:rPr>
              <w:t xml:space="preserve">财务审计报告或投标人的本项目开标时间前6个月内（不含“投标文件提交的截止时间”当月）银行出具的资信证明扫描件；</w:t>
            </w: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投标人的本项目开标时间前6个月内任何1个月（不含“投标文件提交的截止时间”当月）的依法缴纳税收和社会保障资金的相关材料扫描件（依法免税或不需要缴纳社会保障资金的供应商,提供相应文件证明其依法免税或不需要缴纳社会保障资金)；</w:t>
            </w: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4.具备履行合同所必需的设备和专业技术能力的书面声明；（加盖电子签章，格式见招标文件第七章《投标文件相关格式》）；</w:t>
            </w: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pStyle w:val="81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1.《投标函》（加盖电子签章，格式见招标文件第七章《投标文件相关格式》。）</w:t>
            </w:r>
            <w:r/>
          </w:p>
          <w:p>
            <w:pPr>
              <w:pStyle w:val="81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2.《法定代表人授权书》（加盖电子签章，格式见招标文件第七章《投标文件相关格式》。如为法定代表人本人参加投标活动，则提供《法定代表人身份证明书》。）</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1.《偏离表》（加盖电子签章，格式见招标文件第七章《投标文件相关格式》。）</w:t>
            </w:r>
            <w:r/>
          </w:p>
          <w:p>
            <w:pPr>
              <w:pStyle w:val="805"/>
              <w:spacing w:line="400" w:lineRule="exact"/>
              <w:rPr>
                <w:rFonts w:hint="eastAsia" w:ascii="宋体" w:hAnsi="宋体" w:cs="宋体"/>
                <w:color w:val="auto"/>
                <w:sz w:val="24"/>
                <w:szCs w:val="24"/>
                <w:highlight w:val="none"/>
              </w:rPr>
            </w:pP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采购需求中要求上传的承诺书</w:t>
            </w:r>
            <w:r>
              <w:rPr>
                <w:rFonts w:hint="eastAsia" w:ascii="宋体" w:hAnsi="宋体" w:eastAsia="宋体" w:cs="宋体"/>
                <w:color w:val="auto"/>
                <w:sz w:val="24"/>
                <w:szCs w:val="24"/>
                <w:highlight w:val="none"/>
              </w:rPr>
              <w:t xml:space="preserve">》（加盖电子签章，</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rPr>
              <w:t xml:space="preserve">。）</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详见本文件第六章《采购需求》及第四章《评标标准》。</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pStyle w:val="805"/>
              <w:numPr>
                <w:ilvl w:val="0"/>
                <w:numId w:val="1"/>
              </w:numP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价格折扣文件格式</w:t>
            </w:r>
            <w:r>
              <w:rPr>
                <w:rFonts w:hint="eastAsia" w:ascii="宋体" w:hAnsi="宋体" w:eastAsia="宋体" w:cs="宋体"/>
                <w:b/>
                <w:bCs/>
                <w:color w:val="auto"/>
                <w:sz w:val="24"/>
                <w:szCs w:val="24"/>
                <w:highlight w:val="none"/>
                <w:lang w:eastAsia="zh-CN"/>
              </w:rPr>
              <w:t xml:space="preserve">：</w:t>
            </w:r>
            <w:r/>
          </w:p>
          <w:p>
            <w:pPr>
              <w:pStyle w:val="805"/>
              <w:numPr>
                <w:ilvl w:val="0"/>
                <w:numId w:val="0"/>
              </w:numP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本项目不属于专门面向中小微企业采购的项目，投标人如为中小微企业（含中型、小型、微型企业，下同），投标文件中提供《中小企业声明函》（加盖电子签章，填写完整。格式见本文件第七章《投标文件相关格式》，如不填写完整或未按要求填写的，视为不满足，非必须提供）。《中小企业声明函》查询渠道用微信搜索“中小企业规模类型自测小程序”。</w:t>
            </w: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投标人所提供的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2、投标人为监狱企业的，提供省级以上监狱管理局、戒毒管理局（含新疆生产建设兵团）出具的属于监狱企业的证明文件原件的扫描件。</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 </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3、投标人为享受政府采购支持政策的残疾人福利性单位的，提供《残疾人福利性单位声明函》（加盖电子签章，格式见招标文件第七章《投标文件相关格式》）。</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jc w:val="both"/>
              <w:spacing w:line="240" w:lineRule="auto"/>
              <w:widowControl w:val="off"/>
              <w:rPr>
                <w:rFonts w:hint="eastAsia" w:ascii="宋体" w:hAnsi="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5" o:title=""/>
                    </v:shape>
                  </w:pict>
                </mc:Fallback>
              </mc:AlternateConten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jc w:val="both"/>
              <w:spacing w:line="240"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pStyle w:val="81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 投标人应对以上文件的合法性、真实性负责。</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pStyle w:val="805"/>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jc w:val="left"/>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本项目不接受单价报价超过2.64元/吨人民币的</w:t>
            </w:r>
            <w:r>
              <w:rPr>
                <w:rFonts w:hint="eastAsia" w:ascii="宋体" w:hAnsi="宋体" w:eastAsia="宋体" w:cs="宋体"/>
                <w:b/>
                <w:bCs/>
                <w:color w:val="auto"/>
                <w:sz w:val="24"/>
                <w:szCs w:val="24"/>
                <w:highlight w:val="none"/>
              </w:rPr>
              <w:t xml:space="preserve">投标报价。</w:t>
            </w: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报价包括但不限于水质净化设施全部设备、出水在线监测设备（溶解氧、COD、氨氮、总磷、SS、流量计）、中控、在线数据远程接入、人员工资及社保（包括人员的食宿费等一切费用）、税金、用水用电、污泥处置、第三方水质检测费等为保证工艺设备正常运行并达到出水水质地表水环境质量标准（GB3838-2002）准Ⅳ类水标准处理效果所采取的相应措施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的利润等全部费用，采购人不再支付报价以外的任何费用。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特别说明：通过“苏采云”系统提交政府采购客户端工具导出加密的投标文件（后缀名为zip）。投标文件不得超过150M！</w:t>
            </w:r>
            <w:r/>
          </w:p>
          <w:p>
            <w:pPr>
              <w:pStyle w:val="805"/>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投标文件的提交与接收： </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szCs w:val="24"/>
                <w:highlight w:val="none"/>
                <w:lang w:eastAsia="zh-CN"/>
              </w:rPr>
              <w:t xml:space="preserve">2026年</w:t>
            </w:r>
            <w:r>
              <w:rPr>
                <w:rFonts w:hint="eastAsia" w:ascii="宋体" w:hAnsi="宋体" w:eastAsia="宋体" w:cs="宋体"/>
                <w:b/>
                <w:bCs/>
                <w:color w:val="auto"/>
                <w:sz w:val="24"/>
                <w:szCs w:val="24"/>
                <w:highlight w:val="none"/>
                <w:lang w:val="en-US" w:eastAsia="zh-CN"/>
              </w:rPr>
              <w:t xml:space="preserve">5月25</w:t>
            </w:r>
            <w:r>
              <w:rPr>
                <w:rFonts w:hint="eastAsia" w:ascii="宋体" w:hAnsi="宋体" w:eastAsia="宋体" w:cs="宋体"/>
                <w:b/>
                <w:bCs/>
                <w:color w:val="auto"/>
                <w:sz w:val="24"/>
                <w:szCs w:val="24"/>
                <w:highlight w:val="none"/>
                <w:lang w:eastAsia="zh-CN"/>
              </w:rPr>
              <w:t xml:space="preserve">日</w:t>
            </w:r>
            <w:r>
              <w:rPr>
                <w:rFonts w:hint="eastAsia" w:ascii="宋体" w:hAnsi="宋体" w:eastAsia="仿宋" w:cs="宋体"/>
                <w:b/>
                <w:bCs/>
                <w:color w:val="auto"/>
                <w:sz w:val="24"/>
                <w:szCs w:val="24"/>
                <w:highlight w:val="none"/>
                <w:lang w:val="en-US" w:eastAsia="zh-CN"/>
              </w:rPr>
              <w:t xml:space="preserve">09</w:t>
            </w:r>
            <w:r>
              <w:rPr>
                <w:rFonts w:hint="eastAsia" w:ascii="宋体" w:hAnsi="宋体" w:eastAsia="仿宋" w:cs="宋体"/>
                <w:b/>
                <w:bCs/>
                <w:color w:val="auto"/>
                <w:sz w:val="24"/>
                <w:szCs w:val="24"/>
                <w:highlight w:val="none"/>
                <w:lang w:eastAsia="zh-CN"/>
              </w:rPr>
              <w:t xml:space="preserve">:</w:t>
            </w:r>
            <w:r>
              <w:rPr>
                <w:rFonts w:hint="eastAsia" w:ascii="宋体" w:hAnsi="宋体" w:eastAsia="仿宋" w:cs="宋体"/>
                <w:b/>
                <w:bCs/>
                <w:color w:val="auto"/>
                <w:sz w:val="24"/>
                <w:szCs w:val="24"/>
                <w:highlight w:val="none"/>
                <w:lang w:val="en-US" w:eastAsia="zh-CN"/>
              </w:rPr>
              <w:t xml:space="preserve">3</w:t>
            </w:r>
            <w:r>
              <w:rPr>
                <w:rFonts w:hint="eastAsia" w:ascii="宋体" w:hAnsi="宋体" w:eastAsia="仿宋"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）前。</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投标文件提交与接收地点：</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770"/>
              <w:rPr>
                <w:rFonts w:hint="eastAsia" w:ascii="宋体" w:hAnsi="宋体" w:cs="宋体"/>
                <w:color w:val="auto"/>
              </w:rPr>
            </w:pPr>
            <w:r>
              <w:rPr>
                <w:rFonts w:hint="eastAsia" w:ascii="宋体" w:hAnsi="宋体" w:cs="宋体"/>
                <w:color w:val="auto"/>
              </w:rPr>
            </w: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 开标时间：</w:t>
            </w:r>
            <w:r>
              <w:rPr>
                <w:rFonts w:hint="eastAsia" w:ascii="宋体" w:hAnsi="宋体" w:eastAsia="宋体" w:cs="宋体"/>
                <w:b/>
                <w:bCs/>
                <w:color w:val="auto"/>
                <w:sz w:val="24"/>
                <w:szCs w:val="24"/>
                <w:highlight w:val="none"/>
                <w:lang w:eastAsia="zh-CN"/>
              </w:rPr>
              <w:t xml:space="preserve">2026年</w:t>
            </w:r>
            <w:r>
              <w:rPr>
                <w:rFonts w:hint="eastAsia" w:ascii="宋体" w:hAnsi="宋体" w:eastAsia="宋体" w:cs="宋体"/>
                <w:b/>
                <w:bCs/>
                <w:color w:val="auto"/>
                <w:sz w:val="24"/>
                <w:szCs w:val="24"/>
                <w:highlight w:val="none"/>
                <w:lang w:val="en-US" w:eastAsia="zh-CN"/>
              </w:rPr>
              <w:t xml:space="preserve">5月25</w:t>
            </w:r>
            <w:r>
              <w:rPr>
                <w:rFonts w:hint="eastAsia" w:ascii="宋体" w:hAnsi="宋体" w:eastAsia="宋体" w:cs="宋体"/>
                <w:b/>
                <w:bCs/>
                <w:color w:val="auto"/>
                <w:sz w:val="24"/>
                <w:szCs w:val="24"/>
                <w:highlight w:val="none"/>
                <w:lang w:eastAsia="zh-CN"/>
              </w:rPr>
              <w:t xml:space="preserve">日</w:t>
            </w:r>
            <w:r>
              <w:rPr>
                <w:rFonts w:hint="eastAsia" w:ascii="宋体" w:hAnsi="宋体" w:eastAsia="仿宋" w:cs="宋体"/>
                <w:b/>
                <w:bCs/>
                <w:color w:val="auto"/>
                <w:sz w:val="24"/>
                <w:szCs w:val="24"/>
                <w:highlight w:val="none"/>
                <w:lang w:val="en-US" w:eastAsia="zh-CN"/>
              </w:rPr>
              <w:t xml:space="preserve">09</w:t>
            </w:r>
            <w:r>
              <w:rPr>
                <w:rFonts w:hint="eastAsia" w:ascii="宋体" w:hAnsi="宋体" w:eastAsia="仿宋" w:cs="宋体"/>
                <w:b/>
                <w:bCs/>
                <w:color w:val="auto"/>
                <w:sz w:val="24"/>
                <w:szCs w:val="24"/>
                <w:highlight w:val="none"/>
                <w:lang w:eastAsia="zh-CN"/>
              </w:rPr>
              <w:t xml:space="preserve">:</w:t>
            </w:r>
            <w:r>
              <w:rPr>
                <w:rFonts w:hint="eastAsia" w:ascii="宋体" w:hAnsi="宋体" w:eastAsia="仿宋" w:cs="宋体"/>
                <w:b/>
                <w:bCs/>
                <w:color w:val="auto"/>
                <w:sz w:val="24"/>
                <w:szCs w:val="24"/>
                <w:highlight w:val="none"/>
                <w:lang w:val="en-US" w:eastAsia="zh-CN"/>
              </w:rPr>
              <w:t xml:space="preserve">3</w:t>
            </w:r>
            <w:r>
              <w:rPr>
                <w:rFonts w:hint="eastAsia" w:ascii="宋体" w:hAnsi="宋体" w:eastAsia="仿宋"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（标准时间）</w:t>
            </w:r>
            <w:r/>
          </w:p>
          <w:p>
            <w:pPr>
              <w:pStyle w:val="766"/>
              <w:ind w:left="0" w:firstLine="0"/>
              <w:keepLines w:val="0"/>
              <w:keepNext w:val="0"/>
              <w:pageBreakBefore w:val="0"/>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开标地点：“苏采云”系统（网址：</w:t>
            </w:r>
            <w:r>
              <w:rPr>
                <w:rFonts w:hint="eastAsia" w:ascii="宋体" w:hAnsi="宋体" w:eastAsia="仿宋" w:cs="宋体"/>
                <w:color w:val="auto"/>
                <w:sz w:val="24"/>
                <w:szCs w:val="24"/>
                <w:highlight w:val="none"/>
                <w:lang w:eastAsia="zh-CN"/>
              </w:rPr>
              <w:t xml:space="preserve">http://jszfcg.jsczt.cn/jszc/loginjszc/login</w:t>
            </w:r>
            <w:r>
              <w:rPr>
                <w:rFonts w:hint="eastAsia" w:ascii="宋体" w:hAnsi="宋体" w:eastAsia="宋体" w:cs="宋体"/>
                <w:color w:val="auto"/>
                <w:sz w:val="24"/>
                <w:szCs w:val="24"/>
                <w:highlight w:val="none"/>
              </w:rPr>
              <w:t xml:space="preserve">）“开标大厅”或进入徐州政府采购网（网址：</w:t>
            </w:r>
            <w:r>
              <w:rPr>
                <w:rFonts w:hint="eastAsia" w:ascii="宋体" w:hAnsi="宋体" w:eastAsia="仿宋" w:cs="宋体"/>
                <w:color w:val="auto"/>
                <w:sz w:val="24"/>
                <w:szCs w:val="24"/>
                <w:highlight w:val="none"/>
                <w:lang w:eastAsia="zh-CN"/>
              </w:rPr>
              <w:t xml:space="preserve">https://czj.xz.gov.cn/zfcg/index.html?kw=xxgk</w:t>
            </w:r>
            <w:r>
              <w:rPr>
                <w:rFonts w:hint="eastAsia" w:ascii="宋体" w:hAnsi="宋体" w:eastAsia="宋体" w:cs="宋体"/>
                <w:color w:val="auto"/>
                <w:sz w:val="24"/>
                <w:szCs w:val="24"/>
                <w:highlight w:val="none"/>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(二十八)1</w:t>
            </w: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项目服务方案得分由高到低顺序排列。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（二十九）</w:t>
            </w: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312"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 评标中需要投标人对投标文件澄清或者说明的，应当通过“苏采云”系统交换数据电文。在评标期间，请投标人保持在线。</w:t>
            </w:r>
            <w:r/>
          </w:p>
          <w:p>
            <w:pPr>
              <w:pStyle w:val="805"/>
              <w:spacing w:line="312"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05"/>
              <w:spacing w:line="312"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史青春</w:t>
            </w:r>
            <w:r>
              <w:rPr>
                <w:rFonts w:hint="eastAsia" w:ascii="宋体" w:hAnsi="宋体" w:eastAsia="宋体" w:cs="宋体"/>
                <w:color w:val="auto"/>
                <w:sz w:val="24"/>
                <w:szCs w:val="24"/>
                <w:highlight w:val="none"/>
              </w:rPr>
              <w:t xml:space="preserve">；  联系电话：</w:t>
            </w:r>
            <w:r>
              <w:rPr>
                <w:rFonts w:hint="eastAsia" w:ascii="宋体" w:hAnsi="宋体" w:eastAsia="仿宋" w:cs="宋体"/>
                <w:color w:val="auto"/>
                <w:sz w:val="24"/>
                <w:szCs w:val="24"/>
                <w:highlight w:val="none"/>
                <w:lang w:val="en-US" w:eastAsia="zh-CN"/>
              </w:rPr>
              <w:t xml:space="preserve">18252139142</w:t>
            </w:r>
            <w:r>
              <w:rPr>
                <w:rFonts w:hint="eastAsia" w:ascii="宋体" w:hAnsi="宋体" w:eastAsia="宋体" w:cs="宋体"/>
                <w:color w:val="auto"/>
                <w:sz w:val="24"/>
                <w:szCs w:val="24"/>
                <w:highlight w:val="none"/>
              </w:rPr>
              <w:t xml:space="preserve">；</w:t>
            </w: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丰县金地首府状元街114号四楼</w:t>
            </w:r>
            <w:r/>
          </w:p>
        </w:tc>
      </w:tr>
      <w:tr>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numPr>
                <w:ilvl w:val="0"/>
                <w:numId w:val="0"/>
              </w:num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中标人在领取中标通知书前，须向采购代理机构提交一正两副投标文件、《开标一览表》和《分项价格表》的数据文件（WORD格式）。</w:t>
            </w:r>
            <w:r/>
          </w:p>
          <w:p>
            <w:pPr>
              <w:pStyle w:val="819"/>
              <w:numPr>
                <w:ilvl w:val="0"/>
                <w:numId w:val="0"/>
              </w:numP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中标人在领取中标通知书前，一次性向代理机构缴纳代理服务费。</w:t>
            </w:r>
            <w:r/>
          </w:p>
          <w:p>
            <w:pPr>
              <w:pStyle w:val="757"/>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left="0" w:right="0" w:firstLine="0"/>
        <w:jc w:val="both"/>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本章附件：</w:t>
      </w:r>
      <w:r>
        <w:rPr>
          <w:rFonts w:ascii="宋体" w:hAnsi="宋体" w:eastAsia="宋体" w:cs="宋体"/>
          <w:b/>
          <w:color w:val="000000"/>
          <w:sz w:val="30"/>
        </w:rPr>
        <w:t xml:space="preserve">招标代理服务收费标准</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0"/>
        <w:gridCol w:w="3259"/>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费率</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5000元</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1.6%</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1.5%</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1.1%</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0.8%</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0.25%</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0.05%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0.01%</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0.005%</w:t>
            </w:r>
            <w:r/>
          </w:p>
        </w:tc>
      </w:tr>
    </w:tbl>
    <w:p>
      <w:pPr>
        <w:ind w:left="0" w:right="0" w:firstLine="0"/>
        <w:jc w:val="both"/>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说明：</w:t>
      </w:r>
      <w:r/>
    </w:p>
    <w:p>
      <w:pPr>
        <w:ind w:left="0" w:right="0" w:firstLine="0"/>
        <w:jc w:val="both"/>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w:t>
      </w:r>
      <w:r>
        <w:rPr>
          <w:rFonts w:ascii="宋体" w:hAnsi="宋体" w:eastAsia="宋体" w:cs="宋体"/>
          <w:color w:val="000000"/>
          <w:sz w:val="28"/>
          <w:szCs w:val="28"/>
        </w:rPr>
        <w:t xml:space="preserve">的合计数。</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5、定点类等无金额或事先不能计算出价格总额的项目，按中标(成交)金额100万元计算。</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6、有分包(分标段)的按一个项目计算。</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7.备注：1、本项目代理服务费按徐州市网上中介超市中选金额8000元收取，由成交供应商支付。</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2、关于进一步规范政府采购活动相关费用管理的通知（苏财规〔2026〕1号）</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评审活动相关费用：评审专家参加省内政府采购项目评审时应获得的专家评审费按以下规定进行管理。</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jc w:val="both"/>
        <w:spacing w:before="220" w:after="0" w:line="276" w:lineRule="auto"/>
        <w:rPr>
          <w:rFonts w:ascii="宋体" w:hAnsi="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（二）远程异地评标项目专家评审费按评审专家属地规定的标准支付。</w:t>
      </w:r>
      <w:r/>
    </w:p>
    <w:p>
      <w:pPr>
        <w:ind w:left="0" w:right="0" w:firstLine="0"/>
        <w:jc w:val="both"/>
        <w:spacing w:before="220" w:after="0" w:line="276"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（三）专家评审费应在项目评审完成后30个工作日内支付专家。因专家原因导致项目废标，则不需要向应当承担责任的专家支付费用。</w:t>
      </w:r>
      <w:r>
        <w:rPr>
          <w:rFonts w:ascii="宋体" w:hAnsi="宋体" w:eastAsia="STFangsong" w:cs="宋体"/>
          <w:color w:val="000000"/>
          <w:sz w:val="28"/>
          <w:szCs w:val="28"/>
        </w:rPr>
        <w:br w:type="page" w:clear="all"/>
      </w:r>
      <w:r/>
    </w:p>
    <w:p>
      <w:pPr>
        <w:pStyle w:val="755"/>
        <w:numPr>
          <w:ilvl w:val="0"/>
          <w:numId w:val="0"/>
        </w:numPr>
        <w:ind w:right="0"/>
        <w:jc w:val="center"/>
        <w:spacing w:before="241" w:after="120" w:line="54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bookmarkStart w:id="4" w:name="_Toc13052"/>
      <w:r>
        <w:rPr>
          <w:rFonts w:hint="eastAsia" w:ascii="宋体" w:hAnsi="宋体" w:eastAsia="宋体" w:cs="宋体"/>
          <w:b/>
          <w:color w:val="auto"/>
          <w:sz w:val="36"/>
          <w:highlight w:val="none"/>
          <w:lang w:val="en-US" w:eastAsia="zh-CN"/>
        </w:rPr>
        <w:t xml:space="preserve">第四章  </w:t>
      </w:r>
      <w:r>
        <w:rPr>
          <w:rFonts w:hint="eastAsia" w:ascii="宋体" w:hAnsi="宋体" w:eastAsia="宋体" w:cs="宋体"/>
          <w:b/>
          <w:color w:val="auto"/>
          <w:sz w:val="36"/>
          <w:highlight w:val="none"/>
        </w:rPr>
        <w:t xml:space="preserve">评标标准</w:t>
      </w:r>
      <w:bookmarkEnd w:id="4"/>
      <w:r/>
      <w:r/>
    </w:p>
    <w:p>
      <w:pPr>
        <w:ind w:firstLine="420"/>
        <w:jc w:val="both"/>
        <w:spacing w:line="360" w:lineRule="auto"/>
        <w:widowControl w:val="off"/>
        <w:rPr>
          <w:rFonts w:hint="eastAsia" w:ascii="宋体" w:hAnsi="宋体" w:cs="宋体"/>
          <w:b/>
          <w:bCs/>
          <w:color w:val="auto"/>
          <w:sz w:val="24"/>
          <w:szCs w:val="24"/>
        </w:rPr>
      </w:pPr>
      <w:r/>
      <w:bookmarkStart w:id="5" w:name="_Toc402966376"/>
      <w:r/>
      <w:bookmarkStart w:id="6" w:name="_Toc400722722"/>
      <w:r>
        <w:rPr>
          <w:rFonts w:hint="eastAsia" w:ascii="宋体" w:hAnsi="宋体" w:eastAsia="宋体" w:cs="宋体"/>
          <w:color w:val="auto"/>
          <w:sz w:val="24"/>
          <w:szCs w:val="24"/>
        </w:rPr>
        <w:t xml:space="preserve">本项目采用综合评分法。综合评分法是指在最大限度地满足招标文件实质性要求前提下，按照招标文件中规定的各项因素进行综合评审后，以评标总得分最高的供应商作为中标供应商的评标方法。</w:t>
      </w:r>
      <w:bookmarkEnd w:id="5"/>
      <w:r/>
      <w:bookmarkEnd w:id="6"/>
      <w:r/>
      <w:r/>
    </w:p>
    <w:tbl>
      <w:tblPr>
        <w:tblStyle w:val="765"/>
        <w:tblW w:w="8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46"/>
        <w:gridCol w:w="5750"/>
      </w:tblGrid>
      <w:tr>
        <w:trPr>
          <w:jc w:val="center"/>
        </w:trPr>
        <w:tc>
          <w:tcPr>
            <w:tcW w:w="1366" w:type="dxa"/>
            <w:vAlign w:val="center"/>
            <w:textDirection w:val="lrTb"/>
            <w:noWrap w:val="false"/>
          </w:tcPr>
          <w:p>
            <w:pPr>
              <w:jc w:val="center"/>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类别</w:t>
            </w:r>
            <w:r/>
          </w:p>
        </w:tc>
        <w:tc>
          <w:tcPr>
            <w:tcW w:w="1346" w:type="dxa"/>
            <w:vAlign w:val="center"/>
            <w:textDirection w:val="lrTb"/>
            <w:noWrap w:val="false"/>
          </w:tcPr>
          <w:p>
            <w:pPr>
              <w:jc w:val="center"/>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评分项目</w:t>
            </w:r>
            <w:r/>
          </w:p>
        </w:tc>
        <w:tc>
          <w:tcPr>
            <w:tcW w:w="5750" w:type="dxa"/>
            <w:vAlign w:val="center"/>
            <w:textDirection w:val="lrTb"/>
            <w:noWrap w:val="false"/>
          </w:tcPr>
          <w:p>
            <w:pPr>
              <w:jc w:val="center"/>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Pr>
        <w:tc>
          <w:tcPr>
            <w:tcW w:w="1366" w:type="dxa"/>
            <w:vAlign w:val="center"/>
            <w:textDirection w:val="lrTb"/>
            <w:noWrap w:val="false"/>
          </w:tcPr>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价格部分</w:t>
            </w:r>
            <w:r/>
          </w:p>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仿宋"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1346" w:type="dxa"/>
            <w:vAlign w:val="center"/>
            <w:textDirection w:val="lrTb"/>
            <w:noWrap w:val="false"/>
          </w:tcPr>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投标报价</w:t>
            </w:r>
            <w:r/>
          </w:p>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s="宋体"/>
                <w:color w:val="auto"/>
                <w:sz w:val="24"/>
                <w:szCs w:val="24"/>
                <w:highlight w:val="none"/>
              </w:rPr>
              <w:t xml:space="preserve">(1</w:t>
            </w:r>
            <w:r>
              <w:rPr>
                <w:rFonts w:hint="eastAsia" w:ascii="宋体" w:hAnsi="宋体" w:eastAsia="仿宋"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5750" w:type="dxa"/>
            <w:vAlign w:val="center"/>
            <w:textDirection w:val="lrTb"/>
            <w:noWrap w:val="false"/>
          </w:tcPr>
          <w:p>
            <w:pPr>
              <w:ind w:left="0" w:right="0" w:firstLine="0"/>
              <w:jc w:val="both"/>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各投标人价格得分=最低报价（投标人的最低评审价格）÷各投标人评审价格×1</w:t>
            </w:r>
            <w:r>
              <w:rPr>
                <w:rFonts w:hint="eastAsia" w:ascii="宋体" w:hAnsi="宋体" w:eastAsia="仿宋" w:cs="宋体"/>
                <w:color w:val="auto"/>
                <w:sz w:val="24"/>
                <w:szCs w:val="24"/>
                <w:highlight w:val="none"/>
                <w:lang w:val="en-US" w:eastAsia="zh-CN"/>
              </w:rPr>
              <w:t xml:space="preserve">5</w:t>
            </w:r>
            <w:r/>
          </w:p>
          <w:p>
            <w:pPr>
              <w:ind w:left="0" w:right="0" w:firstLine="0"/>
              <w:jc w:val="both"/>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注：得分四舍五入保留小数点后2位。</w:t>
            </w:r>
            <w:r/>
          </w:p>
          <w:p>
            <w:pPr>
              <w:ind w:left="0" w:right="0" w:firstLine="0"/>
              <w:jc w:val="both"/>
              <w:spacing w:before="0" w:after="0"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投标人所提供的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ind w:left="0" w:right="0" w:firstLine="0"/>
              <w:jc w:val="both"/>
              <w:spacing w:before="0" w:after="0"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促进本国产品优惠政策：政府采购活动中既有本国产品又有非本国产品参与竞争的，依法对本</w:t>
            </w:r>
            <w:r>
              <w:rPr>
                <w:rFonts w:hint="eastAsia" w:ascii="宋体" w:hAnsi="宋体" w:eastAsia="宋体" w:cs="宋体"/>
                <w:color w:val="auto"/>
                <w:sz w:val="24"/>
                <w:szCs w:val="24"/>
                <w:highlight w:val="none"/>
                <w:lang w:val="en-US" w:eastAsia="zh-CN" w:bidi="ar-SA"/>
              </w:rPr>
              <w:t xml:space="preserve">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该投标人的评审价格=《开标一览表》中的“总价”*（100%-20%）享受价格评审优惠不改变最终中标价格，政府采购合同仍按照中标供应商的报价签订。</w:t>
            </w:r>
            <w:r/>
          </w:p>
        </w:tc>
      </w:tr>
      <w:tr>
        <w:trPr>
          <w:jc w:val="center"/>
          <w:trHeight w:val="1996"/>
        </w:trPr>
        <w:tc>
          <w:tcPr>
            <w:tcW w:w="1366" w:type="dxa"/>
            <w:vAlign w:val="center"/>
            <w:vMerge w:val="restart"/>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资质认证</w:t>
            </w: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5750" w:type="dxa"/>
            <w:vAlign w:val="center"/>
            <w:textDirection w:val="lrTb"/>
            <w:noWrap w:val="false"/>
          </w:tcPr>
          <w:p>
            <w:pPr>
              <w:ind w:left="0" w:right="0" w:firstLine="0"/>
              <w:jc w:val="both"/>
              <w:spacing w:before="0" w:after="0"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投标人具有环境污染治理设施运营服务能力评价证书</w:t>
            </w:r>
            <w:r>
              <w:rPr>
                <w:rFonts w:hint="eastAsia" w:ascii="宋体" w:hAnsi="宋体" w:eastAsia="宋体" w:cs="宋体"/>
                <w:color w:val="auto"/>
                <w:sz w:val="24"/>
                <w:szCs w:val="24"/>
                <w:highlight w:val="none"/>
                <w:lang w:val="en-US" w:eastAsia="zh-CN"/>
              </w:rPr>
              <w:t xml:space="preserve">乙级及以上或</w:t>
            </w:r>
            <w:r>
              <w:rPr>
                <w:rFonts w:hint="eastAsia" w:ascii="宋体" w:hAnsi="宋体" w:eastAsia="宋体" w:cs="宋体"/>
                <w:color w:val="auto"/>
                <w:sz w:val="24"/>
                <w:szCs w:val="24"/>
                <w:highlight w:val="none"/>
              </w:rPr>
              <w:t xml:space="preserve">环境污染治理能力评价证书</w:t>
            </w:r>
            <w:r>
              <w:rPr>
                <w:rFonts w:hint="eastAsia" w:ascii="宋体" w:hAnsi="宋体" w:eastAsia="宋体" w:cs="宋体"/>
                <w:color w:val="auto"/>
                <w:sz w:val="24"/>
                <w:szCs w:val="24"/>
                <w:highlight w:val="none"/>
                <w:lang w:val="en-US" w:eastAsia="zh-CN"/>
              </w:rPr>
              <w:t xml:space="preserve">乙级及以上，每提供一项证书</w:t>
            </w:r>
            <w:r>
              <w:rPr>
                <w:rFonts w:hint="eastAsia" w:ascii="宋体" w:hAnsi="宋体" w:eastAsia="宋体" w:cs="宋体"/>
                <w:color w:val="auto"/>
                <w:sz w:val="24"/>
                <w:szCs w:val="24"/>
                <w:highlight w:val="none"/>
              </w:rPr>
              <w:t xml:space="preserve">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本项最高得2分。</w:t>
            </w:r>
            <w:r/>
          </w:p>
          <w:p>
            <w:pPr>
              <w:ind w:left="0" w:right="0" w:firstLine="0"/>
              <w:jc w:val="both"/>
              <w:spacing w:before="0" w:after="0"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文件中提供证书扫描件并加盖电子签章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不提供或者提供不清晰不全的不得分。</w:t>
            </w:r>
            <w:r/>
          </w:p>
          <w:p>
            <w:pPr>
              <w:jc w:val="both"/>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本项最高得2分，最低得0分。</w:t>
            </w:r>
            <w:r/>
          </w:p>
        </w:tc>
      </w:tr>
      <w:tr>
        <w:trPr>
          <w:jc w:val="center"/>
          <w:trHeight w:val="1996"/>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人员配备</w:t>
            </w: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5750" w:type="dxa"/>
            <w:vAlign w:val="center"/>
            <w:textDirection w:val="lrTb"/>
            <w:noWrap w:val="false"/>
          </w:tcPr>
          <w:p>
            <w:pPr>
              <w:numPr>
                <w:ilvl w:val="0"/>
                <w:numId w:val="0"/>
              </w:num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投标人拟派项目负责人具有环境工程或给排水专业高级职称</w:t>
            </w:r>
            <w:r>
              <w:rPr>
                <w:rFonts w:hint="eastAsia" w:ascii="宋体" w:hAnsi="宋体" w:eastAsia="宋体" w:cs="宋体"/>
                <w:color w:val="auto"/>
                <w:sz w:val="24"/>
                <w:szCs w:val="24"/>
                <w:highlight w:val="none"/>
                <w:lang w:val="en-US" w:eastAsia="zh-CN"/>
              </w:rPr>
              <w:t xml:space="preserve">的，每一个得2分，本项最高得2分。</w:t>
            </w:r>
            <w:r/>
          </w:p>
          <w:p>
            <w:pPr>
              <w:numPr>
                <w:ilvl w:val="0"/>
                <w:numId w:val="0"/>
              </w:num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项目组人员具有环境工程或给排水专业</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职称的，每提供</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个证书得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分；（同一人不得重复加分）。</w:t>
            </w:r>
            <w:r/>
          </w:p>
          <w:p>
            <w:pPr>
              <w:jc w:val="lef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注：投标文件中需提供相应的有效期内人员证书和投标人为其缴纳的满一年的社保证明材料为准，不提供或者提供不清晰不全的不得分。</w:t>
            </w:r>
            <w:r/>
          </w:p>
          <w:p>
            <w:pPr>
              <w:jc w:val="left"/>
              <w:widowControl w:val="off"/>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本项最高得6分，最低得0分。</w:t>
            </w:r>
            <w:r/>
          </w:p>
        </w:tc>
      </w:tr>
      <w:tr>
        <w:trPr>
          <w:jc w:val="center"/>
          <w:trHeight w:val="2256"/>
        </w:trPr>
        <w:tc>
          <w:tcPr>
            <w:tcW w:w="1366" w:type="dxa"/>
            <w:vAlign w:val="center"/>
            <w:vMerge w:val="restart"/>
            <w:textDirection w:val="lrTb"/>
            <w:noWrap w:val="false"/>
          </w:tcPr>
          <w:p>
            <w:pPr>
              <w:jc w:val="center"/>
              <w:spacing w:line="24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部分</w:t>
            </w:r>
            <w:r>
              <w:rPr>
                <w:rFonts w:hint="eastAsia" w:ascii="宋体" w:hAnsi="宋体" w:eastAsia="宋体" w:cs="宋体"/>
                <w:color w:val="auto"/>
                <w:sz w:val="24"/>
                <w:szCs w:val="24"/>
                <w:highlight w:val="none"/>
                <w:lang w:val="zh-CN"/>
              </w:rPr>
              <w:t xml:space="preserve">（</w:t>
            </w:r>
            <w:r>
              <w:rPr>
                <w:rFonts w:hint="eastAsia" w:ascii="宋体" w:hAnsi="宋体" w:eastAsia="仿宋" w:cs="宋体"/>
                <w:color w:val="auto"/>
                <w:sz w:val="24"/>
                <w:szCs w:val="24"/>
                <w:highlight w:val="none"/>
                <w:lang w:val="en-US" w:eastAsia="zh-CN"/>
              </w:rPr>
              <w:t xml:space="preserve">77</w:t>
            </w:r>
            <w:r>
              <w:rPr>
                <w:rFonts w:hint="eastAsia" w:ascii="宋体" w:hAnsi="宋体" w:eastAsia="宋体" w:cs="宋体"/>
                <w:color w:val="auto"/>
                <w:sz w:val="24"/>
                <w:szCs w:val="24"/>
                <w:highlight w:val="none"/>
                <w:lang w:val="zh-CN"/>
              </w:rPr>
              <w:t xml:space="preserve">分）</w:t>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项目设计方案</w:t>
            </w: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rPr>
                <w:rFonts w:hint="eastAsia" w:ascii="宋体" w:hAnsi="宋体" w:eastAsia="宋体" w:cs="宋体"/>
                <w:color w:val="auto"/>
                <w:sz w:val="24"/>
                <w:szCs w:val="24"/>
                <w:highlight w:val="none"/>
                <w:lang w:eastAsia="zh-CN"/>
              </w:rPr>
              <w:t xml:space="preserve">）</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对投标文件中的设计方案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项目情况调查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建设基础资料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勘察</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实施方案等的全面性、合理性、针对性进行评价。</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jc w:val="center"/>
          <w:trHeight w:val="3265"/>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项目技术</w:t>
            </w:r>
            <w:r>
              <w:rPr>
                <w:rFonts w:hint="eastAsia" w:ascii="宋体" w:hAnsi="宋体" w:eastAsia="宋体" w:cs="宋体"/>
                <w:b w:val="0"/>
                <w:bCs w:val="0"/>
                <w:color w:val="auto"/>
                <w:sz w:val="24"/>
                <w:szCs w:val="24"/>
                <w:highlight w:val="none"/>
                <w:lang w:val="en-US" w:eastAsia="zh-CN"/>
              </w:rPr>
              <w:t xml:space="preserve">方案</w:t>
            </w: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rPr>
                <w:rFonts w:hint="eastAsia" w:ascii="宋体" w:hAnsi="宋体" w:eastAsia="宋体" w:cs="宋体"/>
                <w:color w:val="auto"/>
                <w:sz w:val="24"/>
                <w:szCs w:val="24"/>
                <w:highlight w:val="none"/>
                <w:lang w:eastAsia="zh-CN"/>
              </w:rPr>
              <w:t xml:space="preserve">）</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对投标文件中的技术方案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设备选型、工艺以及技术路线等的全面性、合理性、针对性进行评价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jc w:val="center"/>
          <w:trHeight w:val="3679"/>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346" w:type="dxa"/>
            <w:vAlign w:val="center"/>
            <w:textDirection w:val="lrTb"/>
            <w:noWrap w:val="false"/>
          </w:tcPr>
          <w:p>
            <w:pPr>
              <w:ind w:left="0" w:right="0" w:firstLine="0"/>
              <w:jc w:val="center"/>
              <w:spacing w:before="0" w:after="0" w:line="240"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设备配置</w:t>
            </w:r>
            <w:r>
              <w:rPr>
                <w:rFonts w:hint="eastAsia" w:ascii="宋体" w:hAnsi="宋体" w:eastAsia="宋体" w:cs="宋体"/>
                <w:b w:val="0"/>
                <w:bCs w:val="0"/>
                <w:color w:val="auto"/>
                <w:sz w:val="24"/>
                <w:szCs w:val="24"/>
                <w:highlight w:val="none"/>
                <w:lang w:val="en-US" w:eastAsia="zh-CN"/>
              </w:rPr>
              <w:t xml:space="preserve">方案</w:t>
            </w: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0"/>
                <w:highlight w:val="none"/>
                <w:lang w:val="en-US" w:eastAsia="zh-CN" w:bidi="ar-SA"/>
              </w:rPr>
              <w:t xml:space="preserve">（9分）</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对投标文件中的设备配置方案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先进</w:t>
            </w:r>
            <w:r>
              <w:rPr>
                <w:rFonts w:hint="eastAsia" w:ascii="宋体" w:hAnsi="宋体" w:eastAsia="宋体" w:cs="宋体"/>
                <w:color w:val="auto"/>
                <w:sz w:val="24"/>
                <w:szCs w:val="24"/>
                <w:highlight w:val="none"/>
                <w:lang w:val="en-US" w:eastAsia="zh-CN"/>
              </w:rPr>
              <w:t xml:space="preserve">程度、主要工艺设备</w:t>
            </w:r>
            <w:r>
              <w:rPr>
                <w:rFonts w:hint="eastAsia" w:ascii="宋体" w:hAnsi="宋体" w:eastAsia="宋体" w:cs="宋体"/>
                <w:color w:val="auto"/>
                <w:sz w:val="24"/>
                <w:szCs w:val="24"/>
                <w:highlight w:val="none"/>
              </w:rPr>
              <w:t xml:space="preserve">介绍以及设备、管件、建（构）筑物等防腐措施的全面性、合理性、针对性进行评价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both"/>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jc w:val="center"/>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设备运行</w:t>
            </w:r>
            <w:r>
              <w:rPr>
                <w:rFonts w:hint="eastAsia" w:ascii="宋体" w:hAnsi="宋体" w:eastAsia="宋体" w:cs="宋体"/>
                <w:color w:val="auto"/>
                <w:sz w:val="24"/>
                <w:szCs w:val="24"/>
                <w:highlight w:val="none"/>
                <w:lang w:val="en-US" w:eastAsia="zh-CN"/>
              </w:rPr>
              <w:t xml:space="preserve">方案</w:t>
            </w: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对投标文件中的设备运行方案</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p>
        </w:tc>
      </w:tr>
      <w:tr>
        <w:trPr>
          <w:jc w:val="center"/>
          <w:trHeight w:val="3392"/>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设施维护管理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对投标文件中的设施维护管理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工艺设施运行控制,机械及电气设施维护管理</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ind w:left="0" w:right="0" w:firstLine="0"/>
              <w:jc w:val="both"/>
              <w:spacing w:after="57"/>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未提供的不得分。本项最高得8分，最低得0分。</w:t>
            </w:r>
            <w:r/>
          </w:p>
        </w:tc>
      </w:tr>
      <w:tr>
        <w:trPr>
          <w:jc w:val="center"/>
          <w:trHeight w:val="2620"/>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应急措施方案</w:t>
            </w: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（6分）</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对投标文件中的应急措施</w:t>
            </w:r>
            <w:r>
              <w:rPr>
                <w:rFonts w:hint="eastAsia" w:ascii="宋体" w:hAnsi="宋体" w:eastAsia="宋体" w:cs="宋体"/>
                <w:color w:val="auto"/>
                <w:sz w:val="24"/>
                <w:szCs w:val="24"/>
                <w:highlight w:val="none"/>
                <w:lang w:val="en-US" w:eastAsia="zh-CN"/>
              </w:rPr>
              <w:t xml:space="preserve">方案，包括但不限于</w:t>
            </w:r>
            <w:r>
              <w:rPr>
                <w:rFonts w:hint="eastAsia" w:ascii="宋体" w:hAnsi="宋体" w:eastAsia="宋体" w:cs="宋体"/>
                <w:color w:val="auto"/>
                <w:sz w:val="24"/>
                <w:szCs w:val="24"/>
                <w:highlight w:val="none"/>
              </w:rPr>
              <w:t xml:space="preserve">突发、应急事故预案及雨季洪涝保障措施响应</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ind w:right="0"/>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r>
      <w:tr>
        <w:trPr>
          <w:jc w:val="center"/>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安全</w:t>
            </w:r>
            <w:r>
              <w:rPr>
                <w:rFonts w:hint="eastAsia" w:ascii="宋体" w:hAnsi="宋体" w:eastAsia="宋体" w:cs="宋体"/>
                <w:color w:val="auto"/>
                <w:sz w:val="24"/>
                <w:szCs w:val="24"/>
                <w:highlight w:val="none"/>
              </w:rPr>
              <w:t xml:space="preserve">方案(</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lang w:val="en-US" w:eastAsia="zh-CN"/>
              </w:rPr>
              <w:t xml:space="preserve">安全方案，包括但不限于</w:t>
            </w:r>
            <w:r>
              <w:rPr>
                <w:rFonts w:hint="eastAsia" w:ascii="宋体" w:hAnsi="宋体" w:eastAsia="宋体" w:cs="宋体"/>
                <w:color w:val="auto"/>
                <w:sz w:val="24"/>
                <w:szCs w:val="24"/>
                <w:highlight w:val="none"/>
              </w:rPr>
              <w:t xml:space="preserve">污泥监测</w:t>
            </w:r>
            <w:r>
              <w:rPr>
                <w:rFonts w:hint="eastAsia" w:ascii="宋体" w:hAnsi="宋体" w:eastAsia="宋体" w:cs="宋体"/>
                <w:color w:val="auto"/>
                <w:sz w:val="24"/>
                <w:szCs w:val="24"/>
                <w:highlight w:val="none"/>
                <w:lang w:eastAsia="zh-CN"/>
              </w:rPr>
              <w:t xml:space="preserve">、危废处置</w:t>
            </w:r>
            <w:r>
              <w:rPr>
                <w:rFonts w:hint="eastAsia" w:ascii="宋体" w:hAnsi="宋体" w:eastAsia="宋体" w:cs="宋体"/>
                <w:color w:val="auto"/>
                <w:sz w:val="24"/>
                <w:szCs w:val="24"/>
                <w:highlight w:val="none"/>
              </w:rPr>
              <w:t xml:space="preserve">及安全处置</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p>
        </w:tc>
      </w:tr>
      <w:tr>
        <w:trPr>
          <w:jc w:val="center"/>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进度计划方案</w:t>
            </w: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(10分)</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lang w:val="en-US" w:eastAsia="zh-CN"/>
              </w:rPr>
              <w:t xml:space="preserve">进度计划方案，包括但不限于是否</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val="en-US" w:eastAsia="zh-CN"/>
              </w:rPr>
              <w:t xml:space="preserve">以及是</w:t>
            </w:r>
            <w:r>
              <w:rPr>
                <w:rFonts w:hint="eastAsia" w:ascii="宋体" w:hAnsi="宋体" w:eastAsia="宋体" w:cs="宋体"/>
                <w:color w:val="auto"/>
                <w:sz w:val="24"/>
                <w:szCs w:val="24"/>
                <w:highlight w:val="none"/>
              </w:rPr>
              <w:t xml:space="preserve">否具备</w:t>
            </w:r>
            <w:r>
              <w:rPr>
                <w:rFonts w:hint="eastAsia" w:ascii="宋体" w:hAnsi="宋体" w:eastAsia="仿宋"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日历日内完工的条件</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仿宋"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分，最低得0分。</w:t>
            </w:r>
            <w:r/>
          </w:p>
        </w:tc>
      </w:tr>
      <w:tr>
        <w:trPr>
          <w:jc w:val="center"/>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val="en-US" w:eastAsia="zh-CN"/>
              </w:rPr>
              <w:t xml:space="preserve">方案</w:t>
            </w: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(10分)</w:t>
            </w: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对投标文件中的质量保证</w:t>
            </w:r>
            <w:r>
              <w:rPr>
                <w:rFonts w:hint="eastAsia" w:ascii="宋体" w:hAnsi="宋体" w:eastAsia="宋体" w:cs="宋体"/>
                <w:color w:val="auto"/>
                <w:sz w:val="24"/>
                <w:szCs w:val="24"/>
                <w:highlight w:val="none"/>
                <w:lang w:val="en-US" w:eastAsia="zh-CN"/>
              </w:rPr>
              <w:t xml:space="preserve">方案，包括但不限于</w:t>
            </w:r>
            <w:r>
              <w:rPr>
                <w:rFonts w:hint="eastAsia" w:ascii="宋体" w:hAnsi="宋体" w:eastAsia="宋体" w:cs="宋体"/>
                <w:color w:val="auto"/>
                <w:sz w:val="24"/>
                <w:szCs w:val="24"/>
                <w:highlight w:val="none"/>
              </w:rPr>
              <w:t xml:space="preserve">质量保证体系</w:t>
            </w:r>
            <w:r>
              <w:rPr>
                <w:rFonts w:hint="eastAsia" w:ascii="宋体" w:hAnsi="宋体" w:eastAsia="宋体" w:cs="宋体"/>
                <w:color w:val="auto"/>
                <w:sz w:val="24"/>
                <w:szCs w:val="24"/>
                <w:highlight w:val="none"/>
                <w:lang w:val="en-US" w:eastAsia="zh-CN"/>
              </w:rPr>
              <w:t xml:space="preserve">以及措施</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未提供的不得分。本项最高得10分，最低得0分。</w:t>
            </w:r>
            <w:r/>
          </w:p>
        </w:tc>
      </w:tr>
    </w:tbl>
    <w:p>
      <w:pPr>
        <w:jc w:val="both"/>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jc w:val="both"/>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pStyle w:val="810"/>
        <w:numPr>
          <w:ilvl w:val="0"/>
          <w:numId w:val="0"/>
        </w:numPr>
        <w:keepLines w:val="0"/>
        <w:keepNext w:val="0"/>
        <w:pageBreakBefore w:val="0"/>
        <w:spacing w:line="360" w:lineRule="auto"/>
        <w:widowControl w:val="off"/>
        <w:rPr>
          <w:rFonts w:hint="eastAsia" w:ascii="宋体" w:hAnsi="宋体" w:cs="宋体"/>
          <w:color w:val="auto"/>
          <w:sz w:val="24"/>
          <w:szCs w:val="24"/>
        </w:rPr>
        <w:outlineLvl w:val="9"/>
      </w:pPr>
      <w:r>
        <w:rPr>
          <w:rFonts w:hint="eastAsia" w:ascii="宋体" w:hAnsi="宋体" w:eastAsia="宋体" w:cs="宋体"/>
          <w:color w:val="auto"/>
          <w:sz w:val="24"/>
          <w:szCs w:val="24"/>
          <w:lang w:val="zh-CN"/>
        </w:rPr>
        <w:t xml:space="preserve">注：</w:t>
      </w:r>
      <w:r>
        <w:rPr>
          <w:rFonts w:hint="eastAsia" w:ascii="宋体" w:hAnsi="宋体" w:eastAsia="仿宋" w:cs="宋体"/>
          <w:color w:val="auto"/>
          <w:sz w:val="24"/>
          <w:szCs w:val="24"/>
          <w:lang w:val="en-US" w:eastAsia="zh-CN"/>
        </w:rPr>
        <w:t xml:space="preserve">1.</w:t>
      </w:r>
      <w:r>
        <w:rPr>
          <w:rFonts w:hint="eastAsia" w:ascii="宋体" w:hAnsi="宋体" w:eastAsia="宋体" w:cs="宋体"/>
          <w:color w:val="auto"/>
          <w:sz w:val="24"/>
          <w:szCs w:val="24"/>
          <w:lang w:val="zh-CN"/>
        </w:rPr>
        <w:t xml:space="preserve">针对评分标准中评分的每一条，响应人在响应文件中均应提供清晰明了的相关资料并做出相应说明供评委评判，不提供相关资料的视为不具备该项得分的条件。</w:t>
      </w:r>
      <w:r/>
    </w:p>
    <w:p>
      <w:pPr>
        <w:pStyle w:val="810"/>
        <w:numPr>
          <w:ilvl w:val="0"/>
          <w:numId w:val="0"/>
        </w:numPr>
        <w:ind w:firstLine="420"/>
        <w:keepLines w:val="0"/>
        <w:keepNext w:val="0"/>
        <w:pageBreakBefore w:val="0"/>
        <w:spacing w:line="360" w:lineRule="auto"/>
        <w:widowControl w:val="off"/>
        <w:rPr>
          <w:rFonts w:hint="eastAsia" w:ascii="宋体" w:hAnsi="宋体" w:cs="宋体"/>
          <w:color w:val="auto"/>
          <w:sz w:val="24"/>
          <w:szCs w:val="24"/>
        </w:rPr>
        <w:outlineLvl w:val="9"/>
      </w:pPr>
      <w:r>
        <w:rPr>
          <w:rFonts w:hint="eastAsia" w:ascii="宋体" w:hAnsi="宋体" w:eastAsia="仿宋" w:cs="宋体"/>
          <w:color w:val="auto"/>
          <w:sz w:val="24"/>
          <w:szCs w:val="24"/>
          <w:lang w:val="en-US" w:eastAsia="zh-CN"/>
        </w:rPr>
        <w:t xml:space="preserve">2.</w:t>
      </w:r>
      <w:r>
        <w:rPr>
          <w:rFonts w:hint="eastAsia" w:ascii="宋体" w:hAnsi="宋体" w:eastAsia="宋体" w:cs="宋体"/>
          <w:color w:val="auto"/>
          <w:sz w:val="24"/>
          <w:szCs w:val="24"/>
          <w:lang w:val="zh-CN"/>
        </w:rPr>
        <w:t xml:space="preserve">根据《江苏省政府采购信用管理暂行办法》（苏财规[2018]18号）的规定，采购人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766"/>
        <w:ind w:left="0" w:firstLine="420"/>
        <w:rPr>
          <w:rFonts w:hint="eastAsia" w:ascii="宋体" w:hAnsi="宋体" w:cs="宋体"/>
          <w:b/>
          <w:color w:val="auto"/>
          <w:sz w:val="24"/>
          <w:szCs w:val="24"/>
          <w:highlight w:val="none"/>
        </w:rPr>
      </w:pPr>
      <w:r>
        <w:rPr>
          <w:rFonts w:hint="eastAsia" w:ascii="宋体" w:hAnsi="宋体" w:eastAsia="仿宋" w:cs="宋体"/>
          <w:color w:val="auto"/>
          <w:sz w:val="24"/>
          <w:szCs w:val="24"/>
          <w:lang w:val="en-US" w:eastAsia="zh-CN"/>
        </w:rPr>
        <w:t xml:space="preserve">3.</w:t>
      </w:r>
      <w:r>
        <w:rPr>
          <w:rFonts w:hint="eastAsia" w:ascii="宋体" w:hAnsi="宋体" w:eastAsia="宋体" w:cs="宋体"/>
          <w:color w:val="auto"/>
          <w:sz w:val="24"/>
          <w:szCs w:val="24"/>
          <w:lang w:val="zh-CN"/>
        </w:rPr>
        <w:t xml:space="preserve">本项目采用综合评分法。</w:t>
      </w:r>
      <w:r/>
    </w:p>
    <w:p>
      <w:pPr>
        <w:rPr>
          <w:rFonts w:hint="eastAsia" w:ascii="宋体" w:hAnsi="宋体" w:cs="宋体"/>
          <w:b/>
          <w:color w:val="auto"/>
          <w:sz w:val="36"/>
          <w:szCs w:val="40"/>
          <w:highlight w:val="none"/>
        </w:rPr>
      </w:pPr>
      <w:r>
        <w:rPr>
          <w:rFonts w:hint="eastAsia" w:ascii="宋体" w:hAnsi="宋体" w:eastAsia="仿宋" w:cs="宋体"/>
          <w:b/>
          <w:color w:val="auto"/>
          <w:sz w:val="36"/>
          <w:szCs w:val="40"/>
          <w:highlight w:val="none"/>
          <w:lang w:val="en-US" w:eastAsia="zh-CN" w:bidi="ar-SA"/>
        </w:rPr>
        <w:br w:type="page" w:clear="all"/>
      </w:r>
      <w:r/>
    </w:p>
    <w:p>
      <w:pPr>
        <w:rPr>
          <w:rFonts w:hint="eastAsia" w:ascii="宋体" w:hAnsi="宋体" w:cs="宋体"/>
          <w:b/>
          <w:color w:val="auto"/>
          <w:sz w:val="36"/>
          <w:szCs w:val="40"/>
          <w:highlight w:val="none"/>
        </w:rPr>
      </w:pPr>
      <w:r>
        <w:rPr>
          <w:rFonts w:hint="eastAsia" w:ascii="宋体" w:hAnsi="宋体" w:cs="宋体"/>
          <w:b/>
          <w:color w:val="auto"/>
          <w:sz w:val="36"/>
          <w:szCs w:val="40"/>
          <w:highlight w:val="none"/>
        </w:rPr>
      </w:r>
      <w:r/>
    </w:p>
    <w:p>
      <w:pPr>
        <w:pStyle w:val="755"/>
        <w:numPr>
          <w:ilvl w:val="0"/>
          <w:numId w:val="0"/>
        </w:numPr>
        <w:jc w:val="center"/>
        <w:rPr>
          <w:rFonts w:hint="eastAsia" w:ascii="宋体" w:hAnsi="宋体" w:cs="宋体"/>
          <w:color w:val="auto"/>
          <w:highlight w:val="none"/>
        </w:rPr>
      </w:pPr>
      <w:r/>
      <w:bookmarkStart w:id="7" w:name="_Toc8588"/>
      <w:r>
        <w:rPr>
          <w:rFonts w:hint="eastAsia" w:ascii="宋体" w:hAnsi="宋体" w:eastAsia="宋体" w:cs="宋体"/>
          <w:b/>
          <w:color w:val="auto"/>
          <w:sz w:val="36"/>
          <w:szCs w:val="40"/>
          <w:highlight w:val="none"/>
          <w:lang w:val="en-US" w:eastAsia="zh-CN" w:bidi="ar-SA"/>
        </w:rPr>
        <w:t xml:space="preserve">第五章 </w:t>
      </w:r>
      <w:r>
        <w:rPr>
          <w:rFonts w:hint="eastAsia" w:ascii="宋体" w:hAnsi="宋体" w:eastAsia="宋体" w:cs="宋体"/>
          <w:color w:val="auto"/>
          <w:highlight w:val="none"/>
        </w:rPr>
        <w:t xml:space="preserve">拟签订的合同文本</w:t>
      </w:r>
      <w:bookmarkEnd w:id="7"/>
      <w:r/>
      <w:r/>
    </w:p>
    <w:p>
      <w:pPr>
        <w:jc w:val="center"/>
        <w:spacing w:before="120" w:after="120" w:line="360" w:lineRule="auto"/>
        <w:rPr>
          <w:rFonts w:hint="eastAsia" w:ascii="宋体" w:hAnsi="宋体" w:cs="宋体"/>
          <w:b/>
          <w:caps w:val="0"/>
          <w:color w:val="auto"/>
          <w:sz w:val="24"/>
          <w:szCs w:val="24"/>
          <w:highlight w:val="none"/>
        </w:rPr>
      </w:pPr>
      <w:r>
        <w:rPr>
          <w:rFonts w:hint="eastAsia" w:ascii="宋体" w:hAnsi="宋体" w:eastAsia="宋体" w:cs="宋体"/>
          <w:b/>
          <w:caps w:val="0"/>
          <w:color w:val="auto"/>
          <w:sz w:val="24"/>
          <w:szCs w:val="24"/>
          <w:highlight w:val="none"/>
          <w:lang w:val="en-US" w:eastAsia="zh-CN" w:bidi="ar-SA"/>
        </w:rPr>
        <w:t xml:space="preserve">（本合同为合同样板，最终稿由双方协商后确定）</w:t>
      </w:r>
      <w:r/>
    </w:p>
    <w:p>
      <w:pPr>
        <w:jc w:val="center"/>
        <w:spacing w:line="240" w:lineRule="auto"/>
        <w:widowControl w:val="off"/>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240" w:lineRule="auto"/>
        <w:widowControl w:val="off"/>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spacing w:line="24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left"/>
        <w:spacing w:line="24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项目编号：JSZC-320321-JSTQ-G2026-0001</w:t>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丰县分布式污水处理项目(四号沟站点)</w:t>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采购单位（甲方）：</w:t>
      </w:r>
      <w:r>
        <w:rPr>
          <w:rFonts w:hint="eastAsia" w:ascii="宋体" w:hAnsi="宋体" w:eastAsia="宋体" w:cs="宋体"/>
          <w:b/>
          <w:color w:val="auto"/>
          <w:sz w:val="32"/>
          <w:szCs w:val="32"/>
          <w:highlight w:val="none"/>
          <w:lang w:eastAsia="zh-CN"/>
        </w:rPr>
        <w:t xml:space="preserve">丰县水务局</w:t>
      </w:r>
      <w:r/>
    </w:p>
    <w:p>
      <w:pPr>
        <w:ind w:firstLine="630"/>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中标</w:t>
      </w:r>
      <w:r>
        <w:rPr>
          <w:rFonts w:hint="eastAsia" w:ascii="宋体" w:hAnsi="宋体" w:eastAsia="宋体" w:cs="宋体"/>
          <w:b/>
          <w:color w:val="auto"/>
          <w:sz w:val="32"/>
          <w:szCs w:val="32"/>
          <w:highlight w:val="none"/>
          <w:lang w:eastAsia="zh-CN"/>
        </w:rPr>
        <w:t xml:space="preserve">投标人</w:t>
      </w:r>
      <w:r>
        <w:rPr>
          <w:rFonts w:hint="eastAsia" w:ascii="宋体" w:hAnsi="宋体" w:eastAsia="宋体" w:cs="宋体"/>
          <w:b/>
          <w:color w:val="auto"/>
          <w:sz w:val="32"/>
          <w:szCs w:val="32"/>
          <w:highlight w:val="none"/>
        </w:rPr>
        <w:t xml:space="preserve">（乙方）：</w:t>
      </w:r>
      <w:r/>
    </w:p>
    <w:p>
      <w:pPr>
        <w:ind w:firstLine="630"/>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jc w:val="both"/>
        <w:spacing w:line="24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left="0" w:right="0"/>
        <w:jc w:val="left"/>
        <w:spacing w:after="0" w:line="360" w:lineRule="atLeast"/>
        <w:widowControl w:val="off"/>
        <w:rPr>
          <w:rFonts w:hint="eastAsia" w:ascii="宋体" w:hAnsi="宋体" w:cs="宋体"/>
          <w:b/>
          <w:color w:val="auto"/>
          <w:sz w:val="24"/>
          <w:szCs w:val="20"/>
          <w:highlight w:val="none"/>
        </w:rPr>
      </w:pPr>
      <w:r>
        <w:rPr>
          <w:rFonts w:hint="eastAsia" w:ascii="宋体" w:hAnsi="宋体" w:cs="宋体"/>
          <w:b/>
          <w:color w:val="auto"/>
          <w:sz w:val="24"/>
          <w:szCs w:val="20"/>
          <w:highlight w:val="none"/>
        </w:rPr>
      </w:r>
      <w:r/>
    </w:p>
    <w:p>
      <w:pPr>
        <w:ind w:left="0" w:right="0"/>
        <w:jc w:val="left"/>
        <w:spacing w:after="0" w:line="360" w:lineRule="atLeast"/>
        <w:widowControl w:val="off"/>
        <w:rPr>
          <w:rFonts w:hint="eastAsia" w:ascii="宋体" w:hAnsi="宋体" w:cs="宋体"/>
          <w:b/>
          <w:color w:val="auto"/>
          <w:sz w:val="24"/>
          <w:szCs w:val="20"/>
          <w:highlight w:val="none"/>
        </w:rPr>
      </w:pPr>
      <w:r>
        <w:rPr>
          <w:rFonts w:hint="eastAsia" w:ascii="宋体" w:hAnsi="宋体" w:eastAsia="宋体" w:cs="宋体"/>
          <w:b/>
          <w:color w:val="auto"/>
          <w:sz w:val="24"/>
          <w:szCs w:val="20"/>
          <w:highlight w:val="none"/>
          <w:lang w:val="en-US" w:eastAsia="zh-CN" w:bidi="ar-SA"/>
        </w:rPr>
        <w:t xml:space="preserve">友情提醒：采购人与中标、成交投标人应当在中标通知书发出之日起三十日内，按照采购文件确定的事项签订政府采购合同。</w:t>
      </w:r>
      <w:r/>
    </w:p>
    <w:p>
      <w:pPr>
        <w:ind w:left="0" w:right="0"/>
        <w:spacing w:after="0"/>
        <w:rPr>
          <w:rFonts w:hint="eastAsia" w:ascii="宋体" w:hAnsi="宋体" w:cs="宋体"/>
          <w:b/>
          <w:color w:val="auto"/>
          <w:sz w:val="24"/>
          <w:highlight w:val="none"/>
        </w:rP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24"/>
          <w:szCs w:val="20"/>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left"/>
        <w:keepLines w:val="0"/>
        <w:keepNext w:val="0"/>
        <w:pageBreakBefore w:val="0"/>
        <w:spacing w:line="440" w:lineRule="exact"/>
        <w:widowControl w:val="off"/>
        <w:rPr>
          <w:rFonts w:hint="eastAsia" w:ascii="宋体" w:hAnsi="宋体" w:cs="宋体"/>
          <w:color w:val="auto"/>
          <w:sz w:val="24"/>
          <w:szCs w:val="24"/>
        </w:rPr>
      </w:pPr>
      <w:r/>
      <w:bookmarkStart w:id="8" w:name="_Toc493501578"/>
      <w:r>
        <w:rPr>
          <w:rFonts w:hint="eastAsia" w:ascii="宋体" w:hAnsi="宋体" w:eastAsia="宋体" w:cs="宋体"/>
          <w:color w:val="auto"/>
          <w:sz w:val="24"/>
          <w:szCs w:val="24"/>
        </w:rPr>
        <w:t xml:space="preserve">甲方（采购人）：</w:t>
      </w:r>
      <w:r>
        <w:rPr>
          <w:rFonts w:hint="eastAsia" w:ascii="宋体" w:hAnsi="宋体" w:eastAsia="宋体" w:cs="宋体"/>
          <w:color w:val="auto"/>
          <w:sz w:val="24"/>
          <w:szCs w:val="24"/>
          <w:lang w:eastAsia="zh-CN"/>
        </w:rPr>
        <w:t xml:space="preserve">丰县水务局</w:t>
      </w:r>
      <w:r/>
    </w:p>
    <w:p>
      <w:pPr>
        <w:jc w:val="left"/>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w:t>
      </w:r>
      <w:r/>
    </w:p>
    <w:p>
      <w:pPr>
        <w:jc w:val="left"/>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签定日期：年 月 日</w:t>
      </w: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采购预算：  万元                     项目编号：</w:t>
      </w: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采购人社会信用统一代码：</w:t>
      </w: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社会信用统一代码：</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cs="宋体"/>
          <w:color w:val="auto"/>
          <w:sz w:val="24"/>
          <w:szCs w:val="24"/>
        </w:rPr>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根据《中华人民共和国政府采购法》、《中华人民共和国民法典》合同篇等法律法规的规定，为明确采购人和投标人在项目实施过程中的权利、义务和责任，经友好协商，采购人和投标人一致同意按下列条款签订本合同，共同遵守。</w:t>
      </w:r>
      <w:bookmarkEnd w:id="8"/>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2"/>
        </w:rPr>
      </w:pPr>
      <w:r>
        <w:rPr>
          <w:rFonts w:hint="eastAsia" w:ascii="宋体" w:hAnsi="宋体" w:eastAsia="宋体" w:cs="宋体"/>
          <w:b/>
          <w:bCs/>
          <w:color w:val="auto"/>
          <w:sz w:val="24"/>
          <w:szCs w:val="22"/>
          <w:lang w:val="en-US" w:eastAsia="zh-CN" w:bidi="ar-SA"/>
        </w:rPr>
        <w:t xml:space="preserve">采购内容</w:t>
      </w:r>
      <w:r/>
    </w:p>
    <w:p>
      <w:pPr>
        <w:ind w:firstLine="480"/>
        <w:jc w:val="both"/>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1、项目名称（项目编号）：</w:t>
      </w:r>
      <w:r>
        <w:rPr>
          <w:rFonts w:hint="eastAsia" w:ascii="宋体" w:hAnsi="宋体" w:eastAsia="仿宋" w:cs="宋体"/>
          <w:color w:val="auto"/>
          <w:sz w:val="24"/>
          <w:szCs w:val="24"/>
          <w:u w:val="single"/>
        </w:rPr>
        <w:t xml:space="preserve">　　　　　　　　　　　　　　　　　　　　 </w:t>
      </w: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2、采购内容：货物或服务名称、规格、型号、数量、价格</w:t>
      </w: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3、服务范围：</w:t>
      </w:r>
      <w:r>
        <w:rPr>
          <w:rFonts w:hint="eastAsia" w:ascii="宋体" w:hAnsi="宋体" w:eastAsia="仿宋" w:cs="宋体"/>
          <w:color w:val="auto"/>
          <w:sz w:val="24"/>
          <w:szCs w:val="24"/>
          <w:u w:val="single"/>
        </w:rPr>
        <w:t xml:space="preserve">　　　　　　　　　　　　　　　　　　　　　　　　　　</w:t>
      </w: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4、服务期限：</w:t>
      </w:r>
      <w:r>
        <w:rPr>
          <w:rFonts w:hint="eastAsia" w:ascii="宋体" w:hAnsi="宋体" w:eastAsia="仿宋" w:cs="宋体"/>
          <w:color w:val="auto"/>
          <w:sz w:val="24"/>
          <w:szCs w:val="24"/>
          <w:u w:val="single"/>
        </w:rPr>
        <w:t xml:space="preserve">　　　　　　　　　　　　　　　　　　　　　　　　　　</w:t>
      </w:r>
      <w:r/>
    </w:p>
    <w:p>
      <w:pPr>
        <w:ind w:firstLine="480"/>
        <w:jc w:val="both"/>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5、其他：</w:t>
      </w:r>
      <w:r>
        <w:rPr>
          <w:rFonts w:hint="eastAsia" w:ascii="宋体" w:hAnsi="宋体" w:eastAsia="仿宋" w:cs="宋体"/>
          <w:color w:val="auto"/>
          <w:sz w:val="24"/>
          <w:szCs w:val="24"/>
          <w:u w:val="single"/>
        </w:rPr>
        <w:t xml:space="preserve">　　　　　　　　　　　　　　　　　　　　　　　　　　　　</w:t>
      </w:r>
      <w:r/>
    </w:p>
    <w:tbl>
      <w:tblPr>
        <w:tblStyle w:val="765"/>
        <w:tblW w:w="8832" w:type="dxa"/>
        <w:jc w:val="center"/>
        <w:tblLayout w:type="fixed"/>
        <w:tblCellMar>
          <w:left w:w="108" w:type="dxa"/>
          <w:top w:w="0" w:type="dxa"/>
          <w:right w:w="108" w:type="dxa"/>
          <w:bottom w:w="0" w:type="dxa"/>
        </w:tblCellMar>
        <w:tblLook w:val="04A0" w:firstRow="1" w:lastRow="0" w:firstColumn="1" w:lastColumn="0" w:noHBand="0" w:noVBand="1"/>
      </w:tblPr>
      <w:tblGrid>
        <w:gridCol w:w="8832"/>
      </w:tblGrid>
      <w:tr>
        <w:trPr>
          <w:jc w:val="center"/>
        </w:trPr>
        <w:tc>
          <w:tcPr>
            <w:tcBorders>
              <w:top w:val="none" w:color="000000" w:sz="4" w:space="0"/>
              <w:left w:val="none" w:color="000000" w:sz="4" w:space="0"/>
              <w:bottom w:val="none" w:color="000000" w:sz="4" w:space="0"/>
              <w:right w:val="none" w:color="000000" w:sz="4" w:space="0"/>
            </w:tcBorders>
            <w:tcW w:w="8832" w:type="dxa"/>
            <w:vAlign w:val="top"/>
            <w:textDirection w:val="lrTb"/>
            <w:noWrap w:val="false"/>
          </w:tcPr>
          <w:p>
            <w:pPr>
              <w:numPr>
                <w:ilvl w:val="0"/>
                <w:numId w:val="3"/>
              </w:numPr>
              <w:ind w:firstLine="480"/>
              <w:jc w:val="both"/>
              <w:keepLines w:val="0"/>
              <w:keepNext w:val="0"/>
              <w:pageBreakBefore w:val="0"/>
              <w:spacing w:after="0" w:line="440" w:lineRule="exact"/>
              <w:widowControl/>
              <w:tabs>
                <w:tab w:val="left" w:pos="420" w:leader="none"/>
              </w:tabs>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水质提升以采购服务方式进行，按吨水支付费用。本合同项下服务单价为</w:t>
            </w:r>
            <w:r>
              <w:rPr>
                <w:rFonts w:hint="eastAsia" w:ascii="宋体" w:hAnsi="宋体" w:eastAsia="宋体" w:cs="宋体"/>
                <w:color w:val="auto"/>
                <w:sz w:val="24"/>
                <w:szCs w:val="24"/>
                <w:u w:val="single"/>
                <w:lang w:val="en-US" w:eastAsia="zh-CN" w:bidi="ar-SA"/>
              </w:rPr>
              <w:t xml:space="preserve">**** 元/吨</w:t>
            </w:r>
            <w:r>
              <w:rPr>
                <w:rFonts w:hint="eastAsia" w:ascii="宋体" w:hAnsi="宋体" w:eastAsia="宋体" w:cs="宋体"/>
                <w:color w:val="auto"/>
                <w:sz w:val="24"/>
                <w:szCs w:val="24"/>
                <w:lang w:val="en-US" w:eastAsia="zh-CN" w:bidi="ar-SA"/>
              </w:rPr>
              <w:t xml:space="preserve">（大写）人民币。</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lang w:val="en-US" w:eastAsia="zh-CN" w:bidi="ar-SA"/>
              </w:rPr>
              <w:t xml:space="preserve">投标人提供水质提升服务价格应包含水质净化设施全部设备、出水在线监测设备（溶解氧、COD、氨氮、总磷、SS、流量计）中控、</w:t>
            </w:r>
            <w:r>
              <w:rPr>
                <w:rFonts w:hint="eastAsia" w:ascii="宋体" w:hAnsi="宋体" w:eastAsia="宋体" w:cs="宋体"/>
                <w:color w:val="auto"/>
                <w:sz w:val="24"/>
                <w:szCs w:val="24"/>
                <w:lang w:val="en-US" w:eastAsia="zh-CN" w:bidi="ar-SA"/>
              </w:rPr>
              <w:t xml:space="preserve">在线数据远程接入、人员工资及社保（包括人员的食宿费等一切费用）、税金、用水用电、污泥处置、第三方水质检测费等为保证工艺设备正常运行并达到出水水质地表水环境质量标准（GB3838-2002）准Ⅳ类水标准的处理效果所采取的相应措施等所有费用。</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2、处理设施安装完毕后，进入运行调试期，在设备系统调试出水稳定达标后，正式进入运维期，运维期3年。运行调试期内对出水水质没有具体要求。</w:t>
            </w:r>
            <w:r/>
          </w:p>
          <w:p>
            <w:pPr>
              <w:ind w:firstLine="480"/>
              <w:jc w:val="both"/>
              <w:keepLines w:val="0"/>
              <w:keepNext w:val="0"/>
              <w:pageBreakBefore w:val="0"/>
              <w:spacing w:after="0" w:line="440" w:lineRule="exact"/>
              <w:widowControl/>
              <w:rPr>
                <w:rFonts w:hint="eastAsia" w:ascii="宋体" w:hAnsi="宋体" w:cs="宋体"/>
                <w:color w:val="auto"/>
                <w:sz w:val="24"/>
                <w:szCs w:val="24"/>
                <w:u w:val="single"/>
              </w:rPr>
            </w:pPr>
            <w:r>
              <w:rPr>
                <w:rFonts w:hint="eastAsia" w:ascii="宋体" w:hAnsi="宋体" w:eastAsia="宋体" w:cs="宋体"/>
                <w:color w:val="auto"/>
                <w:sz w:val="24"/>
                <w:szCs w:val="24"/>
                <w:lang w:val="en-US" w:eastAsia="zh-CN" w:bidi="ar-SA"/>
              </w:rPr>
              <w:t xml:space="preserve">1）在正式运维期内，</w:t>
            </w:r>
            <w:r>
              <w:rPr>
                <w:rFonts w:hint="eastAsia" w:ascii="宋体" w:hAnsi="宋体" w:eastAsia="宋体" w:cs="宋体"/>
                <w:color w:val="auto"/>
                <w:sz w:val="24"/>
                <w:szCs w:val="24"/>
                <w:u w:val="single"/>
                <w:lang w:val="en-US" w:eastAsia="zh-CN" w:bidi="ar-SA"/>
              </w:rPr>
              <w:t xml:space="preserve">由采购人按季度向投标人支付款项，投标人开具等额增值税专用发票。每季度第一个月5日前，投标人汇总上个季度报表上报采购人，采购人在当月月底前付清上个季度款项。</w:t>
            </w: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bidi="ar-SA"/>
              </w:rPr>
              <w:t xml:space="preserve">购买服务费用=（吨水单价×本季度合格出水量）-考核扣款。双方约定保底水量为合同约定水量的80%，服务期内非投标人原因，当每天处理水量不足保底水量时，以保底水量计算；当处理水量超过合同约定水量，超出10%以内部分据实结算，超出10%部分不予结算。如甲方书面另行安排增加进水量，超出按实结算。</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3、设施年运行天数按照365天计算。</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4、本合同水质净化服务所用净水设施进水水质按采购需求规定水质进行设计考虑，运营期内如进水水质条件发生以下变化。</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（1）实际进水水质超过合同约定的进水水质，为保证出水水质达标，可能导致净水设施降低处理水量运行，如不足保底水量，应视为非投标人原因导致，采购人应按保底水量支付服务费；</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（2）进水水质远低于合同约定的进水水质，因净水设施投入、人员投入等均已按合同约定进水水质进行投入，投标人服务单价不做调整。</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5、非投标人原因造成设备停运达到60天或未达到合同约定服务期终止服务的，采购人需支付剩余设备费用给投标人，应按以下公式计算结果向投标人支付剩余设备费用。</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剩余设备费用=合同总价-已支付服务费用-（3年×365天/年-已运维天数）×合同约定处理水量×直接运维成本。</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其中，</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合同总价=服务单价×合同约定处理水量×运维期×365天/年；</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6、运维期满后，如采购人需要继续服务，服务单价双方另行商议，重新签订合同。</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时间期限要求 </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本合同期限为：</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strike w:val="0"/>
                <w:color w:val="auto"/>
                <w:sz w:val="24"/>
                <w:szCs w:val="24"/>
                <w:highlight w:val="none"/>
                <w:lang w:val="en-US" w:eastAsia="zh-CN" w:bidi="ar-SA"/>
              </w:rPr>
              <w:t xml:space="preserve">土建完成交付</w:t>
            </w:r>
            <w:r>
              <w:rPr>
                <w:rFonts w:hint="eastAsia" w:ascii="宋体" w:hAnsi="宋体" w:eastAsia="宋体" w:cs="宋体"/>
                <w:strike w:val="0"/>
                <w:color w:val="auto"/>
                <w:sz w:val="24"/>
                <w:szCs w:val="24"/>
                <w:highlight w:val="none"/>
                <w:lang w:val="en-US" w:eastAsia="zh-Hans" w:bidi="ar-SA"/>
              </w:rPr>
              <w:t xml:space="preserve">后</w:t>
            </w:r>
            <w:r>
              <w:rPr>
                <w:rFonts w:hint="eastAsia" w:ascii="宋体" w:hAnsi="宋体" w:eastAsia="仿宋" w:cs="宋体"/>
                <w:strike w:val="0"/>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个</w:t>
            </w:r>
            <w:r>
              <w:rPr>
                <w:rFonts w:hint="eastAsia" w:ascii="宋体" w:hAnsi="宋体" w:eastAsia="宋体" w:cs="宋体"/>
                <w:color w:val="auto"/>
                <w:sz w:val="24"/>
                <w:szCs w:val="24"/>
                <w:lang w:val="en-US" w:eastAsia="zh-CN" w:bidi="ar-SA"/>
              </w:rPr>
              <w:t xml:space="preserve">日历日内完成设备安装并通水，运行调试期不超过7个日历日；</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2、运维服务期为3年</w:t>
            </w:r>
            <w:r>
              <w:rPr>
                <w:rFonts w:hint="eastAsia" w:ascii="宋体" w:hAnsi="宋体" w:eastAsia="宋体" w:cs="宋体"/>
                <w:b/>
                <w:color w:val="auto"/>
                <w:sz w:val="24"/>
                <w:szCs w:val="24"/>
                <w:lang w:val="en-US" w:eastAsia="zh-CN" w:bidi="ar-SA"/>
              </w:rPr>
              <w:t xml:space="preserve">（自运行调试期结束，出水达标并通过验收次日起算）</w:t>
            </w:r>
            <w:r>
              <w:rPr>
                <w:rFonts w:hint="eastAsia" w:ascii="宋体" w:hAnsi="宋体" w:eastAsia="宋体" w:cs="宋体"/>
                <w:color w:val="auto"/>
                <w:sz w:val="24"/>
                <w:szCs w:val="24"/>
                <w:lang w:val="en-US" w:eastAsia="zh-CN" w:bidi="ar-SA"/>
              </w:rPr>
              <w:t xml:space="preserve">。</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组成本合同的有关文件 </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以下文件是本合同不可分割的组成部分，与本合同具有同等法律效力，这些文件包括但不限于：</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（1）双方商定的其他文件。经甲乙双方协商签订的补充协议，与本合同具有同等法律效力。</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 采购人责任</w:t>
            </w:r>
            <w:r/>
          </w:p>
          <w:p>
            <w:pPr>
              <w:numPr>
                <w:ilvl w:val="0"/>
                <w:numId w:val="0"/>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负责后续运行的出水水量、排水口水质指标考核，按合同约定方式向投标人支付足额服务费；</w:t>
            </w:r>
            <w:r/>
          </w:p>
          <w:p>
            <w:pPr>
              <w:numPr>
                <w:ilvl w:val="0"/>
                <w:numId w:val="0"/>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法规、政策规定由采购人承担的其他责任。</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投标人责任</w:t>
            </w:r>
            <w:r/>
          </w:p>
          <w:p>
            <w:pPr>
              <w:numPr>
                <w:ilvl w:val="0"/>
                <w:numId w:val="4"/>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投标人负责提供1座完整的用于水质净化服务的净水站设施，并按合同期限要求负责设施内部所有设备安装施工，按期完成设施调试，保证出水水质达到合同约定指标；</w:t>
            </w:r>
            <w:r/>
          </w:p>
          <w:p>
            <w:pPr>
              <w:numPr>
                <w:ilvl w:val="0"/>
                <w:numId w:val="4"/>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现场</w:t>
            </w:r>
            <w:r>
              <w:rPr>
                <w:rFonts w:hint="eastAsia" w:ascii="宋体" w:hAnsi="宋体" w:eastAsia="宋体" w:cs="宋体"/>
                <w:b w:val="0"/>
                <w:bCs w:val="0"/>
                <w:color w:val="auto"/>
                <w:sz w:val="24"/>
                <w:szCs w:val="24"/>
                <w:lang w:val="en-US" w:eastAsia="zh-CN" w:bidi="ar-SA"/>
              </w:rPr>
              <w:t xml:space="preserve">开工条件（地面附着物清理）及施工外围地方关系协调</w:t>
            </w:r>
            <w:r>
              <w:rPr>
                <w:rFonts w:hint="eastAsia" w:ascii="宋体" w:hAnsi="宋体" w:cs="宋体"/>
                <w:b w:val="0"/>
                <w:bCs w:val="0"/>
                <w:color w:val="auto"/>
                <w:sz w:val="24"/>
                <w:szCs w:val="24"/>
                <w:lang w:val="en-US" w:eastAsia="zh-CN" w:bidi="ar-SA"/>
              </w:rPr>
              <w:t xml:space="preserve">由投标人自行解决；</w:t>
            </w:r>
            <w:r/>
          </w:p>
          <w:p>
            <w:pPr>
              <w:numPr>
                <w:ilvl w:val="0"/>
                <w:numId w:val="4"/>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投标人负责</w:t>
            </w:r>
            <w:r>
              <w:rPr>
                <w:rFonts w:hint="eastAsia" w:ascii="宋体" w:hAnsi="宋体" w:eastAsia="宋体" w:cs="宋体"/>
                <w:b w:val="0"/>
                <w:bCs w:val="0"/>
                <w:color w:val="auto"/>
                <w:sz w:val="24"/>
                <w:szCs w:val="24"/>
                <w:lang w:val="en-US" w:eastAsia="zh-CN" w:bidi="ar-SA"/>
              </w:rPr>
              <w:t xml:space="preserve">设施建设所需的土建工程施工，包括但不限于设备基础、地面硬化、站区与外部道路连接</w:t>
            </w:r>
            <w:r>
              <w:rPr>
                <w:rFonts w:hint="eastAsia" w:ascii="宋体" w:hAnsi="宋体" w:cs="宋体"/>
                <w:b w:val="0"/>
                <w:bCs w:val="0"/>
                <w:color w:val="auto"/>
                <w:sz w:val="24"/>
                <w:szCs w:val="24"/>
                <w:lang w:val="en-US" w:eastAsia="zh-CN" w:bidi="ar-SA"/>
              </w:rPr>
              <w:t xml:space="preserve">；</w:t>
            </w:r>
            <w:r/>
          </w:p>
          <w:p>
            <w:pPr>
              <w:numPr>
                <w:ilvl w:val="0"/>
                <w:numId w:val="4"/>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投标人负责</w:t>
            </w:r>
            <w:r>
              <w:rPr>
                <w:rFonts w:hint="eastAsia" w:ascii="宋体" w:hAnsi="宋体" w:eastAsia="宋体" w:cs="宋体"/>
                <w:b w:val="0"/>
                <w:bCs w:val="0"/>
                <w:color w:val="auto"/>
                <w:sz w:val="24"/>
                <w:szCs w:val="24"/>
                <w:highlight w:val="none"/>
                <w:lang w:val="en-US" w:eastAsia="zh-CN" w:bidi="ar-SA"/>
              </w:rPr>
              <w:t xml:space="preserve">取水设施及管线、排水管线施工，与</w:t>
            </w:r>
            <w:r>
              <w:rPr>
                <w:rFonts w:hint="eastAsia" w:ascii="宋体" w:hAnsi="宋体" w:cs="宋体"/>
                <w:b w:val="0"/>
                <w:bCs w:val="0"/>
                <w:color w:val="auto"/>
                <w:sz w:val="24"/>
                <w:szCs w:val="24"/>
                <w:highlight w:val="none"/>
                <w:lang w:val="en-US" w:eastAsia="zh-CN" w:bidi="ar-SA"/>
              </w:rPr>
              <w:t xml:space="preserve">现场</w:t>
            </w:r>
            <w:r>
              <w:rPr>
                <w:rFonts w:hint="eastAsia" w:ascii="宋体" w:hAnsi="宋体" w:eastAsia="宋体" w:cs="宋体"/>
                <w:b w:val="0"/>
                <w:bCs w:val="0"/>
                <w:color w:val="auto"/>
                <w:sz w:val="24"/>
                <w:szCs w:val="24"/>
                <w:highlight w:val="none"/>
                <w:lang w:val="en-US" w:eastAsia="zh-CN" w:bidi="ar-SA"/>
              </w:rPr>
              <w:t xml:space="preserve">工作范围分界为站区外1m处；</w:t>
            </w:r>
            <w:r/>
          </w:p>
          <w:p>
            <w:pPr>
              <w:numPr>
                <w:ilvl w:val="0"/>
                <w:numId w:val="4"/>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投标人</w:t>
            </w:r>
            <w:r>
              <w:rPr>
                <w:rFonts w:hint="eastAsia" w:ascii="宋体" w:hAnsi="宋体" w:eastAsia="宋体" w:cs="宋体"/>
                <w:b w:val="0"/>
                <w:bCs w:val="0"/>
                <w:color w:val="auto"/>
                <w:sz w:val="24"/>
                <w:szCs w:val="24"/>
                <w:lang w:val="en-US" w:eastAsia="zh-CN" w:bidi="ar-SA"/>
              </w:rPr>
              <w:t xml:space="preserve">负责办理用电手续，将设施运行所需电源电缆敷设至投标人电源柜进线端子，相关费用均由投标人承担</w:t>
            </w:r>
            <w:r>
              <w:rPr>
                <w:rFonts w:hint="eastAsia" w:ascii="宋体" w:hAnsi="宋体" w:cs="宋体"/>
                <w:b w:val="0"/>
                <w:bCs w:val="0"/>
                <w:color w:val="auto"/>
                <w:sz w:val="24"/>
                <w:szCs w:val="24"/>
                <w:lang w:val="en-US" w:eastAsia="zh-CN" w:bidi="ar-SA"/>
              </w:rPr>
              <w:t xml:space="preserve">；</w:t>
            </w:r>
            <w:r/>
          </w:p>
          <w:p>
            <w:pPr>
              <w:numPr>
                <w:ilvl w:val="0"/>
                <w:numId w:val="4"/>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提供水质净化处理服务，并保证达到合同要求；</w:t>
            </w:r>
            <w:r/>
          </w:p>
          <w:p>
            <w:pPr>
              <w:numPr>
                <w:ilvl w:val="0"/>
                <w:numId w:val="4"/>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每月向采购人提供一份有资质的第三方检测机构出具的水质检测报告（检测费用由投标人承担）；</w:t>
            </w:r>
            <w:bookmarkStart w:id="13" w:name="_GoBack"/>
            <w:r/>
            <w:bookmarkEnd w:id="13"/>
            <w:r/>
            <w:r/>
          </w:p>
          <w:p>
            <w:pPr>
              <w:numPr>
                <w:ilvl w:val="0"/>
                <w:numId w:val="4"/>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每月5日，投标人应汇总上个月的报表上报采购人。报表内容包含但不限于以下数据：（1）上月流量仪起止读数；（2）每日出水量、月累计出水量；（3）每日水质自检数据。</w:t>
            </w:r>
            <w:r/>
          </w:p>
          <w:p>
            <w:pPr>
              <w:numPr>
                <w:ilvl w:val="0"/>
                <w:numId w:val="4"/>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投标人驻站点及施工的所有人员的行为及人身安全均由投标人负责。工作过程中发生的人身伤亡事故、财产损失、设备事故或其它侵害事件，均由投标人自行承担法律责任，与采购人无关。</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61659"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6" o:title=""/>
                    </v:shape>
                  </w:pict>
                </mc:Fallback>
              </mc:AlternateConten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质量保证</w:t>
            </w:r>
            <w:r/>
          </w:p>
          <w:p>
            <w:pPr>
              <w:ind w:firstLine="480"/>
              <w:jc w:val="left"/>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1、投标人所提供服务的技术规格应与合同要求相一致。</w:t>
            </w:r>
            <w:r/>
          </w:p>
          <w:p>
            <w:pPr>
              <w:ind w:firstLine="480"/>
              <w:jc w:val="left"/>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2、投标人所提供的设备设施应质量稳定运行可靠，满足安全环保要求，应满足至少安全稳定运行3年的运行周期，3年运行周期内设备的维修和更换由投标人承担。</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合同款支付</w:t>
            </w:r>
            <w:r/>
          </w:p>
          <w:p>
            <w:pPr>
              <w:numPr>
                <w:ilvl w:val="0"/>
                <w:numId w:val="5"/>
              </w:num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本合同项下资金结算公式为：本季度水质净化处理服务费=（吨水单价×本季度合格出水量）-考核扣款。</w:t>
            </w:r>
            <w:r/>
          </w:p>
          <w:p>
            <w:pPr>
              <w:ind w:firstLine="42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Hans"/>
              </w:rPr>
              <w:t xml:space="preserve">个季度第一个</w:t>
            </w:r>
            <w:r>
              <w:rPr>
                <w:rFonts w:hint="eastAsia" w:ascii="宋体" w:hAnsi="宋体" w:eastAsia="宋体" w:cs="宋体"/>
                <w:color w:val="auto"/>
                <w:sz w:val="24"/>
                <w:szCs w:val="24"/>
                <w:highlight w:val="none"/>
              </w:rPr>
              <w:t xml:space="preserve">月5日</w:t>
            </w:r>
            <w:r>
              <w:rPr>
                <w:rFonts w:hint="eastAsia" w:ascii="宋体" w:hAnsi="宋体" w:eastAsia="宋体" w:cs="宋体"/>
                <w:color w:val="auto"/>
                <w:sz w:val="24"/>
                <w:szCs w:val="24"/>
                <w:highlight w:val="none"/>
                <w:lang w:val="en-US" w:eastAsia="zh-Hans"/>
              </w:rPr>
              <w:t xml:space="preserve">前</w:t>
            </w:r>
            <w:r>
              <w:rPr>
                <w:rFonts w:hint="eastAsia" w:ascii="宋体" w:hAnsi="宋体" w:eastAsia="宋体" w:cs="宋体"/>
                <w:color w:val="auto"/>
                <w:sz w:val="24"/>
                <w:szCs w:val="24"/>
                <w:highlight w:val="none"/>
              </w:rPr>
              <w:t xml:space="preserve">，投标人汇总上个</w:t>
            </w:r>
            <w:r>
              <w:rPr>
                <w:rFonts w:hint="eastAsia" w:ascii="宋体" w:hAnsi="宋体" w:eastAsia="宋体" w:cs="宋体"/>
                <w:color w:val="auto"/>
                <w:sz w:val="24"/>
                <w:szCs w:val="24"/>
                <w:highlight w:val="none"/>
                <w:lang w:val="en-US" w:eastAsia="zh-Hans"/>
              </w:rPr>
              <w:t xml:space="preserve">季度</w:t>
            </w:r>
            <w:r>
              <w:rPr>
                <w:rFonts w:hint="eastAsia" w:ascii="宋体" w:hAnsi="宋体" w:eastAsia="宋体" w:cs="宋体"/>
                <w:color w:val="auto"/>
                <w:sz w:val="24"/>
                <w:szCs w:val="24"/>
                <w:highlight w:val="none"/>
              </w:rPr>
              <w:t xml:space="preserve">报表上报采购人，采购人在当月月底</w:t>
            </w:r>
            <w:r>
              <w:rPr>
                <w:rFonts w:hint="eastAsia" w:ascii="宋体" w:hAnsi="宋体" w:eastAsia="宋体" w:cs="宋体"/>
                <w:color w:val="auto"/>
                <w:sz w:val="24"/>
                <w:szCs w:val="24"/>
                <w:highlight w:val="none"/>
                <w:lang w:val="en-US" w:eastAsia="zh-Hans"/>
              </w:rPr>
              <w:t xml:space="preserve">前付清上个季度款项，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Hans"/>
              </w:rPr>
              <w:t xml:space="preserve">开具等额增值税专用发票。</w:t>
            </w: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Hans" w:bidi="ar-SA"/>
              </w:rPr>
              <w:t xml:space="preserve">2、</w:t>
            </w:r>
            <w:r>
              <w:rPr>
                <w:rFonts w:hint="eastAsia" w:ascii="宋体" w:hAnsi="宋体" w:eastAsia="宋体" w:cs="宋体"/>
                <w:color w:val="auto"/>
                <w:sz w:val="24"/>
                <w:szCs w:val="24"/>
                <w:highlight w:val="none"/>
                <w:lang w:val="en-US" w:eastAsia="zh-CN" w:bidi="ar-SA"/>
              </w:rPr>
              <w:t xml:space="preserve">购买服务费用=（吨水单价×本季度合格出水量）-考核扣款。双方约定保底水量为合同约定水量的80%，服务期内非投标人原因，当每天处理水量不足保底水量时，以保底水量计算；当处理水量超过合同约定水量，超出10%以内部分据实结算，超出10%部分不予结算。如甲方书面另行安排增加进水量，超出按实结算，因投标人原因，不能按照合同约定量处理时，按实结算。</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3、付款方式：电汇。 </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 违约责任</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1、投标人按合同约定的时间和质量标准提供服务，而采购人逾期支付服务费用的，每逾期一日，按合同结算总价的 0.1%承担违约金。但累计滞纳金总额不超过欠款总额的 5%。采购人除须支付以上违约金外，还应按银行同期贷款利率支付延迟付款期间利息。 </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2、投标人未按合同约定的时间和质量标准提供服务，如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长时间不能满足合同约定处理量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但未给采购人造成损失的或影响的，采购人可要求投标人整改，投标人在双方协定期限内达到采购人或第三方评估机构认定的质量标准后，采购人应支付相应的服务费用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长期不整改的，甲方有权解除合同</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3、投标人未能在合同规定时间内或约定的期限施工完毕具备使用条件的，则要承担违约责任，每逾期一天，投标人按照2万元/天支付给采购人作为补偿。</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rPr>
              <w:t xml:space="preserve">4、如果投标人所提供的水质净化服务的验收指标达不到双方约定要求的，投标人有义务对项目工程进行整改（整改周期为1个月内），整改后仍无法满足全部要求或主要设备存在重大问题的，采购</w:t>
            </w:r>
            <w:r>
              <w:rPr>
                <w:rFonts w:hint="eastAsia" w:ascii="宋体" w:hAnsi="宋体" w:eastAsia="宋体" w:cs="宋体"/>
                <w:color w:val="auto"/>
                <w:sz w:val="24"/>
                <w:szCs w:val="24"/>
              </w:rPr>
              <w:t xml:space="preserve">人有权解除合同，投标人应在15日内撤出场地，所有损失由投标人承担。</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5、非投标人原因造成设备停运达到60天或未达到合同约定服务期终止服务的，采购人需支付剩余设备费用给投标人，剩余设备费用公式如下：</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剩余设备费用=合同总价-已支付服务费用-（3年×365天/年-已运维天数）×合同约定处理水量×直接运维成本。</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其中，</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合同总价=服务单价×合同约定处理水量×运维期×365天/年；</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不可抗力事件处理</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1、在执行合同期限内，任何一方因不可抗力事件所致不能履行合同，则合同履行期可延长，其延长期与不可抗力影响期相同。</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2、不可抗力事件发生后，应立即通知对方，并寄送有关权威机关出具的证明。</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3、不可抗力事件延续 120 天以上，双方应就合同解除或继续履行事宜进行协商确定。</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4、以上不可抗力的界定按照国家相关法律法规执行。</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5、双方约定的视为不可抗力事件处理的其它情形如下：导致本工程无法施工的地震、瘟疫、骚 乱、戒严、暴动、战争。</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合同的变更和终止</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1、本合同一经签订，投标人与采购人双方不得擅自变更、中止或终止合同。</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2、除发生法律规定的不能预见、不能避免并不能克服的客观情况外，投标人与采购人双方不得放弃或拒绝履行合同。投标人放弃或拒绝履行合同，保证金不予退还。</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合同的转让 </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投标人不得擅自部分或全部转让其应履行的合同义务。</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争议的解决</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1、因服务的质量问题发生争议的，应当邀请国家认可的质量检测机构对服务质量进行鉴定。符合标准的，鉴定费由采购人承担；不符合质量标准的，鉴定费由投标人承担。</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2、因履行本合同引起的或与本合同有关的争议，投标人与采购人双方应首先通过友好协商解决，如果协商不能解决争议，则采取以下第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种方式解决争议：</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（1）向投标人所在地有管辖权的人民法院提起诉讼；</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（2）向采购人所在地有管辖权的人民法院提起诉讼；</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（3）向采购人所在地仲裁委员会按其仲裁规则申请仲裁。</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其他</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1、投标人产品发生知识产权侵权事件的，由投标人承担侵权责任，如给采购人造成损失，则投标人应予以赔偿。</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如采购人所在地方管税机关在税务检查中发现投标人在开据给采购人的发票有虚开、代开假发票等违反税务规定的行为，给采购人造成进项税额转出和补交滞纳金、罚款等经济损失的，一律由投标人承担损失责任。</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rPr>
              <w:t xml:space="preserve">3、采购人和投标人未经对方书面许可，不能把本合同规定的责任、义务转让给任何第三方，否则采购人有权解除合同并依法追究相关责任。</w:t>
            </w:r>
            <w:r>
              <w:rPr>
                <w:rFonts w:hint="eastAsia" w:ascii="宋体" w:hAnsi="宋体" w:eastAsia="宋体" w:cs="宋体"/>
                <w:color w:val="auto"/>
                <w:sz w:val="24"/>
                <w:szCs w:val="24"/>
              </w:rPr>
              <w:t xml:space="preserve">本合同如需修改或补充时，必须由双方授权代表签署书面补充文件加盖合同章或公章后方可生效，并成为本合同不可分割的部分。</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合同生效及其他</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1、本合同自签订之日起生效。</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份，投标人与采购人双方各执贰份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采购机构备案壹份</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bl>
            <w:tblPr>
              <w:tblStyle w:val="765"/>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308"/>
              <w:gridCol w:w="4308"/>
            </w:tblGrid>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lang w:val="zh-CN"/>
                    </w:rPr>
                    <w:t xml:space="preserve">：（盖章）</w:t>
                  </w:r>
                  <w:r>
                    <w:rPr>
                      <w:rFonts w:hint="eastAsia" w:ascii="宋体" w:hAnsi="宋体" w:eastAsia="仿宋" w:cs="宋体"/>
                      <w:color w:val="auto"/>
                      <w:sz w:val="24"/>
                      <w:szCs w:val="24"/>
                      <w:lang w:val="en-US" w:eastAsia="zh-CN"/>
                    </w:rPr>
                    <w:t xml:space="preserve">               </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代表人</w:t>
                  </w:r>
                  <w:r>
                    <w:rPr>
                      <w:rFonts w:hint="eastAsia" w:ascii="宋体" w:hAnsi="宋体" w:eastAsia="宋体" w:cs="宋体"/>
                      <w:color w:val="auto"/>
                      <w:sz w:val="24"/>
                      <w:szCs w:val="24"/>
                    </w:rPr>
                    <w:t xml:space="preserve">：</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开户银行：</w:t>
                  </w:r>
                  <w:r/>
                </w:p>
              </w:tc>
            </w:tr>
            <w:tr>
              <w:trPr>
                <w:trHeight w:val="540"/>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帐号：</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帐号：</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日期：      年    月    日</w:t>
                  </w:r>
                  <w:r/>
                </w:p>
              </w:tc>
            </w:tr>
          </w:tbl>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auto"/>
                <w:sz w:val="24"/>
                <w:szCs w:val="24"/>
              </w:rPr>
            </w:r>
            <w:r/>
          </w:p>
        </w:tc>
      </w:tr>
    </w:tbl>
    <w:p>
      <w:pPr>
        <w:jc w:val="both"/>
        <w:spacing w:line="240" w:lineRule="auto"/>
        <w:widowControl w:val="off"/>
        <w:rPr>
          <w:rFonts w:hint="eastAsia" w:ascii="宋体" w:hAnsi="宋体" w:cs="宋体"/>
          <w:color w:val="auto"/>
          <w:sz w:val="21"/>
          <w:szCs w:val="24"/>
        </w:rPr>
      </w:pPr>
      <w:r>
        <w:rPr>
          <w:rFonts w:hint="eastAsia" w:ascii="宋体" w:hAnsi="宋体" w:cs="宋体"/>
          <w:color w:val="auto"/>
          <w:sz w:val="21"/>
          <w:szCs w:val="24"/>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r>
      <w:r/>
    </w:p>
    <w:p>
      <w:pPr>
        <w:pStyle w:val="755"/>
        <w:ind w:left="0" w:firstLine="0"/>
        <w:jc w:val="center"/>
        <w:rPr>
          <w:rFonts w:hint="eastAsia" w:ascii="宋体" w:hAnsi="宋体" w:cs="宋体"/>
          <w:color w:val="auto"/>
          <w:sz w:val="20"/>
          <w:szCs w:val="22"/>
          <w:highlight w:val="none"/>
        </w:rPr>
      </w:pPr>
      <w:r/>
      <w:bookmarkStart w:id="9" w:name="_Toc28758"/>
      <w:r>
        <w:rPr>
          <w:rFonts w:hint="eastAsia" w:ascii="宋体" w:hAnsi="宋体" w:eastAsia="宋体" w:cs="宋体"/>
          <w:color w:val="auto"/>
          <w:highlight w:val="none"/>
        </w:rPr>
        <w:t xml:space="preserve">第六章 采购需求</w:t>
      </w:r>
      <w:bookmarkEnd w:id="9"/>
      <w:r/>
      <w:r/>
    </w:p>
    <w:p>
      <w:pPr>
        <w:ind w:firstLine="484"/>
        <w:jc w:val="both"/>
        <w:keepLines w:val="0"/>
        <w:keepNext w:val="0"/>
        <w:pageBreakBefore w:val="0"/>
        <w:spacing w:line="440" w:lineRule="exact"/>
        <w:widowControl w:val="off"/>
        <w:tabs>
          <w:tab w:val="left" w:pos="0" w:leader="none"/>
        </w:tabs>
        <w:rPr>
          <w:rFonts w:hint="default" w:ascii="宋体" w:hAnsi="宋体" w:cs="宋体"/>
          <w:b/>
          <w:bCs/>
          <w:color w:val="auto"/>
          <w:sz w:val="24"/>
          <w:szCs w:val="24"/>
        </w:rPr>
      </w:pPr>
      <w:r>
        <w:rPr>
          <w:rFonts w:hint="default" w:ascii="宋体" w:hAnsi="宋体" w:eastAsia="宋体" w:cs="宋体"/>
          <w:b/>
          <w:bCs/>
          <w:color w:val="auto"/>
          <w:sz w:val="24"/>
          <w:szCs w:val="24"/>
          <w:lang w:val="en-US" w:eastAsia="zh-CN" w:bidi="ar-SA"/>
        </w:rPr>
        <w:t xml:space="preserve">一、项目说明</w:t>
      </w:r>
      <w:r/>
    </w:p>
    <w:p>
      <w:pPr>
        <w:ind w:left="0" w:right="0" w:firstLine="480"/>
        <w:jc w:val="both"/>
        <w:keepLines w:val="0"/>
        <w:keepNext w:val="0"/>
        <w:pageBreakBefore w:val="0"/>
        <w:spacing w:line="440" w:lineRule="exact"/>
        <w:widowControl w:val="off"/>
        <w:rPr>
          <w:rFonts w:hint="default" w:ascii="宋体" w:hAnsi="宋体" w:cs="宋体"/>
          <w:b w:val="0"/>
          <w:bCs w:val="0"/>
          <w:color w:val="auto"/>
          <w:sz w:val="24"/>
          <w:szCs w:val="24"/>
          <w:highlight w:val="none"/>
        </w:rPr>
      </w:pPr>
      <w:r>
        <w:rPr>
          <w:rFonts w:hint="default" w:ascii="宋体" w:hAnsi="宋体" w:eastAsia="宋体" w:cs="宋体"/>
          <w:b w:val="0"/>
          <w:bCs w:val="0"/>
          <w:color w:val="auto"/>
          <w:sz w:val="24"/>
          <w:szCs w:val="24"/>
          <w:highlight w:val="none"/>
          <w:lang w:val="en-US" w:eastAsia="zh-CN" w:bidi="ar-SA"/>
        </w:rPr>
        <w:t xml:space="preserve">（一）采购标的：</w:t>
      </w:r>
      <w:r>
        <w:rPr>
          <w:rFonts w:hint="default" w:ascii="宋体" w:hAnsi="宋体" w:eastAsia="宋体" w:cs="宋体"/>
          <w:b w:val="0"/>
          <w:bCs w:val="0"/>
          <w:color w:val="auto"/>
          <w:sz w:val="24"/>
          <w:szCs w:val="24"/>
          <w:highlight w:val="none"/>
          <w:lang w:val="en-US" w:eastAsia="zh-CN"/>
        </w:rPr>
        <w:t xml:space="preserve">丰县分布式污水处理项目(四号沟站点)</w:t>
      </w:r>
      <w:r/>
    </w:p>
    <w:p>
      <w:pPr>
        <w:ind w:left="0" w:right="0" w:firstLine="480"/>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val="0"/>
          <w:bCs w:val="0"/>
          <w:color w:val="auto"/>
          <w:sz w:val="24"/>
          <w:szCs w:val="24"/>
          <w:highlight w:val="none"/>
          <w:lang w:val="en-US" w:eastAsia="zh-CN" w:bidi="ar-SA"/>
        </w:rPr>
        <w:t xml:space="preserve">（二）预算金额：</w:t>
      </w:r>
      <w:r>
        <w:rPr>
          <w:rFonts w:hint="eastAsia" w:ascii="宋体" w:hAnsi="宋体" w:eastAsia="宋体" w:cs="宋体"/>
          <w:b/>
          <w:bCs/>
          <w:color w:val="auto"/>
          <w:sz w:val="24"/>
          <w:szCs w:val="24"/>
          <w:highlight w:val="none"/>
          <w:lang w:val="en-US" w:eastAsia="zh-CN"/>
        </w:rPr>
        <w:t xml:space="preserve">本项目不接受</w:t>
      </w:r>
      <w:r>
        <w:rPr>
          <w:rFonts w:hint="default" w:ascii="宋体" w:hAnsi="宋体" w:eastAsia="宋体" w:cs="宋体"/>
          <w:b/>
          <w:bCs/>
          <w:color w:val="auto"/>
          <w:sz w:val="24"/>
          <w:szCs w:val="24"/>
          <w:highlight w:val="none"/>
        </w:rPr>
        <w:t xml:space="preserve">单价</w:t>
      </w:r>
      <w:r>
        <w:rPr>
          <w:rFonts w:hint="eastAsia" w:ascii="宋体" w:hAnsi="宋体" w:eastAsia="宋体" w:cs="宋体"/>
          <w:b/>
          <w:bCs/>
          <w:color w:val="auto"/>
          <w:sz w:val="24"/>
          <w:szCs w:val="24"/>
          <w:highlight w:val="none"/>
          <w:lang w:val="en-US" w:eastAsia="zh-CN"/>
        </w:rPr>
        <w:t xml:space="preserve">报价</w:t>
      </w:r>
      <w:r>
        <w:rPr>
          <w:rFonts w:hint="default" w:ascii="宋体" w:hAnsi="宋体" w:eastAsia="宋体" w:cs="宋体"/>
          <w:b/>
          <w:bCs/>
          <w:color w:val="auto"/>
          <w:sz w:val="24"/>
          <w:szCs w:val="24"/>
          <w:highlight w:val="none"/>
        </w:rPr>
        <w:t xml:space="preserve">超过</w:t>
      </w:r>
      <w:r>
        <w:rPr>
          <w:rFonts w:hint="default" w:ascii="宋体" w:hAnsi="宋体" w:eastAsia="宋体" w:cs="宋体"/>
          <w:b/>
          <w:bCs/>
          <w:color w:val="auto"/>
          <w:sz w:val="24"/>
          <w:szCs w:val="24"/>
          <w:highlight w:val="none"/>
          <w:lang w:val="en-US" w:eastAsia="zh-CN"/>
        </w:rPr>
        <w:t xml:space="preserve">2.64元/吨</w:t>
      </w:r>
      <w:r>
        <w:rPr>
          <w:rFonts w:hint="default" w:ascii="宋体" w:hAnsi="宋体" w:eastAsia="宋体" w:cs="宋体"/>
          <w:b/>
          <w:bCs/>
          <w:color w:val="auto"/>
          <w:sz w:val="24"/>
          <w:szCs w:val="24"/>
          <w:highlight w:val="none"/>
        </w:rPr>
        <w:t xml:space="preserve">人民币的报</w:t>
      </w:r>
      <w:r>
        <w:rPr>
          <w:rFonts w:hint="eastAsia" w:ascii="宋体" w:hAnsi="宋体" w:eastAsia="宋体" w:cs="宋体"/>
          <w:b/>
          <w:bCs/>
          <w:color w:val="auto"/>
          <w:sz w:val="24"/>
          <w:szCs w:val="24"/>
          <w:highlight w:val="none"/>
          <w:lang w:val="en-US" w:eastAsia="zh-CN"/>
        </w:rPr>
        <w:t xml:space="preserve">价</w:t>
      </w:r>
      <w:r>
        <w:rPr>
          <w:rFonts w:hint="default" w:ascii="宋体" w:hAnsi="宋体" w:eastAsia="宋体" w:cs="宋体"/>
          <w:color w:val="auto"/>
          <w:sz w:val="24"/>
          <w:szCs w:val="24"/>
          <w:highlight w:val="none"/>
        </w:rPr>
        <w:t xml:space="preserve">，最终结算价格以实际处理量据实结算。</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shd w:val="clear" w:color="auto" w:fill="ffffff"/>
          <w:lang w:val="en-US" w:eastAsia="zh-CN"/>
        </w:rPr>
        <w:t xml:space="preserve">二</w:t>
      </w:r>
      <w:r>
        <w:rPr>
          <w:rFonts w:hint="default" w:ascii="宋体" w:hAnsi="宋体" w:eastAsia="宋体" w:cs="宋体"/>
          <w:b/>
          <w:bCs/>
          <w:color w:val="auto"/>
          <w:sz w:val="24"/>
          <w:szCs w:val="24"/>
          <w:shd w:val="clear" w:color="auto" w:fill="ffffff"/>
        </w:rPr>
        <w:t xml:space="preserve">、项目概况</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b w:val="0"/>
          <w:bCs w:val="0"/>
          <w:color w:val="auto"/>
          <w:sz w:val="24"/>
          <w:szCs w:val="24"/>
          <w:highlight w:val="none"/>
          <w:lang w:val="en-US" w:eastAsia="zh-CN"/>
        </w:rPr>
        <w:t xml:space="preserve">拟在四号沟（3000吨/天）建设1座水质净化设施，出水水质地表水环境质量标准（GB3838-2002）</w:t>
      </w:r>
      <w:r>
        <w:rPr>
          <w:rFonts w:hint="default" w:ascii="宋体" w:hAnsi="宋体" w:eastAsia="宋体" w:cs="宋体"/>
          <w:b w:val="0"/>
          <w:bCs w:val="0"/>
          <w:color w:val="auto"/>
          <w:sz w:val="24"/>
          <w:szCs w:val="24"/>
          <w:highlight w:val="none"/>
          <w:lang w:val="en-US" w:eastAsia="zh-Hans"/>
        </w:rPr>
        <w:t xml:space="preserve">准</w:t>
      </w:r>
      <w:r>
        <w:rPr>
          <w:rFonts w:hint="default" w:ascii="宋体" w:hAnsi="宋体" w:eastAsia="宋体" w:cs="宋体"/>
          <w:b w:val="0"/>
          <w:bCs w:val="0"/>
          <w:color w:val="auto"/>
          <w:sz w:val="24"/>
          <w:szCs w:val="24"/>
          <w:highlight w:val="none"/>
          <w:lang w:val="en-US" w:eastAsia="zh-CN"/>
        </w:rPr>
        <w:t xml:space="preserve">Ⅳ类水标准。</w:t>
      </w:r>
      <w:r>
        <w:rPr>
          <w:rFonts w:hint="default" w:ascii="宋体" w:hAnsi="宋体" w:eastAsia="宋体" w:cs="宋体"/>
          <w:color w:val="auto"/>
          <w:sz w:val="24"/>
          <w:szCs w:val="24"/>
          <w:highlight w:val="none"/>
        </w:rPr>
        <w:t xml:space="preserve">采</w:t>
      </w:r>
      <w:r>
        <w:rPr>
          <w:rFonts w:hint="default" w:ascii="宋体" w:hAnsi="宋体" w:eastAsia="宋体" w:cs="宋体"/>
          <w:color w:val="auto"/>
          <w:sz w:val="24"/>
          <w:szCs w:val="24"/>
        </w:rPr>
        <w:t xml:space="preserve">用采购服务的形式对</w:t>
      </w:r>
      <w:r>
        <w:rPr>
          <w:rFonts w:hint="default" w:ascii="宋体" w:hAnsi="宋体" w:eastAsia="宋体" w:cs="宋体"/>
          <w:color w:val="auto"/>
          <w:sz w:val="24"/>
          <w:szCs w:val="24"/>
          <w:lang w:val="en-US" w:eastAsia="zh-CN"/>
        </w:rPr>
        <w:t xml:space="preserve">收集的</w:t>
      </w:r>
      <w:r>
        <w:rPr>
          <w:rFonts w:hint="default" w:ascii="宋体" w:hAnsi="宋体" w:eastAsia="宋体" w:cs="宋体"/>
          <w:color w:val="auto"/>
          <w:sz w:val="24"/>
          <w:szCs w:val="24"/>
          <w:highlight w:val="none"/>
          <w:lang w:val="en-US" w:eastAsia="zh-CN"/>
        </w:rPr>
        <w:t xml:space="preserve">生活</w:t>
      </w:r>
      <w:r>
        <w:rPr>
          <w:rFonts w:hint="default" w:ascii="宋体" w:hAnsi="宋体" w:eastAsia="宋体" w:cs="宋体"/>
          <w:b w:val="0"/>
          <w:bCs w:val="0"/>
          <w:color w:val="auto"/>
          <w:sz w:val="24"/>
          <w:szCs w:val="24"/>
          <w:highlight w:val="none"/>
          <w:lang w:val="en-US" w:eastAsia="zh-CN"/>
        </w:rPr>
        <w:t xml:space="preserve">污水进行净化</w:t>
      </w:r>
      <w:r>
        <w:rPr>
          <w:rFonts w:hint="default" w:ascii="宋体" w:hAnsi="宋体" w:eastAsia="宋体" w:cs="宋体"/>
          <w:color w:val="auto"/>
          <w:sz w:val="24"/>
          <w:szCs w:val="24"/>
          <w:lang w:eastAsia="zh-CN"/>
        </w:rPr>
        <w:t xml:space="preserve">，</w:t>
      </w:r>
      <w:r>
        <w:rPr>
          <w:rFonts w:hint="default" w:ascii="宋体" w:hAnsi="宋体" w:eastAsia="宋体" w:cs="宋体"/>
          <w:b w:val="0"/>
          <w:bCs w:val="0"/>
          <w:color w:val="auto"/>
          <w:sz w:val="24"/>
          <w:szCs w:val="24"/>
        </w:rPr>
        <w:t xml:space="preserve">服务期三年</w:t>
      </w:r>
      <w:r>
        <w:rPr>
          <w:rFonts w:hint="default" w:ascii="宋体" w:hAnsi="宋体" w:eastAsia="宋体" w:cs="宋体"/>
          <w:b w:val="0"/>
          <w:bCs w:val="0"/>
          <w:color w:val="auto"/>
          <w:sz w:val="24"/>
          <w:szCs w:val="24"/>
          <w:lang w:eastAsia="zh-CN"/>
        </w:rPr>
        <w:t xml:space="preserve">。</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bookmarkStart w:id="10" w:name="_Toc13057"/>
      <w:r>
        <w:rPr>
          <w:rFonts w:hint="default" w:ascii="宋体" w:hAnsi="宋体" w:eastAsia="宋体" w:cs="宋体"/>
          <w:b/>
          <w:bCs/>
          <w:color w:val="auto"/>
          <w:sz w:val="24"/>
          <w:szCs w:val="24"/>
          <w:shd w:val="clear" w:color="auto" w:fill="ffffff"/>
          <w:lang w:val="en-US" w:eastAsia="zh-CN"/>
        </w:rPr>
        <w:t xml:space="preserve">三</w:t>
      </w:r>
      <w:r>
        <w:rPr>
          <w:rFonts w:hint="default" w:ascii="宋体" w:hAnsi="宋体" w:eastAsia="宋体" w:cs="宋体"/>
          <w:b/>
          <w:bCs/>
          <w:color w:val="auto"/>
          <w:sz w:val="24"/>
          <w:szCs w:val="24"/>
          <w:shd w:val="clear" w:color="auto" w:fill="ffffff"/>
        </w:rPr>
        <w:t xml:space="preserve">、项目技术参数及要求</w:t>
      </w:r>
      <w:bookmarkEnd w:id="10"/>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1、</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自行勘察现场，并根据水质指标进行设计，同时需考虑水质波动时的安全余量和预案。</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lang w:val="en-US" w:eastAsia="zh-CN"/>
        </w:rPr>
        <w:t xml:space="preserve">2</w:t>
      </w:r>
      <w:r>
        <w:rPr>
          <w:rFonts w:hint="default" w:ascii="宋体" w:hAnsi="宋体" w:eastAsia="宋体" w:cs="宋体"/>
          <w:color w:val="auto"/>
          <w:sz w:val="24"/>
          <w:szCs w:val="24"/>
        </w:rPr>
        <w:t xml:space="preserve">、本项目</w:t>
      </w:r>
      <w:r>
        <w:rPr>
          <w:rFonts w:hint="default" w:ascii="宋体" w:hAnsi="宋体" w:eastAsia="宋体" w:cs="宋体"/>
          <w:color w:val="auto"/>
          <w:sz w:val="24"/>
          <w:szCs w:val="24"/>
          <w:highlight w:val="none"/>
        </w:rPr>
        <w:t xml:space="preserve">服务期间可能发生的污泥处置、仪表校准、噪音及气味扰民、安全生产</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危废处置等其他可能产生的相关问题</w:t>
      </w:r>
      <w:r>
        <w:rPr>
          <w:rFonts w:hint="default" w:ascii="宋体" w:hAnsi="宋体" w:eastAsia="宋体" w:cs="宋体"/>
          <w:color w:val="auto"/>
          <w:sz w:val="24"/>
          <w:szCs w:val="24"/>
          <w:highlight w:val="none"/>
        </w:rPr>
        <w:t xml:space="preserve">应由</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负责解决，并由</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承担相应的法律责任</w:t>
      </w:r>
      <w:r>
        <w:rPr>
          <w:rFonts w:hint="default" w:ascii="宋体" w:hAnsi="宋体" w:eastAsia="宋体" w:cs="宋体"/>
          <w:color w:val="auto"/>
          <w:sz w:val="24"/>
          <w:szCs w:val="24"/>
        </w:rPr>
        <w:t xml:space="preserve">。由此产生的污泥处置费用、校准费等</w:t>
      </w:r>
      <w:r>
        <w:rPr>
          <w:rFonts w:hint="default" w:ascii="宋体" w:hAnsi="宋体" w:eastAsia="宋体" w:cs="宋体"/>
          <w:color w:val="auto"/>
          <w:sz w:val="24"/>
          <w:szCs w:val="24"/>
          <w:highlight w:val="none"/>
        </w:rPr>
        <w:t xml:space="preserve">所产生的一切费用都应包含在投标报价中，采购人不再另行支付任何费用。</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仿宋"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在投标时应当提供但不限于以下详细内容及方案：项目设计方案、</w:t>
      </w:r>
      <w:r>
        <w:rPr>
          <w:rFonts w:hint="default" w:ascii="宋体" w:hAnsi="宋体" w:eastAsia="宋体" w:cs="宋体"/>
          <w:color w:val="auto"/>
          <w:sz w:val="24"/>
          <w:szCs w:val="24"/>
          <w:highlight w:val="none"/>
          <w:lang w:val="en-US" w:eastAsia="zh-CN"/>
        </w:rPr>
        <w:t xml:space="preserve">项目技术方案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设备配置方案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设备运行方案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设施维护管理方案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应急措施方案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安全方案、进度计划方案、质量保证方案、投标人资质认证、</w:t>
      </w:r>
      <w:r>
        <w:rPr>
          <w:rFonts w:hint="default" w:ascii="宋体" w:hAnsi="宋体" w:eastAsia="宋体" w:cs="宋体"/>
          <w:color w:val="auto"/>
          <w:sz w:val="24"/>
          <w:szCs w:val="24"/>
          <w:highlight w:val="none"/>
        </w:rPr>
        <w:t xml:space="preserve">评分标准中要求提供的其他相关评分证明。</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投标人提供一套完整的水质净化服务设施用于水质净化服务（设施位置、处理规模和进水水质见下表）。</w:t>
      </w:r>
      <w:r/>
    </w:p>
    <w:tbl>
      <w:tblPr>
        <w:tblStyle w:val="765"/>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1209"/>
        <w:gridCol w:w="1208"/>
        <w:gridCol w:w="1197"/>
        <w:gridCol w:w="1233"/>
        <w:gridCol w:w="1316"/>
        <w:gridCol w:w="1282"/>
        <w:gridCol w:w="1385"/>
      </w:tblGrid>
      <w:tr>
        <w:trPr/>
        <w:tc>
          <w:tcPr>
            <w:tcMar>
              <w:left w:w="17" w:type="dxa"/>
              <w:top w:w="0" w:type="dxa"/>
              <w:right w:w="17" w:type="dxa"/>
              <w:bottom w:w="0" w:type="dxa"/>
            </w:tcMar>
            <w:tcW w:w="588" w:type="dxa"/>
            <w:vAlign w:val="center"/>
            <w:vMerge w:val="restart"/>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序号</w:t>
            </w:r>
            <w:r/>
          </w:p>
        </w:tc>
        <w:tc>
          <w:tcPr>
            <w:tcMar>
              <w:left w:w="17" w:type="dxa"/>
              <w:top w:w="0" w:type="dxa"/>
              <w:right w:w="17" w:type="dxa"/>
              <w:bottom w:w="0" w:type="dxa"/>
            </w:tcMar>
            <w:tcW w:w="1289" w:type="dxa"/>
            <w:vAlign w:val="center"/>
            <w:vMerge w:val="restart"/>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位置</w:t>
            </w:r>
            <w:r/>
          </w:p>
        </w:tc>
        <w:tc>
          <w:tcPr>
            <w:tcMar>
              <w:left w:w="17" w:type="dxa"/>
              <w:top w:w="0" w:type="dxa"/>
              <w:right w:w="17" w:type="dxa"/>
              <w:bottom w:w="0" w:type="dxa"/>
            </w:tcMar>
            <w:tcW w:w="1267" w:type="dxa"/>
            <w:vAlign w:val="center"/>
            <w:vMerge w:val="restart"/>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处理能力（吨/日）</w:t>
            </w:r>
            <w:r/>
          </w:p>
        </w:tc>
        <w:tc>
          <w:tcPr>
            <w:gridSpan w:val="5"/>
            <w:tcMar>
              <w:left w:w="17" w:type="dxa"/>
              <w:top w:w="0" w:type="dxa"/>
              <w:right w:w="17" w:type="dxa"/>
              <w:bottom w:w="0" w:type="dxa"/>
            </w:tcMar>
            <w:tcW w:w="6537"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进水水质</w:t>
            </w:r>
            <w:r/>
          </w:p>
        </w:tc>
      </w:tr>
      <w:tr>
        <w:trPr>
          <w:trHeight w:val="1044"/>
        </w:trPr>
        <w:tc>
          <w:tcPr>
            <w:tcMar>
              <w:left w:w="17" w:type="dxa"/>
              <w:top w:w="0" w:type="dxa"/>
              <w:right w:w="17" w:type="dxa"/>
              <w:bottom w:w="0" w:type="dxa"/>
            </w:tcMar>
            <w:tcW w:w="588" w:type="dxa"/>
            <w:vAlign w:val="center"/>
            <w:vMerge w:val="continue"/>
            <w:textDirection w:val="lrTb"/>
            <w:noWrap w:val="false"/>
          </w:tcPr>
          <w:p>
            <w:pPr>
              <w:jc w:val="center"/>
              <w:spacing w:before="156" w:after="156" w:line="30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r>
            <w:r/>
          </w:p>
        </w:tc>
        <w:tc>
          <w:tcPr>
            <w:tcMar>
              <w:left w:w="17" w:type="dxa"/>
              <w:top w:w="0" w:type="dxa"/>
              <w:right w:w="17" w:type="dxa"/>
              <w:bottom w:w="0" w:type="dxa"/>
            </w:tcMar>
            <w:tcW w:w="1289" w:type="dxa"/>
            <w:vAlign w:val="center"/>
            <w:vMerge w:val="continue"/>
            <w:textDirection w:val="lrTb"/>
            <w:noWrap w:val="false"/>
          </w:tcPr>
          <w:p>
            <w:pPr>
              <w:jc w:val="center"/>
              <w:spacing w:before="156" w:after="156" w:line="30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r>
            <w:r/>
          </w:p>
        </w:tc>
        <w:tc>
          <w:tcPr>
            <w:tcMar>
              <w:left w:w="17" w:type="dxa"/>
              <w:top w:w="0" w:type="dxa"/>
              <w:right w:w="17" w:type="dxa"/>
              <w:bottom w:w="0" w:type="dxa"/>
            </w:tcMar>
            <w:tcW w:w="1267" w:type="dxa"/>
            <w:vAlign w:val="center"/>
            <w:vMerge w:val="continue"/>
            <w:textDirection w:val="lrTb"/>
            <w:noWrap w:val="false"/>
          </w:tcPr>
          <w:p>
            <w:pPr>
              <w:jc w:val="center"/>
              <w:spacing w:before="156" w:after="156" w:line="30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r>
            <w:r/>
          </w:p>
        </w:tc>
        <w:tc>
          <w:tcPr>
            <w:tcMar>
              <w:left w:w="17" w:type="dxa"/>
              <w:top w:w="0" w:type="dxa"/>
              <w:right w:w="17" w:type="dxa"/>
              <w:bottom w:w="0" w:type="dxa"/>
            </w:tcMar>
            <w:tcW w:w="121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CODcr（mg/L）</w:t>
            </w:r>
            <w:r/>
          </w:p>
        </w:tc>
        <w:tc>
          <w:tcPr>
            <w:tcMar>
              <w:left w:w="17" w:type="dxa"/>
              <w:top w:w="0" w:type="dxa"/>
              <w:right w:w="17" w:type="dxa"/>
              <w:bottom w:w="0" w:type="dxa"/>
            </w:tcMar>
            <w:tcW w:w="1253"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BOD（mg/L）</w:t>
            </w:r>
            <w:r/>
          </w:p>
        </w:tc>
        <w:tc>
          <w:tcPr>
            <w:tcMar>
              <w:left w:w="17" w:type="dxa"/>
              <w:top w:w="0" w:type="dxa"/>
              <w:right w:w="17" w:type="dxa"/>
              <w:bottom w:w="0" w:type="dxa"/>
            </w:tcMar>
            <w:tcW w:w="134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SS（mg/L）</w:t>
            </w:r>
            <w:r/>
          </w:p>
        </w:tc>
        <w:tc>
          <w:tcPr>
            <w:tcMar>
              <w:left w:w="17" w:type="dxa"/>
              <w:top w:w="0" w:type="dxa"/>
              <w:right w:w="17" w:type="dxa"/>
              <w:bottom w:w="0" w:type="dxa"/>
            </w:tcMar>
            <w:tcW w:w="1307"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氨氮（mg/L）</w:t>
            </w:r>
            <w:r/>
          </w:p>
        </w:tc>
        <w:tc>
          <w:tcPr>
            <w:tcMar>
              <w:left w:w="17" w:type="dxa"/>
              <w:top w:w="0" w:type="dxa"/>
              <w:right w:w="17" w:type="dxa"/>
              <w:bottom w:w="0" w:type="dxa"/>
            </w:tcMar>
            <w:tcW w:w="1419"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总磷（mg/L）</w:t>
            </w:r>
            <w:r/>
          </w:p>
        </w:tc>
      </w:tr>
      <w:tr>
        <w:trPr/>
        <w:tc>
          <w:tcPr>
            <w:tcMar>
              <w:left w:w="17" w:type="dxa"/>
              <w:top w:w="0" w:type="dxa"/>
              <w:right w:w="17" w:type="dxa"/>
              <w:bottom w:w="0" w:type="dxa"/>
            </w:tcMar>
            <w:tcW w:w="588"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w:t>
            </w:r>
            <w:r/>
          </w:p>
        </w:tc>
        <w:tc>
          <w:tcPr>
            <w:tcMar>
              <w:left w:w="17" w:type="dxa"/>
              <w:top w:w="0" w:type="dxa"/>
              <w:right w:w="17" w:type="dxa"/>
              <w:bottom w:w="0" w:type="dxa"/>
            </w:tcMar>
            <w:tcW w:w="1289"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四号沟</w:t>
            </w:r>
            <w:r/>
          </w:p>
        </w:tc>
        <w:tc>
          <w:tcPr>
            <w:tcMar>
              <w:left w:w="17" w:type="dxa"/>
              <w:top w:w="0" w:type="dxa"/>
              <w:right w:w="17" w:type="dxa"/>
              <w:bottom w:w="0" w:type="dxa"/>
            </w:tcMar>
            <w:tcW w:w="1267" w:type="dxa"/>
            <w:vAlign w:val="center"/>
            <w:textDirection w:val="lrTb"/>
            <w:noWrap w:val="false"/>
          </w:tcPr>
          <w:p>
            <w:pPr>
              <w:jc w:val="center"/>
              <w:spacing w:line="240" w:lineRule="auto"/>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3000</w:t>
            </w:r>
            <w:r/>
          </w:p>
        </w:tc>
        <w:tc>
          <w:tcPr>
            <w:tcMar>
              <w:left w:w="17" w:type="dxa"/>
              <w:top w:w="0" w:type="dxa"/>
              <w:right w:w="17" w:type="dxa"/>
              <w:bottom w:w="0" w:type="dxa"/>
            </w:tcMar>
            <w:tcW w:w="121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≤300</w:t>
            </w:r>
            <w:r/>
          </w:p>
        </w:tc>
        <w:tc>
          <w:tcPr>
            <w:tcMar>
              <w:left w:w="17" w:type="dxa"/>
              <w:top w:w="0" w:type="dxa"/>
              <w:right w:w="17" w:type="dxa"/>
              <w:bottom w:w="0" w:type="dxa"/>
            </w:tcMar>
            <w:tcW w:w="1253"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≤150</w:t>
            </w:r>
            <w:r/>
          </w:p>
        </w:tc>
        <w:tc>
          <w:tcPr>
            <w:tcMar>
              <w:left w:w="17" w:type="dxa"/>
              <w:top w:w="0" w:type="dxa"/>
              <w:right w:w="17" w:type="dxa"/>
              <w:bottom w:w="0" w:type="dxa"/>
            </w:tcMar>
            <w:tcW w:w="134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≤100</w:t>
            </w:r>
            <w:r/>
          </w:p>
        </w:tc>
        <w:tc>
          <w:tcPr>
            <w:tcMar>
              <w:left w:w="17" w:type="dxa"/>
              <w:top w:w="0" w:type="dxa"/>
              <w:right w:w="17" w:type="dxa"/>
              <w:bottom w:w="0" w:type="dxa"/>
            </w:tcMar>
            <w:tcW w:w="1307"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≤35</w:t>
            </w:r>
            <w:r/>
          </w:p>
        </w:tc>
        <w:tc>
          <w:tcPr>
            <w:tcMar>
              <w:left w:w="17" w:type="dxa"/>
              <w:top w:w="0" w:type="dxa"/>
              <w:right w:w="17" w:type="dxa"/>
              <w:bottom w:w="0" w:type="dxa"/>
            </w:tcMar>
            <w:tcW w:w="1419"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w:t>
            </w:r>
            <w:r/>
          </w:p>
        </w:tc>
      </w:tr>
    </w:tbl>
    <w:p>
      <w:pPr>
        <w:ind w:left="0" w:right="0" w:firstLine="480"/>
        <w:jc w:val="both"/>
        <w:keepLines w:val="0"/>
        <w:keepNext w:val="0"/>
        <w:pageBreakBefore w:val="0"/>
        <w:spacing w:after="0"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建设完成后，达到以下目标：运维期内，水质净化设施运行正常，治理后出水考核水质指标（溶解氧、COD、氨氮、总磷、SS）达到《地表水环境质量标准》（GB3838-2002）准Ⅳ类水标准，具体数值见下表：</w:t>
      </w:r>
      <w:r/>
    </w:p>
    <w:p>
      <w:pPr>
        <w:ind w:left="0" w:right="0" w:firstLine="480"/>
        <w:jc w:val="center"/>
        <w:keepLines w:val="0"/>
        <w:keepNext w:val="0"/>
        <w:pageBreakBefore w:val="0"/>
        <w:spacing w:after="0"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                                                       单位mg/L</w:t>
      </w:r>
      <w:r/>
    </w:p>
    <w:tbl>
      <w:tblPr>
        <w:tblStyle w:val="765"/>
        <w:tblW w:w="4997" w:type="pct"/>
        <w:jc w:val="center"/>
        <w:tblLayout w:type="autofit"/>
        <w:tblCellMar>
          <w:left w:w="0" w:type="dxa"/>
          <w:top w:w="0" w:type="dxa"/>
          <w:right w:w="0" w:type="dxa"/>
          <w:bottom w:w="0" w:type="dxa"/>
        </w:tblCellMar>
        <w:tblLook w:val="04A0" w:firstRow="1" w:lastRow="0" w:firstColumn="1" w:lastColumn="0" w:noHBand="0" w:noVBand="1"/>
      </w:tblPr>
      <w:tblGrid>
        <w:gridCol w:w="943"/>
        <w:gridCol w:w="1158"/>
        <w:gridCol w:w="1510"/>
        <w:gridCol w:w="1152"/>
        <w:gridCol w:w="1602"/>
        <w:gridCol w:w="1497"/>
        <w:gridCol w:w="1497"/>
      </w:tblGrid>
      <w:tr>
        <w:trPr>
          <w:jc w:val="center"/>
          <w:trHeight w:val="90"/>
        </w:trPr>
        <w:tc>
          <w:tcPr>
            <w:tcBorders>
              <w:top w:val="single" w:color="000000" w:sz="4" w:space="0"/>
              <w:left w:val="single" w:color="000000" w:sz="4" w:space="0"/>
              <w:bottom w:val="single" w:color="000000" w:sz="4" w:space="0"/>
              <w:right w:val="single" w:color="000000" w:sz="4" w:space="0"/>
            </w:tcBorders>
            <w:tcW w:w="504"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618"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指标</w:t>
            </w:r>
            <w:r/>
          </w:p>
        </w:tc>
        <w:tc>
          <w:tcPr>
            <w:tcBorders>
              <w:top w:val="single" w:color="000000" w:sz="4" w:space="0"/>
              <w:left w:val="single" w:color="000000" w:sz="4" w:space="0"/>
              <w:bottom w:val="single" w:color="000000" w:sz="4" w:space="0"/>
              <w:right w:val="single" w:color="000000" w:sz="4" w:space="0"/>
            </w:tcBorders>
            <w:tcW w:w="806"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氨氮</w:t>
            </w:r>
            <w:r/>
          </w:p>
        </w:tc>
        <w:tc>
          <w:tcPr>
            <w:tcBorders>
              <w:top w:val="single" w:color="000000" w:sz="4" w:space="0"/>
              <w:left w:val="single" w:color="000000" w:sz="4" w:space="0"/>
              <w:bottom w:val="single" w:color="000000" w:sz="4" w:space="0"/>
              <w:right w:val="single" w:color="000000" w:sz="4" w:space="0"/>
            </w:tcBorders>
            <w:tcW w:w="61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溶解氧</w:t>
            </w:r>
            <w:r/>
          </w:p>
        </w:tc>
        <w:tc>
          <w:tcPr>
            <w:tcBorders>
              <w:top w:val="single" w:color="000000" w:sz="4" w:space="0"/>
              <w:left w:val="single" w:color="000000" w:sz="4" w:space="0"/>
              <w:bottom w:val="single" w:color="000000" w:sz="4" w:space="0"/>
              <w:right w:val="single" w:color="000000" w:sz="4" w:space="0"/>
            </w:tcBorders>
            <w:tcW w:w="85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COD</w:t>
            </w: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总磷</w:t>
            </w: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SS（mg/L）</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4"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数值</w:t>
            </w:r>
            <w:r/>
          </w:p>
        </w:tc>
        <w:tc>
          <w:tcPr>
            <w:tcBorders>
              <w:top w:val="single" w:color="000000" w:sz="4" w:space="0"/>
              <w:left w:val="single" w:color="000000" w:sz="4" w:space="0"/>
              <w:bottom w:val="single" w:color="000000" w:sz="4" w:space="0"/>
              <w:right w:val="single" w:color="000000" w:sz="4" w:space="0"/>
            </w:tcBorders>
            <w:tcW w:w="806"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61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85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≤0.3</w:t>
            </w: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≤10</w:t>
            </w:r>
            <w:r/>
          </w:p>
        </w:tc>
      </w:tr>
    </w:tbl>
    <w:p>
      <w:pPr>
        <w:ind w:left="0" w:right="0" w:firstLine="480"/>
        <w:jc w:val="both"/>
        <w:keepLines w:val="0"/>
        <w:keepNext w:val="0"/>
        <w:pageBreakBefore w:val="0"/>
        <w:spacing w:after="0" w:line="440" w:lineRule="exact"/>
        <w:widowControl w:val="off"/>
        <w:tabs>
          <w:tab w:val="center" w:pos="4153" w:leader="none"/>
          <w:tab w:val="right" w:pos="8306" w:leader="none"/>
        </w:tabs>
        <w:rPr>
          <w:rFonts w:hint="default" w:ascii="宋体" w:hAnsi="宋体" w:cs="宋体"/>
          <w:bCs/>
          <w:color w:val="auto"/>
          <w:sz w:val="24"/>
          <w:szCs w:val="24"/>
        </w:rPr>
      </w:pPr>
      <w:r>
        <w:rPr>
          <w:rFonts w:hint="default" w:ascii="宋体" w:hAnsi="宋体" w:eastAsia="宋体" w:cs="宋体"/>
          <w:bCs/>
          <w:color w:val="auto"/>
          <w:sz w:val="24"/>
          <w:szCs w:val="24"/>
          <w:lang w:val="en-US" w:eastAsia="zh-CN" w:bidi="ar-SA"/>
        </w:rPr>
        <w:t xml:space="preserve">处理设施安装完毕后，进入运行调试期，在设备系统调试出水稳定达标后，正式进入运维期，运维期3年。运行调试期内对出水水质没有具体要求。</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eastAsia" w:ascii="宋体" w:hAnsi="宋体" w:eastAsia="仿宋"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rPr>
        <w:t xml:space="preserve">项目基本情况介绍：</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rPr>
      </w:pPr>
      <w:r>
        <w:rPr>
          <w:rFonts w:hint="default" w:ascii="宋体" w:hAnsi="宋体" w:eastAsia="宋体" w:cs="宋体"/>
          <w:bCs/>
          <w:color w:val="auto"/>
          <w:sz w:val="24"/>
          <w:szCs w:val="24"/>
          <w:highlight w:val="none"/>
        </w:rPr>
        <w:t xml:space="preserve">（1）配置在线监测设备及</w:t>
      </w:r>
      <w:r>
        <w:rPr>
          <w:rFonts w:hint="default" w:ascii="宋体" w:hAnsi="宋体" w:eastAsia="宋体" w:cs="宋体"/>
          <w:bCs/>
          <w:color w:val="auto"/>
          <w:sz w:val="24"/>
          <w:szCs w:val="24"/>
          <w:highlight w:val="none"/>
          <w:lang w:val="en-US" w:eastAsia="zh-CN"/>
        </w:rPr>
        <w:t xml:space="preserve">监</w:t>
      </w:r>
      <w:r>
        <w:rPr>
          <w:rFonts w:hint="default" w:ascii="宋体" w:hAnsi="宋体" w:eastAsia="宋体" w:cs="宋体"/>
          <w:bCs/>
          <w:color w:val="auto"/>
          <w:sz w:val="24"/>
          <w:szCs w:val="24"/>
          <w:highlight w:val="none"/>
        </w:rPr>
        <w:t xml:space="preserve">测房，监测指标：</w:t>
      </w:r>
      <w:r>
        <w:rPr>
          <w:rFonts w:hint="default" w:ascii="宋体" w:hAnsi="宋体" w:eastAsia="宋体" w:cs="宋体"/>
          <w:bCs/>
          <w:color w:val="auto"/>
          <w:sz w:val="24"/>
          <w:szCs w:val="24"/>
          <w:lang w:val="en-US" w:eastAsia="zh-CN" w:bidi="ar-SA"/>
        </w:rPr>
        <w:t xml:space="preserve">溶解氧、COD、氨氮、总磷、SS、流量计；</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rPr>
        <w:t xml:space="preserve">（</w:t>
      </w:r>
      <w:r>
        <w:rPr>
          <w:rFonts w:hint="default" w:ascii="宋体" w:hAnsi="宋体" w:eastAsia="仿宋"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rPr>
        <w:t xml:space="preserve">）设备采用服务模式，设备归投标人所有。</w:t>
      </w:r>
      <w:r/>
    </w:p>
    <w:p>
      <w:pPr>
        <w:ind w:left="0" w:right="0" w:firstLine="482"/>
        <w:jc w:val="left"/>
        <w:keepLines w:val="0"/>
        <w:keepNext w:val="0"/>
        <w:pageBreakBefore w:val="0"/>
        <w:spacing w:line="440" w:lineRule="exact"/>
        <w:widowControl w:val="off"/>
        <w:rPr>
          <w:rFonts w:hint="default" w:ascii="宋体" w:hAnsi="宋体" w:cs="宋体"/>
          <w:bCs/>
          <w:color w:val="auto"/>
          <w:sz w:val="24"/>
          <w:szCs w:val="24"/>
          <w:highlight w:val="none"/>
        </w:rPr>
      </w:pPr>
      <w:r/>
      <w:bookmarkStart w:id="11" w:name="_Toc11710"/>
      <w:r>
        <w:rPr>
          <w:rFonts w:hint="default" w:ascii="宋体" w:hAnsi="宋体" w:eastAsia="宋体" w:cs="宋体"/>
          <w:b/>
          <w:bCs/>
          <w:color w:val="auto"/>
          <w:sz w:val="24"/>
          <w:szCs w:val="24"/>
          <w:highlight w:val="none"/>
          <w:shd w:val="clear" w:color="auto" w:fill="ffffff"/>
          <w:lang w:val="en-US" w:eastAsia="zh-CN"/>
        </w:rPr>
        <w:t xml:space="preserve">四</w:t>
      </w:r>
      <w:r>
        <w:rPr>
          <w:rFonts w:hint="default" w:ascii="宋体" w:hAnsi="宋体" w:eastAsia="宋体" w:cs="宋体"/>
          <w:b/>
          <w:bCs/>
          <w:color w:val="auto"/>
          <w:sz w:val="24"/>
          <w:szCs w:val="24"/>
          <w:highlight w:val="none"/>
          <w:shd w:val="clear" w:color="auto" w:fill="ffffff"/>
        </w:rPr>
        <w:t xml:space="preserve">、</w:t>
      </w:r>
      <w:bookmarkEnd w:id="11"/>
      <w:r>
        <w:rPr>
          <w:rFonts w:hint="default" w:ascii="宋体" w:hAnsi="宋体" w:eastAsia="宋体" w:cs="宋体"/>
          <w:b/>
          <w:bCs/>
          <w:color w:val="auto"/>
          <w:sz w:val="24"/>
          <w:szCs w:val="24"/>
          <w:highlight w:val="none"/>
          <w:shd w:val="clear" w:color="auto" w:fill="ffffff"/>
        </w:rPr>
        <w:t xml:space="preserve">其他要求</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1、投标人工作内容</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w:t>
      </w:r>
      <w:r>
        <w:rPr>
          <w:rFonts w:hint="default" w:ascii="宋体" w:hAnsi="宋体" w:eastAsia="宋体" w:cs="宋体"/>
          <w:bCs/>
          <w:color w:val="auto"/>
          <w:sz w:val="24"/>
          <w:szCs w:val="24"/>
          <w:highlight w:val="none"/>
          <w:lang w:val="en-US" w:eastAsia="zh-CN"/>
        </w:rPr>
        <w:t xml:space="preserve">投标人负责提供1座完整的用于水质净化服务的净水站设施（含除臭系统及收集、风机需考虑噪音；</w:t>
      </w:r>
      <w:r>
        <w:rPr>
          <w:rFonts w:hint="default" w:ascii="宋体" w:hAnsi="宋体" w:eastAsia="宋体" w:cs="宋体"/>
          <w:bCs/>
          <w:color w:val="auto"/>
          <w:sz w:val="24"/>
          <w:szCs w:val="24"/>
          <w:highlight w:val="none"/>
          <w:lang w:val="en-US" w:eastAsia="zh-CN" w:bidi="ar-SA"/>
        </w:rPr>
        <w:t xml:space="preserve">含土建工程施工且不限于以下：设备基础、地面硬化、站区围墙、站区与外部道路连接、取水管线、排水管线施工以及办理用电手续等），按合同期限要求负责设施内部所有设备安装施工，按期完成设施调试，保证出水水质达到合同约定指标；</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（2）提供水质净化处理服务，并保证达到合同要求；</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（3）每月向采购人提供一份有资质的第三方检测机构出具的水质检测报告（检测费用由投标人承担）；</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（4）每月1日，投标人应汇总上个月的报表上报采购人，报表内容包含但不限于以下数据：（1）上月流量仪起止读数；（2）每日出水量、月累计出水量；（3）每日水质自检数据。</w:t>
      </w:r>
      <w:r/>
    </w:p>
    <w:p>
      <w:pPr>
        <w:ind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投标人施工及驻厂运维期间的所有人员的行为及人身安全均由投标人负责。工作过程中发生的人身伤亡事故、财产损失、设备事故或其</w:t>
      </w:r>
      <w:r>
        <w:rPr>
          <w:rFonts w:hint="eastAsia" w:ascii="宋体" w:hAnsi="宋体" w:eastAsia="宋体" w:cs="宋体"/>
          <w:bCs/>
          <w:color w:val="auto"/>
          <w:sz w:val="24"/>
          <w:szCs w:val="24"/>
          <w:highlight w:val="none"/>
          <w:lang w:val="en-US" w:eastAsia="zh-CN" w:bidi="ar-SA"/>
        </w:rPr>
        <w:t xml:space="preserve">他</w:t>
      </w:r>
      <w:r>
        <w:rPr>
          <w:rFonts w:hint="default" w:ascii="宋体" w:hAnsi="宋体" w:eastAsia="宋体" w:cs="宋体"/>
          <w:bCs/>
          <w:color w:val="auto"/>
          <w:sz w:val="24"/>
          <w:szCs w:val="24"/>
          <w:highlight w:val="none"/>
          <w:lang w:val="en-US" w:eastAsia="zh-CN" w:bidi="ar-SA"/>
        </w:rPr>
        <w:t xml:space="preserve">侵害事件，均由投标人自行承担法律责任，与采购人无关。</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五</w:t>
      </w:r>
      <w:r>
        <w:rPr>
          <w:rFonts w:hint="default" w:ascii="宋体" w:hAnsi="宋体" w:eastAsia="宋体" w:cs="宋体"/>
          <w:b/>
          <w:bCs/>
          <w:color w:val="auto"/>
          <w:sz w:val="24"/>
          <w:szCs w:val="24"/>
          <w:highlight w:val="none"/>
          <w:shd w:val="clear" w:color="auto" w:fill="ffffff"/>
        </w:rPr>
        <w:t xml:space="preserve">、建设及运营服务期</w:t>
      </w: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color w:val="auto"/>
          <w:sz w:val="24"/>
          <w:szCs w:val="24"/>
          <w:highlight w:val="none"/>
        </w:rPr>
        <w:t xml:space="preserve">建设期限：</w:t>
      </w:r>
      <w:r>
        <w:rPr>
          <w:rFonts w:hint="default" w:ascii="宋体" w:hAnsi="宋体" w:eastAsia="宋体" w:cs="宋体"/>
          <w:bCs/>
          <w:color w:val="auto"/>
          <w:sz w:val="24"/>
          <w:szCs w:val="24"/>
          <w:highlight w:val="none"/>
          <w:lang w:val="en-US" w:eastAsia="zh-CN" w:bidi="ar-SA"/>
        </w:rPr>
        <w:t xml:space="preserve">土建施工结束后20日历天内完成设备安装并通水，运行调试期不超过7日历天；</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运营服务期：运营服务期为3年（从安装调试完成，出水达标</w:t>
      </w:r>
      <w:r>
        <w:rPr>
          <w:rFonts w:hint="default" w:ascii="宋体" w:hAnsi="宋体" w:eastAsia="宋体" w:cs="宋体"/>
          <w:color w:val="auto"/>
          <w:sz w:val="24"/>
          <w:szCs w:val="24"/>
          <w:highlight w:val="none"/>
          <w:lang w:val="en-US" w:eastAsia="zh-CN"/>
        </w:rPr>
        <w:t xml:space="preserve">并通过验收次日</w:t>
      </w:r>
      <w:r>
        <w:rPr>
          <w:rFonts w:hint="default" w:ascii="宋体" w:hAnsi="宋体" w:eastAsia="宋体" w:cs="宋体"/>
          <w:color w:val="auto"/>
          <w:sz w:val="24"/>
          <w:szCs w:val="24"/>
          <w:highlight w:val="none"/>
        </w:rPr>
        <w:t xml:space="preserve">起算）。</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六</w:t>
      </w:r>
      <w:r>
        <w:rPr>
          <w:rFonts w:hint="default" w:ascii="宋体" w:hAnsi="宋体" w:eastAsia="宋体" w:cs="宋体"/>
          <w:b/>
          <w:bCs/>
          <w:color w:val="auto"/>
          <w:sz w:val="24"/>
          <w:szCs w:val="24"/>
          <w:highlight w:val="none"/>
          <w:shd w:val="clear" w:color="auto" w:fill="ffffff"/>
          <w:lang w:eastAsia="zh-CN"/>
        </w:rPr>
        <w:t xml:space="preserve">、验收要求</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基础设施施工及</w:t>
      </w:r>
      <w:r>
        <w:rPr>
          <w:rFonts w:hint="default" w:ascii="宋体" w:hAnsi="宋体" w:eastAsia="宋体" w:cs="宋体"/>
          <w:color w:val="auto"/>
          <w:sz w:val="24"/>
          <w:szCs w:val="24"/>
          <w:highlight w:val="none"/>
        </w:rPr>
        <w:t xml:space="preserve">设备调试期结束出水达标，并经有资质的第三方检测机构检测达到</w:t>
      </w:r>
      <w:r>
        <w:rPr>
          <w:rFonts w:hint="default" w:ascii="宋体" w:hAnsi="宋体" w:eastAsia="宋体" w:cs="宋体"/>
          <w:color w:val="auto"/>
          <w:sz w:val="24"/>
          <w:szCs w:val="24"/>
          <w:highlight w:val="none"/>
          <w:lang w:val="en-US" w:eastAsia="zh-CN"/>
        </w:rPr>
        <w:t xml:space="preserve">出水</w:t>
      </w:r>
      <w:r>
        <w:rPr>
          <w:rFonts w:hint="default" w:ascii="宋体" w:hAnsi="宋体" w:eastAsia="宋体" w:cs="宋体"/>
          <w:color w:val="auto"/>
          <w:sz w:val="24"/>
          <w:szCs w:val="24"/>
          <w:highlight w:val="none"/>
        </w:rPr>
        <w:t xml:space="preserve">标准</w:t>
      </w:r>
      <w:r>
        <w:rPr>
          <w:rFonts w:hint="default" w:ascii="宋体" w:hAnsi="宋体" w:eastAsia="宋体" w:cs="宋体"/>
          <w:color w:val="auto"/>
          <w:sz w:val="24"/>
          <w:szCs w:val="24"/>
          <w:highlight w:val="none"/>
          <w:lang w:val="en-US" w:eastAsia="zh-CN"/>
        </w:rPr>
        <w:t xml:space="preserve">并出具检测报告</w:t>
      </w:r>
      <w:r>
        <w:rPr>
          <w:rFonts w:hint="default" w:ascii="宋体" w:hAnsi="宋体" w:eastAsia="宋体" w:cs="宋体"/>
          <w:color w:val="auto"/>
          <w:sz w:val="24"/>
          <w:szCs w:val="24"/>
          <w:highlight w:val="none"/>
        </w:rPr>
        <w:t xml:space="preserve">后</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验收合格次日</w:t>
      </w:r>
      <w:r>
        <w:rPr>
          <w:rFonts w:hint="default" w:ascii="宋体" w:hAnsi="宋体" w:eastAsia="宋体" w:cs="宋体"/>
          <w:color w:val="auto"/>
          <w:sz w:val="24"/>
          <w:szCs w:val="24"/>
          <w:highlight w:val="none"/>
        </w:rPr>
        <w:t xml:space="preserve">进入运维期，开始正式计量结算。</w:t>
      </w:r>
      <w:r/>
    </w:p>
    <w:p>
      <w:pPr>
        <w:ind w:left="0" w:right="0" w:firstLine="480"/>
        <w:jc w:val="both"/>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七</w:t>
      </w:r>
      <w:r>
        <w:rPr>
          <w:rFonts w:hint="default" w:ascii="宋体" w:hAnsi="宋体" w:eastAsia="宋体" w:cs="宋体"/>
          <w:b/>
          <w:bCs/>
          <w:color w:val="auto"/>
          <w:sz w:val="24"/>
          <w:szCs w:val="24"/>
          <w:highlight w:val="none"/>
          <w:shd w:val="clear" w:color="auto" w:fill="ffffff"/>
          <w:lang w:eastAsia="zh-CN"/>
        </w:rPr>
        <w:t xml:space="preserve">、报价要求</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提供水质</w:t>
      </w:r>
      <w:r>
        <w:rPr>
          <w:rFonts w:hint="default" w:ascii="宋体" w:hAnsi="宋体" w:eastAsia="宋体" w:cs="宋体"/>
          <w:color w:val="auto"/>
          <w:sz w:val="24"/>
          <w:szCs w:val="24"/>
          <w:highlight w:val="none"/>
          <w:lang w:val="en-US" w:eastAsia="zh-CN"/>
        </w:rPr>
        <w:t xml:space="preserve">净化</w:t>
      </w:r>
      <w:r>
        <w:rPr>
          <w:rFonts w:hint="default" w:ascii="宋体" w:hAnsi="宋体" w:eastAsia="宋体" w:cs="宋体"/>
          <w:color w:val="auto"/>
          <w:sz w:val="24"/>
          <w:szCs w:val="24"/>
          <w:highlight w:val="none"/>
        </w:rPr>
        <w:t xml:space="preserve">服务价格应包含水质净化设施</w:t>
      </w:r>
      <w:r>
        <w:rPr>
          <w:rFonts w:hint="default" w:ascii="宋体" w:hAnsi="宋体" w:eastAsia="宋体" w:cs="宋体"/>
          <w:color w:val="auto"/>
          <w:sz w:val="24"/>
          <w:szCs w:val="24"/>
          <w:highlight w:val="none"/>
          <w:lang w:val="en-US" w:eastAsia="zh-CN"/>
        </w:rPr>
        <w:t xml:space="preserve">土建施工、净化</w:t>
      </w:r>
      <w:r>
        <w:rPr>
          <w:rFonts w:hint="default" w:ascii="宋体" w:hAnsi="宋体" w:eastAsia="宋体" w:cs="宋体"/>
          <w:color w:val="auto"/>
          <w:sz w:val="24"/>
          <w:szCs w:val="24"/>
          <w:highlight w:val="none"/>
        </w:rPr>
        <w:t xml:space="preserve">设备、出水在线监测设备（</w:t>
      </w:r>
      <w:r>
        <w:rPr>
          <w:rFonts w:hint="default" w:ascii="宋体" w:hAnsi="宋体" w:eastAsia="宋体" w:cs="宋体"/>
          <w:bCs/>
          <w:color w:val="auto"/>
          <w:sz w:val="24"/>
          <w:szCs w:val="24"/>
          <w:highlight w:val="none"/>
          <w:lang w:eastAsia="zh-CN"/>
        </w:rPr>
        <w:t xml:space="preserve">溶解氧、</w:t>
      </w:r>
      <w:r>
        <w:rPr>
          <w:rFonts w:hint="default" w:ascii="宋体" w:hAnsi="宋体" w:eastAsia="仿宋" w:cs="宋体"/>
          <w:bCs/>
          <w:color w:val="auto"/>
          <w:sz w:val="24"/>
          <w:szCs w:val="24"/>
          <w:highlight w:val="none"/>
          <w:lang w:val="en-US" w:eastAsia="zh-CN"/>
        </w:rPr>
        <w:t xml:space="preserve">COD</w:t>
      </w:r>
      <w:r>
        <w:rPr>
          <w:rFonts w:hint="default" w:ascii="宋体" w:hAnsi="宋体" w:eastAsia="宋体" w:cs="宋体"/>
          <w:bCs/>
          <w:color w:val="auto"/>
          <w:sz w:val="24"/>
          <w:szCs w:val="24"/>
          <w:highlight w:val="none"/>
          <w:lang w:eastAsia="zh-CN"/>
        </w:rPr>
        <w:t xml:space="preserve">、氨氮、总磷、</w:t>
      </w:r>
      <w:r>
        <w:rPr>
          <w:rFonts w:hint="default" w:ascii="宋体" w:hAnsi="宋体" w:eastAsia="宋体" w:cs="宋体"/>
          <w:bCs/>
          <w:color w:val="auto"/>
          <w:sz w:val="24"/>
          <w:szCs w:val="24"/>
          <w:highlight w:val="none"/>
          <w:lang w:val="en-US" w:eastAsia="zh-CN"/>
        </w:rPr>
        <w:t xml:space="preserve">SS、</w:t>
      </w:r>
      <w:r>
        <w:rPr>
          <w:rFonts w:hint="default" w:ascii="宋体" w:hAnsi="宋体" w:eastAsia="宋体" w:cs="宋体"/>
          <w:bCs/>
          <w:color w:val="auto"/>
          <w:sz w:val="24"/>
          <w:szCs w:val="24"/>
          <w:highlight w:val="none"/>
          <w:lang w:eastAsia="zh-CN"/>
        </w:rPr>
        <w:t xml:space="preserve">流量计</w:t>
      </w:r>
      <w:r>
        <w:rPr>
          <w:rFonts w:hint="default" w:ascii="宋体" w:hAnsi="宋体" w:eastAsia="宋体" w:cs="宋体"/>
          <w:color w:val="auto"/>
          <w:sz w:val="24"/>
          <w:szCs w:val="24"/>
          <w:highlight w:val="none"/>
        </w:rPr>
        <w:t xml:space="preserve">）、中控、</w:t>
      </w:r>
      <w:r>
        <w:rPr>
          <w:rFonts w:hint="default" w:ascii="宋体" w:hAnsi="宋体" w:eastAsia="宋体" w:cs="宋体"/>
          <w:color w:val="auto"/>
          <w:sz w:val="24"/>
          <w:szCs w:val="24"/>
          <w:highlight w:val="none"/>
          <w:lang w:eastAsia="zh-CN"/>
        </w:rPr>
        <w:t xml:space="preserve">在线数据远程接入、</w:t>
      </w:r>
      <w:r>
        <w:rPr>
          <w:rFonts w:hint="default" w:ascii="宋体" w:hAnsi="宋体" w:eastAsia="宋体" w:cs="宋体"/>
          <w:color w:val="auto"/>
          <w:sz w:val="24"/>
          <w:szCs w:val="24"/>
          <w:highlight w:val="none"/>
        </w:rPr>
        <w:t xml:space="preserve">人员工资及社保（包括人员的食宿费等一切费用）、税金、用水用电、污泥处置、第三方水质检测费</w:t>
      </w:r>
      <w:r>
        <w:rPr>
          <w:rFonts w:hint="default" w:ascii="宋体" w:hAnsi="宋体" w:eastAsia="宋体" w:cs="宋体"/>
          <w:color w:val="auto"/>
          <w:sz w:val="24"/>
          <w:szCs w:val="24"/>
        </w:rPr>
        <w:t xml:space="preserve">等为保证工艺设备正常运行并达到合同规定的处理效果所采取的相应措施等所有费用。</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2、在正式运维期内，由采购人按季度向</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支付款项，</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开具等额增值税专用发票。每季度第一个月5日前，</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汇总上个季度报表上报采购人，采购人在当月月底前付清上个季度款项。</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、设施年运行天数按照365天计算。</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、水质净化服务所用净水设施进水水质按采购需求规定进行设计考虑，运营期内如进水水质条件发生以下变化。</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（1）实际进水水质超过合同约定的进水水质，为保证出水水质达标，可能导致净水设施降低处理水量运行，如不足保底水量，应视为非</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原因导致，采购人应按保底水量支付服务费；</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（2）进水水质远低于约定的进水水质，因净水设施投入、人员投入等均已按合同约定进水水质进行投入，</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服务单价不</w:t>
      </w:r>
      <w:r>
        <w:rPr>
          <w:rFonts w:hint="eastAsia" w:ascii="宋体" w:hAnsi="宋体" w:eastAsia="宋体" w:cs="宋体"/>
          <w:color w:val="auto"/>
          <w:sz w:val="24"/>
          <w:szCs w:val="24"/>
          <w:highlight w:val="none"/>
          <w:lang w:eastAsia="zh-CN"/>
        </w:rPr>
        <w:t xml:space="preserve">作</w:t>
      </w:r>
      <w:r>
        <w:rPr>
          <w:rFonts w:hint="default" w:ascii="宋体" w:hAnsi="宋体" w:eastAsia="宋体" w:cs="宋体"/>
          <w:color w:val="auto"/>
          <w:sz w:val="24"/>
          <w:szCs w:val="24"/>
          <w:highlight w:val="none"/>
        </w:rPr>
        <w:t xml:space="preserve">调整。</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rPr>
        <w:t xml:space="preserve">5</w:t>
      </w:r>
      <w:r>
        <w:rPr>
          <w:rFonts w:hint="default" w:ascii="宋体" w:hAnsi="宋体" w:eastAsia="宋体" w:cs="宋体"/>
          <w:color w:val="auto"/>
          <w:sz w:val="24"/>
          <w:szCs w:val="24"/>
          <w:highlight w:val="none"/>
        </w:rPr>
        <w:t xml:space="preserve">、非</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原因造成设备停运达到60天或未达到合同约定服务期终止服务的，采购人需支付剩余设备费用给</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，应按以下公式计算结果向</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支付剩余设备费用。</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剩余设备费用=合同总价-已支付服务费用-（3年×365天/年-已运维天数）×合同约定处理水量×直接运维成本。</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其中，合同总价=服务单价×合同约定处理水量×运维期×365天/年；</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仿宋" w:cs="宋体"/>
          <w:color w:val="auto"/>
          <w:sz w:val="24"/>
          <w:szCs w:val="24"/>
          <w:lang w:val="en-US" w:eastAsia="zh-CN"/>
        </w:rPr>
        <w:t xml:space="preserve">6</w:t>
      </w:r>
      <w:r>
        <w:rPr>
          <w:rFonts w:hint="default" w:ascii="宋体" w:hAnsi="宋体" w:eastAsia="宋体" w:cs="宋体"/>
          <w:color w:val="auto"/>
          <w:sz w:val="24"/>
          <w:szCs w:val="24"/>
        </w:rPr>
        <w:t xml:space="preserve">、运维期满后，如采购人需要继续服务，服务单价双方另行商议。</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八</w:t>
      </w:r>
      <w:r>
        <w:rPr>
          <w:rFonts w:hint="default" w:ascii="宋体" w:hAnsi="宋体" w:eastAsia="宋体" w:cs="宋体"/>
          <w:b/>
          <w:bCs/>
          <w:color w:val="auto"/>
          <w:sz w:val="24"/>
          <w:szCs w:val="24"/>
          <w:highlight w:val="none"/>
          <w:shd w:val="clear" w:color="auto" w:fill="ffffff"/>
          <w:lang w:eastAsia="zh-CN"/>
        </w:rPr>
        <w:t xml:space="preserve">、</w:t>
      </w:r>
      <w:r>
        <w:rPr>
          <w:rFonts w:hint="default" w:ascii="宋体" w:hAnsi="宋体" w:eastAsia="宋体" w:cs="宋体"/>
          <w:b/>
          <w:bCs/>
          <w:color w:val="auto"/>
          <w:sz w:val="24"/>
          <w:szCs w:val="24"/>
          <w:shd w:val="clear" w:color="auto" w:fill="ffffff"/>
          <w:lang w:eastAsia="zh-CN"/>
        </w:rPr>
        <w:t xml:space="preserve">付款条件</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1、本项目资金结算公式为：本季度水质净化处理服务费=吨水单价×本季度合格出水量。</w:t>
      </w: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每季度第一个月5日前，</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汇总上个季度报表上报采购人，采购人在当月月底前付清上个季度款项，</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开具等额增值税专用发票。</w:t>
      </w:r>
      <w:r/>
    </w:p>
    <w:p>
      <w:pPr>
        <w:numPr>
          <w:ilvl w:val="0"/>
          <w:numId w:val="6"/>
        </w:numPr>
        <w:ind w:left="-6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本项目保底水量为合同约定水量的80%。服务期内非</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原因，当处理水量超过合同约定水量，超出</w:t>
      </w:r>
      <w:r>
        <w:rPr>
          <w:rFonts w:hint="default" w:ascii="宋体" w:hAnsi="宋体" w:eastAsia="仿宋"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0%以内部分据实结算，超出</w:t>
      </w:r>
      <w:r>
        <w:rPr>
          <w:rFonts w:hint="default" w:ascii="宋体" w:hAnsi="宋体" w:eastAsia="仿宋"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0%部分不予结算。</w:t>
      </w:r>
      <w:r>
        <w:rPr>
          <w:rFonts w:hint="default" w:ascii="宋体" w:hAnsi="宋体" w:eastAsia="宋体" w:cs="宋体"/>
          <w:color w:val="auto"/>
          <w:sz w:val="24"/>
          <w:szCs w:val="24"/>
          <w:highlight w:val="none"/>
          <w:lang w:eastAsia="zh-CN"/>
        </w:rPr>
        <w:t xml:space="preserve">如甲方书面另行安排增加进水量，</w:t>
      </w:r>
      <w:r>
        <w:rPr>
          <w:rFonts w:hint="default" w:ascii="宋体" w:hAnsi="宋体" w:eastAsia="宋体" w:cs="宋体"/>
          <w:color w:val="auto"/>
          <w:sz w:val="24"/>
          <w:szCs w:val="24"/>
          <w:highlight w:val="none"/>
        </w:rPr>
        <w:t xml:space="preserve">超出</w:t>
      </w:r>
      <w:r>
        <w:rPr>
          <w:rFonts w:hint="default" w:ascii="宋体" w:hAnsi="宋体" w:eastAsia="宋体" w:cs="宋体"/>
          <w:color w:val="auto"/>
          <w:sz w:val="24"/>
          <w:szCs w:val="24"/>
          <w:highlight w:val="none"/>
          <w:lang w:eastAsia="zh-CN"/>
        </w:rPr>
        <w:t xml:space="preserve">按</w:t>
      </w:r>
      <w:r>
        <w:rPr>
          <w:rFonts w:hint="default" w:ascii="宋体" w:hAnsi="宋体" w:eastAsia="宋体" w:cs="宋体"/>
          <w:color w:val="auto"/>
          <w:sz w:val="24"/>
          <w:szCs w:val="24"/>
          <w:highlight w:val="none"/>
        </w:rPr>
        <w:t xml:space="preserve">实结算</w:t>
      </w:r>
      <w:r>
        <w:rPr>
          <w:rFonts w:hint="default" w:ascii="宋体" w:hAnsi="宋体" w:eastAsia="宋体" w:cs="宋体"/>
          <w:color w:val="auto"/>
          <w:sz w:val="24"/>
          <w:szCs w:val="24"/>
          <w:highlight w:val="none"/>
          <w:lang w:eastAsia="zh-CN"/>
        </w:rPr>
        <w:t xml:space="preserve">。</w:t>
      </w:r>
      <w:r/>
    </w:p>
    <w:p>
      <w:pPr>
        <w:numPr>
          <w:ilvl w:val="0"/>
          <w:numId w:val="0"/>
        </w:num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3、付款方式：电汇。</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bCs/>
          <w:color w:val="auto"/>
          <w:sz w:val="24"/>
          <w:szCs w:val="24"/>
          <w:shd w:val="clear" w:color="auto" w:fill="ffffff"/>
          <w:lang w:val="en-US" w:eastAsia="zh-CN"/>
        </w:rPr>
        <w:t xml:space="preserve">九</w:t>
      </w:r>
      <w:r>
        <w:rPr>
          <w:rFonts w:hint="default" w:ascii="宋体" w:hAnsi="宋体" w:eastAsia="宋体" w:cs="宋体"/>
          <w:b/>
          <w:bCs/>
          <w:color w:val="auto"/>
          <w:sz w:val="24"/>
          <w:szCs w:val="24"/>
          <w:shd w:val="clear" w:color="auto" w:fill="ffffff"/>
          <w:lang w:eastAsia="zh-CN"/>
        </w:rPr>
        <w:t xml:space="preserve">、其他要求</w:t>
      </w:r>
      <w:r/>
    </w:p>
    <w:p>
      <w:pPr>
        <w:ind w:firstLine="600"/>
        <w:jc w:val="both"/>
        <w:keepLines w:val="0"/>
        <w:keepNext w:val="0"/>
        <w:pageBreakBefore w:val="0"/>
        <w:spacing w:line="480" w:lineRule="exact"/>
        <w:widowControl w:val="off"/>
        <w:rPr>
          <w:rFonts w:hint="eastAsia" w:ascii="宋体" w:hAnsi="宋体" w:cs="宋体"/>
          <w:color w:val="auto"/>
        </w:rPr>
        <w:outlineLvl w:val="9"/>
      </w:pPr>
      <w:r>
        <w:rPr>
          <w:rFonts w:hint="default" w:ascii="宋体" w:hAnsi="宋体" w:eastAsia="宋体" w:cs="宋体"/>
          <w:color w:val="auto"/>
          <w:sz w:val="24"/>
          <w:szCs w:val="24"/>
        </w:rPr>
        <w:t xml:space="preserve">本项采购需求为实质性条款，</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必须满足。</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755"/>
        <w:ind w:left="0" w:firstLine="0"/>
        <w:jc w:val="center"/>
        <w:rPr>
          <w:rFonts w:hint="eastAsia" w:ascii="宋体" w:hAnsi="宋体" w:cs="宋体"/>
          <w:color w:val="auto"/>
          <w:highlight w:val="none"/>
        </w:rPr>
      </w:pPr>
      <w:r/>
      <w:bookmarkStart w:id="12" w:name="_Toc18682"/>
      <w:r>
        <w:rPr>
          <w:rFonts w:hint="eastAsia" w:ascii="宋体" w:hAnsi="宋体" w:eastAsia="宋体" w:cs="宋体"/>
          <w:color w:val="auto"/>
          <w:highlight w:val="none"/>
        </w:rPr>
        <w:t xml:space="preserve">第七章 投标文件相关格式</w:t>
      </w:r>
      <w:bookmarkEnd w:id="12"/>
      <w: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一、投标函</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致：</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项目[项目编号：</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]招标文件，</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cs="宋体"/>
          <w:color w:val="auto"/>
          <w:highlight w:val="none"/>
        </w:rPr>
      </w:pPr>
      <w:r>
        <w:rPr>
          <w:rFonts w:hint="eastAsia" w:ascii="宋体" w:hAnsi="宋体" w:eastAsia="仿宋" w:cs="宋体"/>
          <w:color w:val="auto"/>
          <w:highlight w:val="none"/>
        </w:rPr>
        <w:t xml:space="preserve">7.  </w:t>
      </w: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有权将我单位本项目的《开标一览表》和《分项价格表》予以公示，公示的方式由</w:t>
      </w: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确定。</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移动</w:t>
      </w:r>
      <w:r>
        <w:rPr>
          <w:rFonts w:hint="eastAsia" w:ascii="宋体" w:hAnsi="宋体" w:eastAsia="宋体" w:cs="宋体"/>
          <w:color w:val="auto"/>
          <w:highlight w:val="none"/>
        </w:rPr>
        <w:t xml:space="preserve">电话：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cs="宋体"/>
          <w:color w:val="auto"/>
          <w:highlight w:val="none"/>
        </w:rPr>
      </w:pPr>
      <w:r>
        <w:rPr>
          <w:rFonts w:hint="eastAsia" w:ascii="宋体" w:hAnsi="宋体" w:cs="宋体"/>
          <w:color w:val="auto"/>
          <w:highlight w:val="none"/>
        </w:rPr>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二、开标一览表</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highlight w:val="none"/>
          <w:lang w:eastAsia="zh-CN"/>
        </w:rPr>
        <w:t xml:space="preserve">JSZC-320321-JSTQ-G2026-0001</w:t>
      </w:r>
      <w:r/>
    </w:p>
    <w:p>
      <w:pPr>
        <w:jc w:val="right"/>
        <w:rPr>
          <w:rFonts w:hint="eastAsia" w:ascii="宋体" w:hAnsi="宋体" w:cs="宋体"/>
          <w:color w:val="auto"/>
          <w:highlight w:val="none"/>
        </w:rPr>
      </w:pPr>
      <w:r>
        <w:rPr>
          <w:rFonts w:hint="eastAsia" w:ascii="宋体" w:hAnsi="宋体" w:eastAsia="宋体" w:cs="宋体"/>
          <w:color w:val="auto"/>
          <w:highlight w:val="none"/>
        </w:rPr>
        <w:t xml:space="preserve">货币单位：人民币元</w:t>
      </w:r>
      <w:r/>
    </w:p>
    <w:p>
      <w:pPr>
        <w:jc w:val="right"/>
        <w:rPr>
          <w:rFonts w:hint="eastAsia" w:ascii="宋体" w:hAnsi="宋体" w:cs="宋体"/>
          <w:color w:val="auto"/>
          <w:highlight w:val="none"/>
        </w:rPr>
      </w:pPr>
      <w:r>
        <w:rPr>
          <w:rFonts w:hint="eastAsia" w:ascii="宋体" w:hAnsi="宋体" w:cs="宋体"/>
          <w:color w:val="auto"/>
          <w:highlight w:val="none"/>
        </w:rPr>
      </w:r>
      <w:r/>
    </w:p>
    <w:tbl>
      <w:tblPr>
        <w:tblStyle w:val="765"/>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项目名称</w:t>
            </w:r>
            <w:r/>
          </w:p>
        </w:tc>
        <w:tc>
          <w:tcPr>
            <w:tcW w:w="2383" w:type="dxa"/>
            <w:vAlign w:val="center"/>
            <w:textDirection w:val="lrTb"/>
            <w:noWrap w:val="false"/>
          </w:tcPr>
          <w:p>
            <w:pPr>
              <w:jc w:val="center"/>
              <w:widowControl w:val="off"/>
              <w:rPr>
                <w:rFonts w:hint="eastAsia" w:ascii="宋体" w:hAnsi="宋体" w:cs="宋体"/>
                <w:bCs/>
                <w:color w:val="auto"/>
                <w:szCs w:val="24"/>
                <w:highlight w:val="none"/>
              </w:rPr>
            </w:pPr>
            <w:r>
              <w:rPr>
                <w:rStyle w:val="804"/>
                <w:rFonts w:hint="eastAsia" w:ascii="宋体" w:hAnsi="宋体" w:eastAsia="宋体" w:cs="宋体"/>
                <w:color w:val="auto"/>
                <w:sz w:val="24"/>
                <w:highlight w:val="none"/>
              </w:rPr>
              <w:t xml:space="preserve">项目内容</w:t>
            </w:r>
            <w:r/>
          </w:p>
        </w:tc>
        <w:tc>
          <w:tcPr>
            <w:tcW w:w="4109"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价（小写）</w:t>
            </w:r>
            <w:r/>
          </w:p>
        </w:tc>
      </w:tr>
      <w:tr>
        <w:trPr>
          <w:cantSplit/>
          <w:jc w:val="center"/>
          <w:trHeight w:val="1833"/>
        </w:trPr>
        <w:tc>
          <w:tcPr>
            <w:tcW w:w="3143"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丰县分布式污水处理项目(四号沟站点)</w:t>
            </w:r>
            <w:r/>
          </w:p>
        </w:tc>
        <w:tc>
          <w:tcPr>
            <w:tcBorders>
              <w:right w:val="single" w:color="auto" w:sz="4" w:space="0"/>
            </w:tcBorders>
            <w:tcW w:w="2383" w:type="dxa"/>
            <w:vAlign w:val="center"/>
            <w:textDirection w:val="lrTb"/>
            <w:noWrap w:val="false"/>
          </w:tcPr>
          <w:p>
            <w:pPr>
              <w:jc w:val="center"/>
              <w:widowControl w:val="off"/>
              <w:rPr>
                <w:rFonts w:hint="eastAsia" w:ascii="宋体" w:hAnsi="宋体" w:cs="宋体"/>
                <w:bCs/>
                <w:color w:val="auto"/>
                <w:szCs w:val="24"/>
                <w:highlight w:val="none"/>
                <w:u w:val="single"/>
              </w:rPr>
            </w:pPr>
            <w:r>
              <w:rPr>
                <w:rStyle w:val="804"/>
                <w:rFonts w:hint="eastAsia" w:ascii="宋体" w:hAnsi="宋体" w:eastAsia="宋体" w:cs="宋体"/>
                <w:color w:val="auto"/>
                <w:sz w:val="24"/>
                <w:highlight w:val="none"/>
              </w:rPr>
              <w:t xml:space="preserve">详见</w:t>
            </w:r>
            <w:r>
              <w:rPr>
                <w:rStyle w:val="804"/>
                <w:rFonts w:hint="eastAsia" w:ascii="宋体" w:hAnsi="宋体" w:eastAsia="宋体" w:cs="宋体"/>
                <w:color w:val="auto"/>
                <w:sz w:val="24"/>
                <w:highlight w:val="none"/>
                <w:lang w:val="en-US" w:eastAsia="zh-CN"/>
              </w:rPr>
              <w:t xml:space="preserve">投标文件</w:t>
            </w:r>
            <w:r/>
          </w:p>
        </w:tc>
        <w:tc>
          <w:tcPr>
            <w:tcBorders>
              <w:left w:val="single" w:color="auto" w:sz="4" w:space="0"/>
            </w:tcBorders>
            <w:tcW w:w="4109"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135"/>
        </w:trPr>
        <w:tc>
          <w:tcPr>
            <w:tcW w:w="3143"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价（大写）：</w:t>
            </w:r>
            <w:r/>
          </w:p>
        </w:tc>
        <w:tc>
          <w:tcPr>
            <w:gridSpan w:val="2"/>
            <w:tcW w:w="6492"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805"/>
        <w:rPr>
          <w:rFonts w:hint="eastAsia" w:ascii="宋体" w:hAnsi="宋体" w:cs="宋体"/>
          <w:b/>
          <w:color w:val="auto"/>
          <w:sz w:val="24"/>
          <w:highlight w:val="none"/>
        </w:rPr>
      </w:pPr>
      <w:r>
        <w:rPr>
          <w:rFonts w:hint="eastAsia" w:ascii="宋体" w:hAnsi="宋体" w:cs="宋体"/>
          <w:b/>
          <w:color w:val="auto"/>
          <w:sz w:val="24"/>
          <w:highlight w:val="none"/>
        </w:rPr>
      </w:r>
      <w:r/>
    </w:p>
    <w:p>
      <w:pPr>
        <w:pStyle w:val="808"/>
        <w:spacing w:line="52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供应商承诺：本报价（总价）为供应商本企业提供的服务。</w:t>
      </w:r>
      <w:r/>
    </w:p>
    <w:p>
      <w:pPr>
        <w:pStyle w:val="805"/>
        <w:rPr>
          <w:rFonts w:hint="eastAsia" w:ascii="宋体" w:hAnsi="宋体" w:cs="宋体"/>
          <w:color w:val="auto"/>
          <w:sz w:val="24"/>
          <w:highlight w:val="none"/>
        </w:rPr>
      </w:pPr>
      <w:r>
        <w:rPr>
          <w:rFonts w:hint="eastAsia" w:ascii="宋体" w:hAnsi="宋体" w:cs="宋体"/>
          <w:color w:val="auto"/>
          <w:sz w:val="24"/>
          <w:highlight w:val="none"/>
        </w:rPr>
      </w:r>
      <w:r/>
    </w:p>
    <w:p>
      <w:pPr>
        <w:pStyle w:val="808"/>
        <w:spacing w:line="52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报价说明：</w:t>
      </w:r>
      <w:r/>
    </w:p>
    <w:p>
      <w:pPr>
        <w:pStyle w:val="808"/>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p>
    <w:p>
      <w:pPr>
        <w:pStyle w:val="808"/>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2、报价以</w:t>
      </w: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价为准，大小写不一致以大写为准；</w:t>
      </w:r>
      <w:r/>
    </w:p>
    <w:p>
      <w:pPr>
        <w:pStyle w:val="808"/>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3、偏离说明：详见《偏离表》；</w:t>
      </w:r>
      <w:r/>
    </w:p>
    <w:p>
      <w:pPr>
        <w:rPr>
          <w:rFonts w:hint="eastAsia" w:ascii="宋体" w:hAnsi="宋体" w:cs="宋体"/>
          <w:color w:val="auto"/>
          <w:highlight w:val="none"/>
        </w:rPr>
      </w:pPr>
      <w:r>
        <w:rPr>
          <w:rFonts w:hint="eastAsia" w:ascii="宋体" w:hAnsi="宋体" w:cs="宋体"/>
          <w:color w:val="auto"/>
          <w:highlight w:val="none"/>
        </w:rPr>
      </w:r>
      <w:r/>
    </w:p>
    <w:p>
      <w:pPr>
        <w:pStyle w:val="805"/>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05"/>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三、分项价格表</w:t>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仿宋" w:cs="宋体"/>
          <w:color w:val="auto"/>
          <w:highlight w:val="none"/>
        </w:rPr>
        <w:t xml:space="preserve">  </w:t>
      </w: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highlight w:val="none"/>
          <w:lang w:eastAsia="zh-CN"/>
        </w:rPr>
        <w:t xml:space="preserve">JSZC-320321-JSTQ-G2026-0001</w:t>
      </w:r>
      <w:r>
        <w:rPr>
          <w:rFonts w:hint="eastAsia" w:ascii="宋体" w:hAnsi="宋体" w:eastAsia="仿宋" w:cs="宋体"/>
          <w:color w:val="auto"/>
          <w:highlight w:val="none"/>
          <w:lang w:val="en-US" w:eastAsia="zh-CN"/>
        </w:rPr>
        <w:t xml:space="preserve">       </w:t>
      </w:r>
      <w:r>
        <w:rPr>
          <w:rFonts w:hint="eastAsia" w:ascii="宋体" w:hAnsi="宋体" w:eastAsia="宋体" w:cs="宋体"/>
          <w:color w:val="auto"/>
          <w:highlight w:val="none"/>
        </w:rPr>
        <w:t xml:space="preserve">货币单位：人民币元</w:t>
      </w:r>
      <w:r/>
    </w:p>
    <w:p>
      <w:pPr>
        <w:jc w:val="center"/>
        <w:rPr>
          <w:rFonts w:hint="eastAsia" w:ascii="宋体" w:hAnsi="宋体" w:cs="宋体"/>
          <w:color w:val="auto"/>
          <w:sz w:val="44"/>
          <w:szCs w:val="32"/>
          <w:highlight w:val="none"/>
        </w:rPr>
      </w:pPr>
      <w:r>
        <w:rPr>
          <w:rFonts w:hint="eastAsia" w:ascii="宋体" w:hAnsi="宋体" w:cs="宋体"/>
          <w:color w:val="auto"/>
          <w:sz w:val="44"/>
          <w:szCs w:val="32"/>
          <w:highlight w:val="none"/>
        </w:rPr>
      </w:r>
      <w:r/>
    </w:p>
    <w:p>
      <w:pPr>
        <w:jc w:val="center"/>
        <w:rPr>
          <w:rFonts w:hint="eastAsia" w:ascii="宋体" w:hAnsi="宋体" w:cs="宋体"/>
          <w:color w:val="auto"/>
          <w:sz w:val="44"/>
          <w:szCs w:val="32"/>
          <w:highlight w:val="none"/>
        </w:rPr>
      </w:pPr>
      <w:r>
        <w:rPr>
          <w:rFonts w:hint="eastAsia" w:ascii="宋体" w:hAnsi="宋体" w:eastAsia="宋体" w:cs="宋体"/>
          <w:color w:val="auto"/>
          <w:sz w:val="44"/>
          <w:szCs w:val="32"/>
          <w:highlight w:val="none"/>
          <w:lang w:val="en-US" w:eastAsia="zh-CN"/>
        </w:rPr>
        <w:t xml:space="preserve">格式自拟</w:t>
      </w:r>
      <w:r/>
    </w:p>
    <w:p>
      <w:pPr>
        <w:jc w:val="right"/>
        <w:rPr>
          <w:rFonts w:hint="eastAsia" w:ascii="宋体" w:hAnsi="宋体" w:cs="宋体"/>
          <w:color w:val="auto"/>
          <w:highlight w:val="none"/>
        </w:rPr>
      </w:pPr>
      <w:r>
        <w:rPr>
          <w:rFonts w:hint="eastAsia" w:ascii="宋体" w:hAnsi="宋体" w:eastAsia="仿宋" w:cs="宋体"/>
          <w:color w:val="auto"/>
          <w:highlight w:val="none"/>
          <w:lang w:val="en-US" w:eastAsia="zh-CN"/>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说明：</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注：</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1.如果不提供详细分项报价将视为没有实质性响应招标文件。</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2.投标人对以上数据的真实性负责。</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3.本项报价表合计数额应等于开标一览表中“总价”的报价。</w:t>
      </w:r>
      <w:r/>
    </w:p>
    <w:p>
      <w:pPr>
        <w:ind w:firstLine="480"/>
        <w:spacing w:line="24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240" w:lineRule="auto"/>
        <w:rPr>
          <w:rFonts w:hint="eastAsia" w:ascii="宋体" w:hAnsi="宋体" w:cs="宋体"/>
          <w:i/>
          <w:iCs/>
          <w:color w:val="auto"/>
          <w:highlight w:val="none"/>
        </w:rPr>
      </w:pPr>
      <w:r>
        <w:rPr>
          <w:rFonts w:hint="eastAsia" w:ascii="宋体" w:hAnsi="宋体" w:eastAsia="宋体" w:cs="宋体"/>
          <w:b/>
          <w:bCs/>
          <w:i/>
          <w:iCs/>
          <w:color w:val="auto"/>
          <w:highlight w:val="none"/>
          <w:u w:val="single"/>
          <w:lang w:eastAsia="zh-CN"/>
        </w:rPr>
        <w:t xml:space="preserve">江苏天奇项目管理咨询有限公司</w:t>
      </w:r>
      <w:r>
        <w:rPr>
          <w:rFonts w:hint="eastAsia" w:ascii="宋体" w:hAnsi="宋体" w:eastAsia="宋体" w:cs="宋体"/>
          <w:i/>
          <w:iCs/>
          <w:color w:val="auto"/>
          <w:highlight w:val="none"/>
          <w:u w:val="single"/>
        </w:rPr>
        <w:t xml:space="preserve">有权将以上内容进行公示</w:t>
      </w:r>
      <w:r>
        <w:rPr>
          <w:rFonts w:hint="eastAsia" w:ascii="宋体" w:hAnsi="宋体" w:eastAsia="宋体" w:cs="宋体"/>
          <w:i/>
          <w:iCs/>
          <w:color w:val="auto"/>
          <w:highlight w:val="none"/>
        </w:rPr>
        <w:t xml:space="preserve">。</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四、偏离表</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highlight w:val="none"/>
          <w:lang w:eastAsia="zh-CN"/>
        </w:rPr>
        <w:t xml:space="preserve">JSZC-320321-JSTQ-G2026-0001</w:t>
      </w:r>
      <w:r/>
    </w:p>
    <w:p>
      <w:pPr>
        <w:rPr>
          <w:rFonts w:hint="eastAsia" w:ascii="宋体" w:hAnsi="宋体" w:cs="宋体"/>
          <w:color w:val="auto"/>
          <w:highlight w:val="none"/>
        </w:rPr>
      </w:pPr>
      <w:r>
        <w:rPr>
          <w:rFonts w:hint="eastAsia" w:ascii="宋体" w:hAnsi="宋体" w:cs="宋体"/>
          <w:color w:val="auto"/>
          <w:highlight w:val="none"/>
        </w:rPr>
      </w:r>
      <w:r/>
    </w:p>
    <w:tbl>
      <w:tblPr>
        <w:tblStyle w:val="765"/>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rPr>
          <w:rFonts w:hint="eastAsia" w:ascii="宋体" w:hAnsi="宋体" w:cs="宋体"/>
          <w:color w:val="auto"/>
          <w:highlight w:val="none"/>
        </w:rPr>
      </w:pPr>
      <w:r>
        <w:rPr>
          <w:rFonts w:hint="eastAsia" w:ascii="宋体" w:hAnsi="宋体" w:cs="宋体"/>
          <w:color w:val="auto"/>
          <w:highlight w:val="none"/>
        </w:rPr>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五、法定代表人授权书</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委托人：</w:t>
      </w:r>
      <w:r/>
    </w:p>
    <w:p>
      <w:pPr>
        <w:rPr>
          <w:rFonts w:hint="eastAsia" w:ascii="宋体" w:hAnsi="宋体" w:cs="宋体"/>
          <w:color w:val="auto"/>
          <w:highlight w:val="none"/>
        </w:rPr>
      </w:pPr>
      <w:r>
        <w:rPr>
          <w:rFonts w:hint="eastAsia" w:ascii="宋体" w:hAnsi="宋体" w:eastAsia="宋体" w:cs="宋体"/>
          <w:color w:val="auto"/>
          <w:highlight w:val="none"/>
        </w:rPr>
        <w:t xml:space="preserve">地  址：</w:t>
      </w:r>
      <w:r/>
    </w:p>
    <w:p>
      <w:pPr>
        <w:rPr>
          <w:rFonts w:hint="eastAsia" w:ascii="宋体" w:hAnsi="宋体" w:cs="宋体"/>
          <w:color w:val="auto"/>
          <w:highlight w:val="none"/>
        </w:rPr>
      </w:pPr>
      <w:r>
        <w:rPr>
          <w:rFonts w:hint="eastAsia" w:ascii="宋体" w:hAnsi="宋体" w:eastAsia="宋体" w:cs="宋体"/>
          <w:color w:val="auto"/>
          <w:highlight w:val="none"/>
        </w:rPr>
        <w:t xml:space="preserve">法定代表人（负责人）：               职务：</w:t>
      </w:r>
      <w:r/>
    </w:p>
    <w:p>
      <w:pPr>
        <w:rPr>
          <w:rFonts w:hint="eastAsia" w:ascii="宋体" w:hAnsi="宋体" w:cs="宋体"/>
          <w:color w:val="auto"/>
          <w:highlight w:val="none"/>
        </w:rPr>
      </w:pPr>
      <w:r>
        <w:rPr>
          <w:rFonts w:hint="eastAsia" w:ascii="宋体" w:hAnsi="宋体" w:eastAsia="宋体" w:cs="宋体"/>
          <w:color w:val="auto"/>
          <w:highlight w:val="none"/>
        </w:rPr>
        <w:t xml:space="preserve">统一社会信用代码：</w:t>
      </w:r>
      <w:r/>
    </w:p>
    <w:p>
      <w:pPr>
        <w:rPr>
          <w:rFonts w:hint="eastAsia" w:ascii="宋体" w:hAnsi="宋体" w:cs="宋体"/>
          <w:color w:val="auto"/>
          <w:highlight w:val="none"/>
        </w:rPr>
      </w:pPr>
      <w:r>
        <w:rPr>
          <w:rFonts w:hint="eastAsia" w:ascii="宋体" w:hAnsi="宋体" w:eastAsia="宋体" w:cs="宋体"/>
          <w:color w:val="auto"/>
          <w:highlight w:val="none"/>
        </w:rPr>
        <w:t xml:space="preserve">受托人：                   性别：男（女）  </w:t>
      </w:r>
      <w:r/>
    </w:p>
    <w:p>
      <w:pPr>
        <w:rPr>
          <w:rFonts w:hint="eastAsia" w:ascii="宋体" w:hAnsi="宋体" w:cs="宋体"/>
          <w:color w:val="auto"/>
          <w:highlight w:val="none"/>
        </w:rPr>
      </w:pPr>
      <w:r>
        <w:rPr>
          <w:rFonts w:hint="eastAsia" w:ascii="宋体" w:hAnsi="宋体" w:eastAsia="宋体" w:cs="宋体"/>
          <w:color w:val="auto"/>
          <w:highlight w:val="none"/>
        </w:rPr>
        <w:t xml:space="preserve">年龄：  岁                 民族：   族</w:t>
      </w:r>
      <w:r/>
    </w:p>
    <w:p>
      <w:pPr>
        <w:rPr>
          <w:rFonts w:hint="eastAsia" w:ascii="宋体" w:hAnsi="宋体" w:cs="宋体"/>
          <w:color w:val="auto"/>
          <w:highlight w:val="none"/>
        </w:rPr>
      </w:pPr>
      <w:r>
        <w:rPr>
          <w:rFonts w:hint="eastAsia" w:ascii="宋体" w:hAnsi="宋体" w:eastAsia="宋体" w:cs="宋体"/>
          <w:color w:val="auto"/>
          <w:highlight w:val="none"/>
        </w:rPr>
        <w:t xml:space="preserve">职务：                     移动电话：</w:t>
      </w:r>
      <w:r/>
    </w:p>
    <w:p>
      <w:pPr>
        <w:rPr>
          <w:rFonts w:hint="eastAsia" w:ascii="宋体" w:hAnsi="宋体" w:cs="宋体"/>
          <w:color w:val="auto"/>
          <w:highlight w:val="none"/>
        </w:rPr>
      </w:pPr>
      <w:r>
        <w:rPr>
          <w:rFonts w:hint="eastAsia" w:ascii="宋体" w:hAnsi="宋体" w:eastAsia="宋体" w:cs="宋体"/>
          <w:color w:val="auto"/>
          <w:highlight w:val="none"/>
        </w:rPr>
        <w:t xml:space="preserve">身份证号：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兹委托（      ）全权代表我企业（公司）参与（</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宋体" w:cs="宋体"/>
          <w:color w:val="auto"/>
          <w:highlight w:val="none"/>
        </w:rPr>
        <w:t xml:space="preserve">）项目（项目编号：</w:t>
      </w:r>
      <w:r>
        <w:rPr>
          <w:rFonts w:hint="eastAsia" w:ascii="宋体" w:hAnsi="宋体" w:eastAsia="仿宋" w:cs="宋体"/>
          <w:color w:val="auto"/>
          <w:highlight w:val="none"/>
          <w:lang w:val="en-US" w:eastAsia="zh-CN"/>
        </w:rPr>
        <w:t xml:space="preserve">          </w:t>
      </w:r>
      <w:r>
        <w:rPr>
          <w:rFonts w:hint="eastAsia" w:ascii="宋体" w:hAnsi="宋体" w:eastAsia="宋体" w:cs="宋体"/>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特此授权委托。</w:t>
      </w:r>
      <w:r/>
    </w:p>
    <w:p>
      <w:pPr>
        <w:jc w:val="righ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委托人（盖章）：          </w:t>
      </w:r>
      <w:r/>
    </w:p>
    <w:p>
      <w:pPr>
        <w:rPr>
          <w:rFonts w:hint="eastAsia" w:ascii="宋体" w:hAnsi="宋体" w:cs="宋体"/>
          <w:color w:val="auto"/>
          <w:highlight w:val="none"/>
        </w:rPr>
      </w:pPr>
      <w:r>
        <w:rPr>
          <w:rFonts w:hint="eastAsia" w:ascii="宋体" w:hAnsi="宋体" w:eastAsia="宋体" w:cs="宋体"/>
          <w:color w:val="auto"/>
          <w:highlight w:val="none"/>
        </w:rPr>
        <w:t xml:space="preserve">法定代表人（签字或盖章）：          </w:t>
      </w:r>
      <w:r/>
    </w:p>
    <w:p>
      <w:pPr>
        <w:rPr>
          <w:rFonts w:hint="eastAsia" w:ascii="宋体" w:hAnsi="宋体" w:cs="宋体"/>
          <w:color w:val="auto"/>
          <w:highlight w:val="none"/>
        </w:rPr>
      </w:pPr>
      <w:r>
        <w:rPr>
          <w:rFonts w:hint="eastAsia" w:ascii="宋体" w:hAnsi="宋体" w:eastAsia="宋体" w:cs="宋体"/>
          <w:color w:val="auto"/>
          <w:highlight w:val="none"/>
        </w:rPr>
        <w:t xml:space="preserve">受托人（签字</w:t>
      </w:r>
      <w:r>
        <w:rPr>
          <w:rFonts w:hint="eastAsia" w:ascii="宋体" w:hAnsi="宋体" w:eastAsia="宋体" w:cs="宋体"/>
          <w:color w:val="auto"/>
          <w:highlight w:val="none"/>
          <w:lang w:val="en-US" w:eastAsia="zh-CN"/>
        </w:rPr>
        <w:t xml:space="preserve">或盖章</w:t>
      </w:r>
      <w:r>
        <w:rPr>
          <w:rFonts w:hint="eastAsia" w:ascii="宋体" w:hAnsi="宋体" w:eastAsia="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right"/>
        <w:rPr>
          <w:rFonts w:hint="eastAsia" w:ascii="宋体" w:hAnsi="宋体" w:cs="宋体"/>
          <w:color w:val="auto"/>
          <w:highlight w:val="none"/>
        </w:rPr>
      </w:pPr>
      <w:r>
        <w:rPr>
          <w:rFonts w:hint="eastAsia" w:ascii="宋体" w:hAnsi="宋体" w:eastAsia="宋体" w:cs="宋体"/>
          <w:color w:val="auto"/>
          <w:highlight w:val="none"/>
        </w:rPr>
        <w:t xml:space="preserve">年   月   日 </w:t>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eastAsia="宋体" w:cs="宋体"/>
          <w:color w:val="auto"/>
          <w:highlight w:val="none"/>
        </w:rPr>
        <w:t xml:space="preserve">(受托人</w:t>
      </w:r>
      <w:r>
        <w:rPr>
          <w:rFonts w:hint="eastAsia" w:ascii="宋体" w:hAnsi="宋体" w:eastAsia="宋体" w:cs="宋体"/>
          <w:color w:val="auto"/>
          <w:highlight w:val="none"/>
          <w:lang w:val="en-US" w:eastAsia="zh-CN"/>
        </w:rPr>
        <w:t xml:space="preserve">有效</w:t>
      </w:r>
      <w:r>
        <w:rPr>
          <w:rFonts w:hint="eastAsia" w:ascii="宋体" w:hAnsi="宋体" w:eastAsia="宋体" w:cs="宋体"/>
          <w:color w:val="auto"/>
          <w:highlight w:val="none"/>
        </w:rPr>
        <w:t xml:space="preserve">身份证复印件附后)</w:t>
      </w:r>
      <w:r/>
    </w:p>
    <w:p>
      <w:pPr>
        <w:rPr>
          <w:rFonts w:hint="eastAsia" w:ascii="宋体" w:hAnsi="宋体" w:cs="宋体"/>
          <w:color w:val="auto"/>
          <w:highlight w:val="none"/>
        </w:rPr>
      </w:pPr>
      <w:r>
        <w:rPr>
          <w:rFonts w:hint="eastAsia" w:ascii="宋体" w:hAnsi="宋体" w:eastAsia="仿宋" w:cs="宋体"/>
          <w:color w:val="auto"/>
          <w:highlight w:val="none"/>
        </w:rPr>
        <w:t xml:space="preserve"> </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756"/>
        <w:jc w:val="center"/>
        <w:rPr>
          <w:rFonts w:hint="eastAsia" w:ascii="宋体" w:hAnsi="宋体" w:cs="宋体"/>
          <w:color w:val="auto"/>
          <w:highlight w:val="none"/>
        </w:rPr>
      </w:pPr>
      <w:r>
        <w:rPr>
          <w:rFonts w:hint="eastAsia" w:ascii="宋体" w:hAnsi="宋体" w:eastAsia="宋体" w:cs="宋体"/>
          <w:color w:val="auto"/>
          <w:highlight w:val="none"/>
        </w:rPr>
        <w:t xml:space="preserve">六、中小企业声明函（如是）</w:t>
      </w:r>
      <w:r/>
    </w:p>
    <w:p>
      <w:pPr>
        <w:pStyle w:val="805"/>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丰县分布式污水处理项目(四号沟站点)</w:t>
      </w:r>
      <w:r>
        <w:rPr>
          <w:rFonts w:hint="eastAsia" w:ascii="宋体" w:hAnsi="宋体" w:eastAsia="仿宋" w:cs="宋体"/>
          <w:color w:val="auto"/>
          <w:sz w:val="24"/>
          <w:highlight w:val="none"/>
        </w:rPr>
        <w:t xml:space="preserve">                           </w:t>
      </w:r>
      <w:r/>
    </w:p>
    <w:p>
      <w:pPr>
        <w:pStyle w:val="805"/>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仿宋" w:cs="宋体"/>
          <w:color w:val="auto"/>
          <w:sz w:val="24"/>
          <w:highlight w:val="none"/>
          <w:lang w:eastAsia="zh-CN"/>
        </w:rPr>
        <w:t xml:space="preserve">JSZC-320321-JSTQ-G2026-0001</w:t>
      </w:r>
      <w:r>
        <w:rPr>
          <w:rFonts w:hint="eastAsia" w:ascii="宋体" w:hAnsi="宋体" w:eastAsia="仿宋" w:cs="宋体"/>
          <w:color w:val="auto"/>
          <w:sz w:val="24"/>
          <w:highlight w:val="none"/>
        </w:rPr>
        <w:t xml:space="preserve">                                 </w:t>
      </w:r>
      <w:r/>
    </w:p>
    <w:p>
      <w:pPr>
        <w:pStyle w:val="805"/>
        <w:rPr>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采购活动，服务全部由符合政策要求的中小企业承接。相关企业的具体情况如下：</w:t>
      </w:r>
      <w:r/>
    </w:p>
    <w:p>
      <w:pPr>
        <w:ind w:firstLine="480"/>
        <w:spacing w:line="480" w:lineRule="exact"/>
        <w:rPr>
          <w:rFonts w:hint="eastAsia" w:ascii="宋体" w:hAnsi="宋体" w:cs="宋体"/>
          <w:color w:val="auto"/>
          <w:highlight w:val="none"/>
          <w:u w:val="single"/>
        </w:rPr>
      </w:pPr>
      <w:r>
        <w:rPr>
          <w:rFonts w:hint="eastAsia" w:ascii="宋体" w:hAnsi="宋体" w:cs="宋体"/>
          <w:color w:val="auto"/>
          <w:highlight w:val="none"/>
          <w:u w:val="single"/>
        </w:rPr>
      </w:r>
      <w:r/>
    </w:p>
    <w:p>
      <w:pPr>
        <w:ind w:firstLine="480"/>
        <w:spacing w:line="480" w:lineRule="exact"/>
        <w:rPr>
          <w:rFonts w:hint="eastAsia" w:ascii="宋体" w:hAnsi="宋体" w:cs="宋体"/>
          <w:color w:val="auto"/>
          <w:highlight w:val="non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丰县分布式污水处理项目(四号沟站点)</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人， 营业收入为</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b/>
          <w:color w:val="auto"/>
          <w:highlight w:val="none"/>
        </w:rPr>
        <w:t xml:space="preserve">属于（□中型企业、□小型企业、□微型企业，请勾选！）</w:t>
      </w:r>
      <w:r>
        <w:rPr>
          <w:rFonts w:hint="eastAsia" w:ascii="宋体" w:hAnsi="宋体" w:eastAsia="宋体" w:cs="宋体"/>
          <w:color w:val="auto"/>
          <w:highlight w:val="none"/>
        </w:rPr>
        <w:t xml:space="preserve">；</w:t>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w:t>
      </w:r>
      <w:r/>
    </w:p>
    <w:p>
      <w:pPr>
        <w:ind w:firstLine="560"/>
        <w:spacing w:line="480" w:lineRule="exact"/>
        <w:rPr>
          <w:rFonts w:hint="eastAsia" w:ascii="宋体" w:hAnsi="宋体" w:cs="宋体"/>
          <w:color w:val="auto"/>
          <w:highlight w:val="none"/>
        </w:rPr>
      </w:pPr>
      <w:r>
        <w:rPr>
          <w:rFonts w:hint="eastAsia" w:ascii="宋体" w:hAnsi="宋体" w:cs="宋体"/>
          <w:color w:val="auto"/>
          <w:highlight w:val="none"/>
        </w:rPr>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560"/>
        <w:spacing w:line="480" w:lineRule="exact"/>
        <w:rPr>
          <w:rFonts w:hint="eastAsia" w:ascii="宋体" w:hAnsi="宋体" w:cs="宋体"/>
          <w:color w:val="auto"/>
          <w:highlight w:val="none"/>
        </w:rPr>
      </w:pPr>
      <w:r>
        <w:rPr>
          <w:rFonts w:hint="eastAsia" w:ascii="宋体" w:hAnsi="宋体" w:cs="宋体"/>
          <w:color w:val="auto"/>
          <w:highlight w:val="none"/>
        </w:rPr>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备注：</w:t>
      </w:r>
      <w:r/>
    </w:p>
    <w:p>
      <w:pPr>
        <w:ind w:firstLine="480"/>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1、本项目采购的服务属于</w:t>
      </w:r>
      <w:r>
        <w:rPr>
          <w:rFonts w:hint="eastAsia" w:ascii="宋体" w:hAnsi="宋体" w:eastAsia="宋体" w:cs="宋体"/>
          <w:b/>
          <w:color w:val="auto"/>
          <w:highlight w:val="none"/>
          <w:u w:val="single"/>
          <w:lang w:eastAsia="zh-CN"/>
        </w:rPr>
        <w:t xml:space="preserve">技术服务业</w:t>
      </w:r>
      <w:r>
        <w:rPr>
          <w:rFonts w:hint="eastAsia" w:ascii="宋体" w:hAnsi="宋体" w:eastAsia="宋体" w:cs="宋体"/>
          <w:b/>
          <w:color w:val="auto"/>
          <w:highlight w:val="none"/>
        </w:rPr>
        <w:t xml:space="preserve">。</w:t>
      </w:r>
      <w:r/>
    </w:p>
    <w:p>
      <w:pPr>
        <w:ind w:firstLine="480"/>
        <w:spacing w:line="480" w:lineRule="exact"/>
        <w:rPr>
          <w:rFonts w:hint="eastAsia" w:ascii="宋体" w:hAnsi="宋体" w:cs="宋体"/>
          <w:color w:val="auto"/>
          <w:highlight w:val="none"/>
        </w:rPr>
      </w:pPr>
      <w:r>
        <w:rPr>
          <w:rFonts w:hint="eastAsia" w:ascii="宋体" w:hAnsi="宋体" w:eastAsia="宋体" w:cs="宋体"/>
          <w:b/>
          <w:color w:val="auto"/>
          <w:highlight w:val="none"/>
        </w:rPr>
        <w:t xml:space="preserve">2、从业人员、营业收入、资产总额填报上一年度数据，无上一年度数据的新成立企业可不填报。</w:t>
      </w:r>
      <w:r/>
    </w:p>
    <w:p>
      <w:pPr>
        <w:ind w:firstLine="480"/>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3、《中小企业声明函》查询渠道参考工业和信息化部发布的中小企业规模自测小程序。</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附件：中小企业规模类型自测小程序</w:t>
      </w:r>
      <w:r/>
    </w:p>
    <w:p>
      <w:pPr>
        <w:rPr>
          <w:rFonts w:hint="eastAsia" w:ascii="宋体" w:hAnsi="宋体" w:cs="宋体"/>
          <w:color w:val="auto"/>
          <w:highlight w:val="none"/>
        </w:rPr>
      </w:pPr>
      <w:r>
        <w:rPr>
          <w:rFonts w:hint="eastAsia" w:ascii="宋体" w:hAnsi="宋体" w:cs="宋体"/>
          <w:color w:val="auto"/>
          <w:highlight w:val="none"/>
        </w:rPr>
      </w:r>
      <w:r/>
    </w:p>
    <w:p>
      <w:pPr>
        <w:pStyle w:val="797"/>
        <w:jc w:val="center"/>
        <w:rPr>
          <w:rFonts w:hint="eastAsia" w:ascii="宋体" w:hAnsi="宋体" w:cs="宋体"/>
          <w:color w:val="auto"/>
          <w:highlight w:val="none"/>
        </w:rPr>
      </w:pPr>
      <w:r>
        <w:rPr>
          <w:rFonts w:hint="eastAsia" w:ascii="宋体" w:hAnsi="宋体" w:eastAsia="仿宋" w:cs="宋体"/>
          <w:color w:val="auto"/>
          <w:highlight w:val="none"/>
        </w:rPr>
        <mc:AlternateContent>
          <mc:Choice Requires="wpg">
            <w:drawing>
              <wp:inline xmlns:wp="http://schemas.openxmlformats.org/drawingml/2006/wordprocessingDrawing" distT="0" distB="0" distL="0" distR="0">
                <wp:extent cx="2044065" cy="4206875"/>
                <wp:effectExtent l="0" t="0" r="13335" b="3175"/>
                <wp:docPr id="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pic:cNvPicPr>
                        <pic:nvPr/>
                      </pic:nvPicPr>
                      <pic:blipFill>
                        <a:blip r:embed="rId17"/>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0.9pt;height:331.2pt;mso-wrap-distance-left:0.0pt;mso-wrap-distance-top:0.0pt;mso-wrap-distance-right:0.0pt;mso-wrap-distance-bottom:0.0pt;" stroked="false">
                <v:path textboxrect="0,0,0,0"/>
                <v:imagedata r:id="rId17" o:title=""/>
              </v:shape>
            </w:pict>
          </mc:Fallback>
        </mc:AlternateConten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七、残疾人福利性单位声明函（如是）</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仿宋" w:cs="宋体"/>
          <w:color w:val="auto"/>
          <w:highlight w:val="none"/>
        </w:rPr>
        <w:t xml:space="preserve"> </w:t>
      </w: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仿宋" w:cs="宋体"/>
          <w:color w:val="auto"/>
          <w:szCs w:val="22"/>
          <w:highlight w:val="none"/>
        </w:rPr>
        <w:t xml:space="preserve">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八、投标人参加政府采购活动前3年内在经营活动中没有重大违法记录的书面声明</w:t>
      </w:r>
      <w:r/>
    </w:p>
    <w:p>
      <w:pPr>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eastAsia="宋体" w:cs="宋体"/>
          <w:color w:val="auto"/>
          <w:highlight w:val="none"/>
          <w:u w:val="single"/>
          <w:lang w:eastAsia="zh-CN"/>
        </w:rPr>
        <w:t xml:space="preserve">丰县分布式污水处理项目(四号沟站点)</w:t>
      </w:r>
      <w:r>
        <w:rPr>
          <w:rFonts w:hint="eastAsia" w:ascii="宋体" w:hAnsi="宋体" w:eastAsia="宋体" w:cs="宋体"/>
          <w:color w:val="auto"/>
          <w:highlight w:val="none"/>
        </w:rPr>
        <w:t xml:space="preserve">（项目编号：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仿宋" w:cs="宋体"/>
          <w:color w:val="auto"/>
          <w:szCs w:val="22"/>
          <w:highlight w:val="none"/>
        </w:rPr>
        <w:t xml:space="preserve"> </w:t>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756"/>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、具备履行合同所必需的设备和专业技术能力的书面声明</w:t>
      </w:r>
      <w:r/>
    </w:p>
    <w:p>
      <w:pPr>
        <w:rPr>
          <w:rFonts w:hint="eastAsia" w:ascii="宋体" w:hAnsi="宋体" w:cs="宋体"/>
          <w:b/>
          <w:bCs/>
          <w:color w:val="auto"/>
          <w:szCs w:val="22"/>
          <w:highlight w:val="none"/>
        </w:rPr>
      </w:pPr>
      <w:r>
        <w:rPr>
          <w:rFonts w:hint="eastAsia" w:ascii="宋体" w:hAnsi="宋体" w:cs="宋体"/>
          <w:b/>
          <w:bCs/>
          <w:color w:val="auto"/>
          <w:szCs w:val="22"/>
          <w:highlight w:val="none"/>
        </w:rPr>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项目名称：</w:t>
      </w:r>
      <w:r>
        <w:rPr>
          <w:rFonts w:hint="eastAsia" w:ascii="宋体" w:hAnsi="宋体" w:eastAsia="宋体" w:cs="宋体"/>
          <w:color w:val="auto"/>
          <w:szCs w:val="22"/>
          <w:highlight w:val="none"/>
          <w:lang w:eastAsia="zh-CN"/>
        </w:rPr>
        <w:t xml:space="preserve">丰县分布式污水处理项目(四号沟站点)</w:t>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仿宋" w:cs="宋体"/>
          <w:color w:val="auto"/>
          <w:szCs w:val="22"/>
          <w:highlight w:val="none"/>
        </w:rPr>
        <w:t xml:space="preserve"> </w:t>
      </w:r>
      <w:r/>
    </w:p>
    <w:p>
      <w:pPr>
        <w:rPr>
          <w:rFonts w:hint="eastAsia" w:ascii="宋体" w:hAnsi="宋体" w:cs="宋体"/>
          <w:color w:val="auto"/>
          <w:szCs w:val="22"/>
          <w:highlight w:val="none"/>
        </w:rPr>
      </w:pPr>
      <w:r>
        <w:rPr>
          <w:rFonts w:hint="eastAsia" w:ascii="宋体" w:hAnsi="宋体" w:cs="宋体"/>
          <w:color w:val="auto"/>
          <w:szCs w:val="22"/>
          <w:highlight w:val="none"/>
        </w:rPr>
      </w:r>
      <w:r/>
    </w:p>
    <w:p>
      <w:pPr>
        <w:ind w:firstLine="480"/>
        <w:rPr>
          <w:rFonts w:hint="eastAsia" w:ascii="宋体" w:hAnsi="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宋体" w:cs="宋体"/>
          <w:color w:val="auto"/>
          <w:szCs w:val="22"/>
          <w:highlight w:val="none"/>
        </w:rPr>
        <w:t xml:space="preserve"> ，项目编号：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宋体" w:cs="宋体"/>
          <w:color w:val="auto"/>
          <w:szCs w:val="22"/>
          <w:highlight w:val="none"/>
        </w:rPr>
        <w:t xml:space="preserve"> ）所必需的</w:t>
      </w:r>
      <w:r>
        <w:rPr>
          <w:rFonts w:hint="eastAsia" w:ascii="宋体" w:hAnsi="宋体" w:eastAsia="宋体" w:cs="宋体"/>
          <w:color w:val="auto"/>
          <w:szCs w:val="22"/>
          <w:highlight w:val="none"/>
          <w:lang w:val="en-US" w:eastAsia="zh-CN"/>
        </w:rPr>
        <w:t xml:space="preserve">设备和</w:t>
      </w:r>
      <w:r>
        <w:rPr>
          <w:rFonts w:hint="eastAsia" w:ascii="宋体" w:hAnsi="宋体" w:eastAsia="宋体" w:cs="宋体"/>
          <w:color w:val="auto"/>
          <w:szCs w:val="22"/>
          <w:highlight w:val="none"/>
        </w:rPr>
        <w:t xml:space="preserve">专业技术能力，具体为：</w:t>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格式自拟</w:t>
      </w:r>
      <w:r>
        <w:rPr>
          <w:rFonts w:hint="eastAsia" w:ascii="宋体" w:hAnsi="宋体" w:eastAsia="宋体" w:cs="宋体"/>
          <w:color w:val="auto"/>
          <w:szCs w:val="22"/>
          <w:highlight w:val="none"/>
        </w:rPr>
        <w:t xml:space="preserve">）</w:t>
      </w:r>
      <w:r/>
    </w:p>
    <w:p>
      <w:pPr>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0"/>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850"/>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850"/>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85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特此声明。</w:t>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10"/>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pStyle w:val="808"/>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07"/>
        <w:rPr>
          <w:rFonts w:hint="eastAsia" w:ascii="宋体" w:hAnsi="宋体" w:cs="宋体"/>
          <w:color w:val="auto"/>
          <w:szCs w:val="30"/>
          <w:highlight w:val="none"/>
        </w:rPr>
      </w:pPr>
      <w:r>
        <w:rPr>
          <w:rFonts w:hint="eastAsia" w:ascii="宋体" w:hAnsi="宋体" w:cs="宋体"/>
          <w:color w:val="auto"/>
          <w:szCs w:val="30"/>
          <w:highlight w:val="none"/>
        </w:rPr>
      </w:r>
      <w:r/>
    </w:p>
    <w:p>
      <w:pPr>
        <w:pStyle w:val="807"/>
        <w:ind w:left="0" w:firstLine="0"/>
        <w:rPr>
          <w:rFonts w:hint="eastAsia" w:ascii="宋体" w:hAnsi="宋体" w:cs="宋体"/>
          <w:color w:val="auto"/>
          <w:szCs w:val="30"/>
          <w:highlight w:val="none"/>
        </w:rPr>
      </w:pPr>
      <w:r>
        <w:rPr>
          <w:rFonts w:hint="eastAsia" w:ascii="宋体" w:hAnsi="宋体" w:cs="宋体"/>
          <w:color w:val="auto"/>
          <w:szCs w:val="30"/>
          <w:highlight w:val="none"/>
        </w:rPr>
      </w:r>
      <w:r/>
    </w:p>
    <w:p>
      <w:pPr>
        <w:pStyle w:val="85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600" w:lineRule="exact"/>
        <w:rPr>
          <w:rFonts w:hint="eastAsia" w:ascii="宋体" w:hAnsi="宋体" w:cs="宋体"/>
          <w:color w:val="auto"/>
          <w:sz w:val="20"/>
          <w:highlight w:val="none"/>
        </w:rPr>
        <w:sectPr>
          <w:headerReference w:type="default" r:id="rId9"/>
          <w:footerReference w:type="default" r:id="rId13"/>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cs="宋体"/>
          <w:color w:val="auto"/>
          <w:sz w:val="20"/>
          <w:highlight w:val="none"/>
        </w:rPr>
      </w:r>
      <w:r/>
    </w:p>
    <w:p>
      <w:pPr>
        <w:pStyle w:val="793"/>
        <w:ind w:left="0" w:right="0"/>
        <w:jc w:val="center"/>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t xml:space="preserve">十、</w:t>
      </w:r>
      <w:r>
        <w:rPr>
          <w:rFonts w:hint="eastAsia" w:ascii="宋体" w:hAnsi="宋体" w:eastAsia="宋体" w:cs="宋体"/>
          <w:b/>
          <w:bCs/>
          <w:color w:val="auto"/>
          <w:sz w:val="30"/>
          <w:szCs w:val="30"/>
          <w:shd w:val="clear" w:color="auto" w:fill="ffffff"/>
        </w:rPr>
        <w:t xml:space="preserve">关于符合本国产品标准的声明函</w:t>
      </w:r>
      <w:r/>
    </w:p>
    <w:p>
      <w:pPr>
        <w:pStyle w:val="793"/>
        <w:ind w:left="0" w:firstLine="420"/>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93"/>
        <w:ind w:left="0" w:firstLine="420"/>
        <w:keepLines w:val="0"/>
        <w:keepNext w:val="0"/>
        <w:spacing w:before="0" w:beforeAutospacing="0" w:after="0" w:afterAutospacing="0" w:line="360" w:lineRule="auto"/>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仿宋"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仿宋"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93"/>
        <w:jc w:val="right"/>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公司（单位）名称（加盖电子公章）：         </w:t>
      </w:r>
      <w:r/>
    </w:p>
    <w:p>
      <w:pPr>
        <w:pStyle w:val="793"/>
        <w:jc w:val="center"/>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           </w:t>
      </w:r>
      <w:r>
        <w:rPr>
          <w:rFonts w:hint="eastAsia" w:ascii="宋体" w:hAnsi="宋体" w:eastAsia="仿宋"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日期：      年   月   日         </w:t>
      </w: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_________________</w:t>
      </w: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793"/>
        <w:keepLines w:val="0"/>
        <w:keepNext w:val="0"/>
        <w:spacing w:before="30" w:beforeAutospacing="0" w:after="30" w:afterAutospacing="0" w:line="360" w:lineRule="auto"/>
        <w:shd w:val="clear" w:color="auto" w:fill="ffffff"/>
        <w:widowControl/>
        <w:rPr>
          <w:rFonts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r/>
    </w:p>
    <w:sectPr>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TFangsong">
    <w:panose1 w:val="02010600040101010101"/>
  </w:font>
  <w:font w:name="仿宋">
    <w:panose1 w:val="02010609060101010101"/>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fldChar w:fldCharType="begin"/>
    </w:r>
    <w:r>
      <w:instrText xml:space="preserve">PAGE \* MERGEFORMAT</w:instrText>
    </w:r>
    <w:r>
      <w:fldChar w:fldCharType="separate"/>
    </w:r>
    <w:r>
      <w:t xml:space="preserve">1</w:t>
    </w:r>
    <w:r>
      <w:fldChar w:fldCharType="end"/>
    </w:r>
    <w:r/>
  </w:p>
  <w:p>
    <w:pPr>
      <w:pStyle w:val="7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fldChar w:fldCharType="begin"/>
    </w:r>
    <w:r>
      <w:instrText xml:space="preserve">PAGE \* MERGEFORMAT</w:instrText>
    </w:r>
    <w:r>
      <w:fldChar w:fldCharType="separate"/>
    </w:r>
    <w:r>
      <w:t xml:space="preserve">1</w:t>
    </w:r>
    <w:r>
      <w:fldChar w:fldCharType="end"/>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eastAsia"/>
        <w:i/>
        <w:iCs/>
        <w:sz w:val="18"/>
        <w:szCs w:val="24"/>
      </w:rPr>
      <w:pBdr>
        <w:bottom w:val="none" w:color="auto"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755">
    <w:name w:val="Heading 1"/>
    <w:basedOn w:val="766"/>
    <w:next w:val="766"/>
    <w:link w:val="1016"/>
    <w:uiPriority w:val="0"/>
    <w:qFormat/>
    <w:pPr>
      <w:jc w:val="center"/>
      <w:keepLines/>
      <w:keepNext/>
      <w:spacing w:line="360" w:lineRule="auto"/>
      <w:outlineLvl w:val="0"/>
    </w:pPr>
    <w:rPr>
      <w:rFonts w:ascii="Arial" w:hAnsi="Arial" w:cs="Arial"/>
      <w:b/>
      <w:sz w:val="36"/>
      <w:szCs w:val="40"/>
    </w:rPr>
  </w:style>
  <w:style w:type="paragraph" w:styleId="756">
    <w:name w:val="Heading 2"/>
    <w:next w:val="754"/>
    <w:link w:val="1017"/>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57">
    <w:name w:val="Heading 3"/>
    <w:basedOn w:val="754"/>
    <w:next w:val="754"/>
    <w:link w:val="1018"/>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58">
    <w:name w:val="Heading 4"/>
    <w:next w:val="754"/>
    <w:link w:val="1019"/>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59">
    <w:name w:val="Heading 5"/>
    <w:basedOn w:val="754"/>
    <w:next w:val="754"/>
    <w:link w:val="1020"/>
    <w:uiPriority w:val="0"/>
    <w:semiHidden/>
    <w:unhideWhenUsed/>
    <w:qFormat/>
    <w:pPr>
      <w:keepLines/>
      <w:keepNext/>
      <w:spacing w:before="80" w:after="80" w:line="372" w:lineRule="auto"/>
      <w:outlineLvl w:val="4"/>
    </w:pPr>
    <w:rPr>
      <w:b/>
    </w:rPr>
  </w:style>
  <w:style w:type="paragraph" w:styleId="760">
    <w:name w:val="Heading 6"/>
    <w:basedOn w:val="754"/>
    <w:next w:val="754"/>
    <w:link w:val="893"/>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95"/>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96"/>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Block Text"/>
    <w:basedOn w:val="754"/>
    <w:next w:val="754"/>
    <w:uiPriority w:val="0"/>
    <w:qFormat/>
    <w:pPr>
      <w:ind w:left="1440"/>
      <w:spacing w:after="120"/>
    </w:pPr>
  </w:style>
  <w:style w:type="paragraph" w:styleId="767">
    <w:name w:val="toc 7"/>
    <w:basedOn w:val="754"/>
    <w:next w:val="754"/>
    <w:uiPriority w:val="39"/>
    <w:unhideWhenUsed/>
    <w:qFormat/>
    <w:pPr>
      <w:ind w:left="1701"/>
      <w:spacing w:after="57"/>
    </w:pPr>
  </w:style>
  <w:style w:type="paragraph" w:styleId="768">
    <w:name w:val="Normal Indent"/>
    <w:basedOn w:val="754"/>
    <w:uiPriority w:val="0"/>
    <w:qFormat/>
    <w:pPr>
      <w:ind w:firstLine="420"/>
    </w:pPr>
  </w:style>
  <w:style w:type="paragraph" w:styleId="769">
    <w:name w:val="Caption"/>
    <w:basedOn w:val="754"/>
    <w:next w:val="75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annotation text"/>
    <w:basedOn w:val="754"/>
    <w:link w:val="1035"/>
    <w:uiPriority w:val="99"/>
    <w:semiHidden/>
    <w:unhideWhenUsed/>
    <w:qFormat/>
  </w:style>
  <w:style w:type="paragraph" w:styleId="771">
    <w:name w:val="Body Text"/>
    <w:basedOn w:val="754"/>
    <w:uiPriority w:val="0"/>
    <w:qFormat/>
    <w:pPr>
      <w:spacing w:after="120"/>
      <w:tabs>
        <w:tab w:val="left" w:pos="420" w:leader="none"/>
      </w:tabs>
    </w:pPr>
  </w:style>
  <w:style w:type="paragraph" w:styleId="772">
    <w:name w:val="Body Text Indent"/>
    <w:basedOn w:val="754"/>
    <w:next w:val="773"/>
    <w:link w:val="1055"/>
    <w:uiPriority w:val="99"/>
    <w:unhideWhenUsed/>
    <w:qFormat/>
    <w:pPr>
      <w:ind w:firstLine="425"/>
      <w:spacing w:line="360" w:lineRule="auto"/>
    </w:pPr>
  </w:style>
  <w:style w:type="paragraph" w:styleId="773">
    <w:name w:val="envelope return"/>
    <w:basedOn w:val="754"/>
    <w:uiPriority w:val="99"/>
    <w:unhideWhenUsed/>
    <w:qFormat/>
    <w:rPr>
      <w:rFonts w:ascii="Arial" w:hAnsi="Arial"/>
    </w:rPr>
  </w:style>
  <w:style w:type="paragraph" w:styleId="774">
    <w:name w:val="index 4"/>
    <w:next w:val="754"/>
    <w:uiPriority w:val="99"/>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Plain Text"/>
    <w:basedOn w:val="754"/>
    <w:uiPriority w:val="99"/>
    <w:qFormat/>
    <w:pPr>
      <w:ind w:firstLine="200"/>
      <w:spacing w:line="360" w:lineRule="auto"/>
    </w:pPr>
    <w:rPr>
      <w:rFonts w:ascii="宋体" w:hAnsi="Courier New"/>
      <w:sz w:val="21"/>
      <w:szCs w:val="21"/>
    </w:rPr>
  </w:style>
  <w:style w:type="paragraph" w:styleId="778">
    <w:name w:val="toc 8"/>
    <w:basedOn w:val="754"/>
    <w:next w:val="754"/>
    <w:uiPriority w:val="39"/>
    <w:unhideWhenUsed/>
    <w:qFormat/>
    <w:pPr>
      <w:ind w:left="1984"/>
      <w:spacing w:after="57"/>
    </w:pPr>
  </w:style>
  <w:style w:type="paragraph" w:styleId="779">
    <w:name w:val="Body Text Indent 2"/>
    <w:basedOn w:val="754"/>
    <w:uiPriority w:val="0"/>
    <w:qFormat/>
    <w:pPr>
      <w:ind w:firstLine="540"/>
      <w:spacing w:line="360" w:lineRule="auto"/>
    </w:pPr>
    <w:rPr>
      <w:rFonts w:ascii="宋体" w:hAnsi="宋体"/>
    </w:rPr>
  </w:style>
  <w:style w:type="paragraph" w:styleId="780">
    <w:name w:val="endnote text"/>
    <w:basedOn w:val="754"/>
    <w:link w:val="1014"/>
    <w:uiPriority w:val="99"/>
    <w:semiHidden/>
    <w:unhideWhenUsed/>
    <w:qFormat/>
    <w:pPr>
      <w:spacing w:line="240" w:lineRule="auto"/>
    </w:pPr>
    <w:rPr>
      <w:sz w:val="20"/>
    </w:rPr>
  </w:style>
  <w:style w:type="paragraph" w:styleId="781">
    <w:name w:val="Balloon Text"/>
    <w:basedOn w:val="754"/>
    <w:link w:val="1037"/>
    <w:uiPriority w:val="99"/>
    <w:semiHidden/>
    <w:unhideWhenUsed/>
    <w:qFormat/>
    <w:pPr>
      <w:spacing w:line="240" w:lineRule="auto"/>
    </w:pPr>
    <w:rPr>
      <w:sz w:val="18"/>
      <w:szCs w:val="18"/>
    </w:rPr>
  </w:style>
  <w:style w:type="paragraph" w:styleId="782">
    <w:name w:val="Footer"/>
    <w:basedOn w:val="754"/>
    <w:link w:val="906"/>
    <w:uiPriority w:val="99"/>
    <w:unhideWhenUsed/>
    <w:qFormat/>
    <w:pPr>
      <w:spacing w:line="240" w:lineRule="auto"/>
      <w:tabs>
        <w:tab w:val="center" w:pos="7143" w:leader="none"/>
        <w:tab w:val="right" w:pos="14287" w:leader="none"/>
      </w:tabs>
    </w:pPr>
  </w:style>
  <w:style w:type="paragraph" w:styleId="783">
    <w:name w:val="Header"/>
    <w:basedOn w:val="754"/>
    <w:link w:val="904"/>
    <w:uiPriority w:val="99"/>
    <w:unhideWhenUsed/>
    <w:qFormat/>
    <w:pPr>
      <w:spacing w:line="240" w:lineRule="auto"/>
      <w:tabs>
        <w:tab w:val="center" w:pos="7143" w:leader="none"/>
        <w:tab w:val="right" w:pos="14287" w:leader="none"/>
      </w:tabs>
    </w:pPr>
  </w:style>
  <w:style w:type="paragraph" w:styleId="784">
    <w:name w:val="toc 1"/>
    <w:basedOn w:val="754"/>
    <w:next w:val="754"/>
    <w:uiPriority w:val="0"/>
    <w:qFormat/>
  </w:style>
  <w:style w:type="paragraph" w:styleId="785">
    <w:name w:val="toc 4"/>
    <w:basedOn w:val="754"/>
    <w:next w:val="754"/>
    <w:uiPriority w:val="39"/>
    <w:unhideWhenUsed/>
    <w:qFormat/>
    <w:pPr>
      <w:ind w:left="850"/>
      <w:spacing w:after="57"/>
    </w:pPr>
  </w:style>
  <w:style w:type="paragraph" w:styleId="786">
    <w:name w:val="Subtitle"/>
    <w:basedOn w:val="754"/>
    <w:next w:val="754"/>
    <w:link w:val="899"/>
    <w:uiPriority w:val="11"/>
    <w:qFormat/>
    <w:pPr>
      <w:spacing w:before="200" w:after="200"/>
    </w:pPr>
    <w:rPr>
      <w:szCs w:val="24"/>
    </w:rPr>
  </w:style>
  <w:style w:type="paragraph" w:styleId="787">
    <w:name w:val="footnote text"/>
    <w:basedOn w:val="754"/>
    <w:uiPriority w:val="0"/>
    <w:qFormat/>
    <w:rPr>
      <w:sz w:val="18"/>
    </w:rPr>
  </w:style>
  <w:style w:type="paragraph" w:styleId="788">
    <w:name w:val="toc 6"/>
    <w:basedOn w:val="754"/>
    <w:next w:val="754"/>
    <w:uiPriority w:val="39"/>
    <w:unhideWhenUsed/>
    <w:qFormat/>
    <w:pPr>
      <w:ind w:left="1417"/>
      <w:spacing w:after="57"/>
    </w:pPr>
  </w:style>
  <w:style w:type="paragraph" w:styleId="789">
    <w:name w:val="Body Text Indent 3"/>
    <w:basedOn w:val="754"/>
    <w:uiPriority w:val="0"/>
    <w:qFormat/>
    <w:pPr>
      <w:ind w:firstLine="570"/>
      <w:spacing w:line="520" w:lineRule="exact"/>
    </w:pPr>
    <w:rPr>
      <w:rFonts w:ascii="宋体" w:hAnsi="宋体"/>
    </w:rPr>
  </w:style>
  <w:style w:type="paragraph" w:styleId="790">
    <w:name w:val="table of figures"/>
    <w:basedOn w:val="754"/>
    <w:next w:val="754"/>
    <w:uiPriority w:val="99"/>
    <w:unhideWhenUsed/>
    <w:qFormat/>
  </w:style>
  <w:style w:type="paragraph" w:styleId="791">
    <w:name w:val="toc 2"/>
    <w:basedOn w:val="754"/>
    <w:next w:val="754"/>
    <w:uiPriority w:val="39"/>
    <w:unhideWhenUsed/>
    <w:qFormat/>
    <w:pPr>
      <w:ind w:left="283"/>
      <w:spacing w:after="57"/>
    </w:pPr>
  </w:style>
  <w:style w:type="paragraph" w:styleId="792">
    <w:name w:val="toc 9"/>
    <w:basedOn w:val="754"/>
    <w:next w:val="754"/>
    <w:uiPriority w:val="39"/>
    <w:unhideWhenUsed/>
    <w:qFormat/>
    <w:pPr>
      <w:ind w:left="2268"/>
      <w:spacing w:after="57"/>
    </w:pPr>
  </w:style>
  <w:style w:type="paragraph" w:styleId="793">
    <w:name w:val="Normal (Web)"/>
    <w:basedOn w:val="754"/>
    <w:uiPriority w:val="99"/>
    <w:semiHidden/>
    <w:unhideWhenUsed/>
    <w:qFormat/>
    <w:pPr>
      <w:ind w:left="0" w:right="0"/>
      <w:jc w:val="left"/>
      <w:spacing w:before="0" w:beforeAutospacing="1" w:after="0" w:afterAutospacing="1"/>
    </w:pPr>
    <w:rPr>
      <w:sz w:val="24"/>
      <w:lang w:val="en-US" w:eastAsia="zh-CN" w:bidi="ar"/>
    </w:rPr>
  </w:style>
  <w:style w:type="paragraph" w:styleId="794">
    <w:name w:val="Title"/>
    <w:basedOn w:val="754"/>
    <w:next w:val="754"/>
    <w:link w:val="898"/>
    <w:uiPriority w:val="10"/>
    <w:qFormat/>
    <w:pPr>
      <w:contextualSpacing/>
      <w:spacing w:before="300" w:after="200"/>
    </w:pPr>
    <w:rPr>
      <w:sz w:val="48"/>
      <w:szCs w:val="48"/>
    </w:rPr>
  </w:style>
  <w:style w:type="paragraph" w:styleId="795">
    <w:name w:val="annotation subject"/>
    <w:basedOn w:val="770"/>
    <w:next w:val="770"/>
    <w:link w:val="1036"/>
    <w:uiPriority w:val="99"/>
    <w:semiHidden/>
    <w:unhideWhenUsed/>
    <w:qFormat/>
    <w:rPr>
      <w:b/>
      <w:bCs/>
    </w:rPr>
  </w:style>
  <w:style w:type="paragraph" w:styleId="796">
    <w:name w:val="Body Text First Indent"/>
    <w:basedOn w:val="771"/>
    <w:uiPriority w:val="0"/>
    <w:qFormat/>
    <w:pPr>
      <w:ind w:firstLine="420"/>
      <w:spacing w:after="0"/>
    </w:pPr>
    <w:rPr>
      <w:sz w:val="28"/>
      <w:szCs w:val="28"/>
    </w:rPr>
  </w:style>
  <w:style w:type="paragraph" w:styleId="797">
    <w:name w:val="Body Text First Indent 2"/>
    <w:basedOn w:val="772"/>
    <w:uiPriority w:val="0"/>
    <w:qFormat/>
    <w:pPr>
      <w:ind w:firstLine="420"/>
    </w:pPr>
    <w:rPr>
      <w:rFonts w:ascii="宋体" w:hAnsi="宋体"/>
    </w:rPr>
  </w:style>
  <w:style w:type="table" w:styleId="798">
    <w:name w:val="Table Grid"/>
    <w:basedOn w:val="7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basedOn w:val="764"/>
    <w:uiPriority w:val="0"/>
    <w:qFormat/>
    <w:rPr>
      <w:b/>
    </w:rPr>
  </w:style>
  <w:style w:type="character" w:styleId="800">
    <w:name w:val="endnote reference"/>
    <w:basedOn w:val="764"/>
    <w:uiPriority w:val="99"/>
    <w:semiHidden/>
    <w:unhideWhenUsed/>
    <w:qFormat/>
    <w:rPr>
      <w:vertAlign w:val="superscript"/>
    </w:rPr>
  </w:style>
  <w:style w:type="character" w:styleId="801">
    <w:name w:val="Hyperlink"/>
    <w:uiPriority w:val="99"/>
    <w:unhideWhenUsed/>
    <w:qFormat/>
    <w:rPr>
      <w:color w:val="0563c1" w:themeColor="hyperlink"/>
      <w:u w:val="single"/>
      <w14:textFill>
        <w14:solidFill>
          <w14:schemeClr w14:val="hlink"/>
        </w14:solidFill>
      </w14:textFill>
    </w:rPr>
  </w:style>
  <w:style w:type="character" w:styleId="802">
    <w:name w:val="annotation reference"/>
    <w:basedOn w:val="764"/>
    <w:uiPriority w:val="99"/>
    <w:unhideWhenUsed/>
    <w:qFormat/>
    <w:rPr>
      <w:sz w:val="21"/>
      <w:szCs w:val="21"/>
    </w:rPr>
  </w:style>
  <w:style w:type="character" w:styleId="803">
    <w:name w:val="footnote reference"/>
    <w:basedOn w:val="764"/>
    <w:uiPriority w:val="99"/>
    <w:unhideWhenUsed/>
    <w:qFormat/>
    <w:rPr>
      <w:vertAlign w:val="superscript"/>
    </w:rPr>
  </w:style>
  <w:style w:type="character" w:styleId="804" w:customStyle="1">
    <w:name w:val="NormalCharacter"/>
    <w:link w:val="805"/>
    <w:uiPriority w:val="0"/>
    <w:semiHidden/>
    <w:qFormat/>
  </w:style>
  <w:style w:type="paragraph" w:styleId="805" w:customStyle="1">
    <w:name w:val="正文1"/>
    <w:basedOn w:val="806"/>
    <w:next w:val="812"/>
    <w:link w:val="804"/>
    <w:uiPriority w:val="0"/>
    <w:qFormat/>
  </w:style>
  <w:style w:type="paragraph" w:styleId="806" w:customStyle="1">
    <w:name w:val="正文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文本块1"/>
    <w:basedOn w:val="808"/>
    <w:next w:val="809"/>
    <w:uiPriority w:val="0"/>
    <w:qFormat/>
    <w:pPr>
      <w:ind w:left="567" w:right="454" w:firstLine="498"/>
      <w:jc w:val="left"/>
      <w:widowControl/>
    </w:pPr>
    <w:rPr>
      <w:rFonts w:ascii="仿宋_GB2312" w:eastAsia="仿宋_GB2312"/>
      <w:sz w:val="30"/>
      <w:szCs w:val="20"/>
    </w:rPr>
  </w:style>
  <w:style w:type="paragraph" w:styleId="808" w:customStyle="1">
    <w:name w:val="正文11"/>
    <w:next w:val="754"/>
    <w:link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标题 411"/>
    <w:basedOn w:val="810"/>
    <w:next w:val="808"/>
    <w:uiPriority w:val="0"/>
    <w:qFormat/>
    <w:pPr>
      <w:keepLines/>
      <w:keepNext/>
      <w:spacing w:before="280" w:after="290" w:line="376" w:lineRule="auto"/>
      <w:outlineLvl w:val="3"/>
    </w:pPr>
    <w:rPr>
      <w:rFonts w:ascii="Arial" w:hAnsi="Arial" w:eastAsia="黑体"/>
      <w:b/>
      <w:bCs/>
      <w:sz w:val="28"/>
      <w:szCs w:val="28"/>
    </w:rPr>
  </w:style>
  <w:style w:type="paragraph" w:styleId="810" w:customStyle="1">
    <w:name w:val="正文12"/>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缩进11"/>
    <w:basedOn w:val="810"/>
    <w:uiPriority w:val="0"/>
    <w:qFormat/>
    <w:pPr>
      <w:ind w:firstLine="420"/>
    </w:pPr>
  </w:style>
  <w:style w:type="paragraph" w:styleId="812" w:customStyle="1">
    <w:name w:val="正文文本1"/>
    <w:basedOn w:val="808"/>
    <w:next w:val="808"/>
    <w:uiPriority w:val="0"/>
    <w:qFormat/>
    <w:pPr>
      <w:spacing w:after="120"/>
    </w:pPr>
  </w:style>
  <w:style w:type="paragraph" w:styleId="813">
    <w:name w:val="List Paragraph"/>
    <w:basedOn w:val="754"/>
    <w:uiPriority w:val="34"/>
    <w:qFormat/>
    <w:pPr>
      <w:contextualSpacing/>
      <w:ind w:left="720"/>
    </w:pPr>
  </w:style>
  <w:style w:type="paragraph" w:styleId="814" w:customStyle="1">
    <w:name w:val="标题 211"/>
    <w:basedOn w:val="808"/>
    <w:next w:val="808"/>
    <w:uiPriority w:val="0"/>
    <w:qFormat/>
    <w:pPr>
      <w:keepLines/>
      <w:keepNext/>
      <w:spacing w:before="260" w:after="260" w:line="416" w:lineRule="auto"/>
      <w:outlineLvl w:val="1"/>
    </w:pPr>
    <w:rPr>
      <w:rFonts w:ascii="Calibri Light" w:hAnsi="Calibri Light"/>
      <w:bCs/>
      <w:sz w:val="32"/>
      <w:szCs w:val="32"/>
    </w:rPr>
  </w:style>
  <w:style w:type="paragraph" w:styleId="815" w:customStyle="1">
    <w:name w:val="目录 11"/>
    <w:basedOn w:val="810"/>
    <w:next w:val="808"/>
    <w:uiPriority w:val="0"/>
    <w:qFormat/>
    <w:pPr>
      <w:jc w:val="left"/>
      <w:spacing w:after="100" w:line="259" w:lineRule="auto"/>
      <w:widowControl/>
    </w:pPr>
    <w:rPr>
      <w:rFonts w:ascii="Calibri" w:hAnsi="Calibri"/>
      <w:sz w:val="22"/>
      <w:szCs w:val="22"/>
    </w:rPr>
  </w:style>
  <w:style w:type="paragraph" w:styleId="816" w:customStyle="1">
    <w:name w:val="一级条标题"/>
    <w:basedOn w:val="817"/>
    <w:next w:val="818"/>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17"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8" w:customStyle="1">
    <w:name w:val="段"/>
    <w:basedOn w:val="805"/>
    <w:next w:val="754"/>
    <w:uiPriority w:val="0"/>
    <w:qFormat/>
    <w:pPr>
      <w:ind w:firstLine="200"/>
      <w:widowControl/>
    </w:pPr>
    <w:rPr>
      <w:rFonts w:ascii="宋体"/>
      <w:sz w:val="20"/>
      <w:szCs w:val="20"/>
    </w:rPr>
  </w:style>
  <w:style w:type="paragraph" w:styleId="819" w:customStyle="1">
    <w:name w:val="脚注文本1"/>
    <w:basedOn w:val="805"/>
    <w:next w:val="820"/>
    <w:uiPriority w:val="0"/>
    <w:qFormat/>
    <w:pPr>
      <w:jc w:val="left"/>
    </w:pPr>
    <w:rPr>
      <w:rFonts w:ascii="宋体" w:eastAsia="Times New Roman"/>
      <w:sz w:val="18"/>
      <w:szCs w:val="18"/>
    </w:rPr>
  </w:style>
  <w:style w:type="paragraph" w:styleId="820" w:customStyle="1">
    <w:name w:val="索引 51"/>
    <w:basedOn w:val="806"/>
    <w:next w:val="805"/>
    <w:uiPriority w:val="0"/>
    <w:qFormat/>
    <w:pPr>
      <w:ind w:left="798"/>
      <w:jc w:val="left"/>
    </w:pPr>
    <w:rPr>
      <w:rFonts w:ascii="Calibri" w:hAnsi="Calibri"/>
    </w:rPr>
  </w:style>
  <w:style w:type="paragraph" w:styleId="821" w:customStyle="1">
    <w:name w:val="标题 21"/>
    <w:basedOn w:val="810"/>
    <w:next w:val="810"/>
    <w:uiPriority w:val="0"/>
    <w:qFormat/>
    <w:pPr>
      <w:ind w:firstLine="600"/>
      <w:spacing w:line="520" w:lineRule="exact"/>
      <w:outlineLvl w:val="1"/>
    </w:pPr>
    <w:rPr>
      <w:rFonts w:ascii="黑体" w:hAnsi="黑体" w:eastAsia="黑体"/>
      <w:sz w:val="30"/>
      <w:szCs w:val="30"/>
    </w:rPr>
  </w:style>
  <w:style w:type="paragraph" w:styleId="822" w:customStyle="1">
    <w:name w:val="标题 11"/>
    <w:basedOn w:val="805"/>
    <w:next w:val="805"/>
    <w:uiPriority w:val="0"/>
    <w:qFormat/>
    <w:pPr>
      <w:jc w:val="center"/>
      <w:keepLines/>
      <w:keepNext/>
      <w:spacing w:line="578" w:lineRule="auto"/>
      <w:outlineLvl w:val="0"/>
    </w:pPr>
    <w:rPr>
      <w:rFonts w:eastAsia="新宋体"/>
      <w:b/>
      <w:bCs/>
      <w:sz w:val="30"/>
      <w:szCs w:val="44"/>
    </w:rPr>
  </w:style>
  <w:style w:type="paragraph" w:styleId="823" w:customStyle="1">
    <w:name w:val="首行缩进"/>
    <w:basedOn w:val="805"/>
    <w:next w:val="754"/>
    <w:uiPriority w:val="0"/>
    <w:qFormat/>
    <w:pPr>
      <w:ind w:left="0" w:firstLine="200"/>
      <w:jc w:val="both"/>
      <w:widowControl w:val="off"/>
    </w:pPr>
    <w:rPr>
      <w:rFonts w:ascii="Times New Roman"/>
    </w:rPr>
  </w:style>
  <w:style w:type="table" w:styleId="824"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41"/>
    <w:next w:val="808"/>
    <w:uiPriority w:val="0"/>
    <w:qFormat/>
    <w:pPr>
      <w:ind w:firstLine="0"/>
      <w:jc w:val="both"/>
      <w:widowControl w:val="off"/>
      <w:outlineLvl w:val="3"/>
    </w:pPr>
    <w:rPr>
      <w:rFonts w:hint="default" w:ascii="Times New Roman" w:hAnsi="Times New Roman" w:eastAsia="宋体" w:cs="Times New Roman"/>
      <w:sz w:val="21"/>
      <w:szCs w:val="24"/>
      <w:lang w:val="en-US" w:eastAsia="zh-CN" w:bidi="ar-SA"/>
    </w:rPr>
  </w:style>
  <w:style w:type="paragraph" w:styleId="845" w:customStyle="1">
    <w:name w:val="正文缩进1"/>
    <w:basedOn w:val="810"/>
    <w:uiPriority w:val="0"/>
    <w:qFormat/>
    <w:pPr>
      <w:ind w:firstLine="420"/>
      <w:jc w:val="left"/>
    </w:pPr>
    <w:rPr>
      <w:rFonts w:ascii="宋体" w:hAnsi="Calibri"/>
      <w:sz w:val="24"/>
      <w:szCs w:val="22"/>
    </w:rPr>
  </w:style>
  <w:style w:type="paragraph" w:styleId="846" w:customStyle="1">
    <w:name w:val="标题 111"/>
    <w:next w:val="808"/>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47" w:customStyle="1">
    <w:name w:val="正文文本缩进11"/>
    <w:basedOn w:val="848"/>
    <w:uiPriority w:val="0"/>
    <w:qFormat/>
    <w:pPr>
      <w:ind w:firstLine="538"/>
    </w:pPr>
    <w:rPr>
      <w:sz w:val="28"/>
    </w:rPr>
  </w:style>
  <w:style w:type="paragraph" w:styleId="848" w:customStyle="1">
    <w:name w:val="正文1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首行缩进1"/>
    <w:basedOn w:val="850"/>
    <w:next w:val="851"/>
    <w:uiPriority w:val="0"/>
    <w:qFormat/>
    <w:pPr>
      <w:ind w:firstLine="200"/>
      <w:spacing w:line="360" w:lineRule="auto"/>
    </w:pPr>
    <w:rPr>
      <w:rFonts w:ascii="仿宋_GB2312" w:eastAsia="仿宋_GB2312"/>
      <w:sz w:val="30"/>
      <w:szCs w:val="30"/>
    </w:rPr>
  </w:style>
  <w:style w:type="paragraph" w:styleId="850" w:customStyle="1">
    <w:name w:val="正文文本11"/>
    <w:basedOn w:val="808"/>
    <w:next w:val="754"/>
    <w:uiPriority w:val="0"/>
    <w:qFormat/>
    <w:pPr>
      <w:spacing w:after="120"/>
    </w:pPr>
  </w:style>
  <w:style w:type="paragraph" w:styleId="851" w:customStyle="1">
    <w:name w:val="正文首行缩进 211"/>
    <w:basedOn w:val="847"/>
    <w:next w:val="848"/>
    <w:uiPriority w:val="0"/>
    <w:qFormat/>
    <w:pPr>
      <w:ind w:firstLine="420"/>
    </w:pPr>
    <w:rPr>
      <w:sz w:val="24"/>
    </w:rPr>
  </w:style>
  <w:style w:type="paragraph" w:styleId="852" w:customStyle="1">
    <w:name w:val="样式 正文文本缩进 + 首行缩进:  2 字符 行距: 1.5 倍行距"/>
    <w:basedOn w:val="847"/>
    <w:uiPriority w:val="0"/>
    <w:qFormat/>
    <w:pPr>
      <w:ind w:firstLine="645"/>
      <w:spacing w:before="156" w:after="120"/>
    </w:pPr>
    <w:rPr>
      <w:rFonts w:ascii="Calibri" w:hAnsi="Calibri"/>
    </w:rPr>
  </w:style>
  <w:style w:type="paragraph" w:styleId="853" w:customStyle="1">
    <w:name w:val="标题 311"/>
    <w:basedOn w:val="806"/>
    <w:next w:val="806"/>
    <w:uiPriority w:val="0"/>
    <w:qFormat/>
    <w:pPr>
      <w:keepLines/>
      <w:keepNext/>
      <w:spacing w:before="320" w:after="200"/>
      <w:outlineLvl w:val="2"/>
    </w:pPr>
    <w:rPr>
      <w:rFonts w:ascii="Arial" w:hAnsi="Arial" w:eastAsia="Arial"/>
      <w:sz w:val="30"/>
      <w:szCs w:val="30"/>
    </w:rPr>
  </w:style>
  <w:style w:type="paragraph" w:styleId="854" w:customStyle="1">
    <w:name w:val="正文文本缩进1"/>
    <w:basedOn w:val="805"/>
    <w:uiPriority w:val="0"/>
    <w:qFormat/>
    <w:pPr>
      <w:ind w:left="420"/>
      <w:spacing w:after="120"/>
    </w:pPr>
  </w:style>
  <w:style w:type="paragraph" w:styleId="855" w:customStyle="1">
    <w:name w:val="寄信人地址1"/>
    <w:basedOn w:val="808"/>
    <w:uiPriority w:val="0"/>
    <w:qFormat/>
    <w:rPr>
      <w:rFonts w:ascii="Arial" w:hAnsi="Arial"/>
    </w:rPr>
  </w:style>
  <w:style w:type="paragraph" w:styleId="856" w:customStyle="1">
    <w:name w:val="正文文本111"/>
    <w:basedOn w:val="810"/>
    <w:next w:val="810"/>
    <w:uiPriority w:val="0"/>
    <w:qFormat/>
  </w:style>
  <w:style w:type="character" w:styleId="857" w:customStyle="1">
    <w:name w:val="Heading 6 Char"/>
    <w:basedOn w:val="764"/>
    <w:uiPriority w:val="9"/>
    <w:qFormat/>
    <w:rPr>
      <w:rFonts w:ascii="Arial" w:hAnsi="Arial" w:eastAsia="Arial" w:cs="Arial"/>
      <w:b/>
      <w:bCs/>
      <w:sz w:val="22"/>
      <w:szCs w:val="22"/>
    </w:rPr>
  </w:style>
  <w:style w:type="character" w:styleId="858" w:customStyle="1">
    <w:name w:val="Heading 7 Char"/>
    <w:basedOn w:val="764"/>
    <w:uiPriority w:val="9"/>
    <w:qFormat/>
    <w:rPr>
      <w:rFonts w:ascii="Arial" w:hAnsi="Arial" w:eastAsia="Arial" w:cs="Arial"/>
      <w:b/>
      <w:bCs/>
      <w:i/>
      <w:iCs/>
      <w:sz w:val="22"/>
      <w:szCs w:val="22"/>
    </w:rPr>
  </w:style>
  <w:style w:type="character" w:styleId="859" w:customStyle="1">
    <w:name w:val="Heading 8 Char"/>
    <w:basedOn w:val="764"/>
    <w:uiPriority w:val="9"/>
    <w:qFormat/>
    <w:rPr>
      <w:rFonts w:ascii="Arial" w:hAnsi="Arial" w:eastAsia="Arial" w:cs="Arial"/>
      <w:i/>
      <w:iCs/>
      <w:sz w:val="22"/>
      <w:szCs w:val="22"/>
    </w:rPr>
  </w:style>
  <w:style w:type="character" w:styleId="860" w:customStyle="1">
    <w:name w:val="Heading 9 Char"/>
    <w:basedOn w:val="764"/>
    <w:uiPriority w:val="9"/>
    <w:qFormat/>
    <w:rPr>
      <w:rFonts w:ascii="Arial" w:hAnsi="Arial" w:eastAsia="Arial" w:cs="Arial"/>
      <w:i/>
      <w:iCs/>
      <w:sz w:val="21"/>
      <w:szCs w:val="21"/>
    </w:rPr>
  </w:style>
  <w:style w:type="character" w:styleId="861" w:customStyle="1">
    <w:name w:val="Title Char"/>
    <w:basedOn w:val="764"/>
    <w:uiPriority w:val="10"/>
    <w:qFormat/>
    <w:rPr>
      <w:sz w:val="48"/>
      <w:szCs w:val="48"/>
    </w:rPr>
  </w:style>
  <w:style w:type="character" w:styleId="862" w:customStyle="1">
    <w:name w:val="Subtitle Char"/>
    <w:basedOn w:val="764"/>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64"/>
    <w:uiPriority w:val="99"/>
    <w:qFormat/>
  </w:style>
  <w:style w:type="character" w:styleId="866" w:customStyle="1">
    <w:name w:val="Caption Char"/>
    <w:uiPriority w:val="99"/>
    <w:qFormat/>
  </w:style>
  <w:style w:type="table" w:styleId="867"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7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7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6" w:customStyle="1">
    <w:name w:val="Endnote Text Char"/>
    <w:uiPriority w:val="99"/>
    <w:qFormat/>
    <w:rPr>
      <w:sz w:val="20"/>
    </w:rPr>
  </w:style>
  <w:style w:type="paragraph" w:styleId="887" w:customStyle="1">
    <w:name w:val="TOC 标题1"/>
    <w:uiPriority w:val="39"/>
    <w:unhideWhenUsed/>
    <w:qFormat/>
    <w:rPr>
      <w:rFonts w:hint="default" w:ascii="Times New Roman" w:hAnsi="Times New Roman" w:eastAsia="宋体" w:cs="Times New Roman"/>
      <w:lang w:val="en-US" w:eastAsia="zh-CN" w:bidi="ar-SA"/>
    </w:rPr>
  </w:style>
  <w:style w:type="character" w:styleId="888" w:customStyle="1">
    <w:name w:val="Heading 1 Char"/>
    <w:basedOn w:val="764"/>
    <w:uiPriority w:val="9"/>
    <w:qFormat/>
    <w:rPr>
      <w:rFonts w:ascii="Arial" w:hAnsi="Arial" w:eastAsia="Arial" w:cs="Arial"/>
      <w:sz w:val="40"/>
      <w:szCs w:val="40"/>
    </w:rPr>
  </w:style>
  <w:style w:type="character" w:styleId="889" w:customStyle="1">
    <w:name w:val="Heading 2 Char"/>
    <w:basedOn w:val="764"/>
    <w:uiPriority w:val="9"/>
    <w:qFormat/>
    <w:rPr>
      <w:rFonts w:ascii="Arial" w:hAnsi="Arial" w:eastAsia="Arial" w:cs="Arial"/>
      <w:sz w:val="34"/>
    </w:rPr>
  </w:style>
  <w:style w:type="character" w:styleId="890" w:customStyle="1">
    <w:name w:val="Heading 3 Char"/>
    <w:basedOn w:val="764"/>
    <w:uiPriority w:val="9"/>
    <w:qFormat/>
    <w:rPr>
      <w:rFonts w:ascii="Arial" w:hAnsi="Arial" w:eastAsia="Arial" w:cs="Arial"/>
      <w:sz w:val="30"/>
      <w:szCs w:val="30"/>
    </w:rPr>
  </w:style>
  <w:style w:type="character" w:styleId="891" w:customStyle="1">
    <w:name w:val="Heading 4 Char"/>
    <w:basedOn w:val="764"/>
    <w:uiPriority w:val="9"/>
    <w:qFormat/>
    <w:rPr>
      <w:rFonts w:ascii="Arial" w:hAnsi="Arial" w:eastAsia="Arial" w:cs="Arial"/>
      <w:b/>
      <w:bCs/>
      <w:sz w:val="26"/>
      <w:szCs w:val="26"/>
    </w:rPr>
  </w:style>
  <w:style w:type="character" w:styleId="892" w:customStyle="1">
    <w:name w:val="Heading 5 Char"/>
    <w:basedOn w:val="764"/>
    <w:uiPriority w:val="9"/>
    <w:qFormat/>
    <w:rPr>
      <w:rFonts w:ascii="Arial" w:hAnsi="Arial" w:eastAsia="Arial" w:cs="Arial"/>
      <w:b/>
      <w:bCs/>
      <w:sz w:val="24"/>
      <w:szCs w:val="24"/>
    </w:rPr>
  </w:style>
  <w:style w:type="character" w:styleId="893" w:customStyle="1">
    <w:name w:val="标题 6 字符"/>
    <w:basedOn w:val="764"/>
    <w:link w:val="760"/>
    <w:uiPriority w:val="9"/>
    <w:qFormat/>
    <w:rPr>
      <w:rFonts w:ascii="Arial" w:hAnsi="Arial" w:eastAsia="Arial" w:cs="Arial"/>
      <w:b/>
      <w:bCs/>
      <w:sz w:val="22"/>
      <w:szCs w:val="22"/>
    </w:rPr>
  </w:style>
  <w:style w:type="character" w:styleId="894" w:customStyle="1">
    <w:name w:val="标题 7 字符"/>
    <w:basedOn w:val="764"/>
    <w:link w:val="761"/>
    <w:uiPriority w:val="9"/>
    <w:qFormat/>
    <w:rPr>
      <w:rFonts w:ascii="Arial" w:hAnsi="Arial" w:eastAsia="Arial" w:cs="Arial"/>
      <w:b/>
      <w:bCs/>
      <w:i/>
      <w:iCs/>
      <w:sz w:val="22"/>
      <w:szCs w:val="22"/>
    </w:rPr>
  </w:style>
  <w:style w:type="character" w:styleId="895" w:customStyle="1">
    <w:name w:val="标题 8 字符"/>
    <w:basedOn w:val="764"/>
    <w:link w:val="762"/>
    <w:uiPriority w:val="9"/>
    <w:qFormat/>
    <w:rPr>
      <w:rFonts w:ascii="Arial" w:hAnsi="Arial" w:eastAsia="Arial" w:cs="Arial"/>
      <w:i/>
      <w:iCs/>
      <w:sz w:val="22"/>
      <w:szCs w:val="22"/>
    </w:rPr>
  </w:style>
  <w:style w:type="character" w:styleId="896" w:customStyle="1">
    <w:name w:val="标题 9 字符"/>
    <w:basedOn w:val="764"/>
    <w:link w:val="763"/>
    <w:uiPriority w:val="9"/>
    <w:qFormat/>
    <w:rPr>
      <w:rFonts w:ascii="Arial" w:hAnsi="Arial" w:eastAsia="Arial" w:cs="Arial"/>
      <w:i/>
      <w:iCs/>
      <w:sz w:val="21"/>
      <w:szCs w:val="21"/>
    </w:rPr>
  </w:style>
  <w:style w:type="paragraph" w:styleId="897">
    <w:name w:val="No Spacing"/>
    <w:uiPriority w:val="1"/>
    <w:qFormat/>
    <w:rPr>
      <w:rFonts w:hint="default" w:ascii="Times New Roman" w:hAnsi="Times New Roman" w:eastAsia="宋体" w:cs="Times New Roman"/>
      <w:lang w:val="en-US" w:eastAsia="zh-CN" w:bidi="ar-SA"/>
    </w:rPr>
  </w:style>
  <w:style w:type="character" w:styleId="898" w:customStyle="1">
    <w:name w:val="标题 字符"/>
    <w:basedOn w:val="764"/>
    <w:link w:val="794"/>
    <w:uiPriority w:val="10"/>
    <w:qFormat/>
    <w:rPr>
      <w:sz w:val="48"/>
      <w:szCs w:val="48"/>
    </w:rPr>
  </w:style>
  <w:style w:type="character" w:styleId="899" w:customStyle="1">
    <w:name w:val="副标题 字符"/>
    <w:basedOn w:val="764"/>
    <w:link w:val="786"/>
    <w:uiPriority w:val="11"/>
    <w:qFormat/>
    <w:rPr>
      <w:sz w:val="24"/>
      <w:szCs w:val="24"/>
    </w:rPr>
  </w:style>
  <w:style w:type="paragraph" w:styleId="900">
    <w:name w:val="Quote"/>
    <w:basedOn w:val="754"/>
    <w:next w:val="754"/>
    <w:link w:val="901"/>
    <w:uiPriority w:val="29"/>
    <w:qFormat/>
    <w:pPr>
      <w:ind w:left="720" w:right="720"/>
    </w:pPr>
    <w:rPr>
      <w:i/>
    </w:rPr>
  </w:style>
  <w:style w:type="character" w:styleId="901" w:customStyle="1">
    <w:name w:val="引用 字符"/>
    <w:link w:val="900"/>
    <w:uiPriority w:val="29"/>
    <w:qFormat/>
    <w:rPr>
      <w:i/>
    </w:rPr>
  </w:style>
  <w:style w:type="paragraph" w:styleId="902">
    <w:name w:val="Intense Quote"/>
    <w:basedOn w:val="754"/>
    <w:next w:val="754"/>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字符"/>
    <w:link w:val="902"/>
    <w:uiPriority w:val="30"/>
    <w:qFormat/>
    <w:rPr>
      <w:i/>
    </w:rPr>
  </w:style>
  <w:style w:type="character" w:styleId="904" w:customStyle="1">
    <w:name w:val="页眉 字符"/>
    <w:basedOn w:val="764"/>
    <w:link w:val="783"/>
    <w:uiPriority w:val="99"/>
    <w:qFormat/>
  </w:style>
  <w:style w:type="character" w:styleId="905" w:customStyle="1">
    <w:name w:val="Footer Char"/>
    <w:basedOn w:val="764"/>
    <w:uiPriority w:val="99"/>
    <w:qFormat/>
  </w:style>
  <w:style w:type="character" w:styleId="906" w:customStyle="1">
    <w:name w:val="页脚 字符"/>
    <w:link w:val="782"/>
    <w:uiPriority w:val="99"/>
    <w:qFormat/>
  </w:style>
  <w:style w:type="table" w:styleId="907" w:customStyle="1">
    <w:name w:val="Table Grid Light"/>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8" w:customStyle="1">
    <w:name w:val="Grid Table 1 Light - Accent 1"/>
    <w:basedOn w:val="7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7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 Accent 1"/>
    <w:basedOn w:val="7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7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Grid Table 3 - Accent 1"/>
    <w:basedOn w:val="7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7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 Accent 1"/>
    <w:basedOn w:val="76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7" w:customStyle="1">
    <w:name w:val="Grid Table 4 - Accent 2"/>
    <w:basedOn w:val="76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8" w:customStyle="1">
    <w:name w:val="Grid Table 4 - Accent 3"/>
    <w:basedOn w:val="76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9" w:customStyle="1">
    <w:name w:val="Grid Table 4 - Accent 4"/>
    <w:basedOn w:val="76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0" w:customStyle="1">
    <w:name w:val="Grid Table 4 - Accent 5"/>
    <w:basedOn w:val="76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1" w:customStyle="1">
    <w:name w:val="Grid Table 4 - Accent 6"/>
    <w:basedOn w:val="76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2" w:customStyle="1">
    <w:name w:val="Grid Table 5 Dark- Accent 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3" w:customStyle="1">
    <w:name w:val="Grid Table 5 Dark - Accent 2"/>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4" w:customStyle="1">
    <w:name w:val="Grid Table 5 Dark - Accent 3"/>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5" w:customStyle="1">
    <w:name w:val="Grid Table 5 Dark- Accent 4"/>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6" w:customStyle="1">
    <w:name w:val="Grid Table 5 Dark - Accent 5"/>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7" w:customStyle="1">
    <w:name w:val="Grid Table 5 Dark - Accent 6"/>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8" w:customStyle="1">
    <w:name w:val="Grid Table 6 Colorful - Accent 1"/>
    <w:basedOn w:val="76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9" w:customStyle="1">
    <w:name w:val="Grid Table 6 Colorful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0" w:customStyle="1">
    <w:name w:val="Grid Table 6 Colorful - Accent 3"/>
    <w:basedOn w:val="76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1" w:customStyle="1">
    <w:name w:val="Grid Table 6 Colorful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2" w:customStyle="1">
    <w:name w:val="Grid Table 6 Colorful - Accent 5"/>
    <w:basedOn w:val="76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3" w:customStyle="1">
    <w:name w:val="Grid Table 6 Colorful - Accent 6"/>
    <w:basedOn w:val="76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4" w:customStyle="1">
    <w:name w:val="Grid Table 7 Colorful - Accent 1"/>
    <w:basedOn w:val="76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76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76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76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76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76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 Accent 1"/>
    <w:basedOn w:val="76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76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76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76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76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76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6" w:customStyle="1">
    <w:name w:val="List Table 2 - Accent 1"/>
    <w:basedOn w:val="76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7" w:customStyle="1">
    <w:name w:val="List Table 2 - Accent 2"/>
    <w:basedOn w:val="76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8" w:customStyle="1">
    <w:name w:val="List Table 2 - Accent 3"/>
    <w:basedOn w:val="76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9" w:customStyle="1">
    <w:name w:val="List Table 2 - Accent 4"/>
    <w:basedOn w:val="76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0" w:customStyle="1">
    <w:name w:val="List Table 2 - Accent 5"/>
    <w:basedOn w:val="76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1" w:customStyle="1">
    <w:name w:val="List Table 2 - Accent 6"/>
    <w:basedOn w:val="76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2" w:customStyle="1">
    <w:name w:val="List Table 3 - Accent 1"/>
    <w:basedOn w:val="76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6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6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6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 Accent 1"/>
    <w:basedOn w:val="76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9" w:customStyle="1">
    <w:name w:val="List Table 4 - Accent 2"/>
    <w:basedOn w:val="76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0" w:customStyle="1">
    <w:name w:val="List Table 4 - Accent 3"/>
    <w:basedOn w:val="76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1" w:customStyle="1">
    <w:name w:val="List Table 4 - Accent 4"/>
    <w:basedOn w:val="76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2" w:customStyle="1">
    <w:name w:val="List Table 4 - Accent 5"/>
    <w:basedOn w:val="76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3" w:customStyle="1">
    <w:name w:val="List Table 4 - Accent 6"/>
    <w:basedOn w:val="76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4" w:customStyle="1">
    <w:name w:val="List Table 5 Dark - Accent 1"/>
    <w:basedOn w:val="76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76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76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76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76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76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6 Colorful - Accent 1"/>
    <w:basedOn w:val="76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1" w:customStyle="1">
    <w:name w:val="List Table 6 Colorful - Accent 2"/>
    <w:basedOn w:val="76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2" w:customStyle="1">
    <w:name w:val="List Table 6 Colorful - Accent 3"/>
    <w:basedOn w:val="76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3" w:customStyle="1">
    <w:name w:val="List Table 6 Colorful - Accent 4"/>
    <w:basedOn w:val="76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4" w:customStyle="1">
    <w:name w:val="List Table 6 Colorful - Accent 5"/>
    <w:basedOn w:val="76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5" w:customStyle="1">
    <w:name w:val="List Table 6 Colorful - Accent 6"/>
    <w:basedOn w:val="76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6" w:customStyle="1">
    <w:name w:val="List Table 7 Colorful - Accent 1"/>
    <w:basedOn w:val="76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6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6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6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6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6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Lined - Accent 2"/>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7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6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Bordered &amp; Lined - Accent 2"/>
    <w:basedOn w:val="76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76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76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76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76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7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7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2" w:customStyle="1">
    <w:name w:val="Bordered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Footnote Text Char"/>
    <w:uiPriority w:val="99"/>
    <w:qFormat/>
    <w:rPr>
      <w:sz w:val="18"/>
    </w:rPr>
  </w:style>
  <w:style w:type="character" w:styleId="1014" w:customStyle="1">
    <w:name w:val="尾注文本 字符"/>
    <w:link w:val="780"/>
    <w:uiPriority w:val="99"/>
    <w:qFormat/>
    <w:rPr>
      <w:sz w:val="20"/>
    </w:rPr>
  </w:style>
  <w:style w:type="paragraph" w:styleId="1015" w:customStyle="1">
    <w:name w:val="TOC 标题11"/>
    <w:uiPriority w:val="39"/>
    <w:unhideWhenUsed/>
    <w:qFormat/>
    <w:rPr>
      <w:rFonts w:hint="default" w:ascii="Times New Roman" w:hAnsi="Times New Roman" w:eastAsia="宋体" w:cs="Times New Roman"/>
      <w:lang w:val="en-US" w:eastAsia="zh-CN" w:bidi="ar-SA"/>
    </w:rPr>
  </w:style>
  <w:style w:type="character" w:styleId="1016" w:customStyle="1">
    <w:name w:val="标题 1 字符"/>
    <w:link w:val="755"/>
    <w:uiPriority w:val="0"/>
    <w:qFormat/>
    <w:rPr>
      <w:rFonts w:ascii="Arial" w:hAnsi="Arial" w:eastAsia="宋体" w:cs="微软雅黑"/>
      <w:b/>
      <w:sz w:val="36"/>
      <w:szCs w:val="32"/>
      <w:lang w:bidi="ar-SA"/>
    </w:rPr>
  </w:style>
  <w:style w:type="character" w:styleId="1017" w:customStyle="1">
    <w:name w:val="标题 2 字符"/>
    <w:link w:val="756"/>
    <w:uiPriority w:val="9"/>
    <w:qFormat/>
    <w:rPr>
      <w:rFonts w:ascii="Arial" w:hAnsi="Arial" w:eastAsia="宋体" w:cs="Times New Roman"/>
      <w:b/>
      <w:bCs/>
      <w:sz w:val="21"/>
      <w:szCs w:val="21"/>
      <w:lang w:bidi="ar-SA"/>
    </w:rPr>
  </w:style>
  <w:style w:type="character" w:styleId="1018" w:customStyle="1">
    <w:name w:val="标题 3 字符"/>
    <w:link w:val="757"/>
    <w:uiPriority w:val="0"/>
    <w:qFormat/>
    <w:rPr>
      <w:rFonts w:ascii="Arial" w:hAnsi="Arial" w:eastAsia="宋体" w:cstheme="minorBidi"/>
      <w:b/>
      <w:sz w:val="28"/>
      <w:szCs w:val="22"/>
      <w:lang w:val="en-US" w:eastAsia="en-US" w:bidi="ar-SA"/>
    </w:rPr>
  </w:style>
  <w:style w:type="character" w:styleId="1019" w:customStyle="1">
    <w:name w:val="标题 4 字符"/>
    <w:link w:val="758"/>
    <w:uiPriority w:val="0"/>
    <w:qFormat/>
    <w:rPr>
      <w:rFonts w:ascii="Arial" w:hAnsi="Arial" w:eastAsia="宋体"/>
      <w:b/>
      <w:sz w:val="24"/>
      <w:szCs w:val="20"/>
      <w:lang w:val="zh-CN"/>
    </w:rPr>
  </w:style>
  <w:style w:type="character" w:styleId="1020" w:customStyle="1">
    <w:name w:val="标题 5 字符"/>
    <w:link w:val="759"/>
    <w:uiPriority w:val="0"/>
    <w:qFormat/>
    <w:rPr>
      <w:rFonts w:eastAsia="宋体"/>
      <w:b/>
      <w:sz w:val="24"/>
    </w:rPr>
  </w:style>
  <w:style w:type="paragraph" w:styleId="1021" w:customStyle="1">
    <w:name w:val="正文首行缩进 21"/>
    <w:basedOn w:val="854"/>
    <w:uiPriority w:val="0"/>
    <w:qFormat/>
    <w:pPr>
      <w:ind w:left="0" w:firstLine="420"/>
      <w:spacing w:after="0" w:line="360" w:lineRule="auto"/>
    </w:pPr>
    <w:rPr>
      <w:rFonts w:ascii="宋体" w:hAnsi="宋体"/>
    </w:rPr>
  </w:style>
  <w:style w:type="paragraph" w:styleId="1022" w:customStyle="1">
    <w:name w:val="PlainText1"/>
    <w:basedOn w:val="754"/>
    <w:uiPriority w:val="0"/>
    <w:qFormat/>
    <w:rPr>
      <w:rFonts w:ascii="宋体" w:hAnsi="Courier New"/>
    </w:rPr>
  </w:style>
  <w:style w:type="paragraph" w:styleId="1023" w:customStyle="1">
    <w:name w:val="UserStyle_0"/>
    <w:next w:val="754"/>
    <w:uiPriority w:val="0"/>
    <w:qFormat/>
    <w:rPr>
      <w:rFonts w:hint="default" w:ascii="Times New Roman" w:hAnsi="Times New Roman" w:eastAsia="宋体" w:cs="Times New Roman"/>
      <w:color w:val="000000"/>
      <w:sz w:val="24"/>
      <w:szCs w:val="24"/>
      <w:lang w:val="en-US" w:eastAsia="zh-CN" w:bidi="ar-SA"/>
    </w:rPr>
  </w:style>
  <w:style w:type="paragraph" w:styleId="1024" w:customStyle="1">
    <w:name w:val="日期1"/>
    <w:basedOn w:val="805"/>
    <w:next w:val="805"/>
    <w:uiPriority w:val="0"/>
    <w:qFormat/>
    <w:rPr>
      <w:rFonts w:eastAsia="仿宋_GB2312"/>
      <w:sz w:val="28"/>
      <w:szCs w:val="20"/>
    </w:rPr>
  </w:style>
  <w:style w:type="paragraph" w:styleId="1025" w:customStyle="1">
    <w:name w:val="普通(网站)11"/>
    <w:basedOn w:val="805"/>
    <w:uiPriority w:val="0"/>
    <w:qFormat/>
    <w:pPr>
      <w:jc w:val="left"/>
      <w:spacing w:before="100" w:beforeAutospacing="1" w:after="100" w:afterAutospacing="1"/>
      <w:widowControl/>
    </w:pPr>
    <w:rPr>
      <w:rFonts w:ascii="宋体" w:hAnsi="宋体"/>
      <w:sz w:val="24"/>
    </w:rPr>
  </w:style>
  <w:style w:type="paragraph" w:styleId="1026" w:customStyle="1">
    <w:name w:val="页眉1"/>
    <w:basedOn w:val="805"/>
    <w:uiPriority w:val="0"/>
    <w:qFormat/>
    <w:pPr>
      <w:jc w:val="center"/>
      <w:tabs>
        <w:tab w:val="center" w:pos="4153" w:leader="none"/>
        <w:tab w:val="right" w:pos="8306" w:leader="none"/>
      </w:tabs>
      <w:pBdr>
        <w:bottom w:val="single" w:color="000000" w:sz="6" w:space="1"/>
      </w:pBdr>
    </w:pPr>
    <w:rPr>
      <w:sz w:val="18"/>
      <w:szCs w:val="18"/>
    </w:rPr>
  </w:style>
  <w:style w:type="paragraph" w:styleId="1027" w:customStyle="1">
    <w:name w:val="页脚1"/>
    <w:basedOn w:val="805"/>
    <w:uiPriority w:val="0"/>
    <w:qFormat/>
    <w:pPr>
      <w:jc w:val="left"/>
      <w:tabs>
        <w:tab w:val="center" w:pos="4153" w:leader="none"/>
        <w:tab w:val="right" w:pos="8306" w:leader="none"/>
      </w:tabs>
    </w:pPr>
    <w:rPr>
      <w:sz w:val="18"/>
      <w:szCs w:val="18"/>
    </w:rPr>
  </w:style>
  <w:style w:type="character" w:styleId="1028" w:customStyle="1">
    <w:name w:val="页码1"/>
    <w:uiPriority w:val="0"/>
    <w:qFormat/>
  </w:style>
  <w:style w:type="paragraph" w:styleId="1029" w:customStyle="1">
    <w:name w:val="纯文本1"/>
    <w:basedOn w:val="806"/>
    <w:uiPriority w:val="0"/>
    <w:qFormat/>
    <w:rPr>
      <w:rFonts w:ascii="宋体" w:hAnsi="Courier New"/>
      <w:szCs w:val="21"/>
    </w:rPr>
  </w:style>
  <w:style w:type="character" w:styleId="1030" w:customStyle="1">
    <w:name w:val="16"/>
    <w:basedOn w:val="1031"/>
    <w:uiPriority w:val="0"/>
    <w:qFormat/>
    <w:rPr>
      <w:rFonts w:hint="default" w:ascii="Times New Roman" w:hAnsi="Times New Roman" w:eastAsia="宋体" w:cs="Times New Roman"/>
      <w:sz w:val="21"/>
      <w:szCs w:val="24"/>
      <w:lang w:val="en-US" w:eastAsia="zh-CN" w:bidi="ar-SA"/>
    </w:rPr>
  </w:style>
  <w:style w:type="character" w:styleId="1031" w:customStyle="1">
    <w:name w:val="默认段落字体1"/>
    <w:uiPriority w:val="0"/>
    <w:semiHidden/>
    <w:qFormat/>
  </w:style>
  <w:style w:type="character" w:styleId="1032" w:customStyle="1">
    <w:name w:val="15"/>
    <w:basedOn w:val="764"/>
    <w:link w:val="808"/>
    <w:uiPriority w:val="0"/>
    <w:qFormat/>
    <w:rPr>
      <w:rFonts w:ascii="仿宋" w:hAnsi="仿宋" w:eastAsia="仿宋"/>
      <w:color w:val="000000"/>
      <w:sz w:val="18"/>
      <w:szCs w:val="18"/>
    </w:rPr>
  </w:style>
  <w:style w:type="paragraph" w:styleId="1033" w:customStyle="1">
    <w:name w:val="文本块11"/>
    <w:basedOn w:val="810"/>
    <w:uiPriority w:val="0"/>
    <w:qFormat/>
    <w:pPr>
      <w:ind w:left="420" w:right="33"/>
      <w:jc w:val="left"/>
    </w:pPr>
    <w:rPr>
      <w:sz w:val="24"/>
      <w:szCs w:val="20"/>
    </w:rPr>
  </w:style>
  <w:style w:type="paragraph" w:styleId="1034" w:customStyle="1">
    <w:name w:val="p0"/>
    <w:basedOn w:val="808"/>
    <w:uiPriority w:val="0"/>
    <w:qFormat/>
    <w:pPr>
      <w:widowControl/>
    </w:pPr>
    <w:rPr>
      <w:szCs w:val="21"/>
    </w:rPr>
  </w:style>
  <w:style w:type="character" w:styleId="1035" w:customStyle="1">
    <w:name w:val="批注文字 字符"/>
    <w:basedOn w:val="764"/>
    <w:link w:val="770"/>
    <w:uiPriority w:val="99"/>
    <w:semiHidden/>
    <w:qFormat/>
    <w:rPr>
      <w:rFonts w:ascii="Times New Roman" w:hAnsi="Times New Roman" w:eastAsia="宋体" w:cs="Times New Roman"/>
      <w:sz w:val="24"/>
    </w:rPr>
  </w:style>
  <w:style w:type="character" w:styleId="1036" w:customStyle="1">
    <w:name w:val="批注主题 字符"/>
    <w:basedOn w:val="1035"/>
    <w:link w:val="795"/>
    <w:uiPriority w:val="99"/>
    <w:semiHidden/>
    <w:qFormat/>
    <w:rPr>
      <w:rFonts w:ascii="Times New Roman" w:hAnsi="Times New Roman" w:eastAsia="宋体" w:cs="Times New Roman"/>
      <w:b/>
      <w:bCs/>
      <w:sz w:val="24"/>
    </w:rPr>
  </w:style>
  <w:style w:type="character" w:styleId="1037" w:customStyle="1">
    <w:name w:val="批注框文本 字符"/>
    <w:basedOn w:val="764"/>
    <w:link w:val="781"/>
    <w:uiPriority w:val="99"/>
    <w:semiHidden/>
    <w:qFormat/>
    <w:rPr>
      <w:rFonts w:ascii="Times New Roman" w:hAnsi="Times New Roman" w:eastAsia="宋体" w:cs="Times New Roman"/>
      <w:sz w:val="18"/>
      <w:szCs w:val="18"/>
    </w:rPr>
  </w:style>
  <w:style w:type="paragraph" w:styleId="1038" w:customStyle="1">
    <w:name w:val="Table Paragraph"/>
    <w:basedOn w:val="754"/>
    <w:uiPriority w:val="1"/>
    <w:qFormat/>
    <w:rPr>
      <w:rFonts w:ascii="宋体" w:hAnsi="宋体" w:cs="宋体"/>
      <w:lang w:val="zh-CN" w:bidi="zh-CN"/>
    </w:rPr>
  </w:style>
  <w:style w:type="character" w:styleId="1039" w:customStyle="1">
    <w:name w:val="font51"/>
    <w:basedOn w:val="764"/>
    <w:uiPriority w:val="0"/>
    <w:qFormat/>
    <w:rPr>
      <w:rFonts w:hint="eastAsia" w:ascii="宋体" w:hAnsi="宋体" w:eastAsia="宋体" w:cs="宋体"/>
      <w:b/>
      <w:bCs/>
      <w:color w:val="000000"/>
      <w:sz w:val="18"/>
      <w:szCs w:val="18"/>
      <w:u w:val="none"/>
    </w:rPr>
  </w:style>
  <w:style w:type="character" w:styleId="1040" w:customStyle="1">
    <w:name w:val="font31"/>
    <w:basedOn w:val="764"/>
    <w:uiPriority w:val="0"/>
    <w:qFormat/>
    <w:rPr>
      <w:rFonts w:hint="eastAsia" w:ascii="宋体" w:hAnsi="宋体" w:eastAsia="宋体" w:cs="宋体"/>
      <w:color w:val="000000"/>
      <w:sz w:val="22"/>
      <w:szCs w:val="22"/>
      <w:u w:val="single"/>
    </w:rPr>
  </w:style>
  <w:style w:type="paragraph" w:styleId="10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2" w:customStyle="1">
    <w:name w:val="Body text|1"/>
    <w:basedOn w:val="754"/>
    <w:uiPriority w:val="0"/>
    <w:qFormat/>
    <w:pPr>
      <w:ind w:firstLine="400"/>
      <w:spacing w:after="220" w:line="408" w:lineRule="auto"/>
      <w:widowControl w:val="off"/>
    </w:pPr>
    <w:rPr>
      <w:rFonts w:ascii="宋体" w:hAnsi="宋体" w:cs="宋体"/>
      <w:sz w:val="30"/>
      <w:szCs w:val="30"/>
      <w:lang w:val="zh-TW" w:eastAsia="zh-TW" w:bidi="zh-TW"/>
    </w:rPr>
  </w:style>
  <w:style w:type="paragraph" w:styleId="1043" w:customStyle="1">
    <w:name w:val="普通正文"/>
    <w:basedOn w:val="754"/>
    <w:uiPriority w:val="0"/>
    <w:qFormat/>
    <w:pPr>
      <w:ind w:firstLine="480"/>
      <w:spacing w:before="120" w:after="120" w:line="360" w:lineRule="auto"/>
    </w:pPr>
    <w:rPr>
      <w:rFonts w:ascii="Arial" w:hAnsi="Arial"/>
      <w:szCs w:val="24"/>
    </w:rPr>
  </w:style>
  <w:style w:type="paragraph" w:styleId="1044" w:customStyle="1">
    <w:name w:val="_HT_正文"/>
    <w:basedOn w:val="754"/>
    <w:uiPriority w:val="0"/>
    <w:qFormat/>
    <w:pPr>
      <w:ind w:firstLine="200"/>
      <w:spacing w:line="360" w:lineRule="auto"/>
    </w:pPr>
  </w:style>
  <w:style w:type="paragraph" w:styleId="1045" w:customStyle="1">
    <w:name w:val="列出段落1"/>
    <w:basedOn w:val="754"/>
    <w:uiPriority w:val="0"/>
    <w:qFormat/>
    <w:pPr>
      <w:ind w:firstLine="420"/>
    </w:pPr>
    <w:rPr>
      <w:rFonts w:ascii="Calibri" w:hAnsi="Calibri"/>
      <w:szCs w:val="22"/>
    </w:rPr>
  </w:style>
  <w:style w:type="character" w:styleId="1046" w:customStyle="1">
    <w:name w:val="font11"/>
    <w:basedOn w:val="764"/>
    <w:uiPriority w:val="0"/>
    <w:qFormat/>
    <w:rPr>
      <w:rFonts w:hint="eastAsia" w:ascii="宋体" w:hAnsi="宋体" w:eastAsia="宋体" w:cs="宋体"/>
      <w:color w:val="000000"/>
      <w:sz w:val="24"/>
      <w:szCs w:val="24"/>
      <w:u w:val="none"/>
    </w:rPr>
  </w:style>
  <w:style w:type="paragraph" w:styleId="104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  文"/>
    <w:basedOn w:val="754"/>
    <w:uiPriority w:val="99"/>
    <w:qFormat/>
    <w:pPr>
      <w:ind w:firstLine="200"/>
      <w:spacing w:line="360" w:lineRule="auto"/>
    </w:pPr>
    <w:rPr>
      <w:rFonts w:ascii="Calibri" w:hAnsi="Calibri"/>
    </w:rPr>
  </w:style>
  <w:style w:type="paragraph" w:styleId="1049" w:customStyle="1">
    <w:name w:val="正文1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50" w:customStyle="1">
    <w:name w:val="Table Normal"/>
    <w:uiPriority w:val="0"/>
    <w:semiHidden/>
    <w:unhideWhenUsed/>
    <w:qFormat/>
    <w:tblPr>
      <w:tblCellMar>
        <w:left w:w="0" w:type="dxa"/>
        <w:top w:w="0" w:type="dxa"/>
        <w:right w:w="0" w:type="dxa"/>
        <w:bottom w:w="0" w:type="dxa"/>
      </w:tblCellMar>
    </w:tblPr>
  </w:style>
  <w:style w:type="paragraph" w:styleId="1051"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table" w:styleId="1052" w:customStyle="1">
    <w:name w:val="网格型2"/>
    <w:uiPriority w:val="39"/>
    <w:qFormat/>
    <w:rPr>
      <w:rFonts w:ascii="Times New Roman" w:hAnsi="Times New Roman"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3" w:customStyle="1">
    <w:name w:val="网格型1"/>
    <w:uiPriority w:val="0"/>
    <w:qFormat/>
    <w:tblPr>
      <w:tblCellMar>
        <w:left w:w="0" w:type="dxa"/>
        <w:top w:w="0" w:type="dxa"/>
        <w:right w:w="0" w:type="dxa"/>
        <w:bottom w:w="0" w:type="dxa"/>
      </w:tblCellMar>
    </w:tblPr>
  </w:style>
  <w:style w:type="paragraph" w:styleId="1054" w:customStyle="1">
    <w:name w:val="列表段落1"/>
    <w:basedOn w:val="754"/>
    <w:next w:val="754"/>
    <w:uiPriority w:val="99"/>
    <w:qFormat/>
    <w:pPr>
      <w:widowControl w:val="off"/>
    </w:pPr>
    <w:rPr>
      <w:szCs w:val="22"/>
    </w:rPr>
  </w:style>
  <w:style w:type="character" w:styleId="1055" w:customStyle="1">
    <w:name w:val="正文文本缩进 Char"/>
    <w:link w:val="772"/>
    <w:uiPriority w:val="99"/>
    <w:qFormat/>
  </w:style>
  <w:style w:type="paragraph" w:styleId="1056" w:customStyle="1">
    <w:name w:val="Table Text"/>
    <w:basedOn w:val="754"/>
    <w:uiPriority w:val="0"/>
    <w:semiHidden/>
    <w:qFormat/>
    <w:rPr>
      <w:rFonts w:ascii="Arial" w:hAnsi="Arial" w:eastAsia="Arial" w:cs="Arial"/>
      <w:sz w:val="21"/>
      <w:szCs w:val="21"/>
      <w:lang w:val="en-US" w:eastAsia="en-US" w:bidi="ar-SA"/>
    </w:rPr>
  </w:style>
  <w:style w:type="numbering" w:styleId="7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史青春</cp:lastModifiedBy>
  <cp:revision>21</cp:revision>
  <dcterms:created xsi:type="dcterms:W3CDTF">2024-07-16T03:08:00Z</dcterms:created>
  <dcterms:modified xsi:type="dcterms:W3CDTF">2026-04-29T02:17:08Z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8F09256B14E440E1AEB0D7F8AB8768D5_13</vt:lpwstr>
  </property>
  <property fmtid="{D5CDD505-2E9C-101B-9397-08002B2CF9AE}" pid="4" name="KSOTemplateDocerSaveRecord">
    <vt:lpwstr>eyJoZGlkIjoiYzM0NTljOWFmYzQ0ZjhkMGIwNzZiMjE4MTU2YjlkYjAiLCJ1c2VySWQiOiI3MDgyNjYwMjYifQ==</vt:lpwstr>
  </property>
</Properties>
</file>