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1809" w:firstLine="0"/>
        <w:jc w:val="both"/>
        <w:spacing w:after="0" w:line="240" w:lineRule="auto"/>
        <w:widowControl w:val="off"/>
        <w:rPr>
          <w:rFonts w:asciiTheme="minorEastAsia" w:hAnsiTheme="minorEastAsia" w:cstheme="minorEastAsia"/>
          <w:b/>
          <w:bCs/>
          <w:color w:val="auto"/>
          <w:sz w:val="112"/>
          <w:szCs w:val="112"/>
          <w:highlight w:val="none"/>
          <w:lang w:eastAsia="zh-CN"/>
        </w:rPr>
        <w:outlineLvl w:val="0"/>
      </w:pPr>
      <w:r>
        <w:rPr>
          <w:rFonts w:asciiTheme="minorEastAsia" w:hAnsiTheme="minorEastAsia" w:cstheme="minorEastAsia"/>
          <w:b/>
          <w:bCs/>
          <w:color w:val="auto"/>
          <w:sz w:val="112"/>
          <w:szCs w:val="112"/>
          <w:highlight w:val="none"/>
          <w:lang w:eastAsia="zh-CN"/>
        </w:rPr>
      </w:r>
      <w:r/>
    </w:p>
    <w:p>
      <w:pPr>
        <w:ind w:left="220"/>
        <w:jc w:val="center"/>
        <w:spacing w:after="0" w:line="240" w:lineRule="auto"/>
        <w:widowControl w:val="off"/>
        <w:rPr>
          <w:rFonts w:asciiTheme="minorEastAsia" w:hAnsiTheme="minorEastAsia" w:cstheme="minorEastAsia"/>
          <w:b/>
          <w:bCs/>
          <w:color w:val="auto"/>
          <w:spacing w:val="283"/>
          <w:sz w:val="144"/>
          <w:szCs w:val="144"/>
          <w:highlight w:val="none"/>
          <w:lang w:eastAsia="zh-CN"/>
        </w:rPr>
        <w:outlineLvl w:val="0"/>
      </w:pPr>
      <w:r>
        <w:rPr>
          <w:rFonts w:hint="eastAsia" w:asciiTheme="minorEastAsia" w:hAnsiTheme="minorEastAsia" w:cstheme="minorEastAsia"/>
          <w:b/>
          <w:bCs/>
          <w:color w:val="auto"/>
          <w:spacing w:val="283"/>
          <w:sz w:val="144"/>
          <w:szCs w:val="144"/>
          <w:highlight w:val="none"/>
          <w:lang w:eastAsia="zh-CN"/>
        </w:rPr>
        <w:t xml:space="preserve">招标文件</w:t>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pStyle w:val="731"/>
        <w:rPr>
          <w:color w:val="auto"/>
          <w:highlight w:val="none"/>
        </w:rPr>
      </w:pPr>
      <w:r>
        <w:rPr>
          <w:color w:val="auto"/>
          <w:highlight w:val="none"/>
        </w:rPr>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ind w:left="77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项目编号：JSZC-320321-JSCD-G2026-0001 </w:t>
      </w:r>
      <w:r/>
    </w:p>
    <w:p>
      <w:pPr>
        <w:ind w:left="2929" w:right="504" w:hanging="180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项目名称：丰县公安局王沟公安检查站科技信息化设备采购项目</w:t>
      </w:r>
      <w:r/>
    </w:p>
    <w:p>
      <w:pPr>
        <w:ind w:left="77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 购 人：丰县公安局</w:t>
      </w:r>
      <w:r/>
    </w:p>
    <w:p>
      <w:pPr>
        <w:pStyle w:val="738"/>
        <w:rPr>
          <w:color w:val="auto"/>
          <w:highlight w:val="none"/>
          <w:lang w:eastAsia="zh-CN"/>
        </w:rPr>
      </w:pPr>
      <w:r>
        <w:rPr>
          <w:color w:val="auto"/>
          <w:highlight w:val="none"/>
          <w:lang w:eastAsia="zh-CN"/>
        </w:rPr>
      </w:r>
      <w:r/>
    </w:p>
    <w:p>
      <w:pPr>
        <w:pStyle w:val="731"/>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pStyle w:val="731"/>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采购代理机构：江苏创鼎建设工程项目管理咨询有限公司</w:t>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二〇二六年四月</w:t>
      </w:r>
      <w:r/>
    </w:p>
    <w:p>
      <w:pPr>
        <w:pStyle w:val="715"/>
        <w:ind w:firstLine="0"/>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715"/>
        <w:ind w:firstLine="0"/>
        <w:jc w:val="center"/>
        <w:rPr>
          <w:rFonts w:ascii="宋体" w:hAnsi="宋体" w:eastAsia="宋体" w:cs="宋体"/>
          <w:b/>
          <w:color w:val="auto"/>
          <w:sz w:val="44"/>
          <w:highlight w:val="none"/>
          <w:lang w:eastAsia="zh-CN"/>
        </w:rPr>
        <w:sectPr>
          <w:headerReference w:type="default" r:id="rId9"/>
          <w:footerReference w:type="default" r:id="rId10"/>
          <w:footnotePr/>
          <w:endnotePr/>
          <w:type w:val="nextPage"/>
          <w:pgSz w:w="11906" w:h="16838" w:orient="portrait"/>
          <w:pgMar w:top="1440" w:right="1080" w:bottom="1440" w:left="1080" w:header="709" w:footer="709" w:gutter="0"/>
          <w:pgNumType w:start="1"/>
          <w:cols w:num="1" w:sep="0" w:space="708" w:equalWidth="1"/>
          <w:docGrid w:linePitch="360"/>
        </w:sectPr>
      </w:pPr>
      <w:r>
        <w:rPr>
          <w:rFonts w:ascii="宋体" w:hAnsi="宋体" w:eastAsia="宋体" w:cs="宋体"/>
          <w:b/>
          <w:color w:val="auto"/>
          <w:sz w:val="44"/>
          <w:highlight w:val="none"/>
          <w:lang w:eastAsia="zh-CN"/>
        </w:rPr>
      </w:r>
      <w:r/>
    </w:p>
    <w:p>
      <w:pPr>
        <w:rPr>
          <w:color w:val="auto"/>
          <w:highlight w:val="none"/>
          <w:lang w:eastAsia="zh-CN"/>
        </w:rPr>
      </w:pPr>
      <w:r>
        <w:rPr>
          <w:color w:val="auto"/>
          <w:highlight w:val="none"/>
          <w:lang w:eastAsia="zh-CN"/>
        </w:rPr>
      </w:r>
      <w:r/>
    </w:p>
    <w:p>
      <w:pPr>
        <w:pStyle w:val="715"/>
        <w:ind w:firstLine="0"/>
        <w:jc w:val="center"/>
        <w:rPr>
          <w:rFonts w:ascii="宋体" w:hAnsi="宋体" w:eastAsia="宋体" w:cs="宋体"/>
          <w:b/>
          <w:color w:val="auto"/>
          <w:sz w:val="44"/>
          <w:highlight w:val="none"/>
        </w:rPr>
      </w:pPr>
      <w:r>
        <w:rPr>
          <w:rFonts w:hint="eastAsia" w:ascii="宋体" w:hAnsi="宋体" w:eastAsia="宋体" w:cs="宋体"/>
          <w:b/>
          <w:color w:val="auto"/>
          <w:sz w:val="44"/>
          <w:highlight w:val="none"/>
          <w:lang w:eastAsia="zh-CN"/>
        </w:rPr>
        <w:t xml:space="preserve">总 </w:t>
      </w:r>
      <w:r>
        <w:rPr>
          <w:rFonts w:hint="eastAsia" w:ascii="宋体" w:hAnsi="宋体" w:eastAsia="宋体" w:cs="宋体"/>
          <w:b/>
          <w:color w:val="auto"/>
          <w:sz w:val="44"/>
          <w:highlight w:val="none"/>
        </w:rPr>
        <w:t xml:space="preserve">目 录</w:t>
      </w:r>
      <w:r/>
    </w:p>
    <w:p>
      <w:pPr>
        <w:jc w:val="center"/>
        <w:spacing w:line="520" w:lineRule="exact"/>
        <w:rPr>
          <w:rFonts w:ascii="宋体" w:hAnsi="宋体" w:eastAsia="宋体" w:cs="宋体"/>
          <w:b/>
          <w:color w:val="auto"/>
          <w:sz w:val="44"/>
          <w:szCs w:val="44"/>
          <w:highlight w:val="none"/>
        </w:rPr>
      </w:pPr>
      <w:r>
        <w:rPr>
          <w:rFonts w:ascii="宋体" w:hAnsi="宋体" w:eastAsia="宋体" w:cs="宋体"/>
          <w:b/>
          <w:color w:val="auto"/>
          <w:sz w:val="44"/>
          <w:szCs w:val="44"/>
          <w:highlight w:val="none"/>
        </w:rPr>
      </w:r>
      <w:r/>
    </w:p>
    <w:p>
      <w:pPr>
        <w:jc w:val="center"/>
        <w:spacing w:line="520" w:lineRule="exact"/>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pStyle w:val="713"/>
        <w:ind w:left="1540"/>
        <w:spacing w:line="540" w:lineRule="exact"/>
        <w:tabs>
          <w:tab w:val="right" w:pos="8948" w:leader="dot"/>
        </w:tabs>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66"/>
          <w:rFonts w:hint="eastAsia" w:ascii="宋体" w:hAnsi="宋体" w:eastAsia="宋体" w:cs="宋体"/>
          <w:color w:val="auto"/>
          <w:sz w:val="30"/>
          <w:szCs w:val="30"/>
          <w:highlight w:val="none"/>
        </w:rPr>
        <w:t xml:space="preserve">第一章  投标邀请</w:t>
      </w:r>
      <w:r>
        <w:rPr>
          <w:rStyle w:val="766"/>
          <w:rFonts w:hint="eastAsia" w:ascii="宋体" w:hAnsi="宋体" w:eastAsia="宋体" w:cs="宋体"/>
          <w:color w:val="auto"/>
          <w:sz w:val="30"/>
          <w:szCs w:val="30"/>
          <w:highlight w:val="none"/>
        </w:rPr>
        <w:fldChar w:fldCharType="end"/>
      </w:r>
      <w:r/>
    </w:p>
    <w:p>
      <w:pPr>
        <w:pStyle w:val="71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66"/>
          <w:rFonts w:hint="eastAsia" w:ascii="宋体" w:hAnsi="宋体" w:eastAsia="宋体" w:cs="宋体"/>
          <w:color w:val="auto"/>
          <w:sz w:val="30"/>
          <w:szCs w:val="30"/>
          <w:highlight w:val="none"/>
        </w:rPr>
        <w:t xml:space="preserve">第二章  投标人须知</w:t>
      </w:r>
      <w:r>
        <w:rPr>
          <w:rStyle w:val="766"/>
          <w:rFonts w:hint="eastAsia" w:ascii="宋体" w:hAnsi="宋体" w:eastAsia="宋体" w:cs="宋体"/>
          <w:color w:val="auto"/>
          <w:sz w:val="30"/>
          <w:szCs w:val="30"/>
          <w:highlight w:val="none"/>
        </w:rPr>
        <w:fldChar w:fldCharType="end"/>
      </w:r>
      <w:r/>
    </w:p>
    <w:p>
      <w:pPr>
        <w:pStyle w:val="71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66"/>
          <w:rFonts w:hint="eastAsia" w:ascii="宋体" w:hAnsi="宋体" w:eastAsia="宋体" w:cs="宋体"/>
          <w:color w:val="auto"/>
          <w:sz w:val="30"/>
          <w:szCs w:val="30"/>
          <w:highlight w:val="none"/>
        </w:rPr>
        <w:t xml:space="preserve">第三章  投标资料表</w:t>
      </w:r>
      <w:r>
        <w:rPr>
          <w:rStyle w:val="766"/>
          <w:rFonts w:hint="eastAsia" w:ascii="宋体" w:hAnsi="宋体" w:eastAsia="宋体" w:cs="宋体"/>
          <w:color w:val="auto"/>
          <w:sz w:val="30"/>
          <w:szCs w:val="30"/>
          <w:highlight w:val="none"/>
        </w:rPr>
        <w:fldChar w:fldCharType="end"/>
      </w:r>
      <w:r/>
    </w:p>
    <w:p>
      <w:pPr>
        <w:pStyle w:val="71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66"/>
          <w:rFonts w:hint="eastAsia" w:ascii="宋体" w:hAnsi="宋体" w:eastAsia="宋体" w:cs="宋体"/>
          <w:color w:val="auto"/>
          <w:sz w:val="30"/>
          <w:szCs w:val="30"/>
          <w:highlight w:val="none"/>
        </w:rPr>
        <w:t xml:space="preserve">第四章  评标标准</w:t>
      </w:r>
      <w:r>
        <w:rPr>
          <w:rStyle w:val="766"/>
          <w:rFonts w:hint="eastAsia" w:ascii="宋体" w:hAnsi="宋体" w:eastAsia="宋体" w:cs="宋体"/>
          <w:color w:val="auto"/>
          <w:sz w:val="30"/>
          <w:szCs w:val="30"/>
          <w:highlight w:val="none"/>
        </w:rPr>
        <w:fldChar w:fldCharType="end"/>
      </w:r>
      <w:r/>
    </w:p>
    <w:p>
      <w:pPr>
        <w:pStyle w:val="71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66"/>
          <w:rFonts w:hint="eastAsia" w:ascii="宋体" w:hAnsi="宋体" w:eastAsia="宋体" w:cs="宋体"/>
          <w:color w:val="auto"/>
          <w:sz w:val="30"/>
          <w:szCs w:val="30"/>
          <w:highlight w:val="none"/>
        </w:rPr>
        <w:t xml:space="preserve">第五章  拟签订的合同文本</w:t>
      </w:r>
      <w:r>
        <w:rPr>
          <w:rStyle w:val="766"/>
          <w:rFonts w:hint="eastAsia" w:ascii="宋体" w:hAnsi="宋体" w:eastAsia="宋体" w:cs="宋体"/>
          <w:color w:val="auto"/>
          <w:sz w:val="30"/>
          <w:szCs w:val="30"/>
          <w:highlight w:val="none"/>
        </w:rPr>
        <w:fldChar w:fldCharType="end"/>
      </w:r>
      <w:r/>
    </w:p>
    <w:p>
      <w:pPr>
        <w:pStyle w:val="71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66"/>
          <w:rFonts w:hint="eastAsia" w:ascii="宋体" w:hAnsi="宋体" w:eastAsia="宋体" w:cs="宋体"/>
          <w:color w:val="auto"/>
          <w:sz w:val="30"/>
          <w:szCs w:val="30"/>
          <w:highlight w:val="none"/>
        </w:rPr>
        <w:t xml:space="preserve">第六章  采购需求</w:t>
      </w:r>
      <w:r>
        <w:rPr>
          <w:rStyle w:val="766"/>
          <w:rFonts w:hint="eastAsia" w:ascii="宋体" w:hAnsi="宋体" w:eastAsia="宋体" w:cs="宋体"/>
          <w:color w:val="auto"/>
          <w:sz w:val="30"/>
          <w:szCs w:val="30"/>
          <w:highlight w:val="none"/>
        </w:rPr>
        <w:fldChar w:fldCharType="end"/>
      </w:r>
      <w:r/>
    </w:p>
    <w:p>
      <w:pPr>
        <w:pStyle w:val="713"/>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66"/>
          <w:rFonts w:hint="eastAsia" w:ascii="宋体" w:hAnsi="宋体" w:eastAsia="宋体" w:cs="宋体"/>
          <w:color w:val="auto"/>
          <w:sz w:val="30"/>
          <w:szCs w:val="30"/>
          <w:highlight w:val="none"/>
        </w:rPr>
        <w:t xml:space="preserve">第七章  投标文件相关格</w:t>
      </w:r>
      <w:bookmarkStart w:id="0" w:name="_Hlt532911771"/>
      <w:r/>
      <w:bookmarkStart w:id="1" w:name="_Hlt532911772"/>
      <w:r>
        <w:rPr>
          <w:rStyle w:val="766"/>
          <w:rFonts w:hint="eastAsia" w:ascii="宋体" w:hAnsi="宋体" w:eastAsia="宋体" w:cs="宋体"/>
          <w:color w:val="auto"/>
          <w:sz w:val="30"/>
          <w:szCs w:val="30"/>
          <w:highlight w:val="none"/>
        </w:rPr>
        <w:t xml:space="preserve">式</w:t>
      </w:r>
      <w:bookmarkEnd w:id="0"/>
      <w:r/>
      <w:bookmarkEnd w:id="1"/>
      <w:r>
        <w:rPr>
          <w:rStyle w:val="766"/>
          <w:rFonts w:hint="eastAsia" w:ascii="宋体" w:hAnsi="宋体" w:eastAsia="宋体" w:cs="宋体"/>
          <w:color w:val="auto"/>
          <w:sz w:val="30"/>
          <w:szCs w:val="30"/>
          <w:highlight w:val="none"/>
        </w:rPr>
        <w:fldChar w:fldCharType="end"/>
      </w:r>
      <w:r/>
    </w:p>
    <w:p>
      <w:pPr>
        <w:ind w:left="1540"/>
        <w:jc w:val="center"/>
        <w:spacing w:after="0" w:line="360" w:lineRule="auto"/>
        <w:rPr>
          <w:rFonts w:eastAsia="宋体" w:cs="宋体" w:asciiTheme="minorEastAsia" w:hAnsiTheme="minorEastAsia"/>
          <w:b/>
          <w:bCs/>
          <w:color w:val="auto"/>
          <w:sz w:val="36"/>
          <w:szCs w:val="36"/>
          <w:highlight w:val="none"/>
          <w:lang w:eastAsia="zh-CN"/>
        </w:rPr>
      </w:pPr>
      <w:r>
        <w:rPr>
          <w:rFonts w:hint="eastAsia" w:ascii="宋体" w:hAnsi="宋体" w:eastAsia="宋体" w:cs="宋体"/>
          <w:b/>
          <w:color w:val="auto"/>
          <w:sz w:val="30"/>
          <w:szCs w:val="30"/>
          <w:highlight w:val="none"/>
        </w:rPr>
        <w:fldChar w:fldCharType="end"/>
      </w:r>
      <w:r/>
    </w:p>
    <w:p>
      <w:pPr>
        <w:pStyle w:val="738"/>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8"/>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8"/>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7"/>
        <w:ind w:left="0"/>
        <w:jc w:val="center"/>
        <w:spacing w:line="360" w:lineRule="auto"/>
        <w:rPr>
          <w:b/>
          <w:bCs/>
          <w:color w:val="auto"/>
          <w:sz w:val="32"/>
          <w:szCs w:val="32"/>
          <w:highlight w:val="none"/>
          <w:lang w:eastAsia="zh-CN"/>
        </w:rPr>
        <w:sectPr>
          <w:footerReference w:type="default" r:id="rId11"/>
          <w:footnotePr/>
          <w:endnotePr/>
          <w:type w:val="nextPage"/>
          <w:pgSz w:w="11906" w:h="16838" w:orient="portrait"/>
          <w:pgMar w:top="1440" w:right="1080" w:bottom="1440" w:left="1080" w:header="709" w:footer="709" w:gutter="0"/>
          <w:pgNumType w:start="1"/>
          <w:cols w:num="1" w:sep="0" w:space="708" w:equalWidth="1"/>
          <w:docGrid w:linePitch="360"/>
        </w:sectPr>
      </w:pPr>
      <w:r>
        <w:rPr>
          <w:b/>
          <w:bCs/>
          <w:color w:val="auto"/>
          <w:sz w:val="32"/>
          <w:szCs w:val="32"/>
          <w:highlight w:val="none"/>
          <w:lang w:eastAsia="zh-CN"/>
        </w:rPr>
      </w:r>
      <w:r/>
    </w:p>
    <w:p>
      <w:pPr>
        <w:pStyle w:val="737"/>
        <w:ind w:left="0"/>
        <w:jc w:val="center"/>
        <w:spacing w:line="360" w:lineRule="auto"/>
        <w:rPr>
          <w:rFonts w:ascii="宋体" w:hAnsi="宋体" w:eastAsia="宋体" w:cs="宋体"/>
          <w:b/>
          <w:bCs/>
          <w:color w:val="auto"/>
          <w:sz w:val="32"/>
          <w:szCs w:val="32"/>
          <w:highlight w:val="none"/>
          <w:lang w:eastAsia="zh-CN"/>
        </w:rPr>
      </w:pPr>
      <w:r>
        <w:rPr>
          <w:rFonts w:hint="eastAsia"/>
          <w:b/>
          <w:bCs/>
          <w:color w:val="auto"/>
          <w:sz w:val="32"/>
          <w:szCs w:val="32"/>
          <w:highlight w:val="none"/>
          <w:lang w:eastAsia="zh-CN"/>
        </w:rPr>
        <w:t xml:space="preserve">丰县公安局</w:t>
      </w:r>
      <w:r/>
    </w:p>
    <w:p>
      <w:pPr>
        <w:pStyle w:val="737"/>
        <w:ind w:left="0"/>
        <w:jc w:val="center"/>
        <w:spacing w:line="360" w:lineRule="auto"/>
        <w:rPr>
          <w:b/>
          <w:bCs/>
          <w:color w:val="auto"/>
          <w:sz w:val="32"/>
          <w:szCs w:val="32"/>
          <w:highlight w:val="none"/>
          <w:lang w:eastAsia="zh-CN"/>
        </w:rPr>
      </w:pPr>
      <w:r>
        <w:rPr>
          <w:rFonts w:hint="eastAsia"/>
          <w:b/>
          <w:bCs/>
          <w:color w:val="auto"/>
          <w:sz w:val="32"/>
          <w:szCs w:val="32"/>
          <w:highlight w:val="none"/>
          <w:lang w:eastAsia="zh-CN"/>
        </w:rPr>
        <w:t xml:space="preserve">《</w:t>
      </w:r>
      <w:bookmarkStart w:id="2" w:name="_Toc2867"/>
      <w:r>
        <w:rPr>
          <w:rFonts w:hint="eastAsia"/>
          <w:b/>
          <w:bCs/>
          <w:color w:val="auto"/>
          <w:sz w:val="32"/>
          <w:szCs w:val="32"/>
          <w:highlight w:val="none"/>
          <w:lang w:eastAsia="zh-CN"/>
        </w:rPr>
        <w:t xml:space="preserve">丰县公安局王沟公安检查站科技信息化设备采购项目》招标文件</w:t>
      </w:r>
      <w:bookmarkEnd w:id="2"/>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19587"/>
      <w:r>
        <w:rPr>
          <w:rFonts w:cs="新宋体" w:asciiTheme="minorEastAsia" w:hAnsiTheme="minorEastAsia"/>
          <w:b/>
          <w:color w:val="auto"/>
          <w:sz w:val="32"/>
          <w:szCs w:val="32"/>
          <w:highlight w:val="none"/>
          <w:lang w:eastAsia="zh-CN"/>
        </w:rPr>
        <w:t xml:space="preserve">第一章</w:t>
      </w:r>
      <w:r>
        <w:rPr>
          <w:rFonts w:hint="eastAsia" w:cs="Times New Roman"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投标邀请</w:t>
      </w:r>
      <w:bookmarkEnd w:id="3"/>
      <w:r/>
      <w:bookmarkEnd w:id="4"/>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江苏创鼎建设工程项目管理咨询有限公司受丰县公安局委托对</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一、项目名称和项目编号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二、对投标人的资格要求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详见本项目公开招标公告。</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三、获取招标文件</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（1）潜在供应商访问电子招标投标交易平台的网络地址和方法：</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①登录徐州政府采购网  https://czj.xz.gov.cn/zfcg/ ，或进入徐州政府采购网--业务工作--用户登录，点击“苏采云”进入系统。</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（2）采购代理机构将数据电文形式的招标文件加载至电子招标投标交易平台，供潜在供应商下载或者查阅。</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（3）售价：免费。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四、投标有关信息</w:t>
      </w:r>
      <w:r/>
    </w:p>
    <w:p>
      <w:pPr>
        <w:ind w:firstLine="600"/>
        <w:jc w:val="both"/>
        <w:spacing w:after="0" w:line="360" w:lineRule="auto"/>
        <w:rPr>
          <w:rFonts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（一）投标截止时间：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rPr>
          <w:rFonts w:cs="仿宋" w:asciiTheme="minorEastAsia" w:hAnsiTheme="minorEastAsia"/>
          <w:b/>
          <w:bCs/>
          <w:color w:val="auto"/>
          <w:sz w:val="24"/>
          <w:szCs w:val="24"/>
          <w:highlight w:val="none"/>
          <w:lang w:eastAsia="zh-CN"/>
        </w:rPr>
        <w:t xml:space="preserve">。</w:t>
      </w:r>
      <w:r/>
    </w:p>
    <w:p>
      <w:pPr>
        <w:ind w:firstLine="600"/>
        <w:jc w:val="both"/>
        <w:spacing w:after="0" w:line="360" w:lineRule="auto"/>
        <w:rPr>
          <w:rFonts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（二）开标时间：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rPr>
          <w:rFonts w:cs="仿宋" w:asciiTheme="minorEastAsia" w:hAnsiTheme="minorEastAsia"/>
          <w:b/>
          <w:bCs/>
          <w:color w:val="auto"/>
          <w:sz w:val="24"/>
          <w:szCs w:val="24"/>
          <w:highlight w:val="none"/>
          <w:lang w:eastAsia="zh-CN"/>
        </w:rPr>
        <w:t xml:space="preserve">。</w:t>
      </w:r>
      <w:r/>
    </w:p>
    <w:p>
      <w:pPr>
        <w:ind w:firstLine="600"/>
        <w:jc w:val="both"/>
        <w:spacing w:after="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（三）开标地点：“苏采云”系购网（网址：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统</w:t>
      </w:r>
      <w:r>
        <w:rPr>
          <w:rFonts w:hint="eastAsia" w:asciiTheme="minorEastAsia" w:hAnsiTheme="minorEastAsia" w:cstheme="minorEastAsia"/>
          <w:color w:val="auto"/>
          <w:highlight w:val="none"/>
          <w:lang w:eastAsia="zh-CN"/>
        </w:rPr>
        <w:t xml:space="preserve">（</w:t>
      </w:r>
      <w:r>
        <w:rPr>
          <w:rFonts w:hint="eastAsia" w:asciiTheme="minorEastAsia" w:hAnsiTheme="minorEastAsia" w:cstheme="minorEastAsia"/>
          <w:color w:val="auto"/>
          <w:sz w:val="24"/>
          <w:szCs w:val="24"/>
          <w:highlight w:val="none"/>
          <w:lang w:eastAsia="zh-CN"/>
        </w:rPr>
        <w:t xml:space="preserve">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“开标大厅”或进入徐州政府采-业务工作 -用户登录，点击“苏采云”进入系统“开标大厅”。</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五、采购人</w:t>
      </w:r>
      <w:r>
        <w:rPr>
          <w:rFonts w:hint="eastAsia" w:cs="黑体" w:asciiTheme="minorEastAsia" w:hAnsiTheme="minorEastAsia"/>
          <w:color w:val="auto"/>
          <w:sz w:val="24"/>
          <w:szCs w:val="24"/>
          <w:highlight w:val="none"/>
          <w:lang w:eastAsia="zh-CN"/>
        </w:rPr>
        <w:t xml:space="preserve">信息</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（一）名称：</w:t>
      </w:r>
      <w:r>
        <w:rPr>
          <w:rFonts w:hint="eastAsia" w:asciiTheme="minorEastAsia" w:hAnsiTheme="minorEastAsia"/>
          <w:color w:val="auto"/>
          <w:sz w:val="24"/>
          <w:szCs w:val="24"/>
          <w:highlight w:val="none"/>
          <w:lang w:eastAsia="zh-CN"/>
        </w:rPr>
        <w:t xml:space="preserve">丰县公安局</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（二）地址：</w:t>
      </w:r>
      <w:r>
        <w:rPr>
          <w:rFonts w:hint="eastAsia" w:asciiTheme="minorEastAsia" w:hAnsiTheme="minorEastAsia"/>
          <w:color w:val="auto"/>
          <w:sz w:val="24"/>
          <w:szCs w:val="24"/>
          <w:highlight w:val="none"/>
          <w:lang w:eastAsia="zh-CN"/>
        </w:rPr>
        <w:t xml:space="preserve">江苏徐州市丰县丰县经济开发区南苑路28号</w:t>
      </w:r>
      <w:r>
        <w:rPr>
          <w:rFonts w:asciiTheme="minorEastAsia" w:hAnsiTheme="minorEastAsia"/>
          <w:color w:val="auto"/>
          <w:sz w:val="24"/>
          <w:szCs w:val="24"/>
          <w:highlight w:val="none"/>
          <w:lang w:eastAsia="zh-CN"/>
        </w:rPr>
        <w:t xml:space="preserve"> </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（三）联系方法：</w:t>
      </w:r>
      <w:r>
        <w:rPr>
          <w:rFonts w:hint="eastAsia" w:asciiTheme="minorEastAsia" w:hAnsiTheme="minorEastAsia"/>
          <w:color w:val="auto"/>
          <w:sz w:val="24"/>
          <w:szCs w:val="24"/>
          <w:highlight w:val="none"/>
          <w:lang w:eastAsia="zh-CN"/>
        </w:rPr>
        <w:t xml:space="preserve">18361556808</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（四）采购项目联系人：</w:t>
      </w:r>
      <w:r>
        <w:rPr>
          <w:rFonts w:hint="eastAsia" w:asciiTheme="minorEastAsia" w:hAnsiTheme="minorEastAsia"/>
          <w:color w:val="auto"/>
          <w:sz w:val="24"/>
          <w:szCs w:val="24"/>
          <w:highlight w:val="none"/>
          <w:lang w:eastAsia="zh-CN"/>
        </w:rPr>
        <w:t xml:space="preserve">赵奇超 </w:t>
      </w:r>
      <w:r/>
    </w:p>
    <w:p>
      <w:pPr>
        <w:numPr>
          <w:ilvl w:val="0"/>
          <w:numId w:val="2"/>
        </w:numPr>
        <w:ind w:firstLine="600"/>
        <w:jc w:val="both"/>
        <w:spacing w:after="0" w:line="360" w:lineRule="auto"/>
        <w:rPr>
          <w:rFonts w:cs="黑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采</w:t>
      </w:r>
      <w:r>
        <w:rPr>
          <w:rFonts w:hint="eastAsia" w:cs="黑体" w:asciiTheme="minorEastAsia" w:hAnsiTheme="minorEastAsia"/>
          <w:color w:val="auto"/>
          <w:sz w:val="24"/>
          <w:szCs w:val="24"/>
          <w:highlight w:val="none"/>
          <w:lang w:eastAsia="zh-CN"/>
        </w:rPr>
        <w:t xml:space="preserve">购代理机构</w:t>
      </w:r>
      <w:bookmarkStart w:id="5" w:name="_Toc17489"/>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w:t>
      </w:r>
      <w:r>
        <w:rPr>
          <w:rFonts w:hint="eastAsia" w:asciiTheme="minorEastAsia" w:hAnsiTheme="minorEastAsia"/>
          <w:color w:val="auto"/>
          <w:sz w:val="24"/>
          <w:szCs w:val="24"/>
          <w:highlight w:val="none"/>
          <w:lang w:eastAsia="zh-CN"/>
        </w:rPr>
        <w:t xml:space="preserve">名称：</w:t>
      </w:r>
      <w:bookmarkEnd w:id="5"/>
      <w:r>
        <w:rPr>
          <w:rFonts w:hint="eastAsia" w:asciiTheme="minorEastAsia" w:hAnsiTheme="minorEastAsia"/>
          <w:color w:val="auto"/>
          <w:sz w:val="24"/>
          <w:szCs w:val="24"/>
          <w:highlight w:val="none"/>
          <w:lang w:eastAsia="zh-CN"/>
        </w:rPr>
        <w:t xml:space="preserve">江苏创鼎建设工程项目管理咨询有限公司</w:t>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w:t>
      </w:r>
      <w:r>
        <w:rPr>
          <w:rFonts w:hint="eastAsia" w:asciiTheme="minorEastAsia" w:hAnsiTheme="minorEastAsia"/>
          <w:color w:val="auto"/>
          <w:sz w:val="24"/>
          <w:szCs w:val="24"/>
          <w:highlight w:val="none"/>
          <w:lang w:eastAsia="zh-CN"/>
        </w:rPr>
        <w:t xml:space="preserve">地址：徐州市经济开发区软件园明阳广场C楼201   </w:t>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w:t>
      </w:r>
      <w:r>
        <w:rPr>
          <w:rFonts w:hint="eastAsia" w:asciiTheme="minorEastAsia" w:hAnsiTheme="minorEastAsia"/>
          <w:color w:val="auto"/>
          <w:sz w:val="24"/>
          <w:szCs w:val="24"/>
          <w:highlight w:val="none"/>
          <w:lang w:eastAsia="zh-CN"/>
        </w:rPr>
        <w:t xml:space="preserve">联系方式：18852157319 </w:t>
      </w:r>
      <w:r/>
    </w:p>
    <w:p>
      <w:pPr>
        <w:ind w:firstLine="96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w:t>
      </w:r>
      <w:r>
        <w:rPr>
          <w:rFonts w:hint="eastAsia" w:asciiTheme="minorEastAsia" w:hAnsiTheme="minorEastAsia"/>
          <w:color w:val="auto"/>
          <w:sz w:val="24"/>
          <w:szCs w:val="24"/>
          <w:highlight w:val="none"/>
          <w:lang w:eastAsia="zh-CN"/>
        </w:rPr>
        <w:t xml:space="preserve">联系人：孙善初</w:t>
      </w:r>
      <w:r/>
    </w:p>
    <w:p>
      <w:pPr>
        <w:pStyle w:val="713"/>
        <w:rPr>
          <w:color w:val="auto"/>
          <w:highlight w:val="none"/>
          <w:lang w:eastAsia="zh-CN"/>
        </w:rPr>
      </w:pPr>
      <w:r>
        <w:rPr>
          <w:color w:val="auto"/>
          <w:highlight w:val="none"/>
          <w:lang w:eastAsia="zh-CN"/>
        </w:rPr>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6" w:name="_Toc2184"/>
      <w:r/>
      <w:bookmarkStart w:id="7" w:name="_Toc18447"/>
      <w:r>
        <w:rPr>
          <w:rFonts w:cs="新宋体" w:asciiTheme="minorEastAsia" w:hAnsiTheme="minorEastAsia"/>
          <w:b/>
          <w:color w:val="auto"/>
          <w:sz w:val="32"/>
          <w:szCs w:val="32"/>
          <w:highlight w:val="none"/>
          <w:lang w:eastAsia="zh-CN"/>
        </w:rPr>
        <w:t xml:space="preserve">第二章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投标人须知</w:t>
      </w:r>
      <w:bookmarkEnd w:id="6"/>
      <w:r/>
      <w:bookmarkEnd w:id="7"/>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一、总则</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（六）投标人的资格条件：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投标人是指响应招标、参加投标竞争的法人、其他组织或者自然人。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2.投标人授权代表系指法定代表人或受法人委托的受托人。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二、招标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（八）招标文件应包括以下内容：</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第一章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投标邀请；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第二章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投标人须知；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第三章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投标资料表；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第四章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评标标准；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第五章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拟签订的合同文本；</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第六章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采购需求；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第七章</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投标文件相关格式。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（九）招标文件澄清或者修改：</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2.现场考察以本文件第三章《投标资料表》中的要求为准。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（十二）投标文件的构成：</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2.商务条件以本文件第三章《投标资料表》中的要求为准。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（十四）投标报价要求：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1.投标人应按照招标文件的要求报出分项价格和总价。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3.采购人不支付报价以外的任何费用。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（十六）投标有效期：</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（十七）投标文件的编制要求和签署要求</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（1）投标人应由其法定代表人或法定代表人授权代表在规定的网上投标时间，凭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（十八）投标文件的盖章要求：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（二十二）本项目不允许分包。</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（二十四）有下列情形之一的，其投标无效。</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1.不同投标人的投标文件，由同一单位或者个人编制；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2.不同投标人委托同一单位或者个人办理投标事宜；</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4.不同投标人的投标文件，异常一致或者投标报价呈规律性差异；</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6.电子投标文件未按规定期限投标的；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7.电子投标文件未按招标文件要求签章的；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8.投标人未在规定时间内解密电子投标文件的；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10.不具备招标文件中规定的资格要求的；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11.报价超过招标文件中规定的预算金额或者最高限价的；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12.投标文件含有采购人不能接受的附加条件的；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13.</w:t>
      </w:r>
      <w:r>
        <w:rPr>
          <w:rFonts w:hint="eastAsia" w:cs="仿宋" w:asciiTheme="minorEastAsia" w:hAnsiTheme="minorEastAsia"/>
          <w:color w:val="auto"/>
          <w:sz w:val="24"/>
          <w:szCs w:val="24"/>
          <w:highlight w:val="none"/>
          <w:lang w:eastAsia="zh-CN"/>
        </w:rPr>
        <w:t xml:space="preserve">法律法规</w:t>
      </w:r>
      <w:r>
        <w:rPr>
          <w:rFonts w:cs="仿宋" w:asciiTheme="minorEastAsia" w:hAnsiTheme="minorEastAsia"/>
          <w:color w:val="auto"/>
          <w:sz w:val="24"/>
          <w:szCs w:val="24"/>
          <w:highlight w:val="none"/>
          <w:lang w:eastAsia="zh-CN"/>
        </w:rPr>
        <w:t xml:space="preserve">和招标文件规定的其他无效情形。</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四、开标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（二十五）开标：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2.由电子招标投标交易平台主持，邀请投标人参加。</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4.投标人原因造成投标文件未解密的，视为撤销其投标文件</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因投标人之外的原因造成投标文件未解密的，视为撤回其投标文件。部分投标文件未解密的，其他投标文件的开标可以继续进行。</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5.投标人未参加开标的，视同认可开标结果。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五、评标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1.评标工作由采购代理机构负责组织，并履行下列职责：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（2）宣布评标纪律；</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（3）公布投标人名单，告知评审专家应当回避的情形；</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（4）组织评标委员会推选评标组长（采购人代表不得担任组长）；</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（6）根据评标委员会的要求介绍政府采购相关政策法规、招标文件；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cs="仿宋" w:asciiTheme="minorEastAsia" w:hAnsiTheme="minorEastAsia"/>
          <w:color w:val="auto"/>
          <w:sz w:val="24"/>
          <w:szCs w:val="24"/>
          <w:highlight w:val="none"/>
          <w:lang w:eastAsia="zh-CN"/>
        </w:rPr>
        <w:t xml:space="preserve">政府采购</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（10）处理与评标有关的其他事项。</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2.评标委员会负责具体评标事务，并独立履行下列职责：</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（2）要求投标人对投标文件有关事项作出澄清或者说明；</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（3）对投标文件进行比较和评价；</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（4）确定中标候选人名单，以及根据采购人委托直接确定中标人；</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（二十七）评标方法分为最低评标价法和综合评分法。</w:t>
      </w:r>
      <w:r/>
    </w:p>
    <w:p>
      <w:pPr>
        <w:ind w:firstLine="45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（二十八）评标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1.评标工作程序：</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（1）投标文件初审。</w:t>
      </w:r>
      <w:r/>
    </w:p>
    <w:p>
      <w:pPr>
        <w:ind w:firstLine="89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①资格性审查。</w:t>
      </w:r>
      <w:r/>
    </w:p>
    <w:p>
      <w:pPr>
        <w:ind w:firstLine="892"/>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②符合性审查。</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（2）澄清有关问题。</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（3）比较与评价。</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（4）推荐中标候选供应商名单。</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（5）编写评审报告（评标报告）。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766"/>
          <w:rFonts w:cs="仿宋" w:asciiTheme="minorEastAsia" w:hAnsiTheme="minorEastAsia"/>
          <w:color w:val="auto"/>
          <w:sz w:val="24"/>
          <w:szCs w:val="24"/>
          <w:highlight w:val="none"/>
          <w:u w:val="none"/>
          <w:lang w:eastAsia="zh-CN"/>
        </w:rPr>
        <w:t xml:space="preserve">最低评标价法</w:t>
      </w:r>
      <w:r>
        <w:rPr>
          <w:rStyle w:val="766"/>
          <w:rFonts w:cs="仿宋" w:asciiTheme="minorEastAsia" w:hAnsiTheme="minorEastAsia"/>
          <w:color w:val="auto"/>
          <w:sz w:val="24"/>
          <w:szCs w:val="24"/>
          <w:highlight w:val="none"/>
          <w:u w:val="none"/>
          <w:lang w:eastAsia="zh-CN"/>
        </w:rPr>
        <w:fldChar w:fldCharType="end"/>
      </w:r>
      <w:r>
        <w:rPr>
          <w:rFonts w:cs="仿宋" w:asciiTheme="minorEastAsia" w:hAnsiTheme="minorEastAsia"/>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766"/>
          <w:rFonts w:cs="仿宋" w:asciiTheme="minorEastAsia" w:hAnsiTheme="minorEastAsia"/>
          <w:color w:val="auto"/>
          <w:sz w:val="24"/>
          <w:szCs w:val="24"/>
          <w:highlight w:val="none"/>
          <w:u w:val="none"/>
          <w:lang w:eastAsia="zh-CN"/>
        </w:rPr>
        <w:t xml:space="preserve">综合评分法</w:t>
      </w:r>
      <w:r>
        <w:rPr>
          <w:rStyle w:val="766"/>
          <w:rFonts w:cs="仿宋" w:asciiTheme="minorEastAsia" w:hAnsiTheme="minorEastAsia"/>
          <w:color w:val="auto"/>
          <w:sz w:val="24"/>
          <w:szCs w:val="24"/>
          <w:highlight w:val="none"/>
          <w:u w:val="none"/>
          <w:lang w:eastAsia="zh-CN"/>
        </w:rPr>
        <w:fldChar w:fldCharType="end"/>
      </w:r>
      <w:r>
        <w:rPr>
          <w:rFonts w:cs="仿宋" w:asciiTheme="minorEastAsia" w:hAnsiTheme="minorEastAsia"/>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（二十九）投标文件报价出现前后不一致的，按照下列规定修正：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2.大写金额和小写金额不一致的，以大写金额为准；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0"/>
        <w:spacing w:after="0" w:line="312" w:lineRule="auto"/>
        <w:rPr>
          <w:rFonts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（三十）</w:t>
      </w:r>
      <w:r>
        <w:rPr>
          <w:rFonts w:hint="eastAsia" w:ascii="Times New Roman" w:hAnsi="Times New Roman" w:eastAsia="宋体" w:cs="Times New Roman"/>
          <w:b/>
          <w:bCs/>
          <w:color w:val="auto"/>
          <w:sz w:val="24"/>
          <w:szCs w:val="20"/>
          <w:highlight w:val="none"/>
          <w:lang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评标过程中出现下列情形之一的，评标委员会应当启动异常低价投标审查程序：</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1、投标报价低于采购项目预算50%的，即投标报价&lt;采购项目最高限价×50%。</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2、投标报价低于采购项目最高限价45%的，即投标报价&lt;采购项目最高限价×45%。</w:t>
      </w:r>
      <w:r/>
    </w:p>
    <w:p>
      <w:pPr>
        <w:ind w:firstLine="480"/>
        <w:spacing w:after="0" w:line="360" w:lineRule="auto"/>
        <w:widowControl w:val="off"/>
        <w:rPr>
          <w:rFonts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2、评标委员会认定的投标人报价过低、有可能影响产品质量或者不能诚信履约的其他情形。</w:t>
      </w:r>
      <w:r/>
    </w:p>
    <w:p>
      <w:pPr>
        <w:ind w:firstLine="480"/>
        <w:spacing w:after="0" w:line="312" w:lineRule="auto"/>
        <w:rPr>
          <w:rFonts w:cs="仿宋" w:asciiTheme="minorEastAsia" w:hAnsi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w:t>
      </w:r>
      <w:r>
        <w:rPr>
          <w:rFonts w:hint="eastAsia" w:cs="仿宋" w:asciiTheme="minorEastAsia" w:hAnsiTheme="minorEastAsia"/>
          <w:color w:val="auto"/>
          <w:sz w:val="24"/>
          <w:szCs w:val="24"/>
          <w:highlight w:val="none"/>
          <w:lang w:eastAsia="zh-CN"/>
        </w:rPr>
        <w:t xml:space="preserve">一</w:t>
      </w:r>
      <w:r>
        <w:rPr>
          <w:rFonts w:cs="仿宋" w:asciiTheme="minorEastAsia" w:hAnsiTheme="minorEastAsia"/>
          <w:color w:val="auto"/>
          <w:sz w:val="24"/>
          <w:szCs w:val="24"/>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（三十二）废标条款：</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出现下列情形之一的，应予废标。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1.符合专业条件的供应商或者对招标文件作实质响应的供应商不足三家的；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2.出现影响采购公正的违法、违规行为的；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3.投标人的报价均超过了采购预算，采购人不能支付的；</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4.因重大变故，采购任务取消的。</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六、定标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七、政府采购合同</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（三十六）签订政府采购合同（合同签订方式）：</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（三十七）采购人与中标人应当根据合同的约定依法履行合同义务。政府采购合同的履行、违约责任和解决争议的方法等，按《</w:t>
      </w:r>
      <w:r>
        <w:rPr>
          <w:rFonts w:hint="eastAsia" w:cs="仿宋" w:asciiTheme="minorEastAsia" w:hAnsiTheme="minorEastAsia"/>
          <w:color w:val="auto"/>
          <w:sz w:val="24"/>
          <w:szCs w:val="24"/>
          <w:highlight w:val="none"/>
          <w:lang w:eastAsia="zh-CN"/>
        </w:rPr>
        <w:t xml:space="preserve">中华人民共和国民法典</w:t>
      </w:r>
      <w:r>
        <w:rPr>
          <w:rFonts w:cs="仿宋" w:asciiTheme="minorEastAsia" w:hAnsiTheme="minorEastAsia"/>
          <w:color w:val="auto"/>
          <w:sz w:val="24"/>
          <w:szCs w:val="24"/>
          <w:highlight w:val="none"/>
          <w:lang w:eastAsia="zh-CN"/>
        </w:rPr>
        <w:t xml:space="preserve">》相关条款执行。</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（三十八）履约保证金：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中标人应当在评审结果公示日起三日内，向采购人提交本文件第三章《投标资料表》中规定金额的履约保证金。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w:t>
      </w:r>
      <w:r>
        <w:rPr>
          <w:rFonts w:hint="eastAsia" w:cs="仿宋" w:asciiTheme="minorEastAsia" w:hAnsiTheme="minorEastAsia"/>
          <w:color w:val="auto"/>
          <w:sz w:val="24"/>
          <w:szCs w:val="24"/>
          <w:highlight w:val="none"/>
          <w:lang w:eastAsia="zh-CN"/>
        </w:rPr>
        <w:t xml:space="preserve">采购人财务</w:t>
      </w:r>
      <w:r>
        <w:rPr>
          <w:rFonts w:cs="仿宋" w:asciiTheme="minorEastAsia" w:hAnsiTheme="minorEastAsia"/>
          <w:color w:val="auto"/>
          <w:sz w:val="24"/>
          <w:szCs w:val="24"/>
          <w:highlight w:val="none"/>
          <w:lang w:eastAsia="zh-CN"/>
        </w:rPr>
        <w:t xml:space="preserve">办理退款手续）。如果中标人不履行合同约定的义务，未能完全履行合同规定的义务或其履行不符合合同的约定，招标人有权扣除履约保证金取得补偿。</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（三十九）腐败和欺诈行为：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（1）腐败和欺诈行为的含义：</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②“欺诈行为”系指为了影响招标、采购和合同执行等过程，隐瞒</w:t>
      </w:r>
      <w:r>
        <w:rPr>
          <w:rFonts w:hint="eastAsia" w:cs="仿宋" w:asciiTheme="minorEastAsia" w:hAnsiTheme="minorEastAsia"/>
          <w:color w:val="auto"/>
          <w:sz w:val="24"/>
          <w:szCs w:val="24"/>
          <w:highlight w:val="none"/>
          <w:lang w:eastAsia="zh-CN"/>
        </w:rPr>
        <w:t xml:space="preserve">事实真相</w:t>
      </w:r>
      <w:r>
        <w:rPr>
          <w:rFonts w:cs="仿宋" w:asciiTheme="minorEastAsia" w:hAnsiTheme="minorEastAsia"/>
          <w:color w:val="auto"/>
          <w:sz w:val="24"/>
          <w:szCs w:val="24"/>
          <w:highlight w:val="none"/>
          <w:lang w:eastAsia="zh-CN"/>
        </w:rPr>
        <w:t xml:space="preserve">，给买方、卖方、采购代理机构及他人造成损害的行为，其中包括投标人之间的串通行为。</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（2）如果被推荐的中标人有腐败和欺诈行为，将取消其中标资格。</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（3）如果投标人在任何时候，被法院及政府有关管理部门认定为有腐败和欺诈行为，采购代理机构有权拒绝其投标、取消其中标资格和撤</w:t>
      </w:r>
      <w:r>
        <w:rPr>
          <w:rFonts w:hint="eastAsia" w:cs="仿宋" w:asciiTheme="minorEastAsia" w:hAnsiTheme="minorEastAsia"/>
          <w:color w:val="auto"/>
          <w:sz w:val="24"/>
          <w:szCs w:val="24"/>
          <w:highlight w:val="none"/>
          <w:lang w:eastAsia="zh-CN"/>
        </w:rPr>
        <w:t xml:space="preserve">销</w:t>
      </w:r>
      <w:r>
        <w:rPr>
          <w:rFonts w:cs="仿宋" w:asciiTheme="minorEastAsia" w:hAnsiTheme="minorEastAsia"/>
          <w:color w:val="auto"/>
          <w:sz w:val="24"/>
          <w:szCs w:val="24"/>
          <w:highlight w:val="none"/>
          <w:lang w:eastAsia="zh-CN"/>
        </w:rPr>
        <w:t xml:space="preserve">其已签署的合同。</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八、询问和质疑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（四十）询问和质疑</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（四十一）</w:t>
      </w:r>
      <w:r>
        <w:rPr>
          <w:rFonts w:hint="eastAsia" w:cs="仿宋" w:asciiTheme="minorEastAsia" w:hAnsiTheme="minorEastAsia"/>
          <w:color w:val="auto"/>
          <w:sz w:val="24"/>
          <w:szCs w:val="24"/>
          <w:highlight w:val="none"/>
          <w:lang w:eastAsia="zh-CN"/>
        </w:rPr>
        <w:t xml:space="preserve">质疑和投诉按《政府采购质疑和投诉办法》执行。</w:t>
      </w:r>
      <w:r/>
    </w:p>
    <w:p>
      <w:pPr>
        <w:ind w:firstLine="60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九、电子招标投标交易平台</w:t>
      </w:r>
      <w:r/>
    </w:p>
    <w:p>
      <w:pPr>
        <w:ind w:firstLine="48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（四十</w:t>
      </w:r>
      <w:r>
        <w:rPr>
          <w:rFonts w:hint="eastAsia" w:cs="仿宋" w:asciiTheme="minorEastAsia" w:hAnsiTheme="minorEastAsia"/>
          <w:color w:val="auto"/>
          <w:sz w:val="24"/>
          <w:szCs w:val="24"/>
          <w:highlight w:val="none"/>
          <w:lang w:eastAsia="zh-CN"/>
        </w:rPr>
        <w:t xml:space="preserve">二</w:t>
      </w:r>
      <w:r>
        <w:rPr>
          <w:rFonts w:cs="仿宋" w:asciiTheme="minorEastAsia" w:hAnsiTheme="minorEastAsia"/>
          <w:color w:val="auto"/>
          <w:sz w:val="24"/>
          <w:szCs w:val="24"/>
          <w:highlight w:val="none"/>
          <w:lang w:eastAsia="zh-CN"/>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cs="仿宋" w:asciiTheme="minorEastAsia" w:hAnsiTheme="minorEastAsia"/>
          <w:color w:val="auto"/>
          <w:sz w:val="24"/>
          <w:szCs w:val="24"/>
          <w:highlight w:val="none"/>
          <w:lang w:eastAsia="zh-CN"/>
        </w:rPr>
        <w:t xml:space="preserve">http</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//jszfcg.jsczt.cn/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）相关要求是本招标文件的组成部分。</w:t>
      </w:r>
      <w:r/>
    </w:p>
    <w:p>
      <w:pPr>
        <w:ind w:firstLine="600"/>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8" w:name="_Toc24966"/>
      <w:r/>
      <w:bookmarkStart w:id="9" w:name="_Toc18211"/>
      <w:r>
        <w:rPr>
          <w:rFonts w:cs="新宋体" w:asciiTheme="minorEastAsia" w:hAnsiTheme="minorEastAsia"/>
          <w:b/>
          <w:color w:val="auto"/>
          <w:sz w:val="32"/>
          <w:szCs w:val="32"/>
          <w:highlight w:val="none"/>
          <w:lang w:eastAsia="zh-CN"/>
        </w:rPr>
        <w:t xml:space="preserve">第三章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投标资料表</w:t>
      </w:r>
      <w:bookmarkEnd w:id="8"/>
      <w:r/>
      <w:bookmarkEnd w:id="9"/>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762"/>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7773"/>
      </w:tblGrid>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rPr>
                <w:rFonts w:cs="仿宋" w:asciiTheme="minorEastAsia" w:hAnsiTheme="minorEastAsia"/>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本项目采购人：</w:t>
            </w:r>
            <w:r>
              <w:rPr>
                <w:rFonts w:hint="eastAsia" w:cs="仿宋" w:asciiTheme="minorEastAsia" w:hAnsiTheme="minorEastAsia"/>
                <w:color w:val="auto"/>
                <w:sz w:val="24"/>
                <w:szCs w:val="24"/>
                <w:highlight w:val="none"/>
                <w:lang w:eastAsia="zh-CN"/>
              </w:rPr>
              <w:t xml:space="preserve">丰县公安局</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采购人确定的采购项目属性：</w:t>
            </w:r>
            <w:r>
              <w:rPr>
                <w:rFonts w:hint="eastAsia" w:cs="仿宋" w:asciiTheme="minorEastAsia" w:hAnsiTheme="minorEastAsia"/>
                <w:color w:val="auto"/>
                <w:sz w:val="24"/>
                <w:szCs w:val="24"/>
                <w:highlight w:val="none"/>
                <w:lang w:eastAsia="zh-CN"/>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五</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vAlign w:val="center"/>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本项目采购代理机构：</w:t>
            </w:r>
            <w:r>
              <w:rPr>
                <w:rFonts w:hint="eastAsia" w:cs="仿宋" w:asciiTheme="minorEastAsia" w:hAnsiTheme="minorEastAsia"/>
                <w:color w:val="auto"/>
                <w:sz w:val="24"/>
                <w:szCs w:val="24"/>
                <w:highlight w:val="none"/>
                <w:lang w:eastAsia="zh-CN"/>
              </w:rPr>
              <w:t xml:space="preserve">江苏创鼎建设工程项目管理咨询有限公司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六</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投标人的资格条件：</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一、符合《中华人民共和国政府采购法》第二十二条的规定；</w:t>
            </w:r>
            <w:r/>
          </w:p>
          <w:p>
            <w:pPr>
              <w:jc w:val="both"/>
              <w:spacing w:after="0" w:line="36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b/>
                <w:bCs/>
                <w:color w:val="auto"/>
                <w:sz w:val="24"/>
                <w:szCs w:val="24"/>
                <w:highlight w:val="none"/>
                <w:lang w:eastAsia="zh-CN"/>
              </w:rPr>
              <w:t xml:space="preserve">落实政府采购政策需满足的资格要求：本项目不属于专门面向中小微企业采购的项目。</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三、本项目的特定资格要求：无。</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同时明确相关事项如下：</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一、本项目不接受联合体参与采购活动。</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四、查询及使用供应商信用记录：</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由采购人查询信用信息。</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查询渠道包括：</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www.creditchina.gov.cn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www.ccgp.gov.cn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截止时点（查询环节）：资格审查结束前。</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信用信息的使用规则：</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招标代理服务费由中标人支付，</w:t>
            </w:r>
            <w:r>
              <w:rPr>
                <w:rFonts w:hint="eastAsia" w:cs="仿宋" w:asciiTheme="minorEastAsia" w:hAnsiTheme="minorEastAsia"/>
                <w:color w:val="auto"/>
                <w:sz w:val="24"/>
                <w:szCs w:val="24"/>
                <w:highlight w:val="none"/>
                <w:lang w:eastAsia="zh-CN"/>
              </w:rPr>
              <w:t xml:space="preserve">收费标准执行《徐州政府采购代理服务费行业指导价格》的80%。</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投标文件编制要求：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请按照以下要求（包括但不限于以下要求）制作：</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一、基本目录</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1.《开标一览表》（加盖电子签章，政府采购客户端工具输入报价自动生成）</w:t>
            </w:r>
            <w:r>
              <w:rPr>
                <w:rFonts w:hint="eastAsia"/>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2.所投产品的环境标志产品认证证书原件的扫描件（如有）。</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3.所投产品的节能产品认证证书原件的扫描件（如有）。</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5.投标人认为制作投标文件需要提供的其他材料(如有）</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二、资格条件（</w:t>
            </w:r>
            <w:r>
              <w:rPr>
                <w:rFonts w:hint="eastAsia" w:ascii="宋体" w:hAnsi="宋体" w:eastAsia="宋体" w:cs="宋体"/>
                <w:b/>
                <w:bCs/>
                <w:color w:val="auto"/>
                <w:sz w:val="24"/>
                <w:szCs w:val="24"/>
                <w:highlight w:val="none"/>
                <w:lang w:eastAsia="zh-CN"/>
              </w:rPr>
              <w:t xml:space="preserve">1-5必须提供，否则投标无效，请各投标供应商仔细核对！</w:t>
            </w:r>
            <w:r>
              <w:rPr>
                <w:b/>
                <w:bCs/>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w:t>
            </w:r>
            <w:r>
              <w:rPr>
                <w:rFonts w:hint="eastAsia"/>
                <w:color w:val="auto"/>
                <w:sz w:val="24"/>
                <w:szCs w:val="24"/>
                <w:highlight w:val="none"/>
                <w:lang w:eastAsia="zh-CN"/>
              </w:rPr>
              <w:t xml:space="preserve">，</w:t>
            </w:r>
            <w:r>
              <w:rPr>
                <w:color w:val="auto"/>
                <w:sz w:val="24"/>
                <w:szCs w:val="24"/>
                <w:highlight w:val="none"/>
                <w:lang w:eastAsia="zh-CN"/>
              </w:rPr>
              <w:t xml:space="preserve">自然人的身份证明，以上证明文件提供原件的扫描件</w:t>
            </w:r>
            <w:r>
              <w:rPr>
                <w:rFonts w:hint="eastAsia"/>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2.财务状况报告（</w:t>
            </w:r>
            <w:r>
              <w:rPr>
                <w:rFonts w:hint="eastAsia" w:ascii="宋体" w:hAnsi="宋体" w:eastAsia="宋体" w:cs="宋体"/>
                <w:color w:val="auto"/>
                <w:sz w:val="24"/>
                <w:szCs w:val="24"/>
                <w:highlight w:val="none"/>
                <w:lang w:eastAsia="zh-CN"/>
              </w:rPr>
              <w:t xml:space="preserve">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eastAsia="zh-CN"/>
              </w:rPr>
              <w:t xml:space="preserve">。</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3.</w:t>
            </w:r>
            <w:r>
              <w:rPr>
                <w:rFonts w:hint="eastAsia"/>
                <w:color w:val="auto"/>
                <w:sz w:val="24"/>
                <w:szCs w:val="24"/>
                <w:highlight w:val="none"/>
                <w:lang w:eastAsia="zh-CN"/>
              </w:rPr>
              <w:t xml:space="preserve">投标人需提供本项目开标时间前6个月内任何1个月的依法缴纳税收和社会保障资金的相关材料扫描件（依法免税或不需要缴纳社会保障资金的供应商需提供相应文件证明其依法免税或不需要缴纳社会保障资金相关证明材料）。</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4.</w:t>
            </w:r>
            <w:r>
              <w:rPr>
                <w:rFonts w:hint="eastAsia"/>
                <w:color w:val="auto"/>
                <w:sz w:val="24"/>
                <w:szCs w:val="24"/>
                <w:highlight w:val="none"/>
                <w:lang w:eastAsia="zh-CN"/>
              </w:rPr>
              <w:t xml:space="preserve">具备履行合同所必需的设备和专业技术能力的书面声明（即投标文件中提供《具备履行合同所必需的设备和专业技术能力的书面声明（附证明材料扫描件（如有））》（加盖电子签章，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5.投标人参加政府采购活动前3年内在经营活动中没有重大违法记录的书面声明（加盖电</w:t>
            </w:r>
            <w:r>
              <w:rPr>
                <w:rFonts w:hint="eastAsia"/>
                <w:color w:val="auto"/>
                <w:sz w:val="24"/>
                <w:szCs w:val="24"/>
                <w:highlight w:val="none"/>
                <w:lang w:eastAsia="zh-CN"/>
              </w:rPr>
              <w:t xml:space="preserve">子签章，格式见招标文件第七章《投标文件相关格式》）。</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三、符合条件（必须提供，否则投标无效）</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（一）报价</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1.《分项价格表》（加盖电子签章，格式见招标文件第七章《投标文件相关格式》）。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（二）商务部分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1.《投标函》（加盖电子签章，格式见招标文件第七章《投标文件相关格式》）。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2.《法定代表人授权书》（提供原件的扫描件，格式见招标文件第七章《投标文件相关格式》）。</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（三）技术部分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1.《偏离表》（加盖电子签章，格式见招标文件第七章《投标文件相关格式》）。</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四、综合评审评分项</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（一）技术部分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（1）技术参数评价（要求见本文件第四章《评标标准》、第六章《采购需求》）。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（2）实施方案（要求见本文件第四章《评标标准》、第六章《采购需求》）。</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（3）售后服务方案及培训方案（要求见本文件第四章《评标标准》、第六章《采购需求》）。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（二）商务部分</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（1）项目组成员评价（要求见本文件第四章《评标标准》、第六章《采购需求》）。</w:t>
            </w:r>
            <w:r/>
          </w:p>
          <w:p>
            <w:pPr>
              <w:jc w:val="both"/>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（2）业绩（要求见本文件第四章《评标标准》、第六章《采购需求》）。</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五、价格折扣文件格式</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企业报价折扣证明：</w:t>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本项目不属于专门面向中小微企业采购的项目。</w:t>
            </w:r>
            <w:r/>
          </w:p>
          <w:p>
            <w:pPr>
              <w:jc w:val="both"/>
              <w:spacing w:after="0" w:line="240" w:lineRule="auto"/>
              <w:widowControl w:val="off"/>
              <w:rPr>
                <w:rFonts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政府采购相关政策说明：</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（一）支持中小企业发展相关政策：</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投标人提供的货物全部由符合政策要求的：</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Times New Roman"/>
                <w:color w:val="auto"/>
                <w:sz w:val="24"/>
                <w:szCs w:val="24"/>
                <w:highlight w:val="none"/>
                <w:lang w:eastAsia="zh-CN"/>
              </w:rPr>
              <w:t xml:space="preserve">中小企业制造的，</w:t>
            </w:r>
            <w:r>
              <w:rPr>
                <w:rFonts w:hint="eastAsia" w:ascii="仿宋" w:hAnsi="仿宋" w:eastAsia="仿宋" w:cs="仿宋"/>
                <w:color w:val="auto"/>
                <w:sz w:val="24"/>
                <w:szCs w:val="24"/>
                <w:highlight w:val="none"/>
                <w:lang w:eastAsia="zh-CN"/>
              </w:rPr>
              <w:t xml:space="preserve">提供《中小企业声明函》（加盖电子签章，格式见招标文件第七章《投标文件相关格式》）。</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2.监狱企业制造的，提供省级以上监狱管理局、戒毒管理局（含新疆生产建设兵团）出具的属于监狱企业的证明文件的扫描件。</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注：具体以《财政部 司法部关于政府采购支持监狱企业发展有关问题的通知》（财库〔2014〕68号）的规定为准。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享受政府采购支持政策的残疾人福利性单位应当同时满足以下条件：</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①安置的残疾人占本单位在职职工人数的比例不低于25%（含25%），并且安置的残疾人人数不少于10人（含10人）；</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②依法与安置的每位残疾人签订了一年以上（含一年）的劳动合同或服务协议；</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③为安置的每位残疾人按月足额缴纳了基本养老保险、基本医疗保险、失业保险、工伤保险和生育保险等社会保险费；</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240" w:lineRule="auto"/>
              <w:rPr>
                <w:rFonts w:ascii="仿宋" w:hAnsi="仿宋" w:eastAsia="仿宋" w:cs="仿宋"/>
                <w:color w:val="auto"/>
                <w:sz w:val="24"/>
                <w:szCs w:val="24"/>
                <w:highlight w:val="none"/>
                <w:lang w:eastAsia="zh-CN"/>
              </w:rPr>
              <w:outlineLvl w:val="2"/>
            </w:pPr>
            <w:r>
              <w:rPr>
                <w:rFonts w:hint="eastAsia" w:ascii="仿宋" w:hAnsi="仿宋" w:eastAsia="仿宋" w:cs="仿宋"/>
                <w:color w:val="auto"/>
                <w:sz w:val="24"/>
                <w:szCs w:val="24"/>
                <w:highlight w:val="none"/>
                <w:lang w:eastAsia="zh-CN"/>
              </w:rPr>
              <w:t xml:space="preserve">具体以《三部门联合发布关于促进残疾人就业政府采购政策的通知》（财库〔2017〕141号）规定为准。</w:t>
            </w:r>
            <w:r/>
          </w:p>
          <w:p>
            <w:pPr>
              <w:ind w:firstLine="240"/>
              <w:jc w:val="both"/>
              <w:spacing w:after="0" w:line="240" w:lineRule="auto"/>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）支持本国产品标准及相关政策：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投标人《关于符合本国产品标准的声明函》（填写完整，加盖公章，格式见招标文件第七章《投标文件相关格式》）（请填写完整，如不填写完整或未按要求填写的，视为非本国产品）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本国产品应当符合以下条件：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在中国境内生产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产品应当在中国境内生产，即在中华人民共和国关境内实现从原材料、组件到产品的属性改变。</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①</w:t>
            </w:r>
            <w:r>
              <w:rPr>
                <w:rFonts w:hint="eastAsia" w:ascii="仿宋" w:hAnsi="仿宋" w:eastAsia="仿宋" w:cs="仿宋"/>
                <w:color w:val="auto"/>
                <w:sz w:val="24"/>
                <w:szCs w:val="24"/>
                <w:highlight w:val="none"/>
                <w:lang w:eastAsia="zh-CN"/>
              </w:rPr>
              <w:t xml:space="preserve">为确保产品在运输或者储存期间保持某种状态而进行的操作；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为产品运输或者销售进行的包装或者展示；</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在产品或者其包装上粘贴或者印刷品牌、标志、标识以及其他用于区别的标记；</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④简单的上漆、磨光和分装；</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⑤其他不属于属性改变的情形。</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在中国境内生产的组件成本占比达到规定比例</w:t>
            </w:r>
            <w:r/>
          </w:p>
          <w:p>
            <w:pP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产品在中国境内生产的组件成本占比应当达到规定比例，计算公式为：</w:t>
            </w:r>
            <w:r/>
          </w:p>
          <w:p>
            <w:pPr>
              <w:ind w:left="0" w:right="0" w:firstLine="480"/>
              <w:jc w:val="both"/>
              <w:spacing w:before="0" w:after="0" w:line="85"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rPr>
                <w:rFonts w:hint="default" w:ascii="Times New Roman" w:hAnsi="Times New Roman" w:eastAsia="宋体" w:cs="Times New Roman"/>
                <w:color w:val="auto"/>
                <w:sz w:val="21"/>
                <w:szCs w:val="24"/>
                <w:highlight w:val="none"/>
                <w:lang w:eastAsia="zh-CN"/>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6" o:title=""/>
                    </v:shape>
                  </w:pict>
                </mc:Fallback>
              </mc:AlternateConten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项条件的产品在政府采购活动中视同本国产品。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特定产品的关键组件、关键工序符合相关要求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对特定产品，在符合本通知第一条第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项和第</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项条件的基础上，应当符合财政部会同有关行业主管部门确定的其关键组件、关键工序在中国境内生产、完成等要求。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2、本国产品标准的适用范围</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3、对本国产品的支持政策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具体以《国务院办公厅关于在政府采购中实施本国产品标准及相关政策的通知》（国办发〔2025〕34号）规定为准。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注：中国境内生产的组件成本核算基本规则</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三、产品总成本和组件成本以相关会计核算数据、采购合同、进货记录等为基础进行计算。</w:t>
            </w:r>
            <w:r/>
          </w:p>
          <w:p>
            <w:pPr>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四、需要对成本核算规则予以进一步明确的其他有关事项，由财政部会同有关部门另行规定。</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）本项目应当履行促进绿色低碳循环发展，执行国家相关绿色标准，推动环保、节能、节水、循环、低碳、再生、有机等绿色产品和相关绿色服务、绿色基础设施应用的要求。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lang w:eastAsia="zh-CN"/>
              </w:rPr>
              <w:t xml:space="preserve">）若项目要求提供履约担保的，中标供应商可以以履约保函(保险)形式代替提供履约保证金。供应商可登录江苏政府采购网“资料下载”栏目(网址:www.ccgp-jiangsugovcn/jiangsu/zlxz)下载“政府采购电子履约保函(保险)操作手册”</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jc w:val="both"/>
              <w:spacing w:after="0" w:line="360" w:lineRule="auto"/>
              <w:rPr>
                <w:rFonts w:hint="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r>
            <w:r/>
          </w:p>
          <w:p>
            <w:pPr>
              <w:jc w:val="both"/>
              <w:spacing w:after="0" w:line="36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注：1、投标人应对以上文件的合法性、真实性负责。</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商务条件见：</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一、本文件第四章《评标标准》中《评分细则》。</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本项目不接受超过210万元人民币（采购项目预算金额）的投标报价。</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w:t>
            </w:r>
            <w:r>
              <w:rPr>
                <w:rFonts w:hint="eastAsia" w:cs="仿宋" w:asciiTheme="minorEastAsia" w:hAnsiTheme="minorEastAsia"/>
                <w:color w:val="auto"/>
                <w:sz w:val="24"/>
                <w:szCs w:val="24"/>
                <w:highlight w:val="none"/>
                <w:lang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投标人应当通过“苏采云”系统提交数据电文形式的投标文件（即电子投标）。</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特别说明：通过“苏采云”系统提交政府采购客户端工具导出加密的投标文件（后缀名为zip）。</w:t>
            </w:r>
            <w:r>
              <w:rPr>
                <w:rFonts w:hint="eastAsia" w:cs="仿宋" w:asciiTheme="minorEastAsia" w:hAnsiTheme="minorEastAsia"/>
                <w:color w:val="auto"/>
                <w:sz w:val="24"/>
                <w:szCs w:val="24"/>
                <w:highlight w:val="none"/>
                <w:lang w:eastAsia="zh-CN"/>
              </w:rPr>
              <w:t xml:space="preserve">投标文件的大小不得超过苏采云要求！</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十八</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见本文件第三章《投标资料表》中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十九</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投标文件的提交与接收： </w:t>
            </w:r>
            <w:r/>
          </w:p>
          <w:p>
            <w:pPr>
              <w:jc w:val="both"/>
              <w:spacing w:after="0" w:line="36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投标文件提交与接收时间：提交投标文件截止时间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rPr>
                <w:rFonts w:cs="仿宋" w:asciiTheme="minorEastAsia" w:hAnsiTheme="minorEastAsia"/>
                <w:b/>
                <w:bCs/>
                <w:color w:val="auto"/>
                <w:sz w:val="24"/>
                <w:szCs w:val="24"/>
                <w:highlight w:val="none"/>
                <w:lang w:eastAsia="zh-CN"/>
              </w:rPr>
              <w:t xml:space="preserve">前。</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w:t>
            </w:r>
            <w:r>
              <w:rPr>
                <w:rFonts w:cs="仿宋" w:asciiTheme="minorEastAsia" w:hAnsiTheme="minorEastAsia"/>
                <w:color w:val="auto"/>
                <w:sz w:val="24"/>
                <w:szCs w:val="24"/>
                <w:highlight w:val="none"/>
                <w:lang w:eastAsia="zh-CN"/>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电子投标文件应由其法定代表人或法定代表人授权代表在规定的网上投标时间内，凭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开标时间及地点：</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color w:val="auto"/>
                <w:sz w:val="24"/>
                <w:szCs w:val="24"/>
                <w:highlight w:val="none"/>
                <w:lang w:eastAsia="zh-CN"/>
              </w:rPr>
              <w:t xml:space="preserve">开标时间：</w:t>
            </w:r>
            <w:r>
              <w:rPr>
                <w:rFonts w:hint="eastAsia" w:cs="仿宋" w:asciiTheme="minorEastAsia" w:hAnsiTheme="minorEastAsia"/>
                <w:b/>
                <w:bCs/>
                <w:color w:val="auto"/>
                <w:sz w:val="24"/>
                <w:szCs w:val="24"/>
                <w:highlight w:val="none"/>
                <w:lang w:eastAsia="zh-CN"/>
              </w:rPr>
              <w:t xml:space="preserve">2026年</w:t>
            </w:r>
            <w:r>
              <w:rPr>
                <w:rFonts w:hint="eastAsia" w:cs="仿宋" w:asciiTheme="minorEastAsia" w:hAnsiTheme="minorEastAsia"/>
                <w:b/>
                <w:bCs/>
                <w:color w:val="auto"/>
                <w:sz w:val="24"/>
                <w:szCs w:val="24"/>
                <w:highlight w:val="none"/>
                <w:lang w:val="en-US" w:eastAsia="zh-CN"/>
              </w:rPr>
              <w:t xml:space="preserve">5</w:t>
            </w:r>
            <w:r>
              <w:rPr>
                <w:rFonts w:hint="eastAsia" w:cs="仿宋" w:asciiTheme="minorEastAsia" w:hAnsiTheme="minorEastAsia"/>
                <w:b/>
                <w:bCs/>
                <w:color w:val="auto"/>
                <w:sz w:val="24"/>
                <w:szCs w:val="24"/>
                <w:highlight w:val="none"/>
                <w:lang w:eastAsia="zh-CN"/>
              </w:rPr>
              <w:t xml:space="preserve">月</w:t>
            </w:r>
            <w:r>
              <w:rPr>
                <w:rFonts w:hint="eastAsia" w:cs="仿宋" w:asciiTheme="minorEastAsia" w:hAnsiTheme="minorEastAsia"/>
                <w:b/>
                <w:bCs/>
                <w:color w:val="auto"/>
                <w:sz w:val="24"/>
                <w:szCs w:val="24"/>
                <w:highlight w:val="none"/>
                <w:lang w:val="en-US" w:eastAsia="zh-CN"/>
              </w:rPr>
              <w:t xml:space="preserve">20</w:t>
            </w:r>
            <w:r>
              <w:rPr>
                <w:rFonts w:hint="eastAsia" w:cs="仿宋" w:asciiTheme="minorEastAsia" w:hAnsiTheme="minorEastAsia"/>
                <w:b/>
                <w:bCs/>
                <w:color w:val="auto"/>
                <w:sz w:val="24"/>
                <w:szCs w:val="24"/>
                <w:highlight w:val="none"/>
                <w:lang w:eastAsia="zh-CN"/>
              </w:rPr>
              <w:t xml:space="preserve">日</w:t>
            </w:r>
            <w:r>
              <w:rPr>
                <w:rFonts w:cs="仿宋" w:asciiTheme="minorEastAsia" w:hAnsiTheme="minorEastAsia"/>
                <w:b/>
                <w:bCs/>
                <w:color w:val="auto"/>
                <w:sz w:val="24"/>
                <w:szCs w:val="24"/>
                <w:highlight w:val="none"/>
                <w:lang w:eastAsia="zh-CN"/>
              </w:rPr>
              <w:t xml:space="preserve">北京时间</w:t>
            </w:r>
            <w:r>
              <w:rPr>
                <w:rFonts w:hint="eastAsia" w:cs="仿宋" w:asciiTheme="minorEastAsia" w:hAnsiTheme="minorEastAsia"/>
                <w:b/>
                <w:bCs/>
                <w:color w:val="auto"/>
                <w:sz w:val="24"/>
                <w:szCs w:val="24"/>
                <w:highlight w:val="none"/>
                <w:lang w:eastAsia="zh-CN"/>
              </w:rPr>
              <w:t xml:space="preserve">9时30分；</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2.开标地点：</w:t>
            </w:r>
            <w:r>
              <w:rPr>
                <w:rFonts w:hint="eastAsia" w:ascii="宋体" w:hAnsi="宋体" w:cs="宋体"/>
                <w:color w:val="auto"/>
                <w:sz w:val="24"/>
                <w:highlight w:val="none"/>
              </w:rPr>
              <w:t xml:space="preserve">开标地点：“苏采云”系统（网址：</w:t>
            </w:r>
            <w:r>
              <w:rPr>
                <w:rFonts w:hint="eastAsia" w:ascii="宋体" w:hAnsi="宋体"/>
                <w:color w:val="auto"/>
                <w:sz w:val="24"/>
                <w:highlight w:val="none"/>
                <w:lang w:eastAsia="zh-CN"/>
              </w:rPr>
              <w:t xml:space="preserve">http://jszfcg.jsczt.cn/jszc/loginjszc/login</w:t>
            </w:r>
            <w:r>
              <w:rPr>
                <w:rFonts w:hint="eastAsia" w:ascii="宋体" w:hAnsi="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https://czj.xz.gov.cn/zfcg/index.html?kw=xxgk</w:t>
            </w:r>
            <w:r>
              <w:rPr>
                <w:rFonts w:hint="eastAsia" w:ascii="宋体" w:hAnsi="宋体" w:cs="宋体"/>
                <w:color w:val="auto"/>
                <w:sz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二十八</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一、推荐中标候选供应商名单。中标候选供应商数量应当根据采购需要确定，但必须按顺序排列中标候选供应商。</w:t>
            </w:r>
            <w:r/>
          </w:p>
          <w:p>
            <w:pPr>
              <w:jc w:val="both"/>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二、采用综合评分法的，按评审后得分由高到低顺序排列。得分相同的，按投标报价由低到高顺序排列。得分且投标报价相同的，按</w:t>
            </w:r>
            <w:r>
              <w:rPr>
                <w:rFonts w:hint="eastAsia" w:cs="仿宋" w:asciiTheme="minorEastAsia" w:hAnsiTheme="minorEastAsia"/>
                <w:color w:val="auto"/>
                <w:sz w:val="24"/>
                <w:szCs w:val="24"/>
                <w:highlight w:val="none"/>
                <w:lang w:eastAsia="zh-CN"/>
              </w:rPr>
              <w:t xml:space="preserve">技术规格方案得分</w:t>
            </w:r>
            <w:r>
              <w:rPr>
                <w:rFonts w:cs="仿宋" w:asciiTheme="minorEastAsia" w:hAnsiTheme="minorEastAsia"/>
                <w:color w:val="auto"/>
                <w:sz w:val="24"/>
                <w:szCs w:val="24"/>
                <w:highlight w:val="none"/>
                <w:lang w:eastAsia="zh-CN"/>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（二十九）</w:t>
            </w:r>
            <w:r/>
          </w:p>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评标中需要投标人对投标文件澄清或者说明的，应当通过“苏采云”系统交换数据电文。在评标期间，请投标人保持在线。</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3.投标人的澄清、说明或者补正应当采用通过“苏采云”系统（使用“CA数字证书”</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三十</w:t>
            </w:r>
            <w:r>
              <w:rPr>
                <w:rFonts w:hint="eastAsia" w:cs="仿宋" w:asciiTheme="minorEastAsia" w:hAnsiTheme="minorEastAsia"/>
                <w:color w:val="auto"/>
                <w:sz w:val="24"/>
                <w:szCs w:val="24"/>
                <w:highlight w:val="none"/>
                <w:lang w:eastAsia="zh-CN"/>
              </w:rPr>
              <w:t xml:space="preserve">六）</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lang w:eastAsia="zh-CN"/>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供应商在法定质疑期内一次性提出针对同一采购程序环节的质疑。</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质疑接收人：</w:t>
            </w:r>
            <w:r>
              <w:rPr>
                <w:rFonts w:hint="eastAsia" w:cs="仿宋" w:asciiTheme="minorEastAsia" w:hAnsiTheme="minorEastAsia"/>
                <w:color w:val="auto"/>
                <w:sz w:val="24"/>
                <w:szCs w:val="24"/>
                <w:highlight w:val="none"/>
                <w:lang w:eastAsia="zh-CN"/>
              </w:rPr>
              <w:t xml:space="preserve">孙善初    </w:t>
            </w:r>
            <w:r>
              <w:rPr>
                <w:rFonts w:hint="eastAsia" w:ascii="宋体" w:hAnsi="宋体" w:eastAsia="宋体" w:cs="宋体"/>
                <w:color w:val="auto"/>
                <w:sz w:val="24"/>
                <w:szCs w:val="24"/>
                <w:highlight w:val="none"/>
                <w:lang w:eastAsia="zh-CN"/>
              </w:rPr>
              <w:t xml:space="preserve">联系电话：18852157319</w:t>
            </w:r>
            <w:r>
              <w:rPr>
                <w:rFonts w:hint="eastAsia" w:cs="仿宋" w:asciiTheme="minorEastAsia" w:hAnsiTheme="minorEastAsia"/>
                <w:color w:val="auto"/>
                <w:sz w:val="24"/>
                <w:szCs w:val="24"/>
                <w:highlight w:val="none"/>
                <w:lang w:eastAsia="zh-CN"/>
              </w:rPr>
              <w:t xml:space="preserve">；</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办公地址：</w:t>
            </w:r>
            <w:r>
              <w:rPr>
                <w:rFonts w:hint="eastAsia" w:cs="仿宋" w:asciiTheme="minorEastAsia" w:hAnsiTheme="minorEastAsia"/>
                <w:color w:val="auto"/>
                <w:sz w:val="24"/>
                <w:szCs w:val="24"/>
                <w:highlight w:val="none"/>
                <w:lang w:eastAsia="zh-CN"/>
              </w:rPr>
              <w:t xml:space="preserve">徐州市经济开发区软件园明阳广场C楼201。</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73" w:type="dxa"/>
            <w:textDirection w:val="lrTb"/>
            <w:noWrap w:val="false"/>
          </w:tcPr>
          <w:p>
            <w:pPr>
              <w:pStyle w:val="723"/>
              <w:numPr>
                <w:ilvl w:val="0"/>
                <w:numId w:val="3"/>
              </w:num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中标人在收到中标通知书时，须向采购代理机构提供纸质投标文件3份（正本1份，副本2份），纸质投标文件内容须与中标人所提交的电子投标文件一致。</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lang w:eastAsia="zh-CN"/>
              </w:rPr>
              <w:t xml:space="preserve">2、中标人在领取中标通知书前，一次性向代理机构缴纳代理服务费。</w:t>
            </w:r>
            <w:r/>
          </w:p>
        </w:tc>
      </w:tr>
    </w:tbl>
    <w:p>
      <w:pPr>
        <w:jc w:val="both"/>
        <w:spacing w:after="0" w:line="360" w:lineRule="auto"/>
        <w:shd w:val="clear" w:color="auto"/>
        <w:widowControl w:val="off"/>
        <w:rPr>
          <w:rFonts w:hint="default" w:ascii="宋体" w:hAnsi="宋体" w:eastAsia="宋体" w:cs="宋体"/>
          <w:color w:val="auto"/>
          <w:sz w:val="21"/>
          <w:szCs w:val="24"/>
          <w:highlight w:val="none"/>
          <w:lang w:eastAsia="zh-CN"/>
        </w:rPr>
        <w:pBdr>
          <w:top w:val="none" w:color="000000" w:sz="0" w:space="0"/>
          <w:left w:val="none" w:color="000000" w:sz="0" w:space="0"/>
          <w:bottom w:val="none" w:color="000000" w:sz="0" w:space="0"/>
          <w:right w:val="none" w:color="000000" w:sz="0" w:space="0"/>
        </w:pBdr>
      </w:pPr>
      <w:r/>
      <w:bookmarkStart w:id="10" w:name="_Toc10570"/>
      <w:r/>
      <w:bookmarkStart w:id="11" w:name="_Toc3387"/>
      <w:r>
        <w:rPr>
          <w:rFonts w:hint="eastAsia" w:ascii="宋体" w:hAnsi="宋体" w:eastAsia="宋体" w:cs="宋体"/>
          <w:color w:val="auto"/>
          <w:sz w:val="30"/>
          <w:szCs w:val="24"/>
          <w:highlight w:val="none"/>
          <w:lang w:eastAsia="zh-CN"/>
        </w:rPr>
        <w:t xml:space="preserve">本章附件：</w:t>
      </w:r>
      <w:r>
        <w:rPr>
          <w:rFonts w:hint="eastAsia" w:ascii="宋体" w:hAnsi="宋体" w:eastAsia="宋体" w:cs="宋体"/>
          <w:b/>
          <w:color w:val="auto"/>
          <w:sz w:val="30"/>
          <w:szCs w:val="24"/>
          <w:highlight w:val="none"/>
          <w:lang w:eastAsia="zh-CN"/>
        </w:rPr>
        <w:t xml:space="preserve">招标代理服务收费标准</w:t>
      </w:r>
      <w:r/>
    </w:p>
    <w:tbl>
      <w:tblPr>
        <w:tblStyle w:val="762"/>
        <w:tblW w:w="88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6"/>
        <w:gridCol w:w="3433"/>
      </w:tblGrid>
      <w:tr>
        <w:trPr>
          <w:jc w:val="cente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费率</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5000元</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1.6%</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1.1%</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0.8%</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0.25%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0.05%</w:t>
            </w:r>
            <w:r/>
          </w:p>
        </w:tc>
      </w:tr>
      <w:tr>
        <w:trPr>
          <w:jc w:val="cente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0.01%</w:t>
            </w:r>
            <w:r/>
          </w:p>
        </w:tc>
      </w:tr>
      <w:tr>
        <w:trPr>
          <w:jc w:val="cente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0.005%</w:t>
            </w:r>
            <w:r/>
          </w:p>
        </w:tc>
      </w:tr>
    </w:tbl>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说明：</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按上表计算的收费为代理服务全过程的收费金额。各社会代理机构不再收取采购文件制作售卖费用。</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2、代理服务费按差额定率累进法计算。</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3、代理服务费基准金额(按差额定率累进法计算的)=中标金额(按差额定率累进法计算的)*费率(%)</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4、代理服务费应收取金额=代理服务费基准金额(按差额定率累进法计算的)的合计数。</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5、定点类等无金额或事先不能计算出价格总额的项目，按中标(成交)金额100万元计算。</w:t>
      </w:r>
      <w:r/>
    </w:p>
    <w:p>
      <w:pPr>
        <w:jc w:val="both"/>
        <w:spacing w:after="0" w:line="240" w:lineRule="auto"/>
        <w:shd w:val="clear" w:color="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6、有分包(分标段)的按一个项目计算。</w:t>
      </w:r>
      <w:r/>
    </w:p>
    <w:p>
      <w:pPr>
        <w:ind w:right="0"/>
        <w:jc w:val="both"/>
        <w:spacing w:before="0" w:after="0" w:line="276" w:lineRule="atLeast"/>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t xml:space="preserve">7.</w:t>
      </w:r>
      <w:r>
        <w:rPr>
          <w:rFonts w:hint="default" w:ascii="宋体" w:hAnsi="宋体" w:eastAsia="宋体" w:cs="宋体"/>
          <w:color w:val="auto"/>
          <w:sz w:val="28"/>
          <w:szCs w:val="28"/>
          <w:highlight w:val="none"/>
          <w:lang w:eastAsia="zh-CN"/>
        </w:rPr>
        <w:t xml:space="preserve">备注：</w:t>
      </w:r>
      <w:r>
        <w:rPr>
          <w:rFonts w:hint="default" w:ascii="宋体" w:hAnsi="宋体" w:eastAsia="宋体" w:cs="宋体"/>
          <w:color w:val="auto"/>
          <w:sz w:val="24"/>
          <w:szCs w:val="24"/>
          <w:highlight w:val="none"/>
          <w:lang w:eastAsia="zh-CN"/>
        </w:rPr>
        <w:t xml:space="preserve">1、收费标准执行</w:t>
      </w:r>
      <w:r>
        <w:rPr>
          <w:rFonts w:hint="eastAsia" w:ascii="宋体" w:hAnsi="宋体" w:eastAsia="宋体" w:cs="宋体"/>
          <w:color w:val="auto"/>
          <w:sz w:val="24"/>
          <w:szCs w:val="24"/>
          <w:highlight w:val="none"/>
          <w:lang w:val="en-US" w:eastAsia="zh-CN"/>
        </w:rPr>
        <w:t xml:space="preserve">本表</w:t>
      </w:r>
      <w:r>
        <w:rPr>
          <w:rFonts w:hint="default" w:ascii="宋体" w:hAnsi="宋体" w:eastAsia="宋体" w:cs="宋体"/>
          <w:color w:val="auto"/>
          <w:sz w:val="24"/>
          <w:szCs w:val="24"/>
          <w:highlight w:val="none"/>
          <w:lang w:eastAsia="zh-CN"/>
        </w:rPr>
        <w:t xml:space="preserve">的80%，由成交供应商支付。</w:t>
      </w:r>
      <w:r/>
    </w:p>
    <w:p>
      <w:pPr>
        <w:ind w:left="0" w:right="0" w:firstLine="120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2、关于进一步规范政府采购活动相关费用管理的通知（苏财规〔2026〕1号）</w:t>
      </w:r>
      <w:r/>
    </w:p>
    <w:p>
      <w:pPr>
        <w:ind w:left="0" w:right="0" w:firstLine="48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评审活动相关费用：评审专家参加省内政府采购项目评审时应获得的专家评审费按以下规定进行管理。</w:t>
      </w:r>
      <w:r/>
    </w:p>
    <w:p>
      <w:pPr>
        <w:ind w:left="0" w:right="0" w:firstLine="48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（二）远程异地评标项目专家评审费按评审专家属地规定的标准支付。</w:t>
      </w:r>
      <w:r/>
    </w:p>
    <w:p>
      <w:pPr>
        <w:ind w:firstLine="480"/>
        <w:jc w:val="left"/>
        <w:spacing w:line="360" w:lineRule="auto"/>
        <w:rPr>
          <w:rFonts w:cs="新宋体" w:asciiTheme="minorEastAsia" w:hAnsiTheme="minorEastAsia"/>
          <w:b/>
          <w:color w:val="auto"/>
          <w:sz w:val="32"/>
          <w:szCs w:val="32"/>
          <w:highlight w:val="none"/>
          <w:lang w:eastAsia="zh-CN"/>
        </w:rPr>
      </w:pPr>
      <w:r>
        <w:rPr>
          <w:rFonts w:hint="default" w:ascii="宋体" w:hAnsi="宋体" w:eastAsia="宋体" w:cs="宋体"/>
          <w:color w:val="auto"/>
          <w:sz w:val="24"/>
          <w:szCs w:val="24"/>
          <w:highlight w:val="none"/>
          <w:lang w:eastAsia="zh-CN"/>
        </w:rPr>
        <w:t xml:space="preserve">（三）专家评审费应在项目评审完成后30个工作日内支付专家。因专家原因导致项目废标，则不需要向应当承担责任的专家支付费用。</w:t>
      </w:r>
      <w:r/>
    </w:p>
    <w:p>
      <w:pPr>
        <w:jc w:val="center"/>
        <w:spacing w:line="360" w:lineRule="auto"/>
        <w:rPr>
          <w:rFonts w:cs="新宋体" w:asciiTheme="minorEastAsia" w:hAnsiTheme="minorEastAsia"/>
          <w:b/>
          <w:color w:val="auto"/>
          <w:sz w:val="32"/>
          <w:szCs w:val="32"/>
          <w:highlight w:val="none"/>
          <w:lang w:eastAsia="zh-CN"/>
        </w:rPr>
        <w:sectPr>
          <w:footerReference w:type="default" r:id="rId12"/>
          <w:footnotePr/>
          <w:endnotePr/>
          <w:type w:val="nextPage"/>
          <w:pgSz w:w="11906" w:h="16838" w:orient="portrait"/>
          <w:pgMar w:top="1440" w:right="1080" w:bottom="1440" w:left="1080" w:header="709" w:footer="709" w:gutter="0"/>
          <w:cols w:num="1" w:sep="0" w:space="708" w:equalWidth="1"/>
          <w:docGrid w:linePitch="360"/>
        </w:sectPr>
      </w:pPr>
      <w:r>
        <w:rPr>
          <w:rFonts w:cs="新宋体" w:asciiTheme="minorEastAsia" w:hAnsiTheme="minorEastAsia"/>
          <w:b/>
          <w:color w:val="auto"/>
          <w:sz w:val="32"/>
          <w:szCs w:val="32"/>
          <w:highlight w:val="none"/>
          <w:lang w:eastAsia="zh-CN"/>
        </w:rPr>
      </w:r>
      <w:r/>
    </w:p>
    <w:p>
      <w:pPr>
        <w:jc w:val="center"/>
        <w:spacing w:line="360" w:lineRule="auto"/>
        <w:rPr>
          <w:rFonts w:asciiTheme="minorEastAsia" w:hAnsiTheme="minorEastAsia"/>
          <w:color w:val="auto"/>
          <w:sz w:val="24"/>
          <w:szCs w:val="24"/>
          <w:highlight w:val="none"/>
          <w:lang w:eastAsia="zh-CN"/>
        </w:rPr>
      </w:pPr>
      <w:r>
        <w:rPr>
          <w:rFonts w:cs="新宋体" w:asciiTheme="minorEastAsia" w:hAnsiTheme="minorEastAsia"/>
          <w:b/>
          <w:color w:val="auto"/>
          <w:sz w:val="32"/>
          <w:szCs w:val="32"/>
          <w:highlight w:val="none"/>
          <w:lang w:eastAsia="zh-CN"/>
        </w:rPr>
        <w:t xml:space="preserve">第四章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评标标准</w:t>
      </w:r>
      <w:bookmarkEnd w:id="10"/>
      <w:r/>
      <w:bookmarkEnd w:id="11"/>
      <w:r/>
      <w:r/>
    </w:p>
    <w:tbl>
      <w:tblPr>
        <w:tblStyle w:val="712"/>
        <w:tblpPr w:horzAnchor="page" w:tblpX="1342" w:vertAnchor="text" w:tblpY="779" w:leftFromText="180" w:topFromText="0" w:rightFromText="180" w:bottomFromText="0"/>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6"/>
        <w:gridCol w:w="6095"/>
        <w:gridCol w:w="992"/>
      </w:tblGrid>
      <w:tr>
        <w:trPr>
          <w:trHeight w:val="420"/>
        </w:trPr>
        <w:tc>
          <w:tcPr>
            <w:tcW w:w="959"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序号</w:t>
            </w:r>
            <w:r/>
          </w:p>
        </w:tc>
        <w:tc>
          <w:tcPr>
            <w:tcW w:w="1276"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评审因素</w:t>
            </w:r>
            <w:r/>
          </w:p>
        </w:tc>
        <w:tc>
          <w:tcPr>
            <w:tcW w:w="6095"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评审细则</w:t>
            </w:r>
            <w:r/>
          </w:p>
        </w:tc>
        <w:tc>
          <w:tcPr>
            <w:tcW w:w="992" w:type="dxa"/>
            <w:vAlign w:val="center"/>
            <w:textDirection w:val="lrTb"/>
            <w:noWrap w:val="false"/>
          </w:tcPr>
          <w:p>
            <w:pPr>
              <w:jc w:val="cente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分值</w:t>
            </w:r>
            <w:r/>
          </w:p>
        </w:tc>
      </w:tr>
      <w:tr>
        <w:trPr>
          <w:trHeight w:val="487"/>
        </w:trPr>
        <w:tc>
          <w:tcPr>
            <w:gridSpan w:val="4"/>
            <w:tcW w:w="9322" w:type="dxa"/>
            <w:vAlign w:val="center"/>
            <w:textDirection w:val="lrTb"/>
            <w:noWrap w:val="false"/>
          </w:tcPr>
          <w:p>
            <w:pP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一、价格分（30分）</w:t>
            </w:r>
            <w:r/>
          </w:p>
        </w:tc>
      </w:tr>
      <w:tr>
        <w:trPr>
          <w:trHeight w:val="708"/>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1.1</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价格</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采用低价优先法计算，即满足招标文件要求且供应商评审价格最低的投标报价为评标基准价，其价格得分为满分。各供应商价格得分=（评标基准价/投标报价）×30。得分四舍五入保留小数点后2位。</w:t>
            </w:r>
            <w:r/>
          </w:p>
          <w:p>
            <w:pPr>
              <w:spacing w:after="0" w:line="312" w:lineRule="auto"/>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 xml:space="preserve">1.</w:t>
            </w:r>
            <w:r>
              <w:rPr>
                <w:rFonts w:hint="eastAsia" w:ascii="仿宋" w:hAnsi="仿宋" w:eastAsia="仿宋" w:cs="仿宋"/>
                <w:color w:val="auto"/>
                <w:sz w:val="20"/>
                <w:szCs w:val="20"/>
                <w:highlight w:val="none"/>
                <w:lang w:eastAsia="zh-CN"/>
              </w:rPr>
              <w:t xml:space="preserve">供应商提供服务全部为小微企业或供应商提供服务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该投标人的评审价格=《开标一览表》中的“总价”*（100%-20%）</w:t>
            </w:r>
            <w:r/>
          </w:p>
          <w:p>
            <w:pPr>
              <w:spacing w:after="0" w:line="312" w:lineRule="auto"/>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3、上述1、2项评审优惠可同时享受，分别在供应商报价基础上予以扣除，用扣除后的价格参与评审，即该投标人的评审价格=《开标一览表》中的“总价”*（100%-30%）。</w:t>
            </w:r>
            <w:r/>
          </w:p>
          <w:p>
            <w:pPr>
              <w:spacing w:after="0" w:line="312" w:lineRule="auto"/>
              <w:rPr>
                <w:color w:val="auto"/>
                <w:highlight w:val="none"/>
                <w:lang w:eastAsia="zh-CN"/>
              </w:rPr>
            </w:pPr>
            <w:r>
              <w:rPr>
                <w:rFonts w:hint="eastAsia" w:ascii="仿宋" w:hAnsi="仿宋" w:eastAsia="仿宋" w:cs="仿宋"/>
                <w:color w:val="auto"/>
                <w:sz w:val="20"/>
                <w:szCs w:val="20"/>
                <w:highlight w:val="none"/>
                <w:lang w:val="en-US" w:eastAsia="zh-CN"/>
              </w:rPr>
              <w:t xml:space="preserve">享受价格评审优惠不改变最终中标价格，政府采购合同仍按照中标供应商的报价签订。</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30</w:t>
            </w:r>
            <w:r/>
          </w:p>
        </w:tc>
      </w:tr>
      <w:tr>
        <w:trPr>
          <w:trHeight w:val="475"/>
        </w:trPr>
        <w:tc>
          <w:tcPr>
            <w:gridSpan w:val="4"/>
            <w:tcW w:w="9322" w:type="dxa"/>
            <w:vAlign w:val="center"/>
            <w:textDirection w:val="lrTb"/>
            <w:noWrap w:val="false"/>
          </w:tcPr>
          <w:p>
            <w:pPr>
              <w:spacing w:after="0" w:line="312" w:lineRule="auto"/>
              <w:rPr>
                <w:rFonts w:ascii="仿宋" w:hAnsi="仿宋" w:eastAsia="仿宋" w:cs="仿宋"/>
                <w:b/>
                <w:bCs/>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二、技术方案（56分）</w:t>
            </w:r>
            <w:r/>
          </w:p>
        </w:tc>
      </w:tr>
      <w:tr>
        <w:trPr>
          <w:trHeight w:val="2306"/>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2.1</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技术参数评价</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加▲号的技术参数为重要技术指标，须逐条响应偏离情况，未按要求提供证明材料的视作不满足，有一条不满足的扣2分；其他技术参数为一般技术指标，有一条不满足的扣1分，扣完为止。</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本项最高得</w:t>
            </w:r>
            <w:r>
              <w:rPr>
                <w:rFonts w:hint="eastAsia" w:ascii="仿宋" w:hAnsi="仿宋" w:eastAsia="仿宋" w:cs="仿宋"/>
                <w:color w:val="auto"/>
                <w:sz w:val="20"/>
                <w:szCs w:val="20"/>
                <w:highlight w:val="none"/>
                <w:lang w:val="en-US" w:eastAsia="zh-CN"/>
              </w:rPr>
              <w:t xml:space="preserve">26</w:t>
            </w:r>
            <w:r>
              <w:rPr>
                <w:rFonts w:hint="eastAsia" w:ascii="仿宋" w:hAnsi="仿宋" w:eastAsia="仿宋" w:cs="仿宋"/>
                <w:color w:val="auto"/>
                <w:sz w:val="20"/>
                <w:szCs w:val="20"/>
                <w:highlight w:val="none"/>
                <w:lang w:eastAsia="zh-CN"/>
              </w:rPr>
              <w:t xml:space="preserve">分，最低得0分。</w:t>
            </w:r>
            <w:r/>
          </w:p>
        </w:tc>
        <w:tc>
          <w:tcPr>
            <w:tcW w:w="992" w:type="dxa"/>
            <w:vAlign w:val="center"/>
            <w:textDirection w:val="lrTb"/>
            <w:noWrap w:val="false"/>
          </w:tcPr>
          <w:p>
            <w:pPr>
              <w:jc w:val="center"/>
              <w:spacing w:after="0" w:line="312" w:lineRule="auto"/>
              <w:rPr>
                <w:rFonts w:hint="default"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 xml:space="preserve">26</w:t>
            </w:r>
            <w:r/>
          </w:p>
        </w:tc>
      </w:tr>
      <w:tr>
        <w:trPr>
          <w:trHeight w:val="990"/>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2.2</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实施方案</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根据供应商提供的实施方案及现场支持服务方案内容的全面性、针对性、可行性进行评价评审：</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（1）内容科学合理，切实可行，符合项目特点，针对性强的得15-10分；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⑵内容较完整，较可行，针对性一般的，得9-5分；</w:t>
            </w:r>
            <w:r/>
          </w:p>
          <w:p>
            <w:pPr>
              <w:pStyle w:val="977"/>
              <w:numPr>
                <w:ilvl w:val="0"/>
                <w:numId w:val="4"/>
              </w:num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容表述不够清楚、不全面，缺乏针对性的，得4-1分；</w:t>
            </w:r>
            <w:r/>
          </w:p>
          <w:p>
            <w:pPr>
              <w:numPr>
                <w:ilvl w:val="0"/>
                <w:numId w:val="4"/>
              </w:numPr>
              <w:spacing w:after="0" w:line="240"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无具体内容的，得0分。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15</w:t>
            </w:r>
            <w:r/>
          </w:p>
        </w:tc>
      </w:tr>
      <w:tr>
        <w:trPr>
          <w:trHeight w:val="1220"/>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2.3</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售后服务方案及培训方案</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根据产品及项目质量保证、售后服务承诺的完整性和可操作性进行评审；</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（1）内容科学合理，切实可行，符合项目特点，针对性强的得15-10分；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（2）内容较完整，较可行，针对性一般的，得9-5分；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（3）内容表述不够清楚、不全面，缺乏针对性的，得4-1分；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（4）无具体内容的，得0分。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15</w:t>
            </w:r>
            <w:r/>
          </w:p>
        </w:tc>
      </w:tr>
      <w:tr>
        <w:trPr>
          <w:trHeight w:val="453"/>
        </w:trPr>
        <w:tc>
          <w:tcPr>
            <w:gridSpan w:val="4"/>
            <w:tcW w:w="9322"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b/>
                <w:bCs/>
                <w:color w:val="auto"/>
                <w:sz w:val="20"/>
                <w:szCs w:val="20"/>
                <w:highlight w:val="none"/>
                <w:lang w:eastAsia="zh-CN"/>
              </w:rPr>
              <w:t xml:space="preserve">三、综合能力（14分）</w:t>
            </w:r>
            <w:r/>
          </w:p>
        </w:tc>
      </w:tr>
      <w:tr>
        <w:trPr>
          <w:trHeight w:val="573"/>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3.1</w:t>
            </w:r>
            <w:r/>
          </w:p>
        </w:tc>
        <w:tc>
          <w:tcPr>
            <w:tcW w:w="1276"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项目组成员评价</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项目经理(1名)，具有人社部和工信部颁发的网络规划设计师资格证书、中国信息安全测评中心颁发的注册信息安全工程师（CISP）证书、工信部颁发的网络通信安全管理员三级资格证书的，每提供一个证书的得1分，不提供不得分，最高得3分，最低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2、团队技术负责人（1人），具有人社厅颁发的高级工程师资格证书得2分（中级工程师资格证书得1分）、中国信息安全测评中心颁发的注册信息安全工程师证书的得1分，不提供不得分，最高得3分，最低0分。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团队技术成员（除项目经理、项目技术负责人外，2人），具有人社厅颁发的高级工程师资格证书得2分（中级工程师资格证书得1分）、中级及以上通信专业技术人员职业资格（互联网技术专业）得1分、中国信息安全测评中心颁发的注册信息安全工程师证书的得1分，不提供不得分，最高得4分，最低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（注：同一人员不能同时兼任不同岗位）</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本项最高得10分。</w:t>
            </w:r>
            <w:r/>
          </w:p>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注：（提供相关证书复印件加盖供应商单位公章及供应商为其缴纳的近6个月内任一个月的社保证明材料，未提供的不得分）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10</w:t>
            </w:r>
            <w:r/>
          </w:p>
        </w:tc>
      </w:tr>
      <w:tr>
        <w:trPr>
          <w:trHeight w:val="537"/>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3.3</w:t>
            </w:r>
            <w:r/>
          </w:p>
        </w:tc>
        <w:tc>
          <w:tcPr>
            <w:tcW w:w="1276"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业绩</w:t>
            </w:r>
            <w:r/>
          </w:p>
        </w:tc>
        <w:tc>
          <w:tcPr>
            <w:tcW w:w="6095"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投标人自2022年1月1日以来（以合同签订日期为准），合同内容包含承接过</w:t>
            </w:r>
            <w:r>
              <w:rPr>
                <w:rFonts w:hint="eastAsia" w:ascii="仿宋" w:hAnsi="仿宋" w:eastAsia="仿宋" w:cs="仿宋"/>
                <w:color w:val="auto"/>
                <w:sz w:val="20"/>
                <w:szCs w:val="20"/>
                <w:highlight w:val="none"/>
                <w:lang w:val="en-US" w:eastAsia="zh-CN"/>
              </w:rPr>
              <w:t xml:space="preserve">相关</w:t>
            </w:r>
            <w:r>
              <w:rPr>
                <w:rFonts w:hint="eastAsia" w:ascii="仿宋" w:hAnsi="仿宋" w:eastAsia="仿宋" w:cs="仿宋"/>
                <w:color w:val="auto"/>
                <w:sz w:val="20"/>
                <w:szCs w:val="20"/>
                <w:highlight w:val="none"/>
                <w:lang w:eastAsia="zh-CN"/>
              </w:rPr>
              <w:t xml:space="preserve">项目的合同扫描件，每提供1份合同得2分，本项最多得</w:t>
            </w:r>
            <w:r>
              <w:rPr>
                <w:rFonts w:hint="eastAsia" w:ascii="仿宋" w:hAnsi="仿宋" w:eastAsia="仿宋" w:cs="仿宋"/>
                <w:color w:val="auto"/>
                <w:sz w:val="20"/>
                <w:szCs w:val="20"/>
                <w:highlight w:val="none"/>
                <w:lang w:val="en-US" w:eastAsia="zh-CN"/>
              </w:rPr>
              <w:t xml:space="preserve">4</w:t>
            </w:r>
            <w:r>
              <w:rPr>
                <w:rFonts w:hint="eastAsia" w:ascii="仿宋" w:hAnsi="仿宋" w:eastAsia="仿宋" w:cs="仿宋"/>
                <w:color w:val="auto"/>
                <w:sz w:val="20"/>
                <w:szCs w:val="20"/>
                <w:highlight w:val="none"/>
                <w:lang w:eastAsia="zh-CN"/>
              </w:rPr>
              <w:t xml:space="preserve">分。须提供合同复印件</w:t>
            </w:r>
            <w:bookmarkStart w:id="17" w:name="_GoBack"/>
            <w:r/>
            <w:bookmarkEnd w:id="17"/>
            <w:r>
              <w:rPr>
                <w:rFonts w:hint="eastAsia" w:ascii="仿宋" w:hAnsi="仿宋" w:eastAsia="仿宋" w:cs="仿宋"/>
                <w:color w:val="auto"/>
                <w:sz w:val="20"/>
                <w:szCs w:val="20"/>
                <w:highlight w:val="none"/>
                <w:lang w:eastAsia="zh-CN"/>
              </w:rPr>
              <w:t xml:space="preserve">，否则不得分。</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 xml:space="preserve">4</w:t>
            </w:r>
            <w:r/>
          </w:p>
        </w:tc>
      </w:tr>
      <w:tr>
        <w:trPr>
          <w:trHeight w:val="462"/>
        </w:trPr>
        <w:tc>
          <w:tcPr>
            <w:tcW w:w="959"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合计</w:t>
            </w:r>
            <w:r/>
          </w:p>
        </w:tc>
        <w:tc>
          <w:tcPr>
            <w:gridSpan w:val="2"/>
            <w:tcW w:w="7371" w:type="dxa"/>
            <w:vAlign w:val="center"/>
            <w:textDirection w:val="lrTb"/>
            <w:noWrap w:val="false"/>
          </w:tcPr>
          <w:p>
            <w:pP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　</w:t>
            </w:r>
            <w:r/>
          </w:p>
        </w:tc>
        <w:tc>
          <w:tcPr>
            <w:tcW w:w="992" w:type="dxa"/>
            <w:vAlign w:val="center"/>
            <w:textDirection w:val="lrTb"/>
            <w:noWrap w:val="false"/>
          </w:tcPr>
          <w:p>
            <w:pPr>
              <w:jc w:val="center"/>
              <w:spacing w:after="0" w:line="312" w:lineRule="auto"/>
              <w:rPr>
                <w:rFonts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eastAsia="zh-CN"/>
              </w:rPr>
              <w:t xml:space="preserve">100分</w:t>
            </w:r>
            <w:r/>
          </w:p>
        </w:tc>
      </w:tr>
    </w:tbl>
    <w:p>
      <w:pPr>
        <w:ind w:firstLine="480"/>
        <w:spacing w:after="0" w:line="312" w:lineRule="auto"/>
        <w:shd w:val="clear" w:color="auto" w:fill="ffffff"/>
        <w:rPr>
          <w:rFonts w:ascii="宋体" w:hAnsi="宋体" w:eastAsia="宋体" w:cs="宋体"/>
          <w:color w:val="auto"/>
          <w:sz w:val="24"/>
          <w:szCs w:val="20"/>
          <w:highlight w:val="none"/>
          <w:lang w:eastAsia="zh-CN"/>
        </w:rPr>
      </w:pPr>
      <w:r>
        <w:rPr>
          <w:rFonts w:ascii="宋体" w:hAnsi="宋体" w:eastAsia="宋体" w:cs="宋体"/>
          <w:color w:val="auto"/>
          <w:sz w:val="24"/>
          <w:szCs w:val="20"/>
          <w:highlight w:val="none"/>
          <w:lang w:eastAsia="zh-CN"/>
        </w:rPr>
      </w:r>
      <w:r/>
    </w:p>
    <w:p>
      <w:pPr>
        <w:ind w:firstLine="480"/>
        <w:spacing w:after="0" w:line="312" w:lineRule="auto"/>
        <w:shd w:val="clear" w:color="auto" w:fill="ffffff"/>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本章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spacing w:after="0" w:line="312" w:lineRule="auto"/>
        <w:rPr>
          <w:rFonts w:ascii="Times New Roman" w:hAnsi="Times New Roman" w:eastAsia="宋体" w:cs="Times New Roman"/>
          <w:color w:val="auto"/>
          <w:sz w:val="24"/>
          <w:szCs w:val="20"/>
          <w:highlight w:val="none"/>
          <w:lang w:eastAsia="zh-CN"/>
        </w:rPr>
      </w:pPr>
      <w:r>
        <w:rPr>
          <w:rFonts w:ascii="Times New Roman" w:hAnsi="Times New Roman" w:eastAsia="宋体" w:cs="Times New Roman"/>
          <w:color w:val="auto"/>
          <w:sz w:val="24"/>
          <w:szCs w:val="20"/>
          <w:highlight w:val="none"/>
          <w:lang w:eastAsia="zh-CN"/>
        </w:rPr>
      </w:r>
      <w:r/>
    </w:p>
    <w:p>
      <w:pPr>
        <w:spacing w:after="0" w:line="360" w:lineRule="auto"/>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r>
      <w:r/>
    </w:p>
    <w:p>
      <w:pPr>
        <w:rPr>
          <w:rFonts w:cs="新宋体" w:asciiTheme="minorEastAsia" w:hAnsiTheme="minorEastAsia"/>
          <w:b/>
          <w:color w:val="auto"/>
          <w:sz w:val="32"/>
          <w:szCs w:val="32"/>
          <w:highlight w:val="none"/>
          <w:lang w:eastAsia="zh-CN"/>
        </w:rPr>
      </w:pPr>
      <w:r/>
      <w:bookmarkStart w:id="12" w:name="_Toc3197"/>
      <w:r/>
      <w:bookmarkStart w:id="13" w:name="_Toc2972"/>
      <w:r>
        <w:rPr>
          <w:rFonts w:cs="新宋体" w:asciiTheme="minorEastAsia" w:hAnsiTheme="minorEastAsia"/>
          <w:b/>
          <w:color w:val="auto"/>
          <w:sz w:val="32"/>
          <w:szCs w:val="32"/>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Pr>
      <w:r>
        <w:rPr>
          <w:rFonts w:cs="新宋体" w:asciiTheme="minorEastAsia" w:hAnsiTheme="minorEastAsia"/>
          <w:b/>
          <w:color w:val="auto"/>
          <w:sz w:val="32"/>
          <w:szCs w:val="32"/>
          <w:highlight w:val="none"/>
          <w:lang w:eastAsia="zh-CN"/>
        </w:rPr>
        <w:t xml:space="preserve">第五章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拟签订的合同文本</w:t>
      </w:r>
      <w:bookmarkEnd w:id="12"/>
      <w:r/>
      <w:bookmarkEnd w:id="13"/>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项目名称：</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项目编号：</w:t>
      </w:r>
      <w:r/>
    </w:p>
    <w:p>
      <w:pPr>
        <w:pStyle w:val="727"/>
        <w:jc w:val="center"/>
        <w:rPr>
          <w:rFonts w:ascii="宋体" w:hAnsi="宋体"/>
          <w:b/>
          <w:bCs/>
          <w:color w:val="auto"/>
          <w:sz w:val="72"/>
          <w:szCs w:val="72"/>
          <w:highlight w:val="none"/>
        </w:rPr>
      </w:pPr>
      <w:r>
        <w:rPr>
          <w:rFonts w:ascii="宋体" w:hAnsi="宋体"/>
          <w:b/>
          <w:bCs/>
          <w:color w:val="auto"/>
          <w:sz w:val="72"/>
          <w:szCs w:val="72"/>
          <w:highlight w:val="none"/>
        </w:rPr>
        <w:t xml:space="preserve">政</w:t>
      </w:r>
      <w:r/>
    </w:p>
    <w:p>
      <w:pPr>
        <w:pStyle w:val="727"/>
        <w:jc w:val="center"/>
        <w:rPr>
          <w:rFonts w:ascii="宋体" w:hAnsi="宋体"/>
          <w:b/>
          <w:bCs/>
          <w:color w:val="auto"/>
          <w:sz w:val="72"/>
          <w:szCs w:val="72"/>
          <w:highlight w:val="none"/>
        </w:rPr>
      </w:pPr>
      <w:r>
        <w:rPr>
          <w:rFonts w:ascii="宋体" w:hAnsi="宋体"/>
          <w:b/>
          <w:bCs/>
          <w:color w:val="auto"/>
          <w:sz w:val="72"/>
          <w:szCs w:val="72"/>
          <w:highlight w:val="none"/>
        </w:rPr>
        <w:t xml:space="preserve">府</w:t>
      </w:r>
      <w:r/>
    </w:p>
    <w:p>
      <w:pPr>
        <w:pStyle w:val="727"/>
        <w:jc w:val="center"/>
        <w:rPr>
          <w:rFonts w:ascii="宋体" w:hAnsi="宋体"/>
          <w:b/>
          <w:bCs/>
          <w:color w:val="auto"/>
          <w:sz w:val="72"/>
          <w:szCs w:val="72"/>
          <w:highlight w:val="none"/>
        </w:rPr>
      </w:pPr>
      <w:r>
        <w:rPr>
          <w:rFonts w:ascii="宋体" w:hAnsi="宋体"/>
          <w:b/>
          <w:bCs/>
          <w:color w:val="auto"/>
          <w:sz w:val="72"/>
          <w:szCs w:val="72"/>
          <w:highlight w:val="none"/>
        </w:rPr>
        <w:t xml:space="preserve">采</w:t>
      </w:r>
      <w:r/>
    </w:p>
    <w:p>
      <w:pPr>
        <w:pStyle w:val="727"/>
        <w:jc w:val="center"/>
        <w:rPr>
          <w:rFonts w:ascii="宋体" w:hAnsi="宋体"/>
          <w:b/>
          <w:bCs/>
          <w:color w:val="auto"/>
          <w:sz w:val="72"/>
          <w:szCs w:val="72"/>
          <w:highlight w:val="none"/>
        </w:rPr>
      </w:pPr>
      <w:r>
        <w:rPr>
          <w:rFonts w:ascii="宋体" w:hAnsi="宋体"/>
          <w:b/>
          <w:bCs/>
          <w:color w:val="auto"/>
          <w:sz w:val="72"/>
          <w:szCs w:val="72"/>
          <w:highlight w:val="none"/>
        </w:rPr>
        <w:t xml:space="preserve">购</w:t>
      </w:r>
      <w:r/>
    </w:p>
    <w:p>
      <w:pPr>
        <w:pStyle w:val="727"/>
        <w:jc w:val="center"/>
        <w:rPr>
          <w:rFonts w:ascii="宋体" w:hAnsi="宋体"/>
          <w:b/>
          <w:bCs/>
          <w:color w:val="auto"/>
          <w:sz w:val="72"/>
          <w:szCs w:val="72"/>
          <w:highlight w:val="none"/>
        </w:rPr>
      </w:pPr>
      <w:r>
        <w:rPr>
          <w:rFonts w:ascii="宋体" w:hAnsi="宋体"/>
          <w:b/>
          <w:bCs/>
          <w:color w:val="auto"/>
          <w:sz w:val="72"/>
          <w:szCs w:val="72"/>
          <w:highlight w:val="none"/>
        </w:rPr>
        <w:t xml:space="preserve">合</w:t>
      </w:r>
      <w:r/>
    </w:p>
    <w:p>
      <w:pPr>
        <w:pStyle w:val="727"/>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 </w:t>
      </w:r>
      <w:r>
        <w:rPr>
          <w:rFonts w:ascii="宋体" w:hAnsi="宋体"/>
          <w:b/>
          <w:bCs/>
          <w:color w:val="auto"/>
          <w:sz w:val="72"/>
          <w:szCs w:val="72"/>
          <w:highlight w:val="none"/>
        </w:rPr>
        <w:t xml:space="preserve">同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成交供应商：</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合同签订日期：</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年</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月</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日</w:t>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480"/>
        <w:jc w:val="both"/>
        <w:spacing w:after="0" w:line="360" w:lineRule="auto"/>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cs="宋体" w:asciiTheme="minorEastAsia" w:hAnsiTheme="minorEastAsia"/>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 条。</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1.15“采购需求” 见合同附件5。</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spacing w:line="360" w:lineRule="auto"/>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 所规定的所有技术性能在验收中都已经达到，双方应在验收合格后5 日内签署验收书。</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9.3验收标准（验收要求、验收标准和程序）：见合同附件5。</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卖方替换不符合合同规定的合同标的。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按质量低劣的程度、买方受损害的程度及损失的数额对合同标的进行降价。</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拒收合同标的。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赔偿由卖方违约引起的其他损失。</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卖方未能履行合同项下任何其他义务，并且在收到买方违约通知后未能按《合同专用条款》中规定的期限对其违约行为作出补救。</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13.2如果一方破产或发生资不抵债的情况，合同另一方有权在任何时候发出书面通知终止合同。此种情况下合同的终止不妨碍或影响行使任何可能的其他救济手段。</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18.4合同双方除非《合同专用条款》另有规定，所有合同文件及相关的修订和合同双方之间的书面联络，应使用中文书籍并按中文解释。</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jc w:val="center"/>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olor w:val="auto"/>
          <w:sz w:val="24"/>
          <w:highlight w:val="none"/>
          <w:u w:val="single"/>
          <w:lang w:eastAsia="zh-CN"/>
        </w:rPr>
        <w:t xml:space="preserve">丰县</w:t>
      </w:r>
      <w:r>
        <w:rPr>
          <w:rFonts w:hint="eastAsia" w:ascii="宋体" w:hAnsi="宋体"/>
          <w:color w:val="auto"/>
          <w:sz w:val="24"/>
          <w:highlight w:val="none"/>
          <w:u w:val="single"/>
          <w:lang w:eastAsia="zh-CN"/>
        </w:rPr>
        <w:t xml:space="preserve">公安局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第二条 合同范围</w:t>
      </w:r>
      <w:r/>
    </w:p>
    <w:p>
      <w:pPr>
        <w:ind w:firstLine="540"/>
        <w:rPr>
          <w:color w:val="auto"/>
          <w:highlight w:val="none"/>
          <w:lang w:eastAsia="zh-CN"/>
        </w:rPr>
      </w:pPr>
      <w:r>
        <w:rPr>
          <w:rFonts w:hint="eastAsia" w:ascii="宋体" w:hAnsi="宋体"/>
          <w:color w:val="auto"/>
          <w:sz w:val="24"/>
          <w:highlight w:val="none"/>
          <w:lang w:eastAsia="zh-CN"/>
        </w:rPr>
        <w:t xml:space="preserve">2.1买方同意从卖方购买、卖方同意向买方出售的合同标的详见合同附件。</w:t>
      </w:r>
      <w:r/>
    </w:p>
    <w:p>
      <w:pPr>
        <w:pStyle w:val="738"/>
        <w:rPr>
          <w:color w:val="auto"/>
          <w:highlight w:val="none"/>
          <w:lang w:eastAsia="zh-CN"/>
        </w:rPr>
      </w:pPr>
      <w:r>
        <w:rPr>
          <w:color w:val="auto"/>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spacing w:line="24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3.2本合同为固定单价合同，项目实施过程中除采购人提出的变更要求外不增加任何费用，本合同单价中包含国家法律法规对设备、材料的检验、检测费用。</w:t>
      </w:r>
      <w:r/>
    </w:p>
    <w:p>
      <w:pPr>
        <w:ind w:firstLine="540"/>
        <w:spacing w:line="24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3.3本合同价格</w:t>
      </w:r>
      <w:r>
        <w:rPr>
          <w:rFonts w:hint="eastAsia" w:cs="仿宋" w:asciiTheme="minorEastAsia" w:hAnsiTheme="minorEastAsia"/>
          <w:color w:val="auto"/>
          <w:sz w:val="24"/>
          <w:szCs w:val="24"/>
          <w:highlight w:val="none"/>
          <w:lang w:eastAsia="zh-CN"/>
        </w:rPr>
        <w:t xml:space="preserve">包括产品、设计、包装、保险、运输、装卸、安装调试、辅材、检验、培训、 验收、售后服务、税金等一切费用。采购人不再支付报价以外的任何费用</w:t>
      </w:r>
      <w:r>
        <w:rPr>
          <w:rFonts w:hint="eastAsia" w:ascii="宋体" w:hAnsi="宋体"/>
          <w:color w:val="auto"/>
          <w:sz w:val="24"/>
          <w:highlight w:val="none"/>
          <w:lang w:eastAsia="zh-CN"/>
        </w:rPr>
        <w:t xml:space="preserve">。</w:t>
      </w:r>
      <w:r/>
    </w:p>
    <w:p>
      <w:pP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spacing w:line="240" w:lineRule="atLeast"/>
        <w:widowControl w:val="off"/>
        <w:tabs>
          <w:tab w:val="left" w:pos="1080" w:leader="none"/>
        </w:tabs>
        <w:rPr>
          <w:rFonts w:ascii="宋体" w:hAnsi="宋体" w:cs="仿宋_GB2312"/>
          <w:color w:val="auto"/>
          <w:sz w:val="24"/>
          <w:highlight w:val="none"/>
          <w:lang w:eastAsia="zh-CN"/>
        </w:rPr>
      </w:pPr>
      <w:r>
        <w:rPr>
          <w:rFonts w:hint="eastAsia" w:ascii="宋体" w:hAnsi="宋体" w:cs="仿宋_GB2312"/>
          <w:color w:val="auto"/>
          <w:sz w:val="24"/>
          <w:highlight w:val="none"/>
          <w:lang w:eastAsia="zh-CN"/>
        </w:rPr>
        <w:t xml:space="preserve">4.</w:t>
      </w:r>
      <w:r>
        <w:rPr>
          <w:rFonts w:hint="eastAsia" w:ascii="宋体" w:hAnsi="宋体" w:eastAsia="宋体" w:cs="仿宋_GB2312"/>
          <w:color w:val="auto"/>
          <w:sz w:val="24"/>
          <w:highlight w:val="none"/>
          <w:lang w:eastAsia="zh-CN"/>
        </w:rPr>
        <w:t xml:space="preserve">1</w:t>
      </w:r>
      <w:r>
        <w:rPr>
          <w:rFonts w:hint="eastAsia" w:ascii="宋体" w:hAnsi="宋体" w:cs="仿宋_GB2312"/>
          <w:color w:val="auto"/>
          <w:sz w:val="24"/>
          <w:highlight w:val="none"/>
          <w:lang w:eastAsia="zh-CN"/>
        </w:rPr>
        <w:t xml:space="preserve">结算方式</w:t>
      </w:r>
      <w:r/>
    </w:p>
    <w:p>
      <w:pPr>
        <w:ind w:firstLine="480"/>
        <w:rPr>
          <w:rFonts w:ascii="宋体" w:hAnsi="宋体"/>
          <w:color w:val="auto"/>
          <w:sz w:val="24"/>
          <w:highlight w:val="none"/>
          <w:lang w:eastAsia="zh-CN"/>
        </w:rPr>
      </w:pPr>
      <w:r>
        <w:rPr>
          <w:rFonts w:hint="eastAsia" w:ascii="宋体" w:hAnsi="宋体"/>
          <w:color w:val="auto"/>
          <w:sz w:val="24"/>
          <w:highlight w:val="none"/>
          <w:lang w:eastAsia="zh-CN"/>
        </w:rPr>
        <w:t xml:space="preserve">合同签订，主要设备进场后，支付合同金额的40%，项目验收结束后30日内支付合同金额的55%，质保期满3年后30日内支付剩余的5%。</w:t>
      </w:r>
      <w:r/>
    </w:p>
    <w:p>
      <w:pPr>
        <w:ind w:firstLine="480"/>
        <w:rPr>
          <w:rFonts w:ascii="宋体" w:hAnsi="宋体"/>
          <w:color w:val="auto"/>
          <w:sz w:val="24"/>
          <w:highlight w:val="none"/>
          <w:lang w:eastAsia="zh-CN"/>
        </w:rPr>
      </w:pPr>
      <w:r>
        <w:rPr>
          <w:rFonts w:hint="eastAsia" w:ascii="宋体" w:hAnsi="宋体"/>
          <w:color w:val="auto"/>
          <w:sz w:val="24"/>
          <w:highlight w:val="none"/>
          <w:lang w:eastAsia="zh-CN"/>
        </w:rPr>
        <w:t xml:space="preserve">在甲方付款前，乙方先行向甲方提供合法有效的票据资料，否则甲方有权迟延支付相应款项且不影响乙方履行本合同项下的义务。</w:t>
      </w:r>
      <w:r/>
    </w:p>
    <w:p>
      <w:pPr>
        <w:ind w:firstLine="480"/>
        <w:rPr>
          <w:rFonts w:ascii="宋体" w:hAnsi="宋体"/>
          <w:color w:val="auto"/>
          <w:sz w:val="24"/>
          <w:highlight w:val="none"/>
          <w:lang w:eastAsia="zh-CN"/>
        </w:rPr>
      </w:pPr>
      <w:r>
        <w:rPr>
          <w:rFonts w:hint="eastAsia" w:ascii="宋体" w:hAnsi="宋体"/>
          <w:color w:val="auto"/>
          <w:sz w:val="24"/>
          <w:highlight w:val="none"/>
          <w:lang w:eastAsia="zh-CN"/>
        </w:rPr>
        <w:t xml:space="preserve">卖方需提交的支付文件包括：</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1、卖方出具的全额正式发票；</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2、买方出具的验收合格证明。</w:t>
      </w:r>
      <w:r/>
    </w:p>
    <w:p>
      <w:pPr>
        <w:ind w:firstLine="54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5.1卖方应于合同生效日后，__60__日内交付货物并安装调试完毕，由采购人进行验收。</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5.3卖方应在不迟于每批合同标的备妥待运前</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日通知买方。</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如果卖方在合同规定的交货期限后</w:t>
      </w:r>
      <w:r>
        <w:rPr>
          <w:rFonts w:hint="eastAsia" w:ascii="宋体" w:hAnsi="宋体" w:eastAsia="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技术资料随合同标的同时交付给买方。</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13.1如果卖方有下述违约行为，买方可以全部或部分的终止合同：</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540"/>
        <w:spacing w:line="360" w:lineRule="auto"/>
        <w:rPr>
          <w:rFonts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14.1如果不能协商一致，合同任何一方有权向买方所在地人民法院提起诉讼。</w:t>
      </w:r>
      <w:r/>
    </w:p>
    <w:p>
      <w:pPr>
        <w:ind w:firstLine="54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合同双方的通讯地址： </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买方:                               卖方:</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地址:                               地址:</w:t>
      </w:r>
      <w:r/>
    </w:p>
    <w:p>
      <w:pPr>
        <w:pStyle w:val="760"/>
        <w:rPr>
          <w:color w:val="auto"/>
          <w:highlight w:val="none"/>
        </w:rPr>
      </w:pPr>
      <w:r>
        <w:rPr>
          <w:rFonts w:hint="eastAsia" w:ascii="宋体" w:hAnsi="宋体"/>
          <w:color w:val="auto"/>
          <w:sz w:val="24"/>
          <w:highlight w:val="none"/>
        </w:rPr>
        <w:t xml:space="preserve">法定代表人或授权代表(签名)：  法定代表人或授权代表(签名)：</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邮编:                               邮编:</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电话:                               电话:</w:t>
      </w:r>
      <w:r/>
    </w:p>
    <w:p>
      <w:pPr>
        <w:ind w:firstLine="540"/>
        <w:rPr>
          <w:rFonts w:ascii="宋体" w:hAnsi="宋体"/>
          <w:color w:val="auto"/>
          <w:sz w:val="24"/>
          <w:highlight w:val="none"/>
          <w:lang w:eastAsia="zh-CN"/>
        </w:rPr>
      </w:pPr>
      <w:r>
        <w:rPr>
          <w:rFonts w:hint="eastAsia" w:ascii="宋体" w:hAnsi="宋体"/>
          <w:color w:val="auto"/>
          <w:sz w:val="24"/>
          <w:highlight w:val="none"/>
          <w:lang w:eastAsia="zh-CN"/>
        </w:rPr>
        <w:t xml:space="preserve">传真:                               传真: </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18.12因买方原因导致变更、中止或者终止政府采购合同的，买方对卖方受到的实际损失予以赔偿或者补偿。</w:t>
      </w:r>
      <w:r>
        <w:rPr>
          <w:rFonts w:hint="eastAsia" w:ascii="宋体" w:hAnsi="宋体" w:eastAsia="宋体" w:cs="宋体"/>
          <w:color w:val="auto"/>
          <w:sz w:val="24"/>
          <w:szCs w:val="24"/>
          <w:highlight w:val="none"/>
          <w:lang w:eastAsia="zh-CN"/>
        </w:rPr>
        <w:br w:type="page" w:clear="all"/>
      </w:r>
      <w:r/>
    </w:p>
    <w:p>
      <w:pPr>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（要求见招标文件第七章《投标文件相关格式》中《开标一览表》和《分项价格表》；合同见卖方投标文件。）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合同附件5：采购需求</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合同附件6：</w:t>
      </w:r>
      <w:r>
        <w:rPr>
          <w:rFonts w:hint="eastAsia" w:ascii="宋体" w:hAnsi="宋体"/>
          <w:color w:val="auto"/>
          <w:sz w:val="24"/>
          <w:highlight w:val="none"/>
          <w:lang w:eastAsia="zh-CN"/>
        </w:rPr>
        <w:t xml:space="preserve">项目实施方案</w:t>
      </w:r>
      <w:r/>
    </w:p>
    <w:p>
      <w:pPr>
        <w:rPr>
          <w:rFonts w:ascii="宋体" w:hAnsi="宋体"/>
          <w:color w:val="auto"/>
          <w:sz w:val="24"/>
          <w:highlight w:val="none"/>
          <w:lang w:eastAsia="zh-CN"/>
        </w:rPr>
      </w:pPr>
      <w:r>
        <w:rPr>
          <w:rFonts w:hint="eastAsia" w:ascii="宋体" w:hAnsi="宋体"/>
          <w:color w:val="auto"/>
          <w:sz w:val="24"/>
          <w:highlight w:val="none"/>
          <w:lang w:eastAsia="zh-CN"/>
        </w:rPr>
        <w:t xml:space="preserve">(要求见招标文件第六章《采购需求》；合同见卖方投标文件中《项目实施方案》。)</w:t>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 xml:space="preserve">合同附件1：</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（买方名称）（以下简称“买方”）已接受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（卖方名称）（以下简称“卖方”）对</w:t>
      </w:r>
      <w:r>
        <w:rPr>
          <w:rFonts w:hint="eastAsia" w:ascii="宋体" w:hAnsi="宋体" w:cs="宋体"/>
          <w:color w:val="auto"/>
          <w:sz w:val="24"/>
          <w:szCs w:val="24"/>
          <w:highlight w:val="none"/>
          <w:u w:val="single"/>
          <w:lang w:eastAsia="zh-CN"/>
        </w:rPr>
        <w:t xml:space="preserve">丰县公安局王沟公安检查站科技信息化设备采购项目</w:t>
      </w:r>
      <w:r>
        <w:rPr>
          <w:rFonts w:hint="eastAsia" w:ascii="宋体" w:hAnsi="宋体" w:eastAsia="宋体" w:cs="宋体"/>
          <w:color w:val="auto"/>
          <w:sz w:val="24"/>
          <w:szCs w:val="24"/>
          <w:highlight w:val="none"/>
          <w:lang w:eastAsia="zh-CN"/>
        </w:rPr>
        <w:t xml:space="preserve">（项目名称）项目编号：</w:t>
      </w:r>
      <w:r>
        <w:rPr>
          <w:rFonts w:hint="eastAsia" w:ascii="宋体" w:hAnsi="宋体" w:cs="宋体"/>
          <w:color w:val="auto"/>
          <w:sz w:val="24"/>
          <w:szCs w:val="24"/>
          <w:highlight w:val="none"/>
          <w:u w:val="single"/>
          <w:lang w:eastAsia="zh-CN"/>
        </w:rPr>
        <w:t xml:space="preserve">JSZC-320321-JSCD-G2026-0001 </w:t>
      </w:r>
      <w:r>
        <w:rPr>
          <w:rFonts w:hint="eastAsia" w:ascii="宋体" w:hAnsi="宋体" w:eastAsia="宋体" w:cs="宋体"/>
          <w:color w:val="auto"/>
          <w:sz w:val="24"/>
          <w:szCs w:val="24"/>
          <w:highlight w:val="none"/>
          <w:lang w:eastAsia="zh-CN"/>
        </w:rPr>
        <w:t xml:space="preserve">的投标。买方和卖方共同达成如下协议。</w:t>
      </w:r>
      <w:r/>
    </w:p>
    <w:p>
      <w:pPr>
        <w:ind w:firstLine="36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中标通知书</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除合同附件1外的合同附件</w:t>
      </w:r>
      <w:r/>
    </w:p>
    <w:p>
      <w:pPr>
        <w:ind w:left="4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双方加盖公章或合同专用章；</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]为准。</w:t>
      </w:r>
      <w:r/>
    </w:p>
    <w:p>
      <w:pPr>
        <w:ind w:firstLine="3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6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 </w:t>
      </w:r>
      <w:r/>
    </w:p>
    <w:p>
      <w:pPr>
        <w:ind w:firstLine="33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银行账号：</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cs="新宋体" w:asciiTheme="minorEastAsia" w:hAnsi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 w:name="_Toc25159"/>
      <w:r/>
      <w:bookmarkStart w:id="15" w:name="_Toc1928"/>
      <w:r>
        <w:rPr>
          <w:rFonts w:cs="新宋体" w:asciiTheme="minorEastAsia" w:hAnsiTheme="minorEastAsia"/>
          <w:b/>
          <w:color w:val="auto"/>
          <w:sz w:val="32"/>
          <w:szCs w:val="32"/>
          <w:highlight w:val="none"/>
          <w:lang w:eastAsia="zh-CN"/>
        </w:rPr>
        <w:t xml:space="preserve">第六章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采购需求</w:t>
      </w:r>
      <w:bookmarkEnd w:id="14"/>
      <w:r/>
      <w:bookmarkEnd w:id="15"/>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一、项目概况</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1、项目名称：丰县公安局王沟公安检查站科技信息化设备采购项目</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2、项目地点：丰县</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3、采购人：丰县公安局</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4、项目周期：60日历天</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项目内容：采购王沟公安检查站科技信息化设备项目所需的车辆引导设备、视频监控设备、安检设备、显示系统及配套设备；监控、安检、大屏等设备须对接至现有丰县公安检查站平台，实现统一视频查看与回放、人脸解析、信息发布、安检设备管理等功能；</w:t>
      </w:r>
      <w:r/>
    </w:p>
    <w:p>
      <w:pPr>
        <w:ind w:firstLine="480"/>
        <w:spacing w:after="0" w:line="36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6、采购预算：本项目不接受超过</w:t>
      </w:r>
      <w:r>
        <w:rPr>
          <w:rFonts w:hint="eastAsia" w:ascii="宋体" w:hAnsi="宋体" w:eastAsia="宋体" w:cs="宋体"/>
          <w:b/>
          <w:bCs/>
          <w:color w:val="auto"/>
          <w:sz w:val="24"/>
          <w:szCs w:val="24"/>
          <w:highlight w:val="none"/>
          <w:lang w:eastAsia="zh-CN"/>
        </w:rPr>
        <w:t xml:space="preserve">210万元</w:t>
      </w:r>
      <w:r>
        <w:rPr>
          <w:rFonts w:hint="eastAsia" w:ascii="宋体" w:hAnsi="宋体" w:eastAsia="宋体" w:cs="宋体"/>
          <w:color w:val="auto"/>
          <w:sz w:val="24"/>
          <w:szCs w:val="24"/>
          <w:highlight w:val="none"/>
          <w:lang w:eastAsia="zh-CN"/>
        </w:rPr>
        <w:t xml:space="preserve">（采购预算）的投标报价。</w:t>
      </w: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p>
      <w:pPr>
        <w:ind w:firstLine="482"/>
        <w:rPr>
          <w:rFonts w:ascii="宋体" w:hAnsi="宋体" w:eastAsia="宋体" w:cs="宋体"/>
          <w:b/>
          <w:bCs/>
          <w:color w:val="auto"/>
          <w:sz w:val="24"/>
          <w:szCs w:val="24"/>
          <w:highlight w:val="none"/>
          <w:lang w:val="zh-CN" w:eastAsia="zh-CN"/>
        </w:rPr>
      </w:pPr>
      <w:r>
        <w:rPr>
          <w:rFonts w:hint="eastAsia" w:cs="宋体" w:asciiTheme="minorEastAsia" w:hAnsiTheme="minorEastAsia"/>
          <w:b/>
          <w:bCs/>
          <w:color w:val="auto"/>
          <w:sz w:val="24"/>
          <w:szCs w:val="24"/>
          <w:highlight w:val="none"/>
          <w:lang w:val="zh-CN" w:eastAsia="zh-CN"/>
        </w:rPr>
        <w:t xml:space="preserve">二、采购清单</w:t>
      </w:r>
      <w:r/>
    </w:p>
    <w:tbl>
      <w:tblPr>
        <w:tblStyle w:val="712"/>
        <w:tblW w:w="10164" w:type="dxa"/>
        <w:tblInd w:w="-266" w:type="dxa"/>
        <w:tblLayout w:type="fixed"/>
        <w:tblCellMar>
          <w:left w:w="108" w:type="dxa"/>
          <w:top w:w="0" w:type="dxa"/>
          <w:right w:w="108" w:type="dxa"/>
          <w:bottom w:w="0" w:type="dxa"/>
        </w:tblCellMar>
        <w:tblLook w:val="04A0" w:firstRow="1" w:lastRow="0" w:firstColumn="1" w:lastColumn="0" w:noHBand="0" w:noVBand="1"/>
      </w:tblPr>
      <w:tblGrid>
        <w:gridCol w:w="456"/>
        <w:gridCol w:w="1536"/>
        <w:gridCol w:w="6563"/>
        <w:gridCol w:w="696"/>
        <w:gridCol w:w="456"/>
        <w:gridCol w:w="456"/>
      </w:tblGrid>
      <w:tr>
        <w:trPr>
          <w:trHeight w:val="789"/>
        </w:trPr>
        <w:tc>
          <w:tcPr>
            <w:gridSpan w:val="5"/>
            <w:shd w:val="clear" w:color="auto" w:fill="auto"/>
            <w:tcBorders>
              <w:top w:val="none" w:color="000000" w:sz="4" w:space="0"/>
              <w:left w:val="none" w:color="000000" w:sz="4" w:space="0"/>
              <w:bottom w:val="none" w:color="000000" w:sz="4" w:space="0"/>
              <w:right w:val="none" w:color="000000" w:sz="4" w:space="0"/>
            </w:tcBorders>
            <w:tcW w:w="9708"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丰县公安局王沟公安检查站科技信息化设备采购设备清单 </w:t>
            </w:r>
            <w:r/>
          </w:p>
        </w:tc>
        <w:tc>
          <w:tcPr>
            <w:shd w:val="clear" w:color="auto" w:fill="auto"/>
            <w:tcBorders>
              <w:top w:val="none" w:color="000000" w:sz="4" w:space="0"/>
              <w:left w:val="none" w:color="000000" w:sz="4" w:space="0"/>
              <w:bottom w:val="none" w:color="000000" w:sz="4" w:space="0"/>
              <w:right w:val="non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产品名称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产品参数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单位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备注 </w:t>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一、人车卡口系统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01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900万人车卡口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1、包含摄像机、室外防护罩、电源适配器等组成；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2、图像分辨率不低于4096×2336，像素≥900万；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3、设备采用先进的图像融合技术，夜间不得使用白光爆闪灯或外加频闪灯；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4、传感器：GS-CMOS，1.1英寸，视频分辨率不低于4096×2336，抓图分辨率不低于4096×2336；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▲5、支持按照车型配置主/副驾驶不系安全带行为抓拍，包括无牌机动车和黄牌货车。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6、支持配合外接补光灯控制使用，支持闪光灯和频闪灯同步补光；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7、支持设置卡口抓拍高速应用模式；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▲8、支持特殊车牌表达模式配置，可根据车辆类型、车牌层数等进行号牌示例匹配，并结合视频识别结果进行车牌输出；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9、支持车牌识别功能：白天识别准确率≥99%；晚上识别准确率≥99%；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10、透雾模式功能检查：支持透雾模式的开启和关闭，可分别设置早晨/傍晚/白天/夜晚等不同场景下的透雾模式状态。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11、支持车辆逆行检测抓拍功能， 白天捕获率≥99%； 晚上捕获率≥99%；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12、接入标准: ONVIF；GB/T 28181；GA/T 1400；GB 35114-A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55mm定焦镜头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配套定制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87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四合一补光灯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▲1、要求具备符合GA/T1202-2022《交通技术监控成像补光装置通用技术条件》的检测报告（LED光源1级频闪，气体放电光源1级脉冲和红外光源）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2、触发方式：开关量；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3、光斑覆盖范围：1车道；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4、补光距离：16m～26m；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5、回电时间：≤70ms；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6、爆闪计数：支持统计爆闪次数和触发次数；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7、闪光灯寿命：≥1000万次；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8、灯珠数量：24颗（高亮LED）；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万向节支架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81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双拼全景600万细节400万双光声光警戒交管网络球机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1、由不小于2路全景摄像机和1路细节摄像机组成，CMOS靶面尺寸均不小于1/1.8英寸；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2、全景像素不低于600万，细节像素不低于400万；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3、最大支持输出分辨率：全景：≥3632×1632；细节：≥2688×1520；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4、细节相机支持不小于25倍光学变倍，16倍数字变倍；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5、全景通道可输出不小于2个镜头无缝拼接的全景图像，拼接偏差像素不大于4 个像素，全景摄像机水平视场角不小于 210°，垂直视场角不小于 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▲6、全景通道可电动调节垂直旋转，旋转范围支持5°~25° ；细节通道支持0°~360°连续旋转，垂直旋转范围支持-30°~+90°；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▲7、全景摄像机具有不小于4颗补光灯，细节摄像机具有不小于 10颗红外灯和2颗白光灯；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8、联动模式下，支持全景通道检测到触发规则的目标（行人、机动车、非机动车）后联动细节通道跟踪及报警；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细节通道支持视频结构化抓拍，可对检测区内多个不同运动方向的行人、非机动车、机动车进行检测、跟踪、筛选、框选提示并抓拍存储图片；支持人脸、车牌、非机动车车牌抠图，可将人脸与人体、车牌与车辆关联现实，可同时检测目标数量最大不少于100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10、支持通用行为分析、人脸识别、视频结构化、违法停车、卡口抓拍、电子警察、交通道路事件、抛洒物等模式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11、支持音频输入和音频输出；内置报警输入和报警输出，支持报警联动功能；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▲12、内置喇叭，可随设备的转动进行水平（ 0°~360°）、垂直（-30°~+90°）不同方向的定向播放；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13、支持DC36V/2.23A（-25%～+25%）供电；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14、支持IP67；TVS 6000V防雷、防浪涌和防突波保护；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0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800万三摄结构化摄像机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采用三个镜头、三个通道一体化设计，内置不少于1个云台，支持双细节通道互为180度夹角监控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传感器类型：通道1：1/1.2英寸CMOS通道2：1/1.8英寸CMOS通道3：1/1.8英寸CMOS；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像素：通道1：800万通道2：400万通道3：400万；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最低照度：0.001Lux（彩色模式）；0.0001Lux（黑白模式）；0Lux（补光灯开启）；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最大补光距离：150m（视频监控距离）30m（人脸检测距离）；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补光灯：≥12颗（柔光双色灯）；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镜头焦距：通道1：20mm～80mm；通道2：3.6mm；通道3：8mm～56mm；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通用行为分析：物品遗留；物品搬移；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智能说明：通道1：视频结构化、通用行为分析、人脸识别、人脸检测、道路监控 通道2：不支持 通道3：视频结构化、通用行为分析、人脸识别、人脸检测、道路监控 ；通道1任意1个智能可以与通道3中任意1个智能同开；</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周界防范：绊线入侵；区域入侵；快速移动（三项均支持人车分类及精准检测）；徘徊检测；人员聚集；停车检测；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音频接口：支持；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内置麦克风：支持，内置双麦克风；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内置扬声器：支持；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网络接口：1个（RJ-45网口，支持10M/100M/1000M网络数据）；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接入标准：ONVIF；GB/T28181；GA/T1400；GB/35114A；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球机壁装支架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球机配套支架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大功率开关量声光报警器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1、报警功能：外置设备音频输入，根据音频输入，联动警示灯工作，可通过摄像头喊话；</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2、电源接口：1组220V引出线；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3、供电方式：AC220V±10%；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4、功耗：≤70W；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5、工作温度：-40~70℃；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6、防护等级：IP65；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7、安装方式：壁装或抱杆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41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8口全千兆交换机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交换容量：256Gbps；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包转发率：60Mpps；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安装方式：导轨式安装；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电源接口：凤凰端子和DC端口；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防护等级：IP40、IK06；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业务端口：具备10个10/100/1000Base-T电口、2个100/1000Base-X SFP光口；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拨码开关：管理开关/端口隔离/风暴抑制；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供电方式：支持双电源输入，供电电压12VDC；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散热方式：无风扇，自然散热；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03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1、产品形态：盒式；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2、网络接口：具备1Gbps光口、1个10/100/1000Mbps自协商以太网口(RJ-45)；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3、光纤类型：单模单纤；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4、光接口类型：FC；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5、波长：1310nm发送,1550nm接收；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7、安装方式：桌面、集成机箱、壁挂安装；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杆件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热镀锌，高6.5米，横臂8M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5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链路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含网线、电源线及辅材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点位箱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300*400*500喷塑热镀锌。内含空开、漏保、隔板、熔纤盘</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基础（1.5*1.5*1.8M）开挖及浇筑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设备安装及精调，含杆件吊装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二、车辆引导区：可变车道系统及交通屏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7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直行+右转车道标志牌（直流）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1、产品组成：白LED；线路板；开关电源；反光膜；铝制外壳；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2、中心光强：白＞5000mcd（单颗灯珠）；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3、LED直径：Φ5mm；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4、LED单管电流：恒流，&lt;18mA；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5、LED寿命：≥70000h；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6、LED波长：白：冷色，超高亮；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7、可视距离：&gt;450m；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8、可视角度：＞30°；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9、车道图案：白LED点阵排列，直行和右转2个图案的叠加，底色为反光膜；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10、外壳材料：优质铝材；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11、供电方式：AC220V±20%，50Hz±1%；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12、安装方式：抱箍安装；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43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4路可变车道控制器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1、多时段定时：每天6个时段，每周7个日期方案；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2、可变车道控制方式：远程控制、定时控制、现场手动；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3、电源输入：1个；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4、网络接口：1个；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5、RS-232接口：1个；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6、产品组成：开关电源；线路板；串口服务器；不锈钢喷塑机箱；</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7、供电方式：AC220V±20%，50Hz±1%；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8、安装方式：抱箍安装，标配直径300mm；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9、无线遥控器：315MHz 遥控，4个预案；</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07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24路信号机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信号转换：满足GB-14886规定；</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控制路数：标配4块输出板，支持24路；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信号组输出数：支持8组独立信号输出；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感应控制：最大支持64路视频检测器输入；支持单车道双检测器配置；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信号控制方式：支持遥控器控制、时间表控制、协调控制、感应控制、自适应控制、路段行人过街协调控制；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控制开关：1个总电源开关；1个控制器开关；1个外接信号灯控制开关；1个三芯插座，1个2芯插座；1个照明开关；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电源输入：1个主电源输入；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网络接口：主控板1个百兆电口；通讯板2个百兆电口（其中1个电口和光口复用一个MAC地址），1个百兆光口；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供电方式：AC220V±30%，50Hz±2%；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工作温度：-40℃～+80℃；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35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信号灯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信号灯种类：机动车灯；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信号灯灯型：直行箭头；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外壳材料：铝压铸，黑色喷塑；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面罩材料：PC；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面罩规格：Φ400.0mm；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LED数量：红灯90颗、黄灯90颗、绿灯90颗；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LED寿命：≥70000h；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供电方式：AC220V；50Hz；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安装方式：悬臂式横向抱箍安装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交通LED屏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 点间距：10mm，封装类型：DIP，国产管芯，配色：双色；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模组：尺寸320*160mm，正反面灌胶工艺；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箱体：防水双层铁机箱，可根据模组尺寸定制；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驱动方式：动态，显示屏亮度：≥8000cd/m2；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控制：AC220VDC5V开关电源，内置接收卡；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维护：后开门检修方式；</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68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交通LED屏控制卡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1、选用高性能8核处理器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2、支持65万像素点带载能力</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3、支持三种WIFI模式（WIFI AP、WIFI STA、WIFI AP+STA）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4、支持网络冗余备份和网口冗余备份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5、USB*1，AUDIO OUT*1，RESET*1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6、支持工作状态LED灯显示，直观易用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7、标配户外宽压宽温5V5A电源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78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直径80MM可变限速牌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1、外壳尺寸：800mm×800mm×84mm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环直径：630mm 像素间距：16mm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3、LED：国星SMD贴片全彩+透镜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4、灯管颜色：外圈：红，显示内容：白或黄</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5、发光亮度：红&gt;3100 cd/㎡，白&gt;12400 cd/㎡，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黄&gt;7440 cd/㎡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6、通讯方式：RS232、RS485、以太网、GPRS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外壳材料：铁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8、外壳表面：黑色哑光处理，磨砂黑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运行电压：AC110-220V/12VDC/24VDC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10、工作温度：-15℃~+60℃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11、含主控</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红蓝警示灯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太阳能供电，安装在隔离带</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警示灯支架及安装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材料：镀锌，1.5M高，含辅材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龙门架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诱导屏跨路支架高8.5米横跨11.5米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杆件F杆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热镀锌，高6.5米，横臂8M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链路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含网线、电源线及辅材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RVV4 *1.5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850米，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辅助管线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管口开挖及恢复，含PE40管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点位箱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300*400*500喷塑热镀锌。内含空开、漏保、隔板、熔纤盘</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2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基础（1.5*1.5*1.8M）开挖及浇筑。龙门架基础（1.7*1.7*1.8M）含地笼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立方米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龙门架安装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龙门架安装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红绿灯，可变车道，LED设备安装及精调</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三、检查站全景可视化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高空灯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含杆，杆高15m，总功率&gt;=500W,照射范围&gt;=1000平方米，有效照射半径&gt;=18米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27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1200万270°网络摄像机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1、采用全景细节一体化设计，全景采用不低于6个镜头拼接成不小于270度全景画面，细节内置大倍率高速变焦镜头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2、通道1（全景）：1200万；通道2（球机）：400万；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3、全景摄像机支持自动拼接功能,可将任意连续的2个至6个视频画面进行拼接显示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▲4、具有大模型开关设置选项，开启大模型模式后，对人群的检测距离可提升2倍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▲5、支持人群分布大模型算法，可对全景通道绘制区域内的人数进行统计，可检出5000人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6、全景通道支持通用行为分析(周界防范)、人群分布图、车辆密度、船只检测;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细节通道支持通用行为分析(周界防范)、人脸识别、视频结构化</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7、全景、细节通道:内置加热模块,可对镜头前盖玻璃加热,去除镜头玻璃上的冰状和水状附着物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8、内置水平仪,可检测安装时设备是否倾斜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9、支持双MIC声音采集，内置2个扬声器,可进行语音对讲及自定义音频文件播放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10、光学变倍应≥40倍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高空灯基础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基础（1.5*1.5*1.7M）开挖及浇筑，杆件吊装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87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1、产品形态：盒式；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2、网络接口：具备1Gbps光口、1个10/100/1000Mbps自协商以太网口(RJ-45)；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3、光纤类型：单模单纤；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4、光接口类型：FC；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5、波长：1310nm发送,1550nm接收；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7、安装方式：桌面、集成机箱、壁挂安装；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电路配线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CAT 5，RVV2*1.0，护套4平方铜芯</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四、2车道安检系统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81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交通屏-信息发布(抱杆2行7字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产品尺寸：2303.0mm×852.0mm×172.0mm；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包装尺寸：2400.0mm×900.0mm×200.0mm；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毛重：100.0kg；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净重：80.0kg；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外壳材质：钣金；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驱动方式：1/4扫描，恒流驱动；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亮度：&gt;6000cd/m2；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工作湿度：20%RH~80%RH；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72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车辆道闸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杆件类型：直杆；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支持杆长：3米；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起杆速度：1s；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电机类型：直流无刷；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防砸功能：支持：压力波防砸、雷达防砸、线圈防砸、红外防砸；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断电抬杆：支持；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遇阻反弹：支持；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防撞功能：支持；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断电手摇：支持；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远程遥控：支持遥控器远程开关，最大距离50m；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工作温度：-40℃～+70℃；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防护等级：不低于IP54；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道闸杆件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颜色：红白相间；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外壳材料：金属(铝)；</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82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雷达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发射频率：77GHz～81GHz；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检测区域：0.3m～6m（可调）；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防砸区域：0～2m（可调）；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检测目标：人、车；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在线调试：支持（串口、APP通过wifi进行调试）；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升级功能：支持（串口、APP通过wifi在线升级）；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工作电压：DC9–12V</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79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车牌抓拍单元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传感器类型：1/2.7英寸CMOS；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图像分辨率：1920×1080（不包含OSD黑边）；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视频分辨率：主码流：1080P（1920×1080）/720P（1280×720）辅码流：720P（1280×720）/960H（960×576）/D1（704×576）；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触发方式：支持视频检测；I/O线圈；混合三种触发方式；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最大补光距离：7m；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抓拍距离：2.5~6m；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除雾功能：支持自动除雾；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车辆检测：车辆抓拍率＞99.9%；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车辆识别：支持车型、车标、车系、车身颜色、车脸特征、车牌、无牌车识别，车牌识别率≥99.9%；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视频结构化：支持；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智能轨迹帧：支持智能帧显示，可显示车牌和车辆行驶轨迹；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镜头类型：电动变焦；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镜头焦距：2.7mm～13.5mm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车辆抓拍单元支架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颜色：银色；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外壳材料：金属(铝)</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减速带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121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固定式车底检查系统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固定式车底检测系统在车辆通过重要出入口时，能够快速、准确对车底环境进行高清成像，实现高效车底安全检查，可有效防止各类恐怖事件的发生。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采用彩色线阵CCD扫描技术动态方式成像，双向扫描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快速图片处理1 s内迅速成像显示；底盘图片存储或载入时间 ≤1 s；系统图像显示时间 ≤1 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检测车速 支持1-80 km/h车底清晰完整成像，建议≤30 km/h，成像效果最优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检测车辆底盘高度H 50 mm≤H≤2000 mm；检测车辆底盘宽度D 10 mm≤D≤4000 mm；检测车辆长度长车模式 L≥30 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图像缩放功能 支持图像放大倍数16级，支持局部放大功能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自动生成图片与历史图片比对功能，可疑物识别框选提醒功能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图片检索 支持按日期、时间、车牌号等信息快速检索存储的车底及车牌、外观图像；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支持对车底或车牌图像进行饱和度、对比度、均衡、锐化处理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图片数量≥20万张图片，存储满容量后支持自动覆盖，支持扩展存储到100万张以上</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支持最多4路场景录像接入和实时显示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车底扫描仪防护设计 双层防水、空气循环系统除雾设计，蜂巢承重设计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车底扫描仪防护等级 IP68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车底系统支持承压重量 50吨；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照明系统高亮密封LED面光源；系统寿命＞10000 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模块化组合设计，简易性维护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成像方式：采用线阵CCD扫描技术动态方式成像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扫描方式：线性扫描，地感线圈触发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最大扫描速率：18kHz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车底图像纵向分辨率：≥2048像素CCD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图像分辨率：12000 × 7500；2000万像素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通过车速：1-80km/h，建议≤30km/h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扫描仪数据线：标配10 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车底图像扫描仪：采用独有的开放式宽视场车底图像采集技术设计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视场角度：≥178度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辅助照明：320W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37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双400万双光智能警戒双变焦枪型网络摄像机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1、采用≥2颗1/1.8英寸CMOS图像传感器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2、内置CPU、GPU、NPU芯片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3、可输出2路通道分辨率不小于400万(2688×1520)@25fps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▲4、支持双路电动变倍聚焦及一键聚焦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5、内置≥8颗双光补光灯，双向红外监控距离≥60米，双向暖光监控距离≥30米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6、补光灯表面为微四边形阵列，采用多层透镜结构</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7、双通道智能可独立开启/关闭，双通道支持五种智能方案切换：通用行为分析、人脸检测、人数统计、热度图、道路监控、精准检索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▲8、内置不少于4个麦克风、2个扬声器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9、支持报警2进2出，音频1进1出，485接口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10、支持双通道摄像机互为180°夹角进行监控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▲11、自带一体式抱箍支架，支持双向抱箍安装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12、支持DC12V/POE</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1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吊装支架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承重：1kg；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安装方式：壁装面装吊装；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旋转角度：水平：0~360°；垂直：0~90°；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44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10寸智能门禁一体机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1、显示屏：≥10英寸显示屏；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2、屏幕类型：电容触摸屏；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3、摄像头：1/2.8" 2MP CMOS高清宽动态双摄像头；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4、读卡类型：IC卡;CPU卡;身份证(序列号);CPU卡序列号；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5、设备应采用模块化设计，可灵活扩展;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支持扩展指纹模块、身份证模块、二维码模块、指纹+二维码模块、身份证+二维码模块。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6、黑白名单设定：支持；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7、广告播放：支持图文、视频广告播放；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8、人脸识别准确率：99.90%；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9、用户容量：≥50000；人脸容量：≥50000；卡片容量：≥100000；密码容量：≥50000；存储记录数量：≥300000；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▲10、集成文字转语音（TTS）和语音合成技术，认证成功和认证失败的语音可以分别配置6个时间段进行自定义播报，同时认证成功的语音可叠加播报姓名；支持导入外部自定义语音文件进行播报。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11、供电方式：DC 12V  2A；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人脸识别落地式支架（高度可调）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外壳材料：铝合金；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安装方式：地面安装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人脸门禁身份证模块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支持IP65防护等级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作为扩展模块，门禁一体机配套使用，支持人证、IC卡功能扩展</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人脸门禁防雨遮阳罩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人脸门禁配套遮阳防雨罩</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插墙式电源适配器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22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400万结构化变焦枪型网络摄像机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1、采用不低于400万像素1/1.8英寸CMOS图像传感器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2、内置GPU芯片，支持深度学习算法，有效提升检测准确率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▲3、具有北斗定位设置选项，并能够在监控画面叠加设备所在位置的经纬度信息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4、支持2.7mm-12mm可变焦距，支持不小于F1.2光圈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5、内置不少于4颗补光灯，每颗补光灯均有红外灯和暖光灯组成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6、具有智能除雾功能，可自动去除前盖玻璃水状和雾状附着物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当人脸、人体、车身、车牌目标在画面中横向运动时，因速度过快或环境亮度动态范围过大，导致画面出现拖影与重影现象时，开启功能，可消除人脸、人体、车身、车牌目标横向拖影与重影现象，并自动调节画面亮度、锐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8、支持报警3进2出，双MIC，扬声器，音频2进1出，485，BNC，支持不小于512G MicroSD卡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9、支持DC12V/AC24V/POE三合一供电方式，支持12V电源返送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万向节支架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出入口-相机立杆支架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规格：1200mm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警务终端设备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i5/8G/256G SSD/集成显卡/无光驱/键鼠套装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5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23.8寸液晶显示器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分辨率：1920×1080；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w:t>
            </w:r>
            <w:r>
              <w:rPr>
                <w:rFonts w:asciiTheme="minorEastAsia" w:hAnsiTheme="minorEastAsia" w:cstheme="minorEastAsia"/>
                <w:color w:val="auto"/>
                <w:sz w:val="24"/>
                <w:szCs w:val="24"/>
                <w:highlight w:val="none"/>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交换机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16口千兆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收发器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千兆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设备存储间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空调、小房子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11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翻板式液压路障机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驱动装置：电动液压驱动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供电电压：380 VAC/50 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材料：A3钢材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面板厚度：16mm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拦截长度：3500mm（有效长度3090mm）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警示灯：2个LED警示灯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升起高度：450mm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通过压力：可通过80吨货车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表面处理：喷塑防锈处理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防护等级：IP68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工作温度：-35℃~75℃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寿命：平均寿命≧2000000次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防冲撞能力：≧1800KJ</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操控方式：手动按键，遥控器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路障机基础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开挖尺寸3.5*1.5*2M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链路及施工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含网线、电源线、辅材</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自动排水系统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辅助管线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110配管随土建预埋</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室外超5类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线材及穿管敷设</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电源线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线材及穿管敷设</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3860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五、室内智能化系统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43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400万红外变焦防暴半球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传感器类型：1/2.7英寸CMOS；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像素：400万；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最大分辨率：2688×1520；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最大补光距离：50m（红外视频监控距离）；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补光灯：2颗（红外灯）；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镜头类型：定焦；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通用行为分析：物品遗留；物品搬移；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周界防范：绊线入侵；区域入侵；徘徊检测；人员聚集；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智能编码：H.264:支持；H.265:支持；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AI编码：H.264:支持（压缩率≥25%）；H.265:支持（压缩率≥25%）；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宽动态：120dB；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走廊模式：90°/270°（在1080P分辨率及以下支持）；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内置MIC：支持，内置1个MIC；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报警事件：无SD卡；SD卡空间不足；SD卡出错；网络断开；IP冲突；非法访问；动态检测；视频遮挡；绊线入侵；区域入侵；徘徊检测；人员聚集；音频异常侦测；电压检测；SMD；安全异常；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接入标准：ONVIF；GB/T28181；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预览最大用户数：20个（总带宽:48M）；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最大Micro SD卡：256GB；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供电方式：DC12V/PoE；</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防护等级：IP67；IK10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04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400万结构化变焦防暴半球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1、采用单个电动变焦镜头一体化设计，半球外观，自带补光灯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2、采用不低于400万像素1/1.8英寸CMOS图像传感器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3、内置GPU芯片，支持深度学习算法，有效提升检测准确率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4、支持2.7mm~12mm镜头焦距</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6、设备具有抓拍功能，在低照度环境下抓拍功能可自动开启，在混合场景下，可同时分别抓拍清晰的车牌、车辆及人脸。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▲7、支持变焦镜头全焦段图像畸变校正功能，相机从短焦到长焦变倍全过程均可同步自动进行画面畸变校正，画面几何失真全焦段≤3%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8、支持六种智能资源切换：通用行为分析、人脸检测、人脸识别、视频结构化、人数统计、道路监控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9、设备支持场景大模型算法， 开启环境自适应功能后， 可自动识别不同环境光的监控场景并切换图像配置， 包括宽动态、曝光、增益等参数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10、支持走廊模式，强光抑制，背光补偿，3D降噪，畸变矫正，数字水印，适用不同监控环境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11、支持报警3进2出，音频2进1出，内置双麦克风，内置扬声器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12、支持DC12V/AC24V/PoE供电方式，方便工程安装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13、支持IP67防护等级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15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400万全彩网络枪机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1、传感器类型：1/1.8英寸CMOS；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2、采用AI ISP技术，支持周界防范（绊线入侵，区域入侵）、SMD Plus(人形/车形检测)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3、像素：400万；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4、最大分辨率：2688×1520；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5、最低照度：0.0005lux（彩色模式）；0.0001lux（黑白模式）；0lux（补光灯开启）；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6、补光距离：≥40m（暖光）；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7、补光灯：≥4颗（暖光灯）；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8、镜头光圈：F1.0；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9、智能编码：H.264：支持；H.265：支持；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▲10、超感光功能:可自动调节画面中人脸、人体目标以及环境景物的亮度、色彩饱和度、对比度、锐度;画面信噪比不小于50dB,色彩饱和度不小于120%（提供公安部有效检测报告复印件加盖原厂公章或投标专用章）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11、内置MIC：支持，内置1个MIC；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12、接入标准：ONVIF；GB/T28181；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13、供电方式：DC12V/PoE；</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2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普通壁装枪机支架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安装方式：壁装；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承重：1kg；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旋转角度：水平：0~360°,竖直：-60°~0°；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电源适配器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45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安检通道摆闸(左)</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vMerge w:val="restart"/>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1、产品类型：摆闸；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2、状态指示灯：蓝色常亮-工作状态；红色频闪-异常状态；绿色频闪-授权状态；绿色常亮-常开状态；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3、MCBF：≥500万次；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▲4、设备应支持 3 种管控模式：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模式 1：不允许尾随和逆向闯入，有灯光报警，无语音报警，门翼打开可通行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模式 2（宽松模式）：不允许尾随和逆向闯入，有声光报警（默认）， 门翼打开可通行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模式 3（警戒模式）：不允许尾随和逆向闯入，有声光报警，不管逆向闯入或尾随人员所处位置，门翼关闭不可通行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5、门翼支持选用不锈钢或亚克力材质，不锈钢通道宽度 550mm-1100mm，亚克力通道宽度 550mm-1100mm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6、机身厚度：≥1.2mm；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7、工作温度：-25℃～+70℃；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8、工作湿度：10%～95%（无凝露）；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安检通道摆闸(中)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vMerge w:val="continue"/>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54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安检通道摆闸(右)</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vMerge w:val="continue"/>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49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摆臂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外观颜色：不锈钢原色；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工作环境：室外;室内；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40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10寸智能门禁一体机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1、显示屏：≥10英寸显示屏；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2、屏幕类型：电容触摸屏；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3、摄像头：1/2.8" 2MP CMOS高清宽动态双摄像头；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4、读卡类型：IC卡;CPU卡;身份证(序列号);CPU卡序列号；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5、设备应采用模块化设计，可灵活扩展;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支持扩展指纹模块、身份证模块、二维码模块、指纹+二维码模块、身份证+二维码模块。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6、黑白名单设定：支持；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7、广告播放：支持图文、视频广告播放；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8、人脸识别准确率：99.90%；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9、用户容量：≥50000；人脸容量：≥50000；卡片容量：≥100000；密码容量：≥50000；存储记录数量：≥300000；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▲10、集成文字转语音（TTS）和语音合成技术，认证成功和认证失败的语音可以分别配置6个时间段进行自定义播报，同时认证成功的语音可叠加播报姓名；支持导入外部自定义语音文件进行播报。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11、供电方式：DC 12V  2A；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人脸门禁身份证模块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支持IP65防护等级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作为扩展模块，门禁一体机配套使用，支持人证、IC卡功能扩展</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人脸识别通用闸机支架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人脸门禁配套闸机使用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直流适配器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67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7寸智能门禁一体机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▲1、设备关键器件均为国产品牌，包括主控芯片、内存、EMMC。系统采用国产化鸿蒙操作系统。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2、设备应采用7英寸IPS触摸显示屏,采用曲面屏设计，屏幕分辨率应为1024×600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3、应具有双目摄像头,一路为可见光200万摄像头,另一路为红外200万摄像头；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4、应能在Web端设置设备补偿模式为宽动态。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5、支持不低于5万个用户(包含50个管理员)、5万张人脸、5万个密码、10万张IC卡、30万条记录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6、设备应支持人脸、卡片、二维码、密码单凭证识读;除二维码凭证外,应支持上述任意两种或三种组合凭证识读开门。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▲7、内置国密 SE 密码模块，支持 SM1、SM2、SM3、SM4 加密方式加密处理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8、人脸识别(人脸特征比对)速度应&lt;60ms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9、设备在距离地面1.4m安装高度情况下,距离屏幕正前方0.18m~4m范围内,应能有效人脸识别</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▲10、IPS全贴合屏:屏幕可视角度不小于170°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11、支持口罩检测功能检查，支持口罩不检测、口罩提醒、口罩拦截3种模式设置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12、集成文字转语音（TTS）和语音合成技术，认证成功和认证失败的语音可以分别配置不少于6个时间段进行自定义播报，同时认证成功的语音可叠加播报姓名；支持导入外部自定义语音文件进行播报。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13、支持下模块扩展功能（指纹、二维码、人证、人证+二维码、指纹+二维码）；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14、支持不低于IP66防护等级；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12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280KG单门磁力锁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产品款式：磁力锁；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外壳材料：铝合金；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表面工艺：电镀拉丝；</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信号输出：COM/NO/NC；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门状态检测：1路，继电器；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安全类型：断电开门；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最大拉力：280kg（600Lbs）直线拉力；</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 12V 500(mA)；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工作温度：-20℃～+55℃；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工作环境：室内；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安装方式：明装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59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磁力锁支架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外壳材料：铝合金；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表面工艺：阳极氧化；</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适用门型：木门;玻璃门;金属门;防火门等；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开门角度：90°；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5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出门按钮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外壳材料：ABS塑料，金属边框；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电气性能：最大耐用电流3A 36VDC；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耐用测试：五十万次老化测试合格；</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接点输出：NO/COM接点；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工作电压：DC12V；</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门禁相关电源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闭门器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最大门宽950mm最大门重60kg</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46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信息发布智能安检门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检测速度快，精度高，漏报率小，误报率低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支持对从安检门通过的被检查人员身体上所携带的金属进行检测，超过预设值时自动报警并配声音报警和显示报警区域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同时拥有声、光报警，给人最敏锐的提示，而且音调时长可任意调节，满足不同用户需求。</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支持6-12-18区检测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前后双10寸高清高亮度显示屏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标配嵌入式智能相机，可实现对通过金属探测门的人员进行智能识别和视频监控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支持对通过人数数据进行统计记录，分别记录通过人数及报警次数，而且支持双向分开计数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可选配硬盘，实现海量存储能力和完整NVR功能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符合EMC电磁辐射标准，采用弱磁场技术，对心脏起搏器佩戴者、孕妇、软盘、胶卷、录像带等无害。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模块化设计，易于安装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安检门门板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配套门板</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63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智能X射线检查系统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1、通道尺寸不小于：650mm*500mm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2、USB接口：2个USB3.0接口；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3、安装方式：台式；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4、操作界面：WEB方式，本地GUI操作；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5、解码能力：12路1080P@30fps；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6、视频输出：2路HDMI视频异源输出每路分辨率最大支持1920*1080@60Hz；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7、线分辨力：38 AWG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8、穿透分辨力：32 AWG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9、空间分辨力：垂直：1.0mm 水平：1.0mm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▲10、X射线图像信噪比（SNR）应大于等于41dB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11、传送带速度：0.2m/s、0.3m/s、0.4m/s可调；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12、胶卷安全性：对符合ASA/ISO 1600标准胶卷安全；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▲13、当被测物过薄而无法遮挡光障时，人工按下操作台上的相应功能键，设备应能检测出厚度为0.03mm的标准塞尺。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14、识别种类：支持多种物品识别，如刀具、枪支、喷灌、液体、打火机、烟花爆竹、指虎、警棍、手铐、电子产品、雨伞、钝器等违禁物品；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15、危险等级：高危，警告，安全，可根据物品种类自定义危险等级；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16、硬盘数量：默认配置1块4T硬盘；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17、供电方式：AC 220V～240V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62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接物架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材质：不锈钢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进包口接物架：1个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出包口接物架：1个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安装方式：台式安装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00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手持危险液体检测仪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手持式危险液体检测仪”采用电磁测量电路检测符合材质及壁厚要求的封闭容器内的液体，利用不同种类液体的介电常数/热导率的差异来判断该液体安全与否。当检测到水、软饮料和奶制品等非危险液体时，仪器给出安全提示；当检测到酒精、汽油等易燃易爆危险品时，仪器给出报警提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检测原理 介电常数的差异性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功能模块 非金属容器检测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报警方式 声光报警、图像显示报警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操作方式 液晶屏显示，触摸操作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开机时间 ≤2秒</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自检时间 ≤1秒</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存储功能 具有存储功能，存储容量大于10000条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防爆毯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有效防护爆炸物产生的冲击波和碎片对周围人员、贵重物品及特殊公共场所的损坏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防爆能力：82-2手榴弹一枚（相当70gTNT）</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6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手持金属探测器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体积小，重量轻，手感好，操作灵活方便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开机后自动检测、无需调整、扫描面积大、全方位探测，可准确探测到目标位置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可探测铁磁性金属和非铁磁性金属，最小可探测一根大头针和一个订书钉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支持声音加灯光和振动加灯光两种报警方式，可通过开关切换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支持灵敏度调节</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续航能力优，可连续正常工作80小时，无需更换电池，或者重新充电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坚固耐用，一米高度自由落摔，外观和功能正常电池续航不足时，有自动连续的报警提示音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有外接充电插孔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可搜索危害人身安全的各种暗藏武器、刀具和隐藏的金属物体可用于对手提行李、邮件及包裹的检查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主要应用于机场、政法系统、学校、体育场馆、娱乐场所等的人员安保检查</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100寸电视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国产，屏幕尺寸：&gt;=100英寸，分辨率4K,刷新率&gt;=120Hz</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14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信息发布盒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嵌入式工控机，适用于室内各类非盐雾、高粉尘的非腐蚀环境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主处理器：四核高性能嵌入式处理器，RK3288，Cortex-A17 1.6GHz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操作系统：Android 8.1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内存：2 GB DDR3 RAM；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存储：16GB EMMC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发布内容：支持图片、文字、富文本、视频信息的即时发布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播放类型：支持插播、指定时间段播放、周期播放和垫片播放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智能分屏：支持1、2、3、4、5多种分屏；图片、文字、视频同时播放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音频编码：支持MPEG-4/WMV v9/H.264/H.265/WMV3/MIDI/MP3/AAC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视频编码：支持MP4/H.264/H.265/AVC/MPEG-4/SP/VP8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视频输出：HDMI输出，最大支持1路4K@60fps或者4路1080P视频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音频输出：3.5mm输出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有线网络：1个RJ-45，10/100/1000Mbps自适应以太网口（千兆电口）；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无线网络：支持2.4GHz@50Mbps和5GHz@280Mbps双频（默认2.4GHz）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其他接口：RS232串口*1 , USB2.0*2,3.5mm接口*1，TF卡槽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电源接口：单电源；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功耗：2W；</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08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物品柜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7寸智能柜主柜（12格简版）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智能柜系统集成了人脸验证、液晶显示、触控交互、读卡、语音、锁控、电磁锁等功能模块，融合了物联网技术、AI技术、云计算技术、计算机通信技术等技术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可接副柜数：16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操作系统：Linux操作系统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屏幕参数：7寸触摸屏，分辨率：600*1024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认证方式：人脸，刷卡（M1 Card卡、CPU卡序列号/内容），密码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开柜方式：认证开柜，远程开柜，钥匙开柜，一键巡更开柜（管理员操作）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设备容量：10000张人脸、10000张卡，100000条事件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通信方式：有线网络，无线WiFi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整柜尺寸：970mm*477mm*1880mm（宽*厚*高)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使用模式：访客模式、内部人员模式、混合模式（访客+内部人员）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柜格分配：支持分配一人一格、一人多格、多人一格，分配方式支持全部柜格分配、空闲柜格分配、指定柜格分配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广告功能：支持待机画面图片（最多5张）轮播功能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计划模板：支持配置设备使用计划模板，针对存取操作支持分别设置开放和禁用时间段，支持一个周计划模板、七个假日计划模板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校时功能：内置RTC，支持NTP手动校时、自动校时功能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数据保存：断电时柜子保持原有状态，数据自动保存；断网离线期间设备正常使用，设备事件支持断网续传功能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摄像头：200万宽动态低照度双目摄像头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音频：音频输入和输出，内置全指向麦克风和扬声器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64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装备柜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7寸智能柜主柜（12格简版）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智能柜系统集成了人脸验证、液晶显示、触控交互、读卡、语音、锁控、电磁锁等功能模块，融合了物联网技术、AI技术、云计算技术、计算机通信技术等技术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可接副柜数：16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操作系统：Linux操作系统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屏幕参数：7寸触摸屏，分辨率：600*1024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认证方式：人脸，刷卡（M1 Card卡、CPU卡序列号/内容），密码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开柜方式：认证开柜，远程开柜，钥匙开柜，一键巡更开柜（管理员操作）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设备容量：10000张人脸、10000张卡，100000条事件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通信方式：有线网络，无线WiFi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整柜尺寸：970mm*477mm*1880mm（宽*厚*高)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使用模式：访客模式、内部人员模式、混合模式（访客+内部人员）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柜格分配：支持分配一人一格、一人多格、多人一格，分配方式支持全部柜格分配、空闲柜格分配、指定柜格分配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广告功能：支持待机画面图片（最多5张）轮播功能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计划模板：支持配置设备使用计划模板，针对存取操作支持分别设置开放和禁用时间段，支持一个周计划模板、七个假日计划模板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校时功能：内置RTC，支持NTP手动校时、自动校时功能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数据保存：断电时柜子保持原有状态，数据自动保存；断网离线期间设备正常使用，设备事件支持断网续传功能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摄像头：200万宽动态低照度双目摄像头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音频：音频输入和输出，内置全指向麦克风和扬声器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警务终端设备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i5/8G/256G SSD/集成显卡/无光驱/键鼠套装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35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23.8寸液晶显示器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分辨率：1920×1080；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w:t>
            </w:r>
            <w:r>
              <w:rPr>
                <w:rFonts w:asciiTheme="minorEastAsia" w:hAnsiTheme="minorEastAsia" w:cstheme="minorEastAsia"/>
                <w:color w:val="auto"/>
                <w:sz w:val="24"/>
                <w:szCs w:val="24"/>
                <w:highlight w:val="none"/>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01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彩色打印机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黑白激光；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功能：打印、复印、扫描；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打印速度(黑白)A4：&gt;=20页/分钟；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打印质量:&gt;=600*600 dpi；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内存：&gt;=128MB</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网线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3550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电源线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RVV2*1.5MM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4320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辅材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六、后台管理设备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平台对接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与现有丰县公安检查站平台对接，实现统一视频查看与回放、人脸解析、信息发布、安检设备接入等功能</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20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视频云通用服务器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主处理器:不低于2颗鲲鹏920,24Core，主频2.5GHz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外观高度:2U机架式服务器机箱</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硬盘:配置2块4T 3.5英寸SATA热插拔机械硬盘;2块480GB 2.5英寸固态硬盘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内存:配置128G内存；最多支持16根DDR4内存条；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RAID卡:SAS3908 4G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风扇:4个热插拔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BMC管理功能:主板集成Ibmc, 支持 IPMI、SOL、KVM over IP 以及虚拟媒体，提供 1 个10/100/1000Mbps 的 RJ45 管理网口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网口:共8个GE电口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电源:2×服务器白金900W交流电源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安装方式:标准19英寸机架式安装，带安装导轨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网络视频存储服务器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主处理器：64位高性能多核处理器；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操作系统：国产操作系统；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控制器：单控制器；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高速缓存：标配8GB，可扩展至32GB；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视频直存：支持320路（800Mbps）前端接入；存储；转发，32路（64Mbps）网络回放；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硬盘接口：16个；SATA；单盘最大支持20TB；支持热插拔；支持CMR；</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58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6TB硬盘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单盘容量：6TB；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缓存：256MB；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转速：7200RPM；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4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对接交通局数据开发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29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检查站平台站点扩容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1、支持流媒体视频流的转发、存储、回放及下载;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2、支持车牌号码、人员姓名以及证件号码历史记录查询。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人、车、物检查功能：支持车看车辆号牌、车身图片、车底扫描图片、车底异常预警以及显示车辆档案信息、车主信息；具有人证核验功能，可将采集的人脸图片与重点管控人员比对；支持物品图片、物品分类、危险等级等信息查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▲4、免检期车辆管理功能：支持设置车辆免检信息，对免检期内车辆进行免检，支持免检车辆信息共享。</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5、安检记录功能：安检记录关联车辆、人员、物品及其处置信息。支持车牌号码、人员姓名以及证件号码历史记录查询。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w:t>
            </w:r>
            <w:r>
              <w:rPr>
                <w:rFonts w:hint="eastAsia" w:asciiTheme="minorEastAsia" w:hAnsiTheme="minorEastAsia" w:cstheme="minorEastAsia"/>
                <w:color w:val="auto"/>
                <w:sz w:val="24"/>
                <w:szCs w:val="24"/>
                <w:highlight w:val="none"/>
                <w:lang w:eastAsia="zh-CN" w:bidi="ar"/>
              </w:rPr>
              <w:t xml:space="preserve">统计功能：支持统计不同点位、不同时间段的车辆抓拍数量、黑名单/白名单车辆数量、人脸抓拍数量、人员预警数量。支持统计不同时间段核查的车辆、人员、物品数量以及类型。支持不同时间段每个检查站查获的预警车辆、人员、违禁物品的数量和分类统计。支持不同时间段不同等级勤务执行次数、时长计、单日每个安检人员工作统计以及警务装备数量、种类统计。支持通过电子地图展现监控设备、检查站、车辆预警、人员预警等信息；支持查看检查站详情里的值班班组信息或者警务装备信息；支持查看卡口设备硬件参数、在线状态、车辆抓拍数据、人员抓拍数据信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7、勤务排班功能：支持以自由选择排班时间段以及班组，支持勤务等级、排班名称、备注等信息录入；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▲8、车辆无感通行功能：支持对前后座人脸以及车牌进行自动采集以及分析，控制放行。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（以上加▲项均需提供公安部有效检测报告复印件加盖原厂公章或投标专用章）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90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8口全千兆交换机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交换容量：256Gbps；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包转发率：60Mpps；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安装方式：导轨式安装；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电源接口：凤凰端子和DC端口；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防护等级：IP40、IK06；</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业务端口：具备10个10/100/1000Base-T电口、2个100/1000Base-X SFP光口；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拨码开关：管理开关/端口隔离/风暴抑制；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供电方式：支持双电源输入，供电电压12VDC；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散热方式：无风扇，自然散热；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271"/>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三层管理型交换机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48个千兆电口，4个万兆SFP+光口；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交换容量：520Gbps/5.2Tbps，包转发率：166Mpps；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支持VLAN：802.1Q VLAN、端口VLAN、QinQ、Voice VLAN、协议VLAN、MAC VLAN；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支持链路聚合：静态、动态链路聚合；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支持生成树STP/RSTP/MSTP协议，支持RRPP/ERPS；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支持虚拟化堆叠技术；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支持IPv4路由、IPv6路由、组播、MPLS；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支持ACL、QoS、端口镜像；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支持CLI、WEB、SSH、SNMP v1/v2c/v3等管理方式；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1U高度，19英寸宽，支持桌面、机架式安装方式；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工作温度：-5℃～45℃；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8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1、产品形态：盒式；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2、网络接口：具备1Gbps光口、1个10/100/1000Mbps自协商以太网口(RJ-45)；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3、光纤类型：单模单纤；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4、光接口类型：FC；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5、波长：1310nm发送,1550nm接收；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7、安装方式：桌面、集成机箱、壁挂安装；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9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工业级万兆SFP+光模块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工业级万兆SFP+光模块（收发一体）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光纤类型：单模双纤；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接口类型：LC；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波长：1310nm发送，1310nm接收；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传输距离：20km；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工作电压：3.3V；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工作温度：-40℃～85℃；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42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24口千兆交换机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交换容量：336Gbps；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包转发率：96Mpps；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业务端口：具备24个10/100/1000BASE-T电口、4个1000BASE-X SFP端口；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环网协议：STP、RSTP；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VLAN功能：支持；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链路聚合：支持静态链路聚合、LACP链路聚合；</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供电方式：100～240VAC,50/60Hz；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空载功耗：≤6W；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满载功耗：≤24W；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PoE：不涉及；</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散热方式：无风扇，自然散热；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安装方式：桌面式、机架式安装；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工作湿度：5%～95%RH(无凝结)；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工作温度：-10℃～55℃；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1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图腾机柜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42U机柜，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规格：高*宽*深:2055mm*600mm*800mm（42U）</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颜色：RAL9004 黑色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配置：3块层板，2组4个风扇，1个8位10A电源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承载：静载 800KG(带支架)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主要材料: 方孔条与安装梁：耐指纹敷铝锌板。其余：SPCC 优质冷轧板；</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04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图腾机柜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23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静电地板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规格：600×600×40mm 全钢防静电活动地板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贴面：HPL防静电耐磨层 ≥1.0mm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表面电阻：1×10⁶～1×10⁹Ω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系统电阻：1×10⁶～1×10⁹Ω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静电衰减时间：≤0.1s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集中荷载：≥550kg，挠度≤2.0mm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均布荷载：≥1600kg/㎡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防火等级：A1级</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七、会议室视频会议、音响及显示设备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10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98英寸智能会议平板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操作系统：Android 14；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CPU：四核A73+四核A53；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RAM：16GB；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ROM：128GB；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适用操作系统：Windows 7/8/10；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Wi-Fi：支持，1个Station，1个AP；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Wi-Fi热点：支持2.4G/5G双频，支持热点和Wi-Fi同时开启；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面板尺寸：98英寸；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背光类型：DLED；</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屏幕比例：16:9；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亮度：450cd/m²(typ.)；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分辨率：3840×2160；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可视角度：水平：178°，垂直：178°；</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使用寿命：≥50,000小时；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色彩范围：90% NTSC (typ.)；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刷新率：60Hz；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静态对比度：1200 (typ.)；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响应时间：8ms (typ.)；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响应时间：≤4ms；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自动控制：自动翻转、自动白平衡；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最大分辨率：拍照：9632×5418视频：3840×2160；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视场角：对角：99°，水平：87°，垂直：49°；</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人脸检测：支持；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光感：1个；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前置物理按键：1个电源键（右侧面）；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前置接口：1个USB3.0口（左侧面）；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网络接口：1个RJ-45；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USB接口：3个USB3.0（A型口）+1个Micro USB2.0；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RS-232接口：1个DB9接口，公头；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视频输入：&gt;=2 个HDMI 2.0（4K@60Hz）；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视频输出：&gt;=1个 HDMI 2.0（4K@60Hz）；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音频输出：&gt;=1个3.5mm Line Out接口；1个SPDIF接口；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其他接口：&gt;=1个Touch口；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红外接口：&gt;=1个；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蓝牙：支持；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麦克风：8阵列；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TYPE-C接口：1个Type-C IN（DP IN（4K60fps）+USB3.0 HOST+USB 2.0 Device（touch）+PD 65W）；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触摸点数：安卓32点，windows50点；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抗光干扰：防眩钢化玻璃；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表面硬度：≥9H；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精确书写点数：10点（90%以上触摸区域）；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音腔数量：3个；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内置扬声器：3；</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存储指纹数：100个；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认假率：&lt;0.001%；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拾音距离：远场拾音：8m–12m；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麦克风数量：8阵列；</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自动增益功能：支持；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指向性：全指向性；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智能滤噪：是；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供电方式：AC100–240V，50/60Hz；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产品材质：金属外壳；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安装方式：壁挂或者移动支架；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投屏器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40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OPS电脑（i7十二代/16G/512G固态/激活）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处理器：Intel® Alder lake-H i7-12650H，4.70GHz；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内存：16GB；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硬盘：512GB；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无线：1x2230 CNVI AX101，WIFI/BT Module；</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按键：前置，1×电源开关按键，1×重启按键（凹入式插孔）；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操作系统：Windows 11 Pro 22H2；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电源接口：1×DC IN；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网络接口：1×RJ45（10/100/1000Mbps）；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USB接口：2×USB3.1，2×USB2.0；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DP接口：1×DP1.2 out，Max.4K/60Hz；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HDMI接口：1×HDMI 1.4 out，Max.4K/30Hz；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音频接口：1×Line-out &amp; MIC-In，Two In One Connector；</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扩展接口：1×80pin JAE接口；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工作温度：–5℃～+45℃；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外壳颜色：黑色；</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附件：2×天线，2×M3手拧螺丝，1×干燥剂，1×产品说明书；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认证：CCC</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02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1080P高清会议摄像机（一体式）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1、终端采用一体式设计，内置编解码器、PTZ摄像机、数字阵列麦克。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终端采用国产嵌入式操作系统。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3、支持ITU-T H.323和IETF SIP、RTC通信标准，会议速率支持128Kbps－8Mbps。支持H.264 BP、H.264 HP、H.265视频编解码协议。支持G.711A-law、G.711µ-law、G.722、G.729、G.719、G.728、G.722.1 C 、MPEG-4 AAC-LD、MPEG-4 AAC-LC、Opus等音频协议，可达到20KHz以上的宽频效果。支持H.239、BFCP双流协议标准。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4、内置高清PTZ摄像机，采用不低于846万像素 1/2.8 英寸CMOS镜头，支持4K60视频图像采集，支持不少于5倍光学变焦，水平视角≥80°。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5、支持1080p60、1080p30、720p60、720p30高清分辨率，并向下兼容4CIF、CIF标清分辨率。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6、在保证主视频1080p60fps前提下，辅视频可以支持到1080p60fps。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7、支持内置视频矩阵功能，可在终端控制系统上灵活配置任意视频输入和输出接口之间的对应关系。</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8、终端控制台支持本地录像，支持直接录制在电脑本机，录制图像格式为MP4，无需转码。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9、支持在终端控制软件上对本地和远端会场图像进行实时图像+声音的监控及预览，实时图像帧率可达到30fps。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10、支持背景替换，通过人像检测技术，可将与会方与背景分离，可以虚化模糊背景或替换已有的背景。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11、▲支持多人特写功能，支持把会议室中的与会方的人像裁剪出来拼接成一个多宫格画面，作为一路图像显示。（投标人需提供权威机构检测报告证明）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12、▲支持双流共享叠加人像功能。基于人像检测技术技术，可将与会方与背景分离，实现与会方图像叠加到共享图像上合成显示。（投标人需提供权威机构检测报告证明）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13、▲支持智能视频编码（ROI），可对感兴趣的与会方增强编码，其他区域弱化编码，节省带宽的同时提高与会方图像的显示效果。（投标人需提供权威机构检测报告证明）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14、支持不低于120个摄像机预置位存储和调用，支持摄像机预置位快照及预览功能，可直观地显示预置位场景。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15、终端具有字幕叠加功能，支持在本地图像不同位置叠加台标、短消息。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16、▲支持OLED屏显示设备运行状态，显示状态：启动、升级、休眠、网络异常、错误码、温度异常、风扇异常、IP地址以及号码（投标人需提供权威机构检测报告证明）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17、终端支持叠加视频水印，可实现主流、辅流叠加水印，实现会议数据内容的盗摄溯源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18、▲终端支持国家密码局认定的国产密码算法，保证信息安全自主可控。支持SM1、SM2、SM3、SM4国密加密算法。（需提供权威机构检测报告证明）</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19、▲终端内置安全芯片，生产预置的设备证书及对应的私钥都存储在安全芯片内；支持一机一证，终端生产时向内置安全芯片烧写唯一的证书。（需提供权威机构检测报告证明）</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2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双五寸全频扬声器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1.系统类型：3单元2分频倒相式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2.额定功率：150W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3.最大功率：300W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4.峰值功率：600W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5.标称阻抗：8 OHMS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6.推荐放大器额定输出功率：300W—400W@8 OHMS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7.标称灵敏度（1W@1m）：98dB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8.最大声压级（Pmax@1m）：120dB@150w(123dB@300w)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9.频率带宽：90Hz—20KHz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10.标称指向性（-6dB）：90°H×90°V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11.换能器配置：低频驱动器5.5″（140mm单元35mm音圈）×2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12.高频驱动器1″（25 mm音圈）×1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13.分频模式：被动式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14.连接器：4位螺丝压线端子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15.箱体材质：12mm（0.47″）高品质中纤板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16.颜色：默认为黑色</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82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二通道200W功率放大器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1.采用AB类拓扑电路技术，拥有高效率的功率转换和精良的电路布局;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2.前面板精确的音量旋钮控制，并具有故障.削峰.信号和电源指示灯；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3.散热高效，机器内部拥有从前到后的导风系统，风机随机内的温度自动升高而加速排热；</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4.立体声和并接的工作模式可选；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5.全面的保护功能：软启动、直流保护、过热和过载保护、防冲击、限幅；</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6.额定功率：8Ω立体声200W×2，4Ω立体声300W×2；</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7.总谐波失真：&lt;0.1%；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8.频率响应：20Hz-20kHz:  +/-1dB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9.信噪比：≥100dB(A计权）；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10.输入灵敏度：0.775V/1.0V/1.2V/1.4V 四档输入选择；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11.输入阻抗：20KΩ平衡/ 10KΩ非平衡；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12.阻尼系数：≥ 300(1kHz,8Ω)；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13.电压增益：30dB；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14.动态范围：＞90dB；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15.转换速率：35V/us；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16.接地悬浮开关：输入座接地脚接地和悬浮控制；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70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八路调音台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输入方式：4路话筒卡侬母，4路莲花；</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输出方式：主声道双声道平衡、6.35插座，SUB 双声道6.35插座；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单声道输入配备高品质话筒放大器；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每通道有高、中、低3段参量均衡器；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外置式低噪声电源设计；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备有录音输入输出功能；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功能：高中低音调节，话筒48V供电选择，录音输出，2编组输出，2路辅助输出，数码混响；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最大输出电平:19dBm(1KHz,THD=0.5%)；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剩余噪声：-75dB；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 信噪比：71dB；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 等效噪声源输入电动势：-12dBm；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 开关、指示：船型开关、面板电源指示灯，监听电平指示；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0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数字音频处理器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可视化反馈啸叫显示功能，有效抑制更多啸叫点的形成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内置中控代码生成器，无需自行套用公式编辑代码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全功能矩阵混音功能，内置专利性分量式矩阵调节功能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内置强大的双DSP芯片工作，使系统更加稳定可靠</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支持PC、中控平台、按键面板、触摸面板等方式进行多重控制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4路平衡式话筒\线路输入，采用凤凰插接口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4路平衡式输出，采用凤凰插接口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面板上支持多种音频格式的立体声播放，可扩展USB多媒体存储录制功能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内置信号发生器、自动混音（AM）、自动增益控制（AGC）、反馈消除（AFC）、回声消除（AEC）、噪声消除（ANC）等主要算法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 输入每通道：前级放大、信号发生器、扩展器、压缩器、5段参量均衡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 输出每通道：31段图示均衡及8段全参量均衡切换选择、延时器、分频器、限幅器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 内置自动摄像跟踪功能，轻松实现视频会议；支持场景预设功能；断电自动保护记忆功能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 具有几十余种专业音频处理模块，如5段全参量均衡器，31段图示均衡器，高精准的压缩及限幅器，高灵敏的扩展及自动增益，分频器，自动混音器，延时器，矩阵混音器，分量矩阵调节器，噪声门限，静音模块，信号发生器和信号指示电平表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 RS-485双向串行控制接口；可控制外部其它设备如：视频矩阵、摄像机等RS-485设备，或接收第三方RS-485控制</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15. 每个输入提供 + 48 VDC10 mA幻象电源</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16. 可通过USB、WiFi、TCP/IP接口和控制设备连接</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17. 支持8路逻辑输入/输出，4路电压输入控制（可接继电器或模拟可调电位器）的GPIO控制接口</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15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反馈抑制器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1.2寸液晶真彩显示，中英文可选；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2.24BIT高性能A/D及D/A转换；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3.双通道18点独立高速自动陷波，快速抑制啸叫点；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4.自动并可手动扫描啸叫点，对于啸叫点频率精确到1Hz，提升系统声压的同时保持完美音质；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5.个性化PC调试软件，USB免驱通迅方式，操作方便，得心应手；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6.噪声门功能可抑制系统微弱噪声干扰；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7.输入压缩功能，消除反馈同时更可扩展人声动态；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8.每通道，增益-80dB到0dB；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9.本机设有移频工作模式，配合陷波器使用，防啸叫效果出类拨萃；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10.独特的面板锁功能，开机后能对机器进行限制调节。</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91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无线一拖四鹅颈话筒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 工作频率：610-669.7MHz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 调制方式：宽带FM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 信道数目：100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 信道间隔：300kHz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 频率稳定度：±0.005%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 动态范围：100dB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 最大偏移：±45kHz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 音频频率响应：50Hz-18KHz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 综合信噪比：&gt;105dB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 综合失真：&lt;0.5%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 工作距离：60m（在理想环境的情况下）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 包含1台主机，4只鹅颈单元</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lang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八、自助服务设备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23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无人机方舱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无人机充电机库、四旋翼无人机、无人机管理平台、保险。</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尺寸：舱盖闭合：≤1030mm×710mm×860mm，舱盖开启：≤1600mm×710mm×860mm（不含雨量计、气象站、天线）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重量：≤115kg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应急电池：＞5h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换电时长：≤2min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作业间隔时长：≤3min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最大允许电池组数量;4组</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电池仓充电功能：支持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夜间精准降落：支持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蛙跳巡检：支持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数据传输速率（飞机至机库）：≤200Mbps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最大作业巡检范围：8000m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抗风能力;巡检过程12m/s，精准过程8m/s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工作环境温度：-20℃-50℃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九、户外大屏显示系统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109"/>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户外全彩LED显示屏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1、LED像素点间距≤5mm;像素密度≥40000点/㎡</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2、模组尺寸≤320mmX160mm；单元分辨率≥64×32</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3、产品通过抗电强度试验，电源输入端与GND之间：施加DC2500V 测试 1min,无飞弧、无击穿；电源输入端与可触及的部件之间；施加DC4000V，测试 1min，不发生绝缘击穿测试期间应不发生绝缘击穿。</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4、屏幕控制参数、联屏文件设置数据可通过TCP/IP通讯协议实现多级级联管理和控制。</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5、在特定条件下，射频遥控器最远距离不小于8m，可穿过一层普通建筑物墙壁进行遥控。</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6、▲支持设置文稿场景、影院场景、安防场景、常规场景、广告场景、视讯场景、HDR场景、自定义场景。</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7、▲设备上电启动15s内可以输出图像。</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8、模组平整度≤0.2mm；箱体间间隙≤0.2mm；发光点中心偏差≤1%</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（▲项需提供第三方检测报告，并加盖原厂公章）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07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LED控制系统-发送卡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1、输入接口：具有1个 HDMI接口、1个USB2.0接口、1个控制网口、2个RS485接口；输出接口： 1个Line Out接口，1个带载网口。</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2、支持TCP/IP网络协议，可用于管理和控制设备</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1路网口输出最大输出分辨率:65W，宽度范围：64-2048，高度范围：64-2048。单网口带载支持65W像素，设备总带载支持65W像素。</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3、支持通过设备自带Web浏览器、客户端、遥控器操作，支持对图像的亮度、色温以及图像模式进行调节设置</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4、支持色彩滤镜，包括安防模式、广告模式、视讯模式、文稿模式、影片模式以及自定义。</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5、▲支持射频遥控器；，射频遥控器最远距离10m，可穿过建筑物墙壁进行遥控。</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6、支持任意走线、LED屏幕带载无矩形框架限制。</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7、支持刷新率1920Hz、3840Hz、7680Hz调节。</w:t>
            </w:r>
            <w:r/>
          </w:p>
          <w:p>
            <w:pPr>
              <w:spacing w:after="0" w:line="240" w:lineRule="auto"/>
              <w:rPr>
                <w:rFonts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8、▲支持从客户端、设备自带Web浏览器查看与绑定的接收卡的序号、接收卡型号、接收卡软件版本、网口link状态、接收卡电压、接收卡温度，状态显示正常</w:t>
            </w:r>
            <w:r/>
          </w:p>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（▲项需提供第三方检测报告，并加盖原厂公章）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光纤收发器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单膜光纤收发器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配电柜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30KW,带远程上电、漏电保护</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安装支架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钢结构支架根据现场实际测绘，以施工图纸为准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平方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基础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含2个地笼，2*2*2M两座基础开挖及浇筑</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微软雅黑" w:hAnsi="微软雅黑" w:eastAsia="微软雅黑" w:cs="微软雅黑"/>
                <w:color w:val="auto"/>
                <w:sz w:val="18"/>
                <w:szCs w:val="18"/>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十、内部充电桩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549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14KW落地式交流充电桩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1）交流输入电压：AC220V±15%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2）交流输入频率：45-65HZ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3）额定输出电流：AC220V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4）输出功率：14kw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5）额定输出电流：64A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6）充电模式：自动、定时、定费、定量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7）保护功能：过流、短路、过压、欠压、急停、防雷、漏电保护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8）人机交互：4.3寸彩色触摸屏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9）充电支付方式：配置后台运营系统时可增加手机APP、微信公众号终端操作充电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10）通信模式：4G/以太网</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11）防水等级：IP54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12）工作环境温度：-20℃～+50℃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13）工作湿度5%-95%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14）充电枪线长：4米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both"/>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施工及电源线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十一、执法办案区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80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长录摄像机-400万红外变焦防暴稳定录像半球网络摄像机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1、支持输出图像分辨率不低于2560 × 1440。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2、▲最低照度彩色0.002lx。</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3、夜间开启红外补光灯可识别距摄像机60m处人体轮廓</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4、▲同一场景相同图像质量下设备在H.264或H265编码方式时，开启智能编码功能和不开启智能编码相比，码率节约80%。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5、内置1个麦克风，具有1个RJ45网络接口，1个音频输入接口、1个音频输出接口、1个报警输入接口、1个报警输出接口。支持DC12V供电。</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6、支持IP67防尘防水。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7、支持IK10机械碰撞防护等级。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8、焦距&amp;视场角：2.7~8 mm：水平视场角：110°~56°，垂直视场角：58.2°~31.4°，对角视场角：132°~64.5°</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374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500万司法半球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1、设备中心水平分辨力不小于2000线（分辨率设置为2560×1920、帧率设置为30fps、码率设置为8Mbps，RJ45输出）。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2、▲水平视场角：不小于172°；垂直视场角：不小于130°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3、彩色：≤0.001lx；黑白：≤0.0002lx </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4、支持设置纯视频流和音视频复合流两种视频类型。</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5、设备内置1颗GPU芯片、2个麦克风、1个扬声器，具有1个RJ45网络接口、1个CVBS接口、1个音频输入接口、1个音频输出接口、1个RS485接口、1个报警输入接口、1个报警输出接口。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设备支持开启、关闭畸变矫正功能，功能开启后畸变应有明显降低。畸变矫正支持等级1、等级2、等级3和自定义四种校正配置，当配置为自定义时，可分别调节校正强度、水平视场角、垂直视场角、远端放大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7、IP67防尘防水等级，IK10碰撞防护等级。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56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拾音器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【基础参数】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尺寸: Φ78mm×28mm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装箱重量: 约92g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符合标准: ROHS认证， ISO9000认证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拾音范围: 5～100平方米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音频传输距离: 3000米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灵敏度: -32dB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频率响应: 20Hz～20KHz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指向特性: 全指向性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信噪比: 80dB（1米40 dB音源SPL）30dB(10米40 dB 音源SPL)1KHz at 1 Pa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动态范围: 104dB(1KHz at Max dB SPL)</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最大承受音压: 120dB SPL（1KHz，THD 1%）</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输出阻抗: 最大600欧姆非平衡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输出信号幅度: 2.5Vpp</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麦克风: 震膜电容咪头</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信号处理电路: 降噪处理电路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保护电路: 8KV Air contact ESD、雷击保护、电源极性反接保护</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3条引线: 电源引线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音频引线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公共地引线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【其他参数】</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 0℃～＋70℃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电源: DC 12V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外壳材质: ABS</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DC12V2A电源适配器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DC12V2A；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紧急按钮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报警紧急按钮；墙体表面凸出安装，支持常开/常闭的触点模式，一键紧急报警，支持电压≤250VDC，电流≤300mA的环境下工作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设备无需供电，自带配套复位钥匙，出警确认警情，通过钥匙复位，ABS材质，性能稳定，经久耐用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紧急按钮报警配件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单防区扩展；单路继电器输出扩展；常开、常闭类型探测器可选；最大级联数120；通信协议Mbus</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835"/>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报警主机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报警输入：支持本地16路，最大可扩展到256路；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报警输出：本地4路，最大可扩展到256路；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无线防区：支持通过网络模块扩展最大64路无线防区；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网络接口：2个RJ-45 10M/100M以太网口；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电话线：1路PSTN；</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RS-485接口：2路，支持键盘、扩展模块、打印机；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M-BUS总线接口：支持2路MBUS扩展，单路最大通信距离2.4KM；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蓄电池：1个接口，蓄电池规格DC12V/7Ah；</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辅电输出：1路DC12V/1A；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蜂鸣器：1个；</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供电方式：AC100~AC240V，50Hz/60Hz；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功耗：空载功耗：5W满载功耗：60W；</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工作湿度：10%～90%RH（无凝结）</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97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报警键盘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分辨率：128x64 ，LCD屏尺寸：56.27x38.35mm；具防区状态指示灯、故障指示灯、布撤防指示灯、网络指示灯、通讯指示灯；具有0~9数字键和菜单键；具蜂鸣器；壳体防拆；对主机编程、布撤防、消警、旁路/旁路恢复、 子系统操作、继电器操作、防区状态查询、步测模式等功能；支持防区状态、系统故障、程序版本、通信参数查询；支持无线433MHz,支持无线遥控器，RS485接口与主机连接</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5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声光警号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声光报警一体式报警；ABS材质；报警联动配件；额定电压：12VDC；工作电压范围：9~15VDC；额定电流≤140mA；</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安装环境：室内安装；闪动次数/分钟：300±30次；声压：108±3dB（30cm处）</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981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高清一体化同步录音录像硬盘录像机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1、▲支持最大8路IPC接入，可满接8路3840×2160分辨率,25fps，8Mbps的IPC。</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4096×2160、3840×2160、3072×1728、2560×1440、1920×1080、1280×720等分辨率的网络IPC接入，主码流分辨率支持：1280×720（25帧/秒）、1920×1080（25帧/秒）、2048×1536（25帧/秒）、2560×1440（25帧/秒）、2560×1920（25帧/秒）、3072×2048 （25帧/秒）、3840×2160（25帧/秒）、4096×2160（25帧/秒）等。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3、▲支持两路4K（3840×2160）/30Hz高清HDMI视频输出。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4、支持调节合成画面尺寸，支持4K（3840×2160）、2K（2560×1440）、1080P、720P、WD1、D1、4CIF、2CIF分辨率编码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5、支持查看数据存储容量和余量，支持数据存储余量不足提醒，当数据存储余量不足30min、10min、5min时提醒。</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6、▲支持光盘一键回放功能，且可选择单张光盘或两张光盘同步回放。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设备前面板具有一块7寸液晶触摸屏，可实现实时视频预览、主机硬盘录像回放及光盘录像回放；可实现显示主机刻录状态、硬盘信息、刻录剩余时间、内存使用率、异常检测标识；可进行一键刻录，参数配置等操作。</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8、在主机审讯视频录像过程时对重要段落打点标记，并可在设备回放时进行重点标记索引。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9、具备光盘自动封盘的功能，停止刻录后3分钟内完成刻录与封盘。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10、具有6个SATA接口；2个RS-232接口、4个RS-485接口、3个VGA接口、4个HDMI接口、4个USB接口、2个千兆以太网接口、8个报警输入、4个报警输出接口、具有4个RCA音频输入接口（2个Line in、2个mic in）、2个音频RCA输出接口。</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437"/>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温湿度显示屏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1、具有1个支持POE功能的RJ45网络接口、1个RS-232接口、1个RS-485接口、1路报警输入接口、1路报警输出接口（以公安部检测报告为准）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2、▲支持HTTP、NTP、手动校时（以公安部检测报告为准）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3、支持LED显示年、月、日、星期、时、分、秒等时间信息（以公安部检测报告为准）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4、▲支持LED显示实时温度、湿度等环境信息；温度显示范围：-19℃～99℃；湿度显示范围：0％～99％（以公安部检测报告为准）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5、支持屏幕亮度调节（以公安部检测报告为准）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6、支持温度、湿度实时检测（以公安部检测报告为准）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774"/>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希捷4TB硬盘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单盘容量：4TB；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缓存：256MB；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转速：7200RPM；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826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硬盘录像机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1、接入能力：64路H.264、H.265格式高清码流接入；存储接口：16个SATA接口，可满配20TB硬盘。</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2、可同时解码输出48路2MP、H.265编码、25fps、1920×1080格式的视频图像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3、▲设备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4、文搜检索结果支持选中查看关联录像/图片，录像片段内显示关联目标跟踪框，支持对录像关联目标及其周围目标进行二次精准检索；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5、▲设备支持独立的智能文搜应用模块，应用内置文搜高频热词，如：人的上衣颜色、下装颜色、随身物品、性别；车的颜色、类型、品牌；其他的保安、抽烟、打电话、玩手机等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6、支持预览的单窗口轮巡，设备支持在多画面的固定窗口上进行轮巡预览，其他预览窗口不轮巡</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7、支持在线用户信息查看，包括用户名、用户类型、IP地址和用户最后操作时间等维护信息</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8、支持切片回放，支持按月、日、小时维度进行切片展示，按月最大支持30个切片，按日最大支持24个切片，按时最大支持60个切片</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9、▲支持最大接入带宽512Mbps，最大存储带宽512Mbps，最大转发带宽256Mbps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（▲项提供公安部检测报告检测报告证明，并加盖原厂公章）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33"/>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16T企业级硬盘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单盘容量：16TB；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缓存：512MB；</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转速：7200RPM；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09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高拍仪、审讯桌椅、办公家具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警务终端设备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i5/8G/256G SSD/无光驱/独立显卡，HDMI接口&gt;=2/键鼠套装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hint="eastAsia" w:asciiTheme="minorEastAsia" w:hAnsiTheme="minorEastAsia" w:cstheme="minorEastAsia"/>
                <w:color w:val="auto"/>
                <w:sz w:val="24"/>
                <w:szCs w:val="24"/>
                <w:highlight w:val="none"/>
                <w:lang w:eastAsia="zh-CN" w:bidi="ar"/>
              </w:rPr>
            </w:pPr>
            <w:r>
              <w:rPr>
                <w:rFonts w:hint="eastAsia" w:asciiTheme="minorEastAsia" w:hAnsiTheme="minorEastAsia" w:cstheme="minorEastAsia"/>
                <w:color w:val="auto"/>
                <w:sz w:val="24"/>
                <w:szCs w:val="24"/>
                <w:highlight w:val="none"/>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23.8寸液晶显示器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分辨率：1920×1080；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面板尺寸：</w:t>
            </w:r>
            <w:r>
              <w:rPr>
                <w:rFonts w:asciiTheme="minorEastAsia" w:hAnsiTheme="minorEastAsia" w:cstheme="minorEastAsia"/>
                <w:color w:val="auto"/>
                <w:sz w:val="24"/>
                <w:szCs w:val="24"/>
                <w:highlight w:val="none"/>
                <w:lang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1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打印机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黑白激光；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功能：打印、复印、扫描；</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打印速度(黑白)A4：&gt;=20页/分钟；</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打印质量:&gt;=600*600 dpi；</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内存：&gt;=128MB</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套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rPr>
                <w:rFonts w:asciiTheme="minorEastAsia" w:hAnsi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Cs/>
                <w:color w:val="auto"/>
                <w:sz w:val="24"/>
                <w:szCs w:val="24"/>
                <w:highlight w:val="none"/>
                <w:lang w:eastAsia="zh-CN"/>
              </w:rPr>
            </w:pPr>
            <w:r>
              <w:rPr>
                <w:rFonts w:hint="eastAsia" w:asciiTheme="minorEastAsia" w:hAnsiTheme="minorEastAsia" w:cstheme="minorEastAsia"/>
                <w:bCs/>
                <w:color w:val="auto"/>
                <w:sz w:val="24"/>
                <w:szCs w:val="24"/>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gridSpan w:val="5"/>
            <w:shd w:val="clear" w:color="auto" w:fill="auto"/>
            <w:tcBorders>
              <w:top w:val="single" w:color="000000" w:sz="4" w:space="0"/>
              <w:left w:val="single" w:color="000000" w:sz="4" w:space="0"/>
              <w:bottom w:val="single" w:color="000000" w:sz="4" w:space="0"/>
              <w:right w:val="single" w:color="000000" w:sz="4" w:space="0"/>
            </w:tcBorders>
            <w:tcW w:w="9708"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 十二、车闸等其他设备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030"/>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400万变焦LED柜式抓拍显示一体机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抓拍显示一体机集相机、LED屏、喇叭于一体，实现抓拍、显示、播报功能，施工维护更方便。</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传感器类型：1/3英寸CMOS；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图像分辨率：2688×1520（不包含OSD黑边）；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视频压缩标准：H.265；H.264B；H.264M；H.264H；MJPEG；</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抓拍距离：2.5m～6m；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除雾功能：支持自动除雾；</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供电方式：AC110–230V；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镜头：标配；</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镜头类型：变焦；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镜头焦距：2.7mm～13.5mm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421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6米重型栅栏道闸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杆件类型：重型栅栏杆；</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支持杆长：6米；</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起杆速度：6s；</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电机类型：直流无刷；</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防砸功能：支持，线圈防砸，红外防砸，雷达防砸；</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遇阻反弹：支持；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断电手摇：支持；</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远程遥控：支持遥控器远程开关，最大距离30m；</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供电方式：AC220V±20%，AC100–240V；</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工作温度：-35℃～+70℃；</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防护等级：IP54；</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安装方式：底部安装</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重型栅栏道闸杆件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左右向通用重型栅栏道闸杆件，杆长5.56米，杆子采用铝合金材质，表面采用电泳工艺防锈，杆子底部带弹性防砸胶条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24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出入口-79G防砸雷达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发射频率：77GHz～81GHz；</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检测区域：0.3m～6m（可调）；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防砸区域：0～2m（可调）；</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检测目标：人、车；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在线调试：支持（串口、APP通过wifi进行调试）；</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升级功能：支持（串口、APP通过wifi在线升级）；</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工作电压：DC9–12V</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雷达电源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定制配套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701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出入口-256G四车道管理终端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操作系统：Windows10，64bit；</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内存：8GB，预留1个DDR内存条卡槽；</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设备性能：单台最大支持4车道（可自由配置成进出口车道），支持5台级联；</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车场管理：支持1个母车场+1个子停车场；</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车道配置：车道绑定主相机、辅相机、对讲设备和监控相机，支持车道道闸设置常开、常闭时间段；支持混进混出配置；</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车类管理：支持5类车类：免费车、月租车、储值车、临时车和VIP车；</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车型管理：支持3种车型：黄牌、蓝牌和绿牌；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收费规则：支持按次收费、按时收费、按时段收费、按日夜收费、分时收费。；</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记录中心：支持进出记录、在场车辆、充值记录查询；</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中心值守：支持车道对讲接入、车牌号纠正、手动匹配在场记录、远程开闸、车辆费用信息展示等；</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监控中心：2/4车道监控，岗亭收费、异常放行；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异常处理：手动放行、手动抓拍、手动匹配、手动修改车牌；</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系统配置：自动对相机校时、软件开机自启动；</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供电方式：DC12V；</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686"/>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键盘鼠标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定制，车闸配套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个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嵌入式爆闪灯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台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伸缩门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铝型材定制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米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942"/>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健身器材、警用器材、消防器材等 </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定制，满足警务站日常需求的相关设施设备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spacing w:after="0" w:line="240" w:lineRule="auto"/>
              <w:rPr>
                <w:rFonts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bidi="ar"/>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563" w:type="dxa"/>
            <w:vAlign w:val="center"/>
            <w:textDirection w:val="lrTb"/>
            <w:noWrap w:val="false"/>
          </w:tcPr>
          <w:p>
            <w:pPr>
              <w:jc w:val="center"/>
              <w:spacing w:after="0" w:line="240" w:lineRule="auto"/>
              <w:widowControl w:val="off"/>
              <w:rPr>
                <w:rFonts w:asciiTheme="minorEastAsia" w:hAnsiTheme="minorEastAsia" w:cstheme="minorEastAsia"/>
                <w:b/>
                <w:bCs/>
                <w:color w:val="auto"/>
                <w:sz w:val="24"/>
                <w:szCs w:val="24"/>
                <w:highlight w:val="none"/>
                <w:lang w:eastAsia="zh-CN"/>
              </w:rPr>
            </w:pPr>
            <w:r>
              <w:rPr>
                <w:rFonts w:asciiTheme="minorEastAsia" w:hAnsiTheme="minorEastAsia" w:cstheme="minorEastAsia"/>
                <w:b/>
                <w:bCs/>
                <w:color w:val="auto"/>
                <w:sz w:val="24"/>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spacing w:after="0" w:line="240" w:lineRule="auto"/>
              <w:rPr>
                <w:rFonts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bidi="ar"/>
              </w:rPr>
              <w:t xml:space="preserve"> 项 </w:t>
            </w:r>
            <w:r/>
          </w:p>
        </w:tc>
        <w:tc>
          <w:tcPr>
            <w:shd w:val="clear" w:color="auto" w:fill="auto"/>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spacing w:after="0" w:line="240" w:lineRule="auto"/>
              <w:widowControl w:val="off"/>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tc>
      </w:tr>
    </w:tbl>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三、项目实施要求</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1、项目交货时间要求：合同签订后，60日内完成设备安装调试，并经采购人验收合格。（具体以实际签订合同为准）。</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2、项目交货安装地点：具体交货安装地点由采购人在签订合同后书面确定。</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3、质量要求：所供产品保证符合国家有关产品质量、性能和安全标准，无任何瑕疵。在承诺时间内及时按所报价格及承诺内容提供物品。</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4、质保期： 三 年。</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5、提供本地化服务，本地要有常驻人员，做到2小时内响应；</w:t>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四、现场勘察</w:t>
      </w:r>
      <w:r/>
    </w:p>
    <w:p>
      <w:pPr>
        <w:ind w:firstLine="480"/>
        <w:spacing w:after="0" w:line="312" w:lineRule="auto"/>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供应商可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 </w:t>
      </w:r>
      <w:r/>
    </w:p>
    <w:p>
      <w:pPr>
        <w:ind w:firstLine="4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五、其他要求：</w:t>
      </w:r>
      <w:r>
        <w:rPr>
          <w:rFonts w:cs="仿宋" w:asciiTheme="minorEastAsia" w:hAnsiTheme="minorEastAsia"/>
          <w:color w:val="auto"/>
          <w:sz w:val="24"/>
          <w:szCs w:val="24"/>
          <w:highlight w:val="none"/>
          <w:lang w:eastAsia="zh-CN"/>
        </w:rPr>
        <w:t xml:space="preserve">见招标文件第五章《拟签订的合同文本》。</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br w:type="page" w:clear="all"/>
      </w:r>
      <w:r/>
    </w:p>
    <w:p>
      <w:pPr>
        <w:numPr>
          <w:ilvl w:val="0"/>
          <w:numId w:val="5"/>
        </w:numPr>
        <w:jc w:val="center"/>
        <w:spacing w:line="360" w:lineRule="auto"/>
        <w:rPr>
          <w:rFonts w:cs="新宋体" w:asciiTheme="minorEastAsia" w:hAnsiTheme="minorEastAsia"/>
          <w:b/>
          <w:color w:val="auto"/>
          <w:sz w:val="32"/>
          <w:szCs w:val="32"/>
          <w:highlight w:val="none"/>
          <w:lang w:eastAsia="zh-CN"/>
        </w:rPr>
        <w:outlineLvl w:val="0"/>
      </w:pPr>
      <w:r/>
      <w:bookmarkStart w:id="16" w:name="_Toc27681"/>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投标文件相关格式</w:t>
      </w:r>
      <w:bookmarkEnd w:id="16"/>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t xml:space="preserve">目录</w:t>
      </w:r>
      <w:r/>
    </w:p>
    <w:p>
      <w:pPr>
        <w:pStyle w:val="738"/>
        <w:ind w:left="880" w:firstLine="0"/>
        <w:rPr>
          <w:color w:val="auto"/>
          <w:highlight w:val="none"/>
          <w:lang w:eastAsia="zh-CN"/>
        </w:rPr>
      </w:pPr>
      <w:r>
        <w:rPr>
          <w:color w:val="auto"/>
          <w:highlight w:val="none"/>
          <w:lang w:eastAsia="zh-CN"/>
        </w:rPr>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一、投标函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二、开标一览表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三、分项价格表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四、偏离表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五、</w:t>
      </w:r>
      <w:r>
        <w:rPr>
          <w:rFonts w:hint="eastAsia"/>
          <w:color w:val="auto"/>
          <w:sz w:val="24"/>
          <w:szCs w:val="24"/>
          <w:highlight w:val="none"/>
          <w:lang w:eastAsia="zh-CN"/>
        </w:rPr>
        <w:t xml:space="preserve">法定代表人授权书</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六、中小企业声明函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七、残疾人福利性单位声明函（如有）</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八、投标人参加政府采购活动前3年内在经营活动中没有重大违法记录的书面声明</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九、具备履行合同所必需的设备和专业技术能力的书面声明</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十、投标人承诺书（含售后服务承诺）</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十一、 供应商基本情况表</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val="en-US" w:eastAsia="zh-CN"/>
        </w:rPr>
        <w:t xml:space="preserve">十二、关于符合本国产品标准的声明函</w:t>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pStyle w:val="738"/>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8"/>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8"/>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8"/>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8"/>
        <w:rPr>
          <w:color w:val="auto"/>
          <w:highlight w:val="none"/>
          <w:lang w:eastAsia="zh-CN"/>
        </w:rPr>
      </w:pPr>
      <w:r>
        <w:rPr>
          <w:color w:val="auto"/>
          <w:highlight w:val="none"/>
          <w:lang w:eastAsia="zh-CN"/>
        </w:rPr>
      </w:r>
      <w:r/>
    </w:p>
    <w:p>
      <w:pPr>
        <w:jc w:val="center"/>
        <w:spacing w:after="0" w:line="360" w:lineRule="auto"/>
        <w:rPr>
          <w:rFonts w:asciiTheme="minorEastAsia" w:hAnsiTheme="minorEastAsia" w:cs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lang w:eastAsia="zh-CN"/>
        </w:rPr>
        <w:t xml:space="preserve">一、投标函</w:t>
      </w:r>
      <w:r/>
    </w:p>
    <w:p>
      <w:pPr>
        <w:ind w:firstLine="48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致：</w:t>
      </w:r>
      <w:r>
        <w:rPr>
          <w:rFonts w:hint="eastAsia" w:cs="仿宋" w:asciiTheme="minorEastAsia" w:hAnsiTheme="minorEastAsia"/>
          <w:color w:val="auto"/>
          <w:sz w:val="24"/>
          <w:szCs w:val="24"/>
          <w:highlight w:val="none"/>
          <w:u w:val="single"/>
          <w:lang w:eastAsia="zh-CN"/>
        </w:rPr>
        <w:t xml:space="preserve">江苏创鼎建设工程项目管理咨询有限公司</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根据</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项目[项目编号：</w:t>
      </w:r>
      <w:r>
        <w:rPr>
          <w:rFonts w:hint="eastAsia" w:cs="仿宋" w:asciiTheme="minorEastAsia" w:hAnsiTheme="minorEastAsia"/>
          <w:color w:val="auto"/>
          <w:sz w:val="24"/>
          <w:szCs w:val="24"/>
          <w:highlight w:val="none"/>
          <w:lang w:eastAsia="zh-CN"/>
        </w:rPr>
        <w:t xml:space="preserve">JSZC-320321-JSCD-G2026-0001 </w:t>
      </w:r>
      <w:r>
        <w:rPr>
          <w:rFonts w:cs="仿宋" w:asciiTheme="minorEastAsia" w:hAnsiTheme="minorEastAsia"/>
          <w:color w:val="auto"/>
          <w:sz w:val="24"/>
          <w:szCs w:val="24"/>
          <w:highlight w:val="none"/>
          <w:lang w:eastAsia="zh-CN"/>
        </w:rPr>
        <w:t xml:space="preserve">]招标文件，</w:t>
      </w:r>
      <w:r>
        <w:rPr>
          <w:rFonts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姓名</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代表我方</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 投标人同意在授予合同后，按照有关规定支付公证费</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如有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 </w:t>
      </w:r>
      <w:r>
        <w:rPr>
          <w:rFonts w:hint="eastAsia" w:cs="仿宋" w:asciiTheme="minorEastAsia" w:hAnsiTheme="minorEastAsia"/>
          <w:color w:val="auto"/>
          <w:sz w:val="24"/>
          <w:szCs w:val="24"/>
          <w:highlight w:val="none"/>
          <w:lang w:eastAsia="zh-CN"/>
        </w:rPr>
        <w:t xml:space="preserve">江苏创鼎建设工程项目管理咨询有限公司</w:t>
      </w:r>
      <w:r>
        <w:rPr>
          <w:rFonts w:cs="仿宋" w:asciiTheme="minorEastAsia" w:hAnsiTheme="minorEastAsia"/>
          <w:color w:val="auto"/>
          <w:sz w:val="24"/>
          <w:szCs w:val="24"/>
          <w:highlight w:val="none"/>
          <w:lang w:eastAsia="zh-CN"/>
        </w:rPr>
        <w:t xml:space="preserve">有权将我单位本项目的《开标一览表》和《分项价格表》予以公示，公示的方式由</w:t>
      </w:r>
      <w:r>
        <w:rPr>
          <w:rFonts w:hint="eastAsia" w:cs="仿宋" w:asciiTheme="minorEastAsia" w:hAnsiTheme="minorEastAsia"/>
          <w:color w:val="auto"/>
          <w:sz w:val="24"/>
          <w:szCs w:val="24"/>
          <w:highlight w:val="none"/>
          <w:lang w:eastAsia="zh-CN"/>
        </w:rPr>
        <w:t xml:space="preserve">江苏创鼎建设工程项目管理咨询有限公司</w:t>
      </w:r>
      <w:r>
        <w:rPr>
          <w:rFonts w:cs="仿宋" w:asciiTheme="minorEastAsia" w:hAnsiTheme="minorEastAsia"/>
          <w:color w:val="auto"/>
          <w:sz w:val="24"/>
          <w:szCs w:val="24"/>
          <w:highlight w:val="none"/>
          <w:lang w:eastAsia="zh-CN"/>
        </w:rPr>
        <w:t xml:space="preserve">确定。</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电话：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传真：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p>
      <w:pPr>
        <w:ind w:firstLine="4500"/>
        <w:jc w:val="right"/>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投标人：</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（电子签章）</w:t>
      </w:r>
      <w:r/>
    </w:p>
    <w:p>
      <w:pPr>
        <w:ind w:firstLine="450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w:t>
      </w:r>
      <w:r>
        <w:rPr>
          <w:rFonts w:cs="宋体" w:asciiTheme="minorEastAsia" w:hAnsiTheme="minorEastAsia"/>
          <w:color w:val="auto"/>
          <w:sz w:val="24"/>
          <w:szCs w:val="24"/>
          <w:highlight w:val="none"/>
          <w:lang w:eastAsia="zh-CN"/>
        </w:rPr>
        <w:t xml:space="preserve"> </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8"/>
        <w:rPr>
          <w:color w:val="auto"/>
          <w:highlight w:val="none"/>
          <w:lang w:eastAsia="zh-CN"/>
        </w:rPr>
      </w:pPr>
      <w:r>
        <w:rPr>
          <w:color w:val="auto"/>
          <w:highlight w:val="none"/>
          <w:lang w:eastAsia="zh-CN"/>
        </w:rPr>
      </w:r>
      <w:r/>
    </w:p>
    <w:p>
      <w:pPr>
        <w:jc w:val="center"/>
        <w:spacing w:line="360" w:lineRule="auto"/>
        <w:rPr>
          <w:rFonts w:asciiTheme="minorEastAsia" w:hAnsiTheme="minorEastAsia"/>
          <w:b/>
          <w:bCs/>
          <w:color w:val="auto"/>
          <w:sz w:val="28"/>
          <w:szCs w:val="28"/>
          <w:highlight w:val="none"/>
          <w:lang w:eastAsia="zh-CN"/>
        </w:rPr>
      </w:pPr>
      <w:r>
        <w:rPr>
          <w:rFonts w:cs="黑体" w:asciiTheme="minorEastAsia" w:hAnsiTheme="minorEastAsia"/>
          <w:b/>
          <w:bCs/>
          <w:color w:val="auto"/>
          <w:sz w:val="28"/>
          <w:szCs w:val="28"/>
          <w:highlight w:val="none"/>
          <w:lang w:eastAsia="zh-CN"/>
        </w:rPr>
        <w:t xml:space="preserve">二、开标一览表</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p>
    <w:p>
      <w:pPr>
        <w:ind w:firstLine="67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货币单位：人民币元</w:t>
      </w:r>
      <w:r/>
    </w:p>
    <w:tbl>
      <w:tblPr>
        <w:tblStyle w:val="762"/>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丰县公安局王沟公安检查站科技信息化设备采购项目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三、分项价格表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rPr>
          <w:rFonts w:cs="仿宋" w:asciiTheme="minorEastAsia" w:hAnsiTheme="minorEastAsia"/>
          <w:color w:val="auto"/>
          <w:sz w:val="24"/>
          <w:szCs w:val="24"/>
          <w:highlight w:val="none"/>
          <w:lang w:eastAsia="zh-CN"/>
        </w:rPr>
        <w:t xml:space="preserve">   </w:t>
      </w:r>
      <w:r/>
    </w:p>
    <w:p>
      <w:pPr>
        <w:ind w:firstLine="7368"/>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tbl>
      <w:tblPr>
        <w:tblStyle w:val="712"/>
        <w:tblW w:w="972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bl>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  期：   年  月  日</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说明：</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3．投标人为“小型”或“微型”或“监狱企业”、“残疾人福利性单位”的，须算出“小型和微型和监狱企业和残疾人福利性单位” 总价合计”。</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4.根据财政部国库司的答复,小微企业提供的货物中包含大、中型企业产品的，不享受优惠待遇。</w:t>
      </w:r>
      <w:r/>
    </w:p>
    <w:p>
      <w:pPr>
        <w:jc w:val="both"/>
        <w:rPr>
          <w:rFonts w:ascii="宋体" w:hAnsi="宋体" w:eastAsia="宋体" w:cs="宋体"/>
          <w:color w:val="auto"/>
          <w:sz w:val="24"/>
          <w:szCs w:val="24"/>
          <w:highlight w:val="none"/>
          <w:lang w:eastAsia="zh-CN"/>
        </w:rPr>
      </w:pPr>
      <w:r>
        <w:rPr>
          <w:rFonts w:hint="eastAsia" w:cs="仿宋" w:asciiTheme="minorEastAsia" w:hAnsiTheme="minorEastAsia"/>
          <w:color w:val="auto"/>
          <w:sz w:val="24"/>
          <w:szCs w:val="24"/>
          <w:highlight w:val="none"/>
          <w:lang w:eastAsia="zh-CN"/>
        </w:rPr>
        <w:t xml:space="preserve">注：</w:t>
      </w:r>
      <w:r>
        <w:rPr>
          <w:rFonts w:hint="eastAsia" w:cs="宋体" w:asciiTheme="minorEastAsia" w:hAnsiTheme="minorEastAsia"/>
          <w:color w:val="auto"/>
          <w:sz w:val="24"/>
          <w:szCs w:val="24"/>
          <w:highlight w:val="none"/>
          <w:lang w:eastAsia="zh-CN"/>
        </w:rPr>
        <w:t xml:space="preserve">1.如果按单价计算的结果与总价不一致，以总价为准。</w:t>
      </w:r>
      <w:r/>
    </w:p>
    <w:p>
      <w:pPr>
        <w:ind w:firstLine="480"/>
        <w:jc w:val="both"/>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2.如果不提供详细分项报价将视为没有实质性响应招标文件。</w:t>
      </w:r>
      <w:r/>
    </w:p>
    <w:p>
      <w:pPr>
        <w:ind w:firstLine="480"/>
        <w:jc w:val="both"/>
        <w:rPr>
          <w:rFonts w:cs="仿宋"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3.供应商对以上数据的真实性负责。</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四、偏离表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丰县公安局王沟公安检查站科技信息化设备采购项目</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p>
    <w:p>
      <w:pPr>
        <w:pStyle w:val="754"/>
        <w:rPr>
          <w:color w:val="auto"/>
          <w:highlight w:val="none"/>
          <w:lang w:eastAsia="zh-CN"/>
        </w:rPr>
      </w:pPr>
      <w:r>
        <w:rPr>
          <w:rFonts w:hint="eastAsia" w:cs="仿宋" w:asciiTheme="minorEastAsia" w:hAnsiTheme="minorEastAsia"/>
          <w:color w:val="auto"/>
          <w:sz w:val="24"/>
          <w:szCs w:val="24"/>
          <w:highlight w:val="none"/>
          <w:lang w:eastAsia="zh-CN"/>
        </w:rPr>
        <w:t xml:space="preserve">   </w:t>
      </w:r>
      <w:r/>
    </w:p>
    <w:tbl>
      <w:tblPr>
        <w:tblStyle w:val="762"/>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p>
      <w:pPr>
        <w:ind w:firstLine="56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highlight w:val="none"/>
          <w:lang w:eastAsia="zh-CN"/>
        </w:rPr>
        <w:t xml:space="preserve">注：</w:t>
      </w:r>
      <w:r>
        <w:rPr>
          <w:rFonts w:cs="仿宋" w:asciiTheme="minorEastAsia" w:hAnsiTheme="minorEastAsia"/>
          <w:color w:val="auto"/>
          <w:sz w:val="24"/>
          <w:szCs w:val="24"/>
          <w:highlight w:val="none"/>
          <w:lang w:eastAsia="zh-CN"/>
        </w:rPr>
        <w:t xml:space="preserve">投标人的投标文件中的内容与招标文件（含招标文件的澄清或者修改的内容）的要求不同时，逐条列在偏离表中，否则将</w:t>
      </w:r>
      <w:r>
        <w:rPr>
          <w:rFonts w:hint="eastAsia" w:cs="仿宋" w:asciiTheme="minorEastAsia" w:hAnsiTheme="minorEastAsia"/>
          <w:color w:val="auto"/>
          <w:sz w:val="24"/>
          <w:szCs w:val="24"/>
          <w:highlight w:val="none"/>
          <w:lang w:eastAsia="zh-CN"/>
        </w:rPr>
        <w:t xml:space="preserve">视为</w:t>
      </w:r>
      <w:r>
        <w:rPr>
          <w:rFonts w:cs="仿宋" w:asciiTheme="minorEastAsia" w:hAnsiTheme="minorEastAsia"/>
          <w:color w:val="auto"/>
          <w:sz w:val="24"/>
          <w:szCs w:val="24"/>
          <w:highlight w:val="none"/>
          <w:lang w:eastAsia="zh-CN"/>
        </w:rPr>
        <w:t xml:space="preserve">投标人接受招标文件的要求。</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日期：   年  月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五、法定代表人授权书</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法定代表人（负责人）：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统一社会信用代码：</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性别：男（女）</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年龄：</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岁</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民族：</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族</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身份证号：</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受托人联系电话：</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兹委托（    ）全权代表我企业（公司）参与（</w:t>
      </w:r>
      <w:r>
        <w:rPr>
          <w:rFonts w:hint="eastAsia" w:cs="仿宋" w:asciiTheme="minorEastAsia" w:hAnsiTheme="minorEastAsia"/>
          <w:color w:val="auto"/>
          <w:sz w:val="24"/>
          <w:szCs w:val="24"/>
          <w:highlight w:val="none"/>
          <w:lang w:eastAsia="zh-CN"/>
        </w:rPr>
        <w:t xml:space="preserve">丰县公安局王沟公安检查站科技信息化设备采购项目</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JSZC-320321-JSCD-G2026-0001 </w:t>
      </w:r>
      <w:r>
        <w:rPr>
          <w:rFonts w:cs="仿宋" w:asciiTheme="minorEastAsia" w:hAnsiTheme="minorEastAsia"/>
          <w:color w:val="auto"/>
          <w:sz w:val="24"/>
          <w:szCs w:val="24"/>
          <w:highlight w:val="none"/>
          <w:lang w:eastAsia="zh-CN"/>
        </w:rPr>
        <w:t xml:space="preserve">）的招、投标活动及签订合同。（         ）以我企业（公司）名义所为的法律行为及签署的文件，我企业（公司）均予以认可。有关法律责任均由我企业（公司）承担。（</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）无转委托权。委托期限自</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日起至</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日止。</w:t>
      </w:r>
      <w:r/>
    </w:p>
    <w:p>
      <w:pPr>
        <w:ind w:firstLine="63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特此授权委托。</w:t>
      </w:r>
      <w:r/>
    </w:p>
    <w:p>
      <w:pPr>
        <w:ind w:firstLine="600"/>
        <w:jc w:val="both"/>
        <w:spacing w:after="0" w:line="479" w:lineRule="atLeast"/>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委托人（公章）：       </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受托人（签字或盖章）：</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法定代表人（签字或盖章）： </w:t>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年    月    日 </w:t>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(受托人身份证复印件附后)</w:t>
      </w:r>
      <w:r/>
    </w:p>
    <w:p>
      <w:pPr>
        <w:ind w:firstLine="4470"/>
        <w:jc w:val="both"/>
        <w:spacing w:after="0"/>
        <w:rPr>
          <w:rFonts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8"/>
          <w:szCs w:val="28"/>
          <w:highlight w:val="none"/>
          <w:lang w:eastAsia="zh-CN"/>
        </w:rPr>
        <w:t xml:space="preserve"> </w:t>
      </w:r>
      <w:r/>
    </w:p>
    <w:p>
      <w:pPr>
        <w:jc w:val="center"/>
        <w:spacing w:before="100" w:after="100" w:line="360" w:lineRule="auto"/>
        <w:rPr>
          <w:rFonts w:cs="黑体"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六、</w:t>
      </w:r>
      <w:r>
        <w:rPr>
          <w:rFonts w:hint="eastAsia" w:cs="黑体" w:asciiTheme="minorEastAsia" w:hAnsiTheme="minorEastAsia"/>
          <w:b/>
          <w:bCs/>
          <w:color w:val="auto"/>
          <w:sz w:val="28"/>
          <w:szCs w:val="28"/>
          <w:highlight w:val="none"/>
          <w:lang w:eastAsia="zh-CN"/>
        </w:rPr>
        <w:t xml:space="preserve">中小企业声明函</w:t>
      </w:r>
      <w:r/>
    </w:p>
    <w:p>
      <w:pPr>
        <w:pStyle w:val="724"/>
        <w:ind w:firstLine="480"/>
        <w:spacing w:line="360" w:lineRule="auto"/>
        <w:rPr>
          <w:rFonts w:asciiTheme="minorEastAsia" w:hAnsiTheme="minorEastAsia" w:eastAsiaTheme="minorEastAsia" w:cstheme="majorEastAsia"/>
          <w:color w:val="auto"/>
          <w:sz w:val="24"/>
          <w:highlight w:val="none"/>
        </w:rPr>
      </w:pPr>
      <w:r>
        <w:rPr>
          <w:rFonts w:asciiTheme="minorEastAsia" w:hAnsiTheme="minorEastAsia" w:eastAsiaTheme="minorEastAsia" w:cstheme="majorEastAsia"/>
          <w:color w:val="auto"/>
          <w:sz w:val="24"/>
          <w:highlight w:val="none"/>
        </w:rPr>
      </w:r>
      <w:r/>
    </w:p>
    <w:p>
      <w:pPr>
        <w:pStyle w:val="724"/>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项目名称：丰县公安局王沟公安检查站科技信息化设备采购项目</w:t>
      </w:r>
      <w:r/>
    </w:p>
    <w:p>
      <w:pPr>
        <w:pStyle w:val="724"/>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JSZC-320321-JSCD-G2026-0001</w:t>
      </w:r>
      <w:r>
        <w:rPr>
          <w:rFonts w:hint="eastAsia" w:asciiTheme="minorEastAsia" w:hAnsiTheme="minorEastAsia" w:eastAsiaTheme="minorEastAsia" w:cstheme="majorEastAsia"/>
          <w:color w:val="auto"/>
          <w:sz w:val="24"/>
          <w:highlight w:val="none"/>
        </w:rPr>
        <w:t xml:space="preserve"> </w:t>
      </w:r>
      <w:r/>
    </w:p>
    <w:p>
      <w:pPr>
        <w:ind w:firstLine="480"/>
        <w:spacing w:line="360" w:lineRule="auto"/>
        <w:rPr>
          <w:rFonts w:asciiTheme="minorEastAsia" w:hAnsiTheme="minorEastAsia" w:cstheme="minorEastAsia"/>
          <w:color w:val="auto"/>
          <w:sz w:val="24"/>
          <w:highlight w:val="none"/>
          <w:lang w:eastAsia="zh-CN"/>
        </w:rPr>
      </w:pPr>
      <w:r>
        <w:rPr>
          <w:rFonts w:asciiTheme="minorEastAsia" w:hAnsiTheme="minorEastAsia" w:cstheme="minorEastAsia"/>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本公司（联合体）郑重声明，根据《政府采购促进中小企业发展管理办法》（财库（2020）46号）的规定，本公司参加</w:t>
      </w:r>
      <w:r>
        <w:rPr>
          <w:rFonts w:hint="eastAsia" w:asciiTheme="minorEastAsia" w:hAnsiTheme="minorEastAsia" w:cstheme="minorEastAsia"/>
          <w:color w:val="auto"/>
          <w:sz w:val="24"/>
          <w:highlight w:val="none"/>
          <w:u w:val="single"/>
          <w:lang w:eastAsia="zh-CN"/>
        </w:rPr>
        <w:t xml:space="preserve">（采购单位名称）</w:t>
      </w:r>
      <w:r>
        <w:rPr>
          <w:rFonts w:hint="eastAsia" w:asciiTheme="minorEastAsia" w:hAnsiTheme="minorEastAsia" w:cstheme="minorEastAsia"/>
          <w:color w:val="auto"/>
          <w:sz w:val="24"/>
          <w:highlight w:val="none"/>
          <w:lang w:eastAsia="zh-CN"/>
        </w:rPr>
        <w:t xml:space="preserve">的</w:t>
      </w:r>
      <w:r>
        <w:rPr>
          <w:rFonts w:hint="eastAsia" w:asciiTheme="minorEastAsia" w:hAnsiTheme="minorEastAsia" w:cstheme="minorEastAsia"/>
          <w:color w:val="auto"/>
          <w:sz w:val="24"/>
          <w:highlight w:val="none"/>
          <w:u w:val="single"/>
          <w:lang w:eastAsia="zh-CN"/>
        </w:rPr>
        <w:t xml:space="preserve">（项目名称）</w:t>
      </w:r>
      <w:r>
        <w:rPr>
          <w:rFonts w:hint="eastAsia" w:asciiTheme="minorEastAsia" w:hAnsiTheme="minorEastAsia" w:cstheme="minorEastAsia"/>
          <w:color w:val="auto"/>
          <w:sz w:val="24"/>
          <w:highlight w:val="none"/>
          <w:lang w:eastAsia="zh-CN"/>
        </w:rPr>
        <w:t xml:space="preserve">采购活动，提供的货物全部由符合政策要求的中小企业制造。</w:t>
      </w:r>
      <w:r>
        <w:rPr>
          <w:rFonts w:hint="eastAsia" w:cs="宋体" w:asciiTheme="minorEastAsia" w:hAnsiTheme="minorEastAsia"/>
          <w:color w:val="auto"/>
          <w:sz w:val="24"/>
          <w:szCs w:val="24"/>
          <w:highlight w:val="none"/>
          <w:lang w:eastAsia="zh-CN"/>
        </w:rPr>
        <w:t xml:space="preserve">相关企业的具体情况如下</w:t>
      </w: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cs="宋体" w:asciiTheme="minorEastAsia" w:hAnsiTheme="minorEastAsia"/>
          <w:b/>
          <w:bCs/>
          <w:color w:val="auto"/>
          <w:sz w:val="24"/>
          <w:highlight w:val="none"/>
          <w:lang w:eastAsia="zh-CN"/>
        </w:rPr>
      </w:pPr>
      <w:r>
        <w:rPr>
          <w:rFonts w:hint="eastAsia" w:asciiTheme="minorEastAsia" w:hAnsiTheme="minorEastAsia" w:cstheme="minorEastAsia"/>
          <w:color w:val="auto"/>
          <w:sz w:val="24"/>
          <w:highlight w:val="none"/>
          <w:lang w:eastAsia="zh-CN"/>
        </w:rPr>
        <w:t xml:space="preserve">1.</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color w:val="auto"/>
          <w:highlight w:val="none"/>
          <w:lang w:eastAsia="zh-CN"/>
        </w:rPr>
      </w:pPr>
      <w:r>
        <w:rPr>
          <w:rFonts w:hint="eastAsia" w:asciiTheme="minorEastAsia" w:hAnsiTheme="minorEastAsia" w:cstheme="minorEastAsia"/>
          <w:color w:val="auto"/>
          <w:sz w:val="24"/>
          <w:highlight w:val="none"/>
          <w:lang w:eastAsia="zh-CN"/>
        </w:rPr>
        <w:t xml:space="preserve">2.</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eastAsia="zh-CN"/>
        </w:rPr>
      </w:pPr>
      <w:r>
        <w:rPr>
          <w:rFonts w:hint="eastAsia" w:asciiTheme="minorEastAsia" w:hAnsiTheme="minorEastAsia" w:cstheme="minorEastAsia"/>
          <w:color w:val="auto"/>
          <w:sz w:val="24"/>
          <w:highlight w:val="none"/>
          <w:lang w:eastAsia="zh-CN"/>
        </w:rPr>
        <w:t xml:space="preserve">本企业对上述声明内容的真实性负责。如有虚假，将依法承担相应责任。</w:t>
      </w:r>
      <w:r/>
    </w:p>
    <w:p>
      <w:pPr>
        <w:ind w:firstLine="2640"/>
        <w:jc w:val="right"/>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  企业名称：</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2880"/>
        <w:jc w:val="center"/>
        <w:spacing w:line="360" w:lineRule="auto"/>
        <w:rPr>
          <w:rFonts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eastAsia="zh-CN"/>
        </w:rPr>
        <w:t xml:space="preserve">              日期：   年  月  日</w:t>
      </w:r>
      <w:r/>
    </w:p>
    <w:p>
      <w:pPr>
        <w:pStyle w:val="723"/>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9"/>
        <w:ind w:left="0" w:firstLine="440"/>
        <w:spacing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1、从业人员、营业收入、资产总额填报上一年度数据，无上一年度数据的新成立企业可不填报。</w:t>
      </w:r>
      <w:r/>
    </w:p>
    <w:p>
      <w:pPr>
        <w:pStyle w:val="1015"/>
        <w:ind w:firstLine="440"/>
        <w:spacing w:before="0" w:beforeAutospacing="0" w:after="0" w:afterAutospacing="0" w:line="360" w:lineRule="auto"/>
        <w:rPr>
          <w:rFonts w:cs="宋体"/>
          <w:color w:val="auto"/>
          <w:spacing w:val="6"/>
          <w:highlight w:val="none"/>
        </w:rPr>
      </w:pPr>
      <w:r>
        <w:rPr>
          <w:rFonts w:hint="eastAsia" w:cs="宋体"/>
          <w:color w:val="auto"/>
          <w:sz w:val="22"/>
          <w:szCs w:val="22"/>
          <w:highlight w:val="none"/>
        </w:rPr>
        <w:t xml:space="preserve">2.</w:t>
      </w:r>
      <w:r>
        <w:rPr>
          <w:rFonts w:hint="eastAsia" w:cs="宋体"/>
          <w:color w:val="auto"/>
          <w:spacing w:val="6"/>
          <w:highlight w:val="none"/>
        </w:rPr>
        <w:t xml:space="preserve">《中小企业声明函》查询渠道用微信搜索“中小企业规模类型自测小程序”</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pStyle w:val="1015"/>
        <w:ind w:firstLine="253"/>
        <w:spacing w:before="0" w:beforeAutospacing="0" w:after="0" w:afterAutospacing="0" w:line="360" w:lineRule="auto"/>
        <w:rPr>
          <w:rFonts w:cs="宋体"/>
          <w:b/>
          <w:bCs/>
          <w:color w:val="auto"/>
          <w:spacing w:val="6"/>
          <w:highlight w:val="none"/>
        </w:rPr>
      </w:pPr>
      <w:r>
        <w:rPr>
          <w:rFonts w:cs="宋体"/>
          <w:b/>
          <w:bCs/>
          <w:color w:val="auto"/>
          <w:spacing w:val="6"/>
          <w:highlight w:val="none"/>
        </w:rPr>
      </w:r>
      <w:r/>
    </w:p>
    <w:p>
      <w:pPr>
        <w:jc w:val="center"/>
        <w:spacing w:line="360" w:lineRule="auto"/>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jc w:val="center"/>
        <w:spacing w:before="210" w:after="21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7" o:title=""/>
              </v:shape>
            </w:pict>
          </mc:Fallback>
        </mc:AlternateContent>
      </w:r>
      <w:r/>
    </w:p>
    <w:p>
      <w:pPr>
        <w:ind w:left="798"/>
        <w:spacing w:before="210" w:after="21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pStyle w:val="738"/>
        <w:rPr>
          <w:color w:val="auto"/>
          <w:highlight w:val="none"/>
          <w:lang w:eastAsia="zh-CN"/>
        </w:rPr>
      </w:pPr>
      <w:r>
        <w:rPr>
          <w:color w:val="auto"/>
          <w:highlight w:val="none"/>
          <w:lang w:eastAsia="zh-CN"/>
        </w:rPr>
      </w:r>
      <w:r/>
    </w:p>
    <w:p>
      <w:pPr>
        <w:spacing w:line="360" w:lineRule="auto"/>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 xml:space="preserve"> </w:t>
      </w:r>
      <w:r/>
    </w:p>
    <w:p>
      <w:pPr>
        <w:pStyle w:val="738"/>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pStyle w:val="738"/>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color w:val="auto"/>
          <w:highlight w:val="none"/>
          <w:lang w:eastAsia="zh-CN"/>
        </w:rPr>
      </w:pPr>
      <w:r>
        <w:rPr>
          <w:color w:val="auto"/>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七、</w:t>
      </w:r>
      <w:r>
        <w:rPr>
          <w:rFonts w:hint="eastAsia" w:asciiTheme="minorEastAsia" w:hAnsiTheme="minorEastAsia" w:cstheme="minorEastAsia"/>
          <w:b/>
          <w:bCs/>
          <w:color w:val="auto"/>
          <w:sz w:val="28"/>
          <w:szCs w:val="28"/>
          <w:highlight w:val="none"/>
          <w:lang w:eastAsia="zh-CN"/>
        </w:rPr>
        <w:t xml:space="preserve">残疾人福利性单位声明函</w:t>
      </w:r>
      <w:r/>
    </w:p>
    <w:p>
      <w:pPr>
        <w:ind w:firstLine="504"/>
        <w:jc w:val="center"/>
        <w:spacing w:line="360" w:lineRule="auto"/>
        <w:rPr>
          <w:rFonts w:asciiTheme="minorEastAsia" w:hAnsiTheme="minorEastAsia" w:cstheme="minorEastAsia"/>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（如供应商不属于残疾人福利性单位不需要提供此声明函）</w:t>
      </w:r>
      <w:r/>
    </w:p>
    <w:p>
      <w:pPr>
        <w:pStyle w:val="724"/>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项目名称：丰县公安局王沟公安检查站科技信息化设备采购项目</w:t>
      </w:r>
      <w:r/>
    </w:p>
    <w:p>
      <w:pPr>
        <w:pStyle w:val="724"/>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JSZC-320321-JSCD-G2026-0001</w:t>
      </w:r>
      <w:r>
        <w:rPr>
          <w:rFonts w:hint="eastAsia" w:asciiTheme="minorEastAsia" w:hAnsiTheme="minorEastAsia" w:eastAsiaTheme="minorEastAsia" w:cstheme="majorEastAsia"/>
          <w:color w:val="auto"/>
          <w:sz w:val="24"/>
          <w:highlight w:val="none"/>
        </w:rPr>
        <w:t xml:space="preserve"> </w:t>
      </w:r>
      <w:r/>
    </w:p>
    <w:p>
      <w:pPr>
        <w:ind w:firstLine="504"/>
        <w:spacing w:line="360" w:lineRule="auto"/>
        <w:rPr>
          <w:rFonts w:asciiTheme="minorEastAsia" w:hAnsiTheme="minorEastAsia" w:cstheme="minorEastAsia"/>
          <w:color w:val="auto"/>
          <w:spacing w:val="6"/>
          <w:sz w:val="24"/>
          <w:highlight w:val="none"/>
          <w:lang w:eastAsia="zh-CN"/>
        </w:rPr>
      </w:pPr>
      <w:r>
        <w:rPr>
          <w:rFonts w:asciiTheme="minorEastAsia" w:hAnsiTheme="minorEastAsia" w:cstheme="minorEastAsia"/>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highlight w:val="none"/>
          <w:lang w:eastAsia="zh-CN"/>
        </w:rPr>
        <w:t xml:space="preserve">〔2017〕141</w:t>
      </w:r>
      <w:r>
        <w:rPr>
          <w:rFonts w:hint="eastAsia" w:asciiTheme="minorEastAsia" w:hAnsiTheme="minorEastAsia" w:cstheme="minorEastAsia"/>
          <w:color w:val="auto"/>
          <w:spacing w:val="6"/>
          <w:sz w:val="24"/>
          <w:highlight w:val="none"/>
          <w:lang w:eastAsia="zh-CN"/>
        </w:rPr>
        <w:t xml:space="preserve">号）的规定，本单位为符合条件的残疾人福利性单位，且本单位参加</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单位的</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本单位对上述声明的真实性负责。如有虚假，将依法承担相应责任。</w:t>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投标人：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日期：   年  月  日</w:t>
      </w:r>
      <w:r/>
    </w:p>
    <w:p>
      <w:pPr>
        <w:ind w:firstLine="360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说明：</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我单位在参加</w:t>
      </w:r>
      <w:r>
        <w:rPr>
          <w:rFonts w:hint="eastAsia" w:asciiTheme="minorEastAsia" w:hAnsiTheme="minorEastAsia" w:cstheme="minorEastAsia"/>
          <w:color w:val="auto"/>
          <w:sz w:val="24"/>
          <w:szCs w:val="24"/>
          <w:highlight w:val="none"/>
          <w:lang w:eastAsia="zh-CN"/>
        </w:rPr>
        <w:t xml:space="preserve">丰县公安局王沟公安检查站科技信息化设备采购项目</w:t>
      </w:r>
      <w:r>
        <w:rPr>
          <w:rFonts w:asciiTheme="minorEastAsia" w:hAnsiTheme="minorEastAsia" w:cstheme="minorEastAsia"/>
          <w:color w:val="auto"/>
          <w:sz w:val="24"/>
          <w:szCs w:val="24"/>
          <w:highlight w:val="none"/>
          <w:lang w:eastAsia="zh-CN"/>
        </w:rPr>
        <w:t xml:space="preserve">（项目编号：</w:t>
      </w:r>
      <w:r>
        <w:rPr>
          <w:rFonts w:hint="eastAsia" w:asciiTheme="minorEastAsia" w:hAnsiTheme="minorEastAsia" w:cstheme="minorEastAsia"/>
          <w:color w:val="auto"/>
          <w:sz w:val="24"/>
          <w:szCs w:val="24"/>
          <w:highlight w:val="none"/>
          <w:lang w:eastAsia="zh-CN"/>
        </w:rPr>
        <w:t xml:space="preserve">JSZC-320321-JSCD-G2026-0001 </w:t>
      </w:r>
      <w:r>
        <w:rPr>
          <w:rFonts w:asciiTheme="minorEastAsia" w:hAnsiTheme="minorEastAsia" w:cstheme="minorEastAsia"/>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投标人：</w:t>
      </w:r>
      <w:r>
        <w:rPr>
          <w:rFonts w:asciiTheme="minorEastAsia" w:hAnsiTheme="minorEastAsia" w:cstheme="minorEastAsia"/>
          <w:color w:val="auto"/>
          <w:sz w:val="24"/>
          <w:szCs w:val="24"/>
          <w:highlight w:val="none"/>
          <w:u w:val="single"/>
          <w:lang w:eastAsia="zh-CN"/>
        </w:rPr>
        <w:t xml:space="preserve">       </w:t>
      </w:r>
      <w:r>
        <w:rPr>
          <w:rFonts w:asciiTheme="minorEastAsia" w:hAnsiTheme="minorEastAsia" w:cstheme="minorEastAsia"/>
          <w:color w:val="auto"/>
          <w:sz w:val="24"/>
          <w:szCs w:val="24"/>
          <w:highlight w:val="none"/>
          <w:lang w:eastAsia="zh-CN"/>
        </w:rPr>
        <w:t xml:space="preserve">（电子签章）</w:t>
      </w:r>
      <w:r/>
    </w:p>
    <w:p>
      <w:pPr>
        <w:ind w:firstLine="600"/>
        <w:jc w:val="right"/>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日期：</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年</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月</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line="360" w:lineRule="auto"/>
        <w:rPr>
          <w:rFonts w:asciiTheme="minorEastAsia" w:hAnsiTheme="minorEastAsia" w:cstheme="majorEastAsia"/>
          <w:color w:val="auto"/>
          <w:sz w:val="28"/>
          <w:szCs w:val="28"/>
          <w:highlight w:val="none"/>
          <w:lang w:eastAsia="zh-CN"/>
        </w:rPr>
      </w:pPr>
      <w:r>
        <w:rPr>
          <w:rFonts w:asciiTheme="minorEastAsia" w:hAnsiTheme="minorEastAsia" w:cstheme="majorEastAsia"/>
          <w:b/>
          <w:color w:val="auto"/>
          <w:sz w:val="36"/>
          <w:highlight w:val="none"/>
          <w:lang w:eastAsia="zh-CN"/>
        </w:rPr>
        <w:br w:type="page" w:clear="all"/>
      </w:r>
      <w:r/>
    </w:p>
    <w:p>
      <w:pPr>
        <w:jc w:val="center"/>
        <w:rPr>
          <w:rFonts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项目名称：丰县公安局王沟公安检查站科技信息化设备采购项目</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项目编号：JSZC-320321-JSCD-G2026-0001 </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投标人郑重声明：投标人具备履行合同（项目名称：</w:t>
      </w:r>
      <w:r>
        <w:rPr>
          <w:rFonts w:hint="eastAsia" w:ascii="宋体" w:hAnsi="宋体" w:eastAsia="宋体" w:cs="宋体"/>
          <w:color w:val="auto"/>
          <w:sz w:val="24"/>
          <w:szCs w:val="24"/>
          <w:highlight w:val="none"/>
          <w:u w:val="single"/>
          <w:lang w:eastAsia="zh-CN"/>
        </w:rPr>
        <w:t xml:space="preserve">丰县公安局王沟公安检查站科技信息化设备采购项目</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JSZC-320321-JSCD-G2026-0001  </w:t>
      </w:r>
      <w:r>
        <w:rPr>
          <w:rFonts w:hint="eastAsia" w:ascii="宋体" w:hAnsi="宋体" w:eastAsia="宋体" w:cs="宋体"/>
          <w:color w:val="auto"/>
          <w:sz w:val="24"/>
          <w:szCs w:val="24"/>
          <w:highlight w:val="none"/>
          <w:lang w:eastAsia="zh-CN"/>
        </w:rPr>
        <w:t xml:space="preserve">）所必需的设备和专业技术能力，具体为：</w:t>
      </w:r>
      <w:r/>
    </w:p>
    <w:p>
      <w:pPr>
        <w:pStyle w:val="723"/>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3"/>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3"/>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3"/>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3"/>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23"/>
        <w:ind w:firstLine="480"/>
        <w:jc w:val="center"/>
        <w:rPr>
          <w:b/>
          <w:bCs/>
          <w:color w:val="auto"/>
          <w:highlight w:val="none"/>
        </w:rPr>
      </w:pPr>
      <w:r>
        <w:rPr>
          <w:rFonts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rPr>
        <w:t xml:space="preserve">如有</w:t>
      </w:r>
      <w:r>
        <w:rPr>
          <w:rFonts w:asciiTheme="minorEastAsia" w:hAnsiTheme="minorEastAsia" w:eastAsiaTheme="minorEastAsia"/>
          <w:b/>
          <w:bCs/>
          <w:color w:val="auto"/>
          <w:highlight w:val="none"/>
        </w:rPr>
        <w:t xml:space="preserve">证明材料附</w:t>
      </w:r>
      <w:r>
        <w:rPr>
          <w:rFonts w:hint="eastAsia" w:asciiTheme="minorEastAsia" w:hAnsiTheme="minorEastAsia" w:eastAsiaTheme="minorEastAsia"/>
          <w:b/>
          <w:bCs/>
          <w:color w:val="auto"/>
          <w:highlight w:val="none"/>
        </w:rPr>
        <w:t xml:space="preserve">电子扫描件，加盖电子签章</w:t>
      </w:r>
      <w:r>
        <w:rPr>
          <w:rFonts w:asciiTheme="minorEastAsia" w:hAnsiTheme="minorEastAsia" w:eastAsiaTheme="minorEastAsia"/>
          <w:b/>
          <w:bCs/>
          <w:color w:val="auto"/>
          <w:highlight w:val="none"/>
        </w:rPr>
        <w:t xml:space="preserve">）格式（投标人可自行拟定）</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特此声明。</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jc w:val="center"/>
        <w:rPr>
          <w:rFonts w:asciiTheme="minorEastAsia" w:hAnsiTheme="minorEastAsia" w:cstheme="majorEastAsia"/>
          <w:color w:val="auto"/>
          <w:sz w:val="28"/>
          <w:szCs w:val="28"/>
          <w:highlight w:val="none"/>
          <w:lang w:eastAsia="zh-CN"/>
        </w:rPr>
      </w:pPr>
      <w:r>
        <w:rPr>
          <w:rFonts w:hint="eastAsia" w:ascii="宋体" w:hAnsi="宋体" w:eastAsia="宋体" w:cs="宋体"/>
          <w:color w:val="auto"/>
          <w:sz w:val="24"/>
          <w:szCs w:val="24"/>
          <w:highlight w:val="none"/>
          <w:lang w:eastAsia="zh-CN"/>
        </w:rPr>
        <w:t xml:space="preserve">                            日期：   年  月  日</w:t>
      </w:r>
      <w:r>
        <w:rPr>
          <w:rFonts w:hint="eastAsia" w:asciiTheme="minorEastAsia" w:hAnsiTheme="minorEastAsia" w:cstheme="majorEastAsia"/>
          <w:color w:val="auto"/>
          <w:sz w:val="28"/>
          <w:szCs w:val="28"/>
          <w:highlight w:val="none"/>
          <w:lang w:eastAsia="zh-CN"/>
        </w:rPr>
        <w:br w:type="page" w:clear="all"/>
      </w:r>
      <w:r/>
    </w:p>
    <w:p>
      <w:pPr>
        <w:jc w:val="center"/>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jc w:val="center"/>
        <w:rPr>
          <w:rFonts w:ascii="宋体" w:hAnsi="宋体" w:cs="宋体"/>
          <w:b/>
          <w:bCs/>
          <w:color w:val="auto"/>
          <w:sz w:val="32"/>
          <w:szCs w:val="32"/>
          <w:highlight w:val="none"/>
          <w:lang w:eastAsia="zh-CN"/>
        </w:rPr>
      </w:pPr>
      <w:r>
        <w:rPr>
          <w:rFonts w:hint="eastAsia" w:ascii="宋体" w:hAnsi="宋体" w:eastAsia="宋体" w:cs="宋体"/>
          <w:b/>
          <w:bCs/>
          <w:color w:val="auto"/>
          <w:sz w:val="28"/>
          <w:szCs w:val="28"/>
          <w:highlight w:val="none"/>
          <w:lang w:eastAsia="zh-CN"/>
        </w:rPr>
        <w:t xml:space="preserve">十、</w:t>
      </w:r>
      <w:r>
        <w:rPr>
          <w:rFonts w:hint="eastAsia" w:cs="宋体" w:asciiTheme="minorEastAsia" w:hAnsiTheme="minorEastAsia"/>
          <w:b/>
          <w:bCs/>
          <w:color w:val="auto"/>
          <w:sz w:val="28"/>
          <w:szCs w:val="28"/>
          <w:highlight w:val="none"/>
          <w:lang w:eastAsia="zh-CN"/>
        </w:rPr>
        <w:t xml:space="preserve">投标人承诺书（含售后服务承诺）</w:t>
      </w:r>
      <w:r/>
    </w:p>
    <w:p>
      <w:pPr>
        <w:jc w:val="center"/>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丰县公安局王沟公安检查站科技信息化设备采购项目</w:t>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JSZC-320321-JSCD-G2026-0001 </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如我单位中标，将履行以下承诺(</w:t>
      </w:r>
      <w:r>
        <w:rPr>
          <w:rFonts w:hint="eastAsia" w:cs="宋体" w:asciiTheme="minorEastAsia" w:hAnsiTheme="minorEastAsia"/>
          <w:b/>
          <w:color w:val="auto"/>
          <w:sz w:val="24"/>
          <w:highlight w:val="none"/>
          <w:lang w:eastAsia="zh-CN"/>
        </w:rPr>
        <w:t xml:space="preserve">包含但不限于以下承诺</w:t>
      </w:r>
      <w:r>
        <w:rPr>
          <w:rFonts w:hint="eastAsia" w:cs="宋体" w:asciiTheme="minorEastAsia" w:hAnsiTheme="minorEastAsia"/>
          <w:color w:val="auto"/>
          <w:sz w:val="24"/>
          <w:highlight w:val="none"/>
          <w:lang w:eastAsia="zh-CN"/>
        </w:rPr>
        <w:t xml:space="preserve">)：</w:t>
      </w:r>
      <w:r/>
    </w:p>
    <w:p>
      <w:pPr>
        <w:ind w:firstLine="480"/>
        <w:spacing w:before="150" w:after="15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一、将遵循公开、公正和诚实信用的原则自愿参加</w:t>
      </w:r>
      <w:r>
        <w:rPr>
          <w:rFonts w:hint="eastAsia" w:ascii="宋体" w:hAnsi="宋体" w:eastAsia="宋体" w:cs="宋体"/>
          <w:color w:val="auto"/>
          <w:sz w:val="24"/>
          <w:szCs w:val="24"/>
          <w:highlight w:val="none"/>
          <w:u w:val="single"/>
          <w:lang w:eastAsia="zh-CN"/>
        </w:rPr>
        <w:t xml:space="preserve">丰县公安局王沟公安检查站科技信息化设备采购项目</w:t>
      </w:r>
      <w:r>
        <w:rPr>
          <w:rFonts w:hint="eastAsia" w:cs="宋体" w:asciiTheme="minorEastAsia" w:hAnsiTheme="minorEastAsia"/>
          <w:color w:val="auto"/>
          <w:sz w:val="24"/>
          <w:highlight w:val="none"/>
          <w:lang w:eastAsia="zh-CN"/>
        </w:rPr>
        <w:t xml:space="preserve">的投标；</w:t>
      </w:r>
      <w:r/>
    </w:p>
    <w:p>
      <w:pPr>
        <w:pStyle w:val="718"/>
        <w:ind w:firstLine="480"/>
        <w:spacing w:before="156" w:after="156" w:line="360" w:lineRule="auto"/>
        <w:tabs>
          <w:tab w:val="left" w:pos="422" w:leader="none"/>
        </w:tabs>
        <w:rPr>
          <w:rFonts w:ascii="宋体" w:hAnsi="宋体" w:cs="宋体"/>
          <w:bCs/>
          <w:color w:val="auto"/>
          <w:sz w:val="24"/>
          <w:szCs w:val="24"/>
          <w:highlight w:val="none"/>
          <w:lang w:eastAsia="zh-CN"/>
        </w:rPr>
      </w:pPr>
      <w:r>
        <w:rPr>
          <w:rFonts w:hint="eastAsia" w:cs="宋体" w:asciiTheme="minorEastAsia" w:hAnsiTheme="minorEastAsia"/>
          <w:bCs/>
          <w:color w:val="auto"/>
          <w:sz w:val="24"/>
          <w:szCs w:val="24"/>
          <w:highlight w:val="none"/>
          <w:lang w:eastAsia="zh-CN"/>
        </w:rPr>
        <w:t xml:space="preserve">二、所提供的一切材料都是真实、合法、有效的；</w:t>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三、……</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ind w:firstLine="584"/>
        <w:spacing w:line="588" w:lineRule="exact"/>
        <w:rPr>
          <w:rFonts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 xml:space="preserve">                                        日期：   年  月  日</w:t>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both"/>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eastAsia="zh-CN"/>
        </w:rPr>
        <w:t xml:space="preserve">十一、供应商基本情况表</w:t>
      </w:r>
      <w:r/>
    </w:p>
    <w:tbl>
      <w:tblPr>
        <w:tblStyle w:val="712"/>
        <w:tblW w:w="99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45"/>
        <w:gridCol w:w="1484"/>
        <w:gridCol w:w="824"/>
        <w:gridCol w:w="1332"/>
        <w:gridCol w:w="1254"/>
        <w:gridCol w:w="569"/>
        <w:gridCol w:w="1000"/>
        <w:gridCol w:w="1154"/>
      </w:tblGrid>
      <w:tr>
        <w:trPr>
          <w:jc w:val="center"/>
          <w:trHeight w:val="561"/>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供应商名称</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注册地址</w:t>
            </w:r>
            <w:r/>
          </w:p>
        </w:tc>
        <w:tc>
          <w:tcPr>
            <w:gridSpan w:val="3"/>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邮政编码</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345" w:type="dxa"/>
            <w:vAlign w:val="center"/>
            <w:vMerge w:val="restart"/>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联系方式</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联系人</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345" w:type="dxa"/>
            <w:vAlign w:val="center"/>
            <w:vMerge w:val="continue"/>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传真</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电子信箱</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2"/>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成立时间</w:t>
            </w:r>
            <w:r/>
          </w:p>
        </w:tc>
        <w:tc>
          <w:tcPr>
            <w:gridSpan w:val="2"/>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gridSpan w:val="5"/>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firstLine="110"/>
              <w:jc w:val="center"/>
              <w:spacing w:line="440" w:lineRule="exact"/>
              <w:rPr>
                <w:color w:val="auto"/>
                <w:sz w:val="21"/>
                <w:szCs w:val="21"/>
                <w:highlight w:val="none"/>
              </w:rPr>
            </w:pPr>
            <w:r>
              <w:rPr>
                <w:rFonts w:hint="eastAsia"/>
                <w:color w:val="auto"/>
                <w:sz w:val="21"/>
                <w:szCs w:val="21"/>
                <w:highlight w:val="none"/>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营业执照号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注册资金</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开户银行帐户名称 </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58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账号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1425"/>
        </w:trPr>
        <w:tc>
          <w:tcPr>
            <w:tcBorders>
              <w:top w:val="single" w:color="auto" w:sz="4" w:space="0"/>
              <w:left w:val="single" w:color="auto" w:sz="4" w:space="0"/>
              <w:right w:val="single" w:color="auto" w:sz="4" w:space="0"/>
            </w:tcBorders>
            <w:tcW w:w="2345" w:type="dxa"/>
            <w:vAlign w:val="center"/>
            <w:textDirection w:val="lrTb"/>
            <w:noWrap w:val="false"/>
          </w:tcPr>
          <w:p>
            <w:pPr>
              <w:ind w:firstLine="220"/>
              <w:jc w:val="center"/>
              <w:spacing w:line="440" w:lineRule="exact"/>
              <w:rPr>
                <w:color w:val="auto"/>
                <w:sz w:val="21"/>
                <w:szCs w:val="21"/>
                <w:highlight w:val="none"/>
              </w:rPr>
            </w:pPr>
            <w:r>
              <w:rPr>
                <w:rFonts w:hint="eastAsia"/>
                <w:color w:val="auto"/>
                <w:sz w:val="21"/>
                <w:szCs w:val="21"/>
                <w:highlight w:val="none"/>
              </w:rPr>
              <w:t xml:space="preserve">经营范围</w:t>
            </w:r>
            <w:r/>
          </w:p>
        </w:tc>
        <w:tc>
          <w:tcPr>
            <w:gridSpan w:val="7"/>
            <w:tcBorders>
              <w:top w:val="single" w:color="auto" w:sz="4" w:space="0"/>
              <w:left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p>
            <w:pPr>
              <w:jc w:val="cente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tc>
      </w:tr>
      <w:tr>
        <w:trPr>
          <w:jc w:val="center"/>
          <w:trHeight w:val="92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企业类型</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ind w:firstLine="1440"/>
              <w:spacing w:line="58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大型企业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中型企业 </w:t>
            </w:r>
            <w:r>
              <w:rPr>
                <w:rFonts w:ascii="Wingdings 2" w:hAnsi="Wingdings 2" w:eastAsia="Wingdings 2" w:cs="Wingdings 2"/>
                <w:color w:val="auto"/>
                <w:sz w:val="24"/>
                <w:highlight w:val="none"/>
                <w:lang w:eastAsia="zh-CN"/>
              </w:rPr>
              <w:t xml:space="preserve"></w:t>
            </w:r>
            <w:r/>
          </w:p>
          <w:p>
            <w:pPr>
              <w:ind w:firstLine="1440"/>
              <w:spacing w:line="580" w:lineRule="exact"/>
              <w:rPr>
                <w:color w:val="auto"/>
                <w:sz w:val="21"/>
                <w:szCs w:val="21"/>
                <w:highlight w:val="none"/>
                <w:lang w:eastAsia="zh-CN"/>
              </w:rPr>
            </w:pPr>
            <w:r>
              <w:rPr>
                <w:rFonts w:hint="eastAsia" w:ascii="宋体" w:hAnsi="宋体" w:cs="宋体"/>
                <w:color w:val="auto"/>
                <w:sz w:val="24"/>
                <w:highlight w:val="none"/>
                <w:lang w:eastAsia="zh-CN"/>
              </w:rPr>
              <w:t xml:space="preserve">小型企业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微型企业 </w:t>
            </w:r>
            <w:r>
              <w:rPr>
                <w:rFonts w:ascii="Wingdings 2" w:hAnsi="Wingdings 2" w:eastAsia="Wingdings 2" w:cs="Wingdings 2"/>
                <w:color w:val="auto"/>
                <w:sz w:val="24"/>
                <w:highlight w:val="none"/>
                <w:lang w:eastAsia="zh-CN"/>
              </w:rPr>
              <w:t xml:space="preserve"></w:t>
            </w:r>
            <w:r/>
          </w:p>
        </w:tc>
      </w:tr>
      <w:tr>
        <w:trPr>
          <w:jc w:val="center"/>
          <w:trHeight w:val="61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备注</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spacing w:line="440" w:lineRule="exact"/>
              <w:rPr>
                <w:color w:val="auto"/>
                <w:sz w:val="21"/>
                <w:szCs w:val="21"/>
                <w:highlight w:val="none"/>
                <w:lang w:eastAsia="zh-CN"/>
              </w:rPr>
            </w:pPr>
            <w:r>
              <w:rPr>
                <w:rFonts w:hint="eastAsia"/>
                <w:color w:val="auto"/>
                <w:sz w:val="21"/>
                <w:szCs w:val="21"/>
                <w:highlight w:val="none"/>
                <w:lang w:eastAsia="zh-CN"/>
              </w:rPr>
              <w:t xml:space="preserve">项目名称：</w:t>
            </w:r>
            <w:r/>
          </w:p>
          <w:p>
            <w:pPr>
              <w:spacing w:line="440" w:lineRule="exact"/>
              <w:rPr>
                <w:color w:val="auto"/>
                <w:sz w:val="21"/>
                <w:szCs w:val="21"/>
                <w:highlight w:val="none"/>
                <w:lang w:eastAsia="zh-CN"/>
              </w:rPr>
            </w:pPr>
            <w:r>
              <w:rPr>
                <w:rFonts w:hint="eastAsia"/>
                <w:color w:val="auto"/>
                <w:sz w:val="21"/>
                <w:szCs w:val="21"/>
                <w:highlight w:val="none"/>
                <w:lang w:eastAsia="zh-CN"/>
              </w:rPr>
              <w:t xml:space="preserve">项目编号：</w:t>
            </w:r>
            <w:r/>
          </w:p>
        </w:tc>
      </w:tr>
    </w:tbl>
    <w:p>
      <w:pPr>
        <w:spacing w:after="0" w:line="360" w:lineRule="auto"/>
        <w:rPr>
          <w:rFonts w:asciiTheme="minorEastAsia" w:hAnsiTheme="minorEastAsia" w:cstheme="maj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rFonts w:asciiTheme="minorEastAsia" w:hAnsiTheme="minorEastAsia" w:cstheme="majorEastAsia"/>
          <w:color w:val="auto"/>
          <w:sz w:val="28"/>
          <w:szCs w:val="28"/>
          <w:highlight w:val="none"/>
          <w:lang w:eastAsia="zh-CN"/>
        </w:rPr>
      </w:r>
      <w:r/>
    </w:p>
    <w:p>
      <w:pPr>
        <w:jc w:val="center"/>
        <w:spacing w:line="240" w:lineRule="auto"/>
        <w:rPr>
          <w:rFonts w:hint="eastAsia" w:cs="宋体" w:asciiTheme="minorEastAsia" w:hAnsiTheme="minorEastAsia" w:eastAsia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val="en-US" w:eastAsia="zh-CN"/>
        </w:rPr>
        <w:t xml:space="preserve">十二、</w:t>
      </w:r>
      <w:r>
        <w:rPr>
          <w:rFonts w:hint="eastAsia" w:cs="宋体" w:asciiTheme="minorEastAsia" w:hAnsiTheme="minorEastAsia" w:eastAsiaTheme="minorEastAsia"/>
          <w:b/>
          <w:bCs/>
          <w:color w:val="auto"/>
          <w:sz w:val="28"/>
          <w:szCs w:val="28"/>
          <w:highlight w:val="none"/>
          <w:lang w:eastAsia="zh-CN"/>
        </w:rPr>
        <w:t xml:space="preserve">关于符合本国产品标准的声明函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b/>
          <w:color w:val="auto"/>
          <w:sz w:val="24"/>
          <w:szCs w:val="24"/>
          <w:highlight w:val="none"/>
          <w:u w:val="single"/>
          <w:lang w:eastAsia="zh-CN"/>
        </w:rPr>
        <w:t xml:space="preserve">（ 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w:t>
      </w:r>
      <w:r>
        <w:rPr>
          <w:rFonts w:hint="default" w:ascii="宋体" w:hAnsi="宋体" w:eastAsia="宋体" w:cs="宋体"/>
          <w:b/>
          <w:color w:val="auto"/>
          <w:sz w:val="24"/>
          <w:szCs w:val="24"/>
          <w:highlight w:val="none"/>
          <w:u w:val="single"/>
          <w:lang w:eastAsia="zh-CN"/>
        </w:rPr>
        <w:t xml:space="preserve">（产品名称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eastAsia" w:ascii="Times New Roman" w:hAnsi="Times New Roman" w:eastAsia="宋体" w:cs="Times New Roman"/>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本公司（单位）对上述声明内容的真实性负责。如有虚假，愿承担相应法律责任。</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公司（单位）名称（电子签章）：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日期：  年  月  日</w:t>
      </w:r>
      <w:r/>
    </w:p>
    <w:p>
      <w:pPr>
        <w:ind w:left="0" w:right="0" w:firstLine="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__________________</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注：</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1.产品如有型号，请在“产品名称”栏一并填写。</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2.生产厂名与厂址应与生产厂营业执照载明的相关信息保持一致。</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3.该产品的中国境内生产的组件成本占比相关要求实施前，“规定比例”栏可不填，下同。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4.该产品的关键组件要求实施前，“关键组件”栏可不填，下同。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5.该产品的关键工序要求实施前，“关键工序”栏可不填，下同。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6.《声明函》中标注“</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”的地方无需填写。</w:t>
      </w:r>
      <w:r/>
    </w:p>
    <w:p>
      <w:pPr>
        <w:jc w:val="both"/>
        <w:spacing w:after="0"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spacing w:after="57" w:line="276" w:lineRule="auto"/>
        <w:rPr>
          <w:rFonts w:hint="default" w:asciiTheme="minorHAnsi" w:hAnsiTheme="minorHAnsi" w:eastAsiaTheme="minorEastAsia" w:cstheme="minorBidi"/>
          <w:color w:val="auto"/>
          <w:sz w:val="22"/>
          <w:szCs w:val="22"/>
          <w:highlight w:val="none"/>
          <w:lang w:val="en-US" w:eastAsia="zh-CN" w:bidi="ar-SA"/>
        </w:rPr>
      </w:pPr>
      <w:r>
        <w:rPr>
          <w:rFonts w:hint="default" w:asciiTheme="minorHAnsi" w:hAnsiTheme="minorHAnsi" w:eastAsiaTheme="minorEastAsia" w:cstheme="minorBidi"/>
          <w:color w:val="auto"/>
          <w:sz w:val="22"/>
          <w:szCs w:val="22"/>
          <w:highlight w:val="none"/>
          <w:lang w:val="en-US" w:eastAsia="zh-CN" w:bidi="ar-SA"/>
        </w:rPr>
      </w:r>
      <w:r/>
    </w:p>
    <w:p>
      <w:pPr>
        <w:pStyle w:val="713"/>
        <w:rPr>
          <w:color w:val="auto"/>
          <w:highlight w:val="none"/>
          <w:lang w:eastAsia="zh-CN"/>
        </w:rPr>
      </w:pPr>
      <w:r>
        <w:rPr>
          <w:color w:val="auto"/>
          <w:highlight w:val="none"/>
          <w:lang w:eastAsia="zh-CN"/>
        </w:rPr>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Cambria">
    <w:panose1 w:val="02040503050406030204"/>
  </w:font>
  <w:font w:name="Calibri Light">
    <w:panose1 w:val="020F0302020204030204"/>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87</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90"/>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3"/>
      <w:numFmt w:val="decimalEnclosedParen"/>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TOC Heading"/>
    <w:uiPriority w:val="39"/>
    <w:unhideWhenUsed/>
  </w:style>
  <w:style w:type="paragraph" w:styleId="701" w:default="1">
    <w:name w:val="Normal"/>
    <w:next w:val="713"/>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702">
    <w:name w:val="Heading 1"/>
    <w:basedOn w:val="701"/>
    <w:next w:val="703"/>
    <w:link w:val="849"/>
    <w:uiPriority w:val="9"/>
    <w:qFormat/>
    <w:pPr>
      <w:keepLines/>
      <w:keepNext/>
      <w:spacing w:before="480"/>
      <w:outlineLvl w:val="0"/>
    </w:pPr>
    <w:rPr>
      <w:rFonts w:ascii="Arial" w:hAnsi="Arial" w:eastAsia="Arial" w:cs="Arial"/>
      <w:sz w:val="40"/>
      <w:szCs w:val="40"/>
    </w:rPr>
  </w:style>
  <w:style w:type="paragraph" w:styleId="703">
    <w:name w:val="Heading 2"/>
    <w:basedOn w:val="701"/>
    <w:next w:val="701"/>
    <w:link w:val="850"/>
    <w:uiPriority w:val="9"/>
    <w:unhideWhenUsed/>
    <w:qFormat/>
    <w:pPr>
      <w:keepLines/>
      <w:keepNext/>
      <w:spacing w:before="360"/>
      <w:outlineLvl w:val="1"/>
    </w:pPr>
    <w:rPr>
      <w:rFonts w:ascii="Arial" w:hAnsi="Arial" w:eastAsia="Arial" w:cs="Arial"/>
      <w:sz w:val="34"/>
    </w:rPr>
  </w:style>
  <w:style w:type="paragraph" w:styleId="704">
    <w:name w:val="Heading 3"/>
    <w:basedOn w:val="701"/>
    <w:next w:val="701"/>
    <w:link w:val="851"/>
    <w:uiPriority w:val="9"/>
    <w:unhideWhenUsed/>
    <w:qFormat/>
    <w:pPr>
      <w:keepLines/>
      <w:keepNext/>
      <w:spacing w:before="320"/>
      <w:outlineLvl w:val="2"/>
    </w:pPr>
    <w:rPr>
      <w:rFonts w:ascii="Arial" w:hAnsi="Arial" w:eastAsia="Arial" w:cs="Arial"/>
      <w:sz w:val="30"/>
      <w:szCs w:val="30"/>
    </w:rPr>
  </w:style>
  <w:style w:type="paragraph" w:styleId="705">
    <w:name w:val="Heading 4"/>
    <w:basedOn w:val="701"/>
    <w:next w:val="701"/>
    <w:link w:val="852"/>
    <w:uiPriority w:val="9"/>
    <w:unhideWhenUsed/>
    <w:qFormat/>
    <w:pPr>
      <w:keepLines/>
      <w:keepNext/>
      <w:spacing w:before="320"/>
      <w:outlineLvl w:val="3"/>
    </w:pPr>
    <w:rPr>
      <w:rFonts w:ascii="Arial" w:hAnsi="Arial" w:eastAsia="Arial" w:cs="Arial"/>
      <w:b/>
      <w:bCs/>
      <w:sz w:val="26"/>
      <w:szCs w:val="26"/>
    </w:rPr>
  </w:style>
  <w:style w:type="paragraph" w:styleId="706">
    <w:name w:val="Heading 5"/>
    <w:basedOn w:val="701"/>
    <w:next w:val="701"/>
    <w:link w:val="853"/>
    <w:uiPriority w:val="9"/>
    <w:unhideWhenUsed/>
    <w:qFormat/>
    <w:pPr>
      <w:keepLines/>
      <w:keepNext/>
      <w:spacing w:before="320"/>
      <w:outlineLvl w:val="4"/>
    </w:pPr>
    <w:rPr>
      <w:rFonts w:ascii="Arial" w:hAnsi="Arial" w:eastAsia="Arial" w:cs="Arial"/>
      <w:b/>
      <w:bCs/>
      <w:sz w:val="24"/>
      <w:szCs w:val="24"/>
    </w:rPr>
  </w:style>
  <w:style w:type="paragraph" w:styleId="707">
    <w:name w:val="Heading 6"/>
    <w:basedOn w:val="701"/>
    <w:next w:val="701"/>
    <w:link w:val="854"/>
    <w:uiPriority w:val="9"/>
    <w:unhideWhenUsed/>
    <w:qFormat/>
    <w:pPr>
      <w:keepLines/>
      <w:keepNext/>
      <w:spacing w:before="320"/>
      <w:outlineLvl w:val="5"/>
    </w:pPr>
    <w:rPr>
      <w:rFonts w:ascii="Arial" w:hAnsi="Arial" w:eastAsia="Arial" w:cs="Arial"/>
      <w:b/>
      <w:bCs/>
    </w:rPr>
  </w:style>
  <w:style w:type="paragraph" w:styleId="708">
    <w:name w:val="Heading 7"/>
    <w:basedOn w:val="701"/>
    <w:next w:val="701"/>
    <w:link w:val="855"/>
    <w:uiPriority w:val="9"/>
    <w:unhideWhenUsed/>
    <w:qFormat/>
    <w:pPr>
      <w:keepLines/>
      <w:keepNext/>
      <w:spacing w:before="320"/>
      <w:outlineLvl w:val="6"/>
    </w:pPr>
    <w:rPr>
      <w:rFonts w:ascii="Arial" w:hAnsi="Arial" w:eastAsia="Arial" w:cs="Arial"/>
      <w:b/>
      <w:bCs/>
      <w:i/>
      <w:iCs/>
    </w:rPr>
  </w:style>
  <w:style w:type="paragraph" w:styleId="709">
    <w:name w:val="Heading 8"/>
    <w:basedOn w:val="701"/>
    <w:next w:val="701"/>
    <w:link w:val="856"/>
    <w:uiPriority w:val="9"/>
    <w:unhideWhenUsed/>
    <w:qFormat/>
    <w:pPr>
      <w:keepLines/>
      <w:keepNext/>
      <w:spacing w:before="320"/>
      <w:outlineLvl w:val="7"/>
    </w:pPr>
    <w:rPr>
      <w:rFonts w:ascii="Arial" w:hAnsi="Arial" w:eastAsia="Arial" w:cs="Arial"/>
      <w:i/>
      <w:iCs/>
    </w:rPr>
  </w:style>
  <w:style w:type="paragraph" w:styleId="710">
    <w:name w:val="Heading 9"/>
    <w:basedOn w:val="701"/>
    <w:next w:val="701"/>
    <w:link w:val="857"/>
    <w:uiPriority w:val="9"/>
    <w:unhideWhenUsed/>
    <w:qFormat/>
    <w:pPr>
      <w:keepLines/>
      <w:keepNext/>
      <w:spacing w:before="32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1"/>
    <w:basedOn w:val="701"/>
    <w:next w:val="701"/>
    <w:uiPriority w:val="39"/>
    <w:unhideWhenUsed/>
    <w:qFormat/>
    <w:pPr>
      <w:spacing w:after="57"/>
    </w:pPr>
  </w:style>
  <w:style w:type="paragraph" w:styleId="714">
    <w:name w:val="toc 7"/>
    <w:basedOn w:val="701"/>
    <w:next w:val="701"/>
    <w:uiPriority w:val="39"/>
    <w:unhideWhenUsed/>
    <w:qFormat/>
    <w:pPr>
      <w:ind w:left="1701"/>
      <w:spacing w:after="57"/>
    </w:pPr>
  </w:style>
  <w:style w:type="paragraph" w:styleId="715">
    <w:name w:val="Normal Indent"/>
    <w:basedOn w:val="701"/>
    <w:next w:val="701"/>
    <w:uiPriority w:val="0"/>
    <w:qFormat/>
    <w:pPr>
      <w:ind w:firstLine="420"/>
    </w:pPr>
    <w:rPr>
      <w:sz w:val="24"/>
    </w:rPr>
  </w:style>
  <w:style w:type="paragraph" w:styleId="716">
    <w:name w:val="Caption"/>
    <w:basedOn w:val="701"/>
    <w:next w:val="701"/>
    <w:uiPriority w:val="35"/>
    <w:semiHidden/>
    <w:unhideWhenUsed/>
    <w:qFormat/>
    <w:rPr>
      <w:b/>
      <w:bCs/>
      <w:color w:val="5b9bd5" w:themeColor="accent1"/>
      <w:sz w:val="18"/>
      <w:szCs w:val="18"/>
      <w14:textFill>
        <w14:solidFill>
          <w14:schemeClr w14:val="accent1"/>
        </w14:solidFill>
      </w14:textFill>
    </w:rPr>
  </w:style>
  <w:style w:type="paragraph" w:styleId="717">
    <w:name w:val="index 5"/>
    <w:basedOn w:val="701"/>
    <w:next w:val="701"/>
    <w:uiPriority w:val="0"/>
    <w:qFormat/>
    <w:pPr>
      <w:ind w:left="798"/>
    </w:pPr>
    <w:rPr>
      <w:rFonts w:ascii="Calibri" w:hAnsi="Calibri"/>
    </w:rPr>
  </w:style>
  <w:style w:type="paragraph" w:styleId="718">
    <w:name w:val="annotation text"/>
    <w:basedOn w:val="701"/>
    <w:link w:val="978"/>
    <w:uiPriority w:val="99"/>
    <w:unhideWhenUsed/>
    <w:qFormat/>
  </w:style>
  <w:style w:type="paragraph" w:styleId="719">
    <w:name w:val="Closing"/>
    <w:basedOn w:val="701"/>
    <w:link w:val="984"/>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20">
    <w:name w:val="Body Text"/>
    <w:basedOn w:val="701"/>
    <w:next w:val="721"/>
    <w:link w:val="982"/>
    <w:uiPriority w:val="99"/>
    <w:semiHidden/>
    <w:unhideWhenUsed/>
    <w:qFormat/>
    <w:pPr>
      <w:spacing w:after="120"/>
    </w:pPr>
  </w:style>
  <w:style w:type="paragraph" w:styleId="721" w:customStyle="1">
    <w:name w:val="一级条标题"/>
    <w:basedOn w:val="722"/>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2" w:customStyle="1">
    <w:name w:val="章标题"/>
    <w:basedOn w:val="723"/>
    <w:next w:val="701"/>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723" w:customStyle="1">
    <w:name w:val="正文1"/>
    <w:basedOn w:val="724"/>
    <w:next w:val="732"/>
    <w:uiPriority w:val="0"/>
    <w:qFormat/>
  </w:style>
  <w:style w:type="paragraph" w:styleId="724" w:customStyle="1">
    <w:name w:val="正文111"/>
    <w:next w:val="725"/>
    <w:uiPriority w:val="0"/>
    <w:qFormat/>
    <w:pPr>
      <w:jc w:val="both"/>
      <w:widowControl w:val="off"/>
    </w:pPr>
    <w:rPr>
      <w:rFonts w:ascii="Times New Roman" w:hAnsi="Times New Roman" w:eastAsia="宋体" w:cs="Times New Roman"/>
      <w:sz w:val="21"/>
      <w:szCs w:val="24"/>
      <w:lang w:val="en-US" w:eastAsia="zh-CN" w:bidi="ar-SA"/>
    </w:rPr>
  </w:style>
  <w:style w:type="paragraph" w:styleId="725" w:customStyle="1">
    <w:name w:val="正文首行缩进 211"/>
    <w:basedOn w:val="726"/>
    <w:next w:val="724"/>
    <w:uiPriority w:val="99"/>
    <w:qFormat/>
    <w:pPr>
      <w:ind w:left="0" w:firstLine="420"/>
      <w:spacing w:after="0" w:line="360" w:lineRule="auto"/>
    </w:pPr>
    <w:rPr>
      <w:rFonts w:ascii="宋体" w:hAnsi="宋体"/>
    </w:rPr>
  </w:style>
  <w:style w:type="paragraph" w:styleId="726" w:customStyle="1">
    <w:name w:val="正文文本缩进11"/>
    <w:basedOn w:val="727"/>
    <w:next w:val="729"/>
    <w:uiPriority w:val="0"/>
    <w:qFormat/>
    <w:pPr>
      <w:ind w:left="420"/>
      <w:spacing w:after="120"/>
    </w:pPr>
    <w:rPr>
      <w:rFonts w:ascii="Calibri" w:hAnsi="Calibri"/>
    </w:rPr>
  </w:style>
  <w:style w:type="paragraph" w:styleId="727" w:customStyle="1">
    <w:name w:val="正文112"/>
    <w:next w:val="728"/>
    <w:uiPriority w:val="0"/>
    <w:qFormat/>
    <w:pPr>
      <w:jc w:val="both"/>
      <w:widowControl w:val="off"/>
    </w:pPr>
    <w:rPr>
      <w:rFonts w:ascii="Times New Roman" w:hAnsi="Times New Roman" w:eastAsia="宋体" w:cs="Times New Roman"/>
      <w:sz w:val="21"/>
      <w:szCs w:val="24"/>
      <w:lang w:val="en-US" w:eastAsia="zh-CN" w:bidi="ar-SA"/>
    </w:rPr>
  </w:style>
  <w:style w:type="paragraph" w:styleId="728" w:customStyle="1">
    <w:name w:val="正文文本2"/>
    <w:basedOn w:val="727"/>
    <w:next w:val="727"/>
    <w:uiPriority w:val="0"/>
    <w:qFormat/>
    <w:pPr>
      <w:spacing w:after="120"/>
    </w:pPr>
    <w:rPr>
      <w:rFonts w:ascii="Calibri"/>
    </w:rPr>
  </w:style>
  <w:style w:type="paragraph" w:styleId="729" w:customStyle="1">
    <w:name w:val="寄信人地址1"/>
    <w:basedOn w:val="730"/>
    <w:uiPriority w:val="0"/>
    <w:qFormat/>
    <w:rPr>
      <w:rFonts w:ascii="Arial" w:hAnsi="Arial"/>
      <w:sz w:val="22"/>
      <w:szCs w:val="22"/>
    </w:rPr>
  </w:style>
  <w:style w:type="paragraph" w:styleId="730" w:customStyle="1">
    <w:name w:val="正文11"/>
    <w:next w:val="731"/>
    <w:uiPriority w:val="0"/>
    <w:qFormat/>
    <w:pPr>
      <w:jc w:val="both"/>
      <w:widowControl w:val="off"/>
    </w:pPr>
    <w:rPr>
      <w:rFonts w:ascii="Times New Roman" w:hAnsi="Times New Roman" w:eastAsia="宋体" w:cs="Times New Roman"/>
      <w:sz w:val="21"/>
      <w:szCs w:val="24"/>
      <w:lang w:val="en-US" w:eastAsia="zh-CN" w:bidi="ar-SA"/>
    </w:rPr>
  </w:style>
  <w:style w:type="paragraph" w:styleId="731" w:customStyle="1">
    <w:name w:val="目录 11"/>
    <w:basedOn w:val="730"/>
    <w:next w:val="701"/>
    <w:uiPriority w:val="0"/>
    <w:qFormat/>
    <w:pPr>
      <w:jc w:val="left"/>
      <w:spacing w:after="100" w:line="259" w:lineRule="auto"/>
      <w:widowControl/>
    </w:pPr>
    <w:rPr>
      <w:rFonts w:ascii="Calibri" w:hAnsi="Calibri"/>
      <w:sz w:val="22"/>
      <w:szCs w:val="22"/>
    </w:rPr>
  </w:style>
  <w:style w:type="paragraph" w:styleId="732" w:customStyle="1">
    <w:name w:val="脚注文本1"/>
    <w:basedOn w:val="733"/>
    <w:next w:val="735"/>
    <w:uiPriority w:val="0"/>
    <w:qFormat/>
    <w:pPr>
      <w:jc w:val="left"/>
    </w:pPr>
    <w:rPr>
      <w:rFonts w:ascii="宋体" w:eastAsia="Times New Roman"/>
      <w:sz w:val="18"/>
      <w:szCs w:val="18"/>
    </w:rPr>
  </w:style>
  <w:style w:type="paragraph" w:styleId="733" w:customStyle="1">
    <w:name w:val="正文12"/>
    <w:next w:val="73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34" w:customStyle="1">
    <w:name w:val="正文文本111"/>
    <w:basedOn w:val="733"/>
    <w:next w:val="733"/>
    <w:uiPriority w:val="0"/>
    <w:qFormat/>
  </w:style>
  <w:style w:type="paragraph" w:styleId="735" w:customStyle="1">
    <w:name w:val="索引 51"/>
    <w:basedOn w:val="723"/>
    <w:next w:val="723"/>
    <w:uiPriority w:val="0"/>
    <w:qFormat/>
    <w:pPr>
      <w:ind w:left="798"/>
      <w:jc w:val="left"/>
    </w:pPr>
    <w:rPr>
      <w:rFonts w:ascii="Calibri" w:hAnsi="Calibri"/>
    </w:rPr>
  </w:style>
  <w:style w:type="paragraph" w:styleId="736" w:customStyle="1">
    <w:name w:val="段"/>
    <w:basedOn w:val="723"/>
    <w:next w:val="701"/>
    <w:uiPriority w:val="0"/>
    <w:qFormat/>
    <w:pPr>
      <w:ind w:firstLine="200"/>
      <w:widowControl/>
    </w:pPr>
    <w:rPr>
      <w:rFonts w:ascii="宋体"/>
      <w:sz w:val="20"/>
      <w:szCs w:val="20"/>
    </w:rPr>
  </w:style>
  <w:style w:type="paragraph" w:styleId="737">
    <w:name w:val="Body Text Indent"/>
    <w:basedOn w:val="701"/>
    <w:next w:val="701"/>
    <w:link w:val="980"/>
    <w:uiPriority w:val="99"/>
    <w:unhideWhenUsed/>
    <w:qFormat/>
    <w:pPr>
      <w:ind w:left="420"/>
      <w:spacing w:after="120"/>
    </w:pPr>
  </w:style>
  <w:style w:type="paragraph" w:styleId="738">
    <w:name w:val="Block Text"/>
    <w:basedOn w:val="701"/>
    <w:next w:val="701"/>
    <w:uiPriority w:val="0"/>
    <w:qFormat/>
    <w:pPr>
      <w:ind w:left="256" w:right="6" w:firstLine="624"/>
    </w:pPr>
    <w:rPr>
      <w:rFonts w:ascii="Times New Roman" w:hAnsi="Times New Roman" w:eastAsia="仿宋_GB2312"/>
      <w:sz w:val="28"/>
      <w:szCs w:val="20"/>
    </w:rPr>
  </w:style>
  <w:style w:type="paragraph" w:styleId="739">
    <w:name w:val="index 4"/>
    <w:basedOn w:val="701"/>
    <w:next w:val="701"/>
    <w:uiPriority w:val="0"/>
    <w:qFormat/>
    <w:pPr>
      <w:ind w:left="1260"/>
    </w:pPr>
  </w:style>
  <w:style w:type="paragraph" w:styleId="740">
    <w:name w:val="toc 5"/>
    <w:basedOn w:val="701"/>
    <w:next w:val="701"/>
    <w:uiPriority w:val="39"/>
    <w:unhideWhenUsed/>
    <w:qFormat/>
    <w:pPr>
      <w:ind w:left="1134"/>
      <w:spacing w:after="57"/>
    </w:pPr>
  </w:style>
  <w:style w:type="paragraph" w:styleId="741">
    <w:name w:val="toc 3"/>
    <w:basedOn w:val="701"/>
    <w:next w:val="701"/>
    <w:uiPriority w:val="39"/>
    <w:unhideWhenUsed/>
    <w:qFormat/>
    <w:pPr>
      <w:ind w:left="567"/>
      <w:spacing w:after="57"/>
    </w:pPr>
  </w:style>
  <w:style w:type="paragraph" w:styleId="742">
    <w:name w:val="Plain Text"/>
    <w:basedOn w:val="701"/>
    <w:uiPriority w:val="0"/>
    <w:qFormat/>
    <w:rPr>
      <w:rFonts w:ascii="宋体" w:hAnsi="Courier New"/>
      <w:szCs w:val="21"/>
    </w:rPr>
  </w:style>
  <w:style w:type="paragraph" w:styleId="743">
    <w:name w:val="toc 8"/>
    <w:basedOn w:val="701"/>
    <w:next w:val="701"/>
    <w:uiPriority w:val="39"/>
    <w:unhideWhenUsed/>
    <w:qFormat/>
    <w:pPr>
      <w:ind w:left="1984"/>
      <w:spacing w:after="57"/>
    </w:pPr>
  </w:style>
  <w:style w:type="paragraph" w:styleId="744">
    <w:name w:val="endnote text"/>
    <w:basedOn w:val="701"/>
    <w:link w:val="974"/>
    <w:uiPriority w:val="99"/>
    <w:semiHidden/>
    <w:unhideWhenUsed/>
    <w:qFormat/>
    <w:pPr>
      <w:spacing w:after="0" w:line="240" w:lineRule="auto"/>
    </w:pPr>
    <w:rPr>
      <w:sz w:val="20"/>
    </w:rPr>
  </w:style>
  <w:style w:type="paragraph" w:styleId="745">
    <w:name w:val="Balloon Text"/>
    <w:basedOn w:val="701"/>
    <w:link w:val="986"/>
    <w:uiPriority w:val="99"/>
    <w:semiHidden/>
    <w:unhideWhenUsed/>
    <w:qFormat/>
    <w:pPr>
      <w:spacing w:after="0" w:line="240" w:lineRule="auto"/>
    </w:pPr>
    <w:rPr>
      <w:sz w:val="18"/>
      <w:szCs w:val="18"/>
    </w:rPr>
  </w:style>
  <w:style w:type="paragraph" w:styleId="746">
    <w:name w:val="Footer"/>
    <w:basedOn w:val="701"/>
    <w:link w:val="866"/>
    <w:uiPriority w:val="99"/>
    <w:unhideWhenUsed/>
    <w:qFormat/>
    <w:pPr>
      <w:spacing w:after="0" w:line="240" w:lineRule="auto"/>
      <w:tabs>
        <w:tab w:val="center" w:pos="7143" w:leader="none"/>
        <w:tab w:val="right" w:pos="14287" w:leader="none"/>
      </w:tabs>
    </w:pPr>
  </w:style>
  <w:style w:type="paragraph" w:styleId="747">
    <w:name w:val="envelope return"/>
    <w:basedOn w:val="701"/>
    <w:uiPriority w:val="0"/>
    <w:qFormat/>
    <w:rPr>
      <w:rFonts w:ascii="Arial" w:hAnsi="Arial"/>
    </w:rPr>
  </w:style>
  <w:style w:type="paragraph" w:styleId="748">
    <w:name w:val="Header"/>
    <w:basedOn w:val="701"/>
    <w:link w:val="864"/>
    <w:uiPriority w:val="99"/>
    <w:unhideWhenUsed/>
    <w:qFormat/>
    <w:pPr>
      <w:spacing w:after="0" w:line="240" w:lineRule="auto"/>
      <w:tabs>
        <w:tab w:val="center" w:pos="7143" w:leader="none"/>
        <w:tab w:val="right" w:pos="14287" w:leader="none"/>
      </w:tabs>
    </w:pPr>
  </w:style>
  <w:style w:type="paragraph" w:styleId="749">
    <w:name w:val="toc 4"/>
    <w:basedOn w:val="701"/>
    <w:next w:val="701"/>
    <w:uiPriority w:val="39"/>
    <w:unhideWhenUsed/>
    <w:qFormat/>
    <w:pPr>
      <w:ind w:left="850"/>
      <w:spacing w:after="57"/>
    </w:pPr>
  </w:style>
  <w:style w:type="paragraph" w:styleId="750">
    <w:name w:val="Subtitle"/>
    <w:basedOn w:val="701"/>
    <w:next w:val="701"/>
    <w:link w:val="859"/>
    <w:uiPriority w:val="11"/>
    <w:qFormat/>
    <w:pPr>
      <w:spacing w:before="200"/>
    </w:pPr>
    <w:rPr>
      <w:sz w:val="24"/>
      <w:szCs w:val="24"/>
    </w:rPr>
  </w:style>
  <w:style w:type="paragraph" w:styleId="751">
    <w:name w:val="footnote text"/>
    <w:basedOn w:val="701"/>
    <w:next w:val="717"/>
    <w:link w:val="973"/>
    <w:uiPriority w:val="99"/>
    <w:semiHidden/>
    <w:unhideWhenUsed/>
    <w:qFormat/>
    <w:pPr>
      <w:spacing w:after="40" w:line="240" w:lineRule="auto"/>
    </w:pPr>
    <w:rPr>
      <w:sz w:val="18"/>
    </w:rPr>
  </w:style>
  <w:style w:type="paragraph" w:styleId="752">
    <w:name w:val="toc 6"/>
    <w:basedOn w:val="701"/>
    <w:next w:val="701"/>
    <w:uiPriority w:val="39"/>
    <w:unhideWhenUsed/>
    <w:qFormat/>
    <w:pPr>
      <w:ind w:left="1417"/>
      <w:spacing w:after="57"/>
    </w:pPr>
  </w:style>
  <w:style w:type="paragraph" w:styleId="753">
    <w:name w:val="table of figures"/>
    <w:basedOn w:val="701"/>
    <w:next w:val="701"/>
    <w:uiPriority w:val="99"/>
    <w:unhideWhenUsed/>
    <w:qFormat/>
    <w:pPr>
      <w:spacing w:after="0"/>
    </w:pPr>
  </w:style>
  <w:style w:type="paragraph" w:styleId="754">
    <w:name w:val="toc 2"/>
    <w:basedOn w:val="701"/>
    <w:next w:val="701"/>
    <w:uiPriority w:val="39"/>
    <w:unhideWhenUsed/>
    <w:qFormat/>
    <w:pPr>
      <w:ind w:left="283"/>
      <w:spacing w:after="57"/>
    </w:pPr>
  </w:style>
  <w:style w:type="paragraph" w:styleId="755">
    <w:name w:val="toc 9"/>
    <w:basedOn w:val="701"/>
    <w:next w:val="701"/>
    <w:uiPriority w:val="39"/>
    <w:unhideWhenUsed/>
    <w:qFormat/>
    <w:pPr>
      <w:ind w:left="2268"/>
      <w:spacing w:after="57"/>
    </w:pPr>
  </w:style>
  <w:style w:type="paragraph" w:styleId="756">
    <w:name w:val="Body Text 2"/>
    <w:basedOn w:val="701"/>
    <w:uiPriority w:val="99"/>
    <w:qFormat/>
    <w:pPr>
      <w:jc w:val="center"/>
    </w:pPr>
    <w:rPr>
      <w:rFonts w:ascii="Arial" w:hAnsi="Arial"/>
      <w:sz w:val="16"/>
      <w:szCs w:val="20"/>
      <w:lang w:val="zh-CN"/>
    </w:rPr>
  </w:style>
  <w:style w:type="paragraph" w:styleId="757">
    <w:name w:val="Normal (Web)"/>
    <w:basedOn w:val="701"/>
    <w:uiPriority w:val="99"/>
    <w:unhideWhenUsed/>
    <w:qFormat/>
    <w:rPr>
      <w:sz w:val="24"/>
    </w:rPr>
  </w:style>
  <w:style w:type="paragraph" w:styleId="758">
    <w:name w:val="Title"/>
    <w:basedOn w:val="701"/>
    <w:next w:val="701"/>
    <w:link w:val="858"/>
    <w:uiPriority w:val="10"/>
    <w:qFormat/>
    <w:pPr>
      <w:contextualSpacing/>
      <w:spacing w:before="300"/>
    </w:pPr>
    <w:rPr>
      <w:sz w:val="48"/>
      <w:szCs w:val="48"/>
    </w:rPr>
  </w:style>
  <w:style w:type="paragraph" w:styleId="759">
    <w:name w:val="annotation subject"/>
    <w:basedOn w:val="718"/>
    <w:next w:val="718"/>
    <w:link w:val="979"/>
    <w:uiPriority w:val="99"/>
    <w:semiHidden/>
    <w:unhideWhenUsed/>
    <w:qFormat/>
    <w:rPr>
      <w:b/>
      <w:bCs/>
    </w:rPr>
  </w:style>
  <w:style w:type="paragraph" w:styleId="760">
    <w:name w:val="Body Text First Indent"/>
    <w:basedOn w:val="701"/>
    <w:next w:val="761"/>
    <w:link w:val="983"/>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61">
    <w:name w:val="Body Text First Indent 2"/>
    <w:basedOn w:val="737"/>
    <w:next w:val="701"/>
    <w:link w:val="981"/>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62">
    <w:name w:val="Table Grid"/>
    <w:basedOn w:val="7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endnote reference"/>
    <w:uiPriority w:val="99"/>
    <w:semiHidden/>
    <w:unhideWhenUsed/>
    <w:qFormat/>
    <w:rPr>
      <w:vertAlign w:val="superscript"/>
    </w:rPr>
  </w:style>
  <w:style w:type="character" w:styleId="764">
    <w:name w:val="FollowedHyperlink"/>
    <w:basedOn w:val="711"/>
    <w:uiPriority w:val="99"/>
    <w:semiHidden/>
    <w:unhideWhenUsed/>
    <w:qFormat/>
    <w:rPr>
      <w:color w:val="333333"/>
      <w:u w:val="none"/>
    </w:rPr>
  </w:style>
  <w:style w:type="character" w:styleId="765">
    <w:name w:val="Emphasis"/>
    <w:basedOn w:val="711"/>
    <w:uiPriority w:val="20"/>
    <w:qFormat/>
    <w:rPr>
      <w:i/>
    </w:rPr>
  </w:style>
  <w:style w:type="character" w:styleId="766">
    <w:name w:val="Hyperlink"/>
    <w:basedOn w:val="711"/>
    <w:uiPriority w:val="99"/>
    <w:unhideWhenUsed/>
    <w:qFormat/>
    <w:rPr>
      <w:color w:val="0563c1" w:themeColor="hyperlink"/>
      <w:u w:val="single"/>
      <w14:textFill>
        <w14:solidFill>
          <w14:schemeClr w14:val="hlink"/>
        </w14:solidFill>
      </w14:textFill>
    </w:rPr>
  </w:style>
  <w:style w:type="character" w:styleId="767">
    <w:name w:val="annotation reference"/>
    <w:basedOn w:val="711"/>
    <w:uiPriority w:val="99"/>
    <w:semiHidden/>
    <w:unhideWhenUsed/>
    <w:qFormat/>
    <w:rPr>
      <w:sz w:val="21"/>
      <w:szCs w:val="21"/>
    </w:rPr>
  </w:style>
  <w:style w:type="character" w:styleId="768">
    <w:name w:val="footnote reference"/>
    <w:uiPriority w:val="99"/>
    <w:unhideWhenUsed/>
    <w:qFormat/>
    <w:rPr>
      <w:vertAlign w:val="superscript"/>
    </w:rPr>
  </w:style>
  <w:style w:type="paragraph" w:styleId="769" w:customStyle="1">
    <w:name w:val="标题 211"/>
    <w:basedOn w:val="770"/>
    <w:next w:val="730"/>
    <w:uiPriority w:val="0"/>
    <w:qFormat/>
    <w:pPr>
      <w:keepLines/>
      <w:keepNext/>
      <w:spacing w:before="260" w:after="260" w:line="416" w:lineRule="auto"/>
      <w:outlineLvl w:val="1"/>
    </w:pPr>
    <w:rPr>
      <w:rFonts w:ascii="Calibri Light" w:hAnsi="Calibri Light"/>
      <w:bCs/>
      <w:sz w:val="32"/>
      <w:szCs w:val="32"/>
    </w:rPr>
  </w:style>
  <w:style w:type="paragraph" w:styleId="770" w:customStyle="1">
    <w:name w:val="正文1111"/>
    <w:next w:val="769"/>
    <w:uiPriority w:val="0"/>
    <w:qFormat/>
    <w:pPr>
      <w:jc w:val="both"/>
      <w:widowControl w:val="off"/>
    </w:pPr>
    <w:rPr>
      <w:rFonts w:ascii="Times New Roman" w:hAnsi="Times New Roman" w:eastAsia="宋体" w:cs="Times New Roman"/>
      <w:sz w:val="21"/>
      <w:szCs w:val="24"/>
      <w:lang w:val="en-US" w:eastAsia="zh-CN" w:bidi="ar-SA"/>
    </w:rPr>
  </w:style>
  <w:style w:type="paragraph" w:styleId="771" w:customStyle="1">
    <w:name w:val="标题 21"/>
    <w:basedOn w:val="733"/>
    <w:next w:val="733"/>
    <w:uiPriority w:val="0"/>
    <w:qFormat/>
    <w:pPr>
      <w:keepLines/>
      <w:keepNext/>
      <w:spacing w:before="260" w:after="260" w:line="416" w:lineRule="auto"/>
      <w:outlineLvl w:val="1"/>
    </w:pPr>
    <w:rPr>
      <w:rFonts w:ascii="Cambria" w:hAnsi="Cambria"/>
      <w:b/>
      <w:bCs/>
      <w:sz w:val="32"/>
      <w:szCs w:val="32"/>
    </w:rPr>
  </w:style>
  <w:style w:type="table" w:styleId="772" w:customStyle="1">
    <w:name w:val="Plain Table 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
    <w:uiPriority w:val="39"/>
    <w:unhideWhenUsed/>
    <w:qFormat/>
    <w:rPr>
      <w:rFonts w:ascii="Times New Roman" w:hAnsi="Times New Roman" w:eastAsia="宋体" w:cs="Times New Roman"/>
      <w:lang w:val="en-US" w:eastAsia="zh-CN" w:bidi="ar-SA"/>
    </w:rPr>
  </w:style>
  <w:style w:type="paragraph" w:styleId="792" w:customStyle="1">
    <w:name w:val="正文首行缩进11"/>
    <w:basedOn w:val="793"/>
    <w:next w:val="725"/>
    <w:uiPriority w:val="99"/>
    <w:unhideWhenUsed/>
    <w:qFormat/>
    <w:pPr>
      <w:ind w:firstLine="420"/>
    </w:pPr>
  </w:style>
  <w:style w:type="paragraph" w:styleId="793" w:customStyle="1">
    <w:name w:val="正文文本11"/>
    <w:basedOn w:val="727"/>
    <w:next w:val="730"/>
    <w:uiPriority w:val="0"/>
    <w:qFormat/>
    <w:pPr>
      <w:ind w:firstLine="200"/>
      <w:spacing w:after="120"/>
    </w:pPr>
    <w:rPr>
      <w:rFonts w:ascii="Arial" w:hAnsi="Arial"/>
      <w:sz w:val="20"/>
      <w:szCs w:val="20"/>
    </w:rPr>
  </w:style>
  <w:style w:type="paragraph" w:styleId="794" w:customStyle="1">
    <w:name w:val="正文首行缩进1"/>
    <w:basedOn w:val="720"/>
    <w:next w:val="725"/>
    <w:uiPriority w:val="0"/>
    <w:qFormat/>
    <w:pPr>
      <w:ind w:firstLine="420"/>
    </w:pPr>
    <w:rPr>
      <w:rFonts w:ascii="仿宋_GB2312" w:hAnsi="Times New Roman" w:eastAsia="仿宋_GB2312"/>
      <w:sz w:val="30"/>
      <w:szCs w:val="30"/>
    </w:rPr>
  </w:style>
  <w:style w:type="paragraph" w:styleId="795" w:customStyle="1">
    <w:name w:val="寄信人地址11"/>
    <w:basedOn w:val="701"/>
    <w:uiPriority w:val="0"/>
    <w:qFormat/>
    <w:rPr>
      <w:rFonts w:ascii="Arial" w:hAnsi="Arial"/>
    </w:rPr>
  </w:style>
  <w:style w:type="paragraph" w:styleId="796" w:customStyle="1">
    <w:name w:val="目录 111"/>
    <w:basedOn w:val="724"/>
    <w:next w:val="701"/>
    <w:uiPriority w:val="0"/>
    <w:qFormat/>
    <w:pPr>
      <w:jc w:val="left"/>
      <w:spacing w:after="100" w:line="259" w:lineRule="auto"/>
      <w:widowControl/>
    </w:pPr>
    <w:rPr>
      <w:rFonts w:ascii="Calibri" w:hAnsi="Calibri"/>
      <w:sz w:val="22"/>
      <w:szCs w:val="22"/>
    </w:rPr>
  </w:style>
  <w:style w:type="paragraph" w:styleId="797" w:customStyle="1">
    <w:name w:val="正文文本1"/>
    <w:basedOn w:val="730"/>
    <w:next w:val="798"/>
    <w:uiPriority w:val="0"/>
    <w:qFormat/>
    <w:pPr>
      <w:spacing w:after="120"/>
    </w:pPr>
    <w:rPr>
      <w:rFonts w:ascii="Calibri" w:hAnsi="Calibri"/>
    </w:rPr>
  </w:style>
  <w:style w:type="paragraph" w:styleId="798"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799" w:customStyle="1">
    <w:name w:val="正文文本缩进1"/>
    <w:basedOn w:val="730"/>
    <w:next w:val="729"/>
    <w:uiPriority w:val="0"/>
    <w:qFormat/>
    <w:pPr>
      <w:ind w:left="420"/>
      <w:spacing w:after="120"/>
    </w:pPr>
  </w:style>
  <w:style w:type="paragraph" w:styleId="800" w:customStyle="1">
    <w:name w:val="正文首行缩进 21"/>
    <w:basedOn w:val="799"/>
    <w:next w:val="701"/>
    <w:uiPriority w:val="0"/>
    <w:qFormat/>
    <w:pPr>
      <w:ind w:firstLine="420"/>
    </w:pPr>
  </w:style>
  <w:style w:type="paragraph" w:styleId="801" w:customStyle="1">
    <w:name w:val="文本块11"/>
    <w:basedOn w:val="701"/>
    <w:uiPriority w:val="0"/>
    <w:qFormat/>
    <w:pPr>
      <w:ind w:left="1440" w:right="1440"/>
      <w:spacing w:after="120"/>
    </w:pPr>
  </w:style>
  <w:style w:type="paragraph" w:styleId="802" w:customStyle="1">
    <w:name w:val="索引 41"/>
    <w:basedOn w:val="723"/>
    <w:next w:val="723"/>
    <w:uiPriority w:val="0"/>
    <w:qFormat/>
    <w:pPr>
      <w:ind w:left="600"/>
    </w:pPr>
    <w:rPr>
      <w:rFonts w:ascii="Calibri" w:hAnsi="Calibri"/>
      <w:sz w:val="22"/>
      <w:szCs w:val="22"/>
    </w:rPr>
  </w:style>
  <w:style w:type="table" w:styleId="803"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网格表 6 彩色1"/>
    <w:basedOn w:val="7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网格表 7 彩色1"/>
    <w:basedOn w:val="7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清单表 1 浅色1"/>
    <w:basedOn w:val="7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清单表 21"/>
    <w:basedOn w:val="7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清单表 6 彩色1"/>
    <w:basedOn w:val="7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清单表 7 彩色1"/>
    <w:basedOn w:val="7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2" w:customStyle="1">
    <w:name w:val="TOC 标题112"/>
    <w:uiPriority w:val="39"/>
    <w:unhideWhenUsed/>
    <w:qFormat/>
    <w:rPr>
      <w:rFonts w:ascii="Times New Roman" w:hAnsi="Times New Roman" w:eastAsia="宋体" w:cs="Times New Roman"/>
      <w:lang w:val="en-US" w:eastAsia="zh-CN" w:bidi="ar-SA"/>
    </w:rPr>
  </w:style>
  <w:style w:type="paragraph" w:styleId="823" w:customStyle="1">
    <w:name w:val="正文缩进1"/>
    <w:basedOn w:val="701"/>
    <w:next w:val="701"/>
    <w:uiPriority w:val="0"/>
    <w:qFormat/>
    <w:pPr>
      <w:ind w:firstLine="420"/>
    </w:pPr>
    <w:rPr>
      <w:rFonts w:ascii="Calibri" w:eastAsia="宋体"/>
      <w:sz w:val="20"/>
      <w:szCs w:val="20"/>
    </w:rPr>
  </w:style>
  <w:style w:type="paragraph" w:styleId="824" w:customStyle="1">
    <w:name w:val="文本块1"/>
    <w:basedOn w:val="723"/>
    <w:uiPriority w:val="0"/>
    <w:qFormat/>
    <w:pPr>
      <w:ind w:left="256" w:right="6" w:firstLine="624"/>
    </w:pPr>
    <w:rPr>
      <w:rFonts w:eastAsia="仿宋"/>
      <w:sz w:val="28"/>
      <w:szCs w:val="20"/>
    </w:rPr>
  </w:style>
  <w:style w:type="paragraph" w:styleId="825" w:customStyle="1">
    <w:name w:val="首行缩进"/>
    <w:basedOn w:val="701"/>
    <w:uiPriority w:val="0"/>
    <w:qFormat/>
    <w:pPr>
      <w:ind w:firstLine="200"/>
      <w:spacing w:line="360" w:lineRule="auto"/>
    </w:pPr>
    <w:rPr>
      <w:rFonts w:ascii="宋体"/>
      <w:sz w:val="24"/>
    </w:rPr>
  </w:style>
  <w:style w:type="paragraph" w:styleId="826" w:customStyle="1">
    <w:name w:val="正文首行缩进 22"/>
    <w:basedOn w:val="827"/>
    <w:next w:val="701"/>
    <w:uiPriority w:val="0"/>
    <w:qFormat/>
    <w:pPr>
      <w:ind w:firstLine="420"/>
    </w:pPr>
  </w:style>
  <w:style w:type="paragraph" w:styleId="827" w:customStyle="1">
    <w:name w:val="正文文本缩进2"/>
    <w:basedOn w:val="701"/>
    <w:next w:val="828"/>
    <w:uiPriority w:val="0"/>
    <w:qFormat/>
    <w:pPr>
      <w:ind w:left="420"/>
      <w:spacing w:after="120"/>
    </w:pPr>
  </w:style>
  <w:style w:type="paragraph" w:styleId="828" w:customStyle="1">
    <w:name w:val="寄信人地址2"/>
    <w:basedOn w:val="701"/>
    <w:uiPriority w:val="0"/>
    <w:qFormat/>
    <w:rPr>
      <w:rFonts w:ascii="Arial" w:hAnsi="Arial"/>
    </w:rPr>
  </w:style>
  <w:style w:type="paragraph" w:styleId="829" w:customStyle="1">
    <w:name w:val="正文文本 21"/>
    <w:basedOn w:val="730"/>
    <w:uiPriority w:val="0"/>
    <w:qFormat/>
    <w:pPr>
      <w:spacing w:after="120" w:line="480" w:lineRule="auto"/>
    </w:pPr>
  </w:style>
  <w:style w:type="paragraph" w:styleId="83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831" w:customStyle="1">
    <w:name w:val="Heading 1 Char"/>
    <w:basedOn w:val="711"/>
    <w:uiPriority w:val="9"/>
    <w:qFormat/>
    <w:rPr>
      <w:rFonts w:ascii="Arial" w:hAnsi="Arial" w:eastAsia="Arial" w:cs="Arial"/>
      <w:sz w:val="40"/>
      <w:szCs w:val="40"/>
    </w:rPr>
  </w:style>
  <w:style w:type="character" w:styleId="832" w:customStyle="1">
    <w:name w:val="Heading 2 Char"/>
    <w:basedOn w:val="711"/>
    <w:uiPriority w:val="9"/>
    <w:qFormat/>
    <w:rPr>
      <w:rFonts w:ascii="Arial" w:hAnsi="Arial" w:eastAsia="Arial" w:cs="Arial"/>
      <w:sz w:val="34"/>
    </w:rPr>
  </w:style>
  <w:style w:type="character" w:styleId="833" w:customStyle="1">
    <w:name w:val="Heading 3 Char"/>
    <w:basedOn w:val="711"/>
    <w:uiPriority w:val="9"/>
    <w:qFormat/>
    <w:rPr>
      <w:rFonts w:ascii="Arial" w:hAnsi="Arial" w:eastAsia="Arial" w:cs="Arial"/>
      <w:sz w:val="30"/>
      <w:szCs w:val="30"/>
    </w:rPr>
  </w:style>
  <w:style w:type="character" w:styleId="834" w:customStyle="1">
    <w:name w:val="Heading 4 Char"/>
    <w:basedOn w:val="711"/>
    <w:uiPriority w:val="9"/>
    <w:qFormat/>
    <w:rPr>
      <w:rFonts w:ascii="Arial" w:hAnsi="Arial" w:eastAsia="Arial" w:cs="Arial"/>
      <w:b/>
      <w:bCs/>
      <w:sz w:val="26"/>
      <w:szCs w:val="26"/>
    </w:rPr>
  </w:style>
  <w:style w:type="character" w:styleId="835" w:customStyle="1">
    <w:name w:val="Heading 5 Char"/>
    <w:basedOn w:val="711"/>
    <w:uiPriority w:val="9"/>
    <w:qFormat/>
    <w:rPr>
      <w:rFonts w:ascii="Arial" w:hAnsi="Arial" w:eastAsia="Arial" w:cs="Arial"/>
      <w:b/>
      <w:bCs/>
      <w:sz w:val="24"/>
      <w:szCs w:val="24"/>
    </w:rPr>
  </w:style>
  <w:style w:type="character" w:styleId="836" w:customStyle="1">
    <w:name w:val="Heading 6 Char"/>
    <w:basedOn w:val="711"/>
    <w:uiPriority w:val="9"/>
    <w:qFormat/>
    <w:rPr>
      <w:rFonts w:ascii="Arial" w:hAnsi="Arial" w:eastAsia="Arial" w:cs="Arial"/>
      <w:b/>
      <w:bCs/>
      <w:sz w:val="22"/>
      <w:szCs w:val="22"/>
    </w:rPr>
  </w:style>
  <w:style w:type="character" w:styleId="837" w:customStyle="1">
    <w:name w:val="Heading 7 Char"/>
    <w:basedOn w:val="711"/>
    <w:uiPriority w:val="9"/>
    <w:qFormat/>
    <w:rPr>
      <w:rFonts w:ascii="Arial" w:hAnsi="Arial" w:eastAsia="Arial" w:cs="Arial"/>
      <w:b/>
      <w:bCs/>
      <w:i/>
      <w:iCs/>
      <w:sz w:val="22"/>
      <w:szCs w:val="22"/>
    </w:rPr>
  </w:style>
  <w:style w:type="character" w:styleId="838" w:customStyle="1">
    <w:name w:val="Heading 8 Char"/>
    <w:basedOn w:val="711"/>
    <w:uiPriority w:val="9"/>
    <w:qFormat/>
    <w:rPr>
      <w:rFonts w:ascii="Arial" w:hAnsi="Arial" w:eastAsia="Arial" w:cs="Arial"/>
      <w:i/>
      <w:iCs/>
      <w:sz w:val="22"/>
      <w:szCs w:val="22"/>
    </w:rPr>
  </w:style>
  <w:style w:type="character" w:styleId="839" w:customStyle="1">
    <w:name w:val="Heading 9 Char"/>
    <w:basedOn w:val="711"/>
    <w:uiPriority w:val="9"/>
    <w:qFormat/>
    <w:rPr>
      <w:rFonts w:ascii="Arial" w:hAnsi="Arial" w:eastAsia="Arial" w:cs="Arial"/>
      <w:i/>
      <w:iCs/>
      <w:sz w:val="21"/>
      <w:szCs w:val="21"/>
    </w:rPr>
  </w:style>
  <w:style w:type="character" w:styleId="840" w:customStyle="1">
    <w:name w:val="Title Char"/>
    <w:basedOn w:val="711"/>
    <w:uiPriority w:val="10"/>
    <w:qFormat/>
    <w:rPr>
      <w:sz w:val="48"/>
      <w:szCs w:val="48"/>
    </w:rPr>
  </w:style>
  <w:style w:type="character" w:styleId="841" w:customStyle="1">
    <w:name w:val="Subtitle Char"/>
    <w:basedOn w:val="711"/>
    <w:uiPriority w:val="11"/>
    <w:qFormat/>
    <w:rPr>
      <w:sz w:val="24"/>
      <w:szCs w:val="24"/>
    </w:rPr>
  </w:style>
  <w:style w:type="character" w:styleId="842" w:customStyle="1">
    <w:name w:val="Quote Char"/>
    <w:uiPriority w:val="29"/>
    <w:qFormat/>
    <w:rPr>
      <w:i/>
    </w:rPr>
  </w:style>
  <w:style w:type="character" w:styleId="843" w:customStyle="1">
    <w:name w:val="Intense Quote Char"/>
    <w:uiPriority w:val="30"/>
    <w:qFormat/>
    <w:rPr>
      <w:i/>
    </w:rPr>
  </w:style>
  <w:style w:type="character" w:styleId="844" w:customStyle="1">
    <w:name w:val="Header Char"/>
    <w:basedOn w:val="711"/>
    <w:uiPriority w:val="99"/>
    <w:qFormat/>
  </w:style>
  <w:style w:type="character" w:styleId="845" w:customStyle="1">
    <w:name w:val="Caption Char"/>
    <w:uiPriority w:val="99"/>
    <w:qFormat/>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标题111"/>
    <w:uiPriority w:val="39"/>
    <w:unhideWhenUsed/>
    <w:qFormat/>
    <w:rPr>
      <w:rFonts w:ascii="Times New Roman" w:hAnsi="Times New Roman" w:eastAsia="宋体" w:cs="Times New Roman"/>
      <w:lang w:val="en-US" w:eastAsia="zh-CN" w:bidi="ar-SA"/>
    </w:rPr>
  </w:style>
  <w:style w:type="character" w:styleId="849" w:customStyle="1">
    <w:name w:val="标题 1 Char"/>
    <w:link w:val="702"/>
    <w:uiPriority w:val="9"/>
    <w:qFormat/>
    <w:rPr>
      <w:rFonts w:ascii="Arial" w:hAnsi="Arial" w:eastAsia="Arial" w:cs="Arial"/>
      <w:sz w:val="40"/>
      <w:szCs w:val="40"/>
    </w:rPr>
  </w:style>
  <w:style w:type="character" w:styleId="850" w:customStyle="1">
    <w:name w:val="标题 2 Char"/>
    <w:link w:val="703"/>
    <w:uiPriority w:val="9"/>
    <w:qFormat/>
    <w:rPr>
      <w:rFonts w:ascii="Arial" w:hAnsi="Arial" w:eastAsia="Arial" w:cs="Arial"/>
      <w:sz w:val="34"/>
    </w:rPr>
  </w:style>
  <w:style w:type="character" w:styleId="851" w:customStyle="1">
    <w:name w:val="标题 3 Char"/>
    <w:link w:val="704"/>
    <w:uiPriority w:val="9"/>
    <w:qFormat/>
    <w:rPr>
      <w:rFonts w:ascii="Arial" w:hAnsi="Arial" w:eastAsia="Arial" w:cs="Arial"/>
      <w:sz w:val="30"/>
      <w:szCs w:val="30"/>
    </w:rPr>
  </w:style>
  <w:style w:type="character" w:styleId="852" w:customStyle="1">
    <w:name w:val="标题 4 Char"/>
    <w:link w:val="705"/>
    <w:uiPriority w:val="9"/>
    <w:qFormat/>
    <w:rPr>
      <w:rFonts w:ascii="Arial" w:hAnsi="Arial" w:eastAsia="Arial" w:cs="Arial"/>
      <w:b/>
      <w:bCs/>
      <w:sz w:val="26"/>
      <w:szCs w:val="26"/>
    </w:rPr>
  </w:style>
  <w:style w:type="character" w:styleId="853" w:customStyle="1">
    <w:name w:val="标题 5 Char"/>
    <w:link w:val="706"/>
    <w:uiPriority w:val="9"/>
    <w:qFormat/>
    <w:rPr>
      <w:rFonts w:ascii="Arial" w:hAnsi="Arial" w:eastAsia="Arial" w:cs="Arial"/>
      <w:b/>
      <w:bCs/>
      <w:sz w:val="24"/>
      <w:szCs w:val="24"/>
    </w:rPr>
  </w:style>
  <w:style w:type="character" w:styleId="854" w:customStyle="1">
    <w:name w:val="标题 6 Char"/>
    <w:link w:val="707"/>
    <w:uiPriority w:val="9"/>
    <w:qFormat/>
    <w:rPr>
      <w:rFonts w:ascii="Arial" w:hAnsi="Arial" w:eastAsia="Arial" w:cs="Arial"/>
      <w:b/>
      <w:bCs/>
      <w:sz w:val="22"/>
      <w:szCs w:val="22"/>
    </w:rPr>
  </w:style>
  <w:style w:type="character" w:styleId="855" w:customStyle="1">
    <w:name w:val="标题 7 Char"/>
    <w:link w:val="708"/>
    <w:uiPriority w:val="9"/>
    <w:qFormat/>
    <w:rPr>
      <w:rFonts w:ascii="Arial" w:hAnsi="Arial" w:eastAsia="Arial" w:cs="Arial"/>
      <w:b/>
      <w:bCs/>
      <w:i/>
      <w:iCs/>
      <w:sz w:val="22"/>
      <w:szCs w:val="22"/>
    </w:rPr>
  </w:style>
  <w:style w:type="character" w:styleId="856" w:customStyle="1">
    <w:name w:val="标题 8 Char"/>
    <w:link w:val="709"/>
    <w:uiPriority w:val="9"/>
    <w:qFormat/>
    <w:rPr>
      <w:rFonts w:ascii="Arial" w:hAnsi="Arial" w:eastAsia="Arial" w:cs="Arial"/>
      <w:i/>
      <w:iCs/>
      <w:sz w:val="22"/>
      <w:szCs w:val="22"/>
    </w:rPr>
  </w:style>
  <w:style w:type="character" w:styleId="857" w:customStyle="1">
    <w:name w:val="标题 9 Char"/>
    <w:link w:val="710"/>
    <w:uiPriority w:val="9"/>
    <w:qFormat/>
    <w:rPr>
      <w:rFonts w:ascii="Arial" w:hAnsi="Arial" w:eastAsia="Arial" w:cs="Arial"/>
      <w:i/>
      <w:iCs/>
      <w:sz w:val="21"/>
      <w:szCs w:val="21"/>
    </w:rPr>
  </w:style>
  <w:style w:type="character" w:styleId="858" w:customStyle="1">
    <w:name w:val="标题 Char"/>
    <w:link w:val="758"/>
    <w:uiPriority w:val="10"/>
    <w:qFormat/>
    <w:rPr>
      <w:sz w:val="48"/>
      <w:szCs w:val="48"/>
    </w:rPr>
  </w:style>
  <w:style w:type="character" w:styleId="859" w:customStyle="1">
    <w:name w:val="副标题 Char"/>
    <w:link w:val="750"/>
    <w:uiPriority w:val="11"/>
    <w:qFormat/>
    <w:rPr>
      <w:sz w:val="24"/>
      <w:szCs w:val="24"/>
    </w:rPr>
  </w:style>
  <w:style w:type="paragraph" w:styleId="860">
    <w:name w:val="Quote"/>
    <w:basedOn w:val="701"/>
    <w:next w:val="701"/>
    <w:link w:val="861"/>
    <w:uiPriority w:val="29"/>
    <w:qFormat/>
    <w:pPr>
      <w:ind w:left="720" w:right="720"/>
    </w:pPr>
    <w:rPr>
      <w:i/>
    </w:rPr>
  </w:style>
  <w:style w:type="character" w:styleId="861" w:customStyle="1">
    <w:name w:val="引用 Char"/>
    <w:link w:val="860"/>
    <w:uiPriority w:val="29"/>
    <w:qFormat/>
    <w:rPr>
      <w:i/>
    </w:rPr>
  </w:style>
  <w:style w:type="paragraph" w:styleId="862">
    <w:name w:val="Intense Quote"/>
    <w:basedOn w:val="701"/>
    <w:next w:val="701"/>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页眉 Char"/>
    <w:link w:val="748"/>
    <w:uiPriority w:val="99"/>
    <w:qFormat/>
  </w:style>
  <w:style w:type="character" w:styleId="865" w:customStyle="1">
    <w:name w:val="Footer Char"/>
    <w:uiPriority w:val="99"/>
    <w:qFormat/>
  </w:style>
  <w:style w:type="character" w:styleId="866" w:customStyle="1">
    <w:name w:val="页脚 Char"/>
    <w:link w:val="746"/>
    <w:uiPriority w:val="99"/>
    <w:qFormat/>
  </w:style>
  <w:style w:type="table" w:styleId="867"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Grid Table 1 Light - Accent 1"/>
    <w:basedOn w:val="7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 Accent 1"/>
    <w:basedOn w:val="7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Grid Table 3 - Accent 1"/>
    <w:basedOn w:val="7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basedOn w:val="7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7" w:customStyle="1">
    <w:name w:val="Grid Table 4 - Accent 2"/>
    <w:basedOn w:val="7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8" w:customStyle="1">
    <w:name w:val="Grid Table 4 - Accent 3"/>
    <w:basedOn w:val="7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9" w:customStyle="1">
    <w:name w:val="Grid Table 4 - Accent 4"/>
    <w:basedOn w:val="7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0" w:customStyle="1">
    <w:name w:val="Grid Table 4 - Accent 5"/>
    <w:basedOn w:val="7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1" w:customStyle="1">
    <w:name w:val="Grid Table 4 - Accent 6"/>
    <w:basedOn w:val="7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2"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3"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7" w:customStyle="1">
    <w:name w:val="Grid Table 5 Dark - Accent 6"/>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 Accent 1"/>
    <w:basedOn w:val="7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1" w:customStyle="1">
    <w:name w:val="Grid Table 6 Colorful - Accent 4"/>
    <w:basedOn w:val="7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6 Colorful - Accent 6"/>
    <w:basedOn w:val="7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7 Colorful - Accent 1"/>
    <w:basedOn w:val="7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 Accent 1"/>
    <w:basedOn w:val="71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1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1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1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1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1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 Accent 1"/>
    <w:basedOn w:val="7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7" w:customStyle="1">
    <w:name w:val="List Table 2 - Accent 2"/>
    <w:basedOn w:val="7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0" w:customStyle="1">
    <w:name w:val="List Table 2 - Accent 5"/>
    <w:basedOn w:val="7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1" w:customStyle="1">
    <w:name w:val="List Table 2 - Accent 6"/>
    <w:basedOn w:val="7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List Table 3 - Accent 1"/>
    <w:basedOn w:val="7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3" w:customStyle="1">
    <w:name w:val="List Table 3 - Accent 2"/>
    <w:basedOn w:val="7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8" w:customStyle="1">
    <w:name w:val="List Table 4 - Accent 1"/>
    <w:basedOn w:val="7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4 - Accent 2"/>
    <w:basedOn w:val="7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3" w:customStyle="1">
    <w:name w:val="List Table 4 - Accent 6"/>
    <w:basedOn w:val="7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 Accent 1"/>
    <w:basedOn w:val="7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 Accent 1"/>
    <w:basedOn w:val="71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1" w:customStyle="1">
    <w:name w:val="List Table 6 Colorful - Accent 2"/>
    <w:basedOn w:val="71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2" w:customStyle="1">
    <w:name w:val="List Table 6 Colorful - Accent 3"/>
    <w:basedOn w:val="71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3" w:customStyle="1">
    <w:name w:val="List Table 6 Colorful - Accent 4"/>
    <w:basedOn w:val="71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4" w:customStyle="1">
    <w:name w:val="List Table 6 Colorful - Accent 5"/>
    <w:basedOn w:val="71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5" w:customStyle="1">
    <w:name w:val="List Table 6 Colorful - Accent 6"/>
    <w:basedOn w:val="71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6" w:customStyle="1">
    <w:name w:val="List Table 7 Colorful - Accent 1"/>
    <w:basedOn w:val="71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1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1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1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1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1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4" w:customStyle="1">
    <w:name w:val="Lined - Accent 2"/>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1" w:customStyle="1">
    <w:name w:val="Bordered &amp; Lined - Accent 2"/>
    <w:basedOn w:val="7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2" w:customStyle="1">
    <w:name w:val="Bordered - Accent 6"/>
    <w:basedOn w:val="7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脚注文本 Char"/>
    <w:link w:val="751"/>
    <w:uiPriority w:val="99"/>
    <w:qFormat/>
    <w:rPr>
      <w:sz w:val="18"/>
    </w:rPr>
  </w:style>
  <w:style w:type="character" w:styleId="974" w:customStyle="1">
    <w:name w:val="尾注文本 Char"/>
    <w:link w:val="744"/>
    <w:uiPriority w:val="99"/>
    <w:qFormat/>
    <w:rPr>
      <w:sz w:val="20"/>
    </w:rPr>
  </w:style>
  <w:style w:type="paragraph" w:styleId="975"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976">
    <w:name w:val="No Spacing"/>
    <w:basedOn w:val="701"/>
    <w:uiPriority w:val="1"/>
    <w:qFormat/>
    <w:pPr>
      <w:spacing w:after="0" w:line="240" w:lineRule="auto"/>
    </w:pPr>
  </w:style>
  <w:style w:type="paragraph" w:styleId="977">
    <w:name w:val="List Paragraph"/>
    <w:basedOn w:val="701"/>
    <w:uiPriority w:val="99"/>
    <w:qFormat/>
    <w:pPr>
      <w:contextualSpacing/>
      <w:ind w:left="720"/>
    </w:pPr>
  </w:style>
  <w:style w:type="character" w:styleId="978" w:customStyle="1">
    <w:name w:val="批注文字 Char"/>
    <w:basedOn w:val="711"/>
    <w:link w:val="718"/>
    <w:uiPriority w:val="99"/>
    <w:qFormat/>
  </w:style>
  <w:style w:type="character" w:styleId="979" w:customStyle="1">
    <w:name w:val="批注主题 Char"/>
    <w:basedOn w:val="978"/>
    <w:link w:val="759"/>
    <w:uiPriority w:val="99"/>
    <w:semiHidden/>
    <w:qFormat/>
    <w:rPr>
      <w:b/>
      <w:bCs/>
    </w:rPr>
  </w:style>
  <w:style w:type="character" w:styleId="980" w:customStyle="1">
    <w:name w:val="正文文本缩进 Char"/>
    <w:basedOn w:val="711"/>
    <w:link w:val="737"/>
    <w:uiPriority w:val="99"/>
    <w:semiHidden/>
    <w:qFormat/>
  </w:style>
  <w:style w:type="character" w:styleId="981" w:customStyle="1">
    <w:name w:val="正文首行缩进 2 Char"/>
    <w:basedOn w:val="980"/>
    <w:link w:val="761"/>
    <w:uiPriority w:val="0"/>
    <w:qFormat/>
    <w:rPr>
      <w:rFonts w:ascii="Times New Roman" w:hAnsi="Times New Roman" w:eastAsia="宋体" w:cs="宋体"/>
      <w:sz w:val="21"/>
      <w:szCs w:val="21"/>
      <w:lang w:eastAsia="zh-CN"/>
    </w:rPr>
  </w:style>
  <w:style w:type="character" w:styleId="982" w:customStyle="1">
    <w:name w:val="正文文本 Char"/>
    <w:basedOn w:val="711"/>
    <w:link w:val="720"/>
    <w:uiPriority w:val="99"/>
    <w:semiHidden/>
    <w:qFormat/>
  </w:style>
  <w:style w:type="character" w:styleId="983" w:customStyle="1">
    <w:name w:val="正文首行缩进 Char"/>
    <w:basedOn w:val="982"/>
    <w:link w:val="760"/>
    <w:uiPriority w:val="0"/>
    <w:qFormat/>
    <w:rPr>
      <w:rFonts w:ascii="Times New Roman" w:hAnsi="Times New Roman" w:eastAsia="宋体" w:cs="Times New Roman"/>
      <w:sz w:val="21"/>
      <w:szCs w:val="24"/>
      <w:lang w:eastAsia="zh-CN"/>
    </w:rPr>
  </w:style>
  <w:style w:type="character" w:styleId="984" w:customStyle="1">
    <w:name w:val="结束语 Char"/>
    <w:basedOn w:val="711"/>
    <w:link w:val="719"/>
    <w:uiPriority w:val="99"/>
    <w:qFormat/>
    <w:rPr>
      <w:rFonts w:ascii="宋体" w:hAnsi="宋体" w:eastAsia="宋体" w:cs="Times New Roman"/>
      <w:sz w:val="21"/>
      <w:szCs w:val="21"/>
      <w:lang w:eastAsia="zh-CN"/>
    </w:rPr>
  </w:style>
  <w:style w:type="character" w:styleId="985" w:customStyle="1">
    <w:name w:val="NormalCharacter"/>
    <w:uiPriority w:val="0"/>
    <w:semiHidden/>
    <w:qFormat/>
  </w:style>
  <w:style w:type="character" w:styleId="986" w:customStyle="1">
    <w:name w:val="批注框文本 Char"/>
    <w:basedOn w:val="711"/>
    <w:link w:val="745"/>
    <w:uiPriority w:val="99"/>
    <w:semiHidden/>
    <w:qFormat/>
    <w:rPr>
      <w:rFonts w:asciiTheme="minorHAnsi" w:hAnsiTheme="minorHAnsi" w:eastAsiaTheme="minorEastAsia" w:cstheme="minorBidi"/>
      <w:sz w:val="18"/>
      <w:szCs w:val="18"/>
      <w:lang w:eastAsia="en-US"/>
    </w:rPr>
  </w:style>
  <w:style w:type="character" w:styleId="987" w:customStyle="1">
    <w:name w:val="bsharetext"/>
    <w:basedOn w:val="711"/>
    <w:uiPriority w:val="0"/>
    <w:qFormat/>
  </w:style>
  <w:style w:type="paragraph" w:styleId="988" w:customStyle="1">
    <w:name w:val="WPSOffice手动目录 1"/>
    <w:uiPriority w:val="0"/>
    <w:qFormat/>
    <w:rPr>
      <w:rFonts w:ascii="Times New Roman" w:hAnsi="Times New Roman" w:eastAsia="宋体" w:cs="Times New Roman"/>
      <w:lang w:val="en-US" w:eastAsia="zh-CN" w:bidi="ar-SA"/>
    </w:rPr>
  </w:style>
  <w:style w:type="paragraph" w:styleId="989" w:customStyle="1">
    <w:name w:val="Table Paragraph"/>
    <w:basedOn w:val="701"/>
    <w:uiPriority w:val="1"/>
    <w:qFormat/>
    <w:rPr>
      <w:rFonts w:ascii="仿宋" w:hAnsi="仿宋" w:eastAsia="仿宋" w:cs="仿宋"/>
      <w:lang w:val="zh-CN" w:eastAsia="zh-CN" w:bidi="zh-CN"/>
    </w:rPr>
  </w:style>
  <w:style w:type="paragraph" w:styleId="990" w:customStyle="1">
    <w:name w:val="实心圆点"/>
    <w:basedOn w:val="720"/>
    <w:next w:val="720"/>
    <w:uiPriority w:val="0"/>
    <w:qFormat/>
    <w:pPr>
      <w:numPr>
        <w:ilvl w:val="0"/>
        <w:numId w:val="1"/>
      </w:numPr>
      <w:ind w:left="0" w:firstLine="200"/>
      <w:spacing w:after="0"/>
    </w:pPr>
  </w:style>
  <w:style w:type="character" w:styleId="991" w:customStyle="1">
    <w:name w:val="font31"/>
    <w:basedOn w:val="711"/>
    <w:uiPriority w:val="0"/>
    <w:qFormat/>
    <w:rPr>
      <w:rFonts w:hint="eastAsia" w:ascii="宋体" w:hAnsi="宋体" w:eastAsia="宋体" w:cs="宋体"/>
      <w:color w:val="000000"/>
      <w:sz w:val="22"/>
      <w:szCs w:val="22"/>
      <w:u w:val="none"/>
    </w:rPr>
  </w:style>
  <w:style w:type="character" w:styleId="992" w:customStyle="1">
    <w:name w:val="font41"/>
    <w:basedOn w:val="711"/>
    <w:uiPriority w:val="0"/>
    <w:qFormat/>
    <w:rPr>
      <w:rFonts w:ascii="Arial" w:hAnsi="Arial" w:cs="Arial"/>
      <w:color w:val="000000"/>
      <w:sz w:val="22"/>
      <w:szCs w:val="22"/>
      <w:u w:val="none"/>
    </w:rPr>
  </w:style>
  <w:style w:type="character" w:styleId="993" w:customStyle="1">
    <w:name w:val="font11"/>
    <w:basedOn w:val="711"/>
    <w:uiPriority w:val="0"/>
    <w:qFormat/>
    <w:rPr>
      <w:rFonts w:hint="eastAsia" w:ascii="宋体" w:hAnsi="宋体" w:eastAsia="宋体" w:cs="宋体"/>
      <w:color w:val="000000"/>
      <w:sz w:val="22"/>
      <w:szCs w:val="22"/>
      <w:u w:val="none"/>
    </w:rPr>
  </w:style>
  <w:style w:type="table" w:styleId="994" w:customStyle="1">
    <w:name w:val="网格型1"/>
    <w:uiPriority w:val="0"/>
    <w:qFormat/>
    <w:tblPr>
      <w:tblCellMar>
        <w:left w:w="0" w:type="dxa"/>
        <w:top w:w="0" w:type="dxa"/>
        <w:right w:w="0" w:type="dxa"/>
        <w:bottom w:w="0" w:type="dxa"/>
      </w:tblCellMar>
    </w:tblPr>
  </w:style>
  <w:style w:type="paragraph" w:styleId="995" w:customStyle="1">
    <w:name w:val="Body text|1"/>
    <w:basedOn w:val="701"/>
    <w:uiPriority w:val="0"/>
    <w:qFormat/>
    <w:pPr>
      <w:ind w:firstLine="400"/>
      <w:spacing w:after="280"/>
      <w:widowControl w:val="off"/>
    </w:pPr>
    <w:rPr>
      <w:rFonts w:ascii="宋体" w:hAnsi="宋体" w:eastAsia="宋体" w:cs="宋体"/>
      <w:lang w:val="zh-TW" w:eastAsia="zh-TW" w:bidi="zh-TW"/>
    </w:rPr>
  </w:style>
  <w:style w:type="paragraph" w:styleId="996" w:customStyle="1">
    <w:name w:val="pf0"/>
    <w:basedOn w:val="701"/>
    <w:uiPriority w:val="0"/>
    <w:qFormat/>
    <w:pPr>
      <w:spacing w:before="100" w:beforeAutospacing="1" w:after="100" w:afterAutospacing="1" w:line="240" w:lineRule="auto"/>
    </w:pPr>
    <w:rPr>
      <w:rFonts w:ascii="宋体" w:hAnsi="宋体" w:eastAsia="宋体" w:cs="宋体"/>
    </w:rPr>
  </w:style>
  <w:style w:type="paragraph" w:styleId="997" w:customStyle="1">
    <w:name w:val="修订1"/>
    <w:hidden/>
    <w:uiPriority w:val="99"/>
    <w:unhideWhenUsed/>
    <w:qFormat/>
    <w:rPr>
      <w:rFonts w:asciiTheme="minorHAnsi" w:hAnsiTheme="minorHAnsi" w:eastAsiaTheme="minorEastAsia" w:cstheme="minorBidi"/>
      <w:sz w:val="22"/>
      <w:szCs w:val="22"/>
      <w:lang w:val="en-US" w:eastAsia="en-US" w:bidi="ar-SA"/>
    </w:rPr>
  </w:style>
  <w:style w:type="paragraph" w:styleId="998" w:customStyle="1">
    <w:name w:val="正文121"/>
    <w:next w:val="999"/>
    <w:uiPriority w:val="0"/>
    <w:qFormat/>
    <w:pPr>
      <w:jc w:val="both"/>
      <w:widowControl w:val="off"/>
    </w:pPr>
    <w:rPr>
      <w:rFonts w:ascii="Calibri" w:hAnsi="Calibri" w:eastAsia="宋体" w:cs="Times New Roman"/>
      <w:sz w:val="21"/>
      <w:szCs w:val="24"/>
      <w:lang w:val="en-US" w:eastAsia="zh-CN" w:bidi="ar-SA"/>
    </w:rPr>
  </w:style>
  <w:style w:type="paragraph" w:styleId="999" w:customStyle="1">
    <w:name w:val="BlockQuote1"/>
    <w:basedOn w:val="701"/>
    <w:uiPriority w:val="0"/>
    <w:qFormat/>
    <w:pPr>
      <w:ind w:left="256" w:right="6" w:firstLine="624"/>
    </w:pPr>
    <w:rPr>
      <w:rFonts w:ascii="Times New Roman" w:hAnsi="Times New Roman" w:eastAsia="仿宋"/>
      <w:sz w:val="28"/>
    </w:rPr>
  </w:style>
  <w:style w:type="paragraph" w:styleId="1000" w:customStyle="1">
    <w:name w:val="Fließtext"/>
    <w:basedOn w:val="701"/>
    <w:uiPriority w:val="99"/>
    <w:qFormat/>
  </w:style>
  <w:style w:type="paragraph" w:styleId="1001" w:customStyle="1">
    <w:name w:val="正文（缩进）"/>
    <w:basedOn w:val="701"/>
    <w:next w:val="701"/>
    <w:uiPriority w:val="0"/>
    <w:qFormat/>
    <w:pPr>
      <w:ind w:firstLine="480"/>
    </w:pPr>
  </w:style>
  <w:style w:type="paragraph" w:styleId="1002" w:customStyle="1">
    <w:name w:val="列出段落1"/>
    <w:basedOn w:val="701"/>
    <w:uiPriority w:val="34"/>
    <w:qFormat/>
    <w:pPr>
      <w:ind w:firstLine="420"/>
    </w:pPr>
    <w:rPr>
      <w:rFonts w:ascii="Times New Roman" w:hAnsi="Times New Roman" w:eastAsia="宋体" w:cs="Times New Roman"/>
    </w:rPr>
  </w:style>
  <w:style w:type="paragraph" w:styleId="1003" w:customStyle="1">
    <w:name w:val="标题 41"/>
    <w:basedOn w:val="723"/>
    <w:next w:val="701"/>
    <w:uiPriority w:val="0"/>
    <w:qFormat/>
    <w:pPr>
      <w:keepLines/>
      <w:keepNext/>
      <w:spacing w:before="280" w:after="290" w:line="376" w:lineRule="auto"/>
      <w:outlineLvl w:val="3"/>
    </w:pPr>
    <w:rPr>
      <w:rFonts w:ascii="Cambria" w:hAnsi="Cambria"/>
      <w:sz w:val="28"/>
      <w:szCs w:val="28"/>
    </w:rPr>
  </w:style>
  <w:style w:type="paragraph" w:styleId="1004" w:customStyle="1">
    <w:name w:val="正文缩进11"/>
    <w:basedOn w:val="701"/>
    <w:uiPriority w:val="0"/>
    <w:qFormat/>
    <w:pPr>
      <w:ind w:firstLine="420"/>
    </w:pPr>
    <w:rPr>
      <w:rFonts w:eastAsia="楷体_GB2312"/>
      <w:sz w:val="24"/>
      <w:szCs w:val="20"/>
    </w:rPr>
  </w:style>
  <w:style w:type="paragraph" w:styleId="1005" w:customStyle="1">
    <w:name w:val="p0"/>
    <w:basedOn w:val="701"/>
    <w:uiPriority w:val="0"/>
    <w:qFormat/>
    <w:rPr>
      <w:szCs w:val="21"/>
    </w:rPr>
  </w:style>
  <w:style w:type="paragraph" w:styleId="100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标题 11"/>
    <w:basedOn w:val="723"/>
    <w:next w:val="723"/>
    <w:uiPriority w:val="0"/>
    <w:qFormat/>
    <w:pPr>
      <w:jc w:val="center"/>
      <w:keepLines/>
      <w:keepNext/>
      <w:spacing w:line="578" w:lineRule="auto"/>
      <w:outlineLvl w:val="0"/>
    </w:pPr>
    <w:rPr>
      <w:rFonts w:eastAsia="新宋体"/>
      <w:b/>
      <w:bCs/>
      <w:sz w:val="30"/>
      <w:szCs w:val="44"/>
    </w:rPr>
  </w:style>
  <w:style w:type="paragraph" w:styleId="1008" w:customStyle="1">
    <w:name w:val="表格文字"/>
    <w:basedOn w:val="1009"/>
    <w:uiPriority w:val="99"/>
    <w:qFormat/>
  </w:style>
  <w:style w:type="paragraph" w:styleId="1009" w:customStyle="1">
    <w:name w:val="表格文字（两侧对齐）"/>
    <w:basedOn w:val="701"/>
    <w:uiPriority w:val="99"/>
    <w:qFormat/>
    <w:rPr>
      <w:rFonts w:ascii="Calibri" w:hAnsi="Calibri"/>
      <w:sz w:val="20"/>
    </w:rPr>
  </w:style>
  <w:style w:type="paragraph" w:styleId="1010" w:customStyle="1">
    <w:name w:val="目录 1111"/>
    <w:basedOn w:val="701"/>
    <w:next w:val="701"/>
    <w:uiPriority w:val="39"/>
    <w:unhideWhenUsed/>
    <w:qFormat/>
    <w:pPr>
      <w:spacing w:after="100" w:line="259" w:lineRule="auto"/>
    </w:pPr>
    <w:rPr>
      <w:rFonts w:ascii="Calibri" w:hAnsi="Calibri" w:eastAsia="宋体"/>
    </w:rPr>
  </w:style>
  <w:style w:type="paragraph" w:styleId="1011" w:customStyle="1">
    <w:name w:val="脚注文本11"/>
    <w:basedOn w:val="701"/>
    <w:next w:val="1012"/>
    <w:uiPriority w:val="0"/>
    <w:unhideWhenUsed/>
    <w:qFormat/>
    <w:pPr>
      <w:spacing w:after="40"/>
    </w:pPr>
    <w:rPr>
      <w:sz w:val="18"/>
    </w:rPr>
  </w:style>
  <w:style w:type="paragraph" w:styleId="1012" w:customStyle="1">
    <w:name w:val="索引 511"/>
    <w:basedOn w:val="701"/>
    <w:next w:val="733"/>
    <w:uiPriority w:val="0"/>
    <w:qFormat/>
    <w:pPr>
      <w:ind w:left="798"/>
    </w:pPr>
    <w:rPr>
      <w:rFonts w:ascii="Calibri" w:hAnsi="Calibri"/>
    </w:rPr>
  </w:style>
  <w:style w:type="paragraph" w:styleId="1013" w:customStyle="1">
    <w:name w:val="标题 111"/>
    <w:basedOn w:val="1014"/>
    <w:next w:val="730"/>
    <w:uiPriority w:val="0"/>
    <w:qFormat/>
    <w:pPr>
      <w:keepLines/>
      <w:keepNext/>
      <w:spacing w:before="480" w:after="200"/>
      <w:outlineLvl w:val="0"/>
    </w:pPr>
    <w:rPr>
      <w:rFonts w:ascii="Arial" w:hAnsi="Arial" w:eastAsia="Arial"/>
      <w:sz w:val="40"/>
      <w:szCs w:val="40"/>
    </w:rPr>
  </w:style>
  <w:style w:type="paragraph" w:styleId="1014" w:customStyle="1">
    <w:name w:val="正文1112"/>
    <w:next w:val="723"/>
    <w:uiPriority w:val="0"/>
    <w:qFormat/>
    <w:rPr>
      <w:rFonts w:ascii="Times New Roman" w:hAnsi="Times New Roman" w:eastAsia="宋体" w:cs="Times New Roman"/>
      <w:lang w:val="en-US" w:eastAsia="zh-CN" w:bidi="ar-SA"/>
    </w:rPr>
  </w:style>
  <w:style w:type="paragraph" w:styleId="1015" w:customStyle="1">
    <w:name w:val="普通(网站)1"/>
    <w:basedOn w:val="723"/>
    <w:uiPriority w:val="0"/>
    <w:qFormat/>
    <w:pPr>
      <w:jc w:val="left"/>
      <w:spacing w:before="100" w:beforeAutospacing="1" w:after="100" w:afterAutospacing="1"/>
      <w:widowControl/>
    </w:pPr>
    <w:rPr>
      <w:rFonts w:ascii="宋体" w:hAnsi="宋体"/>
      <w:sz w:val="24"/>
    </w:rPr>
  </w:style>
  <w:style w:type="character" w:styleId="1016" w:customStyle="1">
    <w:name w:val="font51"/>
    <w:basedOn w:val="1017"/>
    <w:uiPriority w:val="0"/>
    <w:qFormat/>
    <w:rPr>
      <w:rFonts w:hint="default" w:asciiTheme="minorHAnsi" w:hAnsiTheme="minorHAnsi" w:eastAsiaTheme="minorEastAsia" w:cstheme="minorBidi"/>
      <w:sz w:val="22"/>
      <w:szCs w:val="22"/>
      <w:lang w:val="en-US" w:eastAsia="en-US" w:bidi="ar-SA"/>
    </w:rPr>
  </w:style>
  <w:style w:type="character" w:styleId="1017" w:customStyle="1">
    <w:name w:val="默认段落字体11"/>
    <w:uiPriority w:val="1"/>
    <w:unhideWhenUsed/>
    <w:qFormat/>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7DAD147-9FE5-47C7-B1DE-1E39C775B5EC}"/>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刘佳</cp:lastModifiedBy>
  <cp:revision>93</cp:revision>
  <dcterms:created xsi:type="dcterms:W3CDTF">2024-05-16T05:14:00Z</dcterms:created>
  <dcterms:modified xsi:type="dcterms:W3CDTF">2026-04-28T01:39:40Z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FD396D43BE8E4F07B15B4A13260C55A8_13</vt:lpwstr>
  </property>
  <property fmtid="{D5CDD505-2E9C-101B-9397-08002B2CF9AE}" pid="4" name="KSOTemplateDocerSaveRecord">
    <vt:lpwstr>eyJoZGlkIjoiZTUzZWY5NDc3ZTAxMjI1ZTFlNWRjNTllODFhZTA4YTYiLCJ1c2VySWQiOiIxNjY0MjY4MjIzIn0=</vt:lpwstr>
  </property>
  <property fmtid="{D5CDD505-2E9C-101B-9397-08002B2CF9AE}" pid="5" name="GSEDS_HWMT_d46a6755">
    <vt:lpwstr>f24565aa_mFV3xD84Jik2N8pOmHv8qVIHgOw=_8QYrr15fKz0rXd9Mk3mHxOIcGZH5ADYjUwh2jsNDvUHbZw6SmjVE09e/w+j+t6oXa5i59IXB0rp2mZYyBCwpJY9qctZKDXZ9JZEi8GsfMfPPumUlLWQ1mtpPpQ==_e651a3ce</vt:lpwstr>
  </property>
</Properties>
</file>