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1008"/>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1008"/>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6"/>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6"/>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JSZC-320300-JSKJ-G2026-0010</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877" w:hanging="160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pacing w:val="-6"/>
          <w:sz w:val="30"/>
          <w:szCs w:val="30"/>
          <w:highlight w:val="none"/>
          <w:lang w:eastAsia="zh-CN"/>
        </w:rPr>
        <w:t xml:space="preserve">徐州市第一人民医院彩色多普勒血流显像仪(全身1)</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徐州市第一人民医院</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1004"/>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1196"/>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12" name="图片 8"/>
                <wp:cNvGraphicFramePr/>
                <a:graphic xmlns:a="http://schemas.openxmlformats.org/drawingml/2006/main">
                  <a:graphicData uri="http://schemas.openxmlformats.org/drawingml/2006/picture">
                    <pic:pic xmlns:pic="http://schemas.openxmlformats.org/drawingml/2006/picture">
                      <pic:nvPicPr>
                        <pic:cNvPr id="11" name="图片 8"/>
                        <pic:cNvPicPr/>
                        <pic:nvPr/>
                      </pic:nvPicPr>
                      <pic:blipFill>
                        <a:blip r:embed="rId23"/>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0pt;height:54.0pt;mso-wrap-distance-left:0.0pt;mso-wrap-distance-top:0.0pt;mso-wrap-distance-right:0.0pt;mso-wrap-distance-bottom:0.0pt;" stroked="f">
                <v:path textboxrect="0,0,0,0"/>
                <v:imagedata r:id="rId23"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四</w:t>
      </w:r>
      <w:r>
        <w:rPr>
          <w:rFonts w:hint="eastAsia" w:ascii="宋体" w:hAnsi="宋体" w:eastAsia="宋体" w:cs="宋体"/>
          <w:bCs/>
          <w:color w:val="auto"/>
          <w:sz w:val="32"/>
          <w:szCs w:val="32"/>
          <w:highlight w:val="none"/>
        </w:rPr>
        <w:t xml:space="preserve">月</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TOC \o "1-1" \h \u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"_Toc11429"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_Toc11429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6</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"_Toc31695"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_Toc31695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8</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"_Toc23056"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第三章  投标资料表</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_Toc23056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18</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"_Toc14205"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56"/>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_Toc14205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"_Toc25688"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0"/>
          <w:highlight w:val="none"/>
          <w:lang w:val="en-US" w:eastAsia="zh-CN" w:bidi="ar-SA"/>
        </w:rPr>
        <w:t xml:space="preserve">第五章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_Toc25688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29</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"_Toc17747"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第六章  拟签订的合同文本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_Toc17747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29</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"_Toc1772"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第七章  投标文件相关格式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_Toc1772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45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before="120"/>
        <w:widowControl w:val="off"/>
        <w:rPr>
          <w:rFonts w:hint="default" w:ascii="Cambria" w:hAnsi="Cambria" w:eastAsia="宋体" w:cs="Cambria"/>
          <w:color w:val="auto"/>
          <w:sz w:val="24"/>
          <w:szCs w:val="21"/>
          <w:highlight w:val="none"/>
          <w:lang w:val="en-US" w:eastAsia="zh-CN" w:bidi="ar-SA"/>
        </w:rPr>
      </w:pPr>
      <w:r>
        <w:rPr>
          <w:rFonts w:hint="eastAsia" w:ascii="Cambria" w:hAnsi="Cambria" w:eastAsia="宋体" w:cs="Cambria"/>
          <w:color w:val="auto"/>
          <w:sz w:val="24"/>
          <w:szCs w:val="21"/>
          <w:highlight w:val="none"/>
          <w:lang w:val="en-US" w:eastAsia="zh-CN" w:bidi="ar-SA"/>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auto"/>
          <w:sz w:val="28"/>
          <w:szCs w:val="28"/>
          <w:highlight w:val="none"/>
        </w:rPr>
        <w:br w:type="column"/>
      </w:r>
      <w:r>
        <w:rPr>
          <w:rFonts w:hint="eastAsia" w:ascii="宋体" w:hAnsi="宋体" w:cs="宋体"/>
          <w:b/>
          <w:bCs/>
          <w:color w:val="auto"/>
          <w:sz w:val="28"/>
          <w:szCs w:val="28"/>
          <w:highlight w:val="none"/>
          <w:lang w:eastAsia="zh-CN"/>
        </w:rPr>
        <w:t xml:space="preserve">徐州市第一人民医院</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徐州市第一人民医院彩色多普勒血流显像仪(全身1)</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11429"/>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徐州市第一人民医院</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徐州市第一人民医院彩色多普勒血流显像仪(全身1)</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徐州市第一人民医院彩色多普勒血流显像仪(全身1)</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JSZC-320300-JSKJ-G2026-0010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JSZC-320300-JSKJ-G2026-0010）</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rPr>
        <w:t xml:space="preserve">（3）苏采云系统使用谷歌浏览器参与不见面开标。</w:t>
      </w:r>
      <w:r>
        <w:rPr>
          <w:color w:val="000000" w:themeColor="text1"/>
        </w:rPr>
      </w:r>
      <w:r/>
    </w:p>
    <w:p>
      <w:pPr>
        <w:ind w:firstLine="480"/>
        <w:jc w:val="left"/>
        <w:keepLines w:val="0"/>
        <w:keepNext w:val="0"/>
        <w:pageBreakBefore w:val="0"/>
        <w:spacing w:line="312" w:lineRule="auto"/>
        <w:widowControl w:val="off"/>
        <w:rPr>
          <w:rFonts w:hint="eastAsia" w:ascii="宋体" w:hAnsi="宋体" w:eastAsia="宋体" w:cs="宋体"/>
          <w:bCs/>
          <w:color w:val="000000" w:themeColor="text1"/>
          <w:sz w:val="24"/>
          <w:szCs w:val="28"/>
          <w:highlight w:val="none"/>
        </w:rPr>
      </w:pPr>
      <w:r>
        <w:rPr>
          <w:rFonts w:hint="eastAsia" w:cs="仿宋" w:asciiTheme="minorEastAsia" w:hAnsiTheme="minorEastAsia"/>
          <w:color w:val="000000" w:themeColor="text1"/>
          <w:sz w:val="24"/>
          <w:szCs w:val="24"/>
          <w:highlight w:val="none"/>
          <w:lang w:eastAsia="zh-CN"/>
        </w:rPr>
        <w:t xml:space="preserve">（4）售价：免费。</w:t>
      </w:r>
      <w:r>
        <w:rPr>
          <w:color w:val="000000" w:themeColor="text1"/>
        </w:rPr>
      </w:r>
      <w:r/>
    </w:p>
    <w:p>
      <w:pPr>
        <w:ind w:firstLine="480"/>
        <w:jc w:val="left"/>
        <w:spacing w:line="312" w:lineRule="auto"/>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四、投标有关信息：</w:t>
      </w:r>
      <w:r>
        <w:rPr>
          <w:color w:val="000000" w:themeColor="text1"/>
        </w:rPr>
      </w:r>
      <w:r/>
    </w:p>
    <w:p>
      <w:pPr>
        <w:ind w:left="719" w:hanging="240"/>
        <w:jc w:val="left"/>
        <w:spacing w:line="312" w:lineRule="auto"/>
        <w:rPr>
          <w:rFonts w:hint="eastAsia" w:ascii="宋体" w:hAnsi="宋体" w:eastAsia="宋体" w:cs="宋体"/>
          <w:b/>
          <w:bCs/>
          <w:color w:val="000000" w:themeColor="text1"/>
          <w:sz w:val="24"/>
          <w:szCs w:val="21"/>
          <w:highlight w:val="none"/>
        </w:rPr>
      </w:pPr>
      <w:r>
        <w:rPr>
          <w:rFonts w:hint="eastAsia" w:ascii="宋体" w:hAnsi="宋体" w:eastAsia="宋体" w:cs="宋体"/>
          <w:color w:val="000000" w:themeColor="text1"/>
          <w:sz w:val="24"/>
          <w:szCs w:val="21"/>
          <w:highlight w:val="none"/>
        </w:rPr>
        <w:t xml:space="preserve">1.投标截止时间：</w:t>
      </w:r>
      <w:r>
        <w:rPr>
          <w:rFonts w:hint="eastAsia" w:ascii="宋体" w:hAnsi="宋体" w:cs="宋体"/>
          <w:bCs/>
          <w:color w:val="000000" w:themeColor="text1"/>
          <w:sz w:val="24"/>
          <w:szCs w:val="28"/>
          <w:highlight w:val="none"/>
          <w:u w:val="single"/>
          <w:lang w:eastAsia="zh-CN"/>
        </w:rPr>
        <w:t xml:space="preserve">2026年</w:t>
      </w:r>
      <w:r>
        <w:rPr>
          <w:rFonts w:hint="eastAsia" w:ascii="宋体" w:hAnsi="宋体" w:cs="宋体"/>
          <w:bCs/>
          <w:color w:val="000000" w:themeColor="text1"/>
          <w:sz w:val="24"/>
          <w:szCs w:val="28"/>
          <w:highlight w:val="none"/>
          <w:u w:val="single"/>
          <w:lang w:val="en-US" w:eastAsia="zh-CN"/>
        </w:rPr>
        <w:t xml:space="preserve">5月25日</w:t>
      </w:r>
      <w:r>
        <w:rPr>
          <w:rFonts w:hint="eastAsia" w:ascii="宋体" w:hAnsi="宋体" w:eastAsia="宋体" w:cs="宋体"/>
          <w:bCs/>
          <w:color w:val="000000" w:themeColor="text1"/>
          <w:sz w:val="24"/>
          <w:szCs w:val="28"/>
          <w:highlight w:val="none"/>
        </w:rPr>
        <w:t xml:space="preserve">09点30分</w:t>
      </w:r>
      <w:r>
        <w:rPr>
          <w:rFonts w:hint="eastAsia" w:ascii="宋体" w:hAnsi="宋体" w:eastAsia="宋体" w:cs="宋体"/>
          <w:color w:val="000000" w:themeColor="text1"/>
          <w:sz w:val="24"/>
          <w:szCs w:val="21"/>
          <w:highlight w:val="none"/>
        </w:rPr>
        <w:t xml:space="preserve">（北京时间）</w:t>
      </w:r>
      <w:r>
        <w:rPr>
          <w:color w:val="000000" w:themeColor="text1"/>
        </w:rPr>
      </w:r>
      <w:r/>
    </w:p>
    <w:p>
      <w:pPr>
        <w:ind w:left="719" w:hanging="240"/>
        <w:jc w:val="left"/>
        <w:spacing w:line="312" w:lineRule="auto"/>
        <w:rPr>
          <w:rFonts w:hint="eastAsia" w:ascii="宋体" w:hAnsi="宋体" w:eastAsia="宋体" w:cs="宋体"/>
          <w:b/>
          <w:bCs/>
          <w:color w:val="000000" w:themeColor="text1"/>
          <w:sz w:val="24"/>
          <w:szCs w:val="21"/>
          <w:highlight w:val="none"/>
        </w:rPr>
      </w:pPr>
      <w:r>
        <w:rPr>
          <w:rFonts w:hint="eastAsia" w:ascii="宋体" w:hAnsi="宋体" w:eastAsia="宋体" w:cs="宋体"/>
          <w:color w:val="000000" w:themeColor="text1"/>
          <w:sz w:val="24"/>
          <w:szCs w:val="21"/>
          <w:highlight w:val="none"/>
        </w:rPr>
        <w:t xml:space="preserve">2.开标时间：</w:t>
      </w:r>
      <w:r>
        <w:rPr>
          <w:rFonts w:hint="eastAsia" w:ascii="宋体" w:hAnsi="宋体" w:cs="宋体"/>
          <w:bCs/>
          <w:color w:val="000000" w:themeColor="text1"/>
          <w:sz w:val="24"/>
          <w:szCs w:val="28"/>
          <w:highlight w:val="none"/>
          <w:u w:val="single"/>
          <w:lang w:eastAsia="zh-CN"/>
        </w:rPr>
        <w:t xml:space="preserve">2026年</w:t>
      </w:r>
      <w:r>
        <w:rPr>
          <w:rFonts w:hint="eastAsia" w:ascii="宋体" w:hAnsi="宋体" w:cs="宋体"/>
          <w:bCs/>
          <w:color w:val="000000" w:themeColor="text1"/>
          <w:sz w:val="24"/>
          <w:szCs w:val="28"/>
          <w:highlight w:val="none"/>
          <w:u w:val="single"/>
          <w:lang w:val="en-US" w:eastAsia="zh-CN"/>
        </w:rPr>
        <w:t xml:space="preserve">5月25日</w:t>
      </w:r>
      <w:r>
        <w:rPr>
          <w:rFonts w:hint="eastAsia" w:ascii="宋体" w:hAnsi="宋体" w:eastAsia="宋体" w:cs="宋体"/>
          <w:bCs/>
          <w:color w:val="000000" w:themeColor="text1"/>
          <w:sz w:val="24"/>
          <w:szCs w:val="28"/>
          <w:highlight w:val="none"/>
        </w:rPr>
        <w:t xml:space="preserve">09点30分</w:t>
      </w:r>
      <w:r>
        <w:rPr>
          <w:rFonts w:hint="eastAsia" w:ascii="宋体" w:hAnsi="宋体" w:eastAsia="宋体" w:cs="宋体"/>
          <w:color w:val="000000" w:themeColor="text1"/>
          <w:sz w:val="24"/>
          <w:szCs w:val="21"/>
          <w:highlight w:val="none"/>
        </w:rPr>
        <w:t xml:space="preserve">（北京时间）</w:t>
      </w:r>
      <w:r>
        <w:rPr>
          <w:color w:val="000000" w:themeColor="text1"/>
        </w:rPr>
      </w:r>
      <w:r/>
    </w:p>
    <w:p>
      <w:pPr>
        <w:ind w:firstLine="480"/>
        <w:jc w:val="left"/>
        <w:spacing w:line="312" w:lineRule="auto"/>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3.线上开标地点：“苏采云”系统（网址：http://jszfcg.jsczt.cn/）“开标大厅”或进入徐州政府采购网（网址： </w:t>
      </w:r>
      <w:r>
        <w:rPr>
          <w:rFonts w:hint="eastAsia" w:ascii="宋体" w:hAnsi="宋体" w:cs="宋体"/>
          <w:color w:val="000000" w:themeColor="text1"/>
          <w:sz w:val="24"/>
          <w:szCs w:val="21"/>
          <w:highlight w:val="none"/>
          <w:lang w:eastAsia="zh-CN"/>
        </w:rPr>
        <w:t xml:space="preserve">https://czj.xz.gov.cn/zfcg/index.html</w:t>
      </w:r>
      <w:r>
        <w:rPr>
          <w:rFonts w:hint="eastAsia" w:ascii="宋体" w:hAnsi="宋体" w:eastAsia="宋体" w:cs="宋体"/>
          <w:color w:val="000000" w:themeColor="text1"/>
          <w:sz w:val="24"/>
          <w:szCs w:val="21"/>
          <w:highlight w:val="none"/>
        </w:rPr>
        <w:t xml:space="preserve">），点击“苏采云”进入系统“开标大厅”。</w:t>
      </w:r>
      <w:r>
        <w:rPr>
          <w:color w:val="000000" w:themeColor="text1"/>
        </w:rPr>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徐州市第一人民医院</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徐州市铜山区大学路269号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0516-85803018</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4.联系方式：0516-85610680</w:t>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bookmarkStart w:id="1" w:name="_Toc31695"/>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评标小组</w:t>
      </w:r>
      <w:r>
        <w:rPr>
          <w:rFonts w:hint="eastAsia" w:ascii="宋体" w:hAnsi="宋体" w:eastAsia="宋体" w:cs="宋体"/>
          <w:color w:val="auto"/>
          <w:sz w:val="24"/>
          <w:szCs w:val="21"/>
          <w:highlight w:val="none"/>
        </w:rPr>
        <w:t xml:space="preserve">认为</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的报价明显低于其他</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的报价，有可能影响产品质量、服务质量或者不能诚信履约的，</w:t>
      </w:r>
      <w:r>
        <w:rPr>
          <w:rFonts w:hint="eastAsia" w:ascii="宋体" w:hAnsi="宋体" w:eastAsia="宋体" w:cs="宋体"/>
          <w:color w:val="auto"/>
          <w:sz w:val="24"/>
          <w:szCs w:val="21"/>
          <w:highlight w:val="none"/>
          <w:lang w:eastAsia="zh-CN"/>
        </w:rPr>
        <w:t xml:space="preserve">评标小组</w:t>
      </w:r>
      <w:r>
        <w:rPr>
          <w:rFonts w:hint="eastAsia" w:ascii="宋体" w:hAnsi="宋体" w:eastAsia="宋体" w:cs="宋体"/>
          <w:color w:val="auto"/>
          <w:sz w:val="24"/>
          <w:szCs w:val="21"/>
          <w:highlight w:val="none"/>
        </w:rPr>
        <w:t xml:space="preserve">应当启动异常低价响应审查程序:</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1.响应报价低于采购项目预算50%的，即响应报价&lt;采购项目预算×50%；</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2.响应报价低于采购项目最高限价45%的，即响应报价&lt;采购项目最高限价×45%；</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3.评审委员会认定的</w:t>
      </w:r>
      <w:r>
        <w:rPr>
          <w:rFonts w:hint="eastAsia" w:ascii="宋体" w:hAnsi="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lang w:val="en-US" w:eastAsia="zh-CN"/>
        </w:rPr>
        <w:t xml:space="preserve">报价过低、有可能影响产品质量或者不能诚信履约的其他情形。</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启动异常低价响应审查后，评审委员会要求相关</w:t>
      </w:r>
      <w:r>
        <w:rPr>
          <w:rFonts w:hint="eastAsia" w:ascii="宋体" w:hAnsi="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lang w:val="en-US" w:eastAsia="zh-CN"/>
        </w:rPr>
        <w:t xml:space="preserve">在评标现场合理的时间内，提供项目具体成本测算等与报价合理性相关的书面说明及相关证明材料，对响应价格作出解释，由评审委员会结合同类产品在主要电商平台的价格、该行业当地薪资水平等情况，依据专业经验对</w:t>
      </w:r>
      <w:r>
        <w:rPr>
          <w:rFonts w:hint="eastAsia" w:ascii="宋体" w:hAnsi="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lang w:val="en-US" w:eastAsia="zh-CN"/>
        </w:rPr>
        <w:t xml:space="preserve">报价合理性进行判断。响应</w:t>
      </w:r>
      <w:r>
        <w:rPr>
          <w:rFonts w:hint="eastAsia" w:ascii="宋体" w:hAnsi="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lang w:val="en-US" w:eastAsia="zh-CN"/>
        </w:rPr>
        <w:t xml:space="preserve">不提供书面说明、证明材料,或者提供的书面说明、证明材料不能证明其报价合理性的，评审委员会应当将其作为无效响应处理。审查相关情况应当在评审报告中进行记录。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对报价异常低且经评审委员会启动相关审查机制后仍中标或成交的</w:t>
      </w:r>
      <w:r>
        <w:rPr>
          <w:rFonts w:hint="eastAsia" w:ascii="宋体" w:hAnsi="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lang w:val="en-US" w:eastAsia="zh-CN"/>
        </w:rPr>
        <w:t xml:space="preserve">，采购人要重点关注其履约能力、履约承诺、实际履约情况等。如</w:t>
      </w:r>
      <w:r>
        <w:rPr>
          <w:rFonts w:hint="eastAsia" w:ascii="宋体" w:hAnsi="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lang w:val="en-US" w:eastAsia="zh-CN"/>
        </w:rPr>
        <w:t xml:space="preserve">在中标或成交后无正当理由拒不签订政府采购合同，采购人应将相关情况书面报送同级财政部门，由财政部门依法追究其法律责任；如</w:t>
      </w:r>
      <w:r>
        <w:rPr>
          <w:rFonts w:hint="eastAsia" w:ascii="宋体" w:hAnsi="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lang w:val="en-US" w:eastAsia="zh-CN"/>
        </w:rPr>
        <w:t xml:space="preserve">在签订政府采购合同后不严格履行合同，采购人应按照政府采购合同约定追究</w:t>
      </w:r>
      <w:r>
        <w:rPr>
          <w:rFonts w:hint="eastAsia" w:ascii="宋体" w:hAnsi="宋体" w:cs="宋体"/>
          <w:color w:val="auto"/>
          <w:sz w:val="24"/>
          <w:szCs w:val="21"/>
          <w:highlight w:val="none"/>
          <w:lang w:val="en-US" w:eastAsia="zh-CN"/>
        </w:rPr>
        <w:t xml:space="preserve">投标人</w:t>
      </w:r>
      <w:r>
        <w:rPr>
          <w:rFonts w:hint="eastAsia" w:ascii="宋体" w:hAnsi="宋体" w:eastAsia="宋体" w:cs="宋体"/>
          <w:color w:val="auto"/>
          <w:sz w:val="24"/>
          <w:szCs w:val="21"/>
          <w:highlight w:val="none"/>
          <w:lang w:val="en-US" w:eastAsia="zh-CN"/>
        </w:rPr>
        <w:t xml:space="preserve">违约责任，并将不良履约行为书面报送同级财政部门。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r>
      <w:r>
        <w:rPr>
          <w:rFonts w:hint="eastAsia" w:ascii="宋体" w:hAnsi="宋体" w:eastAsia="宋体" w:cs="宋体"/>
          <w:b/>
          <w:bCs/>
          <w:color w:val="auto"/>
          <w:sz w:val="24"/>
          <w:szCs w:val="21"/>
          <w:highlight w:val="none"/>
        </w:rPr>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徐州政府采购网（h</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23056"/>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002"/>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徐州市第一人民医院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1、所投产品为第二类医疗器械时，提供投标人有效的第二类医疗器械经营备案凭证</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所投产品为第三类医疗器械时，提供投标人有效的医疗器械经营许可证扫描件</w:t>
            </w:r>
            <w:r>
              <w:rPr>
                <w:rFonts w:hint="eastAsia" w:ascii="宋体" w:hAnsi="宋体" w:eastAsia="宋体" w:cs="宋体"/>
                <w:color w:val="auto"/>
                <w:sz w:val="24"/>
                <w:szCs w:val="24"/>
                <w:highlight w:val="none"/>
                <w:lang w:val="en-US" w:eastAsia="zh-CN"/>
              </w:rPr>
              <w:t xml:space="preserve">。</w:t>
            </w:r>
            <w:bookmarkStart w:id="14" w:name="_GoBack"/>
            <w:r/>
            <w:bookmarkEnd w:id="14"/>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2、提供所投产品的有效的医疗器械注册证扫描件。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招标代理服务费由中标人支付，《招标代理服务收费标准》（见附件）。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3"/>
            <w:r/>
            <w:bookmarkStart w:id="6" w:name="_Hlt91509264"/>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必须提供且加盖电子签章，否则投标无效）</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1.具有独立承担民事责任的能力，提供投标人合法有效的营业执照（或事业单位法人证书，或民办非企业单位登记证书）的扫描件；</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2.具有良好的商业信誉和健全的财务会计制度</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cs="宋体"/>
                <w:i w:val="0"/>
                <w:iCs w:val="0"/>
                <w:caps w:val="0"/>
                <w:color w:val="auto"/>
                <w:spacing w:val="0"/>
                <w:sz w:val="24"/>
                <w:szCs w:val="24"/>
                <w:highlight w:val="none"/>
                <w:lang w:val="en-US" w:eastAsia="zh-CN"/>
              </w:rPr>
              <w:t xml:space="preserve">提供</w:t>
            </w:r>
            <w:r>
              <w:rPr>
                <w:rFonts w:hint="eastAsia" w:ascii="宋体" w:hAnsi="宋体" w:eastAsia="宋体" w:cs="宋体"/>
                <w:i w:val="0"/>
                <w:iCs w:val="0"/>
                <w:caps w:val="0"/>
                <w:color w:val="auto"/>
                <w:spacing w:val="0"/>
                <w:sz w:val="24"/>
                <w:szCs w:val="24"/>
                <w:highlight w:val="non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或提供投标人</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2024年度</w:t>
            </w:r>
            <w:r>
              <w:rPr>
                <w:rFonts w:hint="eastAsia" w:ascii="宋体" w:hAnsi="宋体" w:cs="宋体"/>
                <w:i w:val="0"/>
                <w:iCs w:val="0"/>
                <w:caps w:val="0"/>
                <w:color w:val="auto"/>
                <w:spacing w:val="0"/>
                <w:sz w:val="24"/>
                <w:szCs w:val="24"/>
                <w:highlight w:val="none"/>
                <w:lang w:val="en-US" w:eastAsia="zh-CN"/>
              </w:rPr>
              <w:t xml:space="preserve">或2025年度）</w:t>
            </w:r>
            <w:r>
              <w:rPr>
                <w:rFonts w:hint="eastAsia" w:ascii="宋体" w:hAnsi="宋体" w:eastAsia="宋体" w:cs="宋体"/>
                <w:i w:val="0"/>
                <w:iCs w:val="0"/>
                <w:caps w:val="0"/>
                <w:color w:val="auto"/>
                <w:spacing w:val="0"/>
                <w:sz w:val="24"/>
                <w:szCs w:val="24"/>
                <w:highlight w:val="none"/>
              </w:rPr>
              <w:t xml:space="preserve">经审计的财务报告扫描件一份）；</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cs="宋体"/>
                <w:i w:val="0"/>
                <w:iCs w:val="0"/>
                <w:caps w:val="0"/>
                <w:color w:val="auto"/>
                <w:spacing w:val="0"/>
                <w:sz w:val="24"/>
                <w:szCs w:val="24"/>
                <w:highlight w:val="none"/>
                <w:lang w:val="en-US" w:eastAsia="zh-CN"/>
              </w:rPr>
              <w:t xml:space="preserve">有</w:t>
            </w:r>
            <w:r>
              <w:rPr>
                <w:rFonts w:hint="eastAsia" w:ascii="宋体" w:hAnsi="宋体" w:eastAsia="宋体" w:cs="宋体"/>
                <w:i w:val="0"/>
                <w:iCs w:val="0"/>
                <w:caps w:val="0"/>
                <w:color w:val="auto"/>
                <w:spacing w:val="0"/>
                <w:sz w:val="24"/>
                <w:szCs w:val="24"/>
                <w:highlight w:val="none"/>
              </w:rPr>
              <w:t xml:space="preserve">依法缴纳税收和社会保障资金的记录（提供</w:t>
            </w:r>
            <w:r>
              <w:rPr>
                <w:rFonts w:hint="eastAsia" w:ascii="宋体" w:hAnsi="宋体" w:cs="宋体"/>
                <w:i w:val="0"/>
                <w:iCs w:val="0"/>
                <w:caps w:val="0"/>
                <w:color w:val="auto"/>
                <w:spacing w:val="0"/>
                <w:sz w:val="24"/>
                <w:szCs w:val="24"/>
                <w:highlight w:val="none"/>
                <w:lang w:val="en-US" w:eastAsia="zh-CN"/>
              </w:rPr>
              <w:t xml:space="preserve">投标人</w:t>
            </w:r>
            <w:r>
              <w:rPr>
                <w:rFonts w:hint="eastAsia" w:ascii="宋体" w:hAnsi="宋体" w:eastAsia="宋体" w:cs="宋体"/>
                <w:i w:val="0"/>
                <w:iCs w:val="0"/>
                <w:caps w:val="0"/>
                <w:color w:val="auto"/>
                <w:spacing w:val="0"/>
                <w:sz w:val="24"/>
                <w:szCs w:val="24"/>
                <w:highlight w:val="none"/>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auto"/>
                <w:spacing w:val="0"/>
                <w:sz w:val="24"/>
                <w:szCs w:val="24"/>
                <w:highlight w:val="none"/>
                <w:lang w:eastAsia="zh-CN"/>
              </w:rPr>
              <w:t xml:space="preserve">投标人</w:t>
            </w:r>
            <w:r>
              <w:rPr>
                <w:rFonts w:hint="eastAsia" w:ascii="宋体" w:hAnsi="宋体" w:eastAsia="宋体" w:cs="宋体"/>
                <w:i w:val="0"/>
                <w:iCs w:val="0"/>
                <w:caps w:val="0"/>
                <w:color w:val="auto"/>
                <w:spacing w:val="0"/>
                <w:sz w:val="24"/>
                <w:szCs w:val="24"/>
                <w:highlight w:val="none"/>
              </w:rPr>
              <w:t xml:space="preserve">,提供相应</w:t>
            </w:r>
            <w:r>
              <w:rPr>
                <w:rFonts w:hint="eastAsia" w:ascii="宋体" w:hAnsi="宋体" w:cs="宋体"/>
                <w:i w:val="0"/>
                <w:iCs w:val="0"/>
                <w:caps w:val="0"/>
                <w:color w:val="auto"/>
                <w:spacing w:val="0"/>
                <w:sz w:val="24"/>
                <w:szCs w:val="24"/>
                <w:highlight w:val="none"/>
                <w:lang w:val="en-US" w:eastAsia="zh-CN"/>
              </w:rPr>
              <w:t xml:space="preserve">证明</w:t>
            </w:r>
            <w:r>
              <w:rPr>
                <w:rFonts w:hint="eastAsia" w:ascii="宋体" w:hAnsi="宋体" w:eastAsia="宋体" w:cs="宋体"/>
                <w:i w:val="0"/>
                <w:iCs w:val="0"/>
                <w:caps w:val="0"/>
                <w:color w:val="auto"/>
                <w:spacing w:val="0"/>
                <w:sz w:val="24"/>
                <w:szCs w:val="24"/>
                <w:highlight w:val="none"/>
              </w:rPr>
              <w:t xml:space="preserve">文件扫描件证明其依法免税或不需要缴纳社会保障资金)；</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4.具备履行合同所必需的设备和专业技术能力的证明材料。</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即投标文件中提供：①所投产品为第二类医疗器械时，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投标人有效的第二类医疗器械经营备案凭证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；所投产品为第三类医疗器械时，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投标人有效的医疗器械经营许可证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eastAsia="宋体" w:cs="宋体"/>
                <w:i w:val="0"/>
                <w:iCs w:val="0"/>
                <w:caps w:val="0"/>
                <w:color w:val="auto"/>
                <w:spacing w:val="0"/>
                <w:sz w:val="24"/>
                <w:szCs w:val="24"/>
                <w:highlight w:val="none"/>
                <w:lang w:val="en-US" w:eastAsia="zh-CN"/>
              </w:rPr>
              <w:t xml:space="preserve">。</w:t>
            </w:r>
            <w:r/>
          </w:p>
          <w:p>
            <w:pPr>
              <w:pStyle w:val="102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.投标人参加政府采购活动前3年内在经营活动中没有重大违法记录的书面声明（加盖电子签章，格式见招标文件第七章《投标文件相关格式》）。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、所投产品为“环境标志产品”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所投产品为“节能产品”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投标人其它证明文件及材料扫描件。</w:t>
            </w:r>
            <w:r/>
          </w:p>
          <w:p>
            <w:pPr>
              <w:ind w:left="0" w:right="0"/>
              <w:keepLines w:val="0"/>
              <w:keepNext w:val="0"/>
              <w:spacing w:before="0" w:beforeAutospacing="0" w:after="0" w:afterAutospacing="0"/>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lang w:val="en-US" w:eastAsia="zh-CN"/>
              </w:rPr>
              <w:t xml:space="preserve">其他部分</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2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58.0pt;height:39.0pt;mso-wrap-distance-left:0.0pt;mso-wrap-distance-top:0.0pt;mso-wrap-distance-right:0.0pt;mso-wrap-distance-bottom:0.0pt;" stroked="f">
                      <v:path textboxrect="0,0,0,0"/>
                      <v:imagedata r:id="rId24"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报价折扣证明</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
                <w:color w:val="auto"/>
                <w:sz w:val="24"/>
                <w:szCs w:val="24"/>
                <w:highlight w:val="none"/>
              </w:rPr>
              <w:t xml:space="preserve">此项目</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lang w:val="en-US" w:eastAsia="zh-CN" w:bidi="ar-SA"/>
              </w:rPr>
              <w:t xml:space="preserve">1、</w:t>
            </w:r>
            <w:r>
              <w:rPr>
                <w:rFonts w:hint="eastAsia" w:ascii="宋体" w:hAnsi="宋体" w:eastAsia="宋体" w:cs="宋体"/>
                <w:bCs/>
                <w:color w:val="auto"/>
                <w:sz w:val="24"/>
                <w:szCs w:val="21"/>
                <w:highlight w:val="none"/>
              </w:rPr>
              <w:t xml:space="preserve">提供的货物全部由符合政策要求的中小企业制造，提供《中小企业声明函》</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非必须提供</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（加盖电子签章，格式见招标文件第七章《投标文件相关格式》）</w:t>
            </w:r>
            <w:r>
              <w:rPr>
                <w:rFonts w:hint="eastAsia" w:ascii="宋体" w:hAnsi="宋体" w:eastAsia="宋体" w:cs="宋体"/>
                <w:b/>
                <w:color w:val="auto"/>
                <w:sz w:val="24"/>
                <w:szCs w:val="21"/>
                <w:highlight w:val="none"/>
              </w:rPr>
              <w:t xml:space="preserve">（如提供请填写完整，如不填写完整或未按要求填写的，视为无效）</w:t>
            </w:r>
            <w:r>
              <w:rPr>
                <w:rFonts w:hint="eastAsia" w:ascii="宋体" w:hAnsi="宋体" w:eastAsia="宋体" w:cs="宋体"/>
                <w:bCs/>
                <w:color w:val="auto"/>
                <w:sz w:val="24"/>
                <w:szCs w:val="21"/>
                <w:highlight w:val="none"/>
              </w:rPr>
              <w:t xml:space="preserve">。《中小企业声明函》查询渠道用微信搜索“中小企业规模类型自测小程序”。</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需满足的条件</w:t>
            </w: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投标人为监狱企业的，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投标人为残疾人福利性单位的，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eastAsia="宋体" w:cs="宋体"/>
                <w:b/>
                <w:bCs/>
                <w:color w:val="auto"/>
                <w:sz w:val="24"/>
                <w:szCs w:val="24"/>
                <w:highlight w:val="none"/>
                <w:lang w:val="en-US" w:eastAsia="zh-CN"/>
              </w:rPr>
              <w:t xml:space="preserve">200</w:t>
            </w:r>
            <w:r>
              <w:rPr>
                <w:rFonts w:hint="eastAsia" w:ascii="宋体" w:hAnsi="宋体" w:eastAsia="宋体" w:cs="宋体"/>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rPr>
              <w:t xml:space="preserve">（项目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线上投标文件的密封、签署、盖章要求：</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一、投标文件的密封（加密）要求：</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二、投标文件的签署要求：见招标文件第七章《投标文件相关格式》。</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说明：</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1、未进行线上投标并解密(因“苏采云”系统导致解密失败的除外)的，所导致的一切后果均由投标人承担。</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2、投标文件的签署要求：见招标文件第七章《投标文件相关格式》。</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3、投标文件的盖章要求：见招标文件第三章《投标资料表》和招标文件第七章《投标文件相关格式》。</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说明：投标人应凭CA数字证书以及自备的能够登录“苏采云”系统的电脑，在达到开标时间后，使用CA数字证书解密各自投标文件。</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投标人未按规定加密的投标文件，“苏采云”系统应当拒收并提示。</w:t>
            </w:r>
            <w:r>
              <w:rPr>
                <w:color w:val="000000" w:themeColor="text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u w:val="none"/>
              </w:rPr>
              <w:suppressLineNumbers w:val="0"/>
            </w:pPr>
            <w:r>
              <w:rPr>
                <w:rFonts w:hint="eastAsia" w:ascii="宋体" w:hAnsi="宋体" w:eastAsia="宋体" w:cs="宋体"/>
                <w:color w:val="000000" w:themeColor="text1"/>
                <w:sz w:val="24"/>
                <w:szCs w:val="21"/>
                <w:highlight w:val="none"/>
              </w:rPr>
              <w:t xml:space="preserve">一、投标文件提交时间</w:t>
            </w:r>
            <w:r>
              <w:rPr>
                <w:rFonts w:hint="eastAsia" w:ascii="宋体" w:hAnsi="宋体" w:eastAsia="宋体" w:cs="宋体"/>
                <w:color w:val="000000" w:themeColor="text1"/>
                <w:sz w:val="24"/>
                <w:szCs w:val="21"/>
                <w:highlight w:val="none"/>
              </w:rPr>
              <w:t xml:space="preserve">：</w:t>
            </w:r>
            <w:r>
              <w:rPr>
                <w:rFonts w:hint="eastAsia" w:ascii="宋体" w:hAnsi="宋体" w:cs="宋体"/>
                <w:b/>
                <w:bCs/>
                <w:color w:val="000000" w:themeColor="text1"/>
                <w:sz w:val="24"/>
                <w:szCs w:val="28"/>
                <w:highlight w:val="none"/>
                <w:u w:val="none"/>
                <w:lang w:eastAsia="zh-CN"/>
              </w:rPr>
              <w:t xml:space="preserve">2026年</w:t>
            </w:r>
            <w:r>
              <w:rPr>
                <w:rFonts w:hint="eastAsia" w:ascii="宋体" w:hAnsi="宋体" w:cs="宋体"/>
                <w:b/>
                <w:bCs/>
                <w:color w:val="000000" w:themeColor="text1"/>
                <w:sz w:val="24"/>
                <w:szCs w:val="28"/>
                <w:highlight w:val="none"/>
                <w:u w:val="none"/>
                <w:lang w:val="en-US" w:eastAsia="zh-CN"/>
              </w:rPr>
              <w:t xml:space="preserve">5月25日</w:t>
            </w:r>
            <w:r>
              <w:rPr>
                <w:rFonts w:hint="eastAsia" w:ascii="宋体" w:hAnsi="宋体" w:eastAsia="宋体" w:cs="宋体"/>
                <w:b/>
                <w:bCs/>
                <w:color w:val="000000" w:themeColor="text1"/>
                <w:sz w:val="24"/>
                <w:szCs w:val="21"/>
                <w:highlight w:val="none"/>
                <w:u w:val="none"/>
              </w:rPr>
              <w:t xml:space="preserve">09：30前</w:t>
            </w:r>
            <w:r>
              <w:rPr>
                <w:rFonts w:hint="eastAsia" w:ascii="宋体" w:hAnsi="宋体" w:eastAsia="宋体" w:cs="宋体"/>
                <w:color w:val="000000" w:themeColor="text1"/>
                <w:sz w:val="24"/>
                <w:szCs w:val="21"/>
                <w:highlight w:val="none"/>
                <w:u w:val="none"/>
              </w:rPr>
              <w:t xml:space="preserve">。</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none"/>
              </w:rPr>
              <w:suppressLineNumbers w:val="0"/>
            </w:pPr>
            <w:r>
              <w:rPr>
                <w:rFonts w:hint="eastAsia" w:ascii="宋体" w:hAnsi="宋体" w:eastAsia="宋体" w:cs="宋体"/>
                <w:color w:val="000000" w:themeColor="text1"/>
                <w:sz w:val="24"/>
                <w:szCs w:val="21"/>
                <w:highlight w:val="none"/>
                <w:u w:val="none"/>
              </w:rPr>
              <w:t xml:space="preserve">二、投标截止时间：</w:t>
            </w:r>
            <w:r>
              <w:rPr>
                <w:rFonts w:hint="eastAsia" w:ascii="宋体" w:hAnsi="宋体" w:cs="宋体"/>
                <w:b/>
                <w:bCs/>
                <w:color w:val="000000" w:themeColor="text1"/>
                <w:sz w:val="24"/>
                <w:szCs w:val="28"/>
                <w:highlight w:val="none"/>
                <w:u w:val="none"/>
                <w:lang w:eastAsia="zh-CN"/>
              </w:rPr>
              <w:t xml:space="preserve">2026年</w:t>
            </w:r>
            <w:r>
              <w:rPr>
                <w:rFonts w:hint="eastAsia" w:ascii="宋体" w:hAnsi="宋体" w:cs="宋体"/>
                <w:b/>
                <w:bCs/>
                <w:color w:val="000000" w:themeColor="text1"/>
                <w:sz w:val="24"/>
                <w:szCs w:val="28"/>
                <w:highlight w:val="none"/>
                <w:u w:val="none"/>
                <w:lang w:val="en-US" w:eastAsia="zh-CN"/>
              </w:rPr>
              <w:t xml:space="preserve">5月25日</w:t>
            </w:r>
            <w:r>
              <w:rPr>
                <w:rFonts w:hint="eastAsia" w:ascii="宋体" w:hAnsi="宋体" w:eastAsia="宋体" w:cs="宋体"/>
                <w:b/>
                <w:bCs/>
                <w:color w:val="000000" w:themeColor="text1"/>
                <w:sz w:val="24"/>
                <w:szCs w:val="21"/>
                <w:highlight w:val="none"/>
              </w:rPr>
              <w:t xml:space="preserve">北京时间09：30</w:t>
            </w:r>
            <w:r>
              <w:rPr>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color w:val="000000" w:themeColor="text1"/>
                <w:sz w:val="24"/>
                <w:szCs w:val="21"/>
                <w:highlight w:val="none"/>
              </w:rPr>
              <w:t xml:space="preserve">三、投标文件的提交与接收地点：投标人应当通过“苏采云”系统提交数据电文形式的投标文件（即电子投标），“苏采云”系统自动接收。</w:t>
            </w:r>
            <w:r>
              <w:rPr>
                <w:color w:val="000000" w:themeColor="text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t xml:space="preserve">(二十五)1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rPr>
              <w:suppressLineNumbers w:val="0"/>
            </w:pPr>
            <w:r>
              <w:rPr>
                <w:rFonts w:hint="eastAsia" w:ascii="宋体" w:hAnsi="宋体" w:eastAsia="宋体" w:cs="宋体"/>
                <w:b/>
                <w:color w:val="000000" w:themeColor="text1"/>
                <w:sz w:val="24"/>
                <w:szCs w:val="21"/>
                <w:highlight w:val="none"/>
              </w:rPr>
              <w:t xml:space="preserve">开标时间</w:t>
            </w:r>
            <w:r>
              <w:rPr>
                <w:rFonts w:hint="eastAsia" w:ascii="宋体" w:hAnsi="宋体" w:eastAsia="宋体" w:cs="宋体"/>
                <w:b/>
                <w:color w:val="000000" w:themeColor="text1"/>
                <w:sz w:val="24"/>
                <w:szCs w:val="21"/>
                <w:highlight w:val="none"/>
              </w:rPr>
              <w:t xml:space="preserve">：</w:t>
            </w:r>
            <w:r>
              <w:rPr>
                <w:rFonts w:hint="eastAsia" w:ascii="宋体" w:hAnsi="宋体" w:cs="宋体"/>
                <w:b/>
                <w:bCs/>
                <w:color w:val="000000" w:themeColor="text1"/>
                <w:sz w:val="24"/>
                <w:szCs w:val="28"/>
                <w:highlight w:val="none"/>
                <w:u w:val="none"/>
                <w:lang w:eastAsia="zh-CN"/>
              </w:rPr>
              <w:t xml:space="preserve">2026年</w:t>
            </w:r>
            <w:r>
              <w:rPr>
                <w:rFonts w:hint="eastAsia" w:ascii="宋体" w:hAnsi="宋体" w:cs="宋体"/>
                <w:b/>
                <w:bCs/>
                <w:color w:val="000000" w:themeColor="text1"/>
                <w:sz w:val="24"/>
                <w:szCs w:val="28"/>
                <w:highlight w:val="none"/>
                <w:u w:val="none"/>
                <w:lang w:val="en-US" w:eastAsia="zh-CN"/>
              </w:rPr>
              <w:t xml:space="preserve">5月25日</w:t>
            </w:r>
            <w:r>
              <w:rPr>
                <w:rFonts w:hint="eastAsia" w:ascii="宋体" w:hAnsi="宋体" w:eastAsia="宋体" w:cs="宋体"/>
                <w:b/>
                <w:bCs/>
                <w:color w:val="000000" w:themeColor="text1"/>
                <w:sz w:val="24"/>
                <w:szCs w:val="21"/>
                <w:highlight w:val="none"/>
              </w:rPr>
              <w:t xml:space="preserve">北京时间09：30</w:t>
            </w:r>
            <w:r>
              <w:rPr>
                <w:rFonts w:hint="eastAsia" w:ascii="宋体" w:hAnsi="宋体" w:eastAsia="宋体" w:cs="宋体"/>
                <w:color w:val="000000" w:themeColor="text1"/>
                <w:sz w:val="24"/>
                <w:szCs w:val="21"/>
                <w:highlight w:val="none"/>
              </w:rPr>
              <w:br w:type="textWrapping" w:clear="all"/>
            </w:r>
            <w:r>
              <w:rPr>
                <w:rFonts w:hint="eastAsia" w:ascii="宋体" w:hAnsi="宋体" w:eastAsia="宋体" w:cs="宋体"/>
                <w:b/>
                <w:color w:val="000000" w:themeColor="text1"/>
                <w:sz w:val="24"/>
                <w:szCs w:val="21"/>
                <w:highlight w:val="none"/>
              </w:rPr>
              <w:t xml:space="preserve">开标地点：</w:t>
            </w:r>
            <w:r>
              <w:rPr>
                <w:rFonts w:hint="eastAsia" w:ascii="宋体" w:hAnsi="宋体" w:eastAsia="宋体" w:cs="宋体"/>
                <w:color w:val="000000" w:themeColor="text1"/>
                <w:sz w:val="24"/>
                <w:szCs w:val="21"/>
                <w:highlight w:val="none"/>
              </w:rPr>
              <w:t xml:space="preserve">线上“苏采云”系统（网址：http://jszfcg.jsczt.cn/）“开标大厅”或进入徐州政府采购网（网址：</w:t>
            </w:r>
            <w:r>
              <w:rPr>
                <w:rFonts w:hint="eastAsia" w:ascii="宋体" w:hAnsi="宋体" w:cs="宋体"/>
                <w:color w:val="000000" w:themeColor="text1"/>
                <w:sz w:val="24"/>
                <w:szCs w:val="21"/>
                <w:highlight w:val="none"/>
                <w:lang w:eastAsia="zh-CN"/>
              </w:rPr>
              <w:t xml:space="preserve">https://czj.xz.gov.cn/zfcg/index.html</w:t>
            </w:r>
            <w:r>
              <w:rPr>
                <w:rFonts w:hint="eastAsia" w:ascii="宋体" w:hAnsi="宋体" w:eastAsia="宋体" w:cs="宋体"/>
                <w:color w:val="000000" w:themeColor="text1"/>
                <w:sz w:val="24"/>
                <w:szCs w:val="21"/>
                <w:highlight w:val="none"/>
              </w:rPr>
              <w:t xml:space="preserve">），点击“苏采云”进入系统“开标大厅”。</w:t>
            </w:r>
            <w:r>
              <w:rPr>
                <w:color w:val="000000" w:themeColor="text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eastAsia="宋体" w:cs="宋体"/>
                <w:b/>
                <w:bCs/>
                <w:color w:val="auto"/>
                <w:sz w:val="24"/>
                <w:szCs w:val="21"/>
                <w:highlight w:val="none"/>
                <w:lang w:val="en-US" w:eastAsia="zh-CN"/>
              </w:rPr>
              <w:t xml:space="preserve">本项目不收取履约保证金</w:t>
            </w:r>
            <w:r>
              <w:rPr>
                <w:rFonts w:hint="eastAsia" w:ascii="宋体" w:hAnsi="宋体" w:eastAsia="宋体" w:cs="宋体"/>
                <w:b/>
                <w:bCs/>
                <w:color w:val="auto"/>
                <w:sz w:val="24"/>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30"/>
          <w:szCs w:val="30"/>
          <w:highlight w:val="none"/>
        </w:rPr>
        <w:sectPr>
          <w:headerReference w:type="default" r:id="rId10"/>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1002"/>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2"/>
          <w:szCs w:val="22"/>
          <w:highlight w:val="none"/>
          <w:lang w:val="en-US" w:eastAsia="zh-CN" w:bidi="ar-SA"/>
        </w:rPr>
        <w:t xml:space="preserve">费率</w:t>
      </w:r>
      <w:r>
        <w:rPr>
          <w:rFonts w:hint="default" w:ascii="宋体" w:hAnsi="宋体" w:eastAsia="宋体" w:cs="宋体"/>
          <w:color w:val="auto"/>
          <w:spacing w:val="-2"/>
          <w:sz w:val="22"/>
          <w:szCs w:val="22"/>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6.有分包(分标段)的按一个项目计算。</w:t>
      </w: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7.上表为自行约定的代理服务费标准。</w:t>
      </w: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eastAsia" w:ascii="宋体" w:hAnsi="宋体" w:eastAsia="宋体" w:cs="宋体"/>
          <w:color w:val="auto"/>
          <w:spacing w:val="-2"/>
          <w:sz w:val="22"/>
          <w:szCs w:val="22"/>
          <w:highlight w:val="none"/>
          <w:lang w:val="en-US" w:eastAsia="zh-CN" w:bidi="ar-SA"/>
        </w:rPr>
        <w:t xml:space="preserve">8.</w:t>
      </w:r>
      <w:r>
        <w:rPr>
          <w:rFonts w:hint="default" w:ascii="宋体" w:hAnsi="宋体" w:eastAsia="宋体" w:cs="宋体"/>
          <w:color w:val="auto"/>
          <w:spacing w:val="-2"/>
          <w:sz w:val="22"/>
          <w:szCs w:val="22"/>
          <w:highlight w:val="none"/>
          <w:lang w:val="en-US" w:eastAsia="zh-CN" w:bidi="ar-SA"/>
        </w:rPr>
        <w:t xml:space="preserve">账户名称：江苏科建工程项目管理有限公司徐州分公司</w:t>
      </w: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开户行：中国农业银行股份有限公司徐州塔东支行</w:t>
      </w:r>
      <w:r>
        <w:rPr>
          <w:rFonts w:hint="eastAsia" w:ascii="宋体" w:hAnsi="宋体" w:cs="宋体"/>
          <w:color w:val="auto"/>
          <w:spacing w:val="-2"/>
          <w:sz w:val="22"/>
          <w:szCs w:val="22"/>
          <w:highlight w:val="none"/>
          <w:lang w:val="en-US" w:eastAsia="zh-CN" w:bidi="ar-SA"/>
        </w:rPr>
        <w:t xml:space="preserve">（系统勾选铜山-塔东）</w:t>
      </w:r>
      <w:r/>
    </w:p>
    <w:p>
      <w:pPr>
        <w:ind w:right="0"/>
        <w:keepLines w:val="0"/>
        <w:keepNext w:val="0"/>
        <w:pageBreakBefore w:val="0"/>
        <w:spacing w:line="288" w:lineRule="auto"/>
        <w:widowControl w:val="off"/>
        <w:rPr>
          <w:rFonts w:hint="default" w:ascii="宋体" w:hAnsi="宋体" w:eastAsia="宋体" w:cs="宋体"/>
          <w:color w:val="auto"/>
          <w:spacing w:val="-2"/>
          <w:sz w:val="20"/>
          <w:szCs w:val="20"/>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银行帐号：10247401040011283</w:t>
      </w:r>
      <w:r/>
    </w:p>
    <w:p>
      <w:pPr>
        <w:ind w:right="0" w:firstLine="420"/>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bidi="ar-SA"/>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outlineLvl w:val="0"/>
      </w:pPr>
      <w:r/>
      <w:bookmarkStart w:id="8" w:name="_Toc9429"/>
      <w:r/>
      <w:bookmarkStart w:id="9" w:name="_Toc14205"/>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0"/>
      </w:pPr>
      <w:r>
        <w:rPr>
          <w:rFonts w:hint="eastAsia" w:ascii="宋体" w:hAnsi="宋体" w:eastAsia="宋体" w:cs="宋体"/>
          <w:b/>
          <w:bCs/>
          <w:color w:val="auto"/>
          <w:sz w:val="30"/>
          <w:szCs w:val="44"/>
          <w:highlight w:val="none"/>
          <w:lang w:val="en-US" w:eastAsia="zh-CN" w:bidi="ar-SA"/>
        </w:rPr>
        <w:t xml:space="preserve">第四章 评标标准</w:t>
      </w:r>
      <w:bookmarkEnd w:id="8"/>
      <w:r/>
      <w:bookmarkEnd w:id="9"/>
      <w:r/>
      <w:r/>
    </w:p>
    <w:tbl>
      <w:tblPr>
        <w:tblStyle w:val="1002"/>
        <w:tblW w:w="50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8679"/>
      </w:tblGrid>
      <w:tr>
        <w:trPr>
          <w:jc w:val="center"/>
          <w:trHeight w:val="541"/>
          <w:tblHeader/>
        </w:trPr>
        <w:tc>
          <w:tcPr>
            <w:tcW w:w="626"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评分内容</w:t>
            </w:r>
            <w:r/>
          </w:p>
        </w:tc>
        <w:tc>
          <w:tcPr>
            <w:tcW w:w="4373"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评分标准</w:t>
            </w:r>
            <w:r/>
          </w:p>
        </w:tc>
      </w:tr>
      <w:tr>
        <w:trPr>
          <w:jc w:val="center"/>
          <w:trHeight w:val="6638"/>
        </w:trPr>
        <w:tc>
          <w:tcPr>
            <w:tcW w:w="626"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投标报价（30分）</w:t>
            </w:r>
            <w:r/>
          </w:p>
        </w:tc>
        <w:tc>
          <w:tcPr>
            <w:tcW w:w="4373"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注：</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该投标人的评审价格=《开标一览表》中的“总价”*（100%-10%）</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该投标人的评审价格=《开标一览表》中的“总价”*（100%-20%）</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rPr>
                <w:sz w:val="24"/>
                <w:szCs w:val="24"/>
              </w:rPr>
            </w:r>
            <w:r/>
          </w:p>
          <w:p>
            <w:pPr>
              <w:ind w:left="0" w:right="0" w:firstLine="0"/>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享受价格评审优惠不改变最终中标、成交价格，政府采购合同仍按照中标、成交供应商的报价签订。</w:t>
            </w:r>
            <w:r>
              <w:rPr>
                <w:sz w:val="24"/>
                <w:szCs w:val="24"/>
              </w:rPr>
            </w:r>
            <w:r/>
          </w:p>
        </w:tc>
      </w:tr>
      <w:tr>
        <w:trPr>
          <w:jc w:val="center"/>
          <w:trHeight w:val="4485"/>
        </w:trPr>
        <w:tc>
          <w:tcPr>
            <w:tcW w:w="626"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2"/>
                <w:szCs w:val="22"/>
                <w:highlight w:val="none"/>
                <w:lang w:val="en-US" w:eastAsia="zh-CN"/>
              </w:rPr>
              <w:suppressLineNumbers w:val="0"/>
            </w:pPr>
            <w:r>
              <w:rPr>
                <w:rFonts w:hint="eastAsia" w:ascii="宋体" w:hAnsi="宋体" w:eastAsia="宋体" w:cs="宋体"/>
                <w:b w:val="0"/>
                <w:bCs/>
                <w:color w:val="auto"/>
                <w:sz w:val="22"/>
                <w:szCs w:val="22"/>
                <w:highlight w:val="none"/>
              </w:rPr>
              <w:t xml:space="preserve">技术参数（</w:t>
            </w:r>
            <w:r>
              <w:rPr>
                <w:rFonts w:hint="eastAsia" w:ascii="宋体" w:hAnsi="宋体" w:eastAsia="宋体" w:cs="宋体"/>
                <w:b w:val="0"/>
                <w:bCs/>
                <w:color w:val="auto"/>
                <w:sz w:val="22"/>
                <w:szCs w:val="22"/>
                <w:highlight w:val="none"/>
                <w:lang w:val="en-US" w:eastAsia="zh-CN"/>
              </w:rPr>
              <w:t xml:space="preserve">3</w:t>
            </w:r>
            <w:r>
              <w:rPr>
                <w:rFonts w:hint="eastAsia" w:ascii="宋体" w:hAnsi="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分）</w:t>
            </w:r>
            <w:r/>
          </w:p>
        </w:tc>
        <w:tc>
          <w:tcPr>
            <w:tcW w:w="4373" w:type="pct"/>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依据投标文件中偏离表、技术规格说明对招标文件《采购需求》中“技术规格参数要求”满足程度进行</w:t>
            </w:r>
            <w:r>
              <w:rPr>
                <w:rFonts w:hint="eastAsia" w:ascii="宋体" w:hAnsi="宋体" w:cs="宋体"/>
                <w:b w:val="0"/>
                <w:bCs/>
                <w:color w:val="auto"/>
                <w:sz w:val="24"/>
                <w:szCs w:val="24"/>
                <w:highlight w:val="none"/>
                <w:lang w:val="en-US" w:eastAsia="zh-CN"/>
              </w:rPr>
              <w:t xml:space="preserve">综合</w:t>
            </w:r>
            <w:r>
              <w:rPr>
                <w:rFonts w:hint="eastAsia" w:ascii="宋体" w:hAnsi="宋体" w:eastAsia="宋体" w:cs="宋体"/>
                <w:b w:val="0"/>
                <w:bCs/>
                <w:color w:val="auto"/>
                <w:sz w:val="24"/>
                <w:szCs w:val="24"/>
                <w:highlight w:val="none"/>
              </w:rPr>
              <w:t xml:space="preserve">评分。</w:t>
            </w:r>
            <w:r>
              <w:rPr>
                <w:sz w:val="24"/>
                <w:szCs w:val="24"/>
              </w:rPr>
            </w:r>
            <w:r/>
          </w:p>
          <w:p>
            <w:pPr>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完全</w:t>
            </w:r>
            <w:r>
              <w:rPr>
                <w:rFonts w:hint="eastAsia" w:ascii="宋体" w:hAnsi="宋体" w:eastAsia="宋体" w:cs="宋体"/>
                <w:color w:val="auto"/>
                <w:sz w:val="24"/>
                <w:szCs w:val="24"/>
                <w:highlight w:val="none"/>
              </w:rPr>
              <w:t xml:space="preserve">满足招标文件要求的得</w:t>
            </w:r>
            <w:r>
              <w:rPr>
                <w:rFonts w:hint="eastAsia" w:ascii="宋体" w:hAnsi="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加“▲”</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次重要响应指标不满足或负偏离每项扣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auto"/>
                <w:sz w:val="24"/>
                <w:szCs w:val="24"/>
                <w:highlight w:val="none"/>
              </w:rPr>
              <w:t xml:space="preserve">若</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“▲”为次重要参数，需提供技术支持资料（如白皮书、厂家对外公开发布的产品彩页、产品说明书、认证证书、检测/检验报告等扫描件加盖电子签章）；次</w:t>
            </w:r>
            <w:r>
              <w:rPr>
                <w:rFonts w:hint="eastAsia" w:ascii="宋体" w:hAnsi="宋体" w:cs="宋体"/>
                <w:b w:val="0"/>
                <w:bCs/>
                <w:color w:val="auto"/>
                <w:sz w:val="24"/>
                <w:szCs w:val="24"/>
                <w:highlight w:val="none"/>
                <w:lang w:val="en-US" w:eastAsia="zh-CN"/>
              </w:rPr>
              <w:t xml:space="preserve">重</w:t>
            </w:r>
            <w:r>
              <w:rPr>
                <w:rFonts w:hint="eastAsia" w:ascii="宋体" w:hAnsi="宋体" w:eastAsia="宋体" w:cs="宋体"/>
                <w:b w:val="0"/>
                <w:bCs/>
                <w:color w:val="auto"/>
                <w:sz w:val="24"/>
                <w:szCs w:val="24"/>
                <w:highlight w:val="none"/>
                <w:lang w:val="en-US" w:eastAsia="zh-CN"/>
              </w:rPr>
              <w:t xml:space="preserve">要参数经评委审核技术支持材料有效，视为满足；未提供技术支持资料或技术支持资料中内容与所填报参数要求不一致的，该项按不满足扣分处理。需在《偏离表》中清楚标注每一证明材料对应项的具体页码，未提供或提供的不符合要求的，自行承担被判定为负偏离的风险。</w:t>
            </w:r>
            <w:r>
              <w:rPr>
                <w:sz w:val="24"/>
                <w:szCs w:val="24"/>
              </w:rPr>
            </w:r>
            <w:r/>
          </w:p>
        </w:tc>
      </w:tr>
      <w:tr>
        <w:trPr>
          <w:jc w:val="center"/>
          <w:trHeight w:val="2843"/>
        </w:trPr>
        <w:tc>
          <w:tcPr>
            <w:shd w:val="clear" w:color="auto" w:fill="auto"/>
            <w:tcW w:w="626" w:type="pct"/>
            <w:vAlign w:val="center"/>
            <w:textDirection w:val="lrTb"/>
            <w:noWrap w:val="false"/>
          </w:tcPr>
          <w:p>
            <w:pPr>
              <w:numPr>
                <w:ilvl w:val="255"/>
                <w:numId w:val="0"/>
              </w:numPr>
              <w:ind w:left="0" w:right="0" w:firstLine="0"/>
              <w:jc w:val="center"/>
              <w:keepLines w:val="0"/>
              <w:keepNext w:val="0"/>
              <w:spacing w:before="0" w:beforeAutospacing="0" w:after="0" w:afterAutospacing="0" w:line="240" w:lineRule="auto"/>
              <w:rPr>
                <w:rFonts w:hint="eastAsia" w:ascii="宋体" w:hAnsi="宋体" w:eastAsia="宋体" w:cs="宋体"/>
                <w:b w:val="0"/>
                <w:bCs/>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rPr>
              <w:t xml:space="preserve">所投产品质量、性能评价（</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shd w:val="clear" w:color="auto" w:fill="auto"/>
            <w:tcW w:w="4373"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根据所投产品实样照片、产品配置、产品品质、医疗机构应用情况</w:t>
            </w:r>
            <w:r>
              <w:rPr>
                <w:rFonts w:hint="eastAsia" w:asciiTheme="minorEastAsia" w:hAnsiTheme="minorEastAsia" w:eastAsiaTheme="minorEastAsia" w:cstheme="minorEastAsia"/>
                <w:b w:val="0"/>
                <w:bCs w:val="0"/>
                <w:color w:val="auto"/>
                <w:sz w:val="24"/>
                <w:szCs w:val="24"/>
                <w:lang w:val="en-US" w:eastAsia="zh-CN"/>
              </w:rPr>
              <w:t xml:space="preserve">以及针对采购包关注重点等内容</w:t>
            </w:r>
            <w:r>
              <w:rPr>
                <w:rFonts w:hint="eastAsia" w:ascii="宋体" w:hAnsi="宋体" w:eastAsia="宋体" w:cs="宋体"/>
                <w:color w:val="auto"/>
                <w:sz w:val="24"/>
                <w:szCs w:val="24"/>
                <w:highlight w:val="none"/>
                <w:lang w:val="en-US" w:eastAsia="zh-CN"/>
              </w:rPr>
              <w:t xml:space="preserve">等，从性能稳定性、质量可靠性、技术先进性方面综合评分。</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分；性能稳定性一般的得2分；性能稳定性较差的得1分</w:t>
            </w:r>
            <w:r>
              <w:rPr>
                <w:rFonts w:hint="eastAsia" w:ascii="宋体" w:hAnsi="宋体" w:cs="宋体"/>
                <w:color w:val="auto"/>
                <w:sz w:val="24"/>
                <w:szCs w:val="24"/>
                <w:highlight w:val="none"/>
                <w:lang w:val="en-US" w:eastAsia="zh-CN"/>
              </w:rPr>
              <w:t xml:space="preserve">。</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rPr>
                <w:rFonts w:hint="eastAsia" w:ascii="宋体" w:hAnsi="宋体" w:cs="宋体"/>
                <w:color w:val="auto"/>
                <w:sz w:val="24"/>
                <w:szCs w:val="24"/>
                <w:highlight w:val="none"/>
                <w:lang w:val="en-US" w:eastAsia="zh-CN"/>
              </w:rPr>
              <w:t xml:space="preserve">。</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分，最低不得分。</w:t>
            </w:r>
            <w:r>
              <w:rPr>
                <w:sz w:val="24"/>
                <w:szCs w:val="24"/>
              </w:rPr>
            </w:r>
            <w:r/>
          </w:p>
        </w:tc>
      </w:tr>
      <w:tr>
        <w:trPr>
          <w:jc w:val="center"/>
          <w:trHeight w:val="2290"/>
        </w:trPr>
        <w:tc>
          <w:tcPr>
            <w:shd w:val="clear" w:color="auto" w:fill="auto"/>
            <w:tcW w:w="626" w:type="pct"/>
            <w:vAlign w:val="center"/>
            <w:textDirection w:val="lrTb"/>
            <w:noWrap w:val="false"/>
          </w:tcPr>
          <w:p>
            <w:pPr>
              <w:numPr>
                <w:ilvl w:val="255"/>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2"/>
                <w:szCs w:val="22"/>
                <w:highlight w:val="none"/>
                <w:lang w:val="en-US" w:eastAsia="zh-CN"/>
              </w:rPr>
              <w:suppressLineNumbers w:val="0"/>
            </w:pPr>
            <w:r>
              <w:rPr>
                <w:rFonts w:hint="eastAsia" w:ascii="宋体" w:hAnsi="宋体" w:eastAsia="宋体" w:cs="宋体"/>
                <w:color w:val="auto"/>
                <w:sz w:val="22"/>
                <w:szCs w:val="22"/>
                <w:highlight w:val="none"/>
                <w:lang w:eastAsia="zh-CN"/>
              </w:rPr>
              <w:t xml:space="preserve">项目实施方案</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tc>
        <w:tc>
          <w:tcPr>
            <w:shd w:val="clear" w:color="auto" w:fill="auto"/>
            <w:tcW w:w="4373"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lang w:val="en-US" w:eastAsia="zh-CN"/>
              </w:rPr>
              <w:t xml:space="preserve">根据投标文件中提供的</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cs="宋体"/>
                <w:color w:val="auto"/>
                <w:sz w:val="24"/>
                <w:szCs w:val="24"/>
                <w:highlight w:val="none"/>
                <w:lang w:val="en-US" w:eastAsia="zh-CN"/>
              </w:rPr>
              <w:t xml:space="preserve">实施</w:t>
            </w:r>
            <w:r>
              <w:rPr>
                <w:rFonts w:hint="eastAsia" w:asciiTheme="minorEastAsia" w:hAnsiTheme="minorEastAsia" w:eastAsiaTheme="minorEastAsia" w:cstheme="minorEastAsia"/>
                <w:b w:val="0"/>
                <w:bCs w:val="0"/>
                <w:color w:val="auto"/>
                <w:sz w:val="24"/>
                <w:szCs w:val="24"/>
                <w:lang w:val="en-US" w:eastAsia="zh-CN"/>
              </w:rPr>
              <w:t xml:space="preserve">人员安排、实施流程、供货的保障措施、供货计划安排、安装调试方案</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rPr>
                <w:sz w:val="24"/>
                <w:szCs w:val="24"/>
              </w:rPr>
            </w:r>
            <w:r/>
          </w:p>
        </w:tc>
      </w:tr>
      <w:tr>
        <w:trPr>
          <w:jc w:val="center"/>
          <w:trHeight w:val="2551"/>
        </w:trPr>
        <w:tc>
          <w:tcPr>
            <w:shd w:val="clear" w:color="auto" w:fill="auto"/>
            <w:tcW w:w="626" w:type="pct"/>
            <w:vAlign w:val="center"/>
            <w:textDirection w:val="lrTb"/>
            <w:noWrap w:val="false"/>
          </w:tcPr>
          <w:p>
            <w:pPr>
              <w:numPr>
                <w:ilvl w:val="255"/>
                <w:numId w:val="0"/>
              </w:numPr>
              <w:ind w:left="0" w:right="0" w:firstLine="0"/>
              <w:jc w:val="center"/>
              <w:keepLines w:val="0"/>
              <w:keepNext w:val="0"/>
              <w:spacing w:before="0" w:beforeAutospacing="0" w:after="0" w:afterAutospacing="0" w:line="240" w:lineRule="auto"/>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rPr>
              <w:t xml:space="preserve">售后服务方案（</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tc>
        <w:tc>
          <w:tcPr>
            <w:shd w:val="clear" w:color="auto" w:fill="auto"/>
            <w:tcW w:w="4373"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lang w:val="en-US" w:eastAsia="zh-CN"/>
              </w:rPr>
              <w:t xml:space="preserve">根据投标文件中提供的</w:t>
            </w:r>
            <w:r>
              <w:rPr>
                <w:rFonts w:hint="eastAsia" w:ascii="宋体" w:hAnsi="宋体" w:cs="宋体"/>
                <w:color w:val="auto"/>
                <w:sz w:val="24"/>
                <w:szCs w:val="24"/>
                <w:highlight w:val="none"/>
                <w:lang w:val="en-US" w:eastAsia="zh-CN"/>
              </w:rPr>
              <w:t xml:space="preserve">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，内容包含但不限于质保期</w:t>
            </w:r>
            <w:r>
              <w:rPr>
                <w:rFonts w:hint="eastAsia" w:ascii="宋体" w:hAnsi="宋体" w:cs="宋体"/>
                <w:color w:val="auto"/>
                <w:sz w:val="24"/>
                <w:szCs w:val="24"/>
                <w:highlight w:val="none"/>
                <w:lang w:val="en-US" w:eastAsia="zh-CN"/>
              </w:rPr>
              <w:t xml:space="preserve">限承诺、售后</w:t>
            </w:r>
            <w:r>
              <w:rPr>
                <w:rFonts w:hint="eastAsia" w:ascii="宋体" w:hAnsi="宋体" w:eastAsia="宋体" w:cs="宋体"/>
                <w:color w:val="auto"/>
                <w:sz w:val="24"/>
                <w:szCs w:val="24"/>
                <w:highlight w:val="none"/>
                <w:lang w:val="en-US" w:eastAsia="zh-CN"/>
              </w:rPr>
              <w:t xml:space="preserve">服务方式、响应时间、故障处理、应急保障措施、质保期满后配件供应等。</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rPr>
                <w:sz w:val="24"/>
                <w:szCs w:val="24"/>
              </w:rPr>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rPr>
                <w:sz w:val="24"/>
                <w:szCs w:val="24"/>
              </w:rPr>
            </w:r>
            <w:r/>
          </w:p>
        </w:tc>
      </w:tr>
      <w:tr>
        <w:trPr>
          <w:jc w:val="center"/>
          <w:trHeight w:val="2069"/>
        </w:trPr>
        <w:tc>
          <w:tcPr>
            <w:shd w:val="clear" w:color="auto" w:fill="auto"/>
            <w:tcW w:w="626" w:type="pct"/>
            <w:vAlign w:val="center"/>
            <w:textDirection w:val="lrTb"/>
            <w:noWrap w:val="false"/>
          </w:tcPr>
          <w:p>
            <w:pPr>
              <w:numPr>
                <w:ilvl w:val="255"/>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2"/>
                <w:szCs w:val="22"/>
                <w:highlight w:val="none"/>
                <w:lang w:val="en-US" w:eastAsia="zh-CN" w:bidi="ar-SA"/>
              </w:rPr>
              <w:suppressLineNumbers w:val="0"/>
            </w:pPr>
            <w:r>
              <w:rPr>
                <w:rFonts w:hint="eastAsia" w:ascii="宋体" w:hAnsi="宋体" w:cs="宋体"/>
                <w:color w:val="auto"/>
                <w:sz w:val="22"/>
                <w:szCs w:val="22"/>
                <w:highlight w:val="none"/>
                <w:lang w:val="en-US" w:eastAsia="zh-CN"/>
              </w:rPr>
              <w:t xml:space="preserve">技术</w:t>
            </w:r>
            <w:r>
              <w:rPr>
                <w:rFonts w:hint="eastAsia" w:ascii="宋体" w:hAnsi="宋体" w:eastAsia="宋体" w:cs="宋体"/>
                <w:color w:val="auto"/>
                <w:sz w:val="22"/>
                <w:szCs w:val="22"/>
                <w:highlight w:val="none"/>
              </w:rPr>
              <w:t xml:space="preserve">培训方案（</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tc>
        <w:tc>
          <w:tcPr>
            <w:shd w:val="clear" w:color="auto" w:fill="auto"/>
            <w:tcW w:w="4373"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rPr>
              <w:outlineLvl w:val="9"/>
              <w:suppressLineNumbers w:val="0"/>
            </w:pPr>
            <w:r>
              <w:rPr>
                <w:rFonts w:hint="eastAsia" w:ascii="宋体" w:hAnsi="宋体" w:cs="宋体"/>
                <w:color w:val="auto"/>
                <w:sz w:val="24"/>
                <w:szCs w:val="24"/>
                <w:lang w:val="en-US" w:eastAsia="zh-CN"/>
              </w:rPr>
              <w:t xml:space="preserve">根据投标文件中提供的</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lang w:val="en-US" w:eastAsia="zh-CN"/>
              </w:rPr>
              <w:t xml:space="preserve">，内容包含但不限于：培训计划、培训内容、培训方式等。</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rPr>
              <w:outlineLvl w:val="9"/>
              <w:suppressLineNumbers w:val="0"/>
            </w:pPr>
            <w:r>
              <w:rPr>
                <w:rFonts w:hint="eastAsia" w:ascii="宋体" w:hAnsi="宋体" w:cs="宋体"/>
                <w:color w:val="auto"/>
                <w:sz w:val="24"/>
                <w:szCs w:val="24"/>
                <w:lang w:val="en-US" w:eastAsia="zh-CN"/>
              </w:rPr>
              <w:t xml:space="preserve">技术培训方案</w:t>
            </w:r>
            <w:r>
              <w:rPr>
                <w:rFonts w:hint="eastAsia" w:ascii="宋体" w:hAnsi="宋体" w:eastAsia="宋体" w:cs="宋体"/>
                <w:color w:val="auto"/>
                <w:sz w:val="24"/>
                <w:szCs w:val="24"/>
                <w:lang w:val="en-US" w:eastAsia="zh-CN"/>
              </w:rPr>
              <w:t xml:space="preserve">针对性强、符合实际切实可行的得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rPr>
              <w:outlineLvl w:val="9"/>
              <w:suppressLineNumbers w:val="0"/>
            </w:pPr>
            <w:r>
              <w:rPr>
                <w:rFonts w:hint="eastAsia" w:ascii="宋体" w:hAnsi="宋体" w:cs="宋体"/>
                <w:color w:val="auto"/>
                <w:sz w:val="24"/>
                <w:szCs w:val="24"/>
                <w:lang w:val="en-US" w:eastAsia="zh-CN"/>
              </w:rPr>
              <w:t xml:space="preserve">技术培训方案</w:t>
            </w:r>
            <w:r>
              <w:rPr>
                <w:rFonts w:hint="eastAsia" w:ascii="宋体" w:hAnsi="宋体" w:eastAsia="宋体" w:cs="宋体"/>
                <w:color w:val="auto"/>
                <w:sz w:val="24"/>
                <w:szCs w:val="24"/>
                <w:lang w:val="en-US" w:eastAsia="zh-CN"/>
              </w:rPr>
              <w:t xml:space="preserve">针对性一般、较可行的得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rPr>
                <w:sz w:val="24"/>
                <w:szCs w:val="24"/>
              </w:rPr>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rPr>
              <w:outlineLvl w:val="9"/>
              <w:suppressLineNumbers w:val="0"/>
            </w:pPr>
            <w:r>
              <w:rPr>
                <w:rFonts w:hint="eastAsia" w:ascii="宋体" w:hAnsi="宋体" w:cs="宋体"/>
                <w:color w:val="auto"/>
                <w:sz w:val="24"/>
                <w:szCs w:val="24"/>
                <w:lang w:val="en-US" w:eastAsia="zh-CN"/>
              </w:rPr>
              <w:t xml:space="preserve">技术培训方案</w:t>
            </w:r>
            <w:r>
              <w:rPr>
                <w:rFonts w:hint="eastAsia" w:ascii="宋体" w:hAnsi="宋体" w:eastAsia="宋体" w:cs="宋体"/>
                <w:color w:val="auto"/>
                <w:sz w:val="24"/>
                <w:szCs w:val="24"/>
                <w:lang w:val="en-US" w:eastAsia="zh-CN"/>
              </w:rPr>
              <w:t xml:space="preserve">欠缺针对性和可行性的得1分。</w:t>
            </w:r>
            <w:r>
              <w:rPr>
                <w:sz w:val="24"/>
                <w:szCs w:val="24"/>
              </w:rPr>
            </w:r>
            <w:r/>
          </w:p>
          <w:p>
            <w:pPr>
              <w:pStyle w:val="1033"/>
              <w:ind w:left="0" w:right="0"/>
              <w:keepLines w:val="0"/>
              <w:keepNext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lang w:val="en-US" w:eastAsia="zh-CN"/>
              </w:rPr>
              <w:t xml:space="preserve">未提供的不得分，</w:t>
            </w:r>
            <w:r>
              <w:rPr>
                <w:rFonts w:hint="eastAsia" w:ascii="宋体" w:hAnsi="宋体" w:cs="宋体"/>
                <w:color w:val="auto"/>
                <w:sz w:val="24"/>
                <w:szCs w:val="24"/>
                <w:lang w:val="en-US" w:eastAsia="zh-CN"/>
              </w:rPr>
              <w:t xml:space="preserve">本项</w:t>
            </w:r>
            <w:r>
              <w:rPr>
                <w:rFonts w:hint="eastAsia" w:ascii="宋体" w:hAnsi="宋体" w:eastAsia="宋体" w:cs="宋体"/>
                <w:color w:val="auto"/>
                <w:sz w:val="24"/>
                <w:szCs w:val="24"/>
                <w:lang w:val="en-US" w:eastAsia="zh-CN"/>
              </w:rPr>
              <w:t xml:space="preserve">最高得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分，最低不得分。</w:t>
            </w:r>
            <w:r>
              <w:rPr>
                <w:sz w:val="24"/>
                <w:szCs w:val="24"/>
              </w:rPr>
            </w:r>
            <w:r/>
          </w:p>
        </w:tc>
      </w:tr>
      <w:tr>
        <w:trPr>
          <w:jc w:val="center"/>
          <w:trHeight w:val="1272"/>
        </w:trPr>
        <w:tc>
          <w:tcPr>
            <w:shd w:val="clear" w:color="auto" w:fill="auto"/>
            <w:tcW w:w="626"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eastAsia" w:ascii="宋体" w:hAnsi="宋体" w:cs="宋体"/>
                <w:b w:val="0"/>
                <w:bCs/>
                <w:color w:val="auto"/>
                <w:sz w:val="22"/>
                <w:szCs w:val="22"/>
                <w:highlight w:val="none"/>
                <w:lang w:val="en-US" w:eastAsia="zh-CN"/>
              </w:rPr>
              <w:suppressLineNumbers w:val="0"/>
            </w:pPr>
            <w:r>
              <w:rPr>
                <w:rFonts w:hint="eastAsia" w:ascii="宋体" w:hAnsi="宋体" w:cs="宋体"/>
                <w:b w:val="0"/>
                <w:bCs/>
                <w:color w:val="auto"/>
                <w:sz w:val="22"/>
                <w:szCs w:val="22"/>
                <w:highlight w:val="none"/>
                <w:lang w:val="en-US" w:eastAsia="zh-CN"/>
              </w:rPr>
              <w:t xml:space="preserve">业绩</w:t>
            </w:r>
            <w:r/>
          </w:p>
          <w:p>
            <w:pPr>
              <w:numPr>
                <w:ilvl w:val="255"/>
                <w:numId w:val="0"/>
              </w:num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lang w:val="en-US" w:eastAsia="zh-CN" w:bidi="ar-SA"/>
              </w:rPr>
              <w:suppressLineNumbers w:val="0"/>
            </w:pPr>
            <w:r>
              <w:rPr>
                <w:rFonts w:hint="eastAsia" w:ascii="宋体" w:hAnsi="宋体" w:cs="宋体"/>
                <w:b w:val="0"/>
                <w:bCs/>
                <w:color w:val="auto"/>
                <w:sz w:val="22"/>
                <w:szCs w:val="22"/>
                <w:highlight w:val="none"/>
                <w:lang w:val="en-US" w:eastAsia="zh-CN"/>
              </w:rPr>
              <w:t xml:space="preserve">（4分）</w:t>
            </w:r>
            <w:r/>
          </w:p>
        </w:tc>
        <w:tc>
          <w:tcPr>
            <w:shd w:val="clear" w:color="auto" w:fill="auto"/>
            <w:tcW w:w="4373"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年1月1日（以合同签订时间为准）以来</w:t>
            </w:r>
            <w:r>
              <w:rPr>
                <w:rFonts w:hint="eastAsia" w:ascii="宋体" w:hAnsi="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所</w:t>
            </w:r>
            <w:r>
              <w:rPr>
                <w:rFonts w:hint="eastAsia" w:ascii="宋体" w:hAnsi="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产品</w:t>
            </w:r>
            <w:r>
              <w:rPr>
                <w:rFonts w:hint="eastAsia" w:ascii="宋体" w:hAnsi="宋体" w:cs="宋体"/>
                <w:color w:val="auto"/>
                <w:sz w:val="24"/>
                <w:szCs w:val="24"/>
                <w:highlight w:val="none"/>
                <w:lang w:eastAsia="zh-CN"/>
              </w:rPr>
              <w:t xml:space="preserve">相类似的销售</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，业绩证明材料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关键页清晰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分。未提供不得分</w:t>
            </w:r>
            <w:r>
              <w:rPr>
                <w:rFonts w:hint="eastAsia" w:ascii="宋体" w:hAnsi="宋体" w:cs="宋体"/>
                <w:color w:val="auto"/>
                <w:sz w:val="24"/>
                <w:szCs w:val="24"/>
                <w:highlight w:val="none"/>
                <w:lang w:eastAsia="zh-CN"/>
              </w:rPr>
              <w:t xml:space="preserve">。</w:t>
            </w:r>
            <w:r>
              <w:rPr>
                <w:sz w:val="24"/>
                <w:szCs w:val="24"/>
              </w:rPr>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注：投标文件中提供销售合同扫描件加盖电子签章。</w:t>
            </w:r>
            <w:r>
              <w:rPr>
                <w:sz w:val="24"/>
                <w:szCs w:val="24"/>
              </w:rPr>
            </w:r>
            <w:r/>
          </w:p>
        </w:tc>
      </w:tr>
      <w:tr>
        <w:trPr>
          <w:jc w:val="center"/>
          <w:trHeight w:val="1874"/>
        </w:trPr>
        <w:tc>
          <w:tcPr>
            <w:tcW w:w="626" w:type="pct"/>
            <w:vAlign w:val="center"/>
            <w:textDirection w:val="lrTb"/>
            <w:noWrap w:val="false"/>
          </w:tcPr>
          <w:p>
            <w:pPr>
              <w:pStyle w:val="1040"/>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所投产品为“环境标志产品”</w:t>
            </w:r>
            <w:r/>
          </w:p>
          <w:p>
            <w:pPr>
              <w:pStyle w:val="1040"/>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（1分）</w:t>
            </w:r>
            <w:r/>
          </w:p>
        </w:tc>
        <w:tc>
          <w:tcPr>
            <w:tcW w:w="4373" w:type="pct"/>
            <w:vAlign w:val="center"/>
            <w:textDirection w:val="lrTb"/>
            <w:noWrap w:val="false"/>
          </w:tcPr>
          <w:p>
            <w:pPr>
              <w:pStyle w:val="1033"/>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outlineLvl w:val="0"/>
              <w:suppressLineNumbers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rPr>
                <w:sz w:val="24"/>
                <w:szCs w:val="24"/>
              </w:rPr>
            </w:r>
            <w:r/>
          </w:p>
        </w:tc>
      </w:tr>
      <w:tr>
        <w:trPr>
          <w:jc w:val="center"/>
          <w:trHeight w:val="1846"/>
        </w:trPr>
        <w:tc>
          <w:tcPr>
            <w:tcW w:w="626" w:type="pct"/>
            <w:vAlign w:val="center"/>
            <w:textDirection w:val="lrTb"/>
            <w:noWrap w:val="false"/>
          </w:tcPr>
          <w:p>
            <w:pPr>
              <w:pStyle w:val="1040"/>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所投产品为“节能产品”</w:t>
            </w:r>
            <w:r/>
          </w:p>
          <w:p>
            <w:pPr>
              <w:pStyle w:val="1040"/>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2"/>
                <w:szCs w:val="22"/>
                <w:highlight w:val="none"/>
              </w:rPr>
              <w:t xml:space="preserve">（1分）</w:t>
            </w:r>
            <w:r/>
          </w:p>
        </w:tc>
        <w:tc>
          <w:tcPr>
            <w:tcW w:w="4373" w:type="pct"/>
            <w:vAlign w:val="center"/>
            <w:textDirection w:val="lrTb"/>
            <w:noWrap w:val="false"/>
          </w:tcPr>
          <w:p>
            <w:pPr>
              <w:pStyle w:val="1033"/>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outlineLvl w:val="0"/>
              <w:suppressLineNumbers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rPr>
                <w:sz w:val="24"/>
                <w:szCs w:val="24"/>
              </w:rPr>
            </w:r>
            <w:r/>
          </w:p>
        </w:tc>
      </w:tr>
    </w:tbl>
    <w:p>
      <w:pPr>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本项目采用综合评分法。投标人技术部分得分取所有评委的平均值，保留小数点后二位。</w:t>
      </w:r>
      <w:r/>
    </w:p>
    <w:p>
      <w:pPr>
        <w:rPr>
          <w:rFonts w:hint="eastAsia" w:ascii="宋体" w:hAnsi="宋体" w:eastAsia="宋体" w:cs="宋体"/>
          <w:b/>
          <w:bCs/>
          <w:color w:val="auto"/>
          <w:sz w:val="28"/>
          <w:szCs w:val="28"/>
          <w:highlight w:val="none"/>
        </w:rPr>
      </w:pPr>
      <w:r/>
      <w:bookmarkStart w:id="10" w:name="_Toc17747"/>
      <w:r/>
      <w:bookmarkStart w:id="11" w:name="_Toc25688"/>
      <w:r>
        <w:rPr>
          <w:rFonts w:hint="eastAsia" w:ascii="宋体" w:hAnsi="宋体" w:eastAsia="宋体" w:cs="宋体"/>
          <w:b/>
          <w:bCs/>
          <w:color w:val="auto"/>
          <w:sz w:val="28"/>
          <w:szCs w:val="28"/>
          <w:highlight w:val="none"/>
        </w:rPr>
        <w:br w:type="page" w:clear="all"/>
      </w:r>
      <w:r/>
    </w:p>
    <w:p>
      <w:pPr>
        <w:ind w:firstLine="420"/>
        <w:jc w:val="center"/>
        <w:spacing w:line="480" w:lineRule="auto"/>
        <w:rPr>
          <w:rFonts w:hint="eastAsia" w:ascii="宋体" w:hAnsi="宋体" w:eastAsia="宋体" w:cs="宋体"/>
          <w:bCs/>
          <w:color w:val="auto"/>
          <w:sz w:val="24"/>
          <w:szCs w:val="21"/>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r/>
    </w:p>
    <w:p>
      <w:pPr>
        <w:spacing w:line="360" w:lineRule="auto"/>
        <w:rPr>
          <w:rStyle w:val="1200"/>
          <w:rFonts w:hint="eastAsia" w:ascii="宋体" w:hAnsi="宋体" w:eastAsia="宋体" w:cs="宋体"/>
          <w:b/>
          <w:bCs/>
          <w:color w:val="auto"/>
          <w:sz w:val="24"/>
          <w:szCs w:val="24"/>
          <w:lang w:val="en-US"/>
        </w:rPr>
      </w:pPr>
      <w:r>
        <w:rPr>
          <w:rStyle w:val="1200"/>
          <w:rFonts w:hint="eastAsia" w:ascii="宋体" w:hAnsi="宋体" w:cs="宋体"/>
          <w:b/>
          <w:bCs/>
          <w:color w:val="auto"/>
          <w:sz w:val="24"/>
          <w:szCs w:val="24"/>
          <w:lang w:val="en-US"/>
        </w:rPr>
        <w:t xml:space="preserve">一、</w:t>
      </w:r>
      <w:r>
        <w:rPr>
          <w:rStyle w:val="1200"/>
          <w:rFonts w:hint="eastAsia" w:ascii="宋体" w:hAnsi="宋体" w:eastAsia="宋体" w:cs="宋体"/>
          <w:b/>
          <w:bCs/>
          <w:color w:val="auto"/>
          <w:sz w:val="24"/>
          <w:szCs w:val="24"/>
          <w:lang w:val="en-US"/>
        </w:rPr>
        <w:t xml:space="preserve">此项目不属于专门面向中小微企业采购的项目。</w:t>
      </w:r>
      <w:r/>
    </w:p>
    <w:p>
      <w:pPr>
        <w:spacing w:line="360" w:lineRule="auto"/>
        <w:rPr>
          <w:rStyle w:val="1200"/>
          <w:rFonts w:hint="eastAsia" w:ascii="宋体" w:hAnsi="宋体" w:eastAsia="宋体" w:cs="宋体"/>
          <w:b/>
          <w:bCs/>
          <w:color w:val="auto"/>
          <w:sz w:val="24"/>
          <w:szCs w:val="24"/>
          <w:lang w:val="en-US"/>
        </w:rPr>
      </w:pPr>
      <w:r>
        <w:rPr>
          <w:rStyle w:val="1200"/>
          <w:rFonts w:hint="eastAsia" w:ascii="宋体" w:hAnsi="宋体" w:eastAsia="宋体" w:cs="宋体"/>
          <w:b/>
          <w:bCs/>
          <w:color w:val="auto"/>
          <w:sz w:val="24"/>
          <w:szCs w:val="24"/>
          <w:lang w:val="en-US"/>
        </w:rPr>
        <w:t xml:space="preserve">二、本项目不接受进口产品投标</w:t>
      </w:r>
      <w:r>
        <w:rPr>
          <w:rStyle w:val="1200"/>
          <w:rFonts w:hint="eastAsia" w:ascii="宋体" w:hAnsi="宋体" w:cs="宋体"/>
          <w:b/>
          <w:bCs/>
          <w:color w:val="auto"/>
          <w:sz w:val="24"/>
          <w:szCs w:val="24"/>
          <w:lang w:val="en-US"/>
        </w:rPr>
        <w:t xml:space="preserve">。</w:t>
      </w:r>
      <w:r/>
    </w:p>
    <w:p>
      <w:pPr>
        <w:spacing w:line="360" w:lineRule="auto"/>
        <w:rPr>
          <w:rStyle w:val="1200"/>
          <w:rFonts w:hint="default" w:ascii="宋体" w:hAnsi="宋体" w:cs="宋体"/>
          <w:b w:val="0"/>
          <w:bCs/>
          <w:color w:val="auto"/>
          <w:sz w:val="24"/>
          <w:szCs w:val="24"/>
          <w:highlight w:val="none"/>
          <w:lang w:val="en-US"/>
        </w:rPr>
      </w:pPr>
      <w:r>
        <w:rPr>
          <w:rStyle w:val="1200"/>
          <w:rFonts w:hint="eastAsia" w:ascii="宋体" w:hAnsi="宋体" w:cs="宋体"/>
          <w:b/>
          <w:bCs/>
          <w:color w:val="auto"/>
          <w:sz w:val="24"/>
          <w:szCs w:val="24"/>
          <w:lang w:val="en-US"/>
        </w:rPr>
        <w:t xml:space="preserve">三、采购预算（最高限价）：</w:t>
      </w:r>
      <w:r>
        <w:rPr>
          <w:rStyle w:val="1200"/>
          <w:rFonts w:hint="eastAsia" w:ascii="宋体" w:hAnsi="宋体" w:eastAsia="宋体" w:cs="宋体"/>
          <w:b/>
          <w:bCs/>
          <w:color w:val="auto"/>
          <w:sz w:val="24"/>
          <w:szCs w:val="24"/>
          <w:lang w:val="en-US"/>
        </w:rPr>
        <w:t xml:space="preserve">本项目不接受超过人民币</w:t>
      </w:r>
      <w:r>
        <w:rPr>
          <w:rStyle w:val="1200"/>
          <w:rFonts w:hint="eastAsia" w:ascii="宋体" w:hAnsi="宋体" w:cs="宋体"/>
          <w:b/>
          <w:bCs/>
          <w:color w:val="auto"/>
          <w:sz w:val="24"/>
          <w:szCs w:val="24"/>
          <w:lang w:val="en-US"/>
        </w:rPr>
        <w:t xml:space="preserve">200</w:t>
      </w:r>
      <w:r>
        <w:rPr>
          <w:rStyle w:val="1200"/>
          <w:rFonts w:hint="eastAsia" w:ascii="宋体" w:hAnsi="宋体" w:eastAsia="宋体" w:cs="宋体"/>
          <w:b/>
          <w:bCs/>
          <w:color w:val="auto"/>
          <w:sz w:val="24"/>
          <w:szCs w:val="24"/>
          <w:lang w:val="en-US"/>
        </w:rPr>
        <w:t xml:space="preserve">万元（采购项目预算金额）的投标报价。</w:t>
      </w:r>
      <w:r/>
    </w:p>
    <w:p>
      <w:pPr>
        <w:spacing w:line="360" w:lineRule="auto"/>
        <w:rPr>
          <w:rStyle w:val="1200"/>
          <w:rFonts w:hint="eastAsia" w:ascii="宋体" w:hAnsi="宋体" w:cs="宋体"/>
          <w:b/>
          <w:bCs w:val="0"/>
          <w:color w:val="auto"/>
          <w:sz w:val="24"/>
          <w:szCs w:val="24"/>
          <w:highlight w:val="none"/>
          <w:lang w:val="en-US"/>
        </w:rPr>
      </w:pPr>
      <w:r>
        <w:rPr>
          <w:rStyle w:val="1200"/>
          <w:rFonts w:hint="eastAsia" w:ascii="宋体" w:hAnsi="宋体" w:cs="宋体"/>
          <w:b/>
          <w:bCs w:val="0"/>
          <w:color w:val="auto"/>
          <w:sz w:val="24"/>
          <w:szCs w:val="24"/>
          <w:highlight w:val="none"/>
          <w:lang w:val="en-US"/>
        </w:rPr>
        <w:t xml:space="preserve">三、采购内容：1台</w:t>
      </w:r>
      <w:r>
        <w:rPr>
          <w:rStyle w:val="1200"/>
          <w:rFonts w:hint="eastAsia" w:ascii="宋体" w:hAnsi="宋体" w:cs="宋体"/>
          <w:b/>
          <w:bCs w:val="0"/>
          <w:color w:val="auto"/>
          <w:sz w:val="24"/>
          <w:szCs w:val="24"/>
          <w:highlight w:val="none"/>
          <w:lang w:val="en-US" w:eastAsia="zh-CN"/>
        </w:rPr>
        <w:t xml:space="preserve">彩色多普勒血流显像仪(全身1)</w:t>
      </w:r>
      <w:r>
        <w:rPr>
          <w:rStyle w:val="1200"/>
          <w:rFonts w:hint="eastAsia" w:ascii="宋体" w:hAnsi="宋体" w:cs="宋体"/>
          <w:b/>
          <w:bCs w:val="0"/>
          <w:color w:val="auto"/>
          <w:sz w:val="24"/>
          <w:szCs w:val="24"/>
          <w:highlight w:val="none"/>
          <w:lang w:val="en-US"/>
        </w:rPr>
        <w:t xml:space="preserve">采购、安装调试及配套服务。</w:t>
      </w:r>
      <w:r/>
    </w:p>
    <w:p>
      <w:pPr>
        <w:spacing w:line="360" w:lineRule="auto"/>
        <w:rPr>
          <w:rFonts w:hint="eastAsia" w:asciiTheme="minorEastAsia" w:hAnsiTheme="minorEastAsia" w:eastAsiaTheme="minorEastAsia" w:cstheme="minorEastAsia"/>
          <w:b/>
          <w:color w:val="auto"/>
          <w:sz w:val="24"/>
          <w:szCs w:val="24"/>
          <w:lang w:val="en-US" w:eastAsia="zh-CN"/>
        </w:rPr>
      </w:pPr>
      <w:r>
        <w:rPr>
          <w:rStyle w:val="1200"/>
          <w:rFonts w:hint="eastAsia" w:ascii="宋体" w:hAnsi="宋体" w:cs="宋体"/>
          <w:b/>
          <w:bCs w:val="0"/>
          <w:color w:val="auto"/>
          <w:sz w:val="24"/>
          <w:szCs w:val="24"/>
          <w:highlight w:val="none"/>
          <w:lang w:val="en-US"/>
        </w:rPr>
        <w:t xml:space="preserve">四</w:t>
      </w:r>
      <w:r>
        <w:rPr>
          <w:rStyle w:val="1200"/>
          <w:rFonts w:hint="eastAsia" w:ascii="宋体" w:hAnsi="宋体" w:cs="宋体"/>
          <w:b/>
          <w:bCs w:val="0"/>
          <w:color w:val="auto"/>
          <w:sz w:val="24"/>
          <w:szCs w:val="24"/>
          <w:highlight w:val="none"/>
        </w:rPr>
        <w:t xml:space="preserve">、</w:t>
      </w:r>
      <w:r>
        <w:rPr>
          <w:rStyle w:val="1200"/>
          <w:rFonts w:hint="eastAsia" w:ascii="宋体" w:hAnsi="宋体" w:eastAsia="宋体" w:cs="宋体"/>
          <w:b/>
          <w:bCs w:val="0"/>
          <w:color w:val="auto"/>
          <w:sz w:val="24"/>
          <w:szCs w:val="24"/>
          <w:highlight w:val="none"/>
        </w:rPr>
        <w:t xml:space="preserve">技术参数要求</w:t>
      </w:r>
      <w:r>
        <w:rPr>
          <w:rFonts w:hint="eastAsia" w:asciiTheme="minorEastAsia" w:hAnsiTheme="minorEastAsia" w:eastAsiaTheme="minorEastAsia" w:cstheme="minorEastAsia"/>
          <w:b/>
          <w:color w:val="auto"/>
          <w:sz w:val="24"/>
          <w:szCs w:val="24"/>
          <w:lang w:val="en-US" w:eastAsia="zh-CN"/>
        </w:rPr>
        <w:t xml:space="preserve">（加“★”标志为实质性响应指标不允许负偏离，否则按无效投标处理；加“▲”的指标为次重要响应指标，其他为一般响应指标）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注：</w:t>
      </w:r>
      <w:r>
        <w:rPr>
          <w:rFonts w:hint="eastAsia" w:ascii="宋体" w:hAnsi="宋体" w:eastAsia="宋体" w:cs="宋体"/>
          <w:b w:val="0"/>
          <w:bCs/>
          <w:color w:val="auto"/>
          <w:sz w:val="24"/>
          <w:szCs w:val="24"/>
          <w:lang w:val="en-US" w:eastAsia="zh-CN"/>
        </w:rPr>
        <w:t xml:space="preserve">投标人须在投标文件中须</w:t>
      </w:r>
      <w:r>
        <w:rPr>
          <w:rFonts w:hint="eastAsia" w:ascii="宋体" w:hAnsi="宋体" w:eastAsia="宋体" w:cs="宋体"/>
          <w:b/>
          <w:bCs w:val="0"/>
          <w:color w:val="auto"/>
          <w:sz w:val="24"/>
          <w:szCs w:val="24"/>
          <w:lang w:val="en-US" w:eastAsia="zh-CN"/>
        </w:rPr>
        <w:t xml:space="preserve">提供全部技术指标响应的证明材料</w:t>
      </w:r>
      <w:r>
        <w:rPr>
          <w:rFonts w:hint="eastAsia" w:ascii="宋体" w:hAnsi="宋体" w:eastAsia="宋体" w:cs="宋体"/>
          <w:b w:val="0"/>
          <w:bCs/>
          <w:color w:val="auto"/>
          <w:sz w:val="24"/>
          <w:szCs w:val="24"/>
          <w:highlight w:val="none"/>
          <w:lang w:val="en-US" w:eastAsia="zh-CN"/>
        </w:rPr>
        <w:t xml:space="preserve">（如白皮书、厂家对外公开发布的产品彩页、产品说明书、认证证书、检测/检验报告等扫描件加盖电子签章）</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技术参数与证明材料需逐条对应或标注索引</w:t>
      </w:r>
      <w:r>
        <w:rPr>
          <w:rFonts w:hint="eastAsia" w:ascii="宋体" w:hAnsi="宋体" w:eastAsia="宋体" w:cs="宋体"/>
          <w:b w:val="0"/>
          <w:bCs/>
          <w:color w:val="auto"/>
          <w:sz w:val="24"/>
          <w:szCs w:val="24"/>
          <w:lang w:val="en-US" w:eastAsia="zh-CN"/>
        </w:rPr>
        <w:t xml:space="preserve">，未按招标文件要求提供证明材料的视为负偏离。如技术参数中有具体要求，以具体要求为准，并在投标文件中提供证明材料；</w:t>
      </w:r>
      <w:r>
        <w:rPr>
          <w:rFonts w:hint="eastAsia" w:ascii="宋体" w:hAnsi="宋体" w:eastAsia="宋体" w:cs="宋体"/>
          <w:b/>
          <w:bCs w:val="0"/>
          <w:color w:val="auto"/>
          <w:sz w:val="24"/>
          <w:szCs w:val="24"/>
          <w:lang w:val="en-US" w:eastAsia="zh-CN"/>
        </w:rPr>
        <w:t xml:space="preserve">如经查证，供应商虚假响应的，将取消其中标资格并上报主管部门。未按招标文件要求提供证明材料的视为不满足</w:t>
      </w:r>
      <w:r>
        <w:rPr>
          <w:rFonts w:hint="eastAsia" w:ascii="宋体" w:hAnsi="宋体" w:eastAsia="宋体" w:cs="宋体"/>
          <w:b w:val="0"/>
          <w:bCs/>
          <w:color w:val="auto"/>
          <w:sz w:val="24"/>
          <w:szCs w:val="24"/>
          <w:lang w:val="en-US" w:eastAsia="zh-CN"/>
        </w:rPr>
        <w:t xml:space="preserve">。</w:t>
      </w:r>
      <w:r/>
    </w:p>
    <w:tbl>
      <w:tblPr>
        <w:tblStyle w:val="1002"/>
        <w:tblW w:w="945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6"/>
        <w:gridCol w:w="8473"/>
      </w:tblGrid>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W w:w="84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基本要求</w:t>
            </w:r>
            <w:r/>
          </w:p>
        </w:tc>
      </w:tr>
      <w:tr>
        <w:trPr>
          <w:trHeight w:val="1565" w:hRule="exact"/>
        </w:trPr>
        <w:tc>
          <w:tcPr>
            <w:shd w:val="clear" w:color="auto" w:fill="auto"/>
            <w:tcW w:w="9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Style w:val="1210"/>
                <w:color w:val="auto"/>
                <w:sz w:val="24"/>
                <w:szCs w:val="24"/>
                <w:lang w:val="en-US" w:eastAsia="zh-CN" w:bidi="ar"/>
              </w:rPr>
              <w:t xml:space="preserve">★设备用途：</w:t>
            </w:r>
            <w:r>
              <w:rPr>
                <w:rStyle w:val="1211"/>
                <w:color w:val="auto"/>
                <w:sz w:val="24"/>
                <w:szCs w:val="24"/>
                <w:lang w:val="en-US" w:eastAsia="zh-CN" w:bidi="ar"/>
              </w:rPr>
              <w:t xml:space="preserve">具备妇产科、盆底、腹部、胎儿心脏、新生儿、成人心脏、泌尿科、</w:t>
            </w:r>
            <w:r>
              <w:rPr>
                <w:rStyle w:val="1212"/>
                <w:color w:val="auto"/>
                <w:sz w:val="24"/>
                <w:szCs w:val="24"/>
                <w:lang w:val="en-US" w:eastAsia="zh-CN" w:bidi="ar"/>
              </w:rPr>
              <w:t xml:space="preserve">肛肠、</w:t>
            </w:r>
            <w:r>
              <w:rPr>
                <w:rStyle w:val="1211"/>
                <w:color w:val="auto"/>
                <w:sz w:val="24"/>
                <w:szCs w:val="24"/>
                <w:lang w:val="en-US" w:eastAsia="zh-CN" w:bidi="ar"/>
              </w:rPr>
              <w:t xml:space="preserve">浅表组织与小器官的应用。</w:t>
            </w:r>
            <w:r>
              <w:rPr>
                <w:rStyle w:val="1211"/>
                <w:color w:val="auto"/>
                <w:sz w:val="24"/>
                <w:szCs w:val="24"/>
                <w:lang w:val="en-US" w:eastAsia="zh-CN" w:bidi="ar"/>
              </w:rPr>
              <w:br/>
            </w:r>
            <w:r>
              <w:rPr>
                <w:rStyle w:val="1211"/>
                <w:color w:val="auto"/>
                <w:sz w:val="24"/>
                <w:szCs w:val="24"/>
                <w:lang w:val="en-US" w:eastAsia="zh-CN" w:bidi="ar"/>
              </w:rPr>
              <w:t xml:space="preserve">提供最新软件版本，并免费开放该机型所能支持所有功能软件。所有适配该机器的软件提供软件终身免费升级。</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主机规格</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≥23英寸高分辨率监视器，分辨率</w:t>
            </w:r>
            <w:r>
              <w:rPr>
                <w:rStyle w:val="1212"/>
                <w:color w:val="auto"/>
                <w:sz w:val="24"/>
                <w:szCs w:val="24"/>
                <w:lang w:val="en-US" w:eastAsia="zh-CN" w:bidi="ar"/>
              </w:rPr>
              <w:t xml:space="preserve">≥</w:t>
            </w:r>
            <w:r>
              <w:rPr>
                <w:rStyle w:val="1211"/>
                <w:color w:val="auto"/>
                <w:sz w:val="24"/>
                <w:szCs w:val="24"/>
                <w:lang w:val="en-US" w:eastAsia="zh-CN" w:bidi="ar"/>
              </w:rPr>
              <w:t xml:space="preserve">1920x1080。</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彩色液晶触摸屏，操作面板可旋转，高度可调</w:t>
            </w:r>
            <w:r/>
          </w:p>
        </w:tc>
      </w:tr>
      <w:tr>
        <w:trPr>
          <w:trHeight w:val="953"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具备二维灰阶成像、彩色多普勒血流成像、多普勒血流成像、频谱多普勒显示及分析单元、M型显示及分析单元</w:t>
            </w:r>
            <w:r/>
          </w:p>
        </w:tc>
      </w:tr>
      <w:tr>
        <w:trPr>
          <w:trHeight w:val="1108"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▲具备实时多门多普勒功能，在同一心动周期内，可实时获取</w:t>
            </w:r>
            <w:r>
              <w:rPr>
                <w:rStyle w:val="1212"/>
                <w:color w:val="auto"/>
                <w:sz w:val="24"/>
                <w:szCs w:val="24"/>
                <w:lang w:val="en-US" w:eastAsia="zh-CN" w:bidi="ar"/>
              </w:rPr>
              <w:t xml:space="preserve">≥2</w:t>
            </w:r>
            <w:r>
              <w:rPr>
                <w:rStyle w:val="1211"/>
                <w:color w:val="auto"/>
                <w:sz w:val="24"/>
                <w:szCs w:val="24"/>
                <w:lang w:val="en-US" w:eastAsia="zh-CN" w:bidi="ar"/>
              </w:rPr>
              <w:t xml:space="preserve">个取样点的多普勒频谱，为临床提供更多血流动力学诊断信息</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▲具备应变式弹性成像功能</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▲具备剪切波成像功能，</w:t>
            </w:r>
            <w:r>
              <w:rPr>
                <w:rStyle w:val="1212"/>
                <w:color w:val="auto"/>
                <w:sz w:val="24"/>
                <w:szCs w:val="24"/>
                <w:lang w:val="en-US" w:eastAsia="zh-CN" w:bidi="ar"/>
              </w:rPr>
              <w:t xml:space="preserve">可进行脂肪衰减系数测量。</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具备</w:t>
            </w:r>
            <w:r>
              <w:rPr>
                <w:rStyle w:val="1212"/>
                <w:color w:val="auto"/>
                <w:sz w:val="24"/>
                <w:szCs w:val="24"/>
                <w:lang w:val="en-US" w:eastAsia="zh-CN" w:bidi="ar"/>
              </w:rPr>
              <w:t xml:space="preserve">超微</w:t>
            </w:r>
            <w:r>
              <w:rPr>
                <w:rStyle w:val="1211"/>
                <w:color w:val="auto"/>
                <w:sz w:val="24"/>
                <w:szCs w:val="24"/>
                <w:lang w:val="en-US" w:eastAsia="zh-CN" w:bidi="ar"/>
              </w:rPr>
              <w:t xml:space="preserve">血流成像技术</w:t>
            </w:r>
            <w:r/>
          </w:p>
        </w:tc>
      </w:tr>
      <w:tr>
        <w:trPr>
          <w:trHeight w:val="921"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▲具备多模态弹性成像功能，具备多种肝脏状态的定量指标或支持在同一切面下同时进行应变式弹性成像和剪切波实时双幅显示</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▲具备造影谐波成像功能，</w:t>
            </w:r>
            <w:r>
              <w:rPr>
                <w:rStyle w:val="1212"/>
                <w:color w:val="auto"/>
                <w:sz w:val="24"/>
                <w:szCs w:val="24"/>
                <w:lang w:val="en-US" w:eastAsia="zh-CN" w:bidi="ar"/>
              </w:rPr>
              <w:t xml:space="preserve">具备高帧频造影成像功能。</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▲具备实时3D及4D成像功能</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最大扫描深度≥40cm</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显示位置调整：线阵扫描感兴趣区的图像范围-30° ~ +30°</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可</w:t>
            </w:r>
            <w:r>
              <w:rPr>
                <w:rStyle w:val="1212"/>
                <w:color w:val="auto"/>
                <w:sz w:val="24"/>
                <w:szCs w:val="24"/>
                <w:lang w:val="en-US" w:eastAsia="zh-CN" w:bidi="ar"/>
              </w:rPr>
              <w:t xml:space="preserve">选配</w:t>
            </w:r>
            <w:r>
              <w:rPr>
                <w:rStyle w:val="1211"/>
                <w:color w:val="auto"/>
                <w:sz w:val="24"/>
                <w:szCs w:val="24"/>
                <w:lang w:val="en-US" w:eastAsia="zh-CN" w:bidi="ar"/>
              </w:rPr>
              <w:t xml:space="preserve">双平面探头（凸+线）、介入等探头</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测量与分析</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M型测量、解剖M型测量、心脏功能测量与分析</w:t>
            </w:r>
            <w:r/>
          </w:p>
        </w:tc>
      </w:tr>
      <w:tr>
        <w:trPr>
          <w:trHeight w:val="756"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产科测量与分析：包括全面的产科径线测量、NT测量、孕龄及生长曲线、羊水指数等</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多普勒血流测量及分析（含实时多普勒自动描记）</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妇科测量与分析等</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图像存储、管理及回放重现</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主机硬盘≥1TB，电影回放单元≥63500帧</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具备DICOM 网络连接</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W w:w="847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探头（提供参数及材质）</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凸阵：频率</w:t>
            </w:r>
            <w:r>
              <w:rPr>
                <w:rStyle w:val="1213"/>
                <w:rFonts w:eastAsia="宋体"/>
                <w:color w:val="auto"/>
                <w:sz w:val="24"/>
                <w:szCs w:val="24"/>
                <w:lang w:val="en-US" w:eastAsia="zh-CN" w:bidi="ar"/>
              </w:rPr>
              <w:t xml:space="preserve">  1-6   </w:t>
            </w:r>
            <w:r>
              <w:rPr>
                <w:rStyle w:val="1214"/>
                <w:rFonts w:eastAsia="宋体"/>
                <w:color w:val="auto"/>
                <w:sz w:val="24"/>
                <w:szCs w:val="24"/>
                <w:lang w:val="en-US" w:eastAsia="zh-CN" w:bidi="ar"/>
              </w:rPr>
              <w:t xml:space="preserve"> MHz</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线阵：频率 </w:t>
            </w:r>
            <w:r>
              <w:rPr>
                <w:rStyle w:val="1215"/>
                <w:color w:val="auto"/>
                <w:sz w:val="24"/>
                <w:szCs w:val="24"/>
                <w:lang w:val="en-US" w:eastAsia="zh-CN" w:bidi="ar"/>
              </w:rPr>
              <w:t xml:space="preserve"> 5-10 </w:t>
            </w:r>
            <w:r>
              <w:rPr>
                <w:rStyle w:val="1211"/>
                <w:color w:val="auto"/>
                <w:sz w:val="24"/>
                <w:szCs w:val="24"/>
                <w:lang w:val="en-US" w:eastAsia="zh-CN" w:bidi="ar"/>
              </w:rPr>
              <w:t xml:space="preserve"> MHz   </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凸阵容积：频率 </w:t>
            </w:r>
            <w:r>
              <w:rPr>
                <w:rStyle w:val="1215"/>
                <w:color w:val="auto"/>
                <w:sz w:val="24"/>
                <w:szCs w:val="24"/>
                <w:lang w:val="en-US" w:eastAsia="zh-CN" w:bidi="ar"/>
              </w:rPr>
              <w:t xml:space="preserve"> 2-8  </w:t>
            </w:r>
            <w:r>
              <w:rPr>
                <w:rStyle w:val="1211"/>
                <w:color w:val="auto"/>
                <w:sz w:val="24"/>
                <w:szCs w:val="24"/>
                <w:lang w:val="en-US" w:eastAsia="zh-CN" w:bidi="ar"/>
              </w:rPr>
              <w:t xml:space="preserve"> MHz  </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腔内容积：频率 </w:t>
            </w:r>
            <w:r>
              <w:rPr>
                <w:rStyle w:val="1215"/>
                <w:color w:val="auto"/>
                <w:sz w:val="24"/>
                <w:szCs w:val="24"/>
                <w:lang w:val="en-US" w:eastAsia="zh-CN" w:bidi="ar"/>
              </w:rPr>
              <w:t xml:space="preserve"> 3-8 </w:t>
            </w:r>
            <w:r>
              <w:rPr>
                <w:rStyle w:val="1211"/>
                <w:color w:val="auto"/>
                <w:sz w:val="24"/>
                <w:szCs w:val="24"/>
                <w:lang w:val="en-US" w:eastAsia="zh-CN" w:bidi="ar"/>
              </w:rPr>
              <w:t xml:space="preserve">MHz</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Style w:val="1211"/>
                <w:color w:val="auto"/>
                <w:sz w:val="24"/>
                <w:szCs w:val="24"/>
                <w:lang w:val="en-US" w:eastAsia="zh-CN" w:bidi="ar"/>
              </w:rPr>
              <w:t xml:space="preserve">相控阵：频率</w:t>
            </w:r>
            <w:r>
              <w:rPr>
                <w:rStyle w:val="1215"/>
                <w:color w:val="auto"/>
                <w:sz w:val="24"/>
                <w:szCs w:val="24"/>
                <w:lang w:val="en-US" w:eastAsia="zh-CN" w:bidi="ar"/>
              </w:rPr>
              <w:t xml:space="preserve"> 1-5 </w:t>
            </w:r>
            <w:r>
              <w:rPr>
                <w:rStyle w:val="1211"/>
                <w:color w:val="auto"/>
                <w:sz w:val="24"/>
                <w:szCs w:val="24"/>
                <w:lang w:val="en-US" w:eastAsia="zh-CN" w:bidi="ar"/>
              </w:rPr>
              <w:t xml:space="preserve">MHz</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lang w:val="en-US" w:eastAsia="zh-CN"/>
              </w:rPr>
              <w:suppressLineNumbers w:val="0"/>
            </w:pPr>
            <w:r>
              <w:rPr>
                <w:rFonts w:hint="eastAsia" w:ascii="宋体" w:hAnsi="宋体" w:eastAsia="宋体" w:cs="宋体"/>
                <w:b/>
                <w:bCs/>
                <w:i w:val="0"/>
                <w:iCs w:val="0"/>
                <w:color w:val="auto"/>
                <w:sz w:val="24"/>
                <w:szCs w:val="24"/>
                <w:u w:val="none"/>
                <w:lang w:val="en-US" w:eastAsia="zh-CN"/>
              </w:rPr>
              <w:t xml:space="preserve">六</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工作站（对接费用包含在报价内）</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电脑、打印机配置</w:t>
            </w:r>
            <w:r/>
          </w:p>
        </w:tc>
      </w:tr>
      <w:tr>
        <w:trPr>
          <w:trHeight w:val="81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主机开放DICOM接口，并与现有的PACS连接，保证图像能存储到PACS（符合电子病历五级及以上评审要求）</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按照探头、主机数量接入医院现有的医疗设备物联网监测系统</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七</w:t>
            </w:r>
            <w:r/>
          </w:p>
        </w:tc>
        <w:tc>
          <w:tcPr>
            <w:shd w:val="clear" w:color="auto" w:fill="auto"/>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★整机质保期限：≥5年整机质保（含所有探头及工作站）</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售后服务响应时间：1小时内响应，24小时内到达现场</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培训要求：提供完整操作培训及临床应用培训</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★耗材及配件供应：保证10年以上配件供应</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★质保期内探头故障只换不修（换原厂全新探头）</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超声功率计</w:t>
            </w:r>
            <w:r/>
          </w:p>
        </w:tc>
      </w:tr>
      <w:tr>
        <w:trPr>
          <w:trHeight w:val="55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检查床</w:t>
            </w:r>
            <w:r/>
          </w:p>
        </w:tc>
      </w:tr>
      <w:tr>
        <w:trPr>
          <w:trHeight w:val="569" w:hRule="exact"/>
        </w:trPr>
        <w:tc>
          <w:tcPr>
            <w:shd w:val="clear" w:color="auto" w:fill="auto"/>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ffffff"/>
            <w:tcW w:w="84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移动制冷设备</w:t>
            </w:r>
            <w:r/>
          </w:p>
        </w:tc>
      </w:tr>
    </w:tbl>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五、项目质量保障及实施要求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（一）项目实施要求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1、为保证本项目的顺利实施，供应商应结合各自产品特点，自行编制实施方案。</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2、交货及安装期限要求：</w:t>
      </w:r>
      <w:r>
        <w:rPr>
          <w:rFonts w:hint="eastAsia" w:ascii="宋体" w:hAnsi="宋体" w:cs="宋体"/>
          <w:b/>
          <w:bCs/>
          <w:color w:val="auto"/>
          <w:sz w:val="24"/>
          <w:szCs w:val="24"/>
          <w:lang w:val="en-US" w:eastAsia="zh-CN"/>
        </w:rPr>
        <w:t xml:space="preserve">中标人须在合同签订之日起</w:t>
      </w:r>
      <w:r>
        <w:rPr>
          <w:rFonts w:hint="eastAsia" w:ascii="宋体" w:hAnsi="宋体" w:cs="宋体"/>
          <w:b/>
          <w:bCs/>
          <w:color w:val="auto"/>
          <w:sz w:val="24"/>
          <w:szCs w:val="24"/>
          <w:highlight w:val="none"/>
          <w:lang w:val="en-US" w:eastAsia="zh-CN"/>
        </w:rPr>
        <w:t xml:space="preserve">30日</w:t>
      </w:r>
      <w:r>
        <w:rPr>
          <w:rFonts w:hint="eastAsia" w:ascii="宋体" w:hAnsi="宋体" w:cs="宋体"/>
          <w:b/>
          <w:bCs/>
          <w:color w:val="auto"/>
          <w:sz w:val="24"/>
          <w:szCs w:val="24"/>
          <w:lang w:val="en-US" w:eastAsia="zh-CN"/>
        </w:rPr>
        <w:t xml:space="preserve">内完成供货并安装调试完毕（地址为徐州市第一人民医院门诊楼三层超声医学科，具体情况可现场踏勘）。</w:t>
      </w:r>
      <w:r>
        <w:rPr>
          <w:rFonts w:hint="eastAsia" w:ascii="宋体" w:hAnsi="宋体" w:cs="宋体"/>
          <w:b w:val="0"/>
          <w:bCs w:val="0"/>
          <w:color w:val="auto"/>
          <w:sz w:val="24"/>
          <w:szCs w:val="24"/>
          <w:lang w:val="en-US" w:eastAsia="zh-CN"/>
        </w:rPr>
        <w:t xml:space="preserve">设备送到项目实施现场后，中标人与采购人一</w:t>
      </w:r>
      <w:r>
        <w:rPr>
          <w:rFonts w:hint="eastAsia" w:ascii="宋体" w:hAnsi="宋体" w:cs="宋体"/>
          <w:b w:val="0"/>
          <w:bCs w:val="0"/>
          <w:color w:val="auto"/>
          <w:sz w:val="24"/>
          <w:szCs w:val="24"/>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说明：“2、交货及安装期限要求”为不允许负偏离的实质性要求和条件，如有负偏离，在符合性审查时按照投标无效处理。</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3、厂家专职工程师到医院现场，负责仪器安装、调试，并负责本科室1至2名医师操作使用、维护培训，培训时间不少于一周。</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（二）质量保障要求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2、投标人须提供所投产品的实样照片、提供所投产品配置清单、产品手册或技术说明书，针对所投产品的技术指标、性能稳定性进行具体说明。</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（三）配送、安装要求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1、投标人成立配送安装小组，指定具体负责人。产品出厂前，必须明确安装/维修要求，备齐所需工具。提供人员安排和配置。</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六、项目验收、售后服务以及培训要求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（一）验收标准：</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2、验收期限：安装、调试完成3个月后开始验收。采购人按国际和国家标准及生产厂家标准进行质量验收。中标人应向采购人提供详细的验收标准、验收手册。</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3、设备安装完成后，采购人安排专人按照货物技术指标要求和中标人的投标文件中相关指标，以及验货</w:t>
      </w:r>
      <w:r>
        <w:rPr>
          <w:rFonts w:hint="eastAsia" w:ascii="宋体" w:hAnsi="宋体" w:cs="宋体"/>
          <w:b w:val="0"/>
          <w:bCs w:val="0"/>
          <w:color w:val="auto"/>
          <w:sz w:val="24"/>
          <w:szCs w:val="24"/>
          <w:lang w:val="en-US" w:eastAsia="zh-CN"/>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（二）售后服务要求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一）质保期内的服务要求</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1、质保期：提供主机、工作站及所有探头不少于5年免费原厂质保和软件终身免费升级服务（自最终验收合格之日起，开始进入质保期）。</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2、质保期内设备免费维护、维修，解决各种技术瑕疵。</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3、全年设备故障电话1小时内响应，24小时内到达现场维修。</w:t>
      </w:r>
      <w:r/>
    </w:p>
    <w:p>
      <w:pPr>
        <w:spacing w:line="360" w:lineRule="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4、质保期内探头故障只换不修（换原厂全新探头）。</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5、质保期过后的升级维护维修只收取部分工本维护费用。长期提供设备保养、系统升级、网络接入、链接调试、科研指导、教学培训等服务。</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二）质保期满后的服务要求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1、投标文件中提供后续维保报价、设备常用配件报价。提供的质保期满后的服务方案须满足临床使用需求。后续维保报价、设备常用配件报价须科学合理。</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2、投标文件中提供质保期满后的响应时间、人员安排。</w:t>
      </w:r>
      <w:r/>
    </w:p>
    <w:p>
      <w:pPr>
        <w:spacing w:line="360" w:lineRule="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3、配件供应：保证10年以上配件供应。</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（三）培训要求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1、产品验收合格后，中标人应选派专业技术人员对采购单位的相关人员进行技术培训，保证被培训人员能掌握操作方法和维护。</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2、中标人免费提供相关培训和产品的相关资料及演示视频等，并配备相应的操作流程、注意事项及保养方法。</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七、其他要求：</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207"/>
        <w:numPr>
          <w:ilvl w:val="0"/>
          <w:numId w:val="0"/>
        </w:numPr>
        <w:keepLines w:val="0"/>
        <w:keepNext w:val="0"/>
        <w:pageBreakBefore w:val="0"/>
        <w:spacing w:line="336" w:lineRule="auto"/>
        <w:tabs>
          <w:tab w:val="clear" w:pos="420" w:leader="none"/>
        </w:tabs>
        <w:rPr>
          <w:rFonts w:ascii="宋体" w:hAnsi="宋体" w:eastAsia="宋体" w:cs="宋体"/>
          <w:color w:val="auto"/>
          <w:sz w:val="21"/>
          <w:szCs w:val="21"/>
          <w:highlight w:val="none"/>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bidi="ar-SA"/>
        </w:rPr>
        <w:t xml:space="preserve">其它要求见招标文件《拟签订的合同文本》。</w:t>
      </w:r>
      <w:r/>
    </w:p>
    <w:p>
      <w:pPr>
        <w:ind w:firstLine="643"/>
        <w:jc w:val="center"/>
        <w:keepLines w:val="0"/>
        <w:keepNext w:val="0"/>
        <w:pageBreakBefore w:val="0"/>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ind w:firstLine="643"/>
        <w:jc w:val="center"/>
        <w:keepLines w:val="0"/>
        <w:keepNext w:val="0"/>
        <w:pageBreakBefore w:val="0"/>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04"/>
        <w:rPr>
          <w:rFonts w:hint="eastAsia"/>
          <w:color w:val="auto"/>
          <w:highlight w:val="none"/>
        </w:rPr>
        <w:outlineLvl w:val="9"/>
      </w:pPr>
      <w:r>
        <w:rPr>
          <w:rFonts w:hint="eastAsia"/>
          <w:color w:val="auto"/>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rPr>
          <w:color w:val="auto"/>
          <w:highlight w:val="none"/>
        </w:rPr>
        <w:outlineLvl w:val="9"/>
      </w:pPr>
      <w:r>
        <w:rPr>
          <w:color w:val="auto"/>
          <w:highlight w:val="none"/>
        </w:rPr>
        <w:br w:type="page" w:clear="all"/>
      </w:r>
      <w:r/>
    </w:p>
    <w:p>
      <w:pPr>
        <w:jc w:val="center"/>
        <w:spacing w:line="360" w:lineRule="auto"/>
        <w:rPr>
          <w:color w:val="auto"/>
          <w:highlight w:val="none"/>
        </w:rPr>
        <w:outlineLvl w:val="0"/>
      </w:pPr>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0"/>
      <w:r/>
      <w:r/>
    </w:p>
    <w:p>
      <w:pPr>
        <w:ind w:left="256" w:right="6" w:firstLine="624"/>
        <w:jc w:val="both"/>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徐州市第一人民医院彩色多普勒血流显像仪(全身1)</w:t>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JSZC-320300-JSKJ-G2026-0010</w:t>
      </w:r>
      <w:r/>
    </w:p>
    <w:p>
      <w:pPr>
        <w:jc w:val="center"/>
        <w:spacing w:after="120"/>
        <w:rPr>
          <w:rFonts w:hint="eastAsia" w:ascii="宋体" w:hAnsi="宋体" w:eastAsia="宋体" w:cs="Times New Roman"/>
          <w:color w:val="auto"/>
          <w:sz w:val="56"/>
          <w:szCs w:val="56"/>
          <w:highlight w:val="none"/>
          <w:lang w:val="en-US" w:eastAsia="zh-CN" w:bidi="ar-SA"/>
        </w:rPr>
      </w:pPr>
      <w:r>
        <w:rPr>
          <w:rFonts w:hint="eastAsia" w:ascii="宋体" w:hAnsi="宋体" w:eastAsia="宋体" w:cs="Times New Roman"/>
          <w:color w:val="auto"/>
          <w:sz w:val="56"/>
          <w:szCs w:val="56"/>
          <w:highlight w:val="none"/>
          <w:lang w:val="en-US" w:eastAsia="zh-CN" w:bidi="ar-SA"/>
        </w:rPr>
      </w:r>
      <w:r/>
    </w:p>
    <w:p>
      <w:pPr>
        <w:jc w:val="center"/>
        <w:spacing w:after="120"/>
        <w:rPr>
          <w:rFonts w:hint="eastAsia" w:ascii="宋体" w:hAnsi="宋体" w:eastAsia="宋体" w:cs="Times New Roman"/>
          <w:color w:val="auto"/>
          <w:sz w:val="56"/>
          <w:szCs w:val="56"/>
          <w:highlight w:val="none"/>
          <w:lang w:val="en-US" w:eastAsia="zh-CN" w:bidi="ar-SA"/>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jc w:val="both"/>
        <w:spacing w:after="120"/>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rPr>
          <w:rFonts w:hint="eastAsia" w:ascii="宋体" w:hAnsi="宋体" w:cs="Times New Roman"/>
          <w:color w:val="auto"/>
          <w:sz w:val="28"/>
          <w:szCs w:val="28"/>
          <w:highlight w:val="none"/>
          <w:u w:val="single"/>
          <w:lang w:val="en-US" w:eastAsia="zh-CN" w:bidi="ar-SA"/>
        </w:rPr>
        <w:t xml:space="preserve">徐州市第一人民医院</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u w:val="single"/>
          <w:lang w:val="en-US" w:eastAsia="zh-CN" w:bidi="ar-SA"/>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End w:id="11"/>
      <w:r/>
      <w:r/>
    </w:p>
    <w:p>
      <w:pPr>
        <w:spacing w:line="312" w:lineRule="auto"/>
        <w:rPr>
          <w:rFonts w:hint="eastAsia" w:ascii="宋体" w:hAnsi="宋体" w:cs="宋体"/>
          <w:color w:val="auto"/>
          <w:sz w:val="24"/>
          <w:highlight w:val="none"/>
        </w:rPr>
        <w:sectPr>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auto"/>
          <w:sz w:val="24"/>
          <w:highlight w:val="none"/>
        </w:rPr>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w:t>
      </w:r>
      <w:r>
        <w:rPr>
          <w:rFonts w:hint="eastAsia" w:ascii="宋体" w:hAnsi="宋体" w:eastAsia="宋体" w:cs="宋体"/>
          <w:color w:val="auto"/>
          <w:sz w:val="24"/>
          <w:lang w:eastAsia="zh-CN"/>
        </w:rPr>
        <w:t xml:space="preserve">项目说明</w:t>
      </w:r>
      <w:r>
        <w:rPr>
          <w:rFonts w:hint="eastAsia" w:ascii="宋体" w:hAnsi="宋体" w:eastAsia="宋体" w:cs="宋体"/>
          <w:color w:val="auto"/>
          <w:sz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2"/>
          <w:footerReference w:type="default" r:id="rId19"/>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eastAsia="宋体" w:cs="宋体"/>
          <w:b w:val="0"/>
          <w:bCs/>
          <w:color w:val="auto"/>
          <w:sz w:val="24"/>
          <w:szCs w:val="24"/>
          <w:highlight w:val="none"/>
          <w:u w:val="single"/>
          <w:lang w:eastAsia="zh-CN"/>
        </w:rPr>
        <w:t xml:space="preserve">徐州市第一人民医院</w:t>
      </w:r>
      <w:r>
        <w:rPr>
          <w:rFonts w:hint="eastAsia" w:ascii="宋体" w:hAnsi="宋体" w:eastAsia="宋体" w:cs="宋体"/>
          <w:b w:val="0"/>
          <w:bCs/>
          <w:color w:val="auto"/>
          <w:sz w:val="24"/>
          <w:szCs w:val="24"/>
          <w:highlight w:val="none"/>
          <w:u w:val="single"/>
        </w:rPr>
        <w:t xml:space="preserve"> </w:t>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216"/>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合同标的</w:t>
      </w:r>
      <w:r/>
    </w:p>
    <w:p>
      <w:pPr>
        <w:ind w:left="426"/>
        <w:spacing w:line="360" w:lineRule="exact"/>
        <w:rPr>
          <w:rStyle w:val="1216"/>
          <w:rFonts w:hint="eastAsia" w:ascii="宋体" w:hAnsi="宋体" w:eastAsia="宋体" w:cs="宋体"/>
          <w:b w:val="0"/>
          <w:bCs/>
          <w:color w:val="auto"/>
          <w:sz w:val="24"/>
          <w:szCs w:val="24"/>
          <w:highlight w:val="none"/>
        </w:rPr>
      </w:pPr>
      <w:r>
        <w:rPr>
          <w:rStyle w:val="1216"/>
          <w:rFonts w:hint="eastAsia" w:ascii="宋体" w:hAnsi="宋体" w:eastAsia="宋体" w:cs="宋体"/>
          <w:b w:val="0"/>
          <w:bCs/>
          <w:color w:val="auto"/>
          <w:sz w:val="24"/>
          <w:szCs w:val="24"/>
          <w:highlight w:val="none"/>
        </w:rPr>
        <w:t xml:space="preserve">1.1产品名称、型号、规格、数量及价款</w:t>
      </w:r>
      <w:r/>
    </w:p>
    <w:tbl>
      <w:tblPr>
        <w:tblStyle w:val="1002"/>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20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20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2.交货方法、交货期限、到货地点及风险转移</w:t>
      </w:r>
      <w:r/>
    </w:p>
    <w:p>
      <w:pPr>
        <w:pStyle w:val="1217"/>
        <w:ind w:left="0"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2.1交货期：自本合同签订生效之日起</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2.3甲方指定的到货地点：</w:t>
      </w:r>
      <w:r>
        <w:rPr>
          <w:rFonts w:hint="eastAsia" w:ascii="宋体" w:hAnsi="宋体" w:eastAsia="宋体" w:cs="宋体"/>
          <w:b w:val="0"/>
          <w:bCs/>
          <w:color w:val="auto"/>
          <w:sz w:val="24"/>
          <w:szCs w:val="24"/>
          <w:highlight w:val="none"/>
          <w:u w:val="single"/>
          <w:lang w:eastAsia="zh-CN"/>
        </w:rPr>
        <w:t xml:space="preserve">徐州市第一人民医院门诊楼三层超声医学科</w:t>
      </w:r>
      <w:r>
        <w:rPr>
          <w:rFonts w:hint="eastAsia" w:ascii="宋体" w:hAnsi="宋体" w:eastAsia="宋体" w:cs="宋体"/>
          <w:b w:val="0"/>
          <w:bCs/>
          <w:color w:val="auto"/>
          <w:sz w:val="24"/>
          <w:szCs w:val="24"/>
          <w:highlight w:val="none"/>
        </w:rPr>
        <w:t xml:space="preserve">。</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4.交货物验收、异议</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4.1货物到达甲方指定到货地点后</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pStyle w:val="1206"/>
        <w:ind w:left="480"/>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安装、调试与验收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203"/>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203"/>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5.3质量符合国家法律法规规定的标准、招标文件和投标文件的要求。</w:t>
      </w:r>
      <w:r/>
    </w:p>
    <w:p>
      <w:pPr>
        <w:pStyle w:val="120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乙方提供设备安装和维修所需的专用工具和辅助材料。</w:t>
      </w:r>
      <w:r/>
    </w:p>
    <w:p>
      <w:pPr>
        <w:pStyle w:val="120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5.14</w:t>
      </w:r>
      <w:r>
        <w:rPr>
          <w:rFonts w:hint="eastAsia" w:ascii="宋体" w:hAnsi="宋体" w:eastAsia="宋体" w:cs="宋体"/>
          <w:b w:val="0"/>
          <w:bCs/>
          <w:color w:val="auto"/>
          <w:sz w:val="24"/>
          <w:szCs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 付款方式</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本合同总金额为人民币大写金额</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元（小写金额：</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w:t>
      </w:r>
      <w:r/>
    </w:p>
    <w:p>
      <w:pPr>
        <w:ind w:firstLine="54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经双方协商一致，选择以下第</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种付款方式：</w:t>
      </w:r>
      <w:r/>
    </w:p>
    <w:p>
      <w:pPr>
        <w:ind w:firstLine="54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合同价款的百分之</w:t>
      </w:r>
      <w:r>
        <w:rPr>
          <w:rFonts w:hint="eastAsia" w:ascii="宋体" w:hAnsi="宋体" w:eastAsia="宋体" w:cs="宋体"/>
          <w:b w:val="0"/>
          <w:bCs/>
          <w:color w:val="auto"/>
          <w:sz w:val="24"/>
          <w:szCs w:val="24"/>
          <w:highlight w:val="none"/>
          <w:lang w:eastAsia="zh-CN"/>
        </w:rPr>
        <w:t xml:space="preserve">四</w:t>
      </w:r>
      <w:r>
        <w:rPr>
          <w:rFonts w:hint="eastAsia" w:ascii="宋体" w:hAnsi="宋体" w:eastAsia="宋体" w:cs="宋体"/>
          <w:b w:val="0"/>
          <w:bCs/>
          <w:color w:val="auto"/>
          <w:sz w:val="24"/>
          <w:szCs w:val="24"/>
          <w:highlight w:val="none"/>
        </w:rPr>
        <w:t xml:space="preserve">十(</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0%)，即¥（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），大写：人民币（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）元整，在双方签订合同后</w:t>
      </w:r>
      <w:r>
        <w:rPr>
          <w:rFonts w:hint="eastAsia" w:ascii="宋体" w:hAnsi="宋体" w:eastAsia="宋体" w:cs="宋体"/>
          <w:b w:val="0"/>
          <w:bCs/>
          <w:color w:val="auto"/>
          <w:sz w:val="24"/>
          <w:szCs w:val="24"/>
          <w:highlight w:val="none"/>
          <w:lang w:val="en-US" w:eastAsia="zh-CN"/>
        </w:rPr>
        <w:t xml:space="preserve">10个工作日内递交结算手续</w:t>
      </w:r>
      <w:r>
        <w:rPr>
          <w:rFonts w:hint="eastAsia" w:ascii="宋体" w:hAnsi="宋体" w:eastAsia="宋体" w:cs="宋体"/>
          <w:b w:val="0"/>
          <w:bCs/>
          <w:color w:val="auto"/>
          <w:sz w:val="24"/>
          <w:szCs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6.2 合同总价的百分之</w:t>
      </w:r>
      <w:r>
        <w:rPr>
          <w:rFonts w:hint="eastAsia" w:ascii="宋体" w:hAnsi="宋体" w:eastAsia="宋体" w:cs="宋体"/>
          <w:b w:val="0"/>
          <w:bCs/>
          <w:color w:val="auto"/>
          <w:sz w:val="24"/>
          <w:szCs w:val="24"/>
          <w:highlight w:val="none"/>
          <w:lang w:eastAsia="zh-CN"/>
        </w:rPr>
        <w:t xml:space="preserve">六</w:t>
      </w:r>
      <w:r>
        <w:rPr>
          <w:rFonts w:hint="eastAsia" w:ascii="宋体" w:hAnsi="宋体" w:eastAsia="宋体" w:cs="宋体"/>
          <w:b w:val="0"/>
          <w:bCs/>
          <w:color w:val="auto"/>
          <w:sz w:val="24"/>
          <w:szCs w:val="24"/>
          <w:highlight w:val="none"/>
        </w:rPr>
        <w:t xml:space="preserve">十(</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0%)，即¥（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），大写：人民币（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）元整，合同标的全部交付并安装完毕</w:t>
      </w:r>
      <w:r>
        <w:rPr>
          <w:rFonts w:hint="eastAsia" w:ascii="宋体" w:hAnsi="宋体" w:eastAsia="宋体" w:cs="宋体"/>
          <w:b w:val="0"/>
          <w:bCs/>
          <w:color w:val="auto"/>
          <w:sz w:val="24"/>
          <w:szCs w:val="24"/>
          <w:highlight w:val="none"/>
          <w:lang w:val="en-US" w:eastAsia="zh-CN"/>
        </w:rPr>
        <w:t xml:space="preserve">且</w:t>
      </w:r>
      <w:r>
        <w:rPr>
          <w:rFonts w:hint="eastAsia" w:ascii="宋体" w:hAnsi="宋体" w:eastAsia="宋体" w:cs="宋体"/>
          <w:b w:val="0"/>
          <w:bCs/>
          <w:color w:val="auto"/>
          <w:sz w:val="24"/>
          <w:szCs w:val="24"/>
          <w:highlight w:val="none"/>
        </w:rPr>
        <w:t xml:space="preserve">验收</w:t>
      </w:r>
      <w:r>
        <w:rPr>
          <w:rFonts w:hint="eastAsia" w:ascii="宋体" w:hAnsi="宋体" w:eastAsia="宋体" w:cs="宋体"/>
          <w:b w:val="0"/>
          <w:bCs/>
          <w:color w:val="auto"/>
          <w:sz w:val="24"/>
          <w:szCs w:val="24"/>
          <w:highlight w:val="none"/>
          <w:lang w:val="en-US" w:eastAsia="zh-CN"/>
        </w:rPr>
        <w:t xml:space="preserve">合格</w:t>
      </w:r>
      <w:r>
        <w:rPr>
          <w:rFonts w:hint="eastAsia" w:ascii="宋体" w:hAnsi="宋体" w:eastAsia="宋体" w:cs="宋体"/>
          <w:b w:val="0"/>
          <w:bCs/>
          <w:color w:val="auto"/>
          <w:sz w:val="24"/>
          <w:szCs w:val="24"/>
          <w:highlight w:val="none"/>
        </w:rPr>
        <w:t xml:space="preserve">后</w:t>
      </w:r>
      <w:r>
        <w:rPr>
          <w:rFonts w:hint="eastAsia" w:ascii="宋体" w:hAnsi="宋体" w:eastAsia="宋体" w:cs="宋体"/>
          <w:b w:val="0"/>
          <w:bCs/>
          <w:color w:val="auto"/>
          <w:sz w:val="24"/>
          <w:szCs w:val="24"/>
          <w:highlight w:val="none"/>
          <w:lang w:val="en-US" w:eastAsia="zh-CN"/>
        </w:rPr>
        <w:t xml:space="preserve">10个工作日内递交结算手续</w:t>
      </w:r>
      <w:r>
        <w:rPr>
          <w:rFonts w:hint="eastAsia" w:ascii="宋体" w:hAnsi="宋体" w:eastAsia="宋体" w:cs="宋体"/>
          <w:b w:val="0"/>
          <w:bCs/>
          <w:color w:val="auto"/>
          <w:sz w:val="24"/>
          <w:szCs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合同价款的百分之</w:t>
      </w:r>
      <w:r>
        <w:rPr>
          <w:rFonts w:hint="eastAsia" w:ascii="宋体" w:hAnsi="宋体" w:eastAsia="宋体" w:cs="宋体"/>
          <w:b w:val="0"/>
          <w:bCs/>
          <w:color w:val="auto"/>
          <w:sz w:val="24"/>
          <w:szCs w:val="24"/>
          <w:highlight w:val="none"/>
          <w:lang w:val="en-US" w:eastAsia="zh-CN"/>
        </w:rPr>
        <w:t xml:space="preserve">三十</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0%)，即¥（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），大写：人民币（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）元整，在双方签订合同后</w:t>
      </w:r>
      <w:r>
        <w:rPr>
          <w:rFonts w:hint="eastAsia" w:ascii="宋体" w:hAnsi="宋体" w:eastAsia="宋体" w:cs="宋体"/>
          <w:b w:val="0"/>
          <w:bCs/>
          <w:color w:val="auto"/>
          <w:sz w:val="24"/>
          <w:szCs w:val="24"/>
          <w:highlight w:val="none"/>
          <w:lang w:val="en-US" w:eastAsia="zh-CN"/>
        </w:rPr>
        <w:t xml:space="preserve">10个工作日内递交结算手续</w:t>
      </w:r>
      <w:r>
        <w:rPr>
          <w:rFonts w:hint="eastAsia" w:ascii="宋体" w:hAnsi="宋体" w:eastAsia="宋体" w:cs="宋体"/>
          <w:b w:val="0"/>
          <w:bCs/>
          <w:color w:val="auto"/>
          <w:sz w:val="24"/>
          <w:szCs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6.2 合同总价的百分之</w:t>
      </w:r>
      <w:r>
        <w:rPr>
          <w:rFonts w:hint="eastAsia" w:ascii="宋体" w:hAnsi="宋体" w:eastAsia="宋体" w:cs="宋体"/>
          <w:b w:val="0"/>
          <w:bCs/>
          <w:color w:val="auto"/>
          <w:sz w:val="24"/>
          <w:szCs w:val="24"/>
          <w:highlight w:val="none"/>
          <w:lang w:val="en-US" w:eastAsia="zh-CN"/>
        </w:rPr>
        <w:t xml:space="preserve">七十</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70</w:t>
      </w:r>
      <w:r>
        <w:rPr>
          <w:rFonts w:hint="eastAsia" w:ascii="宋体" w:hAnsi="宋体" w:eastAsia="宋体" w:cs="宋体"/>
          <w:b w:val="0"/>
          <w:bCs/>
          <w:color w:val="auto"/>
          <w:sz w:val="24"/>
          <w:szCs w:val="24"/>
          <w:highlight w:val="none"/>
        </w:rPr>
        <w:t xml:space="preserve">%)即¥（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），大写：人民币（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（1）乙方出具的全额正式发票；</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（2）甲方出具的验收合格证明</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银行帐号：</w:t>
      </w:r>
      <w:r/>
    </w:p>
    <w:p>
      <w:pPr>
        <w:ind w:firstLine="5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7.质量保证期及售后服务</w:t>
      </w:r>
      <w:r/>
    </w:p>
    <w:p>
      <w:pPr>
        <w:pStyle w:val="121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21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21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21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w:t>
      </w:r>
      <w:r>
        <w:rPr>
          <w:rFonts w:hint="eastAsia" w:ascii="宋体" w:hAnsi="宋体" w:eastAsia="宋体" w:cs="宋体"/>
          <w:b w:val="0"/>
          <w:bCs/>
          <w:color w:val="auto"/>
          <w:sz w:val="24"/>
          <w:szCs w:val="24"/>
          <w:highlight w:val="none"/>
          <w:u w:val="single"/>
          <w:lang w:val="en-US" w:eastAsia="zh-CN"/>
        </w:rPr>
        <w:t xml:space="preserve"> 1 </w:t>
      </w:r>
      <w:r>
        <w:rPr>
          <w:rFonts w:hint="eastAsia" w:ascii="宋体" w:hAnsi="宋体" w:eastAsia="宋体" w:cs="宋体"/>
          <w:b w:val="0"/>
          <w:bCs/>
          <w:color w:val="auto"/>
          <w:sz w:val="24"/>
          <w:szCs w:val="24"/>
          <w:highlight w:val="none"/>
        </w:rPr>
        <w:t xml:space="preserve">小时内予以响应，</w:t>
      </w:r>
      <w:r>
        <w:rPr>
          <w:rFonts w:hint="eastAsia" w:ascii="宋体" w:hAnsi="宋体" w:eastAsia="宋体" w:cs="宋体"/>
          <w:b w:val="0"/>
          <w:bCs/>
          <w:color w:val="auto"/>
          <w:sz w:val="24"/>
          <w:szCs w:val="24"/>
          <w:highlight w:val="none"/>
          <w:u w:val="single"/>
          <w:lang w:val="en-US" w:eastAsia="zh-CN"/>
        </w:rPr>
        <w:t xml:space="preserve"> 24</w:t>
      </w:r>
      <w:r>
        <w:rPr>
          <w:rFonts w:hint="eastAsia" w:ascii="宋体" w:hAnsi="宋体" w:eastAsia="宋体" w:cs="宋体"/>
          <w:b w:val="0"/>
          <w:bCs/>
          <w:color w:val="auto"/>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auto"/>
          <w:sz w:val="24"/>
          <w:szCs w:val="24"/>
          <w:highlight w:val="none"/>
          <w:lang w:val="en-US" w:eastAsia="zh-CN"/>
        </w:rPr>
        <w:t xml:space="preserve">处</w:t>
      </w:r>
      <w:r>
        <w:rPr>
          <w:rFonts w:hint="eastAsia" w:ascii="宋体" w:hAnsi="宋体" w:eastAsia="宋体" w:cs="宋体"/>
          <w:b w:val="0"/>
          <w:bCs/>
          <w:color w:val="auto"/>
          <w:sz w:val="24"/>
          <w:szCs w:val="24"/>
          <w:highlight w:val="none"/>
        </w:rPr>
        <w:t xml:space="preserve">取得联系，并与甲方工程师共同完成维修工作。乙方未尽到维修质保义务的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szCs w:val="24"/>
          <w:highlight w:val="none"/>
        </w:rPr>
        <w:t xml:space="preserve">，甲方可以委托第三方维修，由此产生的费用由乙方支付，并甲方有权追偿合同总金额的百分之</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的违约金。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 技术培训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9．知识产权 </w:t>
      </w:r>
      <w:r/>
    </w:p>
    <w:p>
      <w:pPr>
        <w:pStyle w:val="120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20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9.2本合同价包含所有应向所有权人支付的专利权、商标权或其它知识产权的一切相关费用。</w:t>
      </w:r>
      <w:r/>
    </w:p>
    <w:p>
      <w:pPr>
        <w:pStyle w:val="120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203"/>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10.1乙方的违约责任：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10.2甲方违约责任：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10.2.1非乙方供货质量问题，甲方中途不得退货，否则甲方应按合同总额的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向乙方支付违约金。</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11.不可抗力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206"/>
        <w:ind w:firstLine="472"/>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12.争议解决方法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13.其它</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13.2本合同壹式</w:t>
      </w:r>
      <w:r>
        <w:rPr>
          <w:rFonts w:hint="eastAsia" w:ascii="宋体" w:hAnsi="宋体" w:eastAsia="宋体" w:cs="宋体"/>
          <w:b w:val="0"/>
          <w:bCs/>
          <w:color w:val="auto"/>
          <w:sz w:val="24"/>
          <w:szCs w:val="24"/>
          <w:highlight w:val="none"/>
          <w:u w:val="single"/>
          <w:lang w:eastAsia="zh-CN"/>
        </w:rPr>
        <w:t xml:space="preserve">肆</w:t>
      </w:r>
      <w:r>
        <w:rPr>
          <w:rFonts w:hint="eastAsia" w:ascii="宋体" w:hAnsi="宋体" w:eastAsia="宋体" w:cs="宋体"/>
          <w:b w:val="0"/>
          <w:bCs/>
          <w:color w:val="auto"/>
          <w:sz w:val="24"/>
          <w:szCs w:val="24"/>
          <w:highlight w:val="none"/>
        </w:rPr>
        <w:t xml:space="preserve">份，甲方执</w:t>
      </w:r>
      <w:r>
        <w:rPr>
          <w:rFonts w:hint="eastAsia" w:ascii="宋体" w:hAnsi="宋体" w:eastAsia="宋体" w:cs="宋体"/>
          <w:b w:val="0"/>
          <w:bCs/>
          <w:color w:val="auto"/>
          <w:sz w:val="24"/>
          <w:szCs w:val="24"/>
          <w:highlight w:val="none"/>
          <w:u w:val="single"/>
          <w:lang w:eastAsia="zh-CN"/>
        </w:rPr>
        <w:t xml:space="preserve">贰</w:t>
      </w:r>
      <w:r>
        <w:rPr>
          <w:rFonts w:hint="eastAsia" w:ascii="宋体" w:hAnsi="宋体" w:eastAsia="宋体" w:cs="宋体"/>
          <w:b w:val="0"/>
          <w:bCs/>
          <w:color w:val="auto"/>
          <w:sz w:val="24"/>
          <w:szCs w:val="24"/>
          <w:highlight w:val="none"/>
        </w:rPr>
        <w:t xml:space="preserve">份，乙方执</w:t>
      </w:r>
      <w:r>
        <w:rPr>
          <w:rFonts w:hint="eastAsia" w:ascii="宋体" w:hAnsi="宋体" w:eastAsia="宋体" w:cs="宋体"/>
          <w:b w:val="0"/>
          <w:bCs/>
          <w:color w:val="auto"/>
          <w:sz w:val="24"/>
          <w:szCs w:val="24"/>
          <w:highlight w:val="none"/>
          <w:u w:val="single"/>
          <w:lang w:eastAsia="zh-CN"/>
        </w:rPr>
        <w:t xml:space="preserve">壹</w:t>
      </w:r>
      <w:r>
        <w:rPr>
          <w:rFonts w:hint="eastAsia" w:ascii="宋体" w:hAnsi="宋体" w:eastAsia="宋体" w:cs="宋体"/>
          <w:b w:val="0"/>
          <w:bCs/>
          <w:color w:val="auto"/>
          <w:sz w:val="24"/>
          <w:szCs w:val="24"/>
          <w:highlight w:val="none"/>
        </w:rPr>
        <w:t xml:space="preserve">份，备案</w:t>
      </w:r>
      <w:r>
        <w:rPr>
          <w:rFonts w:hint="eastAsia" w:ascii="宋体" w:hAnsi="宋体" w:eastAsia="宋体" w:cs="宋体"/>
          <w:b w:val="0"/>
          <w:bCs/>
          <w:color w:val="auto"/>
          <w:sz w:val="24"/>
          <w:szCs w:val="24"/>
          <w:highlight w:val="none"/>
          <w:u w:val="single"/>
          <w:lang w:eastAsia="zh-CN"/>
        </w:rPr>
        <w:t xml:space="preserve">壹</w:t>
      </w:r>
      <w:r>
        <w:rPr>
          <w:rFonts w:hint="eastAsia" w:ascii="宋体" w:hAnsi="宋体" w:eastAsia="宋体" w:cs="宋体"/>
          <w:b w:val="0"/>
          <w:bCs/>
          <w:color w:val="auto"/>
          <w:sz w:val="24"/>
          <w:szCs w:val="24"/>
          <w:highlight w:val="none"/>
        </w:rPr>
        <w:t xml:space="preserve">份。</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14.合同附件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（下页为合同签署页）</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eastAsia="宋体" w:cs="宋体"/>
          <w:b w:val="0"/>
          <w:bCs/>
          <w:color w:val="auto"/>
          <w:sz w:val="24"/>
          <w:szCs w:val="24"/>
          <w:highlight w:val="none"/>
          <w:lang w:eastAsia="zh-CN"/>
        </w:rPr>
        <w:t xml:space="preserve">徐州市第一人民医院</w:t>
      </w:r>
      <w:r>
        <w:rPr>
          <w:rFonts w:hint="eastAsia" w:ascii="宋体" w:hAnsi="宋体" w:eastAsia="宋体" w:cs="宋体"/>
          <w:b w:val="0"/>
          <w:bCs/>
          <w:color w:val="auto"/>
          <w:sz w:val="24"/>
          <w:szCs w:val="24"/>
          <w:highlight w:val="none"/>
        </w:rPr>
        <w:t xml:space="preserve">           乙 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                         法定代表人：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ind w:left="4556" w:hanging="31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开 户 行：</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签订日期：                           签订日期：</w:t>
      </w:r>
      <w:r>
        <w:rPr>
          <w:rFonts w:hint="eastAsia" w:ascii="宋体" w:hAnsi="宋体" w:eastAsia="宋体" w:cs="宋体"/>
          <w:b w:val="0"/>
          <w:bCs/>
          <w:color w:val="auto"/>
          <w:sz w:val="24"/>
          <w:highlight w:val="none"/>
        </w:rPr>
        <w:t xml:space="preserve"> </w:t>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rPr>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r/>
    </w:p>
    <w:p>
      <w:pPr>
        <w:pStyle w:val="1004"/>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宋体" w:hAnsi="宋体" w:eastAsia="宋体" w:cs="宋体"/>
          <w:b/>
          <w:bCs/>
          <w:color w:val="auto"/>
          <w:sz w:val="32"/>
          <w:szCs w:val="32"/>
          <w:highlight w:val="none"/>
        </w:rPr>
        <w:outlineLvl w:val="0"/>
      </w:pPr>
      <w:r/>
      <w:bookmarkStart w:id="12" w:name="_Toc1772"/>
      <w:r>
        <w:rPr>
          <w:rFonts w:hint="eastAsia" w:ascii="宋体" w:hAnsi="宋体" w:eastAsia="宋体" w:cs="宋体"/>
          <w:b/>
          <w:bCs/>
          <w:color w:val="auto"/>
          <w:sz w:val="32"/>
          <w:szCs w:val="32"/>
          <w:highlight w:val="none"/>
        </w:rPr>
        <w:t xml:space="preserve">第七章  投标文件相关格式</w:t>
      </w:r>
      <w:bookmarkEnd w:id="12"/>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95"/>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95"/>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95"/>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徐州市第一人民医院彩色多普勒血流显像仪(全身1)</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95"/>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95"/>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95"/>
        <w:rPr>
          <w:rFonts w:hint="eastAsia"/>
          <w:color w:val="auto"/>
          <w:highlight w:val="none"/>
          <w:lang w:val="en-US" w:eastAsia="zh-CN"/>
        </w:rPr>
      </w:pPr>
      <w:r>
        <w:rPr>
          <w:rFonts w:hint="eastAsia"/>
          <w:color w:val="auto"/>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cs="宋体"/>
          <w:color w:val="auto"/>
          <w:sz w:val="24"/>
          <w:highlight w:val="none"/>
        </w:rPr>
        <w:sectPr>
          <w:headerReference w:type="default" r:id="rId13"/>
          <w:footerReference w:type="default" r:id="rId20"/>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徐州市第一人民医院</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 投标人同意按照招标文件规定支付招标代理服务费。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lang w:val="en-US" w:eastAsia="zh-CN" w:bidi="ar-SA"/>
        </w:rPr>
      </w:pPr>
      <w:r>
        <w:rPr>
          <w:rFonts w:hint="eastAsia" w:ascii="宋体" w:hAnsi="宋体"/>
          <w:color w:val="auto"/>
          <w:sz w:val="30"/>
          <w:szCs w:val="30"/>
          <w:highlight w:val="none"/>
        </w:rPr>
        <w:t xml:space="preserve">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lang w:val="en-US" w:eastAsia="zh-CN"/>
        </w:rPr>
      </w:pPr>
      <w:r>
        <w:rPr>
          <w:rFonts w:hint="default" w:ascii="宋体" w:hAnsi="宋体" w:eastAsia="宋体" w:cs="宋体"/>
          <w:color w:val="auto"/>
          <w:sz w:val="24"/>
          <w:szCs w:val="21"/>
          <w:highlight w:val="none"/>
          <w:u w:val="single"/>
          <w:lang w:val="en-US" w:eastAsia="zh-CN"/>
        </w:rPr>
      </w:r>
      <w:r/>
    </w:p>
    <w:tbl>
      <w:tblPr>
        <w:tblStyle w:val="100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①如果不提供详细分项</w:t>
      </w:r>
      <w:r>
        <w:rPr>
          <w:rFonts w:hint="eastAsia" w:ascii="宋体" w:hAnsi="宋体" w:cs="宋体"/>
          <w:color w:val="auto"/>
          <w:szCs w:val="21"/>
          <w:highlight w:val="none"/>
          <w:lang w:val="en-US" w:eastAsia="zh-CN"/>
        </w:rPr>
        <w:t xml:space="preserve">价格表</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没有提供维保费用金额的，</w:t>
      </w:r>
      <w:r>
        <w:rPr>
          <w:rFonts w:hint="eastAsia" w:ascii="宋体" w:hAnsi="宋体" w:eastAsia="宋体" w:cs="宋体"/>
          <w:color w:val="auto"/>
          <w:szCs w:val="21"/>
          <w:highlight w:val="none"/>
        </w:rPr>
        <w:t xml:space="preserve">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rPr>
        <w:t xml:space="preserve">4、</w:t>
      </w:r>
      <w:r>
        <w:rPr>
          <w:rFonts w:hint="eastAsia" w:asciiTheme="minorEastAsia" w:hAnsiTheme="minorEastAsia" w:eastAsiaTheme="minorEastAsia" w:cstheme="minorEastAsia"/>
          <w:b/>
          <w:bCs/>
          <w:color w:val="auto"/>
          <w:sz w:val="32"/>
          <w:szCs w:val="32"/>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1002"/>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1"/>
          <w:highlight w:val="none"/>
        </w:rPr>
        <w:br w:type="page" w:clear="all"/>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1026"/>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彩色多普勒血流显像仪（全身</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3" w:name="OLE_LINK15"/>
      <w:r>
        <w:rPr>
          <w:rFonts w:hint="eastAsia" w:ascii="宋体" w:hAnsi="宋体" w:eastAsia="宋体" w:cs="宋体"/>
          <w:color w:val="auto"/>
          <w:sz w:val="24"/>
          <w:szCs w:val="21"/>
          <w:highlight w:val="none"/>
        </w:rPr>
        <w:t xml:space="preserve">将依法承担相应责任</w:t>
      </w:r>
      <w:bookmarkEnd w:id="13"/>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pStyle w:val="1038"/>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103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1038"/>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103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103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headerReference w:type="default" r:id="rId14"/>
          <w:footerReference w:type="even" r:id="rId21"/>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14"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2" name="图片 1" descr="c014e88440e9256c45b9cc11fb0c77e"/>
                        <pic:cNvPicPr/>
                        <pic:nvPr/>
                      </pic:nvPicPr>
                      <pic:blipFill>
                        <a:blip r:embed="rId25"/>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5"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3"/>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eastAsia" w:ascii="宋体" w:hAnsi="宋体" w:eastAsia="宋体" w:cs="宋体"/>
          <w:bCs/>
          <w:color w:val="auto"/>
          <w:sz w:val="28"/>
          <w:szCs w:val="28"/>
          <w:highlight w:val="none"/>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Cs/>
          <w:color w:val="auto"/>
          <w:sz w:val="28"/>
          <w:szCs w:val="28"/>
          <w:highlight w:val="none"/>
          <w:lang w:val="en-US" w:eastAsia="zh-CN" w:bidi="ar-SA"/>
        </w:rPr>
        <w:t xml:space="preserve">9、具备履行合同所必需的设备和专业技术能力的</w:t>
      </w:r>
      <w:r>
        <w:rPr>
          <w:rFonts w:hint="eastAsia" w:ascii="宋体" w:hAnsi="宋体" w:cs="宋体"/>
          <w:bCs/>
          <w:color w:val="auto"/>
          <w:sz w:val="28"/>
          <w:szCs w:val="28"/>
          <w:highlight w:val="none"/>
          <w:lang w:val="en-US" w:eastAsia="zh-CN" w:bidi="ar-SA"/>
        </w:rPr>
        <w:t xml:space="preserve">证明材料。</w:t>
      </w:r>
      <w:r>
        <w:rPr>
          <w:rFonts w:hint="eastAsia" w:ascii="宋体" w:hAnsi="宋体" w:eastAsia="宋体" w:cs="宋体"/>
          <w:bCs/>
          <w:color w:val="auto"/>
          <w:sz w:val="28"/>
          <w:szCs w:val="28"/>
          <w:highlight w:val="none"/>
          <w:lang w:val="en-US" w:eastAsia="zh-CN" w:bidi="ar"/>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auto"/>
          <w:sz w:val="28"/>
          <w:szCs w:val="28"/>
          <w:highlight w:val="none"/>
          <w:lang w:val="en-US" w:eastAsia="zh-CN" w:bidi="ar-SA"/>
        </w:rPr>
        <w:outlineLvl w:val="9"/>
      </w:pPr>
      <w:r>
        <w:rPr>
          <w:rFonts w:hint="eastAsia" w:ascii="宋体" w:hAnsi="宋体" w:eastAsia="宋体" w:cs="宋体"/>
          <w:bCs/>
          <w:color w:val="auto"/>
          <w:sz w:val="28"/>
          <w:szCs w:val="28"/>
          <w:highlight w:val="none"/>
          <w:lang w:val="en-US" w:eastAsia="zh-CN" w:bidi="ar-SA"/>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①所投产品为第二类医疗器械时，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投标人有效的第二类医疗器械经营备案凭证</w:t>
      </w:r>
      <w:r>
        <w:rPr>
          <w:rFonts w:hint="eastAsia" w:ascii="宋体" w:hAnsi="宋体" w:eastAsia="宋体" w:cs="宋体"/>
          <w:bCs/>
          <w:color w:val="auto"/>
          <w:sz w:val="24"/>
          <w:szCs w:val="21"/>
          <w:highlight w:val="none"/>
          <w:lang w:val="en-US" w:eastAsia="zh-CN"/>
        </w:rPr>
        <w:t xml:space="preserve">扫描件</w:t>
      </w:r>
      <w:r>
        <w:rPr>
          <w:rFonts w:hint="eastAsia" w:ascii="宋体" w:hAnsi="宋体" w:eastAsia="宋体" w:cs="宋体"/>
          <w:bCs/>
          <w:color w:val="auto"/>
          <w:sz w:val="24"/>
          <w:szCs w:val="21"/>
          <w:highlight w:val="none"/>
        </w:rPr>
        <w:t xml:space="preserve">；所投产品为第三类医疗器械时，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投标人有效的医疗器械经营许可证</w:t>
      </w:r>
      <w:r>
        <w:rPr>
          <w:rFonts w:hint="eastAsia" w:ascii="宋体" w:hAnsi="宋体" w:eastAsia="宋体" w:cs="宋体"/>
          <w:bCs/>
          <w:color w:val="auto"/>
          <w:sz w:val="24"/>
          <w:szCs w:val="21"/>
          <w:highlight w:val="none"/>
          <w:lang w:val="en-US" w:eastAsia="zh-CN"/>
        </w:rPr>
        <w:t xml:space="preserve">扫描件；</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②提供所投产品的有效的医疗器械注册证扫描件</w:t>
      </w:r>
      <w:r>
        <w:rPr>
          <w:rFonts w:hint="eastAsia" w:ascii="宋体" w:hAnsi="宋体" w:eastAsia="宋体" w:cs="宋体"/>
          <w:bCs/>
          <w:color w:val="auto"/>
          <w:sz w:val="24"/>
          <w:szCs w:val="21"/>
          <w:highlight w:val="none"/>
          <w:lang w:val="en-US" w:eastAsia="zh-CN"/>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lang w:val="en-US" w:eastAsia="zh-CN"/>
        </w:rPr>
        <w:t xml:space="preserve">10、关于符合本国产品标准的声明函</w:t>
      </w:r>
      <w:r>
        <w:rPr>
          <w:rFonts w:hint="eastAsia"/>
          <w:color w:val="auto"/>
        </w:rPr>
        <w:t xml:space="preserve"> </w:t>
      </w:r>
      <w:r/>
    </w:p>
    <w:p>
      <w:pPr>
        <w:pStyle w:val="102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10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10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彩色多普勒血流显像仪(全身1)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10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10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1024"/>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10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10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1024"/>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1024"/>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10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head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lang w:val="en-US" w:eastAsia="zh-CN"/>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wps:txbx>
                    <wps:bodyPr vert="horz" wrap="none" lIns="0" tIns="0" rIns="0" bIns="0" anchor="t">
                      <a:spAutoFit/>
                    </wps:bodyPr>
                  </wps:wsp>
                </a:graphicData>
              </a:graphic>
            </wp:anchor>
          </w:drawing>
        </mc:Choice>
        <mc:Fallback>
          <w:pict>
            <v:shape id="shape 8" o:spid="_x0000_s8"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9" o:spid="_x0000_s9"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rPr>
        <w:rFonts w:hint="eastAsia" w:ascii="Times New Roman" w:hAnsi="Times New Roman" w:eastAsia="宋体" w:cs="Times New Roman"/>
        <w:sz w:val="18"/>
        <w:szCs w:val="21"/>
        <w:lang w:val="en-US" w:eastAsia="zh-CN" w:bidi="ar-SA"/>
      </w:rPr>
      <w:t xml:space="preserve">江苏科建工程项目管理有限公司编制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tabs>
        <w:tab w:val="left" w:pos="4912"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10" o:spid="_x0000_s1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rPr>
        <w:rFonts w:hint="eastAsia" w:ascii="仿宋" w:hAnsi="仿宋" w:eastAsia="仿宋" w:cs="仿宋"/>
        <w:b/>
        <w:bCs/>
        <w:i/>
        <w:iCs/>
        <w:sz w:val="18"/>
        <w:szCs w:val="21"/>
        <w:lang w:val="en-US" w:eastAsia="zh-CN" w:bidi="ar-SA"/>
      </w:rPr>
      <w:t xml:space="preserve">江苏科建工程项目管理有限公司编制</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徐州市第一人民医院彩色多普勒血流显像仪(全身1)</w:t>
    </w:r>
    <w:r>
      <w:rPr>
        <w:rFonts w:hint="eastAsia" w:ascii="Times New Roman" w:hAnsi="Times New Roman" w:eastAsia="宋体" w:cs="Times New Roman"/>
        <w:sz w:val="18"/>
        <w:szCs w:val="21"/>
      </w:rPr>
      <w:t xml:space="preserve">               招标文件</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徐州市第一人民医院彩色多普勒血流显像仪(全身1)</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徐州市第一人民医院彩色多普勒血流显像仪(全身1)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13"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徐州市第一人民医院彩色多普勒血流显像仪(全身1)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徐州市第一人民医院彩色多普勒血流显像仪(全身1)</w:t>
    </w:r>
    <w:r>
      <w:rPr>
        <w:rFonts w:hint="eastAsia" w:ascii="Times New Roman" w:hAnsi="Times New Roman" w:eastAsia="宋体" w:cs="Times New Roman"/>
        <w:sz w:val="18"/>
        <w:szCs w:val="18"/>
        <w:lang w:val="en-US" w:eastAsia="zh-CN" w:bidi="ar-SA"/>
      </w:rPr>
      <w:t xml:space="preserve">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6"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徐州市第一人民医院彩色多普勒血流显像仪(全身1)</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7"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21"/>
        <w:szCs w:val="21"/>
        <w:lang w:val="en-US" w:eastAsia="zh-CN" w:bidi="ar-SA"/>
      </w:rPr>
      <w:t xml:space="preserve">江苏科建编制  </w:t>
    </w:r>
    <w:r>
      <w:rPr>
        <w:rFonts w:hint="eastAsia" w:ascii="Times New Roman" w:hAnsi="Times New Roman" w:cs="Times New Roman"/>
        <w:sz w:val="21"/>
        <w:szCs w:val="21"/>
        <w:lang w:val="en-US" w:eastAsia="zh-CN" w:bidi="ar-SA"/>
      </w:rPr>
      <w:t xml:space="preserve">  </w:t>
    </w:r>
    <w:r>
      <w:rPr>
        <w:rFonts w:hint="eastAsia" w:ascii="Times New Roman" w:hAnsi="Times New Roman" w:eastAsia="宋体" w:cs="Times New Roman"/>
        <w:sz w:val="21"/>
        <w:szCs w:val="21"/>
        <w:lang w:val="en-US" w:eastAsia="zh-CN" w:bidi="ar-SA"/>
      </w:rPr>
      <w:t xml:space="preserve"> </w:t>
    </w:r>
    <w:r>
      <w:rPr>
        <w:rFonts w:hint="eastAsia" w:ascii="Times New Roman" w:hAnsi="Times New Roman" w:cs="Times New Roman"/>
        <w:sz w:val="21"/>
        <w:szCs w:val="21"/>
        <w:lang w:val="en-US" w:eastAsia="zh-CN" w:bidi="ar-SA"/>
      </w:rPr>
      <w:t xml:space="preserve">      徐州市第一人民医院彩色多普勒血流显像仪(全身1)</w:t>
    </w:r>
    <w:r>
      <w:rPr>
        <w:rFonts w:hint="eastAsia" w:ascii="Times New Roman" w:hAnsi="Times New Roman" w:eastAsia="宋体" w:cs="Times New Roman"/>
        <w:sz w:val="21"/>
        <w:szCs w:val="21"/>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7"/>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1" w:default="1">
    <w:name w:val="Normal"/>
    <w:link w:val="1216"/>
    <w:uiPriority w:val="0"/>
    <w:qFormat/>
    <w:pPr>
      <w:jc w:val="both"/>
      <w:widowControl w:val="off"/>
    </w:pPr>
    <w:rPr>
      <w:rFonts w:hint="default" w:ascii="Calibri" w:hAnsi="Calibri" w:eastAsia="宋体" w:cs="宋体"/>
      <w:sz w:val="21"/>
      <w:szCs w:val="24"/>
      <w:lang w:val="en-US" w:eastAsia="zh-CN" w:bidi="ar-SA"/>
    </w:rPr>
  </w:style>
  <w:style w:type="paragraph" w:styleId="992">
    <w:name w:val="Heading 1"/>
    <w:basedOn w:val="991"/>
    <w:next w:val="991"/>
    <w:link w:val="1047"/>
    <w:uiPriority w:val="9"/>
    <w:qFormat/>
    <w:pPr>
      <w:keepLines/>
      <w:keepNext/>
      <w:spacing w:before="480" w:after="200"/>
      <w:outlineLvl w:val="0"/>
    </w:pPr>
    <w:rPr>
      <w:rFonts w:ascii="Arial" w:hAnsi="Arial" w:eastAsia="Arial" w:cs="Arial"/>
      <w:sz w:val="40"/>
      <w:szCs w:val="40"/>
    </w:rPr>
  </w:style>
  <w:style w:type="paragraph" w:styleId="993">
    <w:name w:val="Heading 2"/>
    <w:basedOn w:val="991"/>
    <w:next w:val="991"/>
    <w:link w:val="1048"/>
    <w:uiPriority w:val="9"/>
    <w:unhideWhenUsed/>
    <w:qFormat/>
    <w:pPr>
      <w:keepLines/>
      <w:keepNext/>
      <w:spacing w:before="360" w:after="200"/>
      <w:outlineLvl w:val="1"/>
    </w:pPr>
    <w:rPr>
      <w:rFonts w:ascii="Arial" w:hAnsi="Arial" w:eastAsia="Arial" w:cs="Arial"/>
      <w:sz w:val="34"/>
    </w:rPr>
  </w:style>
  <w:style w:type="paragraph" w:styleId="994">
    <w:name w:val="Heading 3"/>
    <w:basedOn w:val="991"/>
    <w:next w:val="991"/>
    <w:link w:val="1049"/>
    <w:uiPriority w:val="9"/>
    <w:unhideWhenUsed/>
    <w:qFormat/>
    <w:pPr>
      <w:keepLines/>
      <w:keepNext/>
      <w:spacing w:before="320" w:after="200"/>
      <w:outlineLvl w:val="2"/>
    </w:pPr>
    <w:rPr>
      <w:rFonts w:ascii="Arial" w:hAnsi="Arial" w:eastAsia="Arial" w:cs="Arial"/>
      <w:sz w:val="30"/>
      <w:szCs w:val="30"/>
    </w:rPr>
  </w:style>
  <w:style w:type="paragraph" w:styleId="995">
    <w:name w:val="Heading 4"/>
    <w:basedOn w:val="991"/>
    <w:next w:val="991"/>
    <w:link w:val="1050"/>
    <w:uiPriority w:val="9"/>
    <w:unhideWhenUsed/>
    <w:qFormat/>
    <w:pPr>
      <w:keepLines/>
      <w:keepNext/>
      <w:spacing w:before="320" w:after="200"/>
      <w:outlineLvl w:val="3"/>
    </w:pPr>
    <w:rPr>
      <w:rFonts w:ascii="Arial" w:hAnsi="Arial" w:eastAsia="Arial" w:cs="Arial"/>
      <w:b/>
      <w:bCs/>
      <w:sz w:val="26"/>
      <w:szCs w:val="26"/>
    </w:rPr>
  </w:style>
  <w:style w:type="paragraph" w:styleId="996">
    <w:name w:val="Heading 5"/>
    <w:basedOn w:val="991"/>
    <w:next w:val="991"/>
    <w:link w:val="1051"/>
    <w:uiPriority w:val="9"/>
    <w:unhideWhenUsed/>
    <w:qFormat/>
    <w:pPr>
      <w:keepLines/>
      <w:keepNext/>
      <w:spacing w:before="320" w:after="200"/>
      <w:outlineLvl w:val="4"/>
    </w:pPr>
    <w:rPr>
      <w:rFonts w:ascii="Arial" w:hAnsi="Arial" w:eastAsia="Arial" w:cs="Arial"/>
      <w:b/>
      <w:bCs/>
      <w:sz w:val="24"/>
      <w:szCs w:val="24"/>
    </w:rPr>
  </w:style>
  <w:style w:type="paragraph" w:styleId="997">
    <w:name w:val="Heading 6"/>
    <w:basedOn w:val="991"/>
    <w:next w:val="991"/>
    <w:link w:val="1052"/>
    <w:uiPriority w:val="9"/>
    <w:unhideWhenUsed/>
    <w:qFormat/>
    <w:pPr>
      <w:keepLines/>
      <w:keepNext/>
      <w:spacing w:before="320" w:after="200"/>
      <w:outlineLvl w:val="5"/>
    </w:pPr>
    <w:rPr>
      <w:rFonts w:ascii="Arial" w:hAnsi="Arial" w:eastAsia="Arial" w:cs="Arial"/>
      <w:b/>
      <w:bCs/>
      <w:sz w:val="22"/>
      <w:szCs w:val="22"/>
    </w:rPr>
  </w:style>
  <w:style w:type="paragraph" w:styleId="998">
    <w:name w:val="Heading 7"/>
    <w:basedOn w:val="991"/>
    <w:next w:val="991"/>
    <w:link w:val="1053"/>
    <w:uiPriority w:val="9"/>
    <w:unhideWhenUsed/>
    <w:qFormat/>
    <w:pPr>
      <w:keepLines/>
      <w:keepNext/>
      <w:spacing w:before="320" w:after="200"/>
      <w:outlineLvl w:val="6"/>
    </w:pPr>
    <w:rPr>
      <w:rFonts w:ascii="Arial" w:hAnsi="Arial" w:eastAsia="Arial" w:cs="Arial"/>
      <w:b/>
      <w:bCs/>
      <w:i/>
      <w:iCs/>
      <w:sz w:val="22"/>
      <w:szCs w:val="22"/>
    </w:rPr>
  </w:style>
  <w:style w:type="paragraph" w:styleId="999">
    <w:name w:val="Heading 8"/>
    <w:basedOn w:val="991"/>
    <w:next w:val="991"/>
    <w:link w:val="1054"/>
    <w:uiPriority w:val="9"/>
    <w:unhideWhenUsed/>
    <w:qFormat/>
    <w:pPr>
      <w:keepLines/>
      <w:keepNext/>
      <w:spacing w:before="320" w:after="200"/>
      <w:outlineLvl w:val="7"/>
    </w:pPr>
    <w:rPr>
      <w:rFonts w:ascii="Arial" w:hAnsi="Arial" w:eastAsia="Arial" w:cs="Arial"/>
      <w:i/>
      <w:iCs/>
      <w:sz w:val="22"/>
      <w:szCs w:val="22"/>
    </w:rPr>
  </w:style>
  <w:style w:type="paragraph" w:styleId="1000">
    <w:name w:val="Heading 9"/>
    <w:basedOn w:val="991"/>
    <w:next w:val="991"/>
    <w:link w:val="1055"/>
    <w:uiPriority w:val="9"/>
    <w:unhideWhenUsed/>
    <w:qFormat/>
    <w:pPr>
      <w:keepLines/>
      <w:keepNext/>
      <w:spacing w:before="320" w:after="200"/>
      <w:outlineLvl w:val="8"/>
    </w:pPr>
    <w:rPr>
      <w:rFonts w:ascii="Arial" w:hAnsi="Arial" w:eastAsia="Arial" w:cs="Arial"/>
      <w:i/>
      <w:iCs/>
      <w:sz w:val="21"/>
      <w:szCs w:val="21"/>
    </w:rPr>
  </w:style>
  <w:style w:type="character" w:styleId="1001" w:default="1">
    <w:name w:val="Default Paragraph Font"/>
    <w:uiPriority w:val="0"/>
    <w:qFormat/>
  </w:style>
  <w:style w:type="table" w:styleId="1002"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03">
    <w:name w:val="toc 7"/>
    <w:basedOn w:val="991"/>
    <w:next w:val="991"/>
    <w:uiPriority w:val="39"/>
    <w:unhideWhenUsed/>
    <w:qFormat/>
    <w:pPr>
      <w:ind w:left="1701" w:right="0" w:firstLine="0"/>
      <w:spacing w:after="57"/>
    </w:pPr>
  </w:style>
  <w:style w:type="paragraph" w:styleId="1004">
    <w:name w:val="table of authorities"/>
    <w:basedOn w:val="991"/>
    <w:next w:val="991"/>
    <w:uiPriority w:val="0"/>
    <w:qFormat/>
    <w:pPr>
      <w:ind w:left="420"/>
    </w:pPr>
  </w:style>
  <w:style w:type="paragraph" w:styleId="1005">
    <w:name w:val="Caption"/>
    <w:basedOn w:val="991"/>
    <w:next w:val="9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6">
    <w:name w:val="annotation text"/>
    <w:basedOn w:val="991"/>
    <w:uiPriority w:val="99"/>
    <w:semiHidden/>
    <w:unhideWhenUsed/>
    <w:qFormat/>
    <w:pPr>
      <w:jc w:val="left"/>
    </w:pPr>
  </w:style>
  <w:style w:type="paragraph" w:styleId="1007">
    <w:name w:val="Body Text"/>
    <w:basedOn w:val="991"/>
    <w:uiPriority w:val="99"/>
    <w:qFormat/>
    <w:rPr>
      <w:rFonts w:ascii="Verdana" w:hAnsi="Verdana" w:cs="Verdana"/>
      <w:sz w:val="24"/>
      <w:szCs w:val="24"/>
    </w:rPr>
  </w:style>
  <w:style w:type="paragraph" w:styleId="1008">
    <w:name w:val="Block Text"/>
    <w:basedOn w:val="991"/>
    <w:next w:val="991"/>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1009">
    <w:name w:val="toc 5"/>
    <w:basedOn w:val="991"/>
    <w:next w:val="991"/>
    <w:uiPriority w:val="39"/>
    <w:unhideWhenUsed/>
    <w:qFormat/>
    <w:pPr>
      <w:ind w:left="1134" w:right="0" w:firstLine="0"/>
      <w:spacing w:after="57"/>
    </w:pPr>
  </w:style>
  <w:style w:type="paragraph" w:styleId="1010">
    <w:name w:val="toc 3"/>
    <w:basedOn w:val="991"/>
    <w:next w:val="991"/>
    <w:uiPriority w:val="39"/>
    <w:unhideWhenUsed/>
    <w:qFormat/>
    <w:pPr>
      <w:ind w:left="567" w:right="0" w:firstLine="0"/>
      <w:spacing w:after="57"/>
    </w:pPr>
  </w:style>
  <w:style w:type="paragraph" w:styleId="1011">
    <w:name w:val="Plain Text"/>
    <w:basedOn w:val="991"/>
    <w:uiPriority w:val="99"/>
    <w:qFormat/>
    <w:rPr>
      <w:rFonts w:ascii="宋体" w:hAnsi="Courier New" w:cs="宋体"/>
    </w:rPr>
  </w:style>
  <w:style w:type="paragraph" w:styleId="1012">
    <w:name w:val="toc 8"/>
    <w:basedOn w:val="991"/>
    <w:next w:val="991"/>
    <w:uiPriority w:val="39"/>
    <w:unhideWhenUsed/>
    <w:qFormat/>
    <w:pPr>
      <w:ind w:left="1984" w:right="0" w:firstLine="0"/>
      <w:spacing w:after="57"/>
    </w:pPr>
  </w:style>
  <w:style w:type="paragraph" w:styleId="1013">
    <w:name w:val="endnote text"/>
    <w:basedOn w:val="991"/>
    <w:link w:val="1193"/>
    <w:uiPriority w:val="99"/>
    <w:semiHidden/>
    <w:unhideWhenUsed/>
    <w:qFormat/>
    <w:pPr>
      <w:spacing w:after="0" w:line="240" w:lineRule="auto"/>
    </w:pPr>
    <w:rPr>
      <w:sz w:val="20"/>
    </w:rPr>
  </w:style>
  <w:style w:type="paragraph" w:styleId="1014">
    <w:name w:val="Footer"/>
    <w:basedOn w:val="991"/>
    <w:uiPriority w:val="99"/>
    <w:qFormat/>
    <w:pPr>
      <w:tabs>
        <w:tab w:val="center" w:pos="7143" w:leader="none"/>
        <w:tab w:val="right" w:pos="14287" w:leader="none"/>
      </w:tabs>
    </w:pPr>
  </w:style>
  <w:style w:type="paragraph" w:styleId="1015">
    <w:name w:val="Header"/>
    <w:basedOn w:val="991"/>
    <w:link w:val="1064"/>
    <w:uiPriority w:val="99"/>
    <w:unhideWhenUsed/>
    <w:qFormat/>
    <w:pPr>
      <w:spacing w:after="0" w:line="240" w:lineRule="auto"/>
      <w:tabs>
        <w:tab w:val="center" w:pos="7143" w:leader="none"/>
        <w:tab w:val="right" w:pos="14287" w:leader="none"/>
      </w:tabs>
    </w:pPr>
  </w:style>
  <w:style w:type="paragraph" w:styleId="1016">
    <w:name w:val="toc 1"/>
    <w:basedOn w:val="991"/>
    <w:next w:val="991"/>
    <w:uiPriority w:val="39"/>
    <w:unhideWhenUsed/>
    <w:qFormat/>
    <w:pPr>
      <w:spacing w:after="57"/>
    </w:pPr>
  </w:style>
  <w:style w:type="paragraph" w:styleId="1017">
    <w:name w:val="toc 4"/>
    <w:basedOn w:val="991"/>
    <w:next w:val="991"/>
    <w:uiPriority w:val="39"/>
    <w:unhideWhenUsed/>
    <w:qFormat/>
    <w:pPr>
      <w:ind w:left="850" w:right="0" w:firstLine="0"/>
      <w:spacing w:after="57"/>
    </w:pPr>
  </w:style>
  <w:style w:type="paragraph" w:styleId="1018">
    <w:name w:val="Subtitle"/>
    <w:basedOn w:val="991"/>
    <w:next w:val="991"/>
    <w:link w:val="1059"/>
    <w:uiPriority w:val="11"/>
    <w:qFormat/>
    <w:pPr>
      <w:spacing w:before="200" w:after="200"/>
    </w:pPr>
    <w:rPr>
      <w:sz w:val="24"/>
      <w:szCs w:val="24"/>
    </w:rPr>
  </w:style>
  <w:style w:type="paragraph" w:styleId="1019">
    <w:name w:val="footnote text"/>
    <w:basedOn w:val="991"/>
    <w:link w:val="1192"/>
    <w:uiPriority w:val="99"/>
    <w:semiHidden/>
    <w:unhideWhenUsed/>
    <w:qFormat/>
    <w:pPr>
      <w:spacing w:after="40" w:line="240" w:lineRule="auto"/>
    </w:pPr>
    <w:rPr>
      <w:sz w:val="18"/>
    </w:rPr>
  </w:style>
  <w:style w:type="paragraph" w:styleId="1020">
    <w:name w:val="toc 6"/>
    <w:basedOn w:val="991"/>
    <w:next w:val="991"/>
    <w:uiPriority w:val="39"/>
    <w:unhideWhenUsed/>
    <w:qFormat/>
    <w:pPr>
      <w:ind w:left="1417" w:right="0" w:firstLine="0"/>
      <w:spacing w:after="57"/>
    </w:pPr>
  </w:style>
  <w:style w:type="paragraph" w:styleId="1021">
    <w:name w:val="table of figures"/>
    <w:basedOn w:val="991"/>
    <w:next w:val="991"/>
    <w:uiPriority w:val="99"/>
    <w:unhideWhenUsed/>
    <w:qFormat/>
    <w:pPr>
      <w:spacing w:after="0" w:afterAutospacing="0"/>
    </w:pPr>
  </w:style>
  <w:style w:type="paragraph" w:styleId="1022">
    <w:name w:val="toc 2"/>
    <w:basedOn w:val="991"/>
    <w:next w:val="991"/>
    <w:uiPriority w:val="39"/>
    <w:unhideWhenUsed/>
    <w:qFormat/>
    <w:pPr>
      <w:ind w:left="283" w:right="0" w:firstLine="0"/>
      <w:spacing w:after="57"/>
    </w:pPr>
  </w:style>
  <w:style w:type="paragraph" w:styleId="1023">
    <w:name w:val="toc 9"/>
    <w:basedOn w:val="991"/>
    <w:next w:val="991"/>
    <w:uiPriority w:val="39"/>
    <w:unhideWhenUsed/>
    <w:qFormat/>
    <w:pPr>
      <w:ind w:left="2268" w:right="0" w:firstLine="0"/>
      <w:spacing w:after="57"/>
    </w:pPr>
  </w:style>
  <w:style w:type="paragraph" w:styleId="1024">
    <w:name w:val="Normal (Web)"/>
    <w:basedOn w:val="991"/>
    <w:uiPriority w:val="99"/>
    <w:semiHidden/>
    <w:unhideWhenUsed/>
    <w:qFormat/>
    <w:pPr>
      <w:ind w:left="0" w:right="0"/>
      <w:jc w:val="left"/>
      <w:spacing w:before="0" w:beforeAutospacing="1" w:after="0" w:afterAutospacing="1"/>
    </w:pPr>
    <w:rPr>
      <w:sz w:val="24"/>
      <w:lang w:val="en-US" w:eastAsia="zh-CN" w:bidi="ar"/>
    </w:rPr>
  </w:style>
  <w:style w:type="paragraph" w:styleId="1025">
    <w:name w:val="Title"/>
    <w:basedOn w:val="991"/>
    <w:next w:val="991"/>
    <w:link w:val="1058"/>
    <w:uiPriority w:val="10"/>
    <w:qFormat/>
    <w:pPr>
      <w:contextualSpacing/>
      <w:spacing w:before="300" w:after="200"/>
    </w:pPr>
    <w:rPr>
      <w:sz w:val="48"/>
      <w:szCs w:val="48"/>
    </w:rPr>
  </w:style>
  <w:style w:type="table" w:styleId="10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27">
    <w:name w:val="Strong"/>
    <w:basedOn w:val="1001"/>
    <w:uiPriority w:val="22"/>
    <w:qFormat/>
    <w:rPr>
      <w:b/>
    </w:rPr>
  </w:style>
  <w:style w:type="character" w:styleId="1028">
    <w:name w:val="endnote reference"/>
    <w:basedOn w:val="1001"/>
    <w:uiPriority w:val="99"/>
    <w:semiHidden/>
    <w:unhideWhenUsed/>
    <w:qFormat/>
    <w:rPr>
      <w:vertAlign w:val="superscript"/>
    </w:rPr>
  </w:style>
  <w:style w:type="character" w:styleId="1029">
    <w:name w:val="Hyperlink"/>
    <w:basedOn w:val="1001"/>
    <w:uiPriority w:val="99"/>
    <w:unhideWhenUsed/>
    <w:qFormat/>
    <w:rPr>
      <w:color w:val="0000ff" w:themeColor="hyperlink"/>
      <w:u w:val="single"/>
      <w14:textFill>
        <w14:solidFill>
          <w14:schemeClr w14:val="hlink"/>
        </w14:solidFill>
      </w14:textFill>
    </w:rPr>
  </w:style>
  <w:style w:type="character" w:styleId="1030">
    <w:name w:val="footnote reference"/>
    <w:basedOn w:val="1001"/>
    <w:uiPriority w:val="99"/>
    <w:unhideWhenUsed/>
    <w:qFormat/>
    <w:rPr>
      <w:vertAlign w:val="superscript"/>
    </w:rPr>
  </w:style>
  <w:style w:type="paragraph" w:styleId="1031" w:customStyle="1">
    <w:name w:val="正文首行缩进 211"/>
    <w:basedOn w:val="1032"/>
    <w:next w:val="991"/>
    <w:uiPriority w:val="0"/>
    <w:qFormat/>
    <w:pPr>
      <w:ind w:left="0" w:firstLine="420"/>
      <w:spacing w:after="0" w:line="360" w:lineRule="auto"/>
    </w:pPr>
    <w:rPr>
      <w:rFonts w:ascii="宋体" w:hAnsi="宋体"/>
      <w:szCs w:val="20"/>
    </w:rPr>
  </w:style>
  <w:style w:type="paragraph" w:styleId="1032" w:customStyle="1">
    <w:name w:val="正文文本缩进11"/>
    <w:basedOn w:val="1033"/>
    <w:next w:val="1034"/>
    <w:uiPriority w:val="0"/>
    <w:unhideWhenUsed/>
    <w:qFormat/>
    <w:pPr>
      <w:ind w:left="420"/>
      <w:spacing w:after="120"/>
    </w:pPr>
  </w:style>
  <w:style w:type="paragraph" w:styleId="1033" w:customStyle="1">
    <w:name w:val="正文11"/>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寄信人地址1"/>
    <w:basedOn w:val="1033"/>
    <w:uiPriority w:val="0"/>
    <w:qFormat/>
    <w:rPr>
      <w:rFonts w:ascii="Arial" w:hAnsi="Arial" w:cs="宋体"/>
    </w:rPr>
  </w:style>
  <w:style w:type="paragraph" w:styleId="1035" w:customStyle="1">
    <w:name w:val="文本块1"/>
    <w:basedOn w:val="1036"/>
    <w:uiPriority w:val="0"/>
    <w:qFormat/>
    <w:pPr>
      <w:ind w:left="256" w:right="6" w:firstLine="624"/>
    </w:pPr>
    <w:rPr>
      <w:rFonts w:eastAsia="仿宋_GB2312"/>
      <w:sz w:val="28"/>
    </w:rPr>
  </w:style>
  <w:style w:type="paragraph" w:styleId="1036" w:customStyle="1">
    <w:name w:val="正文111"/>
    <w:next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目录 111"/>
    <w:basedOn w:val="991"/>
    <w:next w:val="1036"/>
    <w:uiPriority w:val="39"/>
    <w:unhideWhenUsed/>
    <w:qFormat/>
    <w:pPr>
      <w:ind w:left="0" w:right="0" w:firstLine="0"/>
      <w:spacing w:after="57"/>
    </w:pPr>
  </w:style>
  <w:style w:type="paragraph" w:styleId="1038" w:customStyle="1">
    <w:name w:val="正文文本缩进1"/>
    <w:basedOn w:val="1039"/>
    <w:next w:val="1034"/>
    <w:uiPriority w:val="0"/>
    <w:qFormat/>
    <w:pPr>
      <w:ind w:left="420"/>
      <w:spacing w:after="120"/>
    </w:pPr>
  </w:style>
  <w:style w:type="paragraph" w:styleId="1039" w:customStyle="1">
    <w:name w:val="正文1"/>
    <w:basedOn w:val="1036"/>
    <w:next w:val="1040"/>
    <w:uiPriority w:val="0"/>
    <w:qFormat/>
  </w:style>
  <w:style w:type="paragraph" w:styleId="1040" w:customStyle="1">
    <w:name w:val="脚注文本1"/>
    <w:basedOn w:val="1039"/>
    <w:next w:val="1041"/>
    <w:uiPriority w:val="0"/>
    <w:qFormat/>
    <w:rPr>
      <w:sz w:val="18"/>
      <w:szCs w:val="18"/>
    </w:rPr>
  </w:style>
  <w:style w:type="paragraph" w:styleId="1041" w:customStyle="1">
    <w:name w:val="索引 51"/>
    <w:basedOn w:val="1042"/>
    <w:next w:val="1039"/>
    <w:uiPriority w:val="0"/>
    <w:qFormat/>
    <w:pPr>
      <w:ind w:left="798"/>
      <w:jc w:val="left"/>
    </w:pPr>
    <w:rPr>
      <w:rFonts w:ascii="Calibri" w:hAnsi="Calibri"/>
    </w:rPr>
  </w:style>
  <w:style w:type="paragraph" w:styleId="1042" w:customStyle="1">
    <w:name w:val="正文12"/>
    <w:next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目录 11"/>
    <w:basedOn w:val="1044"/>
    <w:next w:val="1042"/>
    <w:uiPriority w:val="99"/>
    <w:qFormat/>
  </w:style>
  <w:style w:type="paragraph" w:styleId="1044" w:customStyle="1">
    <w:name w:val="正文112"/>
    <w:next w:val="10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首行缩进1"/>
    <w:basedOn w:val="1046"/>
    <w:next w:val="1031"/>
    <w:uiPriority w:val="0"/>
    <w:qFormat/>
    <w:pPr>
      <w:ind w:firstLine="420"/>
    </w:pPr>
  </w:style>
  <w:style w:type="paragraph" w:styleId="1046" w:customStyle="1">
    <w:name w:val="正文文本11"/>
    <w:basedOn w:val="1033"/>
    <w:next w:val="1036"/>
    <w:uiPriority w:val="0"/>
    <w:qFormat/>
    <w:pPr>
      <w:spacing w:after="120"/>
    </w:pPr>
  </w:style>
  <w:style w:type="character" w:styleId="1047" w:customStyle="1">
    <w:name w:val="Heading 1 Char"/>
    <w:basedOn w:val="1001"/>
    <w:link w:val="992"/>
    <w:uiPriority w:val="9"/>
    <w:qFormat/>
    <w:rPr>
      <w:rFonts w:ascii="Arial" w:hAnsi="Arial" w:eastAsia="Arial" w:cs="Arial"/>
      <w:sz w:val="40"/>
      <w:szCs w:val="40"/>
    </w:rPr>
  </w:style>
  <w:style w:type="character" w:styleId="1048" w:customStyle="1">
    <w:name w:val="Heading 2 Char"/>
    <w:basedOn w:val="1001"/>
    <w:link w:val="993"/>
    <w:uiPriority w:val="9"/>
    <w:qFormat/>
    <w:rPr>
      <w:rFonts w:ascii="Arial" w:hAnsi="Arial" w:eastAsia="Arial" w:cs="Arial"/>
      <w:sz w:val="34"/>
    </w:rPr>
  </w:style>
  <w:style w:type="character" w:styleId="1049" w:customStyle="1">
    <w:name w:val="Heading 3 Char"/>
    <w:basedOn w:val="1001"/>
    <w:link w:val="994"/>
    <w:uiPriority w:val="9"/>
    <w:qFormat/>
    <w:rPr>
      <w:rFonts w:ascii="Arial" w:hAnsi="Arial" w:eastAsia="Arial" w:cs="Arial"/>
      <w:sz w:val="30"/>
      <w:szCs w:val="30"/>
    </w:rPr>
  </w:style>
  <w:style w:type="character" w:styleId="1050" w:customStyle="1">
    <w:name w:val="Heading 4 Char"/>
    <w:basedOn w:val="1001"/>
    <w:link w:val="995"/>
    <w:uiPriority w:val="9"/>
    <w:qFormat/>
    <w:rPr>
      <w:rFonts w:ascii="Arial" w:hAnsi="Arial" w:eastAsia="Arial" w:cs="Arial"/>
      <w:b/>
      <w:bCs/>
      <w:sz w:val="26"/>
      <w:szCs w:val="26"/>
    </w:rPr>
  </w:style>
  <w:style w:type="character" w:styleId="1051" w:customStyle="1">
    <w:name w:val="Heading 5 Char"/>
    <w:basedOn w:val="1001"/>
    <w:link w:val="996"/>
    <w:uiPriority w:val="9"/>
    <w:qFormat/>
    <w:rPr>
      <w:rFonts w:ascii="Arial" w:hAnsi="Arial" w:eastAsia="Arial" w:cs="Arial"/>
      <w:b/>
      <w:bCs/>
      <w:sz w:val="24"/>
      <w:szCs w:val="24"/>
    </w:rPr>
  </w:style>
  <w:style w:type="character" w:styleId="1052" w:customStyle="1">
    <w:name w:val="Heading 6 Char"/>
    <w:basedOn w:val="1001"/>
    <w:link w:val="997"/>
    <w:uiPriority w:val="9"/>
    <w:qFormat/>
    <w:rPr>
      <w:rFonts w:ascii="Arial" w:hAnsi="Arial" w:eastAsia="Arial" w:cs="Arial"/>
      <w:b/>
      <w:bCs/>
      <w:sz w:val="22"/>
      <w:szCs w:val="22"/>
    </w:rPr>
  </w:style>
  <w:style w:type="character" w:styleId="1053" w:customStyle="1">
    <w:name w:val="Heading 7 Char"/>
    <w:basedOn w:val="1001"/>
    <w:link w:val="998"/>
    <w:uiPriority w:val="9"/>
    <w:qFormat/>
    <w:rPr>
      <w:rFonts w:ascii="Arial" w:hAnsi="Arial" w:eastAsia="Arial" w:cs="Arial"/>
      <w:b/>
      <w:bCs/>
      <w:i/>
      <w:iCs/>
      <w:sz w:val="22"/>
      <w:szCs w:val="22"/>
    </w:rPr>
  </w:style>
  <w:style w:type="character" w:styleId="1054" w:customStyle="1">
    <w:name w:val="Heading 8 Char"/>
    <w:basedOn w:val="1001"/>
    <w:link w:val="999"/>
    <w:uiPriority w:val="9"/>
    <w:qFormat/>
    <w:rPr>
      <w:rFonts w:ascii="Arial" w:hAnsi="Arial" w:eastAsia="Arial" w:cs="Arial"/>
      <w:i/>
      <w:iCs/>
      <w:sz w:val="22"/>
      <w:szCs w:val="22"/>
    </w:rPr>
  </w:style>
  <w:style w:type="character" w:styleId="1055" w:customStyle="1">
    <w:name w:val="Heading 9 Char"/>
    <w:basedOn w:val="1001"/>
    <w:link w:val="1000"/>
    <w:uiPriority w:val="9"/>
    <w:qFormat/>
    <w:rPr>
      <w:rFonts w:ascii="Arial" w:hAnsi="Arial" w:eastAsia="Arial" w:cs="Arial"/>
      <w:i/>
      <w:iCs/>
      <w:sz w:val="21"/>
      <w:szCs w:val="21"/>
    </w:rPr>
  </w:style>
  <w:style w:type="paragraph" w:styleId="1056">
    <w:name w:val="List Paragraph"/>
    <w:basedOn w:val="991"/>
    <w:uiPriority w:val="34"/>
    <w:qFormat/>
    <w:pPr>
      <w:contextualSpacing/>
      <w:ind w:left="720"/>
    </w:pPr>
  </w:style>
  <w:style w:type="paragraph" w:styleId="1057">
    <w:name w:val="No Spacing"/>
    <w:uiPriority w:val="1"/>
    <w:qFormat/>
    <w:pPr>
      <w:spacing w:before="0" w:after="0" w:line="240" w:lineRule="auto"/>
    </w:pPr>
    <w:rPr>
      <w:rFonts w:hint="default" w:ascii="Times New Roman" w:hAnsi="Times New Roman" w:eastAsia="宋体" w:cs="Times New Roman"/>
    </w:rPr>
  </w:style>
  <w:style w:type="character" w:styleId="1058" w:customStyle="1">
    <w:name w:val="Title Char"/>
    <w:basedOn w:val="1001"/>
    <w:link w:val="1025"/>
    <w:uiPriority w:val="10"/>
    <w:qFormat/>
    <w:rPr>
      <w:sz w:val="48"/>
      <w:szCs w:val="48"/>
    </w:rPr>
  </w:style>
  <w:style w:type="character" w:styleId="1059" w:customStyle="1">
    <w:name w:val="Subtitle Char"/>
    <w:basedOn w:val="1001"/>
    <w:link w:val="1018"/>
    <w:uiPriority w:val="11"/>
    <w:qFormat/>
    <w:rPr>
      <w:sz w:val="24"/>
      <w:szCs w:val="24"/>
    </w:rPr>
  </w:style>
  <w:style w:type="paragraph" w:styleId="1060">
    <w:name w:val="Quote"/>
    <w:basedOn w:val="991"/>
    <w:next w:val="991"/>
    <w:link w:val="1061"/>
    <w:uiPriority w:val="29"/>
    <w:qFormat/>
    <w:pPr>
      <w:ind w:left="720" w:right="720"/>
    </w:pPr>
    <w:rPr>
      <w:i/>
    </w:rPr>
  </w:style>
  <w:style w:type="character" w:styleId="1061" w:customStyle="1">
    <w:name w:val="Quote Char"/>
    <w:link w:val="1060"/>
    <w:uiPriority w:val="29"/>
    <w:qFormat/>
    <w:rPr>
      <w:i/>
    </w:rPr>
  </w:style>
  <w:style w:type="paragraph" w:styleId="1062">
    <w:name w:val="Intense Quote"/>
    <w:basedOn w:val="991"/>
    <w:next w:val="991"/>
    <w:link w:val="10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customStyle="1">
    <w:name w:val="Intense Quote Char"/>
    <w:link w:val="1062"/>
    <w:uiPriority w:val="30"/>
    <w:qFormat/>
    <w:rPr>
      <w:i/>
    </w:rPr>
  </w:style>
  <w:style w:type="character" w:styleId="1064" w:customStyle="1">
    <w:name w:val="Header Char"/>
    <w:basedOn w:val="1001"/>
    <w:link w:val="1015"/>
    <w:uiPriority w:val="99"/>
    <w:qFormat/>
  </w:style>
  <w:style w:type="character" w:styleId="1065" w:customStyle="1">
    <w:name w:val="Footer Char"/>
    <w:basedOn w:val="1001"/>
    <w:uiPriority w:val="99"/>
    <w:qFormat/>
  </w:style>
  <w:style w:type="character" w:styleId="1066" w:customStyle="1">
    <w:name w:val="Caption Char"/>
    <w:uiPriority w:val="99"/>
    <w:qFormat/>
  </w:style>
  <w:style w:type="table" w:styleId="1067" w:customStyle="1">
    <w:name w:val="Table Grid Light"/>
    <w:basedOn w:val="10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8" w:customStyle="1">
    <w:name w:val="Plain Table 1"/>
    <w:basedOn w:val="10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9" w:customStyle="1">
    <w:name w:val="Plain Table 2"/>
    <w:basedOn w:val="10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Plain Table 3"/>
    <w:basedOn w:val="10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1" w:customStyle="1">
    <w:name w:val="Plain Table 4"/>
    <w:basedOn w:val="10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2" w:customStyle="1">
    <w:name w:val="Plain Table 5"/>
    <w:basedOn w:val="10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3" w:customStyle="1">
    <w:name w:val="Grid Table 1 Light"/>
    <w:basedOn w:val="10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1"/>
    <w:basedOn w:val="10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2"/>
    <w:basedOn w:val="10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3"/>
    <w:basedOn w:val="10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4"/>
    <w:basedOn w:val="10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5"/>
    <w:basedOn w:val="10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6"/>
    <w:basedOn w:val="10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0" w:customStyle="1">
    <w:name w:val="Grid Table 2"/>
    <w:basedOn w:val="10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1" w:customStyle="1">
    <w:name w:val="Grid Table 2 - Accent 1"/>
    <w:basedOn w:val="10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2" w:customStyle="1">
    <w:name w:val="Grid Table 2 - Accent 2"/>
    <w:basedOn w:val="10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Grid Table 2 - Accent 3"/>
    <w:basedOn w:val="10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4" w:customStyle="1">
    <w:name w:val="Grid Table 2 - Accent 4"/>
    <w:basedOn w:val="10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Grid Table 2 - Accent 5"/>
    <w:basedOn w:val="10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Grid Table 2 - Accent 6"/>
    <w:basedOn w:val="10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Grid Table 3"/>
    <w:basedOn w:val="10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1"/>
    <w:basedOn w:val="10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2"/>
    <w:basedOn w:val="10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3"/>
    <w:basedOn w:val="10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4"/>
    <w:basedOn w:val="10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5"/>
    <w:basedOn w:val="10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6"/>
    <w:basedOn w:val="10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4"/>
    <w:basedOn w:val="10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5" w:customStyle="1">
    <w:name w:val="Grid Table 4 - Accent 1"/>
    <w:basedOn w:val="100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6" w:customStyle="1">
    <w:name w:val="Grid Table 4 - Accent 2"/>
    <w:basedOn w:val="100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7" w:customStyle="1">
    <w:name w:val="Grid Table 4 - Accent 3"/>
    <w:basedOn w:val="100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8" w:customStyle="1">
    <w:name w:val="Grid Table 4 - Accent 4"/>
    <w:basedOn w:val="100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9" w:customStyle="1">
    <w:name w:val="Grid Table 4 - Accent 5"/>
    <w:basedOn w:val="100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0" w:customStyle="1">
    <w:name w:val="Grid Table 4 - Accent 6"/>
    <w:basedOn w:val="100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1" w:customStyle="1">
    <w:name w:val="Grid Table 5 Dark"/>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2" w:customStyle="1">
    <w:name w:val="Grid Table 5 Dark- Accent 1"/>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3" w:customStyle="1">
    <w:name w:val="Grid Table 5 Dark - Accent 2"/>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4" w:customStyle="1">
    <w:name w:val="Grid Table 5 Dark - Accent 3"/>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5" w:customStyle="1">
    <w:name w:val="Grid Table 5 Dark- Accent 4"/>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6" w:customStyle="1">
    <w:name w:val="Grid Table 5 Dark - Accent 5"/>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7" w:customStyle="1">
    <w:name w:val="Grid Table 5 Dark - Accent 6"/>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8" w:customStyle="1">
    <w:name w:val="Grid Table 6 Colorful"/>
    <w:basedOn w:val="10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9" w:customStyle="1">
    <w:name w:val="Grid Table 6 Colorful - Accent 1"/>
    <w:basedOn w:val="100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0" w:customStyle="1">
    <w:name w:val="Grid Table 6 Colorful - Accent 2"/>
    <w:basedOn w:val="10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1" w:customStyle="1">
    <w:name w:val="Grid Table 6 Colorful - Accent 3"/>
    <w:basedOn w:val="100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2" w:customStyle="1">
    <w:name w:val="Grid Table 6 Colorful - Accent 4"/>
    <w:basedOn w:val="10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3" w:customStyle="1">
    <w:name w:val="Grid Table 6 Colorful - Accent 5"/>
    <w:basedOn w:val="100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4" w:customStyle="1">
    <w:name w:val="Grid Table 6 Colorful - Accent 6"/>
    <w:basedOn w:val="100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5" w:customStyle="1">
    <w:name w:val="Grid Table 7 Colorful"/>
    <w:basedOn w:val="10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6" w:customStyle="1">
    <w:name w:val="Grid Table 7 Colorful - Accent 1"/>
    <w:basedOn w:val="100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7" w:customStyle="1">
    <w:name w:val="Grid Table 7 Colorful - Accent 2"/>
    <w:basedOn w:val="100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8" w:customStyle="1">
    <w:name w:val="Grid Table 7 Colorful - Accent 3"/>
    <w:basedOn w:val="100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9" w:customStyle="1">
    <w:name w:val="Grid Table 7 Colorful - Accent 4"/>
    <w:basedOn w:val="100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0" w:customStyle="1">
    <w:name w:val="Grid Table 7 Colorful - Accent 5"/>
    <w:basedOn w:val="100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1" w:customStyle="1">
    <w:name w:val="Grid Table 7 Colorful - Accent 6"/>
    <w:basedOn w:val="100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2" w:customStyle="1">
    <w:name w:val="List Table 1 Light"/>
    <w:basedOn w:val="10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3" w:customStyle="1">
    <w:name w:val="List Table 1 Light - Accent 1"/>
    <w:basedOn w:val="100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1 Light - Accent 2"/>
    <w:basedOn w:val="100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5" w:customStyle="1">
    <w:name w:val="List Table 1 Light - Accent 3"/>
    <w:basedOn w:val="100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6" w:customStyle="1">
    <w:name w:val="List Table 1 Light - Accent 4"/>
    <w:basedOn w:val="100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7" w:customStyle="1">
    <w:name w:val="List Table 1 Light - Accent 5"/>
    <w:basedOn w:val="100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8" w:customStyle="1">
    <w:name w:val="List Table 1 Light - Accent 6"/>
    <w:basedOn w:val="100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9" w:customStyle="1">
    <w:name w:val="List Table 2"/>
    <w:basedOn w:val="10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0" w:customStyle="1">
    <w:name w:val="List Table 2 - Accent 1"/>
    <w:basedOn w:val="100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1" w:customStyle="1">
    <w:name w:val="List Table 2 - Accent 2"/>
    <w:basedOn w:val="100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2" w:customStyle="1">
    <w:name w:val="List Table 2 - Accent 3"/>
    <w:basedOn w:val="100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3" w:customStyle="1">
    <w:name w:val="List Table 2 - Accent 4"/>
    <w:basedOn w:val="100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4" w:customStyle="1">
    <w:name w:val="List Table 2 - Accent 5"/>
    <w:basedOn w:val="100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5" w:customStyle="1">
    <w:name w:val="List Table 2 - Accent 6"/>
    <w:basedOn w:val="100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6" w:customStyle="1">
    <w:name w:val="List Table 3"/>
    <w:basedOn w:val="10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7" w:customStyle="1">
    <w:name w:val="List Table 3 - Accent 1"/>
    <w:basedOn w:val="100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8" w:customStyle="1">
    <w:name w:val="List Table 3 - Accent 2"/>
    <w:basedOn w:val="10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9" w:customStyle="1">
    <w:name w:val="List Table 3 - Accent 3"/>
    <w:basedOn w:val="100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0" w:customStyle="1">
    <w:name w:val="List Table 3 - Accent 4"/>
    <w:basedOn w:val="10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1" w:customStyle="1">
    <w:name w:val="List Table 3 - Accent 5"/>
    <w:basedOn w:val="100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2" w:customStyle="1">
    <w:name w:val="List Table 3 - Accent 6"/>
    <w:basedOn w:val="100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3" w:customStyle="1">
    <w:name w:val="List Table 4"/>
    <w:basedOn w:val="10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List Table 4 - Accent 1"/>
    <w:basedOn w:val="100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5" w:customStyle="1">
    <w:name w:val="List Table 4 - Accent 2"/>
    <w:basedOn w:val="100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6" w:customStyle="1">
    <w:name w:val="List Table 4 - Accent 3"/>
    <w:basedOn w:val="100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7" w:customStyle="1">
    <w:name w:val="List Table 4 - Accent 4"/>
    <w:basedOn w:val="100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8" w:customStyle="1">
    <w:name w:val="List Table 4 - Accent 5"/>
    <w:basedOn w:val="100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9" w:customStyle="1">
    <w:name w:val="List Table 4 - Accent 6"/>
    <w:basedOn w:val="100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0" w:customStyle="1">
    <w:name w:val="List Table 5 Dark"/>
    <w:basedOn w:val="10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1"/>
    <w:basedOn w:val="100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2"/>
    <w:basedOn w:val="100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3"/>
    <w:basedOn w:val="100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4"/>
    <w:basedOn w:val="100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5"/>
    <w:basedOn w:val="100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6"/>
    <w:basedOn w:val="100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6 Colorful"/>
    <w:basedOn w:val="10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8" w:customStyle="1">
    <w:name w:val="List Table 6 Colorful - Accent 1"/>
    <w:basedOn w:val="100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9" w:customStyle="1">
    <w:name w:val="List Table 6 Colorful - Accent 2"/>
    <w:basedOn w:val="100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0" w:customStyle="1">
    <w:name w:val="List Table 6 Colorful - Accent 3"/>
    <w:basedOn w:val="100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1" w:customStyle="1">
    <w:name w:val="List Table 6 Colorful - Accent 4"/>
    <w:basedOn w:val="100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2" w:customStyle="1">
    <w:name w:val="List Table 6 Colorful - Accent 5"/>
    <w:basedOn w:val="100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3" w:customStyle="1">
    <w:name w:val="List Table 6 Colorful - Accent 6"/>
    <w:basedOn w:val="100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4" w:customStyle="1">
    <w:name w:val="List Table 7 Colorful"/>
    <w:basedOn w:val="10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5" w:customStyle="1">
    <w:name w:val="List Table 7 Colorful - Accent 1"/>
    <w:basedOn w:val="100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6" w:customStyle="1">
    <w:name w:val="List Table 7 Colorful - Accent 2"/>
    <w:basedOn w:val="100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7" w:customStyle="1">
    <w:name w:val="List Table 7 Colorful - Accent 3"/>
    <w:basedOn w:val="100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8" w:customStyle="1">
    <w:name w:val="List Table 7 Colorful - Accent 4"/>
    <w:basedOn w:val="100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9" w:customStyle="1">
    <w:name w:val="List Table 7 Colorful - Accent 5"/>
    <w:basedOn w:val="100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0" w:customStyle="1">
    <w:name w:val="List Table 7 Colorful - Accent 6"/>
    <w:basedOn w:val="100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1" w:customStyle="1">
    <w:name w:val="Lined - Accent"/>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2" w:customStyle="1">
    <w:name w:val="Lined - Accent 1"/>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3" w:customStyle="1">
    <w:name w:val="Lined - Accent 2"/>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4" w:customStyle="1">
    <w:name w:val="Lined - Accent 3"/>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5" w:customStyle="1">
    <w:name w:val="Lined - Accent 4"/>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6" w:customStyle="1">
    <w:name w:val="Lined - Accent 5"/>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7" w:customStyle="1">
    <w:name w:val="Lined - Accent 6"/>
    <w:basedOn w:val="10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8" w:customStyle="1">
    <w:name w:val="Bordered &amp; Lined - Accent"/>
    <w:basedOn w:val="10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9" w:customStyle="1">
    <w:name w:val="Bordered &amp; Lined - Accent 1"/>
    <w:basedOn w:val="100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0" w:customStyle="1">
    <w:name w:val="Bordered &amp; Lined - Accent 2"/>
    <w:basedOn w:val="100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1" w:customStyle="1">
    <w:name w:val="Bordered &amp; Lined - Accent 3"/>
    <w:basedOn w:val="100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2" w:customStyle="1">
    <w:name w:val="Bordered &amp; Lined - Accent 4"/>
    <w:basedOn w:val="100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3" w:customStyle="1">
    <w:name w:val="Bordered &amp; Lined - Accent 5"/>
    <w:basedOn w:val="100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4" w:customStyle="1">
    <w:name w:val="Bordered &amp; Lined - Accent 6"/>
    <w:basedOn w:val="100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5" w:customStyle="1">
    <w:name w:val="Bordered"/>
    <w:basedOn w:val="10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6" w:customStyle="1">
    <w:name w:val="Bordered - Accent 1"/>
    <w:basedOn w:val="10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7" w:customStyle="1">
    <w:name w:val="Bordered - Accent 2"/>
    <w:basedOn w:val="10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8" w:customStyle="1">
    <w:name w:val="Bordered - Accent 3"/>
    <w:basedOn w:val="10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9" w:customStyle="1">
    <w:name w:val="Bordered - Accent 4"/>
    <w:basedOn w:val="10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0" w:customStyle="1">
    <w:name w:val="Bordered - Accent 5"/>
    <w:basedOn w:val="10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1" w:customStyle="1">
    <w:name w:val="Bordered - Accent 6"/>
    <w:basedOn w:val="10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2" w:customStyle="1">
    <w:name w:val="Footnote Text Char"/>
    <w:link w:val="1019"/>
    <w:uiPriority w:val="99"/>
    <w:qFormat/>
    <w:rPr>
      <w:sz w:val="18"/>
    </w:rPr>
  </w:style>
  <w:style w:type="character" w:styleId="1193" w:customStyle="1">
    <w:name w:val="Endnote Text Char"/>
    <w:link w:val="1013"/>
    <w:uiPriority w:val="99"/>
    <w:qFormat/>
    <w:rPr>
      <w:sz w:val="20"/>
    </w:rPr>
  </w:style>
  <w:style w:type="paragraph" w:styleId="1194" w:customStyle="1">
    <w:name w:val="TOC Heading"/>
    <w:uiPriority w:val="39"/>
    <w:unhideWhenUsed/>
    <w:qFormat/>
    <w:rPr>
      <w:rFonts w:hint="default" w:ascii="Times New Roman" w:hAnsi="Times New Roman" w:eastAsia="宋体" w:cs="Times New Roman"/>
    </w:rPr>
  </w:style>
  <w:style w:type="paragraph" w:styleId="1195" w:customStyle="1">
    <w:name w:val="文本块12"/>
    <w:basedOn w:val="991"/>
    <w:uiPriority w:val="99"/>
    <w:qFormat/>
    <w:pPr>
      <w:ind w:left="1440" w:right="1440"/>
      <w:spacing w:after="120"/>
    </w:pPr>
  </w:style>
  <w:style w:type="paragraph" w:styleId="1196" w:customStyle="1">
    <w:name w:val="目录 1111"/>
    <w:basedOn w:val="991"/>
    <w:next w:val="991"/>
    <w:uiPriority w:val="39"/>
    <w:qFormat/>
  </w:style>
  <w:style w:type="paragraph" w:styleId="1197" w:customStyle="1">
    <w:name w:val="首行缩进"/>
    <w:basedOn w:val="1033"/>
    <w:next w:val="991"/>
    <w:uiPriority w:val="0"/>
    <w:qFormat/>
    <w:pPr>
      <w:ind w:firstLine="420"/>
      <w:spacing w:line="360" w:lineRule="auto"/>
    </w:pPr>
  </w:style>
  <w:style w:type="paragraph" w:styleId="1198" w:customStyle="1">
    <w:name w:val="正文文本1"/>
    <w:basedOn w:val="1039"/>
    <w:next w:val="1036"/>
    <w:uiPriority w:val="0"/>
    <w:qFormat/>
    <w:pPr>
      <w:spacing w:after="120"/>
    </w:pPr>
    <w:rPr>
      <w:rFonts w:ascii="Calibri" w:hAnsi="Calibri"/>
    </w:rPr>
  </w:style>
  <w:style w:type="paragraph" w:styleId="1199" w:customStyle="1">
    <w:name w:val="文本块11"/>
    <w:basedOn w:val="1042"/>
    <w:uiPriority w:val="0"/>
    <w:qFormat/>
    <w:pPr>
      <w:ind w:left="256" w:right="6" w:firstLine="624"/>
    </w:pPr>
    <w:rPr>
      <w:rFonts w:ascii="Arial" w:hAnsi="Arial" w:eastAsia="仿宋"/>
      <w:sz w:val="28"/>
    </w:rPr>
  </w:style>
  <w:style w:type="character" w:styleId="1200" w:customStyle="1">
    <w:name w:val="NormalCharacter1"/>
    <w:link w:val="991"/>
    <w:uiPriority w:val="0"/>
    <w:semiHidden/>
    <w:qFormat/>
    <w:rPr>
      <w:rFonts w:hint="default" w:ascii="Calibri" w:hAnsi="Calibri" w:eastAsia="宋体" w:cs="宋体"/>
      <w:sz w:val="21"/>
      <w:szCs w:val="24"/>
      <w:lang w:val="en-US" w:eastAsia="zh-CN" w:bidi="ar-SA"/>
    </w:rPr>
  </w:style>
  <w:style w:type="paragraph" w:styleId="1201" w:customStyle="1">
    <w:name w:val="标题 21"/>
    <w:basedOn w:val="991"/>
    <w:next w:val="991"/>
    <w:uiPriority w:val="0"/>
    <w:qFormat/>
    <w:pPr>
      <w:jc w:val="left"/>
      <w:keepLines/>
      <w:keepNext/>
      <w:spacing w:before="50"/>
      <w:tabs>
        <w:tab w:val="left" w:pos="0" w:leader="none"/>
      </w:tabs>
    </w:pPr>
    <w:rPr>
      <w:rFonts w:ascii="Arial" w:hAnsi="Arial" w:eastAsia="黑体"/>
      <w:sz w:val="32"/>
      <w:szCs w:val="20"/>
    </w:rPr>
  </w:style>
  <w:style w:type="character" w:styleId="1202" w:customStyle="1">
    <w:name w:val="NormalCharacter11"/>
    <w:link w:val="991"/>
    <w:uiPriority w:val="0"/>
    <w:semiHidden/>
    <w:qFormat/>
    <w:rPr>
      <w:rFonts w:ascii="Times New Roman" w:hAnsi="Times New Roman"/>
      <w:sz w:val="21"/>
      <w:szCs w:val="24"/>
      <w:lang w:val="en-US" w:eastAsia="zh-CN" w:bidi="ar-SA"/>
    </w:rPr>
  </w:style>
  <w:style w:type="paragraph" w:styleId="1203" w:customStyle="1">
    <w:name w:val="正文缩进11"/>
    <w:basedOn w:val="991"/>
    <w:uiPriority w:val="0"/>
    <w:unhideWhenUsed/>
    <w:qFormat/>
    <w:pPr>
      <w:ind w:firstLine="420"/>
    </w:pPr>
  </w:style>
  <w:style w:type="paragraph" w:styleId="1204" w:customStyle="1">
    <w:name w:val="Table Paragraph"/>
    <w:basedOn w:val="991"/>
    <w:uiPriority w:val="1"/>
    <w:qFormat/>
    <w:rPr>
      <w:rFonts w:ascii="宋体" w:hAnsi="宋体" w:eastAsia="宋体" w:cs="宋体"/>
      <w:lang w:val="en-US" w:eastAsia="zh-CN" w:bidi="ar-SA"/>
    </w:rPr>
  </w:style>
  <w:style w:type="table" w:styleId="1205" w:customStyle="1">
    <w:name w:val="Table Normal"/>
    <w:uiPriority w:val="0"/>
    <w:qFormat/>
    <w:tblPr/>
  </w:style>
  <w:style w:type="paragraph" w:styleId="1206" w:customStyle="1">
    <w:name w:val="普通(网站)1"/>
    <w:basedOn w:val="991"/>
    <w:uiPriority w:val="99"/>
    <w:qFormat/>
    <w:pPr>
      <w:jc w:val="left"/>
      <w:spacing w:before="100" w:beforeAutospacing="1" w:after="100" w:afterAutospacing="1"/>
      <w:widowControl/>
    </w:pPr>
    <w:rPr>
      <w:rFonts w:ascii="宋体" w:hAnsi="宋体" w:eastAsia="宋体" w:cs="宋体"/>
      <w:sz w:val="24"/>
      <w:szCs w:val="24"/>
    </w:rPr>
  </w:style>
  <w:style w:type="paragraph" w:styleId="1207"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208" w:customStyle="1">
    <w:name w:val="Body text|1"/>
    <w:basedOn w:val="991"/>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09" w:customStyle="1">
    <w:name w:val="正文缩进1"/>
    <w:basedOn w:val="991"/>
    <w:uiPriority w:val="0"/>
    <w:qFormat/>
    <w:pPr>
      <w:ind w:firstLine="420"/>
    </w:pPr>
  </w:style>
  <w:style w:type="character" w:styleId="1210" w:customStyle="1">
    <w:name w:val="font71"/>
    <w:basedOn w:val="1001"/>
    <w:uiPriority w:val="0"/>
    <w:qFormat/>
    <w:rPr>
      <w:rFonts w:hint="eastAsia" w:ascii="宋体" w:hAnsi="宋体" w:eastAsia="宋体" w:cs="宋体"/>
      <w:b/>
      <w:bCs/>
      <w:color w:val="000000"/>
      <w:sz w:val="24"/>
      <w:szCs w:val="24"/>
      <w:u w:val="none"/>
    </w:rPr>
  </w:style>
  <w:style w:type="character" w:styleId="1211" w:customStyle="1">
    <w:name w:val="font11"/>
    <w:basedOn w:val="1001"/>
    <w:uiPriority w:val="0"/>
    <w:qFormat/>
    <w:rPr>
      <w:rFonts w:hint="eastAsia" w:ascii="宋体" w:hAnsi="宋体" w:eastAsia="宋体" w:cs="宋体"/>
      <w:color w:val="000000"/>
      <w:sz w:val="24"/>
      <w:szCs w:val="24"/>
      <w:u w:val="none"/>
    </w:rPr>
  </w:style>
  <w:style w:type="character" w:styleId="1212" w:customStyle="1">
    <w:name w:val="font91"/>
    <w:basedOn w:val="1001"/>
    <w:uiPriority w:val="0"/>
    <w:qFormat/>
    <w:rPr>
      <w:rFonts w:hint="eastAsia" w:ascii="宋体" w:hAnsi="宋体" w:eastAsia="宋体" w:cs="宋体"/>
      <w:color w:val="ff0000"/>
      <w:sz w:val="24"/>
      <w:szCs w:val="24"/>
      <w:u w:val="none"/>
    </w:rPr>
  </w:style>
  <w:style w:type="character" w:styleId="1213" w:customStyle="1">
    <w:name w:val="font131"/>
    <w:basedOn w:val="1001"/>
    <w:uiPriority w:val="0"/>
    <w:qFormat/>
    <w:rPr>
      <w:rFonts w:ascii="Arial" w:hAnsi="Arial" w:cs="Arial"/>
      <w:color w:val="000000"/>
      <w:sz w:val="21"/>
      <w:szCs w:val="21"/>
      <w:u w:val="single"/>
    </w:rPr>
  </w:style>
  <w:style w:type="character" w:styleId="1214" w:customStyle="1">
    <w:name w:val="font141"/>
    <w:basedOn w:val="1001"/>
    <w:uiPriority w:val="0"/>
    <w:qFormat/>
    <w:rPr>
      <w:rFonts w:hint="default" w:ascii="Arial" w:hAnsi="Arial" w:cs="Arial"/>
      <w:color w:val="000000"/>
      <w:sz w:val="21"/>
      <w:szCs w:val="21"/>
      <w:u w:val="none"/>
    </w:rPr>
  </w:style>
  <w:style w:type="character" w:styleId="1215" w:customStyle="1">
    <w:name w:val="font151"/>
    <w:basedOn w:val="1001"/>
    <w:uiPriority w:val="0"/>
    <w:qFormat/>
    <w:rPr>
      <w:rFonts w:hint="eastAsia" w:ascii="宋体" w:hAnsi="宋体" w:eastAsia="宋体" w:cs="宋体"/>
      <w:color w:val="000000"/>
      <w:sz w:val="24"/>
      <w:szCs w:val="24"/>
      <w:u w:val="single"/>
    </w:rPr>
  </w:style>
  <w:style w:type="character" w:styleId="1216" w:customStyle="1">
    <w:name w:val="wyg1"/>
    <w:link w:val="991"/>
    <w:uiPriority w:val="6"/>
    <w:qFormat/>
    <w:rPr>
      <w:color w:val="000000"/>
      <w:sz w:val="20"/>
      <w:szCs w:val="20"/>
      <w:u w:val="none"/>
    </w:rPr>
  </w:style>
  <w:style w:type="paragraph" w:styleId="1217" w:customStyle="1">
    <w:name w:val="列表段落"/>
    <w:basedOn w:val="991"/>
    <w:uiPriority w:val="34"/>
    <w:qFormat/>
    <w:pPr>
      <w:contextualSpacing/>
      <w:ind w:left="720"/>
    </w:pPr>
  </w:style>
  <w:style w:type="paragraph" w:styleId="1218" w:customStyle="1">
    <w:name w:val="Body text|21"/>
    <w:basedOn w:val="991"/>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219" w:customStyle="1">
    <w:name w:val="页脚1"/>
    <w:basedOn w:val="991"/>
    <w:uiPriority w:val="99"/>
    <w:qFormat/>
    <w:pPr>
      <w:jc w:val="left"/>
      <w:tabs>
        <w:tab w:val="center" w:pos="4153" w:leader="none"/>
        <w:tab w:val="right" w:pos="8306" w:leader="none"/>
      </w:tabs>
    </w:pPr>
    <w:rPr>
      <w:sz w:val="18"/>
      <w:szCs w:val="18"/>
    </w:rPr>
  </w:style>
  <w:style w:type="numbering" w:styleId="1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 Id="rId23" Type="http://schemas.openxmlformats.org/officeDocument/2006/relationships/image" Target="media/image2.jpg"/><Relationship Id="rId24" Type="http://schemas.openxmlformats.org/officeDocument/2006/relationships/image" Target="media/image3.png"/><Relationship Id="rId2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夏海燕</cp:lastModifiedBy>
  <cp:revision>6</cp:revision>
  <dcterms:created xsi:type="dcterms:W3CDTF">2025-04-08T00:42:00Z</dcterms:created>
  <dcterms:modified xsi:type="dcterms:W3CDTF">2026-04-30T06:36:13Z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AA483C6B1C08441AA8F6413B89472C40_13</vt:lpwstr>
  </property>
  <property fmtid="{D5CDD505-2E9C-101B-9397-08002B2CF9AE}" pid="4" name="KSOTemplateDocerSaveRecord">
    <vt:lpwstr>eyJoZGlkIjoiNGE3NTRiNjhkNzA3NzAwMzE5Mjk4NWQ4ZGU1MjM4NDEiLCJ1c2VySWQiOiI0ODkyMzMxMDQifQ==</vt:lpwstr>
  </property>
</Properties>
</file>