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FC6FE">
      <w:pPr>
        <w:pStyle w:val="2"/>
        <w:bidi w:val="0"/>
        <w:jc w:val="center"/>
        <w:rPr>
          <w:rFonts w:hint="eastAsia"/>
          <w:lang w:val="en-US" w:eastAsia="zh-CN"/>
        </w:rPr>
      </w:pPr>
      <w:r>
        <w:rPr>
          <w:rFonts w:hint="eastAsia"/>
          <w:lang w:val="en-US" w:eastAsia="zh-CN"/>
        </w:rPr>
        <w:t>江苏九镜湖工程管理有限公司</w:t>
      </w:r>
    </w:p>
    <w:p w14:paraId="5CB452BE">
      <w:pPr>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九镜湖-预-[2026]第03-01</w:t>
      </w:r>
    </w:p>
    <w:p w14:paraId="5FA8CED0">
      <w:pPr>
        <w:overflowPunct w:val="0"/>
        <w:spacing w:line="509" w:lineRule="atLeast"/>
        <w:jc w:val="both"/>
        <w:rPr>
          <w:rFonts w:ascii="Times New Roman" w:hAnsi="Times New Roman" w:cs="Times New Roman"/>
          <w:b/>
          <w:sz w:val="32"/>
        </w:rPr>
      </w:pPr>
      <w:r>
        <w:rPr>
          <w:sz w:val="24"/>
        </w:rPr>
        <mc:AlternateContent>
          <mc:Choice Requires="wpg">
            <w:drawing>
              <wp:anchor distT="0" distB="0" distL="114300" distR="114300" simplePos="0" relativeHeight="251659264" behindDoc="0" locked="0" layoutInCell="1" allowOverlap="1">
                <wp:simplePos x="0" y="0"/>
                <wp:positionH relativeFrom="column">
                  <wp:posOffset>-224790</wp:posOffset>
                </wp:positionH>
                <wp:positionV relativeFrom="paragraph">
                  <wp:posOffset>50165</wp:posOffset>
                </wp:positionV>
                <wp:extent cx="5817870" cy="182880"/>
                <wp:effectExtent l="0" t="21590" r="11430" b="24130"/>
                <wp:wrapNone/>
                <wp:docPr id="10" name="组合 10"/>
                <wp:cNvGraphicFramePr/>
                <a:graphic xmlns:a="http://schemas.openxmlformats.org/drawingml/2006/main">
                  <a:graphicData uri="http://schemas.microsoft.com/office/word/2010/wordprocessingGroup">
                    <wpg:wgp>
                      <wpg:cNvGrpSpPr/>
                      <wpg:grpSpPr>
                        <a:xfrm>
                          <a:off x="0" y="0"/>
                          <a:ext cx="5817870" cy="182880"/>
                          <a:chOff x="1635" y="72687"/>
                          <a:chExt cx="9162" cy="288"/>
                        </a:xfrm>
                      </wpg:grpSpPr>
                      <wps:wsp>
                        <wps:cNvPr id="7" name="直接连接符 7"/>
                        <wps:cNvCnPr/>
                        <wps:spPr>
                          <a:xfrm>
                            <a:off x="1635" y="72815"/>
                            <a:ext cx="4331" cy="0"/>
                          </a:xfrm>
                          <a:prstGeom prst="line">
                            <a:avLst/>
                          </a:prstGeom>
                          <a:ln w="38100">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8" name="五角星 8"/>
                        <wps:cNvSpPr/>
                        <wps:spPr>
                          <a:xfrm>
                            <a:off x="6081" y="72687"/>
                            <a:ext cx="288" cy="288"/>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 name="直接连接符 9"/>
                        <wps:cNvCnPr/>
                        <wps:spPr>
                          <a:xfrm>
                            <a:off x="6467" y="72816"/>
                            <a:ext cx="4331" cy="0"/>
                          </a:xfrm>
                          <a:prstGeom prst="line">
                            <a:avLst/>
                          </a:prstGeom>
                          <a:ln w="38100">
                            <a:solidFill>
                              <a:srgbClr val="FF0000"/>
                            </a:solidFill>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id="_x0000_s1026" o:spid="_x0000_s1026" o:spt="203" style="position:absolute;left:0pt;margin-left:-17.7pt;margin-top:3.95pt;height:14.4pt;width:458.1pt;z-index:251659264;mso-width-relative:page;mso-height-relative:page;" coordorigin="1635,72687" coordsize="9162,288" o:gfxdata="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AdaCMi2QAA&#10;AAgBAAAPAAAAAAAAAAEAIAAAACIAAABkcnMvZG93bnJldi54bWxQSwECFAAUAAAACACHTuJA7fbl&#10;rnMDAADaCQAADgAAAAAAAAABACAAAAAoAQAAZHJzL2Uyb0RvYy54bWxQSwUGAAAAAAYABgBZAQAA&#10;DQcAAAAA&#10;">
                <o:lock v:ext="edit" aspectratio="f"/>
                <v:line id="_x0000_s1026" o:spid="_x0000_s1026" o:spt="20" style="position:absolute;left:1635;top:72815;height:0;width:4331;" filled="f" stroked="t" coordsize="21600,21600" o:gfxdata="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r9aVLsAAADa&#10;AAAADwAAAAAAAAABACAAAAAiAAAAZHJzL2Rvd25yZXYueG1sUEsBAhQAFAAAAAgAh07iQDMvBZ47&#10;AAAAOQAAABAAAAAAAAAAAQAgAAAACgEAAGRycy9zaGFwZXhtbC54bWxQSwUGAAAAAAYABgBbAQAA&#10;tAMAAAAA&#10;">
                  <v:fill on="f" focussize="0,0"/>
                  <v:stroke weight="3pt" color="#FF0000 [3205]" miterlimit="8" joinstyle="miter"/>
                  <v:imagedata o:title=""/>
                  <o:lock v:ext="edit" aspectratio="f"/>
                </v:line>
                <v:shape id="_x0000_s1026" o:spid="_x0000_s1026" style="position:absolute;left:6081;top:72687;height:288;width:288;v-text-anchor:middle;" fillcolor="#FF0000" filled="t" stroked="t" coordsize="288,288" o:gfxdata="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rRQGstAAAANoAAAAPAAAA&#10;AAAAAAEAIAAAACIAAABkcnMvZG93bnJldi54bWxQSwECFAAUAAAACACHTuJAMy8FnjsAAAA5AAAA&#10;EAAAAAAAAAABACAAAAADAQAAZHJzL3NoYXBleG1sLnhtbFBLBQYAAAAABgAGAFsBAACtAwAAAAA=&#10;" path="m0,110l110,110,144,0,177,110,287,110,199,177,232,287,144,220,55,287,88,177xe">
                  <v:path o:connectlocs="144,0;0,110;55,287;232,287;287,110" o:connectangles="247,164,82,82,0"/>
                  <v:fill on="t" focussize="0,0"/>
                  <v:stroke weight="1pt" color="#FF0000 [3204]" miterlimit="8" joinstyle="miter"/>
                  <v:imagedata o:title=""/>
                  <o:lock v:ext="edit" aspectratio="f"/>
                </v:shape>
                <v:line id="_x0000_s1026" o:spid="_x0000_s1026" o:spt="20" style="position:absolute;left:6467;top:72816;height:0;width:4331;" filled="f" stroked="t" coordsize="21600,21600" o:gfxdata="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GxrvbsAAADa&#10;AAAADwAAAAAAAAABACAAAAAiAAAAZHJzL2Rvd25yZXYueG1sUEsBAhQAFAAAAAgAh07iQDMvBZ47&#10;AAAAOQAAABAAAAAAAAAAAQAgAAAACgEAAGRycy9zaGFwZXhtbC54bWxQSwUGAAAAAAYABgBbAQAA&#10;tAMAAAAA&#10;">
                  <v:fill on="f" focussize="0,0"/>
                  <v:stroke weight="3pt" color="#FF0000 [3205]" miterlimit="8" joinstyle="miter"/>
                  <v:imagedata o:title=""/>
                  <o:lock v:ext="edit" aspectratio="f"/>
                </v:line>
              </v:group>
            </w:pict>
          </mc:Fallback>
        </mc:AlternateContent>
      </w:r>
    </w:p>
    <w:p w14:paraId="551A5785">
      <w:pPr>
        <w:overflowPunct w:val="0"/>
        <w:jc w:val="center"/>
        <w:textAlignment w:val="baseline"/>
        <w:rPr>
          <w:rFonts w:ascii="Times New Roman" w:hAnsi="Times New Roman" w:cs="Times New Roman"/>
          <w:b/>
          <w:sz w:val="28"/>
        </w:rPr>
      </w:pPr>
      <w:r>
        <w:rPr>
          <w:rFonts w:ascii="Times New Roman" w:hAnsi="Times New Roman" w:cs="Times New Roman"/>
          <w:b/>
          <w:sz w:val="32"/>
          <w:szCs w:val="32"/>
        </w:rPr>
        <w:t>关于</w:t>
      </w:r>
      <w:r>
        <w:rPr>
          <w:rFonts w:hint="eastAsia" w:ascii="Times New Roman" w:hAnsi="Times New Roman" w:cs="Times New Roman"/>
          <w:b/>
          <w:sz w:val="32"/>
          <w:szCs w:val="32"/>
          <w:lang w:val="en-US" w:eastAsia="zh-CN"/>
        </w:rPr>
        <w:t>双沟镇幼儿园屋面防水维修工程工程</w:t>
      </w:r>
      <w:r>
        <w:rPr>
          <w:rFonts w:ascii="Times New Roman" w:hAnsi="Times New Roman" w:cs="Times New Roman"/>
          <w:b/>
          <w:sz w:val="32"/>
          <w:szCs w:val="32"/>
        </w:rPr>
        <w:t>量清单及最高投标限价编制咨询成果报告书</w:t>
      </w:r>
    </w:p>
    <w:p w14:paraId="27FB767B">
      <w:pPr>
        <w:overflowPunct w:val="0"/>
        <w:textAlignment w:val="baseline"/>
        <w:rPr>
          <w:rFonts w:ascii="Times New Roman" w:hAnsi="Times New Roman" w:cs="Times New Roman"/>
          <w:bCs/>
          <w:szCs w:val="21"/>
        </w:rPr>
      </w:pPr>
    </w:p>
    <w:p w14:paraId="12425D3B">
      <w:pPr>
        <w:overflowPunct w:val="0"/>
        <w:textAlignment w:val="baseline"/>
        <w:rPr>
          <w:rFonts w:ascii="Times New Roman" w:hAnsi="Times New Roman" w:cs="Times New Roman"/>
          <w:b/>
          <w:bCs/>
          <w:szCs w:val="21"/>
        </w:rPr>
      </w:pPr>
      <w:r>
        <w:rPr>
          <w:rFonts w:hint="eastAsia" w:ascii="Times New Roman" w:hAnsi="Times New Roman" w:cs="Times New Roman"/>
          <w:bCs/>
          <w:szCs w:val="21"/>
          <w:lang w:eastAsia="zh-CN"/>
        </w:rPr>
        <w:t xml:space="preserve">睢宁县双沟镇人民政府 </w:t>
      </w:r>
      <w:r>
        <w:rPr>
          <w:rFonts w:ascii="Times New Roman" w:hAnsi="Times New Roman" w:cs="Times New Roman"/>
          <w:b/>
          <w:bCs/>
          <w:szCs w:val="21"/>
        </w:rPr>
        <w:t>：</w:t>
      </w:r>
    </w:p>
    <w:p w14:paraId="1DB43A0A">
      <w:p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eastAsia="zh-CN"/>
        </w:rPr>
        <w:t>江苏九镜湖工程管理有限公司</w:t>
      </w:r>
      <w:r>
        <w:rPr>
          <w:rFonts w:ascii="Times New Roman" w:hAnsi="Times New Roman" w:cs="Times New Roman"/>
          <w:szCs w:val="21"/>
        </w:rPr>
        <w:t>接受贵单位委托，为</w:t>
      </w:r>
      <w:r>
        <w:rPr>
          <w:rFonts w:hint="eastAsia" w:ascii="Times New Roman" w:hAnsi="Times New Roman" w:cs="Times New Roman"/>
          <w:szCs w:val="21"/>
          <w:lang w:eastAsia="zh-CN"/>
        </w:rPr>
        <w:t>双沟镇幼儿园屋面防水维修工程</w:t>
      </w:r>
      <w:r>
        <w:rPr>
          <w:rFonts w:ascii="Times New Roman" w:hAnsi="Times New Roman" w:cs="Times New Roman"/>
          <w:szCs w:val="21"/>
        </w:rPr>
        <w:t>编制工程量清单及最高投标限价。现将最高投标限价情况报告如下：</w:t>
      </w:r>
    </w:p>
    <w:p w14:paraId="22C35246">
      <w:pPr>
        <w:numPr>
          <w:ilvl w:val="0"/>
          <w:numId w:val="1"/>
        </w:numPr>
        <w:overflowPunct w:val="0"/>
        <w:ind w:firstLine="420" w:firstLineChars="200"/>
        <w:textAlignment w:val="baseline"/>
        <w:rPr>
          <w:rFonts w:ascii="黑体" w:hAnsi="黑体" w:eastAsia="黑体" w:cs="黑体"/>
          <w:szCs w:val="21"/>
        </w:rPr>
      </w:pPr>
      <w:r>
        <w:rPr>
          <w:rFonts w:hint="eastAsia" w:ascii="黑体" w:hAnsi="黑体" w:eastAsia="黑体" w:cs="黑体"/>
          <w:szCs w:val="21"/>
        </w:rPr>
        <w:t>工程概况</w:t>
      </w:r>
    </w:p>
    <w:p w14:paraId="256623D5">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建设地点：本工程位于睢宁县双沟镇</w:t>
      </w:r>
      <w:r>
        <w:rPr>
          <w:rFonts w:ascii="Times New Roman" w:hAnsi="Times New Roman" w:cs="Times New Roman"/>
          <w:szCs w:val="21"/>
        </w:rPr>
        <w:t>。</w:t>
      </w:r>
    </w:p>
    <w:p w14:paraId="7263D16F">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工程类别：修缮土建。</w:t>
      </w:r>
    </w:p>
    <w:p w14:paraId="2BE247D8">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施工环境：满足可施工条件。</w:t>
      </w:r>
    </w:p>
    <w:p w14:paraId="3C512B8F">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工    期：60日历天</w:t>
      </w:r>
    </w:p>
    <w:p w14:paraId="08284B85">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质量要求：合格</w:t>
      </w:r>
    </w:p>
    <w:p w14:paraId="2C63F2F9">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承包方式：包工包料</w:t>
      </w:r>
    </w:p>
    <w:p w14:paraId="57E7B962">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预算范围：委托方提供的工程量清单所示全部内容：涉及屋面、内外墙改造、防水等</w:t>
      </w:r>
    </w:p>
    <w:p w14:paraId="0D2F1652">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税改执行文件：苏建函价2019_178号文（增值税一般计税）</w:t>
      </w:r>
    </w:p>
    <w:p w14:paraId="183A5646">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本工程采用综合单价模式</w:t>
      </w:r>
    </w:p>
    <w:p w14:paraId="74BF5587">
      <w:pPr>
        <w:numPr>
          <w:ilvl w:val="0"/>
          <w:numId w:val="1"/>
        </w:numPr>
        <w:overflowPunct w:val="0"/>
        <w:ind w:firstLine="420" w:firstLineChars="200"/>
        <w:textAlignment w:val="baseline"/>
        <w:rPr>
          <w:rFonts w:ascii="黑体" w:hAnsi="黑体" w:eastAsia="黑体" w:cs="黑体"/>
          <w:szCs w:val="21"/>
        </w:rPr>
      </w:pPr>
      <w:r>
        <w:rPr>
          <w:rFonts w:hint="eastAsia" w:ascii="黑体" w:hAnsi="黑体" w:eastAsia="黑体" w:cs="黑体"/>
          <w:szCs w:val="21"/>
        </w:rPr>
        <w:t>编制依据</w:t>
      </w:r>
    </w:p>
    <w:p w14:paraId="630ECF1E">
      <w:pPr>
        <w:overflowPunct w:val="0"/>
        <w:ind w:firstLine="525" w:firstLineChars="250"/>
        <w:textAlignment w:val="baseline"/>
        <w:rPr>
          <w:rFonts w:hint="default" w:ascii="Times New Roman" w:hAnsi="Times New Roman" w:cs="Times New Roman" w:eastAsiaTheme="minorEastAsia"/>
          <w:szCs w:val="21"/>
          <w:lang w:val="en-US" w:eastAsia="zh-CN"/>
        </w:rPr>
      </w:pPr>
      <w:r>
        <w:rPr>
          <w:rFonts w:ascii="Times New Roman" w:hAnsi="Times New Roman" w:cs="Times New Roman"/>
          <w:szCs w:val="21"/>
        </w:rPr>
        <w:t>1</w:t>
      </w:r>
      <w:r>
        <w:rPr>
          <w:rFonts w:hint="eastAsia" w:ascii="Times New Roman" w:hAnsi="Times New Roman" w:cs="Times New Roman"/>
          <w:szCs w:val="21"/>
        </w:rPr>
        <w:t>、</w:t>
      </w:r>
      <w:r>
        <w:rPr>
          <w:rFonts w:hint="eastAsia" w:ascii="Times New Roman" w:hAnsi="Times New Roman" w:cs="Times New Roman"/>
          <w:szCs w:val="21"/>
          <w:lang w:val="en-US" w:eastAsia="zh-CN"/>
        </w:rPr>
        <w:t>委托方提供的</w:t>
      </w:r>
      <w:r>
        <w:rPr>
          <w:rFonts w:hint="eastAsia" w:ascii="Times New Roman" w:hAnsi="Times New Roman" w:cs="Times New Roman"/>
          <w:szCs w:val="21"/>
          <w:lang w:eastAsia="zh-CN"/>
        </w:rPr>
        <w:t>双沟镇幼儿园屋面防水维修工程</w:t>
      </w:r>
      <w:r>
        <w:rPr>
          <w:rFonts w:hint="eastAsia" w:ascii="Times New Roman" w:hAnsi="Times New Roman" w:cs="Times New Roman"/>
          <w:szCs w:val="21"/>
          <w:lang w:val="en-US" w:eastAsia="zh-CN"/>
        </w:rPr>
        <w:t>工程量。</w:t>
      </w:r>
    </w:p>
    <w:p w14:paraId="64DC9BEA">
      <w:pPr>
        <w:overflowPunct w:val="0"/>
        <w:ind w:firstLine="525" w:firstLineChars="250"/>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2、《建设工程工程量清单计价规范》（GB50500-2013）。</w:t>
      </w:r>
    </w:p>
    <w:p w14:paraId="320A3EDB">
      <w:pPr>
        <w:overflowPunct w:val="0"/>
        <w:ind w:firstLine="525" w:firstLineChars="250"/>
        <w:textAlignment w:val="baseline"/>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3、《江苏省建筑与装饰工程计价定额》（2014版）。</w:t>
      </w:r>
    </w:p>
    <w:p w14:paraId="6AEE05DF">
      <w:pPr>
        <w:overflowPunct w:val="0"/>
        <w:ind w:firstLine="525" w:firstLineChars="250"/>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4、《江苏省修缮建筑计价定额》（2009版）。</w:t>
      </w:r>
    </w:p>
    <w:p w14:paraId="58857A2B">
      <w:pPr>
        <w:overflowPunct w:val="0"/>
        <w:ind w:firstLine="525" w:firstLineChars="250"/>
        <w:textAlignment w:val="baseline"/>
        <w:rPr>
          <w:rFonts w:hint="eastAsia" w:ascii="Times New Roman" w:hAnsi="Times New Roman" w:cs="Times New Roman" w:eastAsiaTheme="minorEastAsia"/>
          <w:szCs w:val="21"/>
          <w:lang w:eastAsia="zh-CN"/>
        </w:rPr>
      </w:pPr>
      <w:r>
        <w:rPr>
          <w:rFonts w:hint="eastAsia" w:ascii="Times New Roman" w:hAnsi="Times New Roman" w:cs="Times New Roman"/>
          <w:szCs w:val="21"/>
          <w:lang w:val="en-US" w:eastAsia="zh-CN"/>
        </w:rPr>
        <w:t xml:space="preserve">5、 </w:t>
      </w:r>
      <w:r>
        <w:rPr>
          <w:rFonts w:hint="eastAsia" w:ascii="Times New Roman" w:hAnsi="Times New Roman" w:cs="Times New Roman"/>
          <w:szCs w:val="21"/>
        </w:rPr>
        <w:t>《</w:t>
      </w:r>
      <w:r>
        <w:rPr>
          <w:rFonts w:ascii="Times New Roman" w:hAnsi="Times New Roman" w:cs="Times New Roman"/>
          <w:szCs w:val="21"/>
        </w:rPr>
        <w:t>江苏省住房城乡建设厅关于发布建设工程人工工资指导价的通知</w:t>
      </w:r>
      <w:r>
        <w:rPr>
          <w:rFonts w:hint="eastAsia" w:ascii="Times New Roman" w:hAnsi="Times New Roman" w:cs="Times New Roman"/>
          <w:szCs w:val="21"/>
        </w:rPr>
        <w:t>》</w:t>
      </w:r>
      <w:r>
        <w:rPr>
          <w:rFonts w:hint="eastAsia" w:ascii="Times New Roman" w:hAnsi="Times New Roman" w:cs="Times New Roman"/>
          <w:szCs w:val="21"/>
          <w:lang w:val="en-US" w:eastAsia="zh-CN"/>
        </w:rPr>
        <w:t>苏建函价【2025】273号文件执行</w:t>
      </w:r>
      <w:r>
        <w:rPr>
          <w:rFonts w:hint="eastAsia" w:ascii="Times New Roman" w:hAnsi="Times New Roman" w:cs="Times New Roman"/>
          <w:szCs w:val="21"/>
          <w:lang w:eastAsia="zh-CN"/>
        </w:rPr>
        <w:t>。</w:t>
      </w:r>
    </w:p>
    <w:p w14:paraId="5E02EB08">
      <w:pPr>
        <w:overflowPunct w:val="0"/>
        <w:ind w:firstLine="525" w:firstLineChars="250"/>
        <w:textAlignment w:val="baseline"/>
        <w:rPr>
          <w:rFonts w:ascii="Times New Roman" w:hAnsi="Times New Roman" w:eastAsia="宋体" w:cs="Times New Roman"/>
          <w:szCs w:val="21"/>
        </w:rPr>
      </w:pPr>
      <w:r>
        <w:rPr>
          <w:rFonts w:hint="eastAsia" w:ascii="Times New Roman" w:hAnsi="Times New Roman" w:cs="Times New Roman"/>
          <w:szCs w:val="21"/>
          <w:lang w:val="en-US" w:eastAsia="zh-CN"/>
        </w:rPr>
        <w:t>6</w:t>
      </w:r>
      <w:r>
        <w:rPr>
          <w:rFonts w:hint="eastAsia" w:ascii="Times New Roman" w:hAnsi="Times New Roman" w:cs="Times New Roman"/>
          <w:szCs w:val="21"/>
        </w:rPr>
        <w:t>、</w:t>
      </w:r>
      <w:r>
        <w:rPr>
          <w:rFonts w:hint="eastAsia" w:ascii="Times New Roman" w:hAnsi="Times New Roman" w:cs="Times New Roman"/>
          <w:szCs w:val="21"/>
          <w:lang w:val="en-US" w:eastAsia="zh-CN"/>
        </w:rPr>
        <w:t>材料价格按《睢宁县建筑工程部分建材综合价格》及《徐州工程造价信息》2026年第1期执行，部分材料价格参照市场价格。</w:t>
      </w:r>
    </w:p>
    <w:p w14:paraId="09D51371">
      <w:pPr>
        <w:overflowPunct w:val="0"/>
        <w:ind w:firstLine="525" w:firstLineChars="250"/>
        <w:textAlignment w:val="baseline"/>
        <w:rPr>
          <w:rFonts w:ascii="Times New Roman" w:hAnsi="Times New Roman" w:eastAsia="宋体" w:cs="Times New Roman"/>
          <w:szCs w:val="21"/>
        </w:rPr>
      </w:pPr>
      <w:r>
        <w:rPr>
          <w:rFonts w:hint="eastAsia" w:ascii="Times New Roman" w:hAnsi="Times New Roman" w:eastAsia="宋体" w:cs="Times New Roman"/>
          <w:szCs w:val="21"/>
          <w:lang w:val="en-US" w:eastAsia="zh-CN"/>
        </w:rPr>
        <w:t>7</w:t>
      </w:r>
      <w:r>
        <w:rPr>
          <w:rFonts w:hint="eastAsia" w:ascii="Times New Roman" w:hAnsi="Times New Roman" w:eastAsia="宋体" w:cs="Times New Roman"/>
          <w:szCs w:val="21"/>
        </w:rPr>
        <w:t>、</w:t>
      </w:r>
      <w:r>
        <w:rPr>
          <w:rFonts w:hint="eastAsia" w:ascii="Times New Roman" w:hAnsi="Times New Roman" w:cs="Times New Roman"/>
          <w:szCs w:val="21"/>
          <w:lang w:val="en-US" w:eastAsia="zh-CN"/>
        </w:rPr>
        <w:t>财政局下发的徐州信息价使用指导意见。</w:t>
      </w:r>
    </w:p>
    <w:p w14:paraId="25FAC227">
      <w:pPr>
        <w:overflowPunct w:val="0"/>
        <w:ind w:firstLine="434" w:firstLineChars="207"/>
        <w:textAlignment w:val="baseline"/>
        <w:rPr>
          <w:rFonts w:ascii="黑体" w:hAnsi="黑体" w:eastAsia="黑体" w:cs="黑体"/>
          <w:szCs w:val="21"/>
        </w:rPr>
      </w:pPr>
      <w:r>
        <w:rPr>
          <w:rFonts w:hint="eastAsia" w:ascii="黑体" w:hAnsi="黑体" w:eastAsia="黑体" w:cs="黑体"/>
          <w:szCs w:val="21"/>
        </w:rPr>
        <w:t>三、编制责任</w:t>
      </w:r>
    </w:p>
    <w:p w14:paraId="2D658000">
      <w:pPr>
        <w:overflowPunct w:val="0"/>
        <w:ind w:firstLine="480"/>
        <w:textAlignment w:val="baseline"/>
        <w:rPr>
          <w:rFonts w:ascii="Times New Roman" w:hAnsi="Times New Roman" w:cs="Times New Roman"/>
          <w:szCs w:val="21"/>
        </w:rPr>
      </w:pPr>
      <w:r>
        <w:rPr>
          <w:rFonts w:ascii="Times New Roman" w:hAnsi="Times New Roman" w:cs="Times New Roman"/>
          <w:szCs w:val="21"/>
        </w:rPr>
        <w:t>委托方：对提供资料的真实性、合法性、完整性负责。</w:t>
      </w:r>
    </w:p>
    <w:p w14:paraId="34FAE0CA">
      <w:pPr>
        <w:overflowPunct w:val="0"/>
        <w:ind w:firstLine="480"/>
        <w:textAlignment w:val="baseline"/>
        <w:rPr>
          <w:rFonts w:ascii="Times New Roman" w:hAnsi="Times New Roman" w:cs="Times New Roman"/>
          <w:szCs w:val="21"/>
        </w:rPr>
      </w:pPr>
      <w:r>
        <w:rPr>
          <w:rFonts w:ascii="Times New Roman" w:hAnsi="Times New Roman" w:cs="Times New Roman"/>
          <w:szCs w:val="21"/>
        </w:rPr>
        <w:t>受托方：对标底编制报告的真实性、合法性负责。</w:t>
      </w:r>
    </w:p>
    <w:p w14:paraId="11BA0D85">
      <w:pPr>
        <w:overflowPunct w:val="0"/>
        <w:ind w:firstLine="434" w:firstLineChars="207"/>
        <w:textAlignment w:val="baseline"/>
        <w:rPr>
          <w:rFonts w:ascii="黑体" w:hAnsi="黑体" w:eastAsia="黑体" w:cs="黑体"/>
          <w:szCs w:val="21"/>
        </w:rPr>
      </w:pPr>
      <w:r>
        <w:rPr>
          <w:rFonts w:hint="eastAsia" w:ascii="黑体" w:hAnsi="黑体" w:eastAsia="黑体" w:cs="黑体"/>
          <w:szCs w:val="21"/>
        </w:rPr>
        <w:t>四、编制说明</w:t>
      </w:r>
    </w:p>
    <w:p w14:paraId="408DDCC9">
      <w:pPr>
        <w:overflowPunct w:val="0"/>
        <w:ind w:firstLine="632" w:firstLineChars="300"/>
        <w:textAlignment w:val="baseline"/>
        <w:rPr>
          <w:rFonts w:ascii="Times New Roman" w:hAnsi="Times New Roman" w:cs="Times New Roman"/>
          <w:b/>
          <w:bCs/>
          <w:szCs w:val="21"/>
        </w:rPr>
      </w:pPr>
      <w:r>
        <w:rPr>
          <w:rFonts w:ascii="Times New Roman" w:hAnsi="Times New Roman" w:cs="Times New Roman"/>
          <w:b/>
          <w:bCs/>
          <w:szCs w:val="21"/>
        </w:rPr>
        <w:t>1、一般说明</w:t>
      </w:r>
    </w:p>
    <w:p w14:paraId="5B0A0B6E">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（1）施工现场情况：以现场踏勘情况为准。</w:t>
      </w:r>
    </w:p>
    <w:p w14:paraId="303519FD">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（2）交通运输情况：以现场踏勘情况为准。</w:t>
      </w:r>
    </w:p>
    <w:p w14:paraId="7E531D65">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（3）环境保护要求；满足省、市及当地政府对环境保护的相关要求和规定。</w:t>
      </w:r>
    </w:p>
    <w:p w14:paraId="4F89D033">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（4）本工程投标报价按《建设工程工程量清单计价规范》和相应计算规范的规定及要求，使用表格及格式按《建设工程工程量清单计价规范》要求执行。</w:t>
      </w:r>
    </w:p>
    <w:p w14:paraId="76B1F50C">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（5）工程量清单中的每一个项目，都需填入综合单价及合价；不同单项及单位工程中的分部分项工程量清单中相同项目（项目特征及工作内容相同）的报价应统一，如有差异，按最低一个报价进行结算。</w:t>
      </w:r>
    </w:p>
    <w:p w14:paraId="2DB1C06B">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（6）本工程量清单中的分部分项工程量及措施项目工程量均是根据本工程施工图</w:t>
      </w:r>
      <w:r>
        <w:rPr>
          <w:rFonts w:hint="eastAsia" w:ascii="Times New Roman" w:hAnsi="Times New Roman" w:cs="Times New Roman"/>
          <w:szCs w:val="21"/>
          <w:lang w:val="en-US" w:eastAsia="zh-CN"/>
        </w:rPr>
        <w:t>或委托方提供的工程量</w:t>
      </w:r>
      <w:r>
        <w:rPr>
          <w:rFonts w:ascii="Times New Roman" w:hAnsi="Times New Roman" w:cs="Times New Roman"/>
          <w:szCs w:val="21"/>
        </w:rPr>
        <w:t>、按照</w:t>
      </w:r>
      <w:r>
        <w:rPr>
          <w:rFonts w:hint="eastAsia" w:ascii="Times New Roman" w:hAnsi="Times New Roman" w:cs="Times New Roman"/>
          <w:szCs w:val="21"/>
        </w:rPr>
        <w:t>“</w:t>
      </w:r>
      <w:r>
        <w:rPr>
          <w:rFonts w:ascii="Times New Roman" w:hAnsi="Times New Roman" w:cs="Times New Roman"/>
          <w:szCs w:val="21"/>
        </w:rPr>
        <w:t>工程量计算规范</w:t>
      </w:r>
      <w:r>
        <w:rPr>
          <w:rFonts w:hint="eastAsia" w:ascii="Times New Roman" w:hAnsi="Times New Roman" w:cs="Times New Roman"/>
          <w:szCs w:val="21"/>
        </w:rPr>
        <w:t>”</w:t>
      </w:r>
      <w:r>
        <w:rPr>
          <w:rFonts w:ascii="Times New Roman" w:hAnsi="Times New Roman" w:cs="Times New Roman"/>
          <w:szCs w:val="21"/>
        </w:rPr>
        <w:t>的规定进行计算的，仅作为施工企业投标报价的共同基础，不能作为最终结算与支付价款的依据。</w:t>
      </w:r>
    </w:p>
    <w:p w14:paraId="0EA1C520">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（7）工程量清单及其计价格式中的任何内容不得随意删除或涂改，若有错误，在招标答疑时及时提出，以</w:t>
      </w:r>
      <w:r>
        <w:rPr>
          <w:rFonts w:hint="eastAsia" w:ascii="Times New Roman" w:hAnsi="Times New Roman" w:cs="Times New Roman"/>
          <w:szCs w:val="21"/>
        </w:rPr>
        <w:t>“</w:t>
      </w:r>
      <w:r>
        <w:rPr>
          <w:rFonts w:ascii="Times New Roman" w:hAnsi="Times New Roman" w:cs="Times New Roman"/>
          <w:szCs w:val="21"/>
        </w:rPr>
        <w:t>补遗</w:t>
      </w:r>
      <w:r>
        <w:rPr>
          <w:rFonts w:hint="eastAsia" w:ascii="Times New Roman" w:hAnsi="Times New Roman" w:cs="Times New Roman"/>
          <w:szCs w:val="21"/>
        </w:rPr>
        <w:t>”</w:t>
      </w:r>
      <w:r>
        <w:rPr>
          <w:rFonts w:ascii="Times New Roman" w:hAnsi="Times New Roman" w:cs="Times New Roman"/>
          <w:szCs w:val="21"/>
        </w:rPr>
        <w:t>资料为准。</w:t>
      </w:r>
    </w:p>
    <w:p w14:paraId="17FE6130">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（8）分部分项工程量清单中对工程项目的项目特征及具体做法制作重点描述，详细情况见相关标准图集。组价时应结合投标人现场勘查情况包括完成所有工序工作内容的全部费用。</w:t>
      </w:r>
    </w:p>
    <w:p w14:paraId="0757914F">
      <w:pPr>
        <w:overflowPunct w:val="0"/>
        <w:ind w:firstLine="211" w:firstLineChars="100"/>
        <w:textAlignment w:val="baseline"/>
        <w:rPr>
          <w:rFonts w:hint="default" w:ascii="Times New Roman" w:hAnsi="Times New Roman" w:cs="Times New Roman" w:eastAsiaTheme="minorEastAsia"/>
          <w:b/>
          <w:bCs/>
          <w:szCs w:val="21"/>
          <w:lang w:val="en-US" w:eastAsia="zh-CN"/>
        </w:rPr>
      </w:pPr>
      <w:r>
        <w:rPr>
          <w:rFonts w:hint="eastAsia" w:ascii="Times New Roman" w:hAnsi="Times New Roman" w:cs="Times New Roman"/>
          <w:b/>
          <w:bCs/>
          <w:szCs w:val="21"/>
          <w:lang w:val="en-US" w:eastAsia="zh-CN"/>
        </w:rPr>
        <w:t>2、工程造价组成</w:t>
      </w:r>
    </w:p>
    <w:p w14:paraId="7A14B101">
      <w:pPr>
        <w:overflowPunct w:val="0"/>
        <w:ind w:firstLine="420" w:firstLineChars="200"/>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2.1、分部分项工程费：</w:t>
      </w:r>
    </w:p>
    <w:p w14:paraId="3BE484CA">
      <w:pPr>
        <w:overflowPunct w:val="0"/>
        <w:ind w:firstLine="525" w:firstLineChars="250"/>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依据现行国家标准《建设工程工程量清单计价规范》（GB50500-2013）</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《江苏省建筑与装饰工程计价定额》（2014版）、《江苏省修缮建筑计价定额》（2009版）、</w:t>
      </w:r>
      <w:r>
        <w:rPr>
          <w:rFonts w:hint="default" w:ascii="Times New Roman" w:hAnsi="Times New Roman" w:cs="Times New Roman"/>
          <w:szCs w:val="21"/>
          <w:lang w:val="en-US" w:eastAsia="zh-CN"/>
        </w:rPr>
        <w:t>《江苏省建设工程费用定额》(2014年)</w:t>
      </w:r>
      <w:r>
        <w:rPr>
          <w:rFonts w:hint="eastAsia" w:ascii="Times New Roman" w:hAnsi="Times New Roman" w:cs="Times New Roman"/>
          <w:szCs w:val="21"/>
          <w:lang w:val="en-US" w:eastAsia="zh-CN"/>
        </w:rPr>
        <w:t>营</w:t>
      </w:r>
      <w:r>
        <w:rPr>
          <w:rFonts w:hint="default" w:ascii="Times New Roman" w:hAnsi="Times New Roman" w:cs="Times New Roman"/>
          <w:szCs w:val="21"/>
          <w:lang w:val="en-US" w:eastAsia="zh-CN"/>
        </w:rPr>
        <w:t>改增</w:t>
      </w:r>
      <w:r>
        <w:rPr>
          <w:rFonts w:hint="eastAsia" w:ascii="Times New Roman" w:hAnsi="Times New Roman" w:cs="Times New Roman"/>
          <w:szCs w:val="21"/>
          <w:lang w:val="en-US" w:eastAsia="zh-CN"/>
        </w:rPr>
        <w:t>及有关文件规定。</w:t>
      </w:r>
    </w:p>
    <w:p w14:paraId="7CEDB074">
      <w:pPr>
        <w:overflowPunct w:val="0"/>
        <w:ind w:firstLine="420" w:firstLineChars="200"/>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2.2、措施费及规费取值按照下图附表：</w:t>
      </w:r>
    </w:p>
    <w:tbl>
      <w:tblPr>
        <w:tblStyle w:val="4"/>
        <w:tblW w:w="7947" w:type="dxa"/>
        <w:tblInd w:w="-272" w:type="dxa"/>
        <w:tblLayout w:type="fixed"/>
        <w:tblCellMar>
          <w:top w:w="0" w:type="dxa"/>
          <w:left w:w="0" w:type="dxa"/>
          <w:bottom w:w="0" w:type="dxa"/>
          <w:right w:w="0" w:type="dxa"/>
        </w:tblCellMar>
      </w:tblPr>
      <w:tblGrid>
        <w:gridCol w:w="769"/>
        <w:gridCol w:w="2154"/>
        <w:gridCol w:w="1732"/>
        <w:gridCol w:w="3292"/>
      </w:tblGrid>
      <w:tr w14:paraId="3A37180B">
        <w:tblPrEx>
          <w:tblCellMar>
            <w:top w:w="0" w:type="dxa"/>
            <w:left w:w="0" w:type="dxa"/>
            <w:bottom w:w="0" w:type="dxa"/>
            <w:right w:w="0" w:type="dxa"/>
          </w:tblCellMar>
        </w:tblPrEx>
        <w:trPr>
          <w:trHeight w:val="706" w:hRule="atLeast"/>
        </w:trPr>
        <w:tc>
          <w:tcPr>
            <w:tcW w:w="769" w:type="dxa"/>
            <w:tcBorders>
              <w:top w:val="single" w:color="000000" w:sz="8" w:space="0"/>
              <w:left w:val="single" w:color="000000" w:sz="8" w:space="0"/>
              <w:bottom w:val="single" w:color="000000" w:sz="4" w:space="0"/>
              <w:right w:val="single" w:color="000000" w:sz="4" w:space="0"/>
            </w:tcBorders>
            <w:shd w:val="clear" w:color="FFFFFF" w:fill="FFFFFF"/>
            <w:noWrap w:val="0"/>
            <w:tcMar>
              <w:top w:w="12" w:type="dxa"/>
              <w:left w:w="12" w:type="dxa"/>
              <w:right w:w="12" w:type="dxa"/>
            </w:tcMar>
            <w:vAlign w:val="center"/>
          </w:tcPr>
          <w:p w14:paraId="5E8C5A23">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序号</w:t>
            </w:r>
          </w:p>
        </w:tc>
        <w:tc>
          <w:tcPr>
            <w:tcW w:w="2154" w:type="dxa"/>
            <w:tcBorders>
              <w:top w:val="single" w:color="000000" w:sz="8" w:space="0"/>
              <w:left w:val="single" w:color="000000" w:sz="4" w:space="0"/>
              <w:bottom w:val="single" w:color="000000" w:sz="4" w:space="0"/>
              <w:right w:val="single" w:color="000000" w:sz="4" w:space="0"/>
            </w:tcBorders>
            <w:shd w:val="clear" w:color="FFFFFF" w:fill="FFFFFF"/>
            <w:noWrap w:val="0"/>
            <w:tcMar>
              <w:top w:w="12" w:type="dxa"/>
              <w:left w:w="12" w:type="dxa"/>
              <w:right w:w="12" w:type="dxa"/>
            </w:tcMar>
            <w:vAlign w:val="center"/>
          </w:tcPr>
          <w:p w14:paraId="74E7F82C">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项目名称</w:t>
            </w:r>
          </w:p>
        </w:tc>
        <w:tc>
          <w:tcPr>
            <w:tcW w:w="1732" w:type="dxa"/>
            <w:tcBorders>
              <w:top w:val="single" w:color="000000" w:sz="8" w:space="0"/>
              <w:left w:val="single" w:color="000000" w:sz="4" w:space="0"/>
              <w:bottom w:val="single" w:color="000000" w:sz="4" w:space="0"/>
              <w:right w:val="single" w:color="000000" w:sz="4" w:space="0"/>
            </w:tcBorders>
            <w:shd w:val="clear" w:color="FFFFFF" w:fill="FFFFFF"/>
            <w:noWrap w:val="0"/>
            <w:tcMar>
              <w:top w:w="12" w:type="dxa"/>
              <w:left w:w="12" w:type="dxa"/>
              <w:right w:w="12" w:type="dxa"/>
            </w:tcMar>
            <w:vAlign w:val="center"/>
          </w:tcPr>
          <w:p w14:paraId="6BC92457">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修缮土建</w:t>
            </w:r>
            <w:r>
              <w:rPr>
                <w:rFonts w:hint="eastAsia" w:ascii="宋体" w:hAnsi="宋体" w:eastAsia="宋体" w:cs="宋体"/>
                <w:color w:val="000000"/>
                <w:kern w:val="0"/>
                <w:sz w:val="21"/>
                <w:szCs w:val="21"/>
                <w:lang w:bidi="ar"/>
              </w:rPr>
              <w:t>费率（%）</w:t>
            </w:r>
          </w:p>
        </w:tc>
        <w:tc>
          <w:tcPr>
            <w:tcW w:w="3292" w:type="dxa"/>
            <w:tcBorders>
              <w:top w:val="single" w:color="000000" w:sz="8" w:space="0"/>
              <w:left w:val="single" w:color="000000" w:sz="4" w:space="0"/>
              <w:bottom w:val="single" w:color="000000" w:sz="4" w:space="0"/>
              <w:right w:val="single" w:color="000000" w:sz="8" w:space="0"/>
            </w:tcBorders>
            <w:shd w:val="clear" w:color="FFFFFF" w:fill="FFFFFF"/>
            <w:noWrap w:val="0"/>
            <w:tcMar>
              <w:top w:w="12" w:type="dxa"/>
              <w:left w:w="12" w:type="dxa"/>
              <w:right w:w="12" w:type="dxa"/>
            </w:tcMar>
            <w:vAlign w:val="center"/>
          </w:tcPr>
          <w:p w14:paraId="62336B1D">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备注</w:t>
            </w:r>
          </w:p>
        </w:tc>
      </w:tr>
      <w:tr w14:paraId="5C900410">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051260F7">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5F0E34">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安全文明施工费</w:t>
            </w:r>
          </w:p>
        </w:tc>
        <w:tc>
          <w:tcPr>
            <w:tcW w:w="17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9D5C74">
            <w:pPr>
              <w:jc w:val="center"/>
              <w:rPr>
                <w:rFonts w:hint="default" w:ascii="宋体" w:hAnsi="宋体" w:eastAsia="宋体" w:cs="宋体"/>
                <w:color w:val="000000"/>
                <w:sz w:val="21"/>
                <w:szCs w:val="21"/>
                <w:lang w:val="en-US" w:eastAsia="zh-CN"/>
              </w:rPr>
            </w:pP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496E3DDF">
            <w:pPr>
              <w:jc w:val="left"/>
              <w:rPr>
                <w:rFonts w:hint="eastAsia" w:ascii="宋体" w:hAnsi="宋体" w:eastAsia="宋体" w:cs="宋体"/>
                <w:color w:val="000000"/>
                <w:sz w:val="21"/>
                <w:szCs w:val="21"/>
              </w:rPr>
            </w:pPr>
          </w:p>
        </w:tc>
      </w:tr>
      <w:tr w14:paraId="23EA4DD3">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609BA1EE">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1.1</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F2D940">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基本费</w:t>
            </w:r>
          </w:p>
        </w:tc>
        <w:tc>
          <w:tcPr>
            <w:tcW w:w="17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33BE13">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sz w:val="21"/>
                <w:szCs w:val="21"/>
                <w:lang w:val="en-US" w:eastAsia="zh-CN"/>
              </w:rPr>
              <w:t>1.5</w:t>
            </w: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7A9E2469">
            <w:pPr>
              <w:jc w:val="left"/>
              <w:rPr>
                <w:rFonts w:hint="default" w:ascii="宋体" w:hAnsi="宋体" w:eastAsia="宋体" w:cs="宋体"/>
                <w:color w:val="000000"/>
                <w:sz w:val="21"/>
                <w:szCs w:val="21"/>
                <w:lang w:val="en-US" w:eastAsia="zh-CN"/>
              </w:rPr>
            </w:pPr>
          </w:p>
        </w:tc>
      </w:tr>
      <w:tr w14:paraId="055EE9FE">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60200B94">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5118B2">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增加费</w:t>
            </w:r>
          </w:p>
        </w:tc>
        <w:tc>
          <w:tcPr>
            <w:tcW w:w="17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2D1CC8">
            <w:pPr>
              <w:widowControl/>
              <w:jc w:val="center"/>
              <w:textAlignment w:val="center"/>
              <w:rPr>
                <w:rFonts w:hint="default" w:ascii="宋体" w:hAnsi="宋体" w:eastAsia="宋体" w:cs="宋体"/>
                <w:color w:val="000000"/>
                <w:kern w:val="0"/>
                <w:sz w:val="21"/>
                <w:szCs w:val="21"/>
                <w:lang w:val="en-US" w:eastAsia="zh-CN" w:bidi="ar"/>
              </w:rPr>
            </w:pP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53986B7F">
            <w:pPr>
              <w:jc w:val="left"/>
              <w:rPr>
                <w:rFonts w:hint="eastAsia" w:ascii="宋体" w:hAnsi="宋体" w:eastAsia="宋体" w:cs="宋体"/>
                <w:color w:val="000000"/>
                <w:sz w:val="21"/>
                <w:szCs w:val="21"/>
              </w:rPr>
            </w:pPr>
          </w:p>
        </w:tc>
      </w:tr>
      <w:tr w14:paraId="2AA63C2E">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4BFAA186">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1.3</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EA8293">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扬尘污染防治增加费</w:t>
            </w:r>
          </w:p>
        </w:tc>
        <w:tc>
          <w:tcPr>
            <w:tcW w:w="17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EC2D6F">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0.21</w:t>
            </w: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61746A81">
            <w:pPr>
              <w:jc w:val="left"/>
              <w:rPr>
                <w:rFonts w:hint="eastAsia" w:ascii="宋体" w:hAnsi="宋体" w:eastAsia="宋体" w:cs="宋体"/>
                <w:color w:val="000000"/>
                <w:sz w:val="21"/>
                <w:szCs w:val="21"/>
              </w:rPr>
            </w:pPr>
          </w:p>
        </w:tc>
      </w:tr>
      <w:tr w14:paraId="10FE41F6">
        <w:tblPrEx>
          <w:tblCellMar>
            <w:top w:w="0" w:type="dxa"/>
            <w:left w:w="0" w:type="dxa"/>
            <w:bottom w:w="0" w:type="dxa"/>
            <w:right w:w="0" w:type="dxa"/>
          </w:tblCellMar>
        </w:tblPrEx>
        <w:trPr>
          <w:trHeight w:val="447"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30F1FC22">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0A1E6B">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夜间施工</w:t>
            </w:r>
          </w:p>
        </w:tc>
        <w:tc>
          <w:tcPr>
            <w:tcW w:w="17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FFBF02">
            <w:pPr>
              <w:widowControl/>
              <w:jc w:val="center"/>
              <w:textAlignment w:val="center"/>
              <w:rPr>
                <w:rFonts w:hint="eastAsia" w:ascii="宋体" w:hAnsi="宋体" w:eastAsia="宋体" w:cs="宋体"/>
                <w:color w:val="000000"/>
                <w:kern w:val="0"/>
                <w:sz w:val="21"/>
                <w:szCs w:val="21"/>
                <w:lang w:bidi="ar"/>
              </w:rPr>
            </w:pP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2ADB3F99">
            <w:pPr>
              <w:jc w:val="left"/>
              <w:rPr>
                <w:rFonts w:hint="eastAsia" w:ascii="宋体" w:hAnsi="宋体" w:eastAsia="宋体" w:cs="宋体"/>
                <w:color w:val="000000"/>
                <w:sz w:val="21"/>
                <w:szCs w:val="21"/>
              </w:rPr>
            </w:pPr>
          </w:p>
        </w:tc>
      </w:tr>
      <w:tr w14:paraId="6D755E40">
        <w:tblPrEx>
          <w:tblCellMar>
            <w:top w:w="0" w:type="dxa"/>
            <w:left w:w="0" w:type="dxa"/>
            <w:bottom w:w="0" w:type="dxa"/>
            <w:right w:w="0" w:type="dxa"/>
          </w:tblCellMar>
        </w:tblPrEx>
        <w:trPr>
          <w:trHeight w:val="446"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12C343E8">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FEDFD1">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非夜间施工照明</w:t>
            </w:r>
          </w:p>
        </w:tc>
        <w:tc>
          <w:tcPr>
            <w:tcW w:w="17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572A16">
            <w:pPr>
              <w:widowControl/>
              <w:jc w:val="center"/>
              <w:textAlignment w:val="center"/>
              <w:rPr>
                <w:rFonts w:hint="eastAsia" w:ascii="宋体" w:hAnsi="宋体" w:eastAsia="宋体" w:cs="宋体"/>
                <w:color w:val="000000"/>
                <w:kern w:val="0"/>
                <w:sz w:val="21"/>
                <w:szCs w:val="21"/>
                <w:lang w:bidi="ar"/>
              </w:rPr>
            </w:pP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705F14C3">
            <w:pPr>
              <w:widowControl/>
              <w:jc w:val="center"/>
              <w:textAlignment w:val="center"/>
              <w:rPr>
                <w:rFonts w:hint="eastAsia" w:ascii="宋体" w:hAnsi="宋体" w:eastAsia="宋体" w:cs="宋体"/>
                <w:color w:val="000000"/>
                <w:kern w:val="0"/>
                <w:sz w:val="21"/>
                <w:szCs w:val="21"/>
                <w:lang w:bidi="ar"/>
              </w:rPr>
            </w:pPr>
          </w:p>
        </w:tc>
      </w:tr>
      <w:tr w14:paraId="6733BAC5">
        <w:tblPrEx>
          <w:tblCellMar>
            <w:top w:w="0" w:type="dxa"/>
            <w:left w:w="0" w:type="dxa"/>
            <w:bottom w:w="0" w:type="dxa"/>
            <w:right w:w="0" w:type="dxa"/>
          </w:tblCellMar>
        </w:tblPrEx>
        <w:trPr>
          <w:trHeight w:val="433"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7E263644">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E9249A">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二次搬运</w:t>
            </w:r>
          </w:p>
        </w:tc>
        <w:tc>
          <w:tcPr>
            <w:tcW w:w="17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5AE4A5">
            <w:pPr>
              <w:widowControl/>
              <w:jc w:val="center"/>
              <w:textAlignment w:val="center"/>
              <w:rPr>
                <w:rFonts w:hint="eastAsia" w:ascii="宋体" w:hAnsi="宋体" w:eastAsia="宋体" w:cs="宋体"/>
                <w:color w:val="000000"/>
                <w:kern w:val="0"/>
                <w:sz w:val="21"/>
                <w:szCs w:val="21"/>
                <w:lang w:bidi="ar"/>
              </w:rPr>
            </w:pP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0258D94E">
            <w:pPr>
              <w:jc w:val="center"/>
              <w:rPr>
                <w:rFonts w:hint="eastAsia" w:ascii="宋体" w:hAnsi="宋体" w:eastAsia="宋体" w:cs="宋体"/>
                <w:color w:val="000000"/>
                <w:sz w:val="21"/>
                <w:szCs w:val="21"/>
              </w:rPr>
            </w:pPr>
          </w:p>
        </w:tc>
      </w:tr>
      <w:tr w14:paraId="1AC5B517">
        <w:tblPrEx>
          <w:tblCellMar>
            <w:top w:w="0" w:type="dxa"/>
            <w:left w:w="0" w:type="dxa"/>
            <w:bottom w:w="0" w:type="dxa"/>
            <w:right w:w="0" w:type="dxa"/>
          </w:tblCellMar>
        </w:tblPrEx>
        <w:trPr>
          <w:trHeight w:val="488"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270F57D2">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BAC8F3">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冬雨季施工</w:t>
            </w:r>
          </w:p>
        </w:tc>
        <w:tc>
          <w:tcPr>
            <w:tcW w:w="17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3F4207">
            <w:pPr>
              <w:widowControl/>
              <w:jc w:val="center"/>
              <w:textAlignment w:val="center"/>
              <w:rPr>
                <w:rFonts w:hint="eastAsia" w:ascii="宋体" w:hAnsi="宋体" w:eastAsia="宋体" w:cs="宋体"/>
                <w:color w:val="000000"/>
                <w:kern w:val="0"/>
                <w:sz w:val="21"/>
                <w:szCs w:val="21"/>
                <w:lang w:bidi="ar"/>
              </w:rPr>
            </w:pP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378407FD">
            <w:pPr>
              <w:jc w:val="center"/>
              <w:rPr>
                <w:rFonts w:hint="eastAsia" w:ascii="宋体" w:hAnsi="宋体" w:eastAsia="宋体" w:cs="宋体"/>
                <w:color w:val="000000"/>
                <w:sz w:val="21"/>
                <w:szCs w:val="21"/>
              </w:rPr>
            </w:pPr>
          </w:p>
        </w:tc>
      </w:tr>
      <w:tr w14:paraId="2AAD96C9">
        <w:tblPrEx>
          <w:tblCellMar>
            <w:top w:w="0" w:type="dxa"/>
            <w:left w:w="0" w:type="dxa"/>
            <w:bottom w:w="0" w:type="dxa"/>
            <w:right w:w="0" w:type="dxa"/>
          </w:tblCellMar>
        </w:tblPrEx>
        <w:trPr>
          <w:trHeight w:val="585"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5D032D2A">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7F691A">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地上、地下设施、建筑物的临时保护设施</w:t>
            </w:r>
          </w:p>
        </w:tc>
        <w:tc>
          <w:tcPr>
            <w:tcW w:w="17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BB9411">
            <w:pPr>
              <w:widowControl/>
              <w:jc w:val="center"/>
              <w:textAlignment w:val="center"/>
              <w:rPr>
                <w:rFonts w:hint="eastAsia" w:ascii="宋体" w:hAnsi="宋体" w:eastAsia="宋体" w:cs="宋体"/>
                <w:color w:val="000000"/>
                <w:kern w:val="0"/>
                <w:sz w:val="21"/>
                <w:szCs w:val="21"/>
                <w:lang w:bidi="ar"/>
              </w:rPr>
            </w:pP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679969B0">
            <w:pPr>
              <w:jc w:val="center"/>
              <w:rPr>
                <w:rFonts w:hint="eastAsia" w:ascii="宋体" w:hAnsi="宋体" w:eastAsia="宋体" w:cs="宋体"/>
                <w:color w:val="000000"/>
                <w:sz w:val="21"/>
                <w:szCs w:val="21"/>
              </w:rPr>
            </w:pPr>
          </w:p>
        </w:tc>
      </w:tr>
      <w:tr w14:paraId="79774A0A">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2818220D">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7</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904C32">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已完工程及设备保护</w:t>
            </w:r>
          </w:p>
        </w:tc>
        <w:tc>
          <w:tcPr>
            <w:tcW w:w="17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C4D345">
            <w:pPr>
              <w:widowControl/>
              <w:jc w:val="center"/>
              <w:textAlignment w:val="center"/>
              <w:rPr>
                <w:rFonts w:hint="eastAsia" w:ascii="宋体" w:hAnsi="宋体" w:eastAsia="宋体" w:cs="宋体"/>
                <w:color w:val="000000"/>
                <w:kern w:val="0"/>
                <w:sz w:val="21"/>
                <w:szCs w:val="21"/>
                <w:lang w:bidi="ar"/>
              </w:rPr>
            </w:pP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4B3CFA8D">
            <w:pPr>
              <w:jc w:val="center"/>
              <w:rPr>
                <w:rFonts w:hint="eastAsia" w:ascii="宋体" w:hAnsi="宋体" w:eastAsia="宋体" w:cs="宋体"/>
                <w:color w:val="000000"/>
                <w:sz w:val="21"/>
                <w:szCs w:val="21"/>
              </w:rPr>
            </w:pPr>
          </w:p>
        </w:tc>
      </w:tr>
      <w:tr w14:paraId="29309E45">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1AE73D25">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8</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87B41A">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临时设施</w:t>
            </w:r>
          </w:p>
        </w:tc>
        <w:tc>
          <w:tcPr>
            <w:tcW w:w="17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D9B073">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1.1 </w:t>
            </w: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627BDC35">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投标单位自主报价</w:t>
            </w:r>
          </w:p>
        </w:tc>
      </w:tr>
      <w:tr w14:paraId="3BAA6CC0">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2DEADD3B">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9</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B0BFF8">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赶工措施</w:t>
            </w:r>
          </w:p>
        </w:tc>
        <w:tc>
          <w:tcPr>
            <w:tcW w:w="17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8836C2">
            <w:pPr>
              <w:widowControl/>
              <w:jc w:val="center"/>
              <w:textAlignment w:val="center"/>
              <w:rPr>
                <w:rFonts w:hint="eastAsia" w:ascii="宋体" w:hAnsi="宋体" w:eastAsia="宋体" w:cs="宋体"/>
                <w:color w:val="000000"/>
                <w:kern w:val="0"/>
                <w:sz w:val="21"/>
                <w:szCs w:val="21"/>
                <w:lang w:bidi="ar"/>
              </w:rPr>
            </w:pP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2B6F5D09">
            <w:pPr>
              <w:jc w:val="left"/>
              <w:rPr>
                <w:rFonts w:hint="eastAsia" w:ascii="宋体" w:hAnsi="宋体" w:eastAsia="宋体" w:cs="宋体"/>
                <w:color w:val="000000"/>
                <w:sz w:val="21"/>
                <w:szCs w:val="21"/>
              </w:rPr>
            </w:pPr>
          </w:p>
        </w:tc>
      </w:tr>
      <w:tr w14:paraId="595583D5">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783F2411">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E42764">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工程按质论价</w:t>
            </w:r>
          </w:p>
        </w:tc>
        <w:tc>
          <w:tcPr>
            <w:tcW w:w="17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2C2CFA">
            <w:pPr>
              <w:widowControl/>
              <w:jc w:val="center"/>
              <w:textAlignment w:val="center"/>
              <w:rPr>
                <w:rFonts w:hint="eastAsia" w:ascii="宋体" w:hAnsi="宋体" w:eastAsia="宋体" w:cs="宋体"/>
                <w:color w:val="000000"/>
                <w:kern w:val="0"/>
                <w:sz w:val="21"/>
                <w:szCs w:val="21"/>
                <w:lang w:bidi="ar"/>
              </w:rPr>
            </w:pP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0A1F4053">
            <w:pPr>
              <w:jc w:val="left"/>
              <w:rPr>
                <w:rFonts w:hint="eastAsia" w:ascii="宋体" w:hAnsi="宋体" w:eastAsia="宋体" w:cs="宋体"/>
                <w:color w:val="000000"/>
                <w:sz w:val="21"/>
                <w:szCs w:val="21"/>
              </w:rPr>
            </w:pPr>
          </w:p>
        </w:tc>
      </w:tr>
      <w:tr w14:paraId="65209B20">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06AAA03B">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11</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C11DD0">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住宅分户验收</w:t>
            </w:r>
          </w:p>
        </w:tc>
        <w:tc>
          <w:tcPr>
            <w:tcW w:w="17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507A27">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0.05</w:t>
            </w: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0B818009">
            <w:pPr>
              <w:jc w:val="left"/>
              <w:rPr>
                <w:rFonts w:hint="eastAsia" w:ascii="宋体" w:hAnsi="宋体" w:eastAsia="宋体" w:cs="宋体"/>
                <w:color w:val="000000"/>
                <w:sz w:val="21"/>
                <w:szCs w:val="21"/>
              </w:rPr>
            </w:pPr>
          </w:p>
        </w:tc>
      </w:tr>
      <w:tr w14:paraId="0F80BDD9">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auto" w:sz="4" w:space="0"/>
              <w:right w:val="single" w:color="000000" w:sz="4" w:space="0"/>
            </w:tcBorders>
            <w:noWrap w:val="0"/>
            <w:tcMar>
              <w:top w:w="12" w:type="dxa"/>
              <w:left w:w="12" w:type="dxa"/>
              <w:right w:w="12" w:type="dxa"/>
            </w:tcMar>
            <w:vAlign w:val="center"/>
          </w:tcPr>
          <w:p w14:paraId="371B4893">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c>
          <w:tcPr>
            <w:tcW w:w="2154"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2B57B84">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建筑工人实名制费用</w:t>
            </w:r>
          </w:p>
        </w:tc>
        <w:tc>
          <w:tcPr>
            <w:tcW w:w="1732"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0D8221C">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 </w:t>
            </w:r>
          </w:p>
        </w:tc>
        <w:tc>
          <w:tcPr>
            <w:tcW w:w="3292" w:type="dxa"/>
            <w:tcBorders>
              <w:top w:val="single" w:color="000000" w:sz="4" w:space="0"/>
              <w:left w:val="single" w:color="000000" w:sz="4" w:space="0"/>
              <w:bottom w:val="single" w:color="auto" w:sz="4" w:space="0"/>
              <w:right w:val="single" w:color="000000" w:sz="8" w:space="0"/>
            </w:tcBorders>
            <w:noWrap w:val="0"/>
            <w:tcMar>
              <w:top w:w="12" w:type="dxa"/>
              <w:left w:w="12" w:type="dxa"/>
              <w:right w:w="12" w:type="dxa"/>
            </w:tcMar>
            <w:vAlign w:val="center"/>
          </w:tcPr>
          <w:p w14:paraId="44AEFF62">
            <w:pPr>
              <w:jc w:val="left"/>
              <w:rPr>
                <w:rFonts w:hint="eastAsia" w:ascii="宋体" w:hAnsi="宋体" w:eastAsia="宋体" w:cs="宋体"/>
                <w:color w:val="000000"/>
                <w:sz w:val="21"/>
                <w:szCs w:val="21"/>
              </w:rPr>
            </w:pPr>
          </w:p>
        </w:tc>
      </w:tr>
      <w:tr w14:paraId="586487A0">
        <w:tblPrEx>
          <w:tblCellMar>
            <w:top w:w="0" w:type="dxa"/>
            <w:left w:w="0" w:type="dxa"/>
            <w:bottom w:w="0" w:type="dxa"/>
            <w:right w:w="0" w:type="dxa"/>
          </w:tblCellMar>
        </w:tblPrEx>
        <w:trPr>
          <w:trHeight w:val="540" w:hRule="atLeast"/>
        </w:trPr>
        <w:tc>
          <w:tcPr>
            <w:tcW w:w="769" w:type="dxa"/>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444017C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13</w:t>
            </w:r>
          </w:p>
        </w:tc>
        <w:tc>
          <w:tcPr>
            <w:tcW w:w="215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2018765">
            <w:pPr>
              <w:widowControl/>
              <w:jc w:val="left"/>
              <w:textAlignment w:val="center"/>
              <w:rPr>
                <w:rFonts w:hint="eastAsia" w:ascii="宋体" w:hAnsi="宋体" w:eastAsia="宋体" w:cs="宋体"/>
                <w:b/>
                <w:color w:val="000000"/>
                <w:kern w:val="0"/>
                <w:sz w:val="21"/>
                <w:szCs w:val="21"/>
                <w:lang w:bidi="ar"/>
              </w:rPr>
            </w:pPr>
            <w:r>
              <w:rPr>
                <w:rFonts w:hint="eastAsia" w:ascii="宋体" w:hAnsi="宋体" w:eastAsia="宋体" w:cs="宋体"/>
                <w:color w:val="000000"/>
                <w:kern w:val="0"/>
                <w:sz w:val="21"/>
                <w:szCs w:val="21"/>
                <w:lang w:bidi="ar"/>
              </w:rPr>
              <w:t>智慧工地费用</w:t>
            </w:r>
          </w:p>
        </w:tc>
        <w:tc>
          <w:tcPr>
            <w:tcW w:w="1732"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5B60936">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0.05 </w:t>
            </w:r>
          </w:p>
        </w:tc>
        <w:tc>
          <w:tcPr>
            <w:tcW w:w="3292" w:type="dxa"/>
            <w:tcBorders>
              <w:top w:val="single" w:color="auto" w:sz="4" w:space="0"/>
              <w:left w:val="single" w:color="000000" w:sz="4" w:space="0"/>
              <w:bottom w:val="single" w:color="auto" w:sz="4" w:space="0"/>
              <w:right w:val="single" w:color="auto" w:sz="4" w:space="0"/>
            </w:tcBorders>
            <w:noWrap w:val="0"/>
            <w:tcMar>
              <w:top w:w="12" w:type="dxa"/>
              <w:left w:w="12" w:type="dxa"/>
              <w:right w:w="12" w:type="dxa"/>
            </w:tcMar>
            <w:vAlign w:val="center"/>
          </w:tcPr>
          <w:p w14:paraId="4BC436ED">
            <w:pPr>
              <w:jc w:val="left"/>
              <w:rPr>
                <w:rFonts w:hint="eastAsia" w:ascii="宋体" w:hAnsi="宋体" w:eastAsia="宋体" w:cs="宋体"/>
                <w:color w:val="000000"/>
                <w:sz w:val="21"/>
                <w:szCs w:val="21"/>
              </w:rPr>
            </w:pPr>
          </w:p>
        </w:tc>
      </w:tr>
      <w:tr w14:paraId="5CD27BA7">
        <w:tblPrEx>
          <w:tblCellMar>
            <w:top w:w="0" w:type="dxa"/>
            <w:left w:w="0" w:type="dxa"/>
            <w:bottom w:w="0" w:type="dxa"/>
            <w:right w:w="0" w:type="dxa"/>
          </w:tblCellMar>
        </w:tblPrEx>
        <w:trPr>
          <w:trHeight w:val="540" w:hRule="atLeast"/>
        </w:trPr>
        <w:tc>
          <w:tcPr>
            <w:tcW w:w="769" w:type="dxa"/>
            <w:tcBorders>
              <w:top w:val="single" w:color="auto"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316E86B0">
            <w:pPr>
              <w:jc w:val="center"/>
              <w:rPr>
                <w:rFonts w:hint="eastAsia" w:ascii="宋体" w:hAnsi="宋体" w:eastAsia="宋体" w:cs="宋体"/>
                <w:color w:val="000000"/>
                <w:sz w:val="21"/>
                <w:szCs w:val="21"/>
              </w:rPr>
            </w:pPr>
          </w:p>
        </w:tc>
        <w:tc>
          <w:tcPr>
            <w:tcW w:w="2154"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540051">
            <w:pPr>
              <w:widowControl/>
              <w:jc w:val="left"/>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规费</w:t>
            </w:r>
          </w:p>
        </w:tc>
        <w:tc>
          <w:tcPr>
            <w:tcW w:w="1732" w:type="dxa"/>
            <w:tcBorders>
              <w:top w:val="single" w:color="auto" w:sz="4" w:space="0"/>
              <w:left w:val="single" w:color="000000" w:sz="4" w:space="0"/>
              <w:bottom w:val="nil"/>
              <w:right w:val="single" w:color="000000" w:sz="4" w:space="0"/>
            </w:tcBorders>
            <w:noWrap w:val="0"/>
            <w:tcMar>
              <w:top w:w="12" w:type="dxa"/>
              <w:left w:w="12" w:type="dxa"/>
              <w:right w:w="12" w:type="dxa"/>
            </w:tcMar>
            <w:vAlign w:val="center"/>
          </w:tcPr>
          <w:p w14:paraId="47408EBE">
            <w:pPr>
              <w:widowControl/>
              <w:jc w:val="center"/>
              <w:textAlignment w:val="center"/>
              <w:rPr>
                <w:rFonts w:hint="eastAsia" w:ascii="宋体" w:hAnsi="宋体" w:eastAsia="宋体" w:cs="宋体"/>
                <w:color w:val="000000"/>
                <w:kern w:val="0"/>
                <w:sz w:val="21"/>
                <w:szCs w:val="21"/>
                <w:lang w:bidi="ar"/>
              </w:rPr>
            </w:pPr>
          </w:p>
        </w:tc>
        <w:tc>
          <w:tcPr>
            <w:tcW w:w="3292" w:type="dxa"/>
            <w:tcBorders>
              <w:top w:val="single" w:color="auto" w:sz="4" w:space="0"/>
              <w:left w:val="single" w:color="000000" w:sz="4" w:space="0"/>
              <w:bottom w:val="nil"/>
              <w:right w:val="single" w:color="000000" w:sz="8" w:space="0"/>
            </w:tcBorders>
            <w:noWrap w:val="0"/>
            <w:tcMar>
              <w:top w:w="12" w:type="dxa"/>
              <w:left w:w="12" w:type="dxa"/>
              <w:right w:w="12" w:type="dxa"/>
            </w:tcMar>
            <w:vAlign w:val="center"/>
          </w:tcPr>
          <w:p w14:paraId="64210DAA">
            <w:pPr>
              <w:jc w:val="left"/>
              <w:rPr>
                <w:rFonts w:hint="eastAsia" w:ascii="宋体" w:hAnsi="宋体" w:eastAsia="宋体" w:cs="宋体"/>
                <w:color w:val="000000"/>
                <w:sz w:val="21"/>
                <w:szCs w:val="21"/>
              </w:rPr>
            </w:pPr>
          </w:p>
        </w:tc>
      </w:tr>
      <w:tr w14:paraId="795C9D75">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nil"/>
              <w:right w:val="single" w:color="000000" w:sz="4" w:space="0"/>
            </w:tcBorders>
            <w:noWrap w:val="0"/>
            <w:tcMar>
              <w:top w:w="12" w:type="dxa"/>
              <w:left w:w="12" w:type="dxa"/>
              <w:right w:w="12" w:type="dxa"/>
            </w:tcMar>
            <w:vAlign w:val="center"/>
          </w:tcPr>
          <w:p w14:paraId="58C86E43">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1.1</w:t>
            </w:r>
          </w:p>
        </w:tc>
        <w:tc>
          <w:tcPr>
            <w:tcW w:w="2154" w:type="dxa"/>
            <w:tcBorders>
              <w:top w:val="single" w:color="000000" w:sz="4" w:space="0"/>
              <w:left w:val="single" w:color="000000" w:sz="4" w:space="0"/>
              <w:bottom w:val="nil"/>
              <w:right w:val="nil"/>
            </w:tcBorders>
            <w:noWrap w:val="0"/>
            <w:tcMar>
              <w:top w:w="12" w:type="dxa"/>
              <w:left w:w="12" w:type="dxa"/>
              <w:right w:w="12" w:type="dxa"/>
            </w:tcMar>
            <w:vAlign w:val="center"/>
          </w:tcPr>
          <w:p w14:paraId="4BE7C9B4">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社会保险费</w:t>
            </w:r>
          </w:p>
        </w:tc>
        <w:tc>
          <w:tcPr>
            <w:tcW w:w="1732" w:type="dxa"/>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1AA7A8D4">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3.8</w:t>
            </w: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02EE56A9">
            <w:pPr>
              <w:jc w:val="center"/>
              <w:rPr>
                <w:rFonts w:hint="eastAsia" w:ascii="宋体" w:hAnsi="宋体" w:eastAsia="宋体" w:cs="宋体"/>
                <w:color w:val="000000"/>
                <w:sz w:val="21"/>
                <w:szCs w:val="21"/>
              </w:rPr>
            </w:pPr>
          </w:p>
        </w:tc>
      </w:tr>
      <w:tr w14:paraId="22A0FCED">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nil"/>
              <w:right w:val="single" w:color="000000" w:sz="4" w:space="0"/>
            </w:tcBorders>
            <w:noWrap w:val="0"/>
            <w:tcMar>
              <w:top w:w="12" w:type="dxa"/>
              <w:left w:w="12" w:type="dxa"/>
              <w:right w:w="12" w:type="dxa"/>
            </w:tcMar>
            <w:vAlign w:val="center"/>
          </w:tcPr>
          <w:p w14:paraId="30310CC9">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c>
          <w:tcPr>
            <w:tcW w:w="2154" w:type="dxa"/>
            <w:tcBorders>
              <w:top w:val="single" w:color="000000" w:sz="4" w:space="0"/>
              <w:left w:val="single" w:color="000000" w:sz="4" w:space="0"/>
              <w:bottom w:val="nil"/>
              <w:right w:val="nil"/>
            </w:tcBorders>
            <w:noWrap w:val="0"/>
            <w:tcMar>
              <w:top w:w="12" w:type="dxa"/>
              <w:left w:w="12" w:type="dxa"/>
              <w:right w:w="12" w:type="dxa"/>
            </w:tcMar>
            <w:vAlign w:val="center"/>
          </w:tcPr>
          <w:p w14:paraId="183851C8">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住房公积金</w:t>
            </w:r>
          </w:p>
        </w:tc>
        <w:tc>
          <w:tcPr>
            <w:tcW w:w="1732" w:type="dxa"/>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20235853">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0.67</w:t>
            </w:r>
          </w:p>
        </w:tc>
        <w:tc>
          <w:tcPr>
            <w:tcW w:w="3292"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78C62283">
            <w:pPr>
              <w:jc w:val="center"/>
              <w:rPr>
                <w:rFonts w:hint="eastAsia" w:ascii="宋体" w:hAnsi="宋体" w:eastAsia="宋体" w:cs="宋体"/>
                <w:color w:val="000000"/>
                <w:sz w:val="21"/>
                <w:szCs w:val="21"/>
              </w:rPr>
            </w:pPr>
          </w:p>
        </w:tc>
      </w:tr>
      <w:tr w14:paraId="2EF9DD27">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8" w:space="0"/>
              <w:right w:val="single" w:color="000000" w:sz="4" w:space="0"/>
            </w:tcBorders>
            <w:noWrap w:val="0"/>
            <w:tcMar>
              <w:top w:w="12" w:type="dxa"/>
              <w:left w:w="12" w:type="dxa"/>
              <w:right w:w="12" w:type="dxa"/>
            </w:tcMar>
            <w:vAlign w:val="top"/>
          </w:tcPr>
          <w:p w14:paraId="1A40BFD2">
            <w:pPr>
              <w:rPr>
                <w:rFonts w:hint="eastAsia" w:ascii="宋体" w:hAnsi="宋体" w:eastAsia="宋体" w:cs="宋体"/>
                <w:b/>
                <w:color w:val="000000"/>
                <w:sz w:val="21"/>
                <w:szCs w:val="21"/>
              </w:rPr>
            </w:pPr>
          </w:p>
        </w:tc>
        <w:tc>
          <w:tcPr>
            <w:tcW w:w="2154" w:type="dxa"/>
            <w:tcBorders>
              <w:top w:val="single" w:color="000000" w:sz="4" w:space="0"/>
              <w:left w:val="single" w:color="000000" w:sz="4" w:space="0"/>
              <w:bottom w:val="single" w:color="000000" w:sz="8" w:space="0"/>
              <w:right w:val="single" w:color="000000" w:sz="4" w:space="0"/>
            </w:tcBorders>
            <w:noWrap w:val="0"/>
            <w:tcMar>
              <w:top w:w="12" w:type="dxa"/>
              <w:left w:w="12" w:type="dxa"/>
              <w:right w:w="12" w:type="dxa"/>
            </w:tcMar>
            <w:vAlign w:val="center"/>
          </w:tcPr>
          <w:p w14:paraId="4F544B71">
            <w:pPr>
              <w:widowControl/>
              <w:jc w:val="left"/>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税金</w:t>
            </w:r>
          </w:p>
        </w:tc>
        <w:tc>
          <w:tcPr>
            <w:tcW w:w="1732" w:type="dxa"/>
            <w:tcBorders>
              <w:top w:val="single" w:color="000000" w:sz="4" w:space="0"/>
              <w:left w:val="single" w:color="000000" w:sz="4" w:space="0"/>
              <w:bottom w:val="single" w:color="000000" w:sz="8" w:space="0"/>
              <w:right w:val="single" w:color="000000" w:sz="4" w:space="0"/>
            </w:tcBorders>
            <w:noWrap w:val="0"/>
            <w:tcMar>
              <w:top w:w="12" w:type="dxa"/>
              <w:left w:w="12" w:type="dxa"/>
              <w:right w:w="12" w:type="dxa"/>
            </w:tcMar>
            <w:vAlign w:val="center"/>
          </w:tcPr>
          <w:p w14:paraId="145E2658">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9</w:t>
            </w:r>
          </w:p>
        </w:tc>
        <w:tc>
          <w:tcPr>
            <w:tcW w:w="3292" w:type="dxa"/>
            <w:tcBorders>
              <w:top w:val="single" w:color="000000" w:sz="4" w:space="0"/>
              <w:left w:val="single" w:color="000000" w:sz="4" w:space="0"/>
              <w:bottom w:val="single" w:color="000000" w:sz="8" w:space="0"/>
              <w:right w:val="single" w:color="000000" w:sz="4" w:space="0"/>
            </w:tcBorders>
            <w:noWrap w:val="0"/>
            <w:tcMar>
              <w:top w:w="12" w:type="dxa"/>
              <w:left w:w="12" w:type="dxa"/>
              <w:right w:w="12" w:type="dxa"/>
            </w:tcMar>
            <w:vAlign w:val="top"/>
          </w:tcPr>
          <w:p w14:paraId="29A11B15">
            <w:pPr>
              <w:widowControl/>
              <w:jc w:val="center"/>
              <w:textAlignment w:val="center"/>
              <w:rPr>
                <w:rFonts w:hint="eastAsia" w:ascii="宋体" w:hAnsi="宋体" w:eastAsia="宋体" w:cs="宋体"/>
                <w:color w:val="000000"/>
                <w:kern w:val="0"/>
                <w:sz w:val="21"/>
                <w:szCs w:val="21"/>
                <w:lang w:bidi="ar"/>
              </w:rPr>
            </w:pPr>
          </w:p>
        </w:tc>
      </w:tr>
    </w:tbl>
    <w:p w14:paraId="05D27A9D">
      <w:pPr>
        <w:overflowPunct w:val="0"/>
        <w:ind w:firstLine="434" w:firstLineChars="207"/>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2.3、单价措施费</w:t>
      </w:r>
    </w:p>
    <w:p w14:paraId="505DF063">
      <w:pPr>
        <w:overflowPunct w:val="0"/>
        <w:ind w:firstLine="1060" w:firstLineChars="505"/>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2.3.1、垂直运输费：施工方自主报价</w:t>
      </w:r>
    </w:p>
    <w:p w14:paraId="56CFE925">
      <w:pPr>
        <w:overflowPunct w:val="0"/>
        <w:ind w:firstLine="1060" w:firstLineChars="505"/>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2.3.2、外墙脚手架/吊车/吊篮：施工方自主报价</w:t>
      </w:r>
    </w:p>
    <w:p w14:paraId="78CA1392">
      <w:pPr>
        <w:overflowPunct w:val="0"/>
        <w:ind w:firstLine="1060" w:firstLineChars="505"/>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2.3.3、内墙装饰脚手架：施工方自主报价</w:t>
      </w:r>
    </w:p>
    <w:p w14:paraId="42C88A85">
      <w:pPr>
        <w:overflowPunct w:val="0"/>
        <w:ind w:firstLine="420"/>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2.4、其他项目费</w:t>
      </w:r>
    </w:p>
    <w:p w14:paraId="77A5F482">
      <w:pPr>
        <w:overflowPunct w:val="0"/>
        <w:ind w:firstLine="420"/>
        <w:textAlignment w:val="baseline"/>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 xml:space="preserve">      2.4.1、专业工程暂估价：玻璃幕墙、玻璃天棚等打胶按1500元计入；教室电气维修按45000元计入；具体详见工程量清单。</w:t>
      </w:r>
    </w:p>
    <w:p w14:paraId="1673E3A9">
      <w:pPr>
        <w:overflowPunct w:val="0"/>
        <w:ind w:firstLine="420"/>
        <w:textAlignment w:val="baseline"/>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 xml:space="preserve">  </w:t>
      </w:r>
    </w:p>
    <w:p w14:paraId="74DCDAFD">
      <w:pPr>
        <w:overflowPunct w:val="0"/>
        <w:ind w:left="420" w:leftChars="200"/>
        <w:rPr>
          <w:rFonts w:hint="eastAsia" w:ascii="宋体" w:hAnsi="宋体" w:eastAsia="宋体" w:cs="宋体"/>
          <w:b/>
          <w:bCs/>
          <w:szCs w:val="21"/>
        </w:rPr>
      </w:pPr>
      <w:r>
        <w:rPr>
          <w:rFonts w:hint="eastAsia" w:ascii="宋体" w:hAnsi="宋体" w:eastAsia="宋体" w:cs="宋体"/>
          <w:b/>
          <w:bCs/>
          <w:szCs w:val="21"/>
          <w:lang w:val="en-US" w:eastAsia="zh-CN"/>
        </w:rPr>
        <w:t>3</w:t>
      </w:r>
      <w:r>
        <w:rPr>
          <w:rFonts w:hint="eastAsia" w:ascii="宋体" w:hAnsi="宋体" w:eastAsia="宋体" w:cs="宋体"/>
          <w:b/>
          <w:bCs/>
          <w:szCs w:val="21"/>
        </w:rPr>
        <w:t>、特殊说明</w:t>
      </w:r>
    </w:p>
    <w:p w14:paraId="554C8298">
      <w:pPr>
        <w:overflowPunct w:val="0"/>
        <w:ind w:firstLine="896" w:firstLineChars="427"/>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3.1、本工程所有工程量及施工做法均由建设方提供。</w:t>
      </w:r>
    </w:p>
    <w:p w14:paraId="2959B974">
      <w:pPr>
        <w:overflowPunct w:val="0"/>
        <w:ind w:firstLine="896" w:firstLineChars="427"/>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3.2、关于图纸问题设计院答复如下：</w:t>
      </w:r>
    </w:p>
    <w:p w14:paraId="50DE0713">
      <w:pPr>
        <w:numPr>
          <w:ilvl w:val="0"/>
          <w:numId w:val="3"/>
        </w:numPr>
        <w:spacing w:beforeLines="0" w:afterLines="0"/>
        <w:rPr>
          <w:rFonts w:hint="eastAsia"/>
          <w:sz w:val="21"/>
          <w:szCs w:val="24"/>
        </w:rPr>
      </w:pPr>
      <w:r>
        <w:rPr>
          <w:rFonts w:hint="eastAsia"/>
          <w:sz w:val="21"/>
          <w:szCs w:val="24"/>
        </w:rPr>
        <w:t>外墙部分</w:t>
      </w:r>
    </w:p>
    <w:p w14:paraId="77A377CC">
      <w:pPr>
        <w:numPr>
          <w:ilvl w:val="0"/>
          <w:numId w:val="0"/>
        </w:numPr>
        <w:spacing w:beforeLines="0" w:afterLines="0"/>
        <w:rPr>
          <w:rFonts w:hint="default"/>
          <w:sz w:val="21"/>
          <w:szCs w:val="24"/>
        </w:rPr>
      </w:pPr>
      <w:r>
        <w:rPr>
          <w:rFonts w:hint="default"/>
          <w:sz w:val="21"/>
          <w:szCs w:val="24"/>
        </w:rPr>
        <w:drawing>
          <wp:inline distT="0" distB="0" distL="114300" distR="114300">
            <wp:extent cx="5284470" cy="1864995"/>
            <wp:effectExtent l="0" t="0" r="11430" b="19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4"/>
                    <a:stretch>
                      <a:fillRect/>
                    </a:stretch>
                  </pic:blipFill>
                  <pic:spPr>
                    <a:xfrm>
                      <a:off x="0" y="0"/>
                      <a:ext cx="5284470" cy="1864995"/>
                    </a:xfrm>
                    <a:prstGeom prst="rect">
                      <a:avLst/>
                    </a:prstGeom>
                    <a:noFill/>
                    <a:ln>
                      <a:noFill/>
                    </a:ln>
                  </pic:spPr>
                </pic:pic>
              </a:graphicData>
            </a:graphic>
          </wp:inline>
        </w:drawing>
      </w:r>
    </w:p>
    <w:p w14:paraId="7CCC03FB">
      <w:pPr>
        <w:numPr>
          <w:ilvl w:val="0"/>
          <w:numId w:val="4"/>
        </w:numPr>
        <w:spacing w:beforeLines="0" w:afterLines="0"/>
        <w:rPr>
          <w:rFonts w:hint="eastAsia"/>
          <w:sz w:val="21"/>
          <w:szCs w:val="24"/>
        </w:rPr>
      </w:pPr>
      <w:r>
        <w:rPr>
          <w:rFonts w:hint="eastAsia"/>
          <w:sz w:val="21"/>
          <w:szCs w:val="24"/>
        </w:rPr>
        <w:t>原外墙面清理是否是拆除至抹灰层（包含抹灰层拆除）</w:t>
      </w:r>
    </w:p>
    <w:p w14:paraId="11345DC0">
      <w:pPr>
        <w:numPr>
          <w:ilvl w:val="0"/>
          <w:numId w:val="0"/>
        </w:numPr>
        <w:spacing w:beforeLines="0" w:afterLines="0"/>
        <w:rPr>
          <w:rFonts w:hint="default" w:eastAsia="宋体"/>
          <w:color w:val="FF0000"/>
          <w:sz w:val="21"/>
          <w:szCs w:val="24"/>
          <w:lang w:val="en-US" w:eastAsia="zh-CN"/>
        </w:rPr>
      </w:pPr>
      <w:r>
        <w:rPr>
          <w:rFonts w:hint="eastAsia"/>
          <w:color w:val="FF0000"/>
          <w:sz w:val="21"/>
          <w:szCs w:val="24"/>
          <w:lang w:val="en-US" w:eastAsia="zh-CN"/>
        </w:rPr>
        <w:t>答：根据现场情况确定，建议清理至基层墙体。</w:t>
      </w:r>
    </w:p>
    <w:p w14:paraId="5EDF589F">
      <w:pPr>
        <w:numPr>
          <w:ilvl w:val="0"/>
          <w:numId w:val="4"/>
        </w:numPr>
        <w:spacing w:beforeLines="0" w:afterLines="0"/>
        <w:rPr>
          <w:rFonts w:hint="default"/>
          <w:sz w:val="21"/>
          <w:szCs w:val="24"/>
        </w:rPr>
      </w:pPr>
      <w:r>
        <w:rPr>
          <w:rFonts w:hint="eastAsia"/>
          <w:sz w:val="21"/>
          <w:szCs w:val="24"/>
        </w:rPr>
        <w:t>原外墙及新做保温板材质？厚度无描述？无法计价</w:t>
      </w:r>
    </w:p>
    <w:p w14:paraId="04056AB0">
      <w:pPr>
        <w:numPr>
          <w:ilvl w:val="0"/>
          <w:numId w:val="0"/>
        </w:numPr>
        <w:spacing w:beforeLines="0" w:afterLines="0"/>
        <w:rPr>
          <w:rFonts w:hint="default" w:eastAsia="宋体"/>
          <w:sz w:val="21"/>
          <w:szCs w:val="24"/>
          <w:lang w:val="en-US" w:eastAsia="zh-CN"/>
        </w:rPr>
      </w:pPr>
      <w:r>
        <w:rPr>
          <w:rFonts w:hint="eastAsia"/>
          <w:color w:val="FF0000"/>
          <w:sz w:val="21"/>
          <w:szCs w:val="24"/>
          <w:lang w:val="en-US" w:eastAsia="zh-CN"/>
        </w:rPr>
        <w:t>答：新做保温板的材料及厚度同原有保温板，可暂按80厚复合岩棉板考虑计价。</w:t>
      </w:r>
    </w:p>
    <w:p w14:paraId="36BEB242">
      <w:pPr>
        <w:numPr>
          <w:ilvl w:val="0"/>
          <w:numId w:val="3"/>
        </w:numPr>
        <w:spacing w:beforeLines="0" w:afterLines="0"/>
        <w:rPr>
          <w:rFonts w:hint="eastAsia"/>
          <w:sz w:val="21"/>
          <w:szCs w:val="24"/>
        </w:rPr>
      </w:pPr>
      <w:r>
        <w:rPr>
          <w:rFonts w:hint="eastAsia"/>
          <w:sz w:val="21"/>
          <w:szCs w:val="24"/>
        </w:rPr>
        <w:t>屋面</w:t>
      </w:r>
    </w:p>
    <w:p w14:paraId="0A573C55">
      <w:pPr>
        <w:numPr>
          <w:ilvl w:val="0"/>
          <w:numId w:val="0"/>
        </w:numPr>
        <w:spacing w:beforeLines="0" w:afterLines="0"/>
        <w:rPr>
          <w:rFonts w:hint="default"/>
          <w:sz w:val="21"/>
          <w:szCs w:val="24"/>
        </w:rPr>
      </w:pPr>
      <w:r>
        <w:rPr>
          <w:rFonts w:hint="default"/>
          <w:sz w:val="21"/>
          <w:szCs w:val="24"/>
        </w:rPr>
        <w:drawing>
          <wp:inline distT="0" distB="0" distL="114300" distR="114300">
            <wp:extent cx="5295265" cy="1014730"/>
            <wp:effectExtent l="0" t="0" r="635" b="1397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5"/>
                    <a:stretch>
                      <a:fillRect/>
                    </a:stretch>
                  </pic:blipFill>
                  <pic:spPr>
                    <a:xfrm>
                      <a:off x="0" y="0"/>
                      <a:ext cx="5295265" cy="1014730"/>
                    </a:xfrm>
                    <a:prstGeom prst="rect">
                      <a:avLst/>
                    </a:prstGeom>
                    <a:noFill/>
                    <a:ln>
                      <a:noFill/>
                    </a:ln>
                  </pic:spPr>
                </pic:pic>
              </a:graphicData>
            </a:graphic>
          </wp:inline>
        </w:drawing>
      </w:r>
    </w:p>
    <w:p w14:paraId="258A61BF">
      <w:pPr>
        <w:numPr>
          <w:ilvl w:val="0"/>
          <w:numId w:val="5"/>
        </w:numPr>
        <w:spacing w:beforeLines="0" w:afterLines="0"/>
        <w:rPr>
          <w:rFonts w:hint="eastAsia"/>
          <w:sz w:val="21"/>
          <w:szCs w:val="24"/>
        </w:rPr>
      </w:pPr>
      <w:r>
        <w:rPr>
          <w:rFonts w:hint="eastAsia"/>
          <w:sz w:val="21"/>
          <w:szCs w:val="24"/>
        </w:rPr>
        <w:t>原屋面拆除部分：需拆除原有屋面防水卷材外是否需拆除原屋面找平层，拆除厚度？</w:t>
      </w:r>
    </w:p>
    <w:p w14:paraId="54CE1660">
      <w:pPr>
        <w:numPr>
          <w:ilvl w:val="0"/>
          <w:numId w:val="0"/>
        </w:numPr>
        <w:spacing w:beforeLines="0" w:afterLines="0"/>
        <w:rPr>
          <w:rFonts w:hint="default"/>
          <w:sz w:val="21"/>
          <w:szCs w:val="24"/>
          <w:lang w:val="en-US"/>
        </w:rPr>
      </w:pPr>
      <w:r>
        <w:rPr>
          <w:rFonts w:hint="eastAsia"/>
          <w:color w:val="FF0000"/>
          <w:sz w:val="21"/>
          <w:szCs w:val="24"/>
          <w:lang w:val="en-US" w:eastAsia="zh-CN"/>
        </w:rPr>
        <w:t>答：原屋面找坡层及保温层暂不拆除，根据现场情况确定，如果破损漏水严重，另行确定拆除厚度。</w:t>
      </w:r>
    </w:p>
    <w:p w14:paraId="7FE8832C">
      <w:pPr>
        <w:numPr>
          <w:ilvl w:val="0"/>
          <w:numId w:val="5"/>
        </w:numPr>
        <w:spacing w:beforeLines="0" w:afterLines="0"/>
        <w:rPr>
          <w:rFonts w:hint="default"/>
          <w:sz w:val="21"/>
          <w:szCs w:val="24"/>
        </w:rPr>
      </w:pPr>
      <w:r>
        <w:rPr>
          <w:rFonts w:hint="eastAsia"/>
          <w:sz w:val="21"/>
          <w:szCs w:val="24"/>
        </w:rPr>
        <w:t>屋面女儿墙部分原抹灰层粉化需拆除，防水卷材需重新铺装，图纸中所列屋面防水面积是否包含女儿墙上翻面积？若未包含上翻高度？</w:t>
      </w:r>
    </w:p>
    <w:p w14:paraId="46918977">
      <w:pPr>
        <w:numPr>
          <w:ilvl w:val="0"/>
          <w:numId w:val="0"/>
        </w:numPr>
        <w:spacing w:beforeLines="0" w:afterLines="0"/>
        <w:rPr>
          <w:rFonts w:hint="default"/>
          <w:sz w:val="21"/>
          <w:szCs w:val="24"/>
          <w:lang w:val="en-US"/>
        </w:rPr>
      </w:pPr>
      <w:r>
        <w:rPr>
          <w:rFonts w:hint="eastAsia"/>
          <w:color w:val="FF0000"/>
          <w:sz w:val="21"/>
          <w:szCs w:val="24"/>
          <w:lang w:val="en-US" w:eastAsia="zh-CN"/>
        </w:rPr>
        <w:t>答：防水卷材在屋面竖井、女儿墙阴阳转角处、天沟、檐沟应附加一层防水材料，且需上翻至少300，或至压顶之下。</w:t>
      </w:r>
    </w:p>
    <w:p w14:paraId="3ED7B897">
      <w:pPr>
        <w:numPr>
          <w:ilvl w:val="0"/>
          <w:numId w:val="5"/>
        </w:numPr>
        <w:spacing w:beforeLines="0" w:afterLines="0"/>
        <w:rPr>
          <w:rFonts w:hint="default"/>
          <w:sz w:val="21"/>
          <w:szCs w:val="24"/>
        </w:rPr>
      </w:pPr>
      <w:r>
        <w:rPr>
          <w:rFonts w:hint="eastAsia"/>
          <w:sz w:val="21"/>
          <w:szCs w:val="24"/>
        </w:rPr>
        <w:t>防水卷材是自粘还是热熔施工（常规修缮做法刷基层处理剂，刮或喷非固化橡胶沥青防水涂料，铺贴单面自粘防水卷材.）</w:t>
      </w:r>
    </w:p>
    <w:p w14:paraId="1F74C0BC">
      <w:pPr>
        <w:numPr>
          <w:ilvl w:val="0"/>
          <w:numId w:val="0"/>
        </w:numPr>
        <w:spacing w:beforeLines="0" w:afterLines="0"/>
        <w:rPr>
          <w:rFonts w:hint="default"/>
          <w:color w:val="FF0000"/>
          <w:sz w:val="21"/>
          <w:szCs w:val="24"/>
          <w:lang w:val="en-US" w:eastAsia="zh-CN"/>
        </w:rPr>
      </w:pPr>
      <w:r>
        <w:rPr>
          <w:rFonts w:hint="eastAsia"/>
          <w:color w:val="FF0000"/>
          <w:sz w:val="21"/>
          <w:szCs w:val="24"/>
          <w:lang w:val="en-US" w:eastAsia="zh-CN"/>
        </w:rPr>
        <w:t>答：可以。</w:t>
      </w:r>
    </w:p>
    <w:p w14:paraId="19C8518A">
      <w:pPr>
        <w:numPr>
          <w:ilvl w:val="0"/>
          <w:numId w:val="3"/>
        </w:numPr>
        <w:spacing w:beforeLines="0" w:afterLines="0"/>
        <w:rPr>
          <w:rFonts w:hint="eastAsia"/>
          <w:sz w:val="21"/>
          <w:szCs w:val="24"/>
        </w:rPr>
      </w:pPr>
      <w:r>
        <w:rPr>
          <w:rFonts w:hint="eastAsia"/>
          <w:sz w:val="21"/>
          <w:szCs w:val="24"/>
        </w:rPr>
        <w:t>内墙</w:t>
      </w:r>
    </w:p>
    <w:p w14:paraId="1D9816D8">
      <w:pPr>
        <w:numPr>
          <w:ilvl w:val="0"/>
          <w:numId w:val="6"/>
        </w:numPr>
        <w:spacing w:beforeLines="0" w:afterLines="0"/>
        <w:rPr>
          <w:rFonts w:hint="default"/>
          <w:sz w:val="21"/>
          <w:szCs w:val="24"/>
        </w:rPr>
      </w:pPr>
      <w:r>
        <w:rPr>
          <w:rFonts w:hint="eastAsia"/>
          <w:sz w:val="21"/>
          <w:szCs w:val="24"/>
        </w:rPr>
        <w:t>原墙面是否拆除至抹灰层（包含抹灰层拆除）</w:t>
      </w:r>
    </w:p>
    <w:p w14:paraId="384151B1">
      <w:pPr>
        <w:numPr>
          <w:ilvl w:val="0"/>
          <w:numId w:val="0"/>
        </w:numPr>
        <w:spacing w:beforeLines="0" w:afterLines="0"/>
        <w:rPr>
          <w:rFonts w:hint="default"/>
          <w:sz w:val="21"/>
          <w:szCs w:val="24"/>
        </w:rPr>
      </w:pPr>
      <w:r>
        <w:rPr>
          <w:rFonts w:hint="eastAsia"/>
          <w:color w:val="FF0000"/>
          <w:sz w:val="21"/>
          <w:szCs w:val="24"/>
          <w:lang w:val="en-US" w:eastAsia="zh-CN"/>
        </w:rPr>
        <w:t>答：根据现场情况确定，建议清理至基层墙体。</w:t>
      </w:r>
    </w:p>
    <w:p w14:paraId="5E200357">
      <w:pPr>
        <w:numPr>
          <w:ilvl w:val="0"/>
          <w:numId w:val="6"/>
        </w:numPr>
        <w:spacing w:beforeLines="0" w:afterLines="0"/>
        <w:rPr>
          <w:rFonts w:hint="default"/>
          <w:sz w:val="21"/>
          <w:szCs w:val="24"/>
        </w:rPr>
      </w:pPr>
      <w:r>
        <w:rPr>
          <w:rFonts w:hint="eastAsia"/>
          <w:sz w:val="21"/>
          <w:szCs w:val="24"/>
        </w:rPr>
        <w:t>图纸中内墙面积按统一面积计入，无法区分卫生间墙面面积多少、常规房间面积？</w:t>
      </w:r>
    </w:p>
    <w:p w14:paraId="40238177">
      <w:pPr>
        <w:numPr>
          <w:ilvl w:val="0"/>
          <w:numId w:val="0"/>
        </w:numPr>
        <w:spacing w:beforeLines="0" w:afterLines="0"/>
        <w:rPr>
          <w:rFonts w:hint="default"/>
          <w:sz w:val="21"/>
          <w:szCs w:val="24"/>
        </w:rPr>
      </w:pPr>
      <w:r>
        <w:rPr>
          <w:rFonts w:hint="eastAsia"/>
          <w:color w:val="FF0000"/>
          <w:sz w:val="21"/>
          <w:szCs w:val="24"/>
          <w:lang w:val="en-US" w:eastAsia="zh-CN"/>
        </w:rPr>
        <w:t>答：暂按1：9计价。</w:t>
      </w:r>
      <w:bookmarkStart w:id="0" w:name="_GoBack"/>
      <w:bookmarkEnd w:id="0"/>
    </w:p>
    <w:p w14:paraId="42495E1D">
      <w:pPr>
        <w:numPr>
          <w:ilvl w:val="0"/>
          <w:numId w:val="0"/>
        </w:numPr>
        <w:spacing w:beforeLines="0" w:afterLines="0"/>
        <w:rPr>
          <w:rFonts w:hint="default"/>
          <w:sz w:val="21"/>
          <w:szCs w:val="24"/>
        </w:rPr>
      </w:pPr>
    </w:p>
    <w:p w14:paraId="04440CC8">
      <w:pPr>
        <w:numPr>
          <w:ilvl w:val="0"/>
          <w:numId w:val="3"/>
        </w:numPr>
        <w:spacing w:beforeLines="0" w:afterLines="0"/>
        <w:rPr>
          <w:rFonts w:hint="eastAsia"/>
          <w:sz w:val="21"/>
          <w:szCs w:val="24"/>
        </w:rPr>
      </w:pPr>
      <w:r>
        <w:rPr>
          <w:rFonts w:hint="eastAsia"/>
          <w:sz w:val="21"/>
          <w:szCs w:val="24"/>
        </w:rPr>
        <w:t>顶棚</w:t>
      </w:r>
    </w:p>
    <w:p w14:paraId="0C69C093">
      <w:pPr>
        <w:numPr>
          <w:ilvl w:val="0"/>
          <w:numId w:val="0"/>
        </w:numPr>
        <w:spacing w:beforeLines="0" w:afterLines="0"/>
        <w:rPr>
          <w:rFonts w:hint="default"/>
          <w:sz w:val="21"/>
          <w:szCs w:val="24"/>
        </w:rPr>
      </w:pPr>
      <w:r>
        <w:rPr>
          <w:rFonts w:hint="default"/>
          <w:sz w:val="21"/>
          <w:szCs w:val="24"/>
        </w:rPr>
        <w:drawing>
          <wp:inline distT="0" distB="0" distL="114300" distR="114300">
            <wp:extent cx="4673600" cy="3168015"/>
            <wp:effectExtent l="0" t="0" r="12700" b="13335"/>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6"/>
                    <a:stretch>
                      <a:fillRect/>
                    </a:stretch>
                  </pic:blipFill>
                  <pic:spPr>
                    <a:xfrm>
                      <a:off x="0" y="0"/>
                      <a:ext cx="4673600" cy="3168015"/>
                    </a:xfrm>
                    <a:prstGeom prst="rect">
                      <a:avLst/>
                    </a:prstGeom>
                    <a:noFill/>
                    <a:ln>
                      <a:noFill/>
                    </a:ln>
                  </pic:spPr>
                </pic:pic>
              </a:graphicData>
            </a:graphic>
          </wp:inline>
        </w:drawing>
      </w:r>
    </w:p>
    <w:p w14:paraId="16B9A5D6">
      <w:pPr>
        <w:numPr>
          <w:ilvl w:val="0"/>
          <w:numId w:val="7"/>
        </w:numPr>
        <w:spacing w:beforeLines="0" w:afterLines="0"/>
        <w:rPr>
          <w:rFonts w:hint="eastAsia"/>
          <w:sz w:val="21"/>
          <w:szCs w:val="24"/>
        </w:rPr>
      </w:pPr>
      <w:r>
        <w:rPr>
          <w:rFonts w:hint="eastAsia"/>
          <w:sz w:val="21"/>
          <w:szCs w:val="24"/>
        </w:rPr>
        <w:t>卫生间铝合金吊顶修缮面积、常规房间（无吊顶）修缮面积和公共房间（石膏板）吊顶面积图纸未区分无法算量</w:t>
      </w:r>
      <w:r>
        <w:rPr>
          <w:rFonts w:hint="eastAsia"/>
          <w:sz w:val="21"/>
          <w:szCs w:val="24"/>
          <w:lang w:eastAsia="zh-CN"/>
        </w:rPr>
        <w:t>。</w:t>
      </w:r>
    </w:p>
    <w:p w14:paraId="3292D00B">
      <w:pPr>
        <w:numPr>
          <w:ilvl w:val="0"/>
          <w:numId w:val="0"/>
        </w:numPr>
        <w:spacing w:beforeLines="0" w:afterLines="0"/>
        <w:rPr>
          <w:rFonts w:hint="eastAsia"/>
          <w:color w:val="FF0000"/>
          <w:sz w:val="21"/>
          <w:szCs w:val="24"/>
          <w:lang w:val="en-US" w:eastAsia="zh-CN"/>
        </w:rPr>
      </w:pPr>
      <w:r>
        <w:rPr>
          <w:rFonts w:hint="eastAsia"/>
          <w:color w:val="FF0000"/>
          <w:sz w:val="21"/>
          <w:szCs w:val="24"/>
          <w:lang w:val="en-US" w:eastAsia="zh-CN"/>
        </w:rPr>
        <w:t>答：具体吊顶面积，根据现场情况确定。</w:t>
      </w:r>
    </w:p>
    <w:p w14:paraId="599EA420">
      <w:pPr>
        <w:numPr>
          <w:ilvl w:val="0"/>
          <w:numId w:val="0"/>
        </w:numPr>
        <w:spacing w:beforeLines="0" w:afterLines="0"/>
        <w:rPr>
          <w:rFonts w:hint="default"/>
          <w:color w:val="FF0000"/>
          <w:sz w:val="21"/>
          <w:szCs w:val="24"/>
          <w:lang w:val="en-US" w:eastAsia="zh-CN"/>
        </w:rPr>
      </w:pPr>
      <w:r>
        <w:rPr>
          <w:rFonts w:hint="eastAsia"/>
          <w:color w:val="FF0000"/>
          <w:sz w:val="21"/>
          <w:szCs w:val="24"/>
          <w:lang w:val="en-US" w:eastAsia="zh-CN"/>
        </w:rPr>
        <w:t>平顶1，平顶2，平顶3面积暂按3:3:4考虑计价。</w:t>
      </w:r>
    </w:p>
    <w:p w14:paraId="3D0B4CE3">
      <w:pPr>
        <w:overflowPunct w:val="0"/>
        <w:ind w:firstLine="896" w:firstLineChars="427"/>
        <w:rPr>
          <w:rFonts w:hint="default" w:ascii="Times New Roman" w:hAnsi="Times New Roman" w:cs="Times New Roman"/>
          <w:szCs w:val="21"/>
          <w:lang w:val="en-US" w:eastAsia="zh-CN"/>
        </w:rPr>
      </w:pPr>
    </w:p>
    <w:p w14:paraId="5414F0F7">
      <w:pPr>
        <w:overflowPunct w:val="0"/>
        <w:ind w:firstLine="896" w:firstLineChars="427"/>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3.2其他详见招标清单。</w:t>
      </w:r>
    </w:p>
    <w:p w14:paraId="48D757DF">
      <w:pPr>
        <w:overflowPunct w:val="0"/>
        <w:textAlignment w:val="baseline"/>
        <w:rPr>
          <w:rFonts w:ascii="Times New Roman" w:hAnsi="Times New Roman" w:cs="Times New Roman"/>
          <w:szCs w:val="21"/>
        </w:rPr>
      </w:pPr>
    </w:p>
    <w:p w14:paraId="7EEEB69D">
      <w:pPr>
        <w:overflowPunct w:val="0"/>
        <w:ind w:firstLine="480"/>
        <w:textAlignment w:val="baseline"/>
        <w:rPr>
          <w:rFonts w:hint="default" w:ascii="Times New Roman" w:hAnsi="Times New Roman" w:cs="Times New Roman" w:eastAsiaTheme="minorEastAsia"/>
          <w:szCs w:val="21"/>
          <w:lang w:val="en-US" w:eastAsia="zh-CN"/>
        </w:rPr>
      </w:pPr>
      <w:r>
        <w:rPr>
          <w:rFonts w:ascii="Times New Roman" w:hAnsi="Times New Roman" w:cs="Times New Roman"/>
          <w:szCs w:val="21"/>
        </w:rPr>
        <w:t>附样：</w:t>
      </w:r>
      <w:r>
        <w:rPr>
          <w:rFonts w:hint="eastAsia" w:ascii="Times New Roman" w:hAnsi="Times New Roman" w:cs="Times New Roman"/>
          <w:szCs w:val="21"/>
          <w:lang w:val="en-US" w:eastAsia="zh-CN"/>
        </w:rPr>
        <w:t>工程量清单、</w:t>
      </w:r>
      <w:r>
        <w:rPr>
          <w:rFonts w:ascii="Times New Roman" w:hAnsi="Times New Roman" w:cs="Times New Roman"/>
          <w:szCs w:val="21"/>
        </w:rPr>
        <w:t>最高投标限价</w:t>
      </w:r>
    </w:p>
    <w:p w14:paraId="6E331DFA">
      <w:pPr>
        <w:overflowPunct w:val="0"/>
        <w:textAlignment w:val="baseline"/>
        <w:rPr>
          <w:rFonts w:ascii="Times New Roman" w:hAnsi="Times New Roman" w:cs="Times New Roman"/>
          <w:szCs w:val="21"/>
        </w:rPr>
      </w:pPr>
    </w:p>
    <w:p w14:paraId="4B684DBB">
      <w:pPr>
        <w:overflowPunct w:val="0"/>
        <w:textAlignment w:val="baseline"/>
        <w:rPr>
          <w:rFonts w:ascii="Times New Roman" w:hAnsi="Times New Roman" w:cs="Times New Roman"/>
          <w:szCs w:val="21"/>
        </w:rPr>
      </w:pPr>
    </w:p>
    <w:p w14:paraId="329BCE12">
      <w:pPr>
        <w:overflowPunct w:val="0"/>
        <w:textAlignment w:val="baseline"/>
        <w:rPr>
          <w:rFonts w:ascii="Times New Roman" w:hAnsi="Times New Roman" w:cs="Times New Roman"/>
          <w:szCs w:val="21"/>
        </w:rPr>
      </w:pPr>
    </w:p>
    <w:p w14:paraId="7E6870ED">
      <w:pPr>
        <w:overflowPunct w:val="0"/>
        <w:ind w:firstLine="524"/>
        <w:textAlignment w:val="baseline"/>
        <w:rPr>
          <w:rFonts w:ascii="Times New Roman" w:hAnsi="Times New Roman" w:cs="Times New Roman"/>
          <w:szCs w:val="21"/>
        </w:rPr>
      </w:pPr>
      <w:r>
        <w:rPr>
          <w:rFonts w:ascii="Times New Roman" w:hAnsi="Times New Roman" w:cs="Times New Roman"/>
          <w:szCs w:val="21"/>
        </w:rPr>
        <w:t>项目负责人（签字盖章）：</w:t>
      </w:r>
    </w:p>
    <w:p w14:paraId="4D2163DB">
      <w:pPr>
        <w:overflowPunct w:val="0"/>
        <w:ind w:firstLine="524"/>
        <w:textAlignment w:val="baseline"/>
        <w:rPr>
          <w:rFonts w:ascii="Times New Roman" w:hAnsi="Times New Roman" w:cs="Times New Roman"/>
          <w:szCs w:val="21"/>
        </w:rPr>
      </w:pPr>
    </w:p>
    <w:p w14:paraId="2A9DE3AB">
      <w:pPr>
        <w:overflowPunct w:val="0"/>
        <w:textAlignment w:val="baseline"/>
        <w:rPr>
          <w:rFonts w:ascii="Times New Roman" w:hAnsi="Times New Roman" w:cs="Times New Roman"/>
          <w:szCs w:val="21"/>
        </w:rPr>
      </w:pPr>
      <w:r>
        <w:rPr>
          <w:rFonts w:ascii="Times New Roman" w:hAnsi="Times New Roman" w:cs="Times New Roman"/>
          <w:szCs w:val="21"/>
        </w:rPr>
        <w:t xml:space="preserve">　                                </w:t>
      </w:r>
    </w:p>
    <w:p w14:paraId="2206C173">
      <w:pPr>
        <w:overflowPunct w:val="0"/>
        <w:jc w:val="center"/>
        <w:rPr>
          <w:rFonts w:ascii="Times New Roman" w:hAnsi="Times New Roman" w:cs="Times New Roman"/>
          <w:szCs w:val="21"/>
        </w:rPr>
      </w:pPr>
    </w:p>
    <w:p w14:paraId="1BD5BBF2">
      <w:pPr>
        <w:wordWrap w:val="0"/>
        <w:overflowPunct w:val="0"/>
        <w:jc w:val="center"/>
        <w:rPr>
          <w:rFonts w:ascii="Times New Roman" w:hAnsi="Times New Roman" w:cs="Times New Roman"/>
          <w:szCs w:val="21"/>
        </w:rPr>
      </w:pPr>
      <w:r>
        <w:rPr>
          <w:rFonts w:hint="eastAsia" w:ascii="Times New Roman" w:hAnsi="Times New Roman" w:cs="Times New Roman"/>
          <w:szCs w:val="21"/>
          <w:lang w:val="en-US" w:eastAsia="zh-CN"/>
        </w:rPr>
        <w:t xml:space="preserve">                                               </w:t>
      </w:r>
      <w:r>
        <w:rPr>
          <w:rFonts w:hint="eastAsia" w:ascii="Times New Roman" w:hAnsi="Times New Roman" w:cs="Times New Roman"/>
          <w:szCs w:val="21"/>
          <w:lang w:eastAsia="zh-CN"/>
        </w:rPr>
        <w:t>江苏九镜湖工程管理有限公司</w:t>
      </w:r>
      <w:r>
        <w:rPr>
          <w:rFonts w:hint="eastAsia" w:ascii="Times New Roman" w:hAnsi="Times New Roman" w:cs="Times New Roman"/>
          <w:szCs w:val="21"/>
        </w:rPr>
        <w:t>（</w:t>
      </w:r>
      <w:r>
        <w:rPr>
          <w:rFonts w:ascii="Times New Roman" w:hAnsi="Times New Roman" w:cs="Times New Roman"/>
          <w:szCs w:val="21"/>
        </w:rPr>
        <w:t>公章）</w:t>
      </w:r>
    </w:p>
    <w:p w14:paraId="52E5B9B6">
      <w:pPr>
        <w:overflowPunct w:val="0"/>
        <w:jc w:val="right"/>
        <w:textAlignment w:val="baseline"/>
        <w:rPr>
          <w:rFonts w:ascii="Times New Roman" w:hAnsi="Times New Roman" w:cs="Times New Roman"/>
          <w:szCs w:val="21"/>
        </w:rPr>
      </w:pPr>
    </w:p>
    <w:p w14:paraId="0E0C36C2">
      <w:pPr>
        <w:overflowPunct w:val="0"/>
        <w:ind w:right="210"/>
        <w:jc w:val="right"/>
        <w:textAlignment w:val="baseline"/>
        <w:rPr>
          <w:rFonts w:ascii="Times New Roman" w:hAnsi="Times New Roman" w:cs="Times New Roman"/>
          <w:szCs w:val="21"/>
        </w:rPr>
      </w:pPr>
      <w:r>
        <w:rPr>
          <w:rFonts w:hint="eastAsia" w:ascii="宋体" w:hAnsi="宋体" w:eastAsia="宋体" w:cs="Times New Roman"/>
          <w:szCs w:val="21"/>
          <w:lang w:val="en-US" w:eastAsia="zh-CN"/>
        </w:rPr>
        <w:t>2026</w:t>
      </w:r>
      <w:r>
        <w:rPr>
          <w:rFonts w:ascii="Times New Roman" w:hAnsi="Times New Roman" w:cs="Times New Roman"/>
          <w:szCs w:val="21"/>
        </w:rPr>
        <w:t>年</w:t>
      </w:r>
      <w:r>
        <w:rPr>
          <w:rFonts w:hint="eastAsia" w:ascii="宋体" w:hAnsi="宋体" w:eastAsia="宋体" w:cs="Times New Roman"/>
          <w:szCs w:val="21"/>
          <w:lang w:val="en-US" w:eastAsia="zh-CN"/>
        </w:rPr>
        <w:t>2</w:t>
      </w:r>
      <w:r>
        <w:rPr>
          <w:rFonts w:ascii="Times New Roman" w:hAnsi="Times New Roman" w:cs="Times New Roman"/>
          <w:szCs w:val="21"/>
        </w:rPr>
        <w:t>月</w:t>
      </w:r>
    </w:p>
    <w:p w14:paraId="215B91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B2BD71"/>
    <w:multiLevelType w:val="singleLevel"/>
    <w:tmpl w:val="CAB2BD71"/>
    <w:lvl w:ilvl="0" w:tentative="0">
      <w:start w:val="1"/>
      <w:numFmt w:val="decimal"/>
      <w:suff w:val="nothing"/>
      <w:lvlText w:val="%1、"/>
      <w:lvlJc w:val="left"/>
    </w:lvl>
  </w:abstractNum>
  <w:abstractNum w:abstractNumId="1">
    <w:nsid w:val="FBB0264A"/>
    <w:multiLevelType w:val="multilevel"/>
    <w:tmpl w:val="FBB0264A"/>
    <w:lvl w:ilvl="0" w:tentative="0">
      <w:start w:val="1"/>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00000003"/>
    <w:multiLevelType w:val="singleLevel"/>
    <w:tmpl w:val="00000003"/>
    <w:lvl w:ilvl="0" w:tentative="0">
      <w:start w:val="1"/>
      <w:numFmt w:val="chineseCounting"/>
      <w:suff w:val="nothing"/>
      <w:lvlText w:val="%1、"/>
      <w:lvlJc w:val="left"/>
    </w:lvl>
  </w:abstractNum>
  <w:abstractNum w:abstractNumId="3">
    <w:nsid w:val="1FEA3BF6"/>
    <w:multiLevelType w:val="multilevel"/>
    <w:tmpl w:val="1FEA3BF6"/>
    <w:lvl w:ilvl="0" w:tentative="0">
      <w:start w:val="1"/>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4">
    <w:nsid w:val="2FC2735A"/>
    <w:multiLevelType w:val="multilevel"/>
    <w:tmpl w:val="2FC2735A"/>
    <w:lvl w:ilvl="0" w:tentative="0">
      <w:start w:val="1"/>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5">
    <w:nsid w:val="4A8509A3"/>
    <w:multiLevelType w:val="multilevel"/>
    <w:tmpl w:val="4A8509A3"/>
    <w:lvl w:ilvl="0" w:tentative="0">
      <w:start w:val="1"/>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6">
    <w:nsid w:val="52331278"/>
    <w:multiLevelType w:val="multilevel"/>
    <w:tmpl w:val="52331278"/>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2"/>
  </w:num>
  <w:num w:numId="2">
    <w:abstractNumId w:val="0"/>
  </w:num>
  <w:num w:numId="3">
    <w:abstractNumId w:val="6"/>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kYmM0ODI2ODc4NDNlZWY3OTI5MDk0MTY5MDA5ZjgifQ=="/>
  </w:docVars>
  <w:rsids>
    <w:rsidRoot w:val="00000000"/>
    <w:rsid w:val="21730E79"/>
    <w:rsid w:val="221D6ADB"/>
    <w:rsid w:val="2E6B010D"/>
    <w:rsid w:val="3714121A"/>
    <w:rsid w:val="3BCC4A68"/>
    <w:rsid w:val="3DDD05C3"/>
    <w:rsid w:val="405D0AE2"/>
    <w:rsid w:val="44F820C0"/>
    <w:rsid w:val="492E289A"/>
    <w:rsid w:val="4A5E729F"/>
    <w:rsid w:val="4CB474F1"/>
    <w:rsid w:val="4F7C3676"/>
    <w:rsid w:val="5F314FAD"/>
    <w:rsid w:val="62A45A15"/>
    <w:rsid w:val="6DB85989"/>
    <w:rsid w:val="76897DEF"/>
    <w:rsid w:val="7EA51E18"/>
    <w:rsid w:val="7FE01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1"/>
    <w:pPr>
      <w:autoSpaceDE w:val="0"/>
      <w:autoSpaceDN w:val="0"/>
      <w:jc w:val="left"/>
    </w:pPr>
    <w:rPr>
      <w:rFonts w:ascii="宋体" w:hAnsi="宋体" w:eastAsia="宋体" w:cs="宋体"/>
      <w:kern w:val="0"/>
      <w:sz w:val="24"/>
      <w:szCs w:val="24"/>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1424</Words>
  <Characters>1524</Characters>
  <Lines>0</Lines>
  <Paragraphs>0</Paragraphs>
  <TotalTime>6</TotalTime>
  <ScaleCrop>false</ScaleCrop>
  <LinksUpToDate>false</LinksUpToDate>
  <CharactersWithSpaces>1613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2023-12-29T02:05:00Z</dcterms:created>
  <dc:creator>Administrator</dc:creator>
  <cp:lastModifiedBy>沁梦</cp:lastModifiedBy>
  <dcterms:modified xsi:type="dcterms:W3CDTF">2026-03-14T11:32:44Z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88F39A663A644F858A09A575C31E421E_12</vt:lpwstr>
  </property>
  <property fmtid="{D5CDD505-2E9C-101B-9397-08002B2CF9AE}" pid="4" name="KSOTemplateDocerSaveRecord">
    <vt:lpwstr>eyJoZGlkIjoiY2UyYzFhY2UxNDMyNWE4YmViNWNhNjk2M2YxMmFiYmEiLCJ1c2VySWQiOiIxMjk0NDk4ODYzIn0=</vt:lpwstr>
  </property>
</Properties>
</file>