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customXml/itemProps4.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256" w:right="6" w:firstLine="624"/>
        <w:jc w:val="both"/>
        <w:widowControl/>
        <w:rPr>
          <w:rFonts w:hint="default" w:ascii="Times New Roman" w:hAnsi="Times New Roman" w:eastAsia="仿宋_GB2312" w:cs="Times New Roman"/>
          <w:color w:val="auto"/>
          <w:sz w:val="28"/>
          <w:szCs w:val="21"/>
          <w:highlight w:val="none"/>
          <w:lang w:val="en-US" w:eastAsia="zh-CN" w:bidi="ar-SA"/>
        </w:rPr>
      </w:pPr>
      <w:r>
        <w:rPr>
          <w:rFonts w:hint="default" w:ascii="Times New Roman" w:hAnsi="Times New Roman" w:eastAsia="仿宋_GB2312" w:cs="Times New Roman"/>
          <w:color w:val="auto"/>
          <w:sz w:val="28"/>
          <w:szCs w:val="21"/>
          <w:highlight w:val="none"/>
          <w:lang w:val="en-US" w:eastAsia="zh-CN" w:bidi="ar-SA"/>
        </w:rPr>
      </w:r>
      <w:r/>
    </w:p>
    <w:p>
      <w:pPr>
        <w:ind w:left="256" w:right="6" w:firstLine="624"/>
        <w:jc w:val="both"/>
        <w:rPr>
          <w:rFonts w:hint="default" w:ascii="Calibri" w:hAnsi="Calibri" w:eastAsia="仿宋_GB2312" w:cs="Times New Roman"/>
          <w:color w:val="auto"/>
          <w:sz w:val="28"/>
          <w:szCs w:val="20"/>
          <w:highlight w:val="none"/>
          <w:lang w:val="en-US" w:eastAsia="zh-CN" w:bidi="ar-SA"/>
        </w:rPr>
      </w:pPr>
      <w:r>
        <w:rPr>
          <w:rFonts w:hint="default" w:ascii="Calibri" w:hAnsi="Calibri" w:eastAsia="仿宋_GB2312" w:cs="Times New Roman"/>
          <w:color w:val="auto"/>
          <w:sz w:val="28"/>
          <w:szCs w:val="20"/>
          <w:highlight w:val="none"/>
          <w:lang w:val="en-US" w:eastAsia="zh-CN" w:bidi="ar-SA"/>
        </w:rPr>
      </w:r>
      <w:r/>
    </w:p>
    <w:p>
      <w:pPr>
        <w:ind w:left="256" w:right="6" w:firstLine="624"/>
        <w:jc w:val="both"/>
        <w:rPr>
          <w:rFonts w:hint="default" w:ascii="Calibri" w:hAnsi="Calibri" w:eastAsia="仿宋_GB2312" w:cs="Times New Roman"/>
          <w:color w:val="auto"/>
          <w:sz w:val="28"/>
          <w:szCs w:val="20"/>
          <w:highlight w:val="none"/>
          <w:lang w:val="en-US" w:eastAsia="zh-CN" w:bidi="ar-SA"/>
        </w:rPr>
      </w:pPr>
      <w:r>
        <w:rPr>
          <w:rFonts w:hint="default" w:ascii="Calibri" w:hAnsi="Calibri" w:eastAsia="仿宋_GB2312" w:cs="Times New Roman"/>
          <w:color w:val="auto"/>
          <w:sz w:val="28"/>
          <w:szCs w:val="20"/>
          <w:highlight w:val="none"/>
          <w:lang w:val="en-US" w:eastAsia="zh-CN" w:bidi="ar-SA"/>
        </w:rPr>
      </w:r>
      <w:r/>
    </w:p>
    <w:p>
      <w:pPr>
        <w:jc w:val="center"/>
        <w:spacing w:line="360" w:lineRule="auto"/>
        <w:widowControl w:val="off"/>
        <w:rPr>
          <w:rFonts w:hint="default" w:ascii="宋体" w:hAnsi="宋体" w:eastAsia="宋体" w:cs="Times New Roman"/>
          <w:color w:val="auto"/>
          <w:sz w:val="110"/>
          <w:highlight w:val="none"/>
          <w:lang w:val="en-US" w:eastAsia="zh-CN" w:bidi="ar-SA"/>
        </w:rPr>
      </w:pPr>
      <w:r>
        <w:rPr>
          <w:rFonts w:hint="default" w:ascii="宋体" w:hAnsi="宋体" w:eastAsia="宋体" w:cs="Times New Roman"/>
          <w:color w:val="auto"/>
          <w:sz w:val="110"/>
          <w:szCs w:val="21"/>
          <w:highlight w:val="none"/>
          <w:lang w:val="en-US" w:eastAsia="zh-CN" w:bidi="ar-SA"/>
        </w:rPr>
        <w:t xml:space="preserve">竞争性磋商文件</w:t>
      </w:r>
      <w:r/>
    </w:p>
    <w:p>
      <w:pPr>
        <w:jc w:val="center"/>
        <w:widowControl w:val="off"/>
        <w:rPr>
          <w:rFonts w:hint="default" w:ascii="宋体" w:hAnsi="宋体" w:eastAsia="宋体" w:cs="Times New Roman"/>
          <w:b/>
          <w:color w:val="auto"/>
          <w:sz w:val="32"/>
          <w:highlight w:val="none"/>
          <w:lang w:val="en-US" w:eastAsia="zh-CN" w:bidi="ar-SA"/>
        </w:rPr>
      </w:pPr>
      <w:r>
        <w:rPr>
          <w:rFonts w:hint="default" w:ascii="宋体" w:hAnsi="宋体" w:eastAsia="宋体" w:cs="Times New Roman"/>
          <w:color w:val="auto"/>
          <w:highlight w:val="none"/>
          <w:lang w:val="en-US" w:eastAsia="zh-CN" w:bidi="ar-SA"/>
        </w:rPr>
        <mc:AlternateContent>
          <mc:Choice Requires="wpg">
            <w:drawing>
              <wp:inline xmlns:wp="http://schemas.openxmlformats.org/drawingml/2006/wordprocessingDrawing" distT="0" distB="0" distL="0" distR="0">
                <wp:extent cx="2847975" cy="2857500"/>
                <wp:effectExtent l="0" t="0" r="9525" b="0"/>
                <wp:docPr id="9" name="图片 1" descr="bc88c0c7ae2df5d2e6b53f15203df8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 descr="bc88c0c7ae2df5d2e6b53f15203df8b"/>
                        <pic:cNvPicPr>
                          <a:picLocks noChangeAspect="1"/>
                        </pic:cNvPicPr>
                        <pic:nvPr/>
                      </pic:nvPicPr>
                      <pic:blipFill>
                        <a:blip r:embed="rId24"/>
                        <a:stretch/>
                      </pic:blipFill>
                      <pic:spPr bwMode="auto">
                        <a:xfrm>
                          <a:off x="0" y="0"/>
                          <a:ext cx="2847975" cy="2857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224.2pt;height:225.0pt;mso-wrap-distance-left:0.0pt;mso-wrap-distance-top:0.0pt;mso-wrap-distance-right:0.0pt;mso-wrap-distance-bottom:0.0pt;" stroked="f">
                <v:path textboxrect="0,0,0,0"/>
                <v:imagedata r:id="rId24" o:title=""/>
              </v:shape>
            </w:pict>
          </mc:Fallback>
        </mc:AlternateContent>
      </w:r>
      <w:r/>
    </w:p>
    <w:p>
      <w:pPr>
        <w:ind w:firstLine="630"/>
        <w:jc w:val="left"/>
        <w:widowControl w:val="off"/>
        <w:rPr>
          <w:rFonts w:hint="default" w:ascii="宋体" w:hAnsi="宋体" w:eastAsia="宋体" w:cs="Times New Roman"/>
          <w:color w:val="auto"/>
          <w:sz w:val="32"/>
          <w:highlight w:val="none"/>
          <w:lang w:val="en-US" w:eastAsia="zh-CN" w:bidi="ar-SA"/>
        </w:rPr>
      </w:pPr>
      <w:r>
        <w:rPr>
          <w:rFonts w:hint="default" w:ascii="宋体" w:hAnsi="宋体" w:eastAsia="宋体" w:cs="Times New Roman"/>
          <w:color w:val="auto"/>
          <w:sz w:val="32"/>
          <w:highlight w:val="none"/>
          <w:lang w:val="en-US" w:eastAsia="zh-CN" w:bidi="ar-SA"/>
        </w:rPr>
      </w:r>
      <w:r/>
    </w:p>
    <w:p>
      <w:pPr>
        <w:ind w:left="2877" w:hanging="1600"/>
        <w:jc w:val="left"/>
        <w:spacing w:line="360" w:lineRule="auto"/>
        <w:widowControl w:val="off"/>
        <w:rPr>
          <w:rFonts w:hint="default" w:ascii="宋体" w:hAnsi="宋体" w:eastAsia="宋体" w:cs="Times New Roman"/>
          <w:color w:val="auto"/>
          <w:sz w:val="32"/>
          <w:highlight w:val="none"/>
          <w:lang w:val="en-US" w:eastAsia="zh-CN" w:bidi="ar-SA"/>
        </w:rPr>
      </w:pPr>
      <w:r>
        <w:rPr>
          <w:rFonts w:hint="default" w:ascii="宋体" w:hAnsi="宋体" w:eastAsia="宋体" w:cs="Times New Roman"/>
          <w:color w:val="auto"/>
          <w:sz w:val="32"/>
          <w:szCs w:val="21"/>
          <w:highlight w:val="none"/>
          <w:lang w:val="en-US" w:eastAsia="zh-CN" w:bidi="ar-SA"/>
        </w:rPr>
        <w:t xml:space="preserve">项目名称：</w:t>
      </w:r>
      <w:r>
        <w:rPr>
          <w:rFonts w:hint="eastAsia" w:ascii="宋体" w:hAnsi="宋体" w:cs="Times New Roman"/>
          <w:color w:val="auto"/>
          <w:sz w:val="32"/>
          <w:szCs w:val="21"/>
          <w:highlight w:val="none"/>
          <w:lang w:val="en-US" w:eastAsia="zh-CN" w:bidi="ar-SA"/>
        </w:rPr>
        <w:t xml:space="preserve">苏堤北路、凤鸣路、及青年路（故黄河-复兴路）工后道路恢复工程</w:t>
      </w:r>
      <w:r/>
    </w:p>
    <w:p>
      <w:pPr>
        <w:ind w:left="840" w:firstLine="420"/>
        <w:jc w:val="left"/>
        <w:spacing w:line="360" w:lineRule="auto"/>
        <w:widowControl w:val="off"/>
        <w:rPr>
          <w:rFonts w:hint="default" w:ascii="宋体" w:hAnsi="宋体" w:eastAsia="宋体" w:cs="Times New Roman"/>
          <w:color w:val="auto"/>
          <w:sz w:val="32"/>
          <w:highlight w:val="none"/>
          <w:lang w:val="en-US" w:eastAsia="zh-CN" w:bidi="ar-SA"/>
        </w:rPr>
      </w:pPr>
      <w:r>
        <w:rPr>
          <w:rFonts w:hint="default" w:ascii="宋体" w:hAnsi="宋体" w:eastAsia="宋体" w:cs="Times New Roman"/>
          <w:color w:val="auto"/>
          <w:sz w:val="32"/>
          <w:szCs w:val="21"/>
          <w:highlight w:val="none"/>
          <w:lang w:val="en-US" w:eastAsia="zh-CN" w:bidi="ar-SA"/>
        </w:rPr>
        <w:t xml:space="preserve">项目编号：</w:t>
      </w:r>
      <w:r>
        <w:rPr>
          <w:rFonts w:hint="eastAsia" w:ascii="宋体" w:hAnsi="宋体" w:cs="Times New Roman"/>
          <w:color w:val="auto"/>
          <w:sz w:val="32"/>
          <w:szCs w:val="22"/>
          <w:highlight w:val="none"/>
          <w:lang w:val="en-US" w:eastAsia="zh-CN" w:bidi="ar-SA"/>
        </w:rPr>
        <w:t xml:space="preserve">JSZC-320300-RHGC-C2026-0005</w:t>
      </w:r>
      <w:r/>
    </w:p>
    <w:p>
      <w:pPr>
        <w:ind w:left="840" w:firstLine="420"/>
        <w:jc w:val="left"/>
        <w:spacing w:line="360" w:lineRule="auto"/>
        <w:widowControl w:val="off"/>
        <w:rPr>
          <w:rFonts w:hint="default" w:ascii="宋体" w:hAnsi="宋体" w:eastAsia="宋体" w:cs="Times New Roman"/>
          <w:color w:val="auto"/>
          <w:sz w:val="32"/>
          <w:highlight w:val="none"/>
          <w:lang w:val="en-US" w:eastAsia="zh-CN" w:bidi="ar-SA"/>
        </w:rPr>
      </w:pPr>
      <w:r>
        <w:rPr>
          <w:rFonts w:hint="default" w:ascii="宋体" w:hAnsi="宋体" w:eastAsia="宋体" w:cs="Times New Roman"/>
          <w:color w:val="auto"/>
          <w:sz w:val="32"/>
          <w:szCs w:val="21"/>
          <w:highlight w:val="none"/>
          <w:lang w:val="en-US" w:eastAsia="zh-CN" w:bidi="ar-SA"/>
        </w:rPr>
        <w:t xml:space="preserve">采 购 人：</w:t>
      </w:r>
      <w:r>
        <w:rPr>
          <w:rFonts w:hint="eastAsia" w:ascii="宋体" w:hAnsi="宋体" w:eastAsia="宋体" w:cs="Times New Roman"/>
          <w:color w:val="auto"/>
          <w:sz w:val="32"/>
          <w:szCs w:val="21"/>
          <w:highlight w:val="none"/>
          <w:lang w:val="en-US" w:eastAsia="zh-CN" w:bidi="ar-SA"/>
        </w:rPr>
        <w:t xml:space="preserve">徐州市市政管理中心</w:t>
      </w:r>
      <w:r/>
    </w:p>
    <w:p>
      <w:pPr>
        <w:jc w:val="left"/>
        <w:widowControl w:val="off"/>
        <w:rPr>
          <w:rFonts w:hint="default" w:ascii="宋体" w:hAnsi="宋体" w:eastAsia="宋体" w:cs="Times New Roman"/>
          <w:color w:val="auto"/>
          <w:sz w:val="32"/>
          <w:highlight w:val="none"/>
          <w:lang w:val="en-US" w:eastAsia="zh-CN" w:bidi="ar-SA"/>
        </w:rPr>
      </w:pPr>
      <w:r>
        <w:rPr>
          <w:rFonts w:hint="default" w:ascii="宋体" w:hAnsi="宋体" w:eastAsia="宋体" w:cs="Times New Roman"/>
          <w:color w:val="auto"/>
          <w:sz w:val="32"/>
          <w:highlight w:val="none"/>
          <w:lang w:val="en-US" w:eastAsia="zh-CN" w:bidi="ar-SA"/>
        </w:rPr>
      </w:r>
      <w:r/>
    </w:p>
    <w:p>
      <w:pPr>
        <w:ind w:firstLine="960"/>
        <w:jc w:val="center"/>
        <w:widowControl w:val="off"/>
        <w:rPr>
          <w:rFonts w:hint="default" w:ascii="宋体" w:hAnsi="宋体" w:eastAsia="宋体" w:cs="Times New Roman"/>
          <w:color w:val="auto"/>
          <w:sz w:val="32"/>
          <w:highlight w:val="none"/>
          <w:lang w:val="en-US" w:eastAsia="zh-CN" w:bidi="ar-SA"/>
        </w:rPr>
      </w:pPr>
      <w:r>
        <w:rPr>
          <w:rFonts w:hint="default" w:ascii="宋体" w:hAnsi="宋体" w:eastAsia="宋体" w:cs="Times New Roman"/>
          <w:color w:val="auto"/>
          <w:sz w:val="32"/>
          <w:highlight w:val="none"/>
          <w:lang w:val="en-US" w:eastAsia="zh-CN" w:bidi="ar-SA"/>
        </w:rPr>
      </w:r>
      <w:r/>
    </w:p>
    <w:p>
      <w:pPr>
        <w:ind w:left="0" w:right="0" w:firstLine="0"/>
        <w:jc w:val="both"/>
        <w:widowControl w:val="off"/>
        <w:rPr>
          <w:rFonts w:hint="default" w:ascii="宋体" w:hAnsi="宋体" w:eastAsia="宋体" w:cs="Times New Roman"/>
          <w:color w:val="auto"/>
          <w:sz w:val="28"/>
          <w:szCs w:val="21"/>
          <w:highlight w:val="none"/>
          <w:lang w:val="en-US" w:eastAsia="zh-CN" w:bidi="ar-SA"/>
        </w:rPr>
      </w:pPr>
      <w:r>
        <w:rPr>
          <w:rFonts w:hint="default" w:ascii="宋体" w:hAnsi="宋体" w:eastAsia="宋体" w:cs="Times New Roman"/>
          <w:color w:val="auto"/>
          <w:sz w:val="28"/>
          <w:szCs w:val="21"/>
          <w:highlight w:val="none"/>
          <w:lang w:val="en-US" w:eastAsia="zh-CN" w:bidi="ar-SA"/>
        </w:rPr>
      </w:r>
      <w:r/>
    </w:p>
    <w:p>
      <w:pPr>
        <w:ind w:left="0" w:right="0" w:firstLine="560"/>
        <w:jc w:val="center"/>
        <w:widowControl w:val="off"/>
        <w:rPr>
          <w:rFonts w:hint="default" w:ascii="宋体" w:hAnsi="宋体" w:eastAsia="宋体" w:cs="Times New Roman"/>
          <w:color w:val="auto"/>
          <w:sz w:val="36"/>
          <w:szCs w:val="22"/>
          <w:highlight w:val="none"/>
          <w:lang w:val="en-US" w:eastAsia="zh-CN" w:bidi="ar-SA"/>
        </w:rPr>
      </w:pPr>
      <w:r>
        <w:rPr>
          <w:rFonts w:hint="eastAsia" w:ascii="宋体" w:hAnsi="宋体" w:eastAsia="宋体" w:cs="Times New Roman"/>
          <w:color w:val="auto"/>
          <w:sz w:val="36"/>
          <w:szCs w:val="22"/>
          <w:highlight w:val="none"/>
          <w:lang w:val="en-US" w:eastAsia="zh-CN" w:bidi="ar-SA"/>
        </w:rPr>
        <w:t xml:space="preserve">江苏仁华工程项目管理有限公司</w:t>
      </w:r>
      <w:r/>
    </w:p>
    <w:p>
      <w:pPr>
        <w:jc w:val="center"/>
        <w:widowControl w:val="off"/>
        <w:rPr>
          <w:rFonts w:hint="default" w:ascii="宋体" w:hAnsi="宋体" w:eastAsia="宋体" w:cs="Times New Roman"/>
          <w:color w:val="auto"/>
          <w:sz w:val="32"/>
          <w:highlight w:val="none"/>
          <w:lang w:val="en-US" w:eastAsia="zh-CN" w:bidi="ar-SA"/>
        </w:rPr>
      </w:pPr>
      <w:r>
        <w:rPr>
          <w:rFonts w:hint="default" w:ascii="宋体" w:hAnsi="宋体" w:eastAsia="宋体" w:cs="Times New Roman"/>
          <w:color w:val="auto"/>
          <w:sz w:val="32"/>
          <w:szCs w:val="21"/>
          <w:highlight w:val="none"/>
          <w:lang w:val="en-US" w:eastAsia="zh-CN" w:bidi="ar-SA"/>
        </w:rPr>
        <w:t xml:space="preserve">二〇二</w:t>
      </w:r>
      <w:r>
        <w:rPr>
          <w:rFonts w:hint="eastAsia" w:ascii="宋体" w:hAnsi="宋体" w:cs="Times New Roman"/>
          <w:color w:val="auto"/>
          <w:sz w:val="32"/>
          <w:szCs w:val="21"/>
          <w:highlight w:val="none"/>
          <w:lang w:val="en-US" w:eastAsia="zh-CN" w:bidi="ar-SA"/>
        </w:rPr>
        <w:t xml:space="preserve">六</w:t>
      </w:r>
      <w:r>
        <w:rPr>
          <w:rFonts w:hint="default" w:ascii="宋体" w:hAnsi="宋体" w:eastAsia="宋体" w:cs="Times New Roman"/>
          <w:color w:val="auto"/>
          <w:sz w:val="32"/>
          <w:szCs w:val="21"/>
          <w:highlight w:val="none"/>
          <w:lang w:val="en-US" w:eastAsia="zh-CN" w:bidi="ar-SA"/>
        </w:rPr>
        <w:t xml:space="preserve">年</w:t>
      </w:r>
      <w:r>
        <w:rPr>
          <w:rFonts w:hint="eastAsia" w:ascii="宋体" w:hAnsi="宋体" w:cs="Times New Roman"/>
          <w:color w:val="auto"/>
          <w:sz w:val="32"/>
          <w:szCs w:val="21"/>
          <w:highlight w:val="none"/>
          <w:lang w:val="en-US" w:eastAsia="zh-CN" w:bidi="ar-SA"/>
        </w:rPr>
        <w:t xml:space="preserve">四</w:t>
      </w:r>
      <w:r>
        <w:rPr>
          <w:rFonts w:hint="default" w:ascii="宋体" w:hAnsi="宋体" w:eastAsia="宋体" w:cs="Times New Roman"/>
          <w:color w:val="auto"/>
          <w:sz w:val="32"/>
          <w:szCs w:val="21"/>
          <w:highlight w:val="none"/>
          <w:lang w:val="en-US" w:eastAsia="zh-CN" w:bidi="ar-SA"/>
        </w:rPr>
        <w:t xml:space="preserve">月</w:t>
      </w:r>
      <w:r/>
    </w:p>
    <w:p>
      <w:pPr>
        <w:rPr>
          <w:rFonts w:hint="eastAsia" w:ascii="宋体" w:hAnsi="宋体" w:eastAsia="宋体" w:cs="宋体"/>
          <w:b/>
          <w:sz w:val="36"/>
        </w:rPr>
      </w:pPr>
      <w:r>
        <w:rPr>
          <w:rFonts w:hint="eastAsia" w:ascii="宋体" w:hAnsi="宋体" w:eastAsia="宋体" w:cs="宋体"/>
          <w:b/>
          <w:sz w:val="36"/>
        </w:rPr>
        <w:br w:type="page" w:clear="all"/>
      </w:r>
      <w:r/>
    </w:p>
    <w:p>
      <w:pPr>
        <w:jc w:val="center"/>
        <w:keepLines w:val="0"/>
        <w:keepNext w:val="0"/>
        <w:pageBreakBefore w:val="0"/>
        <w:spacing w:line="360" w:lineRule="auto"/>
        <w:widowControl w:val="off"/>
        <w:rPr>
          <w:rFonts w:hint="eastAsia" w:ascii="宋体" w:hAnsi="宋体" w:eastAsia="宋体" w:cs="宋体"/>
          <w:sz w:val="24"/>
        </w:rPr>
        <w:outlineLvl w:val="0"/>
      </w:pPr>
      <w:r>
        <w:rPr>
          <w:rFonts w:hint="eastAsia" w:ascii="宋体" w:hAnsi="宋体" w:eastAsia="宋体" w:cs="宋体"/>
          <w:b/>
          <w:sz w:val="36"/>
        </w:rPr>
        <w:t xml:space="preserve">竞争性磋商文件</w:t>
      </w:r>
      <w:r/>
    </w:p>
    <w:p>
      <w:pPr>
        <w:ind w:firstLine="480"/>
        <w:jc w:val="center"/>
        <w:spacing w:line="360" w:lineRule="auto"/>
        <w:tabs>
          <w:tab w:val="left" w:pos="3240" w:leader="none"/>
        </w:tabs>
        <w:rPr>
          <w:rFonts w:hint="eastAsia" w:ascii="宋体" w:hAnsi="宋体" w:eastAsia="宋体" w:cs="宋体"/>
          <w:sz w:val="24"/>
          <w:u w:val="single"/>
        </w:rPr>
      </w:pPr>
      <w:r>
        <w:rPr>
          <w:rFonts w:hint="eastAsia" w:ascii="宋体" w:hAnsi="宋体" w:eastAsia="宋体" w:cs="宋体"/>
          <w:sz w:val="24"/>
        </w:rPr>
        <w:t xml:space="preserve">项目编号：</w:t>
      </w:r>
      <w:r>
        <w:rPr>
          <w:rFonts w:hint="eastAsia" w:ascii="宋体" w:hAnsi="宋体" w:cs="宋体"/>
          <w:color w:val="auto"/>
          <w:sz w:val="24"/>
          <w:lang w:eastAsia="zh-CN"/>
        </w:rPr>
        <w:t xml:space="preserve">JSZC-320300-RHGC-C2026-0005</w:t>
      </w:r>
      <w:r/>
    </w:p>
    <w:p>
      <w:pPr>
        <w:ind w:firstLine="480"/>
        <w:spacing w:line="360" w:lineRule="auto"/>
        <w:tabs>
          <w:tab w:val="left" w:pos="3240" w:leader="none"/>
        </w:tabs>
        <w:rPr>
          <w:rFonts w:hint="eastAsia" w:ascii="宋体" w:hAnsi="宋体" w:eastAsia="宋体" w:cs="宋体"/>
          <w:sz w:val="24"/>
        </w:rPr>
      </w:pPr>
      <w:r>
        <w:rPr>
          <w:rFonts w:hint="eastAsia" w:ascii="宋体" w:hAnsi="宋体" w:eastAsia="宋体" w:cs="宋体"/>
          <w:sz w:val="24"/>
          <w:u w:val="single"/>
        </w:rPr>
        <w:t xml:space="preserve">                     </w:t>
      </w:r>
      <w:r>
        <w:rPr>
          <w:rFonts w:hint="eastAsia" w:ascii="宋体" w:hAnsi="宋体" w:eastAsia="宋体" w:cs="宋体"/>
          <w:sz w:val="24"/>
        </w:rPr>
        <w:t xml:space="preserve"> （供应商）：</w:t>
      </w:r>
      <w:r/>
    </w:p>
    <w:p>
      <w:pPr>
        <w:ind w:firstLine="480"/>
        <w:spacing w:line="360" w:lineRule="auto"/>
        <w:rPr>
          <w:rFonts w:hint="eastAsia" w:ascii="宋体" w:hAnsi="宋体" w:eastAsia="宋体" w:cs="宋体"/>
          <w:sz w:val="24"/>
        </w:rPr>
      </w:pPr>
      <w:r>
        <w:rPr>
          <w:rFonts w:hint="eastAsia" w:ascii="宋体" w:hAnsi="宋体" w:cs="宋体"/>
          <w:sz w:val="24"/>
          <w:u w:val="single"/>
          <w:lang w:eastAsia="zh-CN"/>
        </w:rPr>
        <w:t xml:space="preserve">江苏仁华工程项目管理有限公司</w:t>
      </w:r>
      <w:r>
        <w:rPr>
          <w:rFonts w:hint="eastAsia" w:ascii="宋体" w:hAnsi="宋体" w:eastAsia="宋体" w:cs="宋体"/>
          <w:sz w:val="24"/>
        </w:rPr>
        <w:t xml:space="preserve">对</w:t>
      </w:r>
      <w:r>
        <w:rPr>
          <w:rFonts w:hint="eastAsia" w:ascii="宋体" w:hAnsi="宋体" w:cs="宋体"/>
          <w:sz w:val="24"/>
          <w:u w:val="single"/>
          <w:lang w:val="en-US" w:eastAsia="zh-CN"/>
        </w:rPr>
        <w:t xml:space="preserve"> </w:t>
      </w:r>
      <w:r>
        <w:rPr>
          <w:rFonts w:hint="eastAsia" w:ascii="宋体" w:hAnsi="宋体" w:cs="宋体"/>
          <w:color w:val="auto"/>
          <w:sz w:val="24"/>
          <w:u w:val="single"/>
          <w:lang w:eastAsia="zh-CN"/>
        </w:rPr>
        <w:t xml:space="preserve">苏堤北路、凤鸣路、及青年路（故黄河-复兴路）工后道路恢复工程</w:t>
      </w:r>
      <w:r>
        <w:rPr>
          <w:rFonts w:hint="eastAsia" w:ascii="宋体" w:hAnsi="宋体" w:cs="宋体"/>
          <w:sz w:val="24"/>
          <w:u w:val="single"/>
          <w:lang w:eastAsia="zh-CN"/>
        </w:rPr>
        <w:t xml:space="preserve"> </w:t>
      </w:r>
      <w:r>
        <w:rPr>
          <w:rFonts w:hint="eastAsia" w:ascii="宋体" w:hAnsi="宋体" w:eastAsia="宋体" w:cs="宋体"/>
          <w:sz w:val="24"/>
        </w:rPr>
        <w:t xml:space="preserve">采取竞争性磋商采购方式进行采购，竞争性磋商文件（以下简称《磋商文件》）内容如下：</w:t>
      </w:r>
      <w:r/>
    </w:p>
    <w:p>
      <w:pPr>
        <w:ind w:firstLine="480"/>
        <w:spacing w:line="360" w:lineRule="auto"/>
        <w:rPr>
          <w:rFonts w:hint="eastAsia" w:ascii="宋体" w:hAnsi="宋体" w:eastAsia="宋体" w:cs="宋体"/>
          <w:sz w:val="24"/>
        </w:rPr>
      </w:pPr>
      <w:r>
        <w:rPr>
          <w:rFonts w:hint="eastAsia" w:ascii="宋体" w:hAnsi="宋体" w:eastAsia="宋体" w:cs="宋体"/>
          <w:sz w:val="24"/>
        </w:rPr>
      </w:r>
      <w:r/>
    </w:p>
    <w:p>
      <w:pPr>
        <w:ind w:firstLine="480"/>
        <w:jc w:val="center"/>
        <w:spacing w:line="360" w:lineRule="auto"/>
        <w:rPr>
          <w:rFonts w:hint="eastAsia" w:ascii="宋体" w:hAnsi="宋体" w:eastAsia="宋体" w:cs="宋体"/>
          <w:sz w:val="24"/>
        </w:rPr>
        <w:outlineLvl w:val="0"/>
      </w:pPr>
      <w:r>
        <w:rPr>
          <w:rFonts w:hint="eastAsia" w:ascii="宋体" w:hAnsi="宋体" w:eastAsia="宋体" w:cs="宋体"/>
          <w:sz w:val="24"/>
        </w:rPr>
        <w:t xml:space="preserve">第一章 项目说明</w:t>
      </w:r>
      <w:r/>
    </w:p>
    <w:p>
      <w:pPr>
        <w:numPr>
          <w:ilvl w:val="0"/>
          <w:numId w:val="3"/>
        </w:numPr>
        <w:ind w:firstLine="480"/>
        <w:spacing w:line="360" w:lineRule="auto"/>
        <w:rPr>
          <w:rFonts w:hint="eastAsia" w:ascii="宋体" w:hAnsi="宋体" w:eastAsia="宋体" w:cs="宋体"/>
          <w:sz w:val="24"/>
          <w:lang w:eastAsia="zh-CN"/>
        </w:rPr>
      </w:pPr>
      <w:r>
        <w:rPr>
          <w:rFonts w:hint="eastAsia" w:ascii="宋体" w:hAnsi="宋体" w:eastAsia="宋体" w:cs="宋体"/>
          <w:sz w:val="24"/>
        </w:rPr>
        <w:t xml:space="preserve">采购人：</w:t>
      </w:r>
      <w:r>
        <w:rPr>
          <w:rFonts w:hint="eastAsia" w:ascii="宋体" w:hAnsi="宋体" w:cs="宋体"/>
          <w:sz w:val="24"/>
          <w:lang w:eastAsia="zh-CN"/>
        </w:rPr>
        <w:t xml:space="preserve">徐州市市政管理中心</w:t>
      </w:r>
      <w:r/>
    </w:p>
    <w:p>
      <w:pPr>
        <w:numPr>
          <w:ilvl w:val="0"/>
          <w:numId w:val="0"/>
        </w:numPr>
        <w:ind w:firstLine="480"/>
        <w:spacing w:line="360" w:lineRule="auto"/>
        <w:rPr>
          <w:rFonts w:hint="eastAsia" w:ascii="宋体" w:hAnsi="宋体" w:eastAsia="宋体" w:cs="宋体"/>
          <w:sz w:val="24"/>
        </w:rPr>
      </w:pPr>
      <w:r>
        <w:rPr>
          <w:rFonts w:hint="eastAsia" w:ascii="宋体" w:hAnsi="宋体" w:eastAsia="宋体" w:cs="宋体"/>
          <w:sz w:val="24"/>
        </w:rPr>
        <w:t xml:space="preserve">二、项目名称：</w:t>
      </w:r>
      <w:r>
        <w:rPr>
          <w:rFonts w:hint="eastAsia" w:ascii="宋体" w:hAnsi="宋体" w:cs="宋体"/>
          <w:color w:val="auto"/>
          <w:sz w:val="24"/>
          <w:u w:val="none"/>
          <w:lang w:eastAsia="zh-CN"/>
        </w:rPr>
        <w:t xml:space="preserve">苏堤北路、凤鸣路、及青年路（故黄河-复兴路）工后道路恢复工程</w:t>
      </w:r>
      <w:r/>
    </w:p>
    <w:p>
      <w:pPr>
        <w:ind w:firstLine="480"/>
        <w:jc w:val="left"/>
        <w:spacing w:line="360" w:lineRule="auto"/>
        <w:rPr>
          <w:rFonts w:hint="eastAsia" w:ascii="宋体" w:hAnsi="宋体" w:cs="宋体"/>
          <w:color w:val="auto"/>
          <w:sz w:val="24"/>
          <w:lang w:eastAsia="zh-CN"/>
        </w:rPr>
      </w:pPr>
      <w:r>
        <w:rPr>
          <w:rFonts w:hint="eastAsia" w:ascii="宋体" w:hAnsi="宋体" w:eastAsia="宋体" w:cs="宋体"/>
          <w:sz w:val="24"/>
        </w:rPr>
        <w:t xml:space="preserve">三</w:t>
      </w:r>
      <w:r>
        <w:rPr>
          <w:rFonts w:hint="eastAsia" w:ascii="宋体" w:hAnsi="宋体" w:eastAsia="宋体" w:cs="宋体"/>
          <w:color w:val="auto"/>
          <w:sz w:val="24"/>
        </w:rPr>
        <w:t xml:space="preserve">、项目编号：</w:t>
      </w:r>
      <w:r>
        <w:rPr>
          <w:rFonts w:hint="eastAsia" w:ascii="宋体" w:hAnsi="宋体" w:cs="宋体"/>
          <w:color w:val="auto"/>
          <w:sz w:val="24"/>
          <w:lang w:eastAsia="zh-CN"/>
        </w:rPr>
        <w:t xml:space="preserve">JSZC-320300-RHGC-C2026-0005</w:t>
      </w:r>
      <w:r/>
    </w:p>
    <w:p>
      <w:pPr>
        <w:ind w:firstLine="480"/>
        <w:jc w:val="left"/>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四、采购邀请：通过发布公告的方式邀请符合相应资格条件的供应商参与竞争性磋商采购活动。</w:t>
      </w:r>
      <w:r/>
    </w:p>
    <w:p>
      <w:pPr>
        <w:ind w:firstLine="480"/>
        <w:jc w:val="left"/>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五、采购方式：竞争性磋商。</w:t>
      </w:r>
      <w:r/>
    </w:p>
    <w:p>
      <w:pPr>
        <w:ind w:firstLine="480"/>
        <w:jc w:val="left"/>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六、供应商资格条件：见竞争性磋商公告（项目编号：</w:t>
      </w:r>
      <w:r>
        <w:rPr>
          <w:rFonts w:hint="eastAsia" w:ascii="宋体" w:hAnsi="宋体" w:cs="宋体"/>
          <w:color w:val="auto"/>
          <w:sz w:val="24"/>
          <w:lang w:eastAsia="zh-CN"/>
        </w:rPr>
        <w:t xml:space="preserve">JSZC-320300-RHGC-C2026-0005</w:t>
      </w:r>
      <w:r>
        <w:rPr>
          <w:rFonts w:hint="eastAsia" w:ascii="宋体" w:hAnsi="宋体" w:eastAsia="宋体" w:cs="宋体"/>
          <w:color w:val="auto"/>
          <w:sz w:val="24"/>
        </w:rPr>
        <w:t xml:space="preserve">）</w:t>
      </w:r>
      <w:r/>
    </w:p>
    <w:p>
      <w:pPr>
        <w:ind w:firstLine="480"/>
        <w:jc w:val="left"/>
        <w:spacing w:line="360" w:lineRule="auto"/>
        <w:rPr>
          <w:rFonts w:hint="eastAsia" w:ascii="宋体" w:hAnsi="宋体" w:eastAsia="宋体" w:cs="宋体"/>
          <w:b/>
          <w:bCs/>
          <w:sz w:val="24"/>
        </w:rPr>
      </w:pPr>
      <w:r>
        <w:rPr>
          <w:rFonts w:hint="eastAsia" w:ascii="宋体" w:hAnsi="宋体" w:eastAsia="宋体" w:cs="宋体"/>
          <w:b/>
          <w:bCs/>
          <w:sz w:val="24"/>
        </w:rPr>
        <w:t xml:space="preserve">七、采购预算（采购项目预算金额）：见《磋商文件》附件2、《项目要求（采购需求）》。</w:t>
      </w:r>
      <w:r/>
    </w:p>
    <w:p>
      <w:pPr>
        <w:ind w:firstLine="480"/>
        <w:jc w:val="left"/>
        <w:spacing w:line="360" w:lineRule="auto"/>
        <w:rPr>
          <w:rFonts w:hint="eastAsia" w:ascii="宋体" w:hAnsi="宋体" w:eastAsia="宋体" w:cs="宋体"/>
          <w:sz w:val="24"/>
        </w:rPr>
      </w:pPr>
      <w:r>
        <w:rPr>
          <w:rFonts w:hint="eastAsia" w:ascii="宋体" w:hAnsi="宋体" w:eastAsia="宋体" w:cs="宋体"/>
          <w:b/>
          <w:bCs/>
          <w:sz w:val="24"/>
        </w:rPr>
        <w:t xml:space="preserve">八、采购需求：</w:t>
      </w:r>
      <w:r>
        <w:rPr>
          <w:rFonts w:hint="eastAsia" w:ascii="宋体" w:hAnsi="宋体" w:eastAsia="宋体" w:cs="宋体"/>
          <w:sz w:val="24"/>
        </w:rPr>
        <w:t xml:space="preserve">见《磋商文件》附件2、《项目要求（采购需求）》。</w:t>
      </w:r>
      <w:r/>
    </w:p>
    <w:p>
      <w:pPr>
        <w:ind w:firstLine="480"/>
        <w:spacing w:line="360" w:lineRule="auto"/>
        <w:rPr>
          <w:rFonts w:hint="eastAsia" w:ascii="宋体" w:hAnsi="宋体" w:eastAsia="宋体" w:cs="宋体"/>
          <w:sz w:val="24"/>
        </w:rPr>
      </w:pPr>
      <w:r>
        <w:rPr>
          <w:rFonts w:hint="eastAsia" w:ascii="宋体" w:hAnsi="宋体" w:eastAsia="宋体" w:cs="宋体"/>
          <w:b/>
          <w:bCs/>
          <w:sz w:val="24"/>
        </w:rPr>
        <w:t xml:space="preserve">九、合同草案条款：</w:t>
      </w:r>
      <w:r>
        <w:rPr>
          <w:rFonts w:hint="eastAsia" w:ascii="宋体" w:hAnsi="宋体" w:eastAsia="宋体" w:cs="宋体"/>
          <w:sz w:val="24"/>
        </w:rPr>
        <w:t xml:space="preserve">见《磋商文件》附件</w:t>
      </w:r>
      <w:r>
        <w:rPr>
          <w:rFonts w:hint="eastAsia" w:ascii="宋体" w:hAnsi="宋体" w:cs="宋体"/>
          <w:sz w:val="24"/>
          <w:lang w:val="en-US" w:eastAsia="zh-CN"/>
        </w:rPr>
        <w:t xml:space="preserve">7</w:t>
      </w:r>
      <w:r>
        <w:rPr>
          <w:rFonts w:hint="eastAsia" w:ascii="宋体" w:hAnsi="宋体" w:eastAsia="宋体" w:cs="宋体"/>
          <w:sz w:val="24"/>
        </w:rPr>
        <w:t xml:space="preserve">、《合同草案条款》。</w:t>
      </w:r>
      <w:r/>
    </w:p>
    <w:p>
      <w:pPr>
        <w:ind w:firstLine="480"/>
        <w:spacing w:line="360" w:lineRule="auto"/>
        <w:rPr>
          <w:rFonts w:hint="eastAsia" w:ascii="宋体" w:hAnsi="宋体" w:eastAsia="宋体" w:cs="宋体"/>
          <w:b/>
          <w:bCs/>
          <w:sz w:val="24"/>
        </w:rPr>
      </w:pPr>
      <w:r>
        <w:rPr>
          <w:rFonts w:hint="eastAsia" w:ascii="宋体" w:hAnsi="宋体" w:eastAsia="宋体" w:cs="宋体"/>
          <w:b/>
          <w:bCs/>
          <w:sz w:val="24"/>
        </w:rPr>
        <w:t xml:space="preserve">十、报价要求</w:t>
      </w: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1、供应商报价为要约，</w:t>
      </w:r>
      <w:r>
        <w:rPr>
          <w:rFonts w:hint="eastAsia" w:ascii="宋体" w:hAnsi="宋体" w:cs="宋体"/>
          <w:sz w:val="24"/>
          <w:highlight w:val="none"/>
          <w:lang w:eastAsia="zh-CN"/>
        </w:rPr>
        <w:t xml:space="preserve">江苏仁华工程项目管理有限公司</w:t>
      </w:r>
      <w:r>
        <w:rPr>
          <w:rFonts w:hint="eastAsia" w:ascii="宋体" w:hAnsi="宋体" w:eastAsia="宋体" w:cs="宋体"/>
          <w:sz w:val="24"/>
          <w:highlight w:val="none"/>
        </w:rPr>
        <w:t xml:space="preserve">无承诺表示时视为未成交，</w:t>
      </w:r>
      <w:r>
        <w:rPr>
          <w:rFonts w:hint="eastAsia" w:ascii="宋体" w:hAnsi="宋体" w:cs="宋体"/>
          <w:sz w:val="24"/>
          <w:highlight w:val="none"/>
          <w:lang w:eastAsia="zh-CN"/>
        </w:rPr>
        <w:t xml:space="preserve">江苏仁华工程项目管理有限公司</w:t>
      </w:r>
      <w:r>
        <w:rPr>
          <w:rFonts w:hint="eastAsia" w:ascii="宋体" w:hAnsi="宋体" w:eastAsia="宋体" w:cs="宋体"/>
          <w:sz w:val="24"/>
          <w:highlight w:val="none"/>
        </w:rPr>
        <w:t xml:space="preserve">认为必要时可重新进行竞争性磋商采购或采取其它方式采购。</w:t>
      </w: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2、按照《磋商报价表》要求填写首次报价。</w:t>
      </w: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3、报价包含本项目范围内的全部费用。供应商有漏报或不报的，采购人将视为有关费用已包括在本项目的报价中而不予支付。采购人不支付报价以外的任何费用。</w:t>
      </w:r>
      <w:r/>
    </w:p>
    <w:p>
      <w:pPr>
        <w:pStyle w:val="1018"/>
        <w:ind w:left="0" w:firstLine="0"/>
        <w:rPr>
          <w:rFonts w:hint="eastAsia" w:ascii="宋体" w:hAnsi="宋体" w:eastAsia="宋体" w:cs="宋体"/>
        </w:rPr>
      </w:pPr>
      <w:r>
        <w:rPr>
          <w:rFonts w:hint="eastAsia" w:ascii="宋体" w:hAnsi="宋体" w:eastAsia="宋体" w:cs="宋体"/>
        </w:rPr>
      </w:r>
      <w:r/>
    </w:p>
    <w:p>
      <w:pPr>
        <w:numPr>
          <w:ilvl w:val="0"/>
          <w:numId w:val="4"/>
        </w:numPr>
        <w:ind w:firstLine="480"/>
        <w:jc w:val="center"/>
        <w:spacing w:line="360" w:lineRule="auto"/>
        <w:rPr>
          <w:rFonts w:hint="eastAsia" w:ascii="宋体" w:hAnsi="宋体" w:eastAsia="宋体" w:cs="宋体"/>
          <w:b/>
          <w:bCs/>
          <w:sz w:val="24"/>
        </w:rPr>
        <w:outlineLvl w:val="0"/>
      </w:pPr>
      <w:r>
        <w:rPr>
          <w:rFonts w:hint="eastAsia" w:ascii="宋体" w:hAnsi="宋体" w:eastAsia="宋体" w:cs="宋体"/>
          <w:b/>
          <w:bCs/>
          <w:sz w:val="24"/>
        </w:rPr>
        <w:t xml:space="preserve">磋商保证金</w:t>
      </w:r>
      <w:r/>
    </w:p>
    <w:p>
      <w:pPr>
        <w:numPr>
          <w:ilvl w:val="0"/>
          <w:numId w:val="5"/>
        </w:numPr>
        <w:ind w:firstLine="480"/>
        <w:spacing w:line="360" w:lineRule="auto"/>
        <w:rPr>
          <w:rFonts w:hint="eastAsia" w:ascii="宋体" w:hAnsi="宋体" w:eastAsia="宋体" w:cs="宋体"/>
          <w:sz w:val="24"/>
        </w:rPr>
      </w:pPr>
      <w:r>
        <w:rPr>
          <w:rFonts w:hint="eastAsia" w:ascii="宋体" w:hAnsi="宋体" w:eastAsia="宋体" w:cs="宋体"/>
          <w:b/>
          <w:bCs/>
          <w:sz w:val="24"/>
        </w:rPr>
        <w:t xml:space="preserve">供应商提交磋商保证金：</w:t>
      </w:r>
      <w:r>
        <w:rPr>
          <w:rFonts w:hint="eastAsia" w:ascii="宋体" w:hAnsi="宋体" w:eastAsia="宋体" w:cs="宋体"/>
          <w:sz w:val="24"/>
        </w:rPr>
        <w:t xml:space="preserve">本项目无需缴纳磋商保证金。</w:t>
      </w:r>
      <w:r/>
    </w:p>
    <w:p>
      <w:pPr>
        <w:ind w:firstLine="480"/>
        <w:jc w:val="center"/>
        <w:spacing w:line="360" w:lineRule="auto"/>
        <w:rPr>
          <w:rFonts w:hint="eastAsia" w:ascii="宋体" w:hAnsi="宋体" w:eastAsia="宋体" w:cs="宋体"/>
          <w:sz w:val="24"/>
        </w:rPr>
        <w:outlineLvl w:val="0"/>
      </w:pPr>
      <w:r>
        <w:rPr>
          <w:rFonts w:hint="eastAsia" w:ascii="宋体" w:hAnsi="宋体" w:eastAsia="宋体" w:cs="宋体"/>
          <w:sz w:val="24"/>
        </w:rPr>
      </w:r>
      <w:r/>
    </w:p>
    <w:p>
      <w:pPr>
        <w:ind w:firstLine="480"/>
        <w:jc w:val="center"/>
        <w:spacing w:line="360" w:lineRule="auto"/>
        <w:rPr>
          <w:rFonts w:hint="eastAsia" w:ascii="宋体" w:hAnsi="宋体" w:eastAsia="宋体" w:cs="宋体"/>
          <w:sz w:val="24"/>
        </w:rPr>
        <w:outlineLvl w:val="0"/>
      </w:pPr>
      <w:r>
        <w:rPr>
          <w:rFonts w:hint="eastAsia" w:ascii="宋体" w:hAnsi="宋体" w:eastAsia="宋体" w:cs="宋体"/>
          <w:sz w:val="24"/>
        </w:rPr>
        <w:t xml:space="preserve">第三章 响应文件</w:t>
      </w:r>
      <w:r/>
    </w:p>
    <w:p>
      <w:pPr>
        <w:ind w:firstLine="480"/>
        <w:spacing w:line="360" w:lineRule="auto"/>
        <w:rPr>
          <w:rFonts w:hint="eastAsia" w:ascii="宋体" w:hAnsi="宋体" w:eastAsia="宋体" w:cs="宋体"/>
          <w:b/>
          <w:bCs/>
          <w:sz w:val="24"/>
        </w:rPr>
      </w:pPr>
      <w:r>
        <w:rPr>
          <w:rFonts w:hint="eastAsia" w:ascii="宋体" w:hAnsi="宋体" w:eastAsia="宋体" w:cs="宋体"/>
          <w:b/>
          <w:bCs/>
          <w:sz w:val="24"/>
        </w:rPr>
        <w:t xml:space="preserve">十二、提交响应文件要求</w:t>
      </w:r>
      <w:r/>
    </w:p>
    <w:p>
      <w:pPr>
        <w:ind w:firstLine="480"/>
        <w:keepLines w:val="0"/>
        <w:keepNext w:val="0"/>
        <w:pageBreakBefore w:val="0"/>
        <w:spacing w:line="360" w:lineRule="auto"/>
        <w:widowControl w:val="off"/>
        <w:rPr>
          <w:rFonts w:hint="eastAsia" w:ascii="宋体" w:hAnsi="宋体" w:cs="宋体"/>
          <w:bCs/>
          <w:color w:val="auto"/>
          <w:sz w:val="24"/>
          <w:highlight w:val="none"/>
        </w:rPr>
      </w:pPr>
      <w:r>
        <w:rPr>
          <w:rFonts w:hint="eastAsia" w:ascii="宋体" w:hAnsi="宋体" w:cs="宋体"/>
          <w:bCs/>
          <w:color w:val="auto"/>
          <w:sz w:val="24"/>
          <w:highlight w:val="none"/>
        </w:rPr>
        <w:t xml:space="preserve">（一）本项目通过“苏采云”系统进行电子采购，即供应商响应文件从政府采购客户端工具制作并通过“苏采云”系统提交。</w:t>
      </w:r>
      <w:r/>
    </w:p>
    <w:p>
      <w:pPr>
        <w:ind w:firstLine="480"/>
        <w:keepLines w:val="0"/>
        <w:keepNext w:val="0"/>
        <w:pageBreakBefore w:val="0"/>
        <w:spacing w:line="360" w:lineRule="auto"/>
        <w:widowControl w:val="off"/>
        <w:rPr>
          <w:rFonts w:hint="eastAsia" w:ascii="宋体" w:hAnsi="宋体" w:cs="宋体"/>
          <w:bCs/>
          <w:color w:val="auto"/>
          <w:sz w:val="24"/>
          <w:highlight w:val="none"/>
        </w:rPr>
      </w:pPr>
      <w:r>
        <w:rPr>
          <w:rFonts w:hint="eastAsia" w:ascii="宋体" w:hAnsi="宋体" w:cs="宋体"/>
          <w:bCs/>
          <w:color w:val="auto"/>
          <w:sz w:val="24"/>
          <w:highlight w:val="none"/>
        </w:rPr>
        <w:t xml:space="preserve">供应商应当通过“苏采云”系统提交数据电文形式的响应文件（即电子投标）。未进行线上响应文件提交并解密(因“苏采云”系统导致解密失败的除外)的供应商，响应无效。</w:t>
      </w:r>
      <w:r/>
    </w:p>
    <w:p>
      <w:pPr>
        <w:ind w:firstLine="480"/>
        <w:keepLines w:val="0"/>
        <w:keepNext w:val="0"/>
        <w:pageBreakBefore w:val="0"/>
        <w:spacing w:line="360" w:lineRule="auto"/>
        <w:widowControl w:val="off"/>
        <w:rPr>
          <w:rFonts w:hint="eastAsia" w:ascii="宋体" w:hAnsi="宋体" w:cs="宋体"/>
          <w:bCs/>
          <w:color w:val="auto"/>
          <w:sz w:val="24"/>
          <w:highlight w:val="none"/>
        </w:rPr>
      </w:pPr>
      <w:r>
        <w:rPr>
          <w:rFonts w:hint="eastAsia" w:ascii="宋体" w:hAnsi="宋体" w:cs="宋体"/>
          <w:bCs/>
          <w:color w:val="auto"/>
          <w:sz w:val="24"/>
          <w:highlight w:val="none"/>
        </w:rPr>
        <w:t xml:space="preserve">“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480"/>
        <w:jc w:val="left"/>
        <w:keepLines w:val="0"/>
        <w:keepNext w:val="0"/>
        <w:pageBreakBefore w:val="0"/>
        <w:spacing w:line="360" w:lineRule="auto"/>
        <w:widowControl w:val="off"/>
        <w:rPr>
          <w:rFonts w:hint="eastAsia" w:ascii="宋体" w:hAnsi="宋体" w:cs="宋体"/>
          <w:bCs/>
          <w:color w:val="auto"/>
          <w:sz w:val="24"/>
          <w:highlight w:val="none"/>
        </w:rPr>
      </w:pPr>
      <w:r>
        <w:rPr>
          <w:rFonts w:hint="eastAsia" w:ascii="宋体" w:hAnsi="宋体" w:cs="宋体"/>
          <w:bCs/>
          <w:color w:val="auto"/>
          <w:sz w:val="24"/>
          <w:highlight w:val="none"/>
        </w:rPr>
        <w:t xml:space="preserve">使用需要第三方认证的电子签名、数据电文，通过互联网方式提交首次响应文件。即：使用“电子签名认证证书（CA数字证书）”登录“苏采云”系统（网址：http://jszfcg.jsczt.cn/；或进入徐州政府采购网（网址：http://czj.xz.gov.cn/Home/HomeIndex）--业务工作--用户登录，点击“苏采云”进入系统），按照要求通过互联网方式提交首次响应文件。</w:t>
      </w:r>
      <w:r/>
    </w:p>
    <w:p>
      <w:pPr>
        <w:ind w:firstLine="482"/>
        <w:keepLines w:val="0"/>
        <w:keepNext w:val="0"/>
        <w:pageBreakBefore w:val="0"/>
        <w:spacing w:line="360" w:lineRule="auto"/>
        <w:widowControl w:val="off"/>
        <w:rPr>
          <w:rFonts w:hint="eastAsia" w:ascii="宋体" w:hAnsi="宋体" w:cs="宋体"/>
          <w:b/>
          <w:bCs w:val="0"/>
          <w:color w:val="auto"/>
          <w:sz w:val="24"/>
          <w:highlight w:val="none"/>
        </w:rPr>
      </w:pPr>
      <w:r>
        <w:rPr>
          <w:rFonts w:hint="eastAsia" w:ascii="宋体" w:hAnsi="宋体" w:cs="宋体"/>
          <w:b/>
          <w:bCs w:val="0"/>
          <w:color w:val="auto"/>
          <w:sz w:val="24"/>
          <w:highlight w:val="none"/>
        </w:rPr>
        <w:t xml:space="preserve">“苏采云”系统使用要求：</w:t>
      </w:r>
      <w:r/>
    </w:p>
    <w:p>
      <w:pPr>
        <w:ind w:firstLine="480"/>
        <w:keepLines w:val="0"/>
        <w:keepNext w:val="0"/>
        <w:pageBreakBefore w:val="0"/>
        <w:spacing w:line="360" w:lineRule="auto"/>
        <w:widowControl w:val="off"/>
        <w:rPr>
          <w:rFonts w:hint="eastAsia" w:ascii="宋体" w:hAnsi="宋体" w:cs="宋体"/>
          <w:bCs/>
          <w:color w:val="auto"/>
          <w:sz w:val="24"/>
          <w:highlight w:val="none"/>
        </w:rPr>
      </w:pPr>
      <w:r>
        <w:rPr>
          <w:rFonts w:hint="eastAsia" w:ascii="宋体" w:hAnsi="宋体" w:cs="宋体"/>
          <w:bCs/>
          <w:color w:val="auto"/>
          <w:sz w:val="24"/>
          <w:highlight w:val="none"/>
        </w:rPr>
        <w:t xml:space="preserve">1、使用谷歌浏览器参与不见面开标及磋商环节。</w:t>
      </w:r>
      <w:r/>
    </w:p>
    <w:p>
      <w:pPr>
        <w:ind w:firstLine="480"/>
        <w:keepLines w:val="0"/>
        <w:keepNext w:val="0"/>
        <w:pageBreakBefore w:val="0"/>
        <w:spacing w:line="360" w:lineRule="auto"/>
        <w:widowControl w:val="off"/>
        <w:rPr>
          <w:rFonts w:hint="eastAsia" w:ascii="宋体" w:hAnsi="宋体" w:cs="宋体"/>
          <w:bCs/>
          <w:color w:val="auto"/>
          <w:sz w:val="24"/>
          <w:highlight w:val="none"/>
        </w:rPr>
      </w:pPr>
      <w:r>
        <w:rPr>
          <w:rFonts w:hint="eastAsia" w:ascii="宋体" w:hAnsi="宋体" w:cs="宋体"/>
          <w:bCs/>
          <w:color w:val="auto"/>
          <w:sz w:val="24"/>
          <w:highlight w:val="none"/>
        </w:rPr>
        <w:t xml:space="preserve">2、电脑需提前准备好麦克风、音响，摄像头，提前检查保证能够正常使用。</w:t>
      </w:r>
      <w:r/>
    </w:p>
    <w:p>
      <w:pPr>
        <w:ind w:firstLine="480"/>
        <w:keepLines w:val="0"/>
        <w:keepNext w:val="0"/>
        <w:pageBreakBefore w:val="0"/>
        <w:spacing w:line="360" w:lineRule="auto"/>
        <w:widowControl w:val="off"/>
        <w:rPr>
          <w:rFonts w:hint="eastAsia" w:ascii="宋体" w:hAnsi="宋体" w:cs="宋体"/>
          <w:bCs/>
          <w:color w:val="auto"/>
          <w:sz w:val="24"/>
          <w:highlight w:val="none"/>
        </w:rPr>
      </w:pPr>
      <w:r>
        <w:rPr>
          <w:rFonts w:hint="eastAsia" w:ascii="宋体" w:hAnsi="宋体" w:cs="宋体"/>
          <w:bCs/>
          <w:color w:val="auto"/>
          <w:sz w:val="24"/>
          <w:highlight w:val="none"/>
        </w:rPr>
        <w:t xml:space="preserve">3、操作系统至少win7以上，建议使用win10操作系统。</w:t>
      </w:r>
      <w:r/>
    </w:p>
    <w:p>
      <w:pPr>
        <w:ind w:firstLine="480"/>
        <w:jc w:val="left"/>
        <w:spacing w:line="360" w:lineRule="auto"/>
        <w:rPr>
          <w:rFonts w:hint="eastAsia" w:ascii="宋体" w:hAnsi="宋体" w:eastAsia="宋体" w:cs="宋体"/>
          <w:bCs/>
          <w:sz w:val="24"/>
          <w:highlight w:val="none"/>
        </w:rPr>
      </w:pPr>
      <w:r>
        <w:rPr>
          <w:rFonts w:hint="eastAsia" w:ascii="宋体" w:hAnsi="宋体" w:eastAsia="宋体" w:cs="宋体"/>
          <w:b/>
          <w:bCs w:val="0"/>
          <w:color w:val="auto"/>
          <w:sz w:val="24"/>
          <w:highlight w:val="none"/>
        </w:rPr>
        <w:t xml:space="preserve">（二）首次响应文件提交的截止时间：</w:t>
      </w:r>
      <w:r>
        <w:rPr>
          <w:rFonts w:hint="eastAsia" w:ascii="宋体" w:hAnsi="宋体" w:cs="宋体"/>
          <w:b/>
          <w:bCs w:val="0"/>
          <w:color w:val="auto"/>
          <w:sz w:val="24"/>
          <w:highlight w:val="none"/>
          <w:lang w:eastAsia="zh-CN"/>
        </w:rPr>
        <w:t xml:space="preserve">2026年4月28日</w:t>
      </w:r>
      <w:r>
        <w:rPr>
          <w:rFonts w:hint="eastAsia" w:ascii="宋体" w:hAnsi="宋体" w:eastAsia="宋体" w:cs="宋体"/>
          <w:b/>
          <w:bCs w:val="0"/>
          <w:color w:val="auto"/>
          <w:sz w:val="24"/>
          <w:highlight w:val="none"/>
          <w:lang w:eastAsia="zh-CN"/>
        </w:rPr>
        <w:t xml:space="preserve">北京时间</w:t>
      </w:r>
      <w:r>
        <w:rPr>
          <w:rFonts w:hint="eastAsia" w:ascii="宋体" w:hAnsi="宋体" w:cs="宋体"/>
          <w:b/>
          <w:bCs w:val="0"/>
          <w:color w:val="auto"/>
          <w:sz w:val="24"/>
          <w:highlight w:val="none"/>
          <w:lang w:val="en-US" w:eastAsia="zh-CN"/>
        </w:rPr>
        <w:t xml:space="preserve">9</w:t>
      </w:r>
      <w:r>
        <w:rPr>
          <w:rFonts w:hint="eastAsia" w:ascii="宋体" w:hAnsi="宋体" w:eastAsia="宋体" w:cs="宋体"/>
          <w:b/>
          <w:bCs w:val="0"/>
          <w:color w:val="auto"/>
          <w:sz w:val="24"/>
          <w:highlight w:val="none"/>
          <w:lang w:eastAsia="zh-CN"/>
        </w:rPr>
        <w:t xml:space="preserve">：</w:t>
      </w:r>
      <w:r>
        <w:rPr>
          <w:rFonts w:hint="eastAsia" w:ascii="宋体" w:hAnsi="宋体" w:cs="宋体"/>
          <w:b/>
          <w:bCs w:val="0"/>
          <w:color w:val="auto"/>
          <w:sz w:val="24"/>
          <w:highlight w:val="none"/>
          <w:lang w:val="en-US" w:eastAsia="zh-CN"/>
        </w:rPr>
        <w:t xml:space="preserve">30</w:t>
      </w:r>
      <w:r>
        <w:rPr>
          <w:rFonts w:hint="eastAsia" w:ascii="宋体" w:hAnsi="宋体" w:eastAsia="宋体" w:cs="宋体"/>
          <w:bCs/>
          <w:color w:val="auto"/>
          <w:sz w:val="24"/>
          <w:highlight w:val="none"/>
        </w:rPr>
        <w:t xml:space="preserve">，在</w:t>
      </w:r>
      <w:r>
        <w:rPr>
          <w:rFonts w:hint="eastAsia" w:ascii="宋体" w:hAnsi="宋体" w:eastAsia="宋体" w:cs="宋体"/>
          <w:bCs/>
          <w:sz w:val="24"/>
          <w:highlight w:val="none"/>
        </w:rPr>
        <w:t xml:space="preserve">截止时间后提交的首次响应文件为无效文件，将被拒收。</w:t>
      </w:r>
      <w:r/>
    </w:p>
    <w:p>
      <w:pPr>
        <w:ind w:firstLine="480"/>
        <w:spacing w:line="360" w:lineRule="auto"/>
        <w:rPr>
          <w:rFonts w:hint="eastAsia" w:ascii="宋体" w:hAnsi="宋体" w:eastAsia="宋体" w:cs="宋体"/>
          <w:b/>
          <w:bCs w:val="0"/>
          <w:sz w:val="24"/>
          <w:highlight w:val="none"/>
        </w:rPr>
      </w:pPr>
      <w:r>
        <w:rPr>
          <w:rFonts w:hint="eastAsia" w:ascii="宋体" w:hAnsi="宋体" w:eastAsia="宋体" w:cs="宋体"/>
          <w:b/>
          <w:bCs w:val="0"/>
          <w:sz w:val="24"/>
          <w:highlight w:val="none"/>
        </w:rPr>
        <w:t xml:space="preserve">（三）首次响应文件提交时间、地点：</w:t>
      </w:r>
      <w:r/>
    </w:p>
    <w:p>
      <w:pPr>
        <w:ind w:firstLine="480"/>
        <w:spacing w:line="360" w:lineRule="auto"/>
        <w:rPr>
          <w:rFonts w:hint="eastAsia" w:ascii="宋体" w:hAnsi="宋体" w:eastAsia="宋体" w:cs="宋体"/>
          <w:b/>
          <w:bCs w:val="0"/>
          <w:sz w:val="24"/>
          <w:highlight w:val="none"/>
        </w:rPr>
      </w:pPr>
      <w:r>
        <w:rPr>
          <w:rFonts w:hint="eastAsia" w:ascii="宋体" w:hAnsi="宋体" w:eastAsia="宋体" w:cs="宋体"/>
          <w:b/>
          <w:bCs w:val="0"/>
          <w:sz w:val="24"/>
          <w:highlight w:val="none"/>
        </w:rPr>
        <w:t xml:space="preserve">1</w:t>
      </w:r>
      <w:r>
        <w:rPr>
          <w:rFonts w:hint="eastAsia" w:ascii="宋体" w:hAnsi="宋体" w:eastAsia="宋体" w:cs="宋体"/>
          <w:b/>
          <w:bCs w:val="0"/>
          <w:sz w:val="24"/>
          <w:highlight w:val="none"/>
          <w:lang w:eastAsia="zh-CN"/>
        </w:rPr>
        <w:t xml:space="preserve">、</w:t>
      </w:r>
      <w:r>
        <w:rPr>
          <w:rFonts w:hint="eastAsia" w:ascii="宋体" w:hAnsi="宋体" w:eastAsia="宋体" w:cs="宋体"/>
          <w:b/>
          <w:bCs w:val="0"/>
          <w:sz w:val="24"/>
          <w:highlight w:val="none"/>
        </w:rPr>
        <w:t xml:space="preserve">提交时间</w:t>
      </w:r>
      <w:r/>
    </w:p>
    <w:p>
      <w:pPr>
        <w:ind w:firstLine="480"/>
        <w:jc w:val="left"/>
        <w:spacing w:line="360" w:lineRule="auto"/>
        <w:rPr>
          <w:rFonts w:hint="eastAsia" w:ascii="宋体" w:hAnsi="宋体" w:eastAsia="宋体" w:cs="宋体"/>
          <w:bCs/>
          <w:color w:val="auto"/>
          <w:sz w:val="24"/>
          <w:highlight w:val="none"/>
        </w:rPr>
      </w:pPr>
      <w:r>
        <w:rPr>
          <w:rFonts w:hint="eastAsia" w:ascii="宋体" w:hAnsi="宋体" w:eastAsia="宋体" w:cs="宋体"/>
          <w:bCs/>
          <w:sz w:val="24"/>
          <w:highlight w:val="none"/>
        </w:rPr>
        <w:t xml:space="preserve">首次响应文件提交的截止时间</w:t>
      </w:r>
      <w:r>
        <w:rPr>
          <w:rFonts w:hint="eastAsia" w:ascii="宋体" w:hAnsi="宋体" w:eastAsia="宋体" w:cs="宋体"/>
          <w:b/>
          <w:bCs w:val="0"/>
          <w:color w:val="auto"/>
          <w:sz w:val="24"/>
          <w:highlight w:val="none"/>
        </w:rPr>
        <w:t xml:space="preserve">（</w:t>
      </w:r>
      <w:r>
        <w:rPr>
          <w:rFonts w:hint="eastAsia" w:ascii="宋体" w:hAnsi="宋体" w:cs="宋体"/>
          <w:b/>
          <w:bCs w:val="0"/>
          <w:color w:val="auto"/>
          <w:sz w:val="24"/>
          <w:highlight w:val="none"/>
          <w:lang w:eastAsia="zh-CN"/>
        </w:rPr>
        <w:t xml:space="preserve">2026年4月28日</w:t>
      </w:r>
      <w:r>
        <w:rPr>
          <w:rFonts w:hint="eastAsia" w:ascii="宋体" w:hAnsi="宋体" w:eastAsia="宋体" w:cs="宋体"/>
          <w:b/>
          <w:bCs w:val="0"/>
          <w:color w:val="auto"/>
          <w:sz w:val="24"/>
          <w:highlight w:val="none"/>
          <w:lang w:eastAsia="zh-CN"/>
        </w:rPr>
        <w:t xml:space="preserve">北京时间</w:t>
      </w:r>
      <w:r>
        <w:rPr>
          <w:rFonts w:hint="eastAsia" w:ascii="宋体" w:hAnsi="宋体" w:cs="宋体"/>
          <w:b/>
          <w:bCs w:val="0"/>
          <w:color w:val="auto"/>
          <w:sz w:val="24"/>
          <w:highlight w:val="none"/>
          <w:lang w:val="en-US" w:eastAsia="zh-CN"/>
        </w:rPr>
        <w:t xml:space="preserve">9</w:t>
      </w:r>
      <w:r>
        <w:rPr>
          <w:rFonts w:hint="eastAsia" w:ascii="宋体" w:hAnsi="宋体" w:eastAsia="宋体" w:cs="宋体"/>
          <w:b/>
          <w:bCs w:val="0"/>
          <w:color w:val="auto"/>
          <w:sz w:val="24"/>
          <w:highlight w:val="none"/>
          <w:lang w:eastAsia="zh-CN"/>
        </w:rPr>
        <w:t xml:space="preserve">：</w:t>
      </w:r>
      <w:r>
        <w:rPr>
          <w:rFonts w:hint="eastAsia" w:ascii="宋体" w:hAnsi="宋体" w:cs="宋体"/>
          <w:b/>
          <w:bCs w:val="0"/>
          <w:color w:val="auto"/>
          <w:sz w:val="24"/>
          <w:highlight w:val="none"/>
          <w:lang w:val="en-US" w:eastAsia="zh-CN"/>
        </w:rPr>
        <w:t xml:space="preserve">30</w:t>
      </w:r>
      <w:r>
        <w:rPr>
          <w:rFonts w:hint="eastAsia" w:ascii="宋体" w:hAnsi="宋体" w:eastAsia="宋体" w:cs="宋体"/>
          <w:b/>
          <w:bCs w:val="0"/>
          <w:color w:val="auto"/>
          <w:sz w:val="24"/>
          <w:highlight w:val="none"/>
        </w:rPr>
        <w:t xml:space="preserve">）</w:t>
      </w:r>
      <w:r>
        <w:rPr>
          <w:rFonts w:hint="eastAsia" w:ascii="宋体" w:hAnsi="宋体" w:eastAsia="宋体" w:cs="宋体"/>
          <w:bCs/>
          <w:color w:val="auto"/>
          <w:sz w:val="24"/>
          <w:highlight w:val="none"/>
        </w:rPr>
        <w:t xml:space="preserve">前。</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2</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提交地点：</w:t>
      </w:r>
      <w:r/>
    </w:p>
    <w:p>
      <w:pPr>
        <w:ind w:firstLine="480"/>
        <w:jc w:val="left"/>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“苏采云”系统（网址：http://jszfcg.jsczt.cn/）。 </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
          <w:bCs w:val="0"/>
          <w:sz w:val="24"/>
          <w:highlight w:val="none"/>
        </w:rPr>
        <w:t xml:space="preserve">（四）首次响应文件开启时间</w:t>
      </w:r>
      <w:r>
        <w:rPr>
          <w:rFonts w:hint="eastAsia" w:ascii="宋体" w:hAnsi="宋体" w:eastAsia="宋体" w:cs="宋体"/>
          <w:b/>
          <w:bCs w:val="0"/>
          <w:color w:val="auto"/>
          <w:sz w:val="24"/>
          <w:highlight w:val="none"/>
        </w:rPr>
        <w:t xml:space="preserve">：</w:t>
      </w:r>
      <w:r>
        <w:rPr>
          <w:rFonts w:hint="eastAsia" w:ascii="宋体" w:hAnsi="宋体" w:cs="宋体"/>
          <w:b/>
          <w:bCs w:val="0"/>
          <w:color w:val="auto"/>
          <w:sz w:val="24"/>
          <w:highlight w:val="none"/>
          <w:lang w:eastAsia="zh-CN"/>
        </w:rPr>
        <w:t xml:space="preserve">2026年4月28日</w:t>
      </w:r>
      <w:r>
        <w:rPr>
          <w:rFonts w:hint="eastAsia" w:ascii="宋体" w:hAnsi="宋体" w:eastAsia="宋体" w:cs="宋体"/>
          <w:b/>
          <w:bCs w:val="0"/>
          <w:color w:val="auto"/>
          <w:sz w:val="24"/>
          <w:highlight w:val="none"/>
          <w:lang w:eastAsia="zh-CN"/>
        </w:rPr>
        <w:t xml:space="preserve">北京时间</w:t>
      </w:r>
      <w:r>
        <w:rPr>
          <w:rFonts w:hint="eastAsia" w:ascii="宋体" w:hAnsi="宋体" w:cs="宋体"/>
          <w:b/>
          <w:bCs w:val="0"/>
          <w:color w:val="auto"/>
          <w:sz w:val="24"/>
          <w:highlight w:val="none"/>
          <w:lang w:val="en-US" w:eastAsia="zh-CN"/>
        </w:rPr>
        <w:t xml:space="preserve">9</w:t>
      </w:r>
      <w:r>
        <w:rPr>
          <w:rFonts w:hint="eastAsia" w:ascii="宋体" w:hAnsi="宋体" w:eastAsia="宋体" w:cs="宋体"/>
          <w:b/>
          <w:bCs w:val="0"/>
          <w:color w:val="auto"/>
          <w:sz w:val="24"/>
          <w:highlight w:val="none"/>
          <w:lang w:eastAsia="zh-CN"/>
        </w:rPr>
        <w:t xml:space="preserve">：</w:t>
      </w:r>
      <w:r>
        <w:rPr>
          <w:rFonts w:hint="eastAsia" w:ascii="宋体" w:hAnsi="宋体" w:cs="宋体"/>
          <w:b/>
          <w:bCs w:val="0"/>
          <w:color w:val="auto"/>
          <w:sz w:val="24"/>
          <w:highlight w:val="none"/>
          <w:lang w:val="en-US" w:eastAsia="zh-CN"/>
        </w:rPr>
        <w:t xml:space="preserve">30</w:t>
      </w:r>
      <w:r>
        <w:rPr>
          <w:rFonts w:hint="eastAsia" w:ascii="宋体" w:hAnsi="宋体" w:eastAsia="宋体" w:cs="宋体"/>
          <w:b/>
          <w:bCs w:val="0"/>
          <w:color w:val="auto"/>
          <w:sz w:val="24"/>
          <w:highlight w:val="none"/>
        </w:rPr>
        <w:t xml:space="preserve">。</w:t>
      </w:r>
      <w:r/>
    </w:p>
    <w:p>
      <w:pPr>
        <w:ind w:firstLine="480"/>
        <w:jc w:val="left"/>
        <w:spacing w:line="360" w:lineRule="auto"/>
        <w:rPr>
          <w:rFonts w:hint="eastAsia" w:ascii="宋体" w:hAnsi="宋体" w:eastAsia="宋体" w:cs="宋体"/>
          <w:b/>
          <w:bCs w:val="0"/>
          <w:sz w:val="24"/>
        </w:rPr>
      </w:pPr>
      <w:r>
        <w:rPr>
          <w:rFonts w:hint="eastAsia" w:ascii="宋体" w:hAnsi="宋体" w:eastAsia="宋体" w:cs="宋体"/>
          <w:b/>
          <w:bCs w:val="0"/>
          <w:sz w:val="24"/>
        </w:rPr>
        <w:t xml:space="preserve">（五）首次响应文件开启地点：</w:t>
      </w:r>
      <w:r/>
    </w:p>
    <w:p>
      <w:pPr>
        <w:ind w:firstLine="480"/>
        <w:jc w:val="left"/>
        <w:spacing w:line="360" w:lineRule="auto"/>
        <w:rPr>
          <w:rFonts w:hint="eastAsia" w:ascii="宋体" w:hAnsi="宋体" w:eastAsia="宋体" w:cs="宋体"/>
          <w:bCs/>
          <w:sz w:val="24"/>
        </w:rPr>
      </w:pPr>
      <w:r>
        <w:rPr>
          <w:rFonts w:hint="eastAsia" w:ascii="宋体" w:hAnsi="宋体" w:eastAsia="宋体" w:cs="宋体"/>
          <w:bCs/>
          <w:sz w:val="24"/>
        </w:rPr>
        <w:t xml:space="preserve">“苏采云”系统（网址：http://jszfcg.jsczt.cn/）“开标大厅”或进入徐州政府采购网（网址：http://czj.xz.gov.cn/Home/HomeIndex）-业务工作-用户登录，点击“苏采云”进入系统“开标大厅”。</w:t>
      </w:r>
      <w:r/>
    </w:p>
    <w:p>
      <w:pPr>
        <w:ind w:firstLine="480"/>
        <w:spacing w:line="360" w:lineRule="auto"/>
        <w:rPr>
          <w:rFonts w:hint="eastAsia" w:ascii="宋体" w:hAnsi="宋体" w:eastAsia="宋体" w:cs="宋体"/>
          <w:bCs/>
          <w:sz w:val="24"/>
        </w:rPr>
      </w:pPr>
      <w:r>
        <w:rPr>
          <w:rFonts w:hint="eastAsia" w:ascii="宋体" w:hAnsi="宋体" w:eastAsia="宋体" w:cs="宋体"/>
          <w:b/>
          <w:bCs w:val="0"/>
          <w:sz w:val="24"/>
        </w:rPr>
        <w:t xml:space="preserve">（六）</w:t>
      </w:r>
      <w:r>
        <w:rPr>
          <w:rFonts w:hint="eastAsia" w:ascii="宋体" w:hAnsi="宋体" w:eastAsia="宋体" w:cs="宋体"/>
          <w:bCs/>
          <w:sz w:val="24"/>
        </w:rPr>
        <w:t xml:space="preserve">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ind w:firstLine="480"/>
        <w:jc w:val="left"/>
        <w:spacing w:line="360" w:lineRule="auto"/>
        <w:rPr>
          <w:rFonts w:hint="eastAsia" w:ascii="宋体" w:hAnsi="宋体" w:eastAsia="宋体" w:cs="宋体"/>
          <w:bCs/>
          <w:sz w:val="24"/>
        </w:rPr>
      </w:pPr>
      <w:r>
        <w:rPr>
          <w:rFonts w:hint="eastAsia" w:ascii="宋体" w:hAnsi="宋体" w:eastAsia="宋体" w:cs="宋体"/>
          <w:b/>
          <w:bCs w:val="0"/>
          <w:sz w:val="24"/>
        </w:rPr>
        <w:t xml:space="preserve">（七）</w:t>
      </w:r>
      <w:r>
        <w:rPr>
          <w:rFonts w:hint="eastAsia" w:ascii="宋体" w:hAnsi="宋体" w:eastAsia="宋体" w:cs="宋体"/>
          <w:bCs/>
          <w:sz w:val="24"/>
        </w:rPr>
        <w:t xml:space="preserve">不接受不按要求加盖公章（电子签章）的首次响应文件。电子签章相关要求见“苏采云”系统。</w:t>
      </w:r>
      <w:r/>
    </w:p>
    <w:p>
      <w:pPr>
        <w:ind w:firstLine="480"/>
        <w:jc w:val="left"/>
        <w:spacing w:line="360" w:lineRule="auto"/>
        <w:rPr>
          <w:rFonts w:hint="eastAsia" w:ascii="宋体" w:hAnsi="宋体" w:eastAsia="宋体" w:cs="宋体"/>
          <w:bCs/>
          <w:sz w:val="24"/>
          <w:lang w:val="en-US" w:eastAsia="zh-CN"/>
        </w:rPr>
      </w:pPr>
      <w:r>
        <w:rPr>
          <w:rFonts w:hint="eastAsia" w:ascii="宋体" w:hAnsi="宋体" w:eastAsia="宋体" w:cs="宋体"/>
          <w:b/>
          <w:bCs w:val="0"/>
          <w:sz w:val="24"/>
        </w:rPr>
        <w:t xml:space="preserve">（八）</w:t>
      </w:r>
      <w:r>
        <w:rPr>
          <w:rFonts w:hint="eastAsia" w:ascii="宋体" w:hAnsi="宋体" w:eastAsia="宋体" w:cs="宋体"/>
          <w:bCs/>
          <w:sz w:val="24"/>
        </w:rPr>
        <w:t xml:space="preserve">首次响应文件解密：到达开启时间，“苏采云”系统自动提取所有响应文件，供应商按采购文件规定方式按时在线解密。本项目采购文件规定的供应商按时在线解密方式：开启时间后30分钟内，通过“苏采云”系统（使用“CA数字证书”）解密。</w:t>
      </w:r>
      <w:r/>
    </w:p>
    <w:p>
      <w:pPr>
        <w:ind w:firstLine="480"/>
        <w:spacing w:line="360" w:lineRule="auto"/>
        <w:rPr>
          <w:rFonts w:hint="eastAsia" w:ascii="宋体" w:hAnsi="宋体" w:eastAsia="宋体" w:cs="宋体"/>
          <w:bCs/>
          <w:sz w:val="24"/>
        </w:rPr>
      </w:pPr>
      <w:r>
        <w:rPr>
          <w:rFonts w:hint="eastAsia" w:ascii="宋体" w:hAnsi="宋体" w:eastAsia="宋体" w:cs="宋体"/>
          <w:b/>
          <w:bCs w:val="0"/>
          <w:sz w:val="24"/>
        </w:rPr>
        <w:t xml:space="preserve">（九）</w:t>
      </w:r>
      <w:r>
        <w:rPr>
          <w:rFonts w:hint="eastAsia" w:ascii="宋体" w:hAnsi="宋体" w:eastAsia="宋体" w:cs="宋体"/>
          <w:bCs/>
          <w:sz w:val="24"/>
        </w:rPr>
        <w:t xml:space="preserve">采购文件（后缀名为“.kedt”）、供应商操作手册及政府采购客户端工具可通过“苏采云”系统（网址：</w:t>
      </w:r>
      <w:r>
        <w:rPr>
          <w:rFonts w:hint="eastAsia" w:ascii="宋体" w:hAnsi="宋体" w:eastAsia="宋体" w:cs="宋体"/>
          <w:bCs/>
          <w:sz w:val="24"/>
        </w:rPr>
        <w:fldChar w:fldCharType="begin"/>
      </w:r>
      <w:r>
        <w:rPr>
          <w:rFonts w:hint="eastAsia" w:ascii="宋体" w:hAnsi="宋体" w:eastAsia="宋体" w:cs="宋体"/>
          <w:bCs/>
          <w:sz w:val="24"/>
        </w:rPr>
        <w:instrText xml:space="preserve"> HYPERLINK "http://jszfcg.jsczt.cn/" \o "http://jszfcg.jsczt.cn/" </w:instrText>
      </w:r>
      <w:r>
        <w:rPr>
          <w:rFonts w:hint="eastAsia" w:ascii="宋体" w:hAnsi="宋体" w:eastAsia="宋体" w:cs="宋体"/>
          <w:bCs/>
          <w:sz w:val="24"/>
        </w:rPr>
        <w:fldChar w:fldCharType="separate"/>
      </w:r>
      <w:r>
        <w:rPr>
          <w:rFonts w:hint="eastAsia" w:ascii="宋体" w:hAnsi="宋体" w:eastAsia="宋体" w:cs="宋体"/>
          <w:bCs/>
          <w:sz w:val="24"/>
        </w:rPr>
        <w:t xml:space="preserve">http://jszfcg.jsczt.cn/</w:t>
      </w:r>
      <w:r>
        <w:rPr>
          <w:rFonts w:hint="eastAsia" w:ascii="宋体" w:hAnsi="宋体" w:eastAsia="宋体" w:cs="宋体"/>
          <w:bCs/>
          <w:sz w:val="24"/>
        </w:rPr>
        <w:fldChar w:fldCharType="end"/>
      </w:r>
      <w:r>
        <w:rPr>
          <w:rFonts w:hint="eastAsia" w:ascii="宋体" w:hAnsi="宋体" w:eastAsia="宋体" w:cs="宋体"/>
          <w:bCs/>
          <w:sz w:val="24"/>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480"/>
        <w:jc w:val="left"/>
        <w:spacing w:line="360" w:lineRule="auto"/>
        <w:rPr>
          <w:rFonts w:hint="eastAsia" w:ascii="宋体" w:hAnsi="宋体" w:eastAsia="宋体" w:cs="宋体"/>
        </w:rPr>
      </w:pPr>
      <w:r>
        <w:rPr>
          <w:rFonts w:hint="eastAsia" w:ascii="宋体" w:hAnsi="宋体" w:eastAsia="宋体" w:cs="宋体"/>
          <w:b/>
          <w:bCs w:val="0"/>
          <w:sz w:val="24"/>
        </w:rPr>
        <w:t xml:space="preserve">（十）相关说明: </w:t>
      </w:r>
      <w:r>
        <w:rPr>
          <w:rFonts w:hint="eastAsia" w:ascii="宋体" w:hAnsi="宋体" w:eastAsia="宋体" w:cs="宋体"/>
          <w:bCs/>
          <w:sz w:val="24"/>
        </w:rPr>
        <w:t xml:space="preserve">供应商在“苏采云”系统中提交首次响应文件的时间即为数据电文（响应文件，下同）的发送时间和接收时间。</w:t>
      </w:r>
      <w:r/>
    </w:p>
    <w:p>
      <w:pPr>
        <w:ind w:firstLine="482"/>
        <w:spacing w:line="360" w:lineRule="auto"/>
        <w:rPr>
          <w:rFonts w:hint="eastAsia" w:ascii="宋体" w:hAnsi="宋体" w:eastAsia="宋体" w:cs="宋体"/>
          <w:b/>
          <w:bCs/>
          <w:sz w:val="24"/>
        </w:rPr>
      </w:pPr>
      <w:r>
        <w:rPr>
          <w:rFonts w:hint="eastAsia" w:ascii="宋体" w:hAnsi="宋体" w:eastAsia="宋体" w:cs="宋体"/>
          <w:b/>
          <w:bCs/>
          <w:sz w:val="24"/>
        </w:rPr>
        <w:t xml:space="preserve">十三、响应文件编制要求</w:t>
      </w:r>
      <w:r/>
    </w:p>
    <w:p>
      <w:pPr>
        <w:ind w:firstLine="480"/>
        <w:spacing w:line="360" w:lineRule="auto"/>
        <w:rPr>
          <w:rFonts w:hint="eastAsia" w:ascii="宋体" w:hAnsi="宋体" w:eastAsia="宋体" w:cs="宋体"/>
          <w:b/>
          <w:bCs w:val="0"/>
          <w:sz w:val="24"/>
        </w:rPr>
      </w:pPr>
      <w:r>
        <w:rPr>
          <w:rFonts w:hint="eastAsia" w:ascii="宋体" w:hAnsi="宋体" w:eastAsia="宋体" w:cs="宋体"/>
          <w:b/>
          <w:bCs w:val="0"/>
          <w:sz w:val="24"/>
        </w:rPr>
        <w:t xml:space="preserve">请按照以下要求（包括但不限于以下要求）制作：</w:t>
      </w:r>
      <w:r/>
    </w:p>
    <w:p>
      <w:pPr>
        <w:ind w:firstLine="482"/>
        <w:spacing w:line="360" w:lineRule="auto"/>
        <w:rPr>
          <w:rFonts w:hint="eastAsia" w:ascii="宋体" w:hAnsi="宋体" w:eastAsia="宋体" w:cs="宋体"/>
          <w:b/>
          <w:bCs w:val="0"/>
          <w:sz w:val="24"/>
        </w:rPr>
      </w:pPr>
      <w:r>
        <w:rPr>
          <w:rFonts w:hint="eastAsia" w:ascii="宋体" w:hAnsi="宋体" w:eastAsia="宋体" w:cs="宋体"/>
          <w:b/>
          <w:bCs w:val="0"/>
          <w:sz w:val="24"/>
        </w:rPr>
        <w:t xml:space="preserve">（一）基本目录</w:t>
      </w:r>
      <w:r/>
    </w:p>
    <w:p>
      <w:pPr>
        <w:ind w:firstLine="480"/>
        <w:keepLines w:val="0"/>
        <w:keepNext w:val="0"/>
        <w:pageBreakBefore w:val="0"/>
        <w:spacing w:line="360" w:lineRule="auto"/>
        <w:tabs>
          <w:tab w:val="left" w:pos="988" w:leader="none"/>
        </w:tabs>
        <w:rPr>
          <w:rFonts w:hint="default" w:ascii="宋体" w:hAnsi="宋体" w:eastAsia="宋体" w:cs="宋体"/>
          <w:b/>
          <w:bCs w:val="0"/>
          <w:sz w:val="24"/>
          <w:lang w:val="en-US" w:eastAsia="zh-CN"/>
        </w:rPr>
      </w:pPr>
      <w:r>
        <w:rPr>
          <w:rFonts w:hint="eastAsia" w:ascii="宋体" w:hAnsi="宋体" w:eastAsia="宋体" w:cs="宋体"/>
          <w:b/>
          <w:bCs w:val="0"/>
          <w:sz w:val="24"/>
        </w:rPr>
        <w:t xml:space="preserve">1</w:t>
      </w:r>
      <w:r>
        <w:rPr>
          <w:rFonts w:hint="eastAsia" w:ascii="宋体" w:hAnsi="宋体" w:eastAsia="宋体" w:cs="宋体"/>
          <w:b/>
          <w:bCs w:val="0"/>
          <w:sz w:val="24"/>
          <w:lang w:eastAsia="zh-CN"/>
        </w:rPr>
        <w:t xml:space="preserve">、</w:t>
      </w:r>
      <w:r>
        <w:rPr>
          <w:rFonts w:hint="eastAsia" w:ascii="宋体" w:hAnsi="宋体" w:cs="宋体"/>
          <w:b/>
          <w:bCs w:val="0"/>
          <w:sz w:val="24"/>
          <w:lang w:val="en-US" w:eastAsia="zh-CN"/>
        </w:rPr>
        <w:t xml:space="preserve">目录</w:t>
      </w:r>
      <w:r/>
    </w:p>
    <w:p>
      <w:pPr>
        <w:ind w:firstLine="480"/>
        <w:keepLines w:val="0"/>
        <w:keepNext w:val="0"/>
        <w:pageBreakBefore w:val="0"/>
        <w:spacing w:line="360" w:lineRule="auto"/>
        <w:rPr>
          <w:rFonts w:hint="eastAsia" w:ascii="宋体" w:hAnsi="宋体" w:eastAsia="宋体" w:cs="宋体"/>
          <w:bCs/>
          <w:sz w:val="24"/>
          <w:lang w:eastAsia="zh-CN"/>
        </w:rPr>
      </w:pPr>
      <w:r>
        <w:rPr>
          <w:rFonts w:hint="eastAsia" w:ascii="宋体" w:hAnsi="宋体" w:eastAsia="宋体" w:cs="宋体"/>
          <w:b/>
          <w:bCs w:val="0"/>
          <w:sz w:val="24"/>
          <w:lang w:val="en-US" w:eastAsia="zh-CN"/>
        </w:rPr>
        <w:t xml:space="preserve">2、</w:t>
      </w:r>
      <w:r>
        <w:rPr>
          <w:rFonts w:hint="eastAsia" w:ascii="宋体" w:hAnsi="宋体" w:eastAsia="宋体" w:cs="宋体"/>
          <w:b/>
          <w:bCs w:val="0"/>
          <w:sz w:val="24"/>
        </w:rPr>
        <w:t xml:space="preserve">《磋商报价表》</w:t>
      </w:r>
      <w:r>
        <w:rPr>
          <w:rFonts w:hint="eastAsia" w:ascii="宋体" w:hAnsi="宋体" w:eastAsia="宋体" w:cs="宋体"/>
          <w:bCs/>
          <w:sz w:val="24"/>
        </w:rPr>
        <w:t xml:space="preserve">（加盖电子签章，格式见《磋商文件》附件。政府采购客户端工具输入报价自动生成</w:t>
      </w:r>
      <w:r>
        <w:rPr>
          <w:rFonts w:hint="eastAsia" w:ascii="宋体" w:hAnsi="宋体" w:eastAsia="宋体" w:cs="宋体"/>
          <w:bCs/>
          <w:sz w:val="24"/>
          <w:lang w:eastAsia="zh-CN"/>
        </w:rPr>
        <w:t xml:space="preserve">。</w:t>
      </w:r>
      <w:r>
        <w:rPr>
          <w:rFonts w:hint="eastAsia" w:ascii="宋体" w:hAnsi="宋体" w:eastAsia="宋体" w:cs="宋体"/>
          <w:bCs/>
          <w:sz w:val="24"/>
        </w:rPr>
        <w:t xml:space="preserve">）</w:t>
      </w:r>
      <w:r>
        <w:rPr>
          <w:rFonts w:hint="eastAsia" w:ascii="宋体" w:hAnsi="宋体" w:eastAsia="宋体" w:cs="宋体"/>
          <w:bCs/>
          <w:sz w:val="24"/>
          <w:lang w:eastAsia="zh-CN"/>
        </w:rPr>
        <w:t xml:space="preserve">。</w:t>
      </w:r>
      <w:r/>
    </w:p>
    <w:p>
      <w:pPr>
        <w:ind w:firstLine="482"/>
        <w:keepLines w:val="0"/>
        <w:keepNext w:val="0"/>
        <w:pageBreakBefore w:val="0"/>
        <w:spacing w:line="360" w:lineRule="auto"/>
        <w:rPr>
          <w:rFonts w:hint="eastAsia" w:ascii="宋体" w:hAnsi="宋体" w:eastAsia="宋体" w:cs="宋体"/>
          <w:bCs/>
          <w:sz w:val="24"/>
        </w:rPr>
      </w:pPr>
      <w:r>
        <w:rPr>
          <w:rFonts w:hint="eastAsia" w:ascii="宋体" w:hAnsi="宋体" w:eastAsia="宋体" w:cs="宋体"/>
          <w:b/>
          <w:bCs w:val="0"/>
          <w:sz w:val="24"/>
        </w:rPr>
        <w:t xml:space="preserve">（二）资格条件（必须提供，否则响应无效）</w:t>
      </w:r>
      <w:r/>
    </w:p>
    <w:p>
      <w:pPr>
        <w:pStyle w:val="1002"/>
        <w:ind w:firstLine="482"/>
        <w:keepLines w:val="0"/>
        <w:keepNext w:val="0"/>
        <w:pageBreakBefore w:val="0"/>
        <w:spacing w:line="360" w:lineRule="auto"/>
        <w:widowControl w:val="off"/>
        <w:rPr>
          <w:rFonts w:hint="eastAsia" w:ascii="宋体" w:hAnsi="宋体" w:cs="宋体"/>
          <w:b/>
          <w:bCs/>
          <w:color w:val="auto"/>
          <w:sz w:val="24"/>
          <w:highlight w:val="none"/>
        </w:rPr>
      </w:pPr>
      <w:r>
        <w:rPr>
          <w:rFonts w:hint="eastAsia" w:ascii="宋体" w:hAnsi="宋体" w:cs="宋体"/>
          <w:b/>
          <w:bCs/>
          <w:color w:val="auto"/>
          <w:sz w:val="24"/>
          <w:highlight w:val="none"/>
        </w:rPr>
        <w:t xml:space="preserve">1、具有独立承担民事责任的能力</w:t>
      </w:r>
      <w:r/>
    </w:p>
    <w:p>
      <w:pPr>
        <w:pStyle w:val="1002"/>
        <w:ind w:firstLine="480"/>
        <w:keepLines w:val="0"/>
        <w:keepNext w:val="0"/>
        <w:pageBreakBefore w:val="0"/>
        <w:spacing w:line="360" w:lineRule="auto"/>
        <w:widowControl w:val="off"/>
        <w:rPr>
          <w:rFonts w:hint="eastAsia" w:ascii="宋体" w:hAnsi="宋体" w:cs="宋体"/>
          <w:b w:val="0"/>
          <w:bCs w:val="0"/>
          <w:color w:val="auto"/>
          <w:sz w:val="24"/>
          <w:highlight w:val="none"/>
        </w:rPr>
      </w:pPr>
      <w:r>
        <w:rPr>
          <w:rFonts w:hint="eastAsia" w:ascii="宋体" w:hAnsi="宋体" w:cs="宋体"/>
          <w:b w:val="0"/>
          <w:bCs w:val="0"/>
          <w:color w:val="auto"/>
          <w:sz w:val="24"/>
          <w:highlight w:val="none"/>
          <w:lang w:val="en-US" w:eastAsia="zh-CN"/>
        </w:rPr>
        <w:t xml:space="preserve">供应商</w:t>
      </w:r>
      <w:r>
        <w:rPr>
          <w:rFonts w:hint="eastAsia" w:ascii="宋体" w:hAnsi="宋体" w:cs="宋体"/>
          <w:b w:val="0"/>
          <w:bCs w:val="0"/>
          <w:color w:val="auto"/>
          <w:sz w:val="24"/>
          <w:highlight w:val="none"/>
        </w:rPr>
        <w:t xml:space="preserve">提供合法有效的法人的营业执照</w:t>
      </w:r>
      <w:r>
        <w:rPr>
          <w:rFonts w:hint="eastAsia" w:ascii="宋体" w:hAnsi="宋体" w:cs="宋体"/>
          <w:b w:val="0"/>
          <w:bCs w:val="0"/>
          <w:color w:val="auto"/>
          <w:sz w:val="24"/>
          <w:highlight w:val="none"/>
          <w:lang w:val="en-US" w:eastAsia="zh-CN"/>
        </w:rPr>
        <w:t xml:space="preserve">扫描件</w:t>
      </w:r>
      <w:r>
        <w:rPr>
          <w:rFonts w:hint="eastAsia" w:ascii="宋体" w:hAnsi="宋体" w:cs="宋体"/>
          <w:b w:val="0"/>
          <w:bCs w:val="0"/>
          <w:color w:val="auto"/>
          <w:sz w:val="24"/>
          <w:highlight w:val="none"/>
        </w:rPr>
        <w:t xml:space="preserve">或</w:t>
      </w:r>
      <w:r>
        <w:rPr>
          <w:rFonts w:hint="eastAsia" w:ascii="宋体" w:hAnsi="宋体" w:eastAsia="宋体" w:cs="宋体"/>
          <w:b w:val="0"/>
          <w:bCs w:val="0"/>
          <w:sz w:val="24"/>
        </w:rPr>
        <w:t xml:space="preserve">其他组织</w:t>
      </w:r>
      <w:r>
        <w:rPr>
          <w:rFonts w:hint="eastAsia" w:ascii="宋体" w:hAnsi="宋体" w:eastAsia="宋体" w:cs="宋体"/>
          <w:b w:val="0"/>
          <w:bCs w:val="0"/>
          <w:sz w:val="24"/>
          <w:lang w:eastAsia="zh-CN"/>
        </w:rPr>
        <w:t xml:space="preserve">的</w:t>
      </w:r>
      <w:r>
        <w:rPr>
          <w:rFonts w:hint="eastAsia" w:ascii="宋体" w:hAnsi="宋体" w:eastAsia="宋体" w:cs="宋体"/>
          <w:b w:val="0"/>
          <w:bCs w:val="0"/>
          <w:sz w:val="24"/>
        </w:rPr>
        <w:t xml:space="preserve">合法</w:t>
      </w:r>
      <w:r>
        <w:rPr>
          <w:rFonts w:hint="eastAsia" w:ascii="宋体" w:hAnsi="宋体" w:eastAsia="宋体" w:cs="宋体"/>
          <w:b w:val="0"/>
          <w:bCs w:val="0"/>
          <w:sz w:val="24"/>
          <w:lang w:eastAsia="zh-CN"/>
        </w:rPr>
        <w:t xml:space="preserve">有效的证书</w:t>
      </w:r>
      <w:r>
        <w:rPr>
          <w:rFonts w:hint="eastAsia" w:ascii="宋体" w:hAnsi="宋体" w:eastAsia="宋体" w:cs="宋体"/>
          <w:b w:val="0"/>
          <w:bCs w:val="0"/>
          <w:sz w:val="24"/>
        </w:rPr>
        <w:t xml:space="preserve">证明文件</w:t>
      </w:r>
      <w:r>
        <w:rPr>
          <w:rFonts w:hint="eastAsia" w:ascii="宋体" w:hAnsi="宋体" w:eastAsia="宋体" w:cs="宋体"/>
          <w:b w:val="0"/>
          <w:bCs w:val="0"/>
          <w:sz w:val="24"/>
          <w:lang w:eastAsia="zh-CN"/>
        </w:rPr>
        <w:t xml:space="preserve">扫描件</w:t>
      </w:r>
      <w:r>
        <w:rPr>
          <w:rFonts w:hint="eastAsia" w:ascii="宋体" w:hAnsi="宋体" w:cs="宋体"/>
          <w:b w:val="0"/>
          <w:bCs w:val="0"/>
          <w:color w:val="auto"/>
          <w:sz w:val="24"/>
          <w:highlight w:val="none"/>
        </w:rPr>
        <w:t xml:space="preserve">。</w:t>
      </w:r>
      <w:r/>
    </w:p>
    <w:p>
      <w:pPr>
        <w:pStyle w:val="1002"/>
        <w:ind w:firstLine="482"/>
        <w:keepLines w:val="0"/>
        <w:keepNext w:val="0"/>
        <w:pageBreakBefore w:val="0"/>
        <w:spacing w:line="360" w:lineRule="auto"/>
        <w:widowControl w:val="off"/>
        <w:rPr>
          <w:rFonts w:hint="eastAsia" w:ascii="宋体" w:hAnsi="宋体" w:cs="宋体"/>
          <w:b/>
          <w:bCs/>
          <w:color w:val="auto"/>
          <w:sz w:val="24"/>
          <w:highlight w:val="none"/>
        </w:rPr>
      </w:pPr>
      <w:r>
        <w:rPr>
          <w:rFonts w:hint="eastAsia" w:ascii="宋体" w:hAnsi="宋体" w:cs="宋体"/>
          <w:b/>
          <w:bCs/>
          <w:color w:val="auto"/>
          <w:sz w:val="24"/>
          <w:highlight w:val="none"/>
        </w:rPr>
        <w:t xml:space="preserve">2、具有良好的商业信誉和健全的财务会计制度</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至少提供</w:t>
      </w:r>
      <w:r>
        <w:rPr>
          <w:rFonts w:hint="eastAsia" w:ascii="宋体" w:hAnsi="宋体" w:cs="宋体"/>
          <w:b/>
          <w:bCs/>
          <w:color w:val="auto"/>
          <w:sz w:val="24"/>
          <w:highlight w:val="none"/>
          <w:lang w:eastAsia="zh-CN"/>
        </w:rPr>
        <w:t xml:space="preserve">：</w:t>
      </w:r>
      <w:r/>
    </w:p>
    <w:p>
      <w:pPr>
        <w:pStyle w:val="1002"/>
        <w:ind w:firstLine="480"/>
        <w:keepLines w:val="0"/>
        <w:keepNext w:val="0"/>
        <w:pageBreakBefore w:val="0"/>
        <w:spacing w:line="360" w:lineRule="auto"/>
        <w:widowControl w:val="off"/>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供应商的“首次响应文件提交的截止时间”前六个月内（不含“首次响应文件提交的截止时间”当月）任何</w:t>
      </w:r>
      <w:r>
        <w:rPr>
          <w:rFonts w:hint="eastAsia" w:ascii="宋体" w:hAnsi="宋体" w:cs="宋体"/>
          <w:b w:val="0"/>
          <w:bCs w:val="0"/>
          <w:color w:val="auto"/>
          <w:sz w:val="24"/>
          <w:highlight w:val="none"/>
          <w:lang w:val="en-US" w:eastAsia="zh-CN"/>
        </w:rPr>
        <w:t xml:space="preserve">一月</w:t>
      </w:r>
      <w:r>
        <w:rPr>
          <w:rFonts w:hint="eastAsia" w:ascii="宋体" w:hAnsi="宋体" w:cs="宋体"/>
          <w:b w:val="0"/>
          <w:bCs w:val="0"/>
          <w:color w:val="auto"/>
          <w:sz w:val="24"/>
          <w:highlight w:val="none"/>
        </w:rPr>
        <w:t xml:space="preserve">的资产负债表和利润表月报表扫描件；或供应商基本开户银行出具的有效的资信证明扫描件；或财政部门认可的政府采购专业担保机构出具的有效的担保函扫描件；或合法有效的经第三方机构审计的年度财务审计报告扫描件（</w:t>
      </w:r>
      <w:r>
        <w:rPr>
          <w:rFonts w:hint="eastAsia" w:ascii="宋体" w:hAnsi="宋体" w:cs="宋体"/>
          <w:b w:val="0"/>
          <w:bCs w:val="0"/>
          <w:color w:val="auto"/>
          <w:sz w:val="24"/>
          <w:highlight w:val="none"/>
          <w:lang w:val="en-US" w:eastAsia="zh-CN"/>
        </w:rPr>
        <w:t xml:space="preserve">2024年度或2025年度</w:t>
      </w:r>
      <w:r>
        <w:rPr>
          <w:rFonts w:hint="eastAsia" w:ascii="宋体" w:hAnsi="宋体" w:cs="宋体"/>
          <w:b w:val="0"/>
          <w:bCs w:val="0"/>
          <w:color w:val="auto"/>
          <w:sz w:val="24"/>
          <w:highlight w:val="none"/>
        </w:rPr>
        <w:t xml:space="preserve">，应至少包括审计报告正文、资产负债表、现金流量表、利润表）。</w:t>
      </w:r>
      <w:bookmarkStart w:id="70" w:name="_GoBack"/>
      <w:r/>
      <w:bookmarkEnd w:id="70"/>
      <w:r/>
      <w:r/>
    </w:p>
    <w:p>
      <w:pPr>
        <w:pStyle w:val="1002"/>
        <w:ind w:firstLine="482"/>
        <w:keepLines w:val="0"/>
        <w:keepNext w:val="0"/>
        <w:pageBreakBefore w:val="0"/>
        <w:spacing w:line="360" w:lineRule="auto"/>
        <w:widowControl w:val="off"/>
        <w:rPr>
          <w:rFonts w:hint="eastAsia" w:ascii="宋体" w:hAnsi="宋体" w:cs="宋体"/>
          <w:b/>
          <w:bCs/>
          <w:color w:val="auto"/>
          <w:sz w:val="24"/>
          <w:highlight w:val="none"/>
        </w:rPr>
      </w:pPr>
      <w:r>
        <w:rPr>
          <w:rFonts w:hint="eastAsia" w:ascii="宋体" w:hAnsi="宋体" w:cs="宋体"/>
          <w:b/>
          <w:bCs/>
          <w:color w:val="auto"/>
          <w:sz w:val="24"/>
          <w:highlight w:val="none"/>
        </w:rPr>
        <w:t xml:space="preserve">3、有依法缴纳税收和社会保障资金的良好记录</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至少提供</w:t>
      </w:r>
      <w:r>
        <w:rPr>
          <w:rFonts w:hint="eastAsia" w:ascii="宋体" w:hAnsi="宋体" w:cs="宋体"/>
          <w:b/>
          <w:bCs/>
          <w:color w:val="auto"/>
          <w:sz w:val="24"/>
          <w:highlight w:val="none"/>
          <w:lang w:eastAsia="zh-CN"/>
        </w:rPr>
        <w:t xml:space="preserve">：</w:t>
      </w:r>
      <w:r/>
    </w:p>
    <w:p>
      <w:pPr>
        <w:pStyle w:val="1002"/>
        <w:ind w:firstLine="480"/>
        <w:keepLines w:val="0"/>
        <w:keepNext w:val="0"/>
        <w:pageBreakBefore w:val="0"/>
        <w:spacing w:line="360" w:lineRule="auto"/>
        <w:widowControl w:val="off"/>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供应商的“首次响应文件提交的截止时间”前六个月内（不含“首次响应文件提交的截止时间”当月）任何一月的依法缴纳税收和社会保障资金的相关材料扫描件；依法免税或不需要缴纳社会保障资金的供应商应提供相应其依法免税或不需要缴纳社会保障资金的证明文件扫描件。</w:t>
      </w:r>
      <w:r/>
    </w:p>
    <w:p>
      <w:pPr>
        <w:pStyle w:val="1002"/>
        <w:ind w:firstLine="482"/>
        <w:keepLines w:val="0"/>
        <w:keepNext w:val="0"/>
        <w:pageBreakBefore w:val="0"/>
        <w:spacing w:line="360" w:lineRule="auto"/>
        <w:widowControl w:val="off"/>
        <w:rPr>
          <w:rFonts w:hint="eastAsia" w:ascii="宋体" w:hAnsi="宋体" w:eastAsia="宋体" w:cs="宋体"/>
          <w:b/>
          <w:bCs w:val="0"/>
          <w:sz w:val="24"/>
          <w:lang w:eastAsia="zh-CN"/>
        </w:rPr>
      </w:pPr>
      <w:r>
        <w:rPr>
          <w:rFonts w:hint="eastAsia" w:ascii="宋体" w:hAnsi="宋体" w:cs="宋体"/>
          <w:b/>
          <w:bCs/>
          <w:color w:val="auto"/>
          <w:sz w:val="24"/>
          <w:highlight w:val="none"/>
        </w:rPr>
        <w:t xml:space="preserve">4、具备履行合同所必需的设备和专业技术能力</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提供《具备履行合同所必需的设备和专业技术能力的书面声明（附证明材料扫描件）》</w:t>
      </w:r>
      <w:r>
        <w:rPr>
          <w:rFonts w:hint="eastAsia" w:ascii="宋体" w:hAnsi="宋体" w:eastAsia="宋体" w:cs="宋体"/>
          <w:b/>
          <w:bCs w:val="0"/>
          <w:sz w:val="24"/>
        </w:rPr>
        <w:t xml:space="preserve">（加盖</w:t>
      </w:r>
      <w:r>
        <w:rPr>
          <w:rFonts w:hint="eastAsia" w:ascii="宋体" w:hAnsi="宋体" w:eastAsia="宋体" w:cs="宋体"/>
          <w:b/>
          <w:bCs w:val="0"/>
          <w:sz w:val="24"/>
          <w:lang w:eastAsia="zh-CN"/>
        </w:rPr>
        <w:t xml:space="preserve">电子签章</w:t>
      </w:r>
      <w:r>
        <w:rPr>
          <w:rFonts w:hint="eastAsia" w:ascii="宋体" w:hAnsi="宋体" w:eastAsia="宋体" w:cs="宋体"/>
          <w:b/>
          <w:bCs w:val="0"/>
          <w:sz w:val="24"/>
        </w:rPr>
        <w:t xml:space="preserve">，格式见《磋商文件》附件）</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所附证明材料扫描件可不加盖电子签章。</w:t>
      </w:r>
      <w:r/>
    </w:p>
    <w:p>
      <w:pPr>
        <w:pStyle w:val="1002"/>
        <w:ind w:firstLine="482"/>
        <w:keepLines w:val="0"/>
        <w:keepNext w:val="0"/>
        <w:pageBreakBefore w:val="0"/>
        <w:spacing w:line="360" w:lineRule="auto"/>
        <w:widowControl w:val="off"/>
        <w:rPr>
          <w:rFonts w:hint="eastAsia" w:ascii="宋体" w:hAnsi="宋体" w:cs="宋体"/>
          <w:b/>
          <w:bCs/>
          <w:color w:val="auto"/>
          <w:sz w:val="24"/>
          <w:highlight w:val="none"/>
        </w:rPr>
      </w:pPr>
      <w:r>
        <w:rPr>
          <w:rFonts w:hint="eastAsia" w:ascii="宋体" w:hAnsi="宋体" w:cs="宋体"/>
          <w:b/>
          <w:bCs/>
          <w:color w:val="auto"/>
          <w:sz w:val="24"/>
          <w:highlight w:val="none"/>
        </w:rPr>
        <w:t xml:space="preserve">5、供应商参加政府采购活动前三年内在经营活动中没有重大违法记录的书面声明（加盖电子签章，</w:t>
      </w:r>
      <w:r>
        <w:rPr>
          <w:rFonts w:hint="eastAsia" w:ascii="宋体" w:hAnsi="宋体" w:eastAsia="宋体" w:cs="宋体"/>
          <w:b/>
          <w:bCs/>
          <w:color w:val="auto"/>
          <w:sz w:val="24"/>
        </w:rPr>
        <w:t xml:space="preserve">格式见《磋商文件》附件</w:t>
      </w:r>
      <w:r>
        <w:rPr>
          <w:rFonts w:hint="eastAsia" w:ascii="宋体" w:hAnsi="宋体" w:cs="宋体"/>
          <w:b/>
          <w:bCs/>
          <w:color w:val="auto"/>
          <w:sz w:val="24"/>
          <w:highlight w:val="none"/>
        </w:rPr>
        <w:t xml:space="preserve">）。</w:t>
      </w:r>
      <w:r/>
    </w:p>
    <w:p>
      <w:pPr>
        <w:pStyle w:val="1002"/>
        <w:ind w:firstLine="482"/>
        <w:keepLines w:val="0"/>
        <w:keepNext w:val="0"/>
        <w:pageBreakBefore w:val="0"/>
        <w:spacing w:line="360" w:lineRule="auto"/>
        <w:widowControl w:val="off"/>
        <w:rPr>
          <w:rFonts w:hint="eastAsia" w:ascii="宋体" w:hAnsi="宋体" w:cs="宋体"/>
          <w:b/>
          <w:bCs/>
          <w:color w:val="auto"/>
          <w:sz w:val="24"/>
          <w:highlight w:val="none"/>
        </w:rPr>
      </w:pPr>
      <w:r>
        <w:rPr>
          <w:rFonts w:hint="eastAsia" w:ascii="宋体" w:hAnsi="宋体" w:cs="宋体"/>
          <w:b/>
          <w:bCs/>
          <w:color w:val="auto"/>
          <w:sz w:val="24"/>
          <w:highlight w:val="none"/>
        </w:rPr>
        <w:t xml:space="preserve">6、本项目特定资格要求：</w:t>
      </w:r>
      <w:r/>
    </w:p>
    <w:p>
      <w:pPr>
        <w:pStyle w:val="1002"/>
        <w:ind w:firstLine="480"/>
        <w:keepLines w:val="0"/>
        <w:keepNext w:val="0"/>
        <w:pageBreakBefore w:val="0"/>
        <w:spacing w:line="360" w:lineRule="auto"/>
        <w:widowControl w:val="off"/>
        <w:rPr>
          <w:rFonts w:hint="eastAsia" w:ascii="宋体" w:hAnsi="宋体" w:cs="宋体"/>
          <w:b w:val="0"/>
          <w:bCs w:val="0"/>
          <w:color w:val="auto"/>
          <w:sz w:val="24"/>
          <w:highlight w:val="none"/>
        </w:rPr>
      </w:pPr>
      <w:r>
        <w:rPr>
          <w:rFonts w:hint="eastAsia" w:ascii="宋体" w:hAnsi="宋体" w:cs="宋体"/>
          <w:b w:val="0"/>
          <w:bCs w:val="0"/>
          <w:color w:val="auto"/>
          <w:sz w:val="24"/>
          <w:highlight w:val="none"/>
          <w:lang w:eastAsia="zh-CN"/>
        </w:rPr>
        <w:t xml:space="preserve">（</w:t>
      </w:r>
      <w:r>
        <w:rPr>
          <w:rFonts w:hint="eastAsia" w:ascii="宋体" w:hAnsi="宋体" w:cs="宋体"/>
          <w:b w:val="0"/>
          <w:bCs w:val="0"/>
          <w:color w:val="auto"/>
          <w:sz w:val="24"/>
          <w:highlight w:val="none"/>
          <w:lang w:val="en-US" w:eastAsia="zh-CN"/>
        </w:rPr>
        <w:t xml:space="preserve">1</w:t>
      </w:r>
      <w:r>
        <w:rPr>
          <w:rFonts w:hint="eastAsia" w:ascii="宋体" w:hAnsi="宋体" w:cs="宋体"/>
          <w:b w:val="0"/>
          <w:bCs w:val="0"/>
          <w:color w:val="auto"/>
          <w:sz w:val="24"/>
          <w:highlight w:val="none"/>
          <w:lang w:eastAsia="zh-CN"/>
        </w:rPr>
        <w:t xml:space="preserve">）</w:t>
      </w:r>
      <w:r>
        <w:rPr>
          <w:rFonts w:hint="eastAsia" w:ascii="宋体" w:hAnsi="宋体" w:cs="宋体"/>
          <w:b w:val="0"/>
          <w:bCs w:val="0"/>
          <w:color w:val="auto"/>
          <w:sz w:val="24"/>
          <w:highlight w:val="none"/>
        </w:rPr>
        <w:t xml:space="preserve">供应商</w:t>
      </w:r>
      <w:r>
        <w:rPr>
          <w:rFonts w:hint="eastAsia" w:ascii="宋体" w:hAnsi="宋体" w:eastAsia="宋体" w:cs="宋体"/>
          <w:b w:val="0"/>
          <w:bCs w:val="0"/>
          <w:color w:val="auto"/>
          <w:sz w:val="24"/>
          <w:lang w:val="en-US" w:eastAsia="zh-CN"/>
        </w:rPr>
        <w:t xml:space="preserve">合法有效的市政公用工程施工总承包</w:t>
      </w:r>
      <w:r>
        <w:rPr>
          <w:rFonts w:hint="eastAsia" w:ascii="宋体" w:hAnsi="宋体" w:cs="宋体"/>
          <w:b w:val="0"/>
          <w:bCs w:val="0"/>
          <w:color w:val="auto"/>
          <w:sz w:val="24"/>
          <w:lang w:val="en-US" w:eastAsia="zh-CN"/>
        </w:rPr>
        <w:t xml:space="preserve">三</w:t>
      </w:r>
      <w:r>
        <w:rPr>
          <w:rFonts w:hint="eastAsia" w:ascii="宋体" w:hAnsi="宋体" w:eastAsia="宋体" w:cs="宋体"/>
          <w:b w:val="0"/>
          <w:bCs w:val="0"/>
          <w:color w:val="auto"/>
          <w:sz w:val="24"/>
          <w:lang w:val="en-US" w:eastAsia="zh-CN"/>
        </w:rPr>
        <w:t xml:space="preserve">级（含）以上资质证书</w:t>
      </w:r>
      <w:r>
        <w:rPr>
          <w:rFonts w:hint="eastAsia" w:ascii="宋体" w:hAnsi="宋体" w:cs="宋体"/>
          <w:b w:val="0"/>
          <w:bCs w:val="0"/>
          <w:color w:val="auto"/>
          <w:sz w:val="24"/>
          <w:lang w:val="en-US" w:eastAsia="zh-CN"/>
        </w:rPr>
        <w:t xml:space="preserve">扫描件</w:t>
      </w:r>
      <w:r>
        <w:rPr>
          <w:rFonts w:hint="eastAsia" w:ascii="宋体" w:hAnsi="宋体" w:eastAsia="宋体" w:cs="宋体"/>
          <w:b w:val="0"/>
          <w:bCs w:val="0"/>
          <w:color w:val="auto"/>
          <w:sz w:val="24"/>
          <w:lang w:val="en-US" w:eastAsia="zh-CN"/>
        </w:rPr>
        <w:t xml:space="preserve">及</w:t>
      </w:r>
      <w:r>
        <w:rPr>
          <w:rFonts w:hint="eastAsia" w:ascii="宋体" w:hAnsi="宋体" w:cs="宋体"/>
          <w:b w:val="0"/>
          <w:bCs w:val="0"/>
          <w:color w:val="auto"/>
          <w:sz w:val="24"/>
          <w:lang w:val="en-US" w:eastAsia="zh-CN"/>
        </w:rPr>
        <w:t xml:space="preserve">《</w:t>
      </w:r>
      <w:r>
        <w:rPr>
          <w:rFonts w:hint="eastAsia" w:ascii="宋体" w:hAnsi="宋体" w:eastAsia="宋体" w:cs="宋体"/>
          <w:b w:val="0"/>
          <w:bCs w:val="0"/>
          <w:color w:val="auto"/>
          <w:sz w:val="24"/>
          <w:lang w:val="en-US" w:eastAsia="zh-CN"/>
        </w:rPr>
        <w:t xml:space="preserve">安全生产许可证</w:t>
      </w:r>
      <w:r>
        <w:rPr>
          <w:rFonts w:hint="eastAsia" w:ascii="宋体" w:hAnsi="宋体" w:cs="宋体"/>
          <w:b w:val="0"/>
          <w:bCs w:val="0"/>
          <w:color w:val="auto"/>
          <w:sz w:val="24"/>
          <w:lang w:val="en-US" w:eastAsia="zh-CN"/>
        </w:rPr>
        <w:t xml:space="preserve">》扫描件</w:t>
      </w:r>
      <w:r>
        <w:rPr>
          <w:rFonts w:hint="eastAsia" w:ascii="宋体" w:hAnsi="宋体" w:cs="宋体"/>
          <w:b w:val="0"/>
          <w:bCs w:val="0"/>
          <w:color w:val="auto"/>
          <w:sz w:val="24"/>
          <w:highlight w:val="none"/>
        </w:rPr>
        <w:t xml:space="preserve">；</w:t>
      </w:r>
      <w:r/>
    </w:p>
    <w:p>
      <w:pPr>
        <w:pStyle w:val="1002"/>
        <w:ind w:firstLine="480"/>
        <w:keepLines w:val="0"/>
        <w:keepNext w:val="0"/>
        <w:pageBreakBefore w:val="0"/>
        <w:spacing w:line="360" w:lineRule="auto"/>
        <w:widowControl w:val="off"/>
        <w:rPr>
          <w:rFonts w:hint="eastAsia" w:ascii="宋体" w:hAnsi="宋体" w:eastAsia="宋体" w:cs="宋体"/>
          <w:b w:val="0"/>
          <w:bCs w:val="0"/>
          <w:color w:val="auto"/>
          <w:sz w:val="24"/>
          <w:lang w:val="en-US" w:eastAsia="zh-CN"/>
        </w:rPr>
      </w:pPr>
      <w:r>
        <w:rPr>
          <w:rFonts w:hint="eastAsia" w:ascii="宋体" w:hAnsi="宋体" w:eastAsia="宋体" w:cs="宋体"/>
          <w:b w:val="0"/>
          <w:bCs w:val="0"/>
          <w:color w:val="auto"/>
          <w:sz w:val="24"/>
          <w:highlight w:val="none"/>
          <w:lang w:eastAsia="zh-CN"/>
        </w:rPr>
        <w:t xml:space="preserve">（</w:t>
      </w:r>
      <w:r>
        <w:rPr>
          <w:rFonts w:hint="eastAsia" w:ascii="宋体" w:hAnsi="宋体" w:eastAsia="宋体" w:cs="宋体"/>
          <w:b w:val="0"/>
          <w:bCs w:val="0"/>
          <w:color w:val="auto"/>
          <w:sz w:val="24"/>
          <w:highlight w:val="none"/>
          <w:lang w:val="en-US" w:eastAsia="zh-CN"/>
        </w:rPr>
        <w:t xml:space="preserve">2</w:t>
      </w:r>
      <w:r>
        <w:rPr>
          <w:rFonts w:hint="eastAsia" w:ascii="宋体" w:hAnsi="宋体" w:eastAsia="宋体" w:cs="宋体"/>
          <w:b w:val="0"/>
          <w:bCs w:val="0"/>
          <w:color w:val="auto"/>
          <w:sz w:val="24"/>
          <w:highlight w:val="none"/>
          <w:lang w:eastAsia="zh-CN"/>
        </w:rPr>
        <w:t xml:space="preserve">）</w:t>
      </w:r>
      <w:r>
        <w:rPr>
          <w:rFonts w:hint="eastAsia" w:ascii="宋体" w:hAnsi="宋体" w:eastAsia="宋体" w:cs="宋体"/>
          <w:b w:val="0"/>
          <w:bCs w:val="0"/>
          <w:color w:val="auto"/>
          <w:sz w:val="24"/>
          <w:lang w:val="en-US" w:eastAsia="zh-CN"/>
        </w:rPr>
        <w:t xml:space="preserve">供应商拟派项目负责人的市政公用工程专业二级（含）以上建造师注册证书扫描件及《建筑施工企业项目负责人安全生产考核合格证书》（B证）扫描件</w:t>
      </w:r>
      <w:r>
        <w:rPr>
          <w:rFonts w:hint="eastAsia" w:ascii="宋体" w:hAnsi="宋体" w:cs="宋体"/>
          <w:b w:val="0"/>
          <w:bCs w:val="0"/>
          <w:color w:val="auto"/>
          <w:sz w:val="24"/>
          <w:lang w:val="en-US" w:eastAsia="zh-CN"/>
        </w:rPr>
        <w:t xml:space="preserve">，且无在建工程(提供无在建承诺书，加盖电子签章，必须提供)。</w:t>
      </w:r>
      <w:r/>
    </w:p>
    <w:p>
      <w:pPr>
        <w:pStyle w:val="1002"/>
        <w:ind w:firstLine="482"/>
        <w:keepLines w:val="0"/>
        <w:keepNext w:val="0"/>
        <w:pageBreakBefore w:val="0"/>
        <w:spacing w:line="360" w:lineRule="auto"/>
        <w:widowControl w:val="off"/>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7</w:t>
      </w:r>
      <w:r>
        <w:rPr>
          <w:rFonts w:hint="eastAsia" w:ascii="宋体" w:hAnsi="宋体" w:cs="宋体"/>
          <w:b/>
          <w:bCs/>
          <w:color w:val="auto"/>
          <w:sz w:val="24"/>
          <w:highlight w:val="none"/>
        </w:rPr>
        <w:t xml:space="preserve">、本项目属于专门面向中小微企业采购的项目，供应商应为中小微企业、监狱企业、残疾人福利性单位。</w:t>
      </w:r>
      <w:r/>
    </w:p>
    <w:p>
      <w:pPr>
        <w:pStyle w:val="1002"/>
        <w:ind w:firstLine="480"/>
        <w:keepLines w:val="0"/>
        <w:keepNext w:val="0"/>
        <w:pageBreakBefore w:val="0"/>
        <w:spacing w:line="360" w:lineRule="auto"/>
        <w:widowControl w:val="off"/>
        <w:rPr>
          <w:rFonts w:hint="eastAsia" w:ascii="宋体" w:hAnsi="宋体" w:cs="宋体"/>
          <w:b w:val="0"/>
          <w:bCs w:val="0"/>
          <w:color w:val="auto"/>
          <w:sz w:val="24"/>
          <w:highlight w:val="none"/>
        </w:rPr>
      </w:pPr>
      <w:r>
        <w:rPr>
          <w:rFonts w:hint="eastAsia" w:ascii="宋体" w:hAnsi="宋体" w:cs="宋体"/>
          <w:b/>
          <w:bCs/>
          <w:color w:val="auto"/>
          <w:sz w:val="24"/>
          <w:highlight w:val="none"/>
          <w:lang w:val="en-US" w:eastAsia="zh-CN"/>
        </w:rPr>
        <w:t xml:space="preserve">响应文件中</w:t>
      </w:r>
      <w:r>
        <w:rPr>
          <w:rFonts w:hint="eastAsia" w:ascii="宋体" w:hAnsi="宋体" w:cs="宋体"/>
          <w:b/>
          <w:bCs/>
          <w:color w:val="auto"/>
          <w:sz w:val="24"/>
          <w:highlight w:val="none"/>
        </w:rPr>
        <w:t xml:space="preserve">提供《中小企业声明函》（</w:t>
      </w:r>
      <w:r>
        <w:rPr>
          <w:rFonts w:hint="eastAsia" w:ascii="宋体" w:hAnsi="宋体" w:eastAsia="宋体" w:cs="宋体"/>
          <w:b/>
          <w:bCs/>
          <w:color w:val="auto"/>
          <w:sz w:val="24"/>
          <w:lang w:eastAsia="zh-CN"/>
        </w:rPr>
        <w:t xml:space="preserve">加盖</w:t>
      </w:r>
      <w:r>
        <w:rPr>
          <w:rFonts w:hint="eastAsia" w:ascii="宋体" w:hAnsi="宋体" w:eastAsia="宋体" w:cs="宋体"/>
          <w:b/>
          <w:bCs/>
          <w:color w:val="auto"/>
          <w:sz w:val="24"/>
        </w:rPr>
        <w:t xml:space="preserve">电子签章，填写完整。格式见《磋商文件》附件</w:t>
      </w:r>
      <w:r>
        <w:rPr>
          <w:rFonts w:hint="eastAsia" w:ascii="宋体" w:hAnsi="宋体" w:cs="宋体"/>
          <w:b/>
          <w:bCs/>
          <w:color w:val="auto"/>
          <w:sz w:val="24"/>
          <w:highlight w:val="none"/>
        </w:rPr>
        <w:t xml:space="preserve">）。</w:t>
      </w:r>
      <w:r>
        <w:rPr>
          <w:rFonts w:hint="eastAsia" w:ascii="宋体" w:hAnsi="宋体" w:eastAsia="宋体" w:cs="宋体"/>
          <w:color w:val="auto"/>
          <w:sz w:val="24"/>
        </w:rPr>
        <w:t xml:space="preserve">《中小企业声明函》查询渠道参考工业和信息化部发布的</w:t>
      </w:r>
      <w:r>
        <w:rPr>
          <w:rFonts w:hint="eastAsia" w:ascii="宋体" w:hAnsi="宋体" w:cs="宋体"/>
          <w:color w:val="auto"/>
          <w:sz w:val="24"/>
          <w:lang w:eastAsia="zh-CN"/>
        </w:rPr>
        <w:t xml:space="preserve">“</w:t>
      </w:r>
      <w:r>
        <w:rPr>
          <w:rFonts w:hint="eastAsia" w:ascii="宋体" w:hAnsi="宋体" w:eastAsia="宋体" w:cs="宋体"/>
          <w:color w:val="auto"/>
          <w:sz w:val="24"/>
        </w:rPr>
        <w:t xml:space="preserve">中小企业规模自测小程序</w:t>
      </w:r>
      <w:r>
        <w:rPr>
          <w:rFonts w:hint="eastAsia" w:ascii="宋体" w:hAnsi="宋体" w:cs="宋体"/>
          <w:color w:val="auto"/>
          <w:sz w:val="24"/>
          <w:lang w:eastAsia="zh-CN"/>
        </w:rPr>
        <w:t xml:space="preserve">”</w:t>
      </w:r>
      <w:r>
        <w:rPr>
          <w:rFonts w:hint="eastAsia" w:ascii="宋体" w:hAnsi="宋体" w:eastAsia="宋体" w:cs="宋体"/>
          <w:color w:val="auto"/>
          <w:sz w:val="24"/>
          <w:lang w:eastAsia="zh-CN"/>
        </w:rPr>
        <w:t xml:space="preserve">。</w:t>
      </w:r>
      <w:r/>
    </w:p>
    <w:p>
      <w:pPr>
        <w:ind w:right="-334" w:firstLine="482"/>
        <w:keepLines w:val="0"/>
        <w:keepNext w:val="0"/>
        <w:pageBreakBefore w:val="0"/>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注：中小微企业，应当同时符合以下条件：</w:t>
      </w:r>
      <w:r/>
    </w:p>
    <w:p>
      <w:pPr>
        <w:ind w:right="-334" w:firstLine="480"/>
        <w:keepLines w:val="0"/>
        <w:keepNext w:val="0"/>
        <w:pageBreakBefore w:val="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p>
    <w:p>
      <w:pPr>
        <w:ind w:right="-334" w:firstLine="480"/>
        <w:keepLines w:val="0"/>
        <w:keepNext w:val="0"/>
        <w:pageBreakBefore w:val="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供应商为残疾人福利性单位的，视同小微企业，提供《残疾人福利性单位声明函》</w:t>
      </w:r>
      <w:r>
        <w:rPr>
          <w:rFonts w:hint="eastAsia" w:ascii="宋体" w:hAnsi="宋体" w:eastAsia="宋体" w:cs="宋体"/>
          <w:color w:val="auto"/>
          <w:sz w:val="24"/>
        </w:rPr>
        <w:t xml:space="preserve">（</w:t>
      </w:r>
      <w:r>
        <w:rPr>
          <w:rFonts w:hint="eastAsia" w:ascii="宋体" w:hAnsi="宋体" w:eastAsia="宋体" w:cs="宋体"/>
          <w:color w:val="auto"/>
          <w:sz w:val="24"/>
          <w:lang w:eastAsia="zh-CN"/>
        </w:rPr>
        <w:t xml:space="preserve">加盖</w:t>
      </w:r>
      <w:r>
        <w:rPr>
          <w:rFonts w:hint="eastAsia" w:ascii="宋体" w:hAnsi="宋体" w:eastAsia="宋体" w:cs="宋体"/>
          <w:color w:val="auto"/>
          <w:sz w:val="24"/>
        </w:rPr>
        <w:t xml:space="preserve">电子签章，格式见附件》）</w:t>
      </w:r>
      <w:r>
        <w:rPr>
          <w:rFonts w:hint="eastAsia" w:ascii="宋体" w:hAnsi="宋体" w:cs="宋体"/>
          <w:bCs/>
          <w:color w:val="auto"/>
          <w:sz w:val="24"/>
          <w:highlight w:val="none"/>
        </w:rPr>
        <w:t xml:space="preserve">。具体以《关于促进残疾人就业政府采购政策的通知》（财库〔2017〕141号）的规定为准。</w:t>
      </w:r>
      <w:r/>
    </w:p>
    <w:p>
      <w:pPr>
        <w:ind w:right="-334" w:firstLine="480"/>
        <w:keepLines w:val="0"/>
        <w:keepNext w:val="0"/>
        <w:pageBreakBefore w:val="0"/>
        <w:spacing w:line="360" w:lineRule="auto"/>
        <w:rPr>
          <w:rFonts w:hint="eastAsia" w:ascii="宋体" w:hAnsi="宋体" w:cs="宋体"/>
          <w:b/>
          <w:bCs/>
          <w:color w:val="auto"/>
          <w:sz w:val="24"/>
          <w:highlight w:val="none"/>
        </w:rPr>
      </w:pPr>
      <w:r>
        <w:rPr>
          <w:rFonts w:hint="eastAsia" w:ascii="宋体" w:hAnsi="宋体" w:cs="宋体"/>
          <w:bCs/>
          <w:color w:val="auto"/>
          <w:sz w:val="24"/>
          <w:highlight w:val="none"/>
        </w:rPr>
        <w:t xml:space="preserve">供应商为监狱企业的，视同小微企业，提供省级以上监狱管理局、戒毒管理局（含新疆生产建设兵团）出具的属于监狱企业的证明文件扫描件。具体以《财政部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p>
    <w:p>
      <w:pPr>
        <w:ind w:firstLine="482"/>
        <w:jc w:val="both"/>
        <w:spacing w:line="360" w:lineRule="auto"/>
        <w:rPr>
          <w:rFonts w:hint="eastAsia" w:ascii="宋体" w:hAnsi="宋体" w:eastAsia="宋体" w:cs="宋体"/>
          <w:b/>
          <w:bCs/>
          <w:color w:val="auto"/>
          <w:sz w:val="24"/>
        </w:rPr>
        <w:outlineLvl w:val="1"/>
      </w:pPr>
      <w:r>
        <w:rPr>
          <w:rFonts w:hint="eastAsia" w:ascii="宋体" w:hAnsi="宋体" w:eastAsia="宋体" w:cs="宋体"/>
          <w:b/>
          <w:bCs/>
          <w:color w:val="auto"/>
          <w:sz w:val="24"/>
          <w:lang w:eastAsia="zh-CN"/>
        </w:rPr>
        <w:t xml:space="preserve">（三）</w:t>
      </w:r>
      <w:r>
        <w:rPr>
          <w:rFonts w:hint="eastAsia" w:ascii="宋体" w:hAnsi="宋体" w:eastAsia="宋体" w:cs="宋体"/>
          <w:b/>
          <w:bCs/>
          <w:color w:val="auto"/>
          <w:sz w:val="24"/>
        </w:rPr>
        <w:t xml:space="preserve">符合条件（必须提供，否则在符合性审查时按照响应无效处理。）</w:t>
      </w:r>
      <w:r/>
    </w:p>
    <w:p>
      <w:pPr>
        <w:ind w:firstLine="482"/>
        <w:keepLines w:val="0"/>
        <w:keepNext w:val="0"/>
        <w:pageBreakBefore w:val="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1、《承诺书》（加盖电子签章，格式见《磋商文件》附件）；</w:t>
      </w:r>
      <w:r/>
    </w:p>
    <w:p>
      <w:pPr>
        <w:ind w:right="-334" w:firstLine="482"/>
        <w:keepLines w:val="0"/>
        <w:keepNext w:val="0"/>
        <w:pageBreakBefore w:val="0"/>
        <w:spacing w:line="360" w:lineRule="auto"/>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2、《磋商报价表》（加盖电子签章，格式见《磋商文件》附件）；</w:t>
      </w:r>
      <w:r/>
    </w:p>
    <w:p>
      <w:pPr>
        <w:ind w:right="-334" w:firstLine="482"/>
        <w:keepLines w:val="0"/>
        <w:keepNext w:val="0"/>
        <w:pageBreakBefore w:val="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 xml:space="preserve">3</w:t>
      </w:r>
      <w:r>
        <w:rPr>
          <w:rFonts w:hint="eastAsia" w:ascii="宋体" w:hAnsi="宋体" w:cs="宋体"/>
          <w:b/>
          <w:bCs/>
          <w:color w:val="auto"/>
          <w:sz w:val="24"/>
          <w:highlight w:val="none"/>
        </w:rPr>
        <w:t xml:space="preserve">、分项价格表（具有标价的工程量清单与报价表）（加盖电子签章，格式见《磋商文件》附件）；</w:t>
      </w:r>
      <w:r/>
    </w:p>
    <w:p>
      <w:pPr>
        <w:ind w:firstLine="482"/>
        <w:keepLines w:val="0"/>
        <w:keepNext w:val="0"/>
        <w:pageBreakBefore w:val="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 xml:space="preserve">4</w:t>
      </w:r>
      <w:r>
        <w:rPr>
          <w:rFonts w:hint="eastAsia" w:ascii="宋体" w:hAnsi="宋体" w:cs="宋体"/>
          <w:b/>
          <w:bCs/>
          <w:color w:val="auto"/>
          <w:sz w:val="24"/>
          <w:highlight w:val="none"/>
        </w:rPr>
        <w:t xml:space="preserve">、</w:t>
      </w:r>
      <w:r>
        <w:rPr>
          <w:rFonts w:hint="eastAsia" w:ascii="宋体" w:hAnsi="宋体" w:eastAsia="宋体" w:cs="宋体"/>
          <w:b/>
          <w:bCs/>
          <w:color w:val="auto"/>
          <w:sz w:val="24"/>
        </w:rPr>
        <w:t xml:space="preserve">授权委托书（</w:t>
      </w:r>
      <w:r>
        <w:rPr>
          <w:rFonts w:hint="eastAsia" w:ascii="宋体" w:hAnsi="宋体" w:eastAsia="宋体" w:cs="宋体"/>
          <w:b/>
          <w:bCs/>
          <w:sz w:val="24"/>
          <w:lang w:eastAsia="zh-CN"/>
        </w:rPr>
        <w:t xml:space="preserve">加盖电子签章</w:t>
      </w:r>
      <w:r>
        <w:rPr>
          <w:rFonts w:hint="eastAsia" w:ascii="宋体" w:hAnsi="宋体" w:eastAsia="宋体" w:cs="宋体"/>
          <w:b/>
          <w:bCs/>
          <w:sz w:val="24"/>
        </w:rPr>
        <w:t xml:space="preserve">，</w:t>
      </w:r>
      <w:r>
        <w:rPr>
          <w:rFonts w:hint="eastAsia" w:ascii="宋体" w:hAnsi="宋体" w:eastAsia="宋体" w:cs="宋体"/>
          <w:b/>
          <w:bCs/>
          <w:color w:val="auto"/>
          <w:sz w:val="24"/>
        </w:rPr>
        <w:t xml:space="preserve">格式见《磋商文件》附件。）</w:t>
      </w:r>
      <w:r>
        <w:rPr>
          <w:rFonts w:hint="eastAsia" w:ascii="宋体" w:hAnsi="宋体" w:cs="宋体"/>
          <w:b/>
          <w:bCs/>
          <w:color w:val="auto"/>
          <w:sz w:val="24"/>
          <w:highlight w:val="none"/>
        </w:rPr>
        <w:t xml:space="preserve">；</w:t>
      </w:r>
      <w:r/>
    </w:p>
    <w:p>
      <w:pPr>
        <w:ind w:firstLine="482"/>
        <w:keepLines w:val="0"/>
        <w:keepNext w:val="0"/>
        <w:pageBreakBefore w:val="0"/>
        <w:spacing w:line="360" w:lineRule="auto"/>
        <w:rPr>
          <w:rFonts w:hint="eastAsia" w:ascii="宋体" w:hAnsi="宋体" w:eastAsia="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5、</w:t>
      </w:r>
      <w:r>
        <w:rPr>
          <w:rFonts w:hint="eastAsia" w:ascii="宋体" w:hAnsi="宋体" w:cs="宋体"/>
          <w:b/>
          <w:bCs/>
          <w:color w:val="auto"/>
          <w:sz w:val="24"/>
          <w:highlight w:val="none"/>
        </w:rPr>
        <w:t xml:space="preserve">偏离表（加盖电子签章，格式见《磋商文件》附件）；</w:t>
      </w:r>
      <w:r/>
    </w:p>
    <w:p>
      <w:pPr>
        <w:ind w:firstLine="482"/>
        <w:keepLines w:val="0"/>
        <w:keepNext w:val="0"/>
        <w:pageBreakBefore w:val="0"/>
        <w:spacing w:line="360" w:lineRule="auto"/>
        <w:rPr>
          <w:rFonts w:hint="eastAsia" w:eastAsia="宋体"/>
          <w:lang w:val="en-US" w:eastAsia="zh-CN"/>
        </w:rPr>
      </w:pPr>
      <w:r>
        <w:rPr>
          <w:rFonts w:hint="eastAsia" w:ascii="宋体" w:hAnsi="宋体" w:cs="宋体"/>
          <w:b/>
          <w:bCs/>
          <w:color w:val="auto"/>
          <w:sz w:val="24"/>
          <w:highlight w:val="none"/>
          <w:lang w:val="en-US" w:eastAsia="zh-CN"/>
        </w:rPr>
        <w:t xml:space="preserve">6、</w:t>
      </w:r>
      <w:r>
        <w:rPr>
          <w:rFonts w:hint="eastAsia" w:ascii="宋体" w:hAnsi="宋体" w:cs="宋体"/>
          <w:b/>
          <w:bCs/>
          <w:color w:val="auto"/>
          <w:sz w:val="24"/>
          <w:highlight w:val="none"/>
        </w:rPr>
        <w:t xml:space="preserve">主要材料（设备）一览表（加盖电子签章，格式见《磋商文件》附件）</w:t>
      </w:r>
      <w:r>
        <w:rPr>
          <w:rFonts w:hint="eastAsia" w:ascii="宋体" w:hAnsi="宋体" w:cs="宋体"/>
          <w:b/>
          <w:bCs/>
          <w:color w:val="auto"/>
          <w:sz w:val="24"/>
          <w:highlight w:val="none"/>
          <w:lang w:eastAsia="zh-CN"/>
        </w:rPr>
        <w:t xml:space="preserve">。</w:t>
      </w:r>
      <w:r/>
    </w:p>
    <w:p>
      <w:pPr>
        <w:ind w:firstLine="482"/>
        <w:spacing w:line="360" w:lineRule="auto"/>
        <w:rPr>
          <w:rFonts w:hint="eastAsia" w:ascii="宋体" w:hAnsi="宋体" w:eastAsia="宋体" w:cs="宋体"/>
          <w:b/>
          <w:bCs/>
          <w:color w:val="auto"/>
          <w:sz w:val="24"/>
          <w:lang w:eastAsia="zh-CN"/>
        </w:rPr>
      </w:pPr>
      <w:r>
        <w:rPr>
          <w:rFonts w:hint="eastAsia" w:ascii="宋体" w:hAnsi="宋体" w:eastAsia="宋体" w:cs="宋体"/>
          <w:b/>
          <w:bCs/>
          <w:color w:val="auto"/>
          <w:sz w:val="24"/>
          <w:lang w:eastAsia="zh-CN"/>
        </w:rPr>
        <w:t xml:space="preserve">（四）综合评审评分项</w:t>
      </w:r>
      <w:r/>
    </w:p>
    <w:p>
      <w:pPr>
        <w:ind w:firstLine="482"/>
        <w:spacing w:line="360" w:lineRule="auto"/>
        <w:rPr>
          <w:rFonts w:hint="default" w:ascii="宋体" w:hAnsi="宋体" w:eastAsia="宋体" w:cs="宋体"/>
          <w:b w:val="0"/>
          <w:bCs w:val="0"/>
          <w:color w:val="auto"/>
          <w:sz w:val="24"/>
          <w:lang w:val="en-US"/>
        </w:rPr>
      </w:pPr>
      <w:r>
        <w:rPr>
          <w:rFonts w:hint="eastAsia" w:ascii="宋体" w:hAnsi="宋体" w:eastAsia="宋体" w:cs="宋体"/>
          <w:b w:val="0"/>
          <w:bCs w:val="0"/>
          <w:color w:val="auto"/>
          <w:sz w:val="24"/>
          <w:lang w:val="en-US" w:eastAsia="zh-CN"/>
        </w:rPr>
        <w:t xml:space="preserve">1、技术部分</w:t>
      </w:r>
      <w:r>
        <w:rPr>
          <w:rFonts w:hint="eastAsia" w:ascii="宋体" w:hAnsi="宋体" w:cs="宋体"/>
          <w:b w:val="0"/>
          <w:bCs w:val="0"/>
          <w:color w:val="auto"/>
          <w:sz w:val="24"/>
          <w:lang w:val="en-US" w:eastAsia="zh-CN"/>
        </w:rPr>
        <w:t xml:space="preserve">：</w:t>
      </w:r>
      <w:r/>
    </w:p>
    <w:p>
      <w:pPr>
        <w:numPr>
          <w:ilvl w:val="0"/>
          <w:numId w:val="0"/>
        </w:numPr>
        <w:ind w:firstLine="482"/>
        <w:spacing w:line="360" w:lineRule="auto"/>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（1）</w:t>
      </w:r>
      <w:r>
        <w:rPr>
          <w:rFonts w:hint="eastAsia" w:ascii="宋体" w:hAnsi="宋体" w:cs="宋体"/>
          <w:b w:val="0"/>
          <w:bCs w:val="0"/>
          <w:color w:val="auto"/>
          <w:sz w:val="24"/>
          <w:highlight w:val="none"/>
          <w:lang w:val="en-US" w:eastAsia="zh-CN"/>
        </w:rPr>
        <w:t xml:space="preserve">施工组织设计方案</w:t>
      </w:r>
      <w:r>
        <w:rPr>
          <w:rFonts w:hint="eastAsia" w:ascii="宋体" w:hAnsi="宋体" w:eastAsia="宋体" w:cs="宋体"/>
          <w:b w:val="0"/>
          <w:bCs w:val="0"/>
          <w:color w:val="auto"/>
          <w:sz w:val="24"/>
          <w:lang w:eastAsia="zh-CN"/>
        </w:rPr>
        <w:t xml:space="preserve">（要求见《磋商文件》附件1、《评分细则》及附件：2、《项目要求（采购需求）》）；</w:t>
      </w:r>
      <w:r/>
    </w:p>
    <w:p>
      <w:pPr>
        <w:numPr>
          <w:ilvl w:val="0"/>
          <w:numId w:val="0"/>
        </w:numPr>
        <w:ind w:firstLine="482"/>
        <w:spacing w:line="360" w:lineRule="auto"/>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（2）</w:t>
      </w:r>
      <w:r>
        <w:rPr>
          <w:rFonts w:hint="eastAsia" w:ascii="宋体" w:hAnsi="宋体" w:cs="宋体"/>
          <w:b w:val="0"/>
          <w:bCs w:val="0"/>
          <w:color w:val="auto"/>
          <w:sz w:val="24"/>
          <w:highlight w:val="none"/>
          <w:lang w:val="en-US" w:eastAsia="zh-CN"/>
        </w:rPr>
        <w:t xml:space="preserve">售后服务方案</w:t>
      </w:r>
      <w:r>
        <w:rPr>
          <w:rFonts w:hint="eastAsia" w:ascii="宋体" w:hAnsi="宋体" w:eastAsia="宋体" w:cs="宋体"/>
          <w:b w:val="0"/>
          <w:bCs w:val="0"/>
          <w:color w:val="auto"/>
          <w:sz w:val="24"/>
          <w:lang w:eastAsia="zh-CN"/>
        </w:rPr>
        <w:t xml:space="preserve">（要求见《磋商文件》附件1、《评分细则》及附件：2、《项目要求（采购需求）》）</w:t>
      </w:r>
      <w:r>
        <w:rPr>
          <w:rFonts w:hint="eastAsia" w:ascii="宋体" w:hAnsi="宋体" w:eastAsia="宋体" w:cs="宋体"/>
          <w:b w:val="0"/>
          <w:bCs w:val="0"/>
          <w:color w:val="auto"/>
          <w:sz w:val="24"/>
          <w:highlight w:val="none"/>
          <w:lang w:val="en-US" w:eastAsia="zh-CN"/>
        </w:rPr>
        <w:t xml:space="preserve">。</w:t>
      </w:r>
      <w:r/>
    </w:p>
    <w:p>
      <w:pPr>
        <w:ind w:firstLine="482"/>
        <w:spacing w:line="360" w:lineRule="auto"/>
        <w:rPr>
          <w:rFonts w:hint="eastAsia" w:ascii="宋体" w:hAnsi="宋体" w:eastAsia="宋体" w:cs="宋体"/>
          <w:b/>
          <w:bCs/>
          <w:color w:val="auto"/>
          <w:sz w:val="24"/>
          <w:lang w:val="en-US" w:eastAsia="zh-CN"/>
        </w:rPr>
      </w:pPr>
      <w:r>
        <w:rPr>
          <w:rFonts w:hint="eastAsia" w:ascii="宋体" w:hAnsi="宋体" w:eastAsia="宋体" w:cs="宋体"/>
          <w:b/>
          <w:bCs/>
          <w:color w:val="auto"/>
          <w:sz w:val="24"/>
          <w:lang w:val="en-US" w:eastAsia="zh-CN"/>
        </w:rPr>
        <w:t xml:space="preserve">2、商务部分</w:t>
      </w:r>
      <w:r>
        <w:rPr>
          <w:rFonts w:hint="eastAsia" w:ascii="宋体" w:hAnsi="宋体" w:cs="宋体"/>
          <w:b/>
          <w:bCs/>
          <w:color w:val="auto"/>
          <w:sz w:val="24"/>
          <w:lang w:val="en-US" w:eastAsia="zh-CN"/>
        </w:rPr>
        <w:t xml:space="preserve">：</w:t>
      </w:r>
      <w:r/>
    </w:p>
    <w:p>
      <w:pPr>
        <w:ind w:firstLine="480"/>
        <w:keepLines w:val="0"/>
        <w:keepNext w:val="0"/>
        <w:pageBreakBefore w:val="0"/>
        <w:spacing w:line="360" w:lineRule="auto"/>
        <w:rPr>
          <w:rFonts w:hint="eastAsia" w:ascii="宋体" w:hAnsi="宋体" w:eastAsia="宋体" w:cs="宋体"/>
          <w:b w:val="0"/>
          <w:bCs w:val="0"/>
          <w:color w:val="auto"/>
          <w:sz w:val="24"/>
          <w:lang w:eastAsia="zh-CN"/>
        </w:rPr>
      </w:pPr>
      <w:r>
        <w:rPr>
          <w:rFonts w:hint="eastAsia" w:ascii="宋体" w:hAnsi="宋体" w:cs="宋体"/>
          <w:b w:val="0"/>
          <w:bCs w:val="0"/>
          <w:color w:val="auto"/>
          <w:sz w:val="24"/>
          <w:highlight w:val="none"/>
          <w:lang w:eastAsia="zh-CN"/>
        </w:rPr>
        <w:t xml:space="preserve">（</w:t>
      </w:r>
      <w:r>
        <w:rPr>
          <w:rFonts w:hint="eastAsia" w:ascii="宋体" w:hAnsi="宋体" w:cs="宋体"/>
          <w:b w:val="0"/>
          <w:bCs w:val="0"/>
          <w:color w:val="auto"/>
          <w:sz w:val="24"/>
          <w:highlight w:val="none"/>
          <w:lang w:val="en-US" w:eastAsia="zh-CN"/>
        </w:rPr>
        <w:t xml:space="preserve">1</w:t>
      </w:r>
      <w:r>
        <w:rPr>
          <w:rFonts w:hint="eastAsia" w:ascii="宋体" w:hAnsi="宋体" w:cs="宋体"/>
          <w:b w:val="0"/>
          <w:bCs w:val="0"/>
          <w:color w:val="auto"/>
          <w:sz w:val="24"/>
          <w:highlight w:val="none"/>
          <w:lang w:eastAsia="zh-CN"/>
        </w:rPr>
        <w:t xml:space="preserve">）</w:t>
      </w:r>
      <w:r>
        <w:rPr>
          <w:rFonts w:hint="eastAsia" w:ascii="宋体" w:hAnsi="宋体" w:cs="宋体"/>
          <w:b w:val="0"/>
          <w:bCs w:val="0"/>
          <w:color w:val="auto"/>
          <w:sz w:val="24"/>
          <w:highlight w:val="none"/>
        </w:rPr>
        <w:t xml:space="preserve">供应商业绩</w:t>
      </w:r>
      <w:r>
        <w:rPr>
          <w:rFonts w:hint="eastAsia" w:ascii="宋体" w:hAnsi="宋体" w:eastAsia="宋体" w:cs="宋体"/>
          <w:b w:val="0"/>
          <w:bCs w:val="0"/>
          <w:color w:val="auto"/>
          <w:sz w:val="24"/>
          <w:lang w:val="en-US" w:eastAsia="zh-CN"/>
        </w:rPr>
        <w:t xml:space="preserve">（要求见《磋商文件》附件1、《评分细则》）</w:t>
      </w:r>
      <w:r>
        <w:rPr>
          <w:rFonts w:hint="eastAsia" w:ascii="宋体" w:hAnsi="宋体" w:cs="宋体"/>
          <w:b w:val="0"/>
          <w:bCs w:val="0"/>
          <w:color w:val="auto"/>
          <w:sz w:val="24"/>
          <w:highlight w:val="none"/>
          <w:lang w:val="en-US" w:eastAsia="zh-CN"/>
        </w:rPr>
        <w:t xml:space="preserve">。</w:t>
      </w:r>
      <w:r/>
    </w:p>
    <w:p>
      <w:pPr>
        <w:ind w:firstLine="482"/>
        <w:spacing w:line="360" w:lineRule="auto"/>
        <w:rPr>
          <w:rFonts w:hint="eastAsia" w:ascii="宋体" w:hAnsi="宋体" w:eastAsia="宋体" w:cs="宋体"/>
          <w:b/>
          <w:bCs/>
          <w:color w:val="auto"/>
          <w:sz w:val="24"/>
          <w:lang w:eastAsia="zh-CN"/>
        </w:rPr>
      </w:pPr>
      <w:r>
        <w:rPr>
          <w:rFonts w:hint="eastAsia" w:ascii="宋体" w:hAnsi="宋体" w:eastAsia="宋体" w:cs="宋体"/>
          <w:b/>
          <w:bCs/>
          <w:color w:val="auto"/>
          <w:sz w:val="24"/>
          <w:lang w:eastAsia="zh-CN"/>
        </w:rPr>
        <w:t xml:space="preserve">（五）价格折扣文件格式</w:t>
      </w:r>
      <w:r/>
    </w:p>
    <w:p>
      <w:pPr>
        <w:ind w:firstLine="480"/>
        <w:spacing w:line="360" w:lineRule="auto"/>
        <w:rPr>
          <w:rFonts w:hint="eastAsia" w:ascii="宋体" w:hAnsi="宋体" w:eastAsia="宋体" w:cs="宋体"/>
          <w:b/>
          <w:bCs/>
          <w:color w:val="auto"/>
          <w:sz w:val="24"/>
          <w:lang w:val="en-US" w:eastAsia="zh-CN"/>
        </w:rPr>
      </w:pPr>
      <w:r>
        <w:rPr>
          <w:rFonts w:hint="eastAsia" w:ascii="宋体" w:hAnsi="宋体" w:eastAsia="宋体" w:cs="宋体"/>
          <w:b/>
          <w:bCs/>
          <w:color w:val="auto"/>
          <w:sz w:val="24"/>
          <w:lang w:val="en-US" w:eastAsia="zh-CN"/>
        </w:rPr>
        <w:t xml:space="preserve">1、企业报价折扣证明：无</w:t>
      </w:r>
      <w:r/>
    </w:p>
    <w:p>
      <w:pPr>
        <w:ind w:firstLine="482"/>
        <w:spacing w:line="360" w:lineRule="auto"/>
        <w:rPr>
          <w:rFonts w:hint="eastAsia" w:ascii="宋体" w:hAnsi="宋体" w:eastAsia="宋体" w:cs="宋体"/>
          <w:b/>
          <w:bCs/>
          <w:color w:val="auto"/>
          <w:sz w:val="24"/>
          <w:lang w:val="en-US" w:eastAsia="zh-CN"/>
        </w:rPr>
      </w:pPr>
      <w:r>
        <w:rPr>
          <w:rFonts w:hint="eastAsia" w:ascii="宋体" w:hAnsi="宋体" w:eastAsia="宋体" w:cs="宋体"/>
          <w:b/>
          <w:bCs/>
          <w:color w:val="auto"/>
          <w:sz w:val="24"/>
          <w:lang w:val="en-US" w:eastAsia="zh-CN"/>
        </w:rPr>
        <w:t xml:space="preserve">（六）提交的首次响应文件的密封、签署、盖章要求：</w:t>
      </w:r>
      <w:r/>
    </w:p>
    <w:p>
      <w:pPr>
        <w:ind w:firstLine="480"/>
        <w:spacing w:line="360" w:lineRule="auto"/>
        <w:rPr>
          <w:rFonts w:hint="eastAsia" w:ascii="宋体" w:hAnsi="宋体" w:eastAsia="宋体" w:cs="宋体"/>
          <w:b/>
          <w:bCs/>
          <w:color w:val="auto"/>
          <w:sz w:val="24"/>
          <w:lang w:val="en-US" w:eastAsia="zh-CN"/>
        </w:rPr>
      </w:pPr>
      <w:r>
        <w:rPr>
          <w:rFonts w:hint="eastAsia" w:ascii="宋体" w:hAnsi="宋体" w:eastAsia="宋体" w:cs="宋体"/>
          <w:b/>
          <w:bCs/>
          <w:color w:val="auto"/>
          <w:sz w:val="24"/>
          <w:lang w:val="en-US" w:eastAsia="zh-CN"/>
        </w:rPr>
        <w:t xml:space="preserve">1.密封（加密）要求：</w:t>
      </w:r>
      <w:r/>
    </w:p>
    <w:p>
      <w:pPr>
        <w:ind w:firstLine="480"/>
        <w:spacing w:line="360" w:lineRule="auto"/>
        <w:rPr>
          <w:rFonts w:hint="eastAsia" w:ascii="宋体" w:hAnsi="宋体" w:eastAsia="宋体" w:cs="宋体"/>
          <w:b w:val="0"/>
          <w:bCs w:val="0"/>
          <w:color w:val="auto"/>
          <w:sz w:val="24"/>
          <w:lang w:val="en-US" w:eastAsia="zh-CN"/>
        </w:rPr>
      </w:pPr>
      <w:r>
        <w:rPr>
          <w:rFonts w:hint="eastAsia" w:ascii="宋体" w:hAnsi="宋体" w:eastAsia="宋体" w:cs="宋体"/>
          <w:b w:val="0"/>
          <w:bCs w:val="0"/>
          <w:color w:val="auto"/>
          <w:sz w:val="24"/>
          <w:lang w:val="en-US" w:eastAsia="zh-CN"/>
        </w:rPr>
        <w:t xml:space="preserve">供应商应当按照《磋商文件》和“苏采云”系统的要求编制并加密响应文件。本项目供应商须通过“苏采云”系统提供的政府采购客户端工具（使用“CA数字证书”）对其数据电文形式的响应文件加密。</w:t>
      </w:r>
      <w:r/>
    </w:p>
    <w:p>
      <w:pPr>
        <w:ind w:firstLine="480"/>
        <w:jc w:val="left"/>
        <w:spacing w:line="360" w:lineRule="auto"/>
        <w:rPr>
          <w:rFonts w:hint="eastAsia" w:ascii="宋体" w:hAnsi="宋体" w:eastAsia="宋体" w:cs="宋体"/>
          <w:b/>
          <w:bCs/>
          <w:color w:val="auto"/>
          <w:sz w:val="24"/>
          <w:lang w:val="en-US" w:eastAsia="zh-CN"/>
        </w:rPr>
      </w:pPr>
      <w:r>
        <w:rPr>
          <w:rFonts w:hint="eastAsia" w:ascii="宋体" w:hAnsi="宋体" w:eastAsia="宋体" w:cs="宋体"/>
          <w:b/>
          <w:bCs/>
          <w:color w:val="auto"/>
          <w:sz w:val="24"/>
          <w:lang w:val="en-US" w:eastAsia="zh-CN"/>
        </w:rPr>
        <w:t xml:space="preserve">2.签署要求：</w:t>
      </w:r>
      <w:r>
        <w:rPr>
          <w:rFonts w:hint="eastAsia" w:ascii="宋体" w:hAnsi="宋体" w:eastAsia="宋体" w:cs="宋体"/>
          <w:b w:val="0"/>
          <w:bCs w:val="0"/>
          <w:color w:val="auto"/>
          <w:sz w:val="24"/>
          <w:lang w:val="en-US" w:eastAsia="zh-CN"/>
        </w:rPr>
        <w:t xml:space="preserve">见《磋商文件》第九章附件中相关格式要求</w:t>
      </w:r>
      <w:r>
        <w:rPr>
          <w:rFonts w:hint="eastAsia" w:ascii="宋体" w:hAnsi="宋体" w:eastAsia="宋体" w:cs="宋体"/>
          <w:b/>
          <w:bCs/>
          <w:color w:val="auto"/>
          <w:sz w:val="24"/>
          <w:lang w:val="en-US" w:eastAsia="zh-CN"/>
        </w:rPr>
        <w:t xml:space="preserve">（特别提醒：竞争性磋商文件中如需“被授权代表签字或盖章”，供应商可打印成文档，签字或盖章后再扫描上传，最后再电子签章）。</w:t>
      </w:r>
      <w:r/>
    </w:p>
    <w:p>
      <w:pPr>
        <w:ind w:firstLine="480"/>
        <w:spacing w:line="360" w:lineRule="auto"/>
        <w:rPr>
          <w:rFonts w:hint="eastAsia" w:ascii="宋体" w:hAnsi="宋体" w:eastAsia="宋体" w:cs="宋体"/>
          <w:b w:val="0"/>
          <w:bCs w:val="0"/>
          <w:color w:val="auto"/>
          <w:sz w:val="24"/>
          <w:lang w:val="en-US" w:eastAsia="zh-CN"/>
        </w:rPr>
      </w:pPr>
      <w:r>
        <w:rPr>
          <w:rFonts w:hint="eastAsia" w:ascii="宋体" w:hAnsi="宋体" w:eastAsia="宋体" w:cs="宋体"/>
          <w:b/>
          <w:bCs/>
          <w:color w:val="auto"/>
          <w:sz w:val="24"/>
          <w:lang w:val="en-US" w:eastAsia="zh-CN"/>
        </w:rPr>
        <w:t xml:space="preserve">3.盖章要求：</w:t>
      </w:r>
      <w:r>
        <w:rPr>
          <w:rFonts w:hint="eastAsia" w:ascii="宋体" w:hAnsi="宋体" w:eastAsia="宋体" w:cs="宋体"/>
          <w:b w:val="0"/>
          <w:bCs w:val="0"/>
          <w:color w:val="auto"/>
          <w:sz w:val="24"/>
          <w:lang w:val="en-US" w:eastAsia="zh-CN"/>
        </w:rPr>
        <w:t xml:space="preserve">见《磋商文件》第九章附件中相关格式要求。供应商须通过“苏采云”系统提供的政府采购客户端工具（使用“CA数字证书”）加盖电子签章。</w:t>
      </w:r>
      <w:r/>
    </w:p>
    <w:p>
      <w:pPr>
        <w:pStyle w:val="1002"/>
        <w:ind w:firstLine="482"/>
        <w:keepLines w:val="0"/>
        <w:keepNext w:val="0"/>
        <w:pageBreakBefore w:val="0"/>
        <w:spacing w:line="360" w:lineRule="auto"/>
        <w:rPr>
          <w:rFonts w:hint="eastAsia" w:ascii="宋体" w:hAnsi="宋体" w:eastAsia="宋体" w:cs="宋体"/>
          <w:b/>
          <w:bCs/>
          <w:color w:val="auto"/>
          <w:sz w:val="24"/>
          <w:lang w:val="en-US" w:eastAsia="zh-CN"/>
        </w:rPr>
      </w:pPr>
      <w:r>
        <w:rPr>
          <w:rFonts w:hint="eastAsia" w:ascii="宋体" w:hAnsi="宋体" w:eastAsia="宋体" w:cs="宋体"/>
          <w:b/>
          <w:bCs/>
          <w:color w:val="auto"/>
          <w:sz w:val="24"/>
          <w:lang w:val="en-US" w:eastAsia="zh-CN"/>
        </w:rPr>
        <w:t xml:space="preserve">（七）</w:t>
      </w:r>
      <w:r>
        <w:rPr>
          <w:rFonts w:hint="eastAsia" w:ascii="宋体" w:hAnsi="宋体" w:cs="宋体"/>
          <w:b/>
          <w:bCs/>
          <w:color w:val="auto"/>
          <w:sz w:val="24"/>
          <w:highlight w:val="none"/>
        </w:rPr>
        <w:t xml:space="preserve">通过“苏采云”系统提交政府采购客户端工具导出加密的响应文件（后缀名为zip）。响应文件不得超过</w:t>
      </w:r>
      <w:r>
        <w:rPr>
          <w:rFonts w:hint="eastAsia" w:ascii="宋体" w:hAnsi="宋体" w:cs="宋体"/>
          <w:b/>
          <w:bCs/>
          <w:color w:val="auto"/>
          <w:sz w:val="24"/>
          <w:highlight w:val="none"/>
          <w:lang w:val="en-US" w:eastAsia="zh-CN"/>
        </w:rPr>
        <w:t xml:space="preserve">1</w:t>
      </w:r>
      <w:r>
        <w:rPr>
          <w:rFonts w:hint="eastAsia" w:ascii="宋体" w:hAnsi="宋体" w:cs="宋体"/>
          <w:b/>
          <w:bCs/>
          <w:color w:val="auto"/>
          <w:sz w:val="24"/>
          <w:highlight w:val="none"/>
        </w:rPr>
        <w:t xml:space="preserve">50M！ </w:t>
      </w:r>
      <w:r/>
    </w:p>
    <w:p>
      <w:pPr>
        <w:ind w:firstLine="480"/>
        <w:spacing w:line="360" w:lineRule="auto"/>
        <w:rPr>
          <w:rFonts w:hint="eastAsia" w:ascii="宋体" w:hAnsi="宋体" w:eastAsia="宋体" w:cs="宋体"/>
          <w:b w:val="0"/>
          <w:bCs w:val="0"/>
          <w:color w:val="auto"/>
          <w:sz w:val="24"/>
          <w:lang w:val="en-US" w:eastAsia="zh-CN"/>
        </w:rPr>
      </w:pPr>
      <w:r>
        <w:rPr>
          <w:rFonts w:hint="eastAsia" w:ascii="宋体" w:hAnsi="宋体" w:eastAsia="宋体" w:cs="宋体"/>
          <w:b w:val="0"/>
          <w:bCs w:val="0"/>
          <w:color w:val="auto"/>
          <w:sz w:val="24"/>
          <w:lang w:val="en-US" w:eastAsia="zh-CN"/>
        </w:rPr>
        <w:t xml:space="preserve">注：供应商应当按照《磋商文件》的要求编制响应文件，并对其提交的响应文件的真实性、合法性承担法律责任。</w:t>
      </w:r>
      <w:r/>
    </w:p>
    <w:p>
      <w:pPr>
        <w:pStyle w:val="1020"/>
        <w:ind w:left="0" w:firstLine="0"/>
        <w:rPr>
          <w:rFonts w:hint="eastAsia" w:ascii="宋体" w:hAnsi="宋体" w:eastAsia="宋体" w:cs="宋体"/>
        </w:rPr>
      </w:pPr>
      <w:r>
        <w:rPr>
          <w:rFonts w:hint="eastAsia" w:ascii="宋体" w:hAnsi="宋体" w:eastAsia="宋体" w:cs="宋体"/>
        </w:rPr>
      </w:r>
      <w:r/>
    </w:p>
    <w:p>
      <w:pPr>
        <w:ind w:firstLine="480"/>
        <w:jc w:val="center"/>
        <w:spacing w:line="360" w:lineRule="auto"/>
        <w:rPr>
          <w:rFonts w:hint="eastAsia" w:ascii="宋体" w:hAnsi="宋体" w:eastAsia="宋体" w:cs="宋体"/>
          <w:b/>
          <w:bCs/>
          <w:sz w:val="24"/>
        </w:rPr>
        <w:outlineLvl w:val="0"/>
      </w:pPr>
      <w:r>
        <w:rPr>
          <w:rFonts w:hint="eastAsia" w:ascii="宋体" w:hAnsi="宋体" w:eastAsia="宋体" w:cs="宋体"/>
          <w:b/>
          <w:bCs/>
          <w:sz w:val="24"/>
        </w:rPr>
        <w:t xml:space="preserve">第四章 磋商相关说明</w:t>
      </w:r>
      <w:r/>
    </w:p>
    <w:p>
      <w:pPr>
        <w:pStyle w:val="1002"/>
        <w:ind w:firstLine="482"/>
        <w:keepLines w:val="0"/>
        <w:keepNext w:val="0"/>
        <w:pageBreakBefore w:val="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十四、磋商相关说明</w:t>
      </w:r>
      <w:r/>
    </w:p>
    <w:p>
      <w:pPr>
        <w:pStyle w:val="1002"/>
        <w:ind w:firstLine="482"/>
        <w:keepLines w:val="0"/>
        <w:keepNext w:val="0"/>
        <w:pageBreakBefore w:val="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（一）磋商要求</w:t>
      </w:r>
      <w:r/>
    </w:p>
    <w:p>
      <w:pPr>
        <w:pStyle w:val="1002"/>
        <w:ind w:firstLine="480"/>
        <w:keepLines w:val="0"/>
        <w:keepNext w:val="0"/>
        <w:pageBreakBefore w:val="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1、被邀请参与磋商的供应商需按本竞争性磋商文件要求的截止时间、方式（地点）提交首次响应文件，同时派人通过“苏采云”系统在“开标大厅”等待磋商。</w:t>
      </w:r>
      <w:r/>
    </w:p>
    <w:p>
      <w:pPr>
        <w:pStyle w:val="1002"/>
        <w:ind w:firstLine="480"/>
        <w:keepLines w:val="0"/>
        <w:keepNext w:val="0"/>
        <w:pageBreakBefore w:val="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2、供应商可通过CA数字证书，在首次响应文件开启时间后，使用CA数字证书在规定时间内解密各自响应文件。</w:t>
      </w:r>
      <w:r/>
    </w:p>
    <w:p>
      <w:pPr>
        <w:pStyle w:val="1002"/>
        <w:ind w:firstLine="482"/>
        <w:keepLines w:val="0"/>
        <w:keepNext w:val="0"/>
        <w:pageBreakBefore w:val="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3、供应商的授权代表或法人须全程守候在“苏采云”系统开标大厅，并确保视频设备正常使用。授权代表或法人须携带授权委托书原件及身份证原件，经磋商小组核查后参与磋商活动。</w:t>
      </w:r>
      <w:r/>
    </w:p>
    <w:p>
      <w:pPr>
        <w:pStyle w:val="1002"/>
        <w:ind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4、磋商顺序按照电子标书解密先后时间进行，解密时间相同的，不分先后顺序。</w:t>
      </w:r>
      <w:r/>
    </w:p>
    <w:p>
      <w:pPr>
        <w:ind w:firstLine="482"/>
        <w:keepLines w:val="0"/>
        <w:keepNext w:val="0"/>
        <w:pageBreakBefore w:val="0"/>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5、磋商方式：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由解密顺序下一家进行磋商，不再后补）。</w:t>
      </w:r>
      <w:r/>
    </w:p>
    <w:p>
      <w:pPr>
        <w:pStyle w:val="1002"/>
        <w:ind w:firstLine="480"/>
        <w:keepLines w:val="0"/>
        <w:keepNext w:val="0"/>
        <w:pageBreakBefore w:val="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6、未在规定时间内进行答疑澄清的，视同放弃澄清。</w:t>
      </w:r>
      <w:r/>
    </w:p>
    <w:p>
      <w:pPr>
        <w:pStyle w:val="1002"/>
        <w:ind w:firstLine="482"/>
        <w:keepLines w:val="0"/>
        <w:keepNext w:val="0"/>
        <w:pageBreakBefore w:val="0"/>
        <w:spacing w:line="360" w:lineRule="auto"/>
        <w:rPr>
          <w:rFonts w:hint="eastAsia" w:ascii="宋体" w:hAnsi="宋体" w:cs="宋体"/>
          <w:b/>
          <w:bCs w:val="0"/>
          <w:color w:val="auto"/>
          <w:sz w:val="24"/>
          <w:highlight w:val="none"/>
        </w:rPr>
      </w:pPr>
      <w:r>
        <w:rPr>
          <w:rFonts w:hint="eastAsia" w:ascii="宋体" w:hAnsi="宋体" w:cs="宋体"/>
          <w:b/>
          <w:bCs w:val="0"/>
          <w:color w:val="auto"/>
          <w:sz w:val="24"/>
          <w:highlight w:val="none"/>
        </w:rPr>
        <w:t xml:space="preserve">7、未在规定时间内进行报价的，视为响应无效。</w:t>
      </w:r>
      <w:r/>
    </w:p>
    <w:p>
      <w:pPr>
        <w:pStyle w:val="1002"/>
        <w:ind w:firstLine="480"/>
        <w:keepLines w:val="0"/>
        <w:keepNext w:val="0"/>
        <w:pageBreakBefore w:val="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8、被邀请参与磋商的供应商如未按上述磋商要求执行，视同放弃磋商的权利。</w:t>
      </w:r>
      <w:r/>
    </w:p>
    <w:p>
      <w:pPr>
        <w:pStyle w:val="1002"/>
        <w:ind w:firstLine="482"/>
        <w:keepLines w:val="0"/>
        <w:keepNext w:val="0"/>
        <w:pageBreakBefore w:val="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（二）评审程序</w:t>
      </w:r>
      <w:r/>
    </w:p>
    <w:p>
      <w:pPr>
        <w:pStyle w:val="1002"/>
        <w:ind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经磋商确定最终采购需求和提交最后报价的供应商后，由磋商小组采用综合评分法对提交最后报价的供应商的响应文件和最后报价进行综合评分。</w:t>
      </w:r>
      <w:r/>
    </w:p>
    <w:p>
      <w:pPr>
        <w:pStyle w:val="1002"/>
        <w:ind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磋商小组应当根据综合评分情况，按照评审得分由高到低顺序推荐成交候选供应商，并编写评审报告。评审得分相同的，按照最后报价由低到高的顺序推荐。评审得分且最后报价相同的，按照施工组织设计优劣顺序推荐。</w:t>
      </w:r>
      <w:r/>
    </w:p>
    <w:p>
      <w:pPr>
        <w:pStyle w:val="1002"/>
        <w:ind w:firstLine="480"/>
        <w:keepLines w:val="0"/>
        <w:keepNext w:val="0"/>
        <w:pageBreakBefore w:val="0"/>
        <w:spacing w:line="360" w:lineRule="auto"/>
        <w:rPr>
          <w:rFonts w:hint="eastAsia" w:ascii="宋体" w:hAnsi="宋体" w:cs="宋体"/>
          <w:b/>
          <w:bCs/>
          <w:color w:val="auto"/>
          <w:sz w:val="24"/>
          <w:szCs w:val="24"/>
          <w:highlight w:val="none"/>
          <w:lang w:val="en-US" w:eastAsia="zh-CN"/>
        </w:rPr>
      </w:pPr>
      <w:r>
        <w:rPr>
          <w:rFonts w:hint="eastAsia" w:ascii="宋体" w:hAnsi="宋体" w:cs="宋体"/>
          <w:color w:val="auto"/>
          <w:sz w:val="24"/>
          <w:highlight w:val="none"/>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rPr>
          <w:rFonts w:hint="eastAsia" w:ascii="宋体" w:hAnsi="宋体" w:cs="宋体"/>
          <w:color w:val="auto"/>
          <w:sz w:val="24"/>
          <w:highlight w:val="none"/>
          <w:lang w:val="en-US" w:eastAsia="zh-CN"/>
        </w:rPr>
        <w:t xml:space="preserve">具体审查要求如下：</w:t>
      </w:r>
      <w:r>
        <w:rPr>
          <w:rFonts w:hint="eastAsia" w:ascii="宋体" w:hAnsi="宋体" w:cs="宋体"/>
          <w:b/>
          <w:bCs/>
          <w:color w:val="auto"/>
          <w:sz w:val="24"/>
          <w:szCs w:val="24"/>
          <w:highlight w:val="none"/>
          <w:lang w:val="en-US" w:eastAsia="zh-CN"/>
        </w:rPr>
        <w:t xml:space="preserve">磋商小组启动异常低价投标（响应）审查的情形和具体要求，包括:</w:t>
      </w:r>
      <w:r/>
    </w:p>
    <w:p>
      <w:pPr>
        <w:pStyle w:val="1002"/>
        <w:ind w:firstLine="482"/>
        <w:keepLines w:val="0"/>
        <w:keepNext w:val="0"/>
        <w:pageBreakBefore w:val="0"/>
        <w:spacing w:line="360" w:lineRule="auto"/>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（1）评审过程中出现下列情形之一的，磋商小组应当启动异常低价投标（响应）审查程序：</w:t>
      </w:r>
      <w:r/>
    </w:p>
    <w:p>
      <w:pPr>
        <w:pStyle w:val="1002"/>
        <w:ind w:firstLine="482"/>
        <w:keepLines w:val="0"/>
        <w:keepNext w:val="0"/>
        <w:pageBreakBefore w:val="0"/>
        <w:spacing w:line="360" w:lineRule="auto"/>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①投标（响应）报价低于采购项目预算50%的，即投标（响应）报价&lt;采购项目预算×50%；</w:t>
      </w:r>
      <w:r/>
    </w:p>
    <w:p>
      <w:pPr>
        <w:pStyle w:val="1002"/>
        <w:ind w:firstLine="482"/>
        <w:keepLines w:val="0"/>
        <w:keepNext w:val="0"/>
        <w:pageBreakBefore w:val="0"/>
        <w:spacing w:line="360" w:lineRule="auto"/>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②投标（响应）报价低于采购项目最高限价45%的，即投标（响应）报价&lt;采购项目最高限价×45%；</w:t>
      </w:r>
      <w:r/>
    </w:p>
    <w:p>
      <w:pPr>
        <w:pStyle w:val="1002"/>
        <w:ind w:firstLine="482"/>
        <w:keepLines w:val="0"/>
        <w:keepNext w:val="0"/>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③磋商小组认定的供应商报价过低、有可能影响产品质量或者不能诚信履约的其他情形。</w:t>
      </w:r>
      <w:r/>
    </w:p>
    <w:p>
      <w:pPr>
        <w:pStyle w:val="1002"/>
        <w:ind w:firstLine="482"/>
        <w:keepLines w:val="0"/>
        <w:keepNext w:val="0"/>
        <w:pageBreakBefore w:val="0"/>
        <w:spacing w:line="360" w:lineRule="auto"/>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2）启动异常低价投标（响应）审查后，磋商小组应当通过“苏采云”系统要求相关供应商在合理的时间内，提供项目具体成本测算等与报价合理性相关的书面说明及相关证明材料，对投标（响应）价格作出解释，由磋商小组结合同类产品在主要电商平台的价格、该行业当地薪资水平等情况，依据专业经验对供应商报价合理性进行判断。供应商说明应当采用通过“苏采云”系统（使用“CA数字证书”,加盖电子签章）形式。供应商不提供书面说明、证明材料，或者提供的书面说明、证明材料不能证明其报价合理性的，磋商小组应当将</w:t>
      </w:r>
      <w:r>
        <w:rPr>
          <w:rFonts w:hint="eastAsia" w:ascii="宋体" w:hAnsi="宋体" w:eastAsia="宋体" w:cs="宋体"/>
          <w:b/>
          <w:bCs/>
          <w:color w:val="auto"/>
          <w:sz w:val="24"/>
          <w:szCs w:val="24"/>
          <w:highlight w:val="none"/>
          <w:lang w:val="en-US" w:eastAsia="zh-CN"/>
        </w:rPr>
        <w:t xml:space="preserve">将其作为无效投标（响应）处理。审查相关情况应当在评审报告中进行记录。</w:t>
      </w:r>
      <w:r/>
    </w:p>
    <w:p>
      <w:pPr>
        <w:pStyle w:val="1002"/>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磋商小组</w:t>
      </w:r>
      <w:r>
        <w:rPr>
          <w:rFonts w:hint="eastAsia" w:ascii="宋体" w:hAnsi="宋体" w:eastAsia="宋体" w:cs="宋体"/>
          <w:color w:val="auto"/>
          <w:sz w:val="24"/>
          <w:highlight w:val="none"/>
        </w:rPr>
        <w:t xml:space="preserve">成员对需要共同认定的事项存在争议的，应当按照少数服从多数的原则作出结论。持不同意见的</w:t>
      </w:r>
      <w:r>
        <w:rPr>
          <w:rFonts w:hint="eastAsia" w:ascii="宋体" w:hAnsi="宋体" w:eastAsia="宋体" w:cs="宋体"/>
          <w:color w:val="auto"/>
          <w:sz w:val="24"/>
          <w:highlight w:val="none"/>
          <w:lang w:val="en-US" w:eastAsia="zh-CN"/>
        </w:rPr>
        <w:t xml:space="preserve">磋商小组</w:t>
      </w:r>
      <w:r>
        <w:rPr>
          <w:rFonts w:hint="eastAsia" w:ascii="宋体" w:hAnsi="宋体" w:eastAsia="宋体" w:cs="宋体"/>
          <w:color w:val="auto"/>
          <w:sz w:val="24"/>
          <w:highlight w:val="none"/>
        </w:rPr>
        <w:t xml:space="preserve">成员应当在</w:t>
      </w:r>
      <w:r>
        <w:rPr>
          <w:rFonts w:hint="eastAsia" w:ascii="宋体" w:hAnsi="宋体" w:eastAsia="宋体" w:cs="宋体"/>
          <w:color w:val="auto"/>
          <w:sz w:val="24"/>
          <w:highlight w:val="none"/>
          <w:lang w:val="en-US" w:eastAsia="zh-CN"/>
        </w:rPr>
        <w:t xml:space="preserve">评审</w:t>
      </w:r>
      <w:r>
        <w:rPr>
          <w:rFonts w:hint="eastAsia" w:ascii="宋体" w:hAnsi="宋体" w:eastAsia="宋体" w:cs="宋体"/>
          <w:color w:val="auto"/>
          <w:sz w:val="24"/>
          <w:highlight w:val="none"/>
        </w:rPr>
        <w:t xml:space="preserve">报告上签署不同意见及理由，否则视为同意</w:t>
      </w:r>
      <w:r>
        <w:rPr>
          <w:rFonts w:hint="eastAsia" w:ascii="宋体" w:hAnsi="宋体" w:eastAsia="宋体" w:cs="宋体"/>
          <w:color w:val="auto"/>
          <w:sz w:val="24"/>
          <w:highlight w:val="none"/>
          <w:lang w:val="en-US" w:eastAsia="zh-CN"/>
        </w:rPr>
        <w:t xml:space="preserve">评审</w:t>
      </w:r>
      <w:r>
        <w:rPr>
          <w:rFonts w:hint="eastAsia" w:ascii="宋体" w:hAnsi="宋体" w:eastAsia="宋体" w:cs="宋体"/>
          <w:color w:val="auto"/>
          <w:sz w:val="24"/>
          <w:highlight w:val="none"/>
        </w:rPr>
        <w:t xml:space="preserve">报告。</w:t>
      </w:r>
      <w:r/>
    </w:p>
    <w:p>
      <w:pPr>
        <w:pStyle w:val="1002"/>
        <w:ind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相关内容和要求见：《中华人民共和国政府采购法》、《中华人民共和国政府采购法实施条例》、《政府采购竞争性磋商采购方式管理暂行办法》</w:t>
      </w:r>
      <w:r>
        <w:rPr>
          <w:rFonts w:hint="eastAsia" w:ascii="宋体" w:hAnsi="宋体" w:cs="宋体"/>
          <w:color w:val="auto"/>
          <w:sz w:val="24"/>
          <w:highlight w:val="none"/>
          <w:lang w:val="en-US" w:eastAsia="zh-CN"/>
        </w:rPr>
        <w:t xml:space="preserve">及《关于推动解决政府采购异常低价问题相关工作的通知》（苏财购〔2025〕62号）</w:t>
      </w:r>
      <w:r>
        <w:rPr>
          <w:rFonts w:hint="eastAsia" w:ascii="宋体" w:hAnsi="宋体" w:cs="宋体"/>
          <w:color w:val="auto"/>
          <w:sz w:val="24"/>
          <w:highlight w:val="none"/>
        </w:rPr>
        <w:t xml:space="preserve">。</w:t>
      </w:r>
      <w:r/>
    </w:p>
    <w:p>
      <w:pPr>
        <w:ind w:firstLine="480"/>
        <w:spacing w:line="360" w:lineRule="auto"/>
        <w:rPr>
          <w:rFonts w:hint="default" w:ascii="宋体" w:hAnsi="宋体" w:eastAsia="宋体" w:cs="宋体"/>
          <w:b/>
          <w:bCs/>
          <w:sz w:val="24"/>
          <w:lang w:val="en-US" w:eastAsia="zh-CN"/>
        </w:rPr>
      </w:pPr>
      <w:r>
        <w:rPr>
          <w:rFonts w:hint="eastAsia" w:ascii="宋体" w:hAnsi="宋体" w:eastAsia="宋体" w:cs="宋体"/>
          <w:b/>
          <w:bCs/>
          <w:sz w:val="24"/>
          <w:lang w:eastAsia="zh-CN"/>
        </w:rPr>
        <w:t xml:space="preserve">（三）</w:t>
      </w:r>
      <w:r>
        <w:rPr>
          <w:rFonts w:hint="eastAsia" w:ascii="宋体" w:hAnsi="宋体" w:eastAsia="宋体" w:cs="宋体"/>
          <w:b/>
          <w:bCs/>
          <w:sz w:val="24"/>
        </w:rPr>
        <w:t xml:space="preserve">查询及使用供应商信用记录</w:t>
      </w:r>
      <w:r>
        <w:rPr>
          <w:rFonts w:hint="eastAsia" w:ascii="宋体" w:hAnsi="宋体" w:cs="宋体"/>
          <w:b/>
          <w:bCs/>
          <w:sz w:val="24"/>
          <w:lang w:val="en-US" w:eastAsia="zh-CN"/>
        </w:rPr>
        <w:t xml:space="preserve">等</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1、由采购人查询信用信息。</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2、查询渠道包括：</w:t>
      </w:r>
      <w:r/>
    </w:p>
    <w:p>
      <w:pPr>
        <w:ind w:firstLine="480"/>
        <w:spacing w:line="360" w:lineRule="auto"/>
        <w:rPr>
          <w:rFonts w:hint="eastAsia" w:ascii="宋体" w:hAnsi="宋体" w:eastAsia="宋体" w:cs="宋体"/>
          <w:sz w:val="24"/>
        </w:rPr>
      </w:pP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1</w:t>
      </w:r>
      <w:r>
        <w:rPr>
          <w:rFonts w:hint="eastAsia" w:ascii="宋体" w:hAnsi="宋体" w:eastAsia="宋体" w:cs="宋体"/>
          <w:sz w:val="24"/>
          <w:lang w:eastAsia="zh-CN"/>
        </w:rPr>
        <w:t xml:space="preserve">）</w:t>
      </w:r>
      <w:r>
        <w:rPr>
          <w:rFonts w:hint="eastAsia" w:ascii="宋体" w:hAnsi="宋体" w:eastAsia="宋体" w:cs="宋体"/>
          <w:sz w:val="24"/>
        </w:rPr>
        <w:t xml:space="preserve">“信用中国”网（</w:t>
      </w:r>
      <w:r>
        <w:rPr>
          <w:rFonts w:hint="eastAsia" w:ascii="宋体" w:hAnsi="宋体" w:eastAsia="宋体" w:cs="宋体"/>
          <w:sz w:val="24"/>
        </w:rPr>
        <w:fldChar w:fldCharType="begin"/>
      </w:r>
      <w:r>
        <w:rPr>
          <w:rFonts w:hint="eastAsia" w:ascii="宋体" w:hAnsi="宋体" w:eastAsia="宋体" w:cs="宋体"/>
          <w:sz w:val="24"/>
        </w:rPr>
        <w:instrText xml:space="preserve"> HYPERLINK "http://www.creditchina.gov.cn/" </w:instrText>
      </w:r>
      <w:r>
        <w:rPr>
          <w:rFonts w:hint="eastAsia" w:ascii="宋体" w:hAnsi="宋体" w:eastAsia="宋体" w:cs="宋体"/>
          <w:sz w:val="24"/>
        </w:rPr>
        <w:fldChar w:fldCharType="separate"/>
      </w:r>
      <w:r>
        <w:rPr>
          <w:rFonts w:hint="eastAsia" w:ascii="宋体" w:hAnsi="宋体" w:eastAsia="宋体" w:cs="宋体"/>
          <w:sz w:val="24"/>
        </w:rPr>
        <w:t xml:space="preserve">www.creditchina.gov.cn</w:t>
      </w:r>
      <w:r>
        <w:rPr>
          <w:rFonts w:hint="eastAsia" w:ascii="宋体" w:hAnsi="宋体" w:eastAsia="宋体" w:cs="宋体"/>
          <w:sz w:val="24"/>
        </w:rPr>
        <w:fldChar w:fldCharType="end"/>
      </w:r>
      <w:r>
        <w:rPr>
          <w:rFonts w:hint="eastAsia" w:ascii="宋体" w:hAnsi="宋体" w:eastAsia="宋体" w:cs="宋体"/>
          <w:sz w:val="24"/>
        </w:rPr>
        <w:t xml:space="preserve">）；</w:t>
      </w:r>
      <w:r/>
    </w:p>
    <w:p>
      <w:pPr>
        <w:ind w:firstLine="480"/>
        <w:spacing w:line="360" w:lineRule="auto"/>
        <w:rPr>
          <w:rFonts w:hint="eastAsia" w:ascii="宋体" w:hAnsi="宋体" w:eastAsia="宋体" w:cs="宋体"/>
          <w:sz w:val="24"/>
        </w:rPr>
      </w:pP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2</w:t>
      </w:r>
      <w:r>
        <w:rPr>
          <w:rFonts w:hint="eastAsia" w:ascii="宋体" w:hAnsi="宋体" w:eastAsia="宋体" w:cs="宋体"/>
          <w:sz w:val="24"/>
          <w:lang w:eastAsia="zh-CN"/>
        </w:rPr>
        <w:t xml:space="preserve">）</w:t>
      </w:r>
      <w:r>
        <w:rPr>
          <w:rFonts w:hint="eastAsia" w:ascii="宋体" w:hAnsi="宋体" w:eastAsia="宋体" w:cs="宋体"/>
          <w:sz w:val="24"/>
        </w:rPr>
        <w:t xml:space="preserve">中国政府采购网（</w:t>
      </w:r>
      <w:r>
        <w:rPr>
          <w:rFonts w:hint="eastAsia" w:ascii="宋体" w:hAnsi="宋体" w:eastAsia="宋体" w:cs="宋体"/>
          <w:sz w:val="24"/>
        </w:rPr>
        <w:fldChar w:fldCharType="begin"/>
      </w:r>
      <w:r>
        <w:rPr>
          <w:rFonts w:hint="eastAsia" w:ascii="宋体" w:hAnsi="宋体" w:eastAsia="宋体" w:cs="宋体"/>
          <w:sz w:val="24"/>
        </w:rPr>
        <w:instrText xml:space="preserve"> HYPERLINK "http://www.ccgp.gov.cn/" </w:instrText>
      </w:r>
      <w:r>
        <w:rPr>
          <w:rFonts w:hint="eastAsia" w:ascii="宋体" w:hAnsi="宋体" w:eastAsia="宋体" w:cs="宋体"/>
          <w:sz w:val="24"/>
        </w:rPr>
        <w:fldChar w:fldCharType="separate"/>
      </w:r>
      <w:r>
        <w:rPr>
          <w:rFonts w:hint="eastAsia" w:ascii="宋体" w:hAnsi="宋体" w:eastAsia="宋体" w:cs="宋体"/>
          <w:sz w:val="24"/>
        </w:rPr>
        <w:t xml:space="preserve">www.ccgp.gov.cn</w:t>
      </w:r>
      <w:r>
        <w:rPr>
          <w:rFonts w:hint="eastAsia" w:ascii="宋体" w:hAnsi="宋体" w:eastAsia="宋体" w:cs="宋体"/>
          <w:sz w:val="24"/>
        </w:rPr>
        <w:fldChar w:fldCharType="end"/>
      </w:r>
      <w:r>
        <w:rPr>
          <w:rFonts w:hint="eastAsia" w:ascii="宋体" w:hAnsi="宋体" w:eastAsia="宋体" w:cs="宋体"/>
          <w:sz w:val="24"/>
        </w:rPr>
        <w:t xml:space="preserve">）；</w:t>
      </w:r>
      <w:r/>
    </w:p>
    <w:p>
      <w:pPr>
        <w:ind w:firstLine="480"/>
        <w:spacing w:line="360" w:lineRule="auto"/>
        <w:rPr>
          <w:rFonts w:hint="eastAsia" w:ascii="宋体" w:hAnsi="宋体" w:eastAsia="宋体" w:cs="宋体"/>
          <w:sz w:val="24"/>
        </w:rPr>
      </w:pP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3</w:t>
      </w:r>
      <w:r>
        <w:rPr>
          <w:rFonts w:hint="eastAsia" w:ascii="宋体" w:hAnsi="宋体" w:eastAsia="宋体" w:cs="宋体"/>
          <w:sz w:val="24"/>
          <w:lang w:eastAsia="zh-CN"/>
        </w:rPr>
        <w:t xml:space="preserve">）</w:t>
      </w:r>
      <w:r>
        <w:rPr>
          <w:rFonts w:hint="eastAsia" w:ascii="宋体" w:hAnsi="宋体" w:eastAsia="宋体" w:cs="宋体"/>
          <w:sz w:val="24"/>
        </w:rPr>
        <w:t xml:space="preserve">“信用江苏”网（http://www.jscredit.gov.cn/）；</w:t>
      </w:r>
      <w:r/>
    </w:p>
    <w:p>
      <w:pPr>
        <w:ind w:firstLine="480"/>
        <w:spacing w:line="360" w:lineRule="auto"/>
        <w:rPr>
          <w:rFonts w:hint="eastAsia" w:ascii="宋体" w:hAnsi="宋体" w:eastAsia="宋体" w:cs="宋体"/>
          <w:sz w:val="24"/>
        </w:rPr>
      </w:pP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4</w:t>
      </w:r>
      <w:r>
        <w:rPr>
          <w:rFonts w:hint="eastAsia" w:ascii="宋体" w:hAnsi="宋体" w:eastAsia="宋体" w:cs="宋体"/>
          <w:sz w:val="24"/>
          <w:lang w:eastAsia="zh-CN"/>
        </w:rPr>
        <w:t xml:space="preserve">）</w:t>
      </w:r>
      <w:r>
        <w:rPr>
          <w:rFonts w:hint="eastAsia" w:ascii="宋体" w:hAnsi="宋体" w:eastAsia="宋体" w:cs="宋体"/>
          <w:sz w:val="24"/>
        </w:rPr>
        <w:t xml:space="preserve">“信用徐州”网（</w:t>
      </w:r>
      <w:r>
        <w:rPr>
          <w:rFonts w:hint="eastAsia" w:ascii="宋体" w:hAnsi="宋体" w:eastAsia="宋体" w:cs="宋体"/>
          <w:sz w:val="24"/>
        </w:rPr>
        <w:fldChar w:fldCharType="begin"/>
      </w:r>
      <w:r>
        <w:rPr>
          <w:rFonts w:hint="eastAsia" w:ascii="宋体" w:hAnsi="宋体" w:eastAsia="宋体" w:cs="宋体"/>
          <w:sz w:val="24"/>
        </w:rPr>
        <w:instrText xml:space="preserve"> HYPERLINK "http://www.xuzhoucredit.gov.cn）；" </w:instrText>
      </w:r>
      <w:r>
        <w:rPr>
          <w:rFonts w:hint="eastAsia" w:ascii="宋体" w:hAnsi="宋体" w:eastAsia="宋体" w:cs="宋体"/>
          <w:sz w:val="24"/>
        </w:rPr>
        <w:fldChar w:fldCharType="separate"/>
      </w:r>
      <w:r>
        <w:rPr>
          <w:rFonts w:hint="eastAsia" w:ascii="宋体" w:hAnsi="宋体" w:eastAsia="宋体" w:cs="宋体"/>
          <w:sz w:val="24"/>
        </w:rPr>
        <w:t xml:space="preserve">http://www.xuzhoucredit.gov.cn）</w:t>
      </w:r>
      <w:r>
        <w:rPr>
          <w:rFonts w:hint="eastAsia" w:ascii="宋体" w:hAnsi="宋体" w:eastAsia="宋体" w:cs="宋体"/>
          <w:sz w:val="24"/>
          <w:lang w:eastAsia="zh-CN"/>
        </w:rPr>
        <w:t xml:space="preserve">。</w:t>
      </w:r>
      <w:r>
        <w:rPr>
          <w:rFonts w:hint="eastAsia" w:ascii="宋体" w:hAnsi="宋体" w:eastAsia="宋体" w:cs="宋体"/>
          <w:sz w:val="24"/>
        </w:rPr>
        <w:fldChar w:fldCharType="end"/>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3、截止时点（查询环节）：评审结束前。</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4、信用信息查询记录和证据留存的具体方式：</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网页截屏打印，与其他采购文件一并保存。</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5、信用信息的使用规则：</w:t>
      </w:r>
      <w:r/>
    </w:p>
    <w:p>
      <w:pPr>
        <w:ind w:left="0" w:right="0" w:firstLine="480"/>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供应商信用评价结果参考期限从项目</w:t>
      </w:r>
      <w:r>
        <w:rPr>
          <w:rFonts w:hint="eastAsia" w:ascii="宋体" w:hAnsi="宋体" w:eastAsia="宋体" w:cs="宋体"/>
          <w:sz w:val="24"/>
          <w:lang w:eastAsia="zh-CN"/>
        </w:rPr>
        <w:t xml:space="preserve">“</w:t>
      </w:r>
      <w:r>
        <w:rPr>
          <w:rFonts w:hint="eastAsia" w:ascii="宋体" w:hAnsi="宋体" w:eastAsia="宋体" w:cs="宋体"/>
          <w:sz w:val="24"/>
        </w:rPr>
        <w:t xml:space="preserve">首次响应文件提交的截止时间</w:t>
      </w:r>
      <w:r>
        <w:rPr>
          <w:rFonts w:hint="eastAsia" w:ascii="宋体" w:hAnsi="宋体" w:eastAsia="宋体" w:cs="宋体"/>
          <w:sz w:val="24"/>
          <w:lang w:eastAsia="zh-CN"/>
        </w:rPr>
        <w:t xml:space="preserve">”</w:t>
      </w:r>
      <w:r>
        <w:rPr>
          <w:rFonts w:hint="eastAsia" w:ascii="宋体" w:hAnsi="宋体" w:eastAsia="宋体" w:cs="宋体"/>
          <w:sz w:val="24"/>
        </w:rPr>
        <w:t xml:space="preserve">前三年起算</w:t>
      </w:r>
      <w:r>
        <w:rPr>
          <w:rFonts w:hint="eastAsia" w:ascii="宋体" w:hAnsi="宋体" w:eastAsia="宋体" w:cs="宋体"/>
          <w:sz w:val="24"/>
          <w:lang w:eastAsia="zh-CN"/>
        </w:rPr>
        <w:t xml:space="preserve">。</w:t>
      </w:r>
      <w:r/>
    </w:p>
    <w:p>
      <w:pPr>
        <w:ind w:left="0" w:right="0" w:firstLine="480"/>
        <w:keepLines w:val="0"/>
        <w:keepNext w:val="0"/>
        <w:pageBreakBefore w:val="0"/>
        <w:spacing w:line="36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6、供应商</w:t>
      </w:r>
      <w:r>
        <w:rPr>
          <w:rFonts w:hint="eastAsia" w:ascii="宋体" w:hAnsi="宋体" w:eastAsia="宋体" w:cs="宋体"/>
          <w:sz w:val="24"/>
        </w:rPr>
        <w:t xml:space="preserve">所用资质在</w:t>
      </w:r>
      <w:r>
        <w:rPr>
          <w:rFonts w:hint="eastAsia" w:ascii="宋体" w:hAnsi="宋体" w:eastAsia="宋体" w:cs="宋体"/>
          <w:bCs/>
          <w:sz w:val="24"/>
        </w:rPr>
        <w:t xml:space="preserve">首次响应文件提交的截止时间</w:t>
      </w:r>
      <w:r>
        <w:rPr>
          <w:rFonts w:hint="eastAsia" w:ascii="宋体" w:hAnsi="宋体" w:eastAsia="宋体" w:cs="宋体"/>
          <w:sz w:val="24"/>
        </w:rPr>
        <w:t xml:space="preserve">当日不得存在核查结果不合格的情形</w:t>
      </w:r>
      <w:r>
        <w:rPr>
          <w:rFonts w:hint="eastAsia" w:ascii="宋体" w:hAnsi="宋体" w:eastAsia="宋体" w:cs="宋体"/>
          <w:sz w:val="24"/>
          <w:lang w:val="en-US" w:eastAsia="zh-CN"/>
        </w:rPr>
        <w:t xml:space="preserve">（</w:t>
      </w:r>
      <w:r>
        <w:rPr>
          <w:rFonts w:hint="eastAsia" w:ascii="宋体" w:hAnsi="宋体" w:eastAsia="宋体" w:cs="宋体"/>
          <w:sz w:val="24"/>
        </w:rPr>
        <w:t xml:space="preserve">在江苏省建筑市场监管与诚信信息一体化平台动态监管不合格资质查询</w:t>
      </w:r>
      <w:r>
        <w:rPr>
          <w:rFonts w:hint="eastAsia" w:ascii="宋体" w:hAnsi="宋体" w:eastAsia="宋体" w:cs="宋体"/>
          <w:sz w:val="24"/>
          <w:lang w:val="en-US" w:eastAsia="zh-CN"/>
        </w:rPr>
        <w:t xml:space="preserve">）。</w:t>
      </w:r>
      <w:r/>
    </w:p>
    <w:p>
      <w:pPr>
        <w:ind w:firstLine="480"/>
        <w:spacing w:line="360" w:lineRule="auto"/>
        <w:rPr>
          <w:rFonts w:hint="eastAsia" w:ascii="宋体" w:hAnsi="宋体" w:eastAsia="宋体" w:cs="宋体"/>
          <w:sz w:val="24"/>
        </w:rPr>
      </w:pPr>
      <w:r>
        <w:rPr>
          <w:rFonts w:hint="eastAsia" w:ascii="宋体" w:hAnsi="宋体" w:eastAsia="宋体" w:cs="宋体"/>
          <w:sz w:val="24"/>
        </w:rPr>
      </w:r>
      <w:r/>
    </w:p>
    <w:p>
      <w:pPr>
        <w:ind w:firstLine="480"/>
        <w:spacing w:line="360" w:lineRule="auto"/>
        <w:rPr>
          <w:rFonts w:hint="eastAsia" w:ascii="宋体" w:hAnsi="宋体" w:eastAsia="宋体" w:cs="宋体"/>
          <w:b/>
          <w:bCs/>
          <w:sz w:val="24"/>
        </w:rPr>
      </w:pPr>
      <w:r>
        <w:rPr>
          <w:rFonts w:hint="eastAsia" w:ascii="宋体" w:hAnsi="宋体" w:eastAsia="宋体" w:cs="宋体"/>
          <w:b/>
          <w:bCs/>
          <w:sz w:val="24"/>
        </w:rPr>
        <w:t xml:space="preserve">十五、评审方法和评审标准</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1、评审方法：综合评分法</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2、评审标准：详见《磋商文件》附件1、《评分细则》</w:t>
      </w:r>
      <w:r/>
    </w:p>
    <w:p>
      <w:pPr>
        <w:ind w:firstLine="480"/>
        <w:spacing w:line="360" w:lineRule="auto"/>
        <w:rPr>
          <w:rFonts w:hint="eastAsia" w:ascii="宋体" w:hAnsi="宋体" w:eastAsia="宋体" w:cs="宋体"/>
          <w:sz w:val="24"/>
        </w:rPr>
      </w:pPr>
      <w:r>
        <w:rPr>
          <w:rFonts w:hint="eastAsia" w:ascii="宋体" w:hAnsi="宋体" w:eastAsia="宋体" w:cs="宋体"/>
          <w:sz w:val="24"/>
        </w:rPr>
      </w:r>
      <w:r/>
    </w:p>
    <w:p>
      <w:pPr>
        <w:ind w:firstLine="480"/>
        <w:spacing w:line="360" w:lineRule="auto"/>
        <w:rPr>
          <w:rFonts w:hint="eastAsia" w:ascii="宋体" w:hAnsi="宋体" w:eastAsia="宋体" w:cs="宋体"/>
          <w:sz w:val="24"/>
        </w:rPr>
      </w:pPr>
      <w:r>
        <w:rPr>
          <w:rFonts w:hint="eastAsia" w:ascii="宋体" w:hAnsi="宋体" w:eastAsia="宋体" w:cs="宋体"/>
          <w:b/>
          <w:bCs/>
          <w:sz w:val="24"/>
        </w:rPr>
        <w:t xml:space="preserve">十六、</w:t>
      </w:r>
      <w:r>
        <w:rPr>
          <w:rFonts w:hint="eastAsia" w:ascii="宋体" w:hAnsi="宋体" w:eastAsia="宋体" w:cs="宋体"/>
          <w:sz w:val="24"/>
        </w:rPr>
        <w:t xml:space="preserve">磋商过程中可能实质性变动的内容：在磋商过程中，磋商小组可以根据《磋商文件》和磋商情况实质性变动采购需求中的技术、服务要求以及合同草案条款。</w:t>
      </w:r>
      <w:r/>
    </w:p>
    <w:p>
      <w:pPr>
        <w:ind w:firstLine="480"/>
        <w:spacing w:line="360" w:lineRule="auto"/>
        <w:rPr>
          <w:rFonts w:hint="eastAsia" w:ascii="宋体" w:hAnsi="宋体" w:eastAsia="宋体" w:cs="宋体"/>
          <w:sz w:val="24"/>
        </w:rPr>
      </w:pPr>
      <w:r>
        <w:rPr>
          <w:rFonts w:hint="eastAsia" w:ascii="宋体" w:hAnsi="宋体" w:eastAsia="宋体" w:cs="宋体"/>
          <w:sz w:val="24"/>
        </w:rPr>
      </w:r>
      <w:r/>
    </w:p>
    <w:p>
      <w:pPr>
        <w:pStyle w:val="1002"/>
        <w:ind w:right="29" w:firstLine="482"/>
        <w:keepLines w:val="0"/>
        <w:keepNext w:val="0"/>
        <w:pageBreakBefore w:val="0"/>
        <w:spacing w:line="360" w:lineRule="auto"/>
        <w:rPr>
          <w:rFonts w:hint="eastAsia" w:ascii="宋体" w:hAnsi="宋体" w:cs="宋体"/>
          <w:b/>
          <w:bCs/>
          <w:color w:val="auto"/>
          <w:sz w:val="24"/>
          <w:highlight w:val="none"/>
        </w:rPr>
      </w:pPr>
      <w:r>
        <w:rPr>
          <w:rFonts w:hint="eastAsia" w:ascii="宋体" w:hAnsi="宋体" w:eastAsia="宋体" w:cs="宋体"/>
          <w:b/>
          <w:bCs/>
          <w:sz w:val="24"/>
        </w:rPr>
        <w:t xml:space="preserve">十七、</w:t>
      </w:r>
      <w:r>
        <w:rPr>
          <w:rFonts w:hint="eastAsia" w:ascii="宋体" w:hAnsi="宋体" w:cs="宋体"/>
          <w:color w:val="auto"/>
          <w:sz w:val="24"/>
          <w:highlight w:val="none"/>
        </w:rPr>
        <w:t xml:space="preserve">采购人有权对供应商的响应文件的真实性进行核实，如供应商不能在采购人规定的时间内向采购人提供有效的证明文件，将被采购人视为放弃中标（成交）资格。</w:t>
      </w:r>
      <w:r/>
    </w:p>
    <w:p>
      <w:pPr>
        <w:ind w:firstLine="480"/>
        <w:spacing w:line="360" w:lineRule="auto"/>
        <w:rPr>
          <w:rFonts w:hint="eastAsia" w:ascii="宋体" w:hAnsi="宋体" w:eastAsia="宋体" w:cs="宋体"/>
          <w:sz w:val="24"/>
        </w:rPr>
      </w:pPr>
      <w:r>
        <w:rPr>
          <w:rFonts w:hint="eastAsia" w:ascii="宋体" w:hAnsi="宋体" w:eastAsia="宋体" w:cs="宋体"/>
          <w:sz w:val="24"/>
        </w:rPr>
      </w:r>
      <w:r/>
    </w:p>
    <w:p>
      <w:pPr>
        <w:ind w:firstLine="480"/>
        <w:jc w:val="center"/>
        <w:spacing w:line="360" w:lineRule="auto"/>
        <w:rPr>
          <w:rFonts w:hint="eastAsia" w:ascii="宋体" w:hAnsi="宋体" w:eastAsia="宋体" w:cs="宋体"/>
          <w:b/>
          <w:bCs/>
          <w:sz w:val="24"/>
        </w:rPr>
        <w:outlineLvl w:val="0"/>
      </w:pPr>
      <w:r>
        <w:rPr>
          <w:rFonts w:hint="eastAsia" w:ascii="宋体" w:hAnsi="宋体" w:eastAsia="宋体" w:cs="宋体"/>
          <w:b/>
          <w:bCs/>
          <w:sz w:val="24"/>
        </w:rPr>
        <w:t xml:space="preserve">第五章 确定成交供应商及合同签订等</w:t>
      </w:r>
      <w:r/>
    </w:p>
    <w:p>
      <w:pPr>
        <w:pStyle w:val="1002"/>
        <w:ind w:right="29" w:firstLine="482"/>
        <w:keepLines w:val="0"/>
        <w:keepNext w:val="0"/>
        <w:pageBreakBefore w:val="0"/>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十八、</w:t>
      </w:r>
      <w:r>
        <w:rPr>
          <w:rFonts w:hint="eastAsia" w:ascii="宋体" w:hAnsi="宋体" w:cs="宋体"/>
          <w:color w:val="auto"/>
          <w:sz w:val="24"/>
          <w:highlight w:val="none"/>
        </w:rPr>
        <w:t xml:space="preserve">采购人应当在收到评审报告后5个工作日内，从评审报告提出的成交候选供应商中，按照排序由高到低的原则确定成交供应商，如排序相同的，由采购人确定成交供应商。在省级以上财政部门指定的政府采购信息发布媒体上公告成交结果，公告标的的基本概况为成交供应商的《磋商报价表》（最后报价）。</w:t>
      </w:r>
      <w:r/>
    </w:p>
    <w:p>
      <w:pPr>
        <w:ind w:firstLine="480"/>
        <w:spacing w:line="360" w:lineRule="auto"/>
        <w:tabs>
          <w:tab w:val="left" w:pos="448" w:leader="none"/>
        </w:tabs>
        <w:rPr>
          <w:rFonts w:hint="eastAsia" w:ascii="宋体" w:hAnsi="宋体" w:eastAsia="宋体" w:cs="宋体"/>
          <w:sz w:val="24"/>
          <w:lang w:eastAsia="zh-CN"/>
        </w:rPr>
      </w:pPr>
      <w:r>
        <w:rPr>
          <w:rFonts w:hint="eastAsia" w:ascii="宋体" w:hAnsi="宋体" w:eastAsia="宋体" w:cs="宋体"/>
          <w:sz w:val="24"/>
          <w:lang w:eastAsia="zh-CN"/>
        </w:rPr>
      </w:r>
      <w:r/>
    </w:p>
    <w:p>
      <w:pPr>
        <w:numPr>
          <w:ilvl w:val="0"/>
          <w:numId w:val="0"/>
        </w:numPr>
        <w:ind w:firstLine="480"/>
        <w:jc w:val="left"/>
        <w:spacing w:line="360" w:lineRule="auto"/>
        <w:widowControl/>
        <w:rPr>
          <w:rFonts w:hint="eastAsia" w:ascii="宋体" w:hAnsi="宋体" w:eastAsia="宋体" w:cs="宋体"/>
          <w:color w:val="auto"/>
          <w:highlight w:val="none"/>
        </w:rPr>
      </w:pPr>
      <w:r>
        <w:rPr>
          <w:rFonts w:hint="eastAsia" w:ascii="宋体" w:hAnsi="宋体" w:eastAsia="宋体" w:cs="宋体"/>
          <w:b/>
          <w:bCs/>
          <w:color w:val="auto"/>
          <w:sz w:val="24"/>
          <w:szCs w:val="21"/>
          <w:highlight w:val="none"/>
          <w:lang w:val="en-US" w:eastAsia="zh-CN" w:bidi="ar-SA"/>
        </w:rPr>
        <w:t xml:space="preserve">十九、</w:t>
      </w:r>
      <w:r>
        <w:rPr>
          <w:rFonts w:hint="eastAsia" w:ascii="宋体" w:hAnsi="宋体" w:eastAsia="宋体" w:cs="宋体"/>
          <w:b/>
          <w:bCs/>
          <w:sz w:val="24"/>
        </w:rPr>
        <w:t xml:space="preserve">采购人与成交供应商应当在成交通知书发出之日起30日内，</w:t>
      </w:r>
      <w:r>
        <w:rPr>
          <w:rFonts w:hint="eastAsia" w:ascii="宋体" w:hAnsi="宋体" w:eastAsia="宋体" w:cs="宋体"/>
          <w:sz w:val="24"/>
        </w:rPr>
        <w:t xml:space="preserve">按照《磋商文件》确定的合同文本以及采购标的、规格型号、采购金额、采购数量、技术和服务要求等事项签订政府采购合同。</w:t>
      </w:r>
      <w:r/>
    </w:p>
    <w:p>
      <w:pPr>
        <w:numPr>
          <w:ilvl w:val="0"/>
          <w:numId w:val="0"/>
        </w:numPr>
        <w:ind w:firstLine="480"/>
        <w:jc w:val="left"/>
        <w:spacing w:line="360" w:lineRule="auto"/>
        <w:widowControl/>
        <w:rPr>
          <w:rFonts w:hint="eastAsia" w:ascii="宋体" w:hAnsi="宋体" w:eastAsia="宋体" w:cs="宋体"/>
          <w:color w:val="auto"/>
          <w:highlight w:val="none"/>
        </w:rPr>
      </w:pPr>
      <w:r>
        <w:rPr>
          <w:rFonts w:hint="eastAsia" w:ascii="宋体" w:hAnsi="宋体" w:eastAsia="宋体" w:cs="宋体"/>
          <w:b/>
          <w:bCs/>
          <w:color w:val="auto"/>
          <w:sz w:val="24"/>
          <w:highlight w:val="none"/>
        </w:rPr>
        <w:t xml:space="preserve">特别说明：</w:t>
      </w:r>
      <w:r>
        <w:rPr>
          <w:rFonts w:hint="eastAsia" w:ascii="宋体" w:hAnsi="宋体" w:eastAsia="宋体" w:cs="宋体"/>
          <w:color w:val="auto"/>
          <w:sz w:val="24"/>
          <w:highlight w:val="none"/>
        </w:rPr>
        <w:t xml:space="preserve"> 按照《政府采购法》及其实施条例以及相关规定，中标或者成交后无正当理由拒不与采购人签订政府采购合同的, 在一至三年内禁止参加政府采购活动</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列入政府采购严重违法失信行为记录名单。</w:t>
      </w:r>
      <w:r/>
    </w:p>
    <w:p>
      <w:pPr>
        <w:ind w:firstLine="480"/>
        <w:jc w:val="left"/>
        <w:spacing w:line="360" w:lineRule="auto"/>
        <w:widowControl/>
        <w:rPr>
          <w:rFonts w:hint="eastAsia" w:ascii="宋体" w:hAnsi="宋体" w:eastAsia="宋体" w:cs="宋体"/>
          <w:sz w:val="24"/>
        </w:rPr>
      </w:pPr>
      <w:r>
        <w:rPr>
          <w:rFonts w:hint="eastAsia" w:ascii="宋体" w:hAnsi="宋体" w:eastAsia="宋体" w:cs="宋体"/>
          <w:sz w:val="24"/>
        </w:rPr>
      </w:r>
      <w:r/>
    </w:p>
    <w:p>
      <w:pPr>
        <w:numPr>
          <w:ilvl w:val="0"/>
          <w:numId w:val="0"/>
        </w:numPr>
        <w:ind w:firstLine="480"/>
        <w:jc w:val="left"/>
        <w:spacing w:line="360" w:lineRule="auto"/>
        <w:rPr>
          <w:rFonts w:hint="eastAsia" w:ascii="宋体" w:hAnsi="宋体" w:eastAsia="宋体" w:cs="宋体"/>
          <w:sz w:val="24"/>
        </w:rPr>
      </w:pPr>
      <w:r>
        <w:rPr>
          <w:rFonts w:hint="eastAsia" w:ascii="宋体" w:hAnsi="宋体" w:eastAsia="宋体" w:cs="宋体"/>
          <w:b/>
          <w:bCs/>
          <w:sz w:val="24"/>
        </w:rPr>
        <w:t xml:space="preserve">二十、</w:t>
      </w:r>
      <w:r>
        <w:rPr>
          <w:rFonts w:hint="eastAsia" w:ascii="宋体" w:hAnsi="宋体" w:eastAsia="宋体" w:cs="宋体"/>
          <w:b w:val="0"/>
          <w:bCs w:val="0"/>
          <w:color w:val="auto"/>
          <w:sz w:val="24"/>
          <w:lang w:val="en-US" w:eastAsia="zh-CN"/>
        </w:rPr>
        <w:t xml:space="preserve">签订合同前，成交供应商必须向采购人提交其响应文件中所有扫描件的原件，采购人核查无误后，签订合同。如成交供应商不能在采购人规定的时间内向采购人提供原件，将被采购人视为放弃成交资格。</w:t>
      </w:r>
      <w:r/>
    </w:p>
    <w:p>
      <w:pPr>
        <w:jc w:val="left"/>
        <w:spacing w:line="360" w:lineRule="auto"/>
        <w:widowControl/>
        <w:rPr>
          <w:rFonts w:hint="eastAsia" w:ascii="宋体" w:hAnsi="宋体" w:eastAsia="宋体" w:cs="宋体"/>
          <w:sz w:val="24"/>
        </w:rPr>
      </w:pPr>
      <w:r>
        <w:rPr>
          <w:rFonts w:hint="eastAsia" w:ascii="宋体" w:hAnsi="宋体" w:eastAsia="宋体" w:cs="宋体"/>
          <w:sz w:val="24"/>
        </w:rPr>
      </w:r>
      <w:r/>
    </w:p>
    <w:p>
      <w:pPr>
        <w:ind w:firstLine="480"/>
        <w:jc w:val="center"/>
        <w:spacing w:line="360" w:lineRule="auto"/>
        <w:widowControl/>
        <w:rPr>
          <w:rFonts w:hint="eastAsia" w:ascii="宋体" w:hAnsi="宋体" w:eastAsia="宋体" w:cs="宋体"/>
          <w:b/>
          <w:bCs/>
          <w:sz w:val="24"/>
        </w:rPr>
        <w:outlineLvl w:val="0"/>
      </w:pPr>
      <w:r>
        <w:rPr>
          <w:rFonts w:hint="eastAsia" w:ascii="宋体" w:hAnsi="宋体" w:eastAsia="宋体" w:cs="宋体"/>
          <w:b/>
          <w:bCs/>
          <w:sz w:val="24"/>
        </w:rPr>
        <w:t xml:space="preserve">第六章 磋商文件的澄清或者修改</w:t>
      </w:r>
      <w:r/>
    </w:p>
    <w:p>
      <w:pPr>
        <w:ind w:firstLine="480"/>
        <w:jc w:val="left"/>
        <w:spacing w:line="360" w:lineRule="auto"/>
        <w:widowControl/>
        <w:rPr>
          <w:rFonts w:hint="eastAsia" w:ascii="宋体" w:hAnsi="宋体" w:eastAsia="宋体" w:cs="宋体"/>
          <w:b/>
          <w:bCs/>
          <w:sz w:val="24"/>
        </w:rPr>
      </w:pPr>
      <w:r>
        <w:rPr>
          <w:rFonts w:hint="eastAsia" w:ascii="宋体" w:hAnsi="宋体" w:eastAsia="宋体" w:cs="宋体"/>
          <w:b/>
          <w:bCs/>
          <w:sz w:val="24"/>
        </w:rPr>
        <w:t xml:space="preserve">二十</w:t>
      </w:r>
      <w:r>
        <w:rPr>
          <w:rFonts w:hint="eastAsia" w:ascii="宋体" w:hAnsi="宋体" w:cs="宋体"/>
          <w:b/>
          <w:bCs/>
          <w:sz w:val="24"/>
          <w:lang w:val="en-US" w:eastAsia="zh-CN"/>
        </w:rPr>
        <w:t xml:space="preserve">一</w:t>
      </w:r>
      <w:r>
        <w:rPr>
          <w:rFonts w:hint="eastAsia" w:ascii="宋体" w:hAnsi="宋体" w:eastAsia="宋体" w:cs="宋体"/>
          <w:b/>
          <w:bCs/>
          <w:sz w:val="24"/>
        </w:rPr>
        <w:t xml:space="preserve">、《磋商文件》的澄清或者修改</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澄清）公告”的附件的形式通知所有获取《磋商文件》的供应商。发布本项目的“更正（澄清）公告”后采购代理机构已尽通知义务。敬请各所有获取《磋商文件》的供应商关注本项目的“更正（澄清）公告”及附件，否则，将自行承担相应的风险。</w:t>
      </w:r>
      <w:r/>
    </w:p>
    <w:p>
      <w:pPr>
        <w:ind w:firstLine="480"/>
        <w:spacing w:line="360" w:lineRule="auto"/>
        <w:rPr>
          <w:rFonts w:hint="eastAsia" w:ascii="宋体" w:hAnsi="宋体" w:eastAsia="宋体" w:cs="宋体"/>
          <w:sz w:val="24"/>
        </w:rPr>
      </w:pPr>
      <w:r>
        <w:rPr>
          <w:rFonts w:hint="eastAsia" w:ascii="宋体" w:hAnsi="宋体" w:eastAsia="宋体" w:cs="宋体"/>
          <w:sz w:val="24"/>
        </w:rPr>
      </w:r>
      <w:r/>
    </w:p>
    <w:p>
      <w:pPr>
        <w:ind w:firstLine="480"/>
        <w:jc w:val="center"/>
        <w:spacing w:line="360" w:lineRule="auto"/>
        <w:widowControl/>
        <w:rPr>
          <w:rFonts w:hint="eastAsia" w:ascii="宋体" w:hAnsi="宋体" w:eastAsia="宋体" w:cs="宋体"/>
          <w:b/>
          <w:bCs/>
          <w:sz w:val="24"/>
        </w:rPr>
        <w:outlineLvl w:val="0"/>
      </w:pPr>
      <w:r>
        <w:rPr>
          <w:rFonts w:hint="eastAsia" w:ascii="宋体" w:hAnsi="宋体" w:eastAsia="宋体" w:cs="宋体"/>
          <w:b/>
          <w:bCs/>
          <w:sz w:val="24"/>
        </w:rPr>
        <w:t xml:space="preserve">第七章 询问和质疑</w:t>
      </w:r>
      <w:r/>
    </w:p>
    <w:p>
      <w:pPr>
        <w:ind w:firstLine="480"/>
        <w:jc w:val="center"/>
        <w:spacing w:line="360" w:lineRule="auto"/>
        <w:widowControl/>
        <w:rPr>
          <w:rFonts w:hint="eastAsia" w:ascii="宋体" w:hAnsi="宋体" w:eastAsia="宋体" w:cs="宋体"/>
          <w:sz w:val="24"/>
        </w:rPr>
      </w:pPr>
      <w:r>
        <w:rPr>
          <w:rFonts w:hint="eastAsia" w:ascii="宋体" w:hAnsi="宋体" w:eastAsia="宋体" w:cs="宋体"/>
          <w:sz w:val="24"/>
        </w:rPr>
      </w:r>
      <w:r/>
    </w:p>
    <w:p>
      <w:pPr>
        <w:ind w:firstLine="480"/>
        <w:jc w:val="left"/>
        <w:spacing w:line="360" w:lineRule="auto"/>
        <w:widowControl/>
        <w:rPr>
          <w:rFonts w:hint="eastAsia" w:ascii="宋体" w:hAnsi="宋体" w:eastAsia="宋体" w:cs="宋体"/>
          <w:b/>
          <w:bCs/>
          <w:sz w:val="24"/>
        </w:rPr>
      </w:pPr>
      <w:r>
        <w:rPr>
          <w:rFonts w:hint="eastAsia" w:ascii="宋体" w:hAnsi="宋体" w:eastAsia="宋体" w:cs="宋体"/>
          <w:b/>
          <w:bCs/>
          <w:sz w:val="24"/>
        </w:rPr>
        <w:t xml:space="preserve">二十</w:t>
      </w:r>
      <w:r>
        <w:rPr>
          <w:rFonts w:hint="eastAsia" w:ascii="宋体" w:hAnsi="宋体" w:cs="宋体"/>
          <w:b/>
          <w:bCs/>
          <w:sz w:val="24"/>
          <w:lang w:val="en-US" w:eastAsia="zh-CN"/>
        </w:rPr>
        <w:t xml:space="preserve">二</w:t>
      </w:r>
      <w:r>
        <w:rPr>
          <w:rFonts w:hint="eastAsia" w:ascii="宋体" w:hAnsi="宋体" w:eastAsia="宋体" w:cs="宋体"/>
          <w:b/>
          <w:bCs/>
          <w:sz w:val="24"/>
        </w:rPr>
        <w:t xml:space="preserve">、询问和质疑</w:t>
      </w:r>
      <w:r/>
    </w:p>
    <w:p>
      <w:pPr>
        <w:numPr>
          <w:ilvl w:val="0"/>
          <w:numId w:val="6"/>
        </w:numPr>
        <w:ind w:firstLine="480"/>
        <w:jc w:val="left"/>
        <w:spacing w:line="360" w:lineRule="auto"/>
        <w:widowControl/>
        <w:rPr>
          <w:rFonts w:hint="eastAsia" w:ascii="宋体" w:hAnsi="宋体" w:eastAsia="宋体" w:cs="宋体"/>
          <w:sz w:val="24"/>
        </w:rPr>
      </w:pPr>
      <w:r>
        <w:rPr>
          <w:rFonts w:hint="eastAsia" w:ascii="宋体" w:hAnsi="宋体" w:eastAsia="宋体" w:cs="宋体"/>
          <w:color w:val="000000"/>
          <w:sz w:val="24"/>
        </w:rPr>
        <w:t xml:space="preserve">供应商对政府采购活动事项有疑问的，向采购代理机构提出询问；</w:t>
      </w:r>
      <w:r>
        <w:rPr>
          <w:rFonts w:hint="eastAsia" w:ascii="宋体" w:hAnsi="宋体" w:eastAsia="宋体" w:cs="宋体"/>
          <w:sz w:val="24"/>
        </w:rPr>
        <w:t xml:space="preserve">供应商认为采购文件、采购过程、中标或成交结果使自己的权益受到损害的，可以在知道或者应知其权益受到损害之日起七个工作日内，以书面形式向采购代理机构提出质疑，由采购代理机构依法处理。</w:t>
      </w:r>
      <w:r>
        <w:rPr>
          <w:rFonts w:hint="eastAsia" w:ascii="宋体" w:hAnsi="宋体" w:eastAsia="宋体" w:cs="宋体"/>
          <w:color w:val="000000"/>
          <w:sz w:val="24"/>
        </w:rPr>
        <w:t xml:space="preserve">询问和质疑由采购代理机构依法处理。</w:t>
      </w:r>
      <w:r/>
    </w:p>
    <w:p>
      <w:pPr>
        <w:ind w:firstLine="480"/>
        <w:keepLines w:val="0"/>
        <w:keepNext w:val="0"/>
        <w:pageBreakBefore w:val="0"/>
        <w:spacing w:line="360" w:lineRule="auto"/>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2、供应商针对同一采购程序环节的质疑应当在法定质疑期内一次性提出。</w:t>
      </w:r>
      <w:r/>
    </w:p>
    <w:p>
      <w:pPr>
        <w:ind w:firstLine="480"/>
        <w:keepLines w:val="0"/>
        <w:keepNext w:val="0"/>
        <w:pageBreakBefore w:val="0"/>
        <w:spacing w:line="360" w:lineRule="auto"/>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3、质疑和投诉按《政府采购质疑和投诉办法》执行。</w:t>
      </w:r>
      <w:r/>
    </w:p>
    <w:p>
      <w:pPr>
        <w:ind w:firstLine="480"/>
        <w:jc w:val="left"/>
        <w:spacing w:line="360" w:lineRule="auto"/>
        <w:widowControl/>
        <w:rPr>
          <w:rFonts w:hint="eastAsia" w:ascii="宋体" w:hAnsi="宋体" w:eastAsia="宋体" w:cs="宋体"/>
          <w:sz w:val="24"/>
        </w:rPr>
      </w:pPr>
      <w:r>
        <w:rPr>
          <w:rFonts w:hint="eastAsia" w:ascii="宋体" w:hAnsi="宋体" w:cs="宋体"/>
          <w:sz w:val="24"/>
          <w:lang w:val="en-US" w:eastAsia="zh-CN"/>
        </w:rPr>
        <w:t xml:space="preserve">4、</w:t>
      </w:r>
      <w:r>
        <w:rPr>
          <w:rFonts w:hint="eastAsia" w:ascii="宋体" w:hAnsi="宋体" w:cs="宋体"/>
          <w:color w:val="auto"/>
          <w:sz w:val="24"/>
          <w:highlight w:val="none"/>
        </w:rPr>
        <w:t xml:space="preserve">接收质疑函的方式：供应商直接送交或供应商通过邮寄。</w:t>
      </w:r>
      <w:r/>
    </w:p>
    <w:p>
      <w:pPr>
        <w:ind w:firstLine="480"/>
        <w:jc w:val="left"/>
        <w:spacing w:line="360" w:lineRule="auto"/>
        <w:widowControl/>
        <w:rPr>
          <w:rFonts w:hint="eastAsia" w:ascii="宋体" w:hAnsi="宋体" w:eastAsia="宋体" w:cs="宋体"/>
          <w:bCs/>
          <w:sz w:val="24"/>
          <w:lang w:eastAsia="zh-CN"/>
        </w:rPr>
      </w:pPr>
      <w:r>
        <w:rPr>
          <w:rFonts w:hint="eastAsia" w:ascii="宋体" w:hAnsi="宋体" w:eastAsia="宋体" w:cs="宋体"/>
          <w:sz w:val="24"/>
        </w:rPr>
        <w:t xml:space="preserve">质疑接</w:t>
      </w:r>
      <w:r>
        <w:rPr>
          <w:rFonts w:hint="eastAsia" w:ascii="宋体" w:hAnsi="宋体" w:eastAsia="宋体" w:cs="宋体"/>
          <w:color w:val="auto"/>
          <w:sz w:val="24"/>
        </w:rPr>
        <w:t xml:space="preserve">收人：</w:t>
      </w:r>
      <w:r>
        <w:rPr>
          <w:rFonts w:hint="eastAsia" w:ascii="宋体" w:hAnsi="宋体" w:cs="宋体"/>
          <w:color w:val="auto"/>
          <w:sz w:val="24"/>
          <w:lang w:eastAsia="zh-CN"/>
        </w:rPr>
        <w:t xml:space="preserve">王状</w:t>
      </w:r>
      <w:r>
        <w:rPr>
          <w:rFonts w:hint="eastAsia" w:ascii="宋体" w:hAnsi="宋体" w:eastAsia="宋体" w:cs="宋体"/>
          <w:color w:val="auto"/>
          <w:sz w:val="24"/>
        </w:rPr>
        <w:t xml:space="preserve">       联系电话：</w:t>
      </w:r>
      <w:r>
        <w:rPr>
          <w:rFonts w:hint="eastAsia" w:ascii="宋体" w:hAnsi="宋体" w:cs="宋体"/>
          <w:color w:val="auto"/>
          <w:sz w:val="24"/>
          <w:lang w:eastAsia="zh-CN"/>
        </w:rPr>
        <w:t xml:space="preserve">0516-82500777</w:t>
      </w:r>
      <w:r/>
    </w:p>
    <w:p>
      <w:pPr>
        <w:ind w:firstLine="480"/>
        <w:jc w:val="left"/>
        <w:spacing w:line="360" w:lineRule="auto"/>
        <w:widowControl/>
        <w:rPr>
          <w:rFonts w:hint="eastAsia" w:ascii="宋体" w:hAnsi="宋体" w:eastAsia="宋体" w:cs="宋体"/>
          <w:sz w:val="24"/>
          <w:lang w:eastAsia="zh-CN"/>
        </w:rPr>
      </w:pPr>
      <w:r>
        <w:rPr>
          <w:rFonts w:hint="eastAsia" w:ascii="宋体" w:hAnsi="宋体" w:eastAsia="宋体" w:cs="宋体"/>
          <w:sz w:val="24"/>
        </w:rPr>
        <w:t xml:space="preserve">地址：</w:t>
      </w:r>
      <w:r>
        <w:rPr>
          <w:rFonts w:hint="eastAsia" w:ascii="宋体" w:hAnsi="宋体" w:cs="宋体"/>
          <w:sz w:val="24"/>
          <w:lang w:eastAsia="zh-CN"/>
        </w:rPr>
        <w:t xml:space="preserve">徐州市云龙区万科尚都会商业综合楼5楼</w:t>
      </w:r>
      <w:r/>
    </w:p>
    <w:p>
      <w:pPr>
        <w:spacing w:line="360" w:lineRule="auto"/>
        <w:rPr>
          <w:rFonts w:hint="eastAsia" w:ascii="宋体" w:hAnsi="宋体" w:eastAsia="宋体" w:cs="宋体"/>
          <w:sz w:val="24"/>
        </w:rPr>
      </w:pPr>
      <w:r>
        <w:rPr>
          <w:rFonts w:hint="eastAsia" w:ascii="宋体" w:hAnsi="宋体" w:eastAsia="宋体" w:cs="宋体"/>
          <w:sz w:val="24"/>
        </w:rPr>
      </w:r>
      <w:r/>
    </w:p>
    <w:p>
      <w:pPr>
        <w:ind w:firstLine="480"/>
        <w:jc w:val="center"/>
        <w:spacing w:line="360" w:lineRule="auto"/>
        <w:rPr>
          <w:rFonts w:hint="eastAsia" w:ascii="宋体" w:hAnsi="宋体" w:cs="宋体"/>
          <w:b/>
          <w:bCs/>
          <w:color w:val="auto"/>
          <w:sz w:val="24"/>
          <w:szCs w:val="24"/>
          <w:highlight w:val="none"/>
        </w:rPr>
        <w:outlineLvl w:val="0"/>
      </w:pPr>
      <w:r>
        <w:rPr>
          <w:rFonts w:hint="eastAsia" w:ascii="宋体" w:hAnsi="宋体" w:cs="宋体"/>
          <w:b/>
          <w:bCs/>
          <w:color w:val="auto"/>
          <w:sz w:val="24"/>
          <w:highlight w:val="none"/>
        </w:rPr>
        <w:t xml:space="preserve">第八章 联系方式</w:t>
      </w:r>
      <w:r/>
    </w:p>
    <w:p>
      <w:pPr>
        <w:ind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采购人信息</w:t>
      </w:r>
      <w:r/>
    </w:p>
    <w:p>
      <w:pPr>
        <w:ind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单位名称：徐州市市政管理中心</w:t>
      </w:r>
      <w:r/>
    </w:p>
    <w:p>
      <w:pPr>
        <w:ind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单位地址：徐州市黄河东路43号</w:t>
      </w:r>
      <w:r/>
    </w:p>
    <w:p>
      <w:pPr>
        <w:ind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联系人：丁东方</w:t>
      </w:r>
      <w:r/>
    </w:p>
    <w:p>
      <w:pPr>
        <w:ind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联系电话：0516-83387776</w:t>
      </w:r>
      <w:r/>
    </w:p>
    <w:p>
      <w:pPr>
        <w:ind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采购代理机构信息</w:t>
      </w:r>
      <w:r/>
    </w:p>
    <w:p>
      <w:pPr>
        <w:ind w:firstLine="480"/>
        <w:keepLines w:val="0"/>
        <w:keepNext w:val="0"/>
        <w:pageBreakBefore w:val="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单位名称：</w:t>
      </w:r>
      <w:r>
        <w:rPr>
          <w:rFonts w:hint="eastAsia" w:ascii="宋体" w:hAnsi="宋体" w:cs="宋体"/>
          <w:color w:val="auto"/>
          <w:sz w:val="24"/>
          <w:highlight w:val="none"/>
          <w:lang w:eastAsia="zh-CN"/>
        </w:rPr>
        <w:t xml:space="preserve">江苏仁华工程项目管理有限公司</w:t>
      </w:r>
      <w:r/>
    </w:p>
    <w:p>
      <w:pPr>
        <w:ind w:firstLine="480"/>
        <w:keepLines w:val="0"/>
        <w:keepNext w:val="0"/>
        <w:pageBreakBefore w:val="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单位地址：</w:t>
      </w:r>
      <w:r>
        <w:rPr>
          <w:rFonts w:hint="eastAsia" w:ascii="宋体" w:hAnsi="宋体" w:cs="宋体"/>
          <w:sz w:val="24"/>
          <w:lang w:eastAsia="zh-CN"/>
        </w:rPr>
        <w:t xml:space="preserve">徐州市云龙区万科尚都会商业综合楼5楼</w:t>
      </w:r>
      <w:r/>
    </w:p>
    <w:p>
      <w:pPr>
        <w:ind w:firstLine="480"/>
        <w:keepLines w:val="0"/>
        <w:keepNext w:val="0"/>
        <w:pageBreakBefore w:val="0"/>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 xml:space="preserve">联系人：</w:t>
      </w:r>
      <w:r>
        <w:rPr>
          <w:rFonts w:hint="eastAsia" w:ascii="宋体" w:hAnsi="宋体" w:cs="宋体"/>
          <w:color w:val="auto"/>
          <w:sz w:val="24"/>
          <w:highlight w:val="none"/>
          <w:lang w:val="en-US" w:eastAsia="zh-CN"/>
        </w:rPr>
        <w:t xml:space="preserve">王状</w:t>
      </w:r>
      <w:r/>
    </w:p>
    <w:p>
      <w:pPr>
        <w:ind w:firstLine="480"/>
        <w:jc w:val="left"/>
        <w:spacing w:line="360" w:lineRule="auto"/>
        <w:widowControl/>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联系电话：</w:t>
      </w:r>
      <w:r>
        <w:rPr>
          <w:rFonts w:hint="eastAsia" w:ascii="宋体" w:hAnsi="宋体" w:cs="宋体"/>
          <w:sz w:val="24"/>
          <w:lang w:eastAsia="zh-CN"/>
        </w:rPr>
        <w:t xml:space="preserve">0516-82500777</w:t>
      </w:r>
      <w:r/>
    </w:p>
    <w:p>
      <w:pPr>
        <w:ind w:firstLine="480"/>
        <w:jc w:val="center"/>
        <w:spacing w:line="360" w:lineRule="auto"/>
        <w:rPr>
          <w:rFonts w:hint="eastAsia" w:ascii="宋体" w:hAnsi="宋体" w:eastAsia="宋体" w:cs="宋体"/>
          <w:sz w:val="24"/>
        </w:rPr>
        <w:outlineLvl w:val="0"/>
      </w:pPr>
      <w:r>
        <w:rPr>
          <w:rFonts w:hint="eastAsia" w:ascii="宋体" w:hAnsi="宋体" w:eastAsia="宋体" w:cs="宋体"/>
          <w:sz w:val="24"/>
        </w:rPr>
      </w:r>
      <w:r/>
    </w:p>
    <w:p>
      <w:pPr>
        <w:ind w:firstLine="480"/>
        <w:jc w:val="center"/>
        <w:spacing w:line="360" w:lineRule="auto"/>
        <w:rPr>
          <w:rFonts w:hint="eastAsia" w:ascii="宋体" w:hAnsi="宋体" w:eastAsia="宋体" w:cs="宋体"/>
          <w:b/>
          <w:bCs/>
          <w:sz w:val="24"/>
        </w:rPr>
        <w:outlineLvl w:val="0"/>
      </w:pPr>
      <w:r>
        <w:rPr>
          <w:rFonts w:hint="eastAsia" w:ascii="宋体" w:hAnsi="宋体" w:eastAsia="宋体" w:cs="宋体"/>
          <w:b/>
          <w:bCs/>
          <w:sz w:val="24"/>
        </w:rPr>
        <w:t xml:space="preserve">第九章 </w:t>
      </w:r>
      <w:r>
        <w:rPr>
          <w:rFonts w:hint="eastAsia" w:ascii="宋体" w:hAnsi="宋体" w:cs="宋体"/>
          <w:b/>
          <w:bCs/>
          <w:sz w:val="24"/>
          <w:lang w:val="en-US" w:eastAsia="zh-CN"/>
        </w:rPr>
        <w:t xml:space="preserve">其他要求及</w:t>
      </w:r>
      <w:r>
        <w:rPr>
          <w:rFonts w:hint="eastAsia" w:ascii="宋体" w:hAnsi="宋体" w:eastAsia="宋体" w:cs="宋体"/>
          <w:b/>
          <w:bCs/>
          <w:sz w:val="24"/>
        </w:rPr>
        <w:t xml:space="preserve">附件</w:t>
      </w:r>
      <w:r/>
    </w:p>
    <w:p>
      <w:pPr>
        <w:ind w:firstLine="480"/>
        <w:spacing w:line="360" w:lineRule="auto"/>
        <w:rPr>
          <w:rFonts w:hint="eastAsia" w:ascii="宋体" w:hAnsi="宋体" w:eastAsia="宋体" w:cs="宋体"/>
          <w:b/>
          <w:bCs/>
          <w:sz w:val="24"/>
        </w:rPr>
      </w:pPr>
      <w:r>
        <w:rPr>
          <w:rFonts w:hint="eastAsia" w:ascii="宋体" w:hAnsi="宋体" w:eastAsia="宋体" w:cs="宋体"/>
          <w:b/>
          <w:bCs/>
          <w:sz w:val="24"/>
        </w:rPr>
        <w:t xml:space="preserve">二十</w:t>
      </w:r>
      <w:r>
        <w:rPr>
          <w:rFonts w:hint="eastAsia" w:ascii="宋体" w:hAnsi="宋体" w:cs="宋体"/>
          <w:b/>
          <w:bCs/>
          <w:sz w:val="24"/>
          <w:lang w:val="en-US" w:eastAsia="zh-CN"/>
        </w:rPr>
        <w:t xml:space="preserve">三</w:t>
      </w:r>
      <w:r>
        <w:rPr>
          <w:rFonts w:hint="eastAsia" w:ascii="宋体" w:hAnsi="宋体" w:eastAsia="宋体" w:cs="宋体"/>
          <w:b/>
          <w:bCs/>
          <w:sz w:val="24"/>
        </w:rPr>
        <w:t xml:space="preserve">、成交供应商在收到成交通知书时，须向</w:t>
      </w:r>
      <w:r>
        <w:rPr>
          <w:rFonts w:hint="eastAsia" w:ascii="宋体" w:hAnsi="宋体" w:cs="宋体"/>
          <w:b/>
          <w:bCs/>
          <w:sz w:val="24"/>
          <w:lang w:eastAsia="zh-CN"/>
        </w:rPr>
        <w:t xml:space="preserve">江苏仁华工程项目管理有限公司</w:t>
      </w:r>
      <w:r>
        <w:rPr>
          <w:rFonts w:hint="eastAsia" w:ascii="宋体" w:hAnsi="宋体" w:eastAsia="宋体" w:cs="宋体"/>
          <w:b/>
          <w:bCs/>
          <w:sz w:val="24"/>
        </w:rPr>
        <w:t xml:space="preserve">提交《磋商报价表》（首次响应文件）</w:t>
      </w:r>
      <w:r>
        <w:rPr>
          <w:rFonts w:hint="eastAsia" w:ascii="宋体" w:hAnsi="宋体" w:eastAsia="宋体" w:cs="宋体"/>
          <w:b/>
          <w:bCs/>
          <w:sz w:val="24"/>
          <w:lang w:eastAsia="zh-CN"/>
        </w:rPr>
        <w:t xml:space="preserve">、</w:t>
      </w:r>
      <w:r>
        <w:rPr>
          <w:rFonts w:hint="eastAsia" w:ascii="宋体" w:hAnsi="宋体" w:eastAsia="宋体" w:cs="宋体"/>
          <w:b/>
          <w:bCs/>
          <w:sz w:val="24"/>
        </w:rPr>
        <w:t xml:space="preserve">《分项价格表》（首次响应文件）的数据文件（WORD格式）</w:t>
      </w:r>
      <w:r>
        <w:rPr>
          <w:rFonts w:hint="eastAsia" w:ascii="宋体" w:hAnsi="宋体" w:eastAsia="宋体" w:cs="宋体"/>
          <w:b/>
          <w:bCs/>
          <w:sz w:val="24"/>
          <w:lang w:eastAsia="zh-CN"/>
        </w:rPr>
        <w:t xml:space="preserve">及与电子响应文件（首次）一致的纸质响应文件</w:t>
      </w:r>
      <w:r>
        <w:rPr>
          <w:rFonts w:hint="eastAsia" w:ascii="宋体" w:hAnsi="宋体" w:eastAsia="宋体" w:cs="宋体"/>
          <w:b/>
          <w:bCs/>
          <w:color w:val="auto"/>
          <w:sz w:val="24"/>
          <w:lang w:val="en-US" w:eastAsia="zh-CN"/>
        </w:rPr>
        <w:t xml:space="preserve">四套并加盖骑缝章。</w:t>
      </w:r>
      <w:r/>
    </w:p>
    <w:p>
      <w:pPr>
        <w:ind w:firstLine="480"/>
        <w:spacing w:line="360" w:lineRule="auto"/>
        <w:rPr>
          <w:rFonts w:hint="eastAsia" w:ascii="宋体" w:hAnsi="宋体" w:eastAsia="宋体" w:cs="宋体"/>
          <w:b/>
          <w:bCs/>
          <w:sz w:val="24"/>
        </w:rPr>
      </w:pPr>
      <w:r>
        <w:rPr>
          <w:rFonts w:hint="eastAsia" w:ascii="宋体" w:hAnsi="宋体" w:eastAsia="宋体" w:cs="宋体"/>
          <w:b/>
          <w:bCs/>
          <w:sz w:val="24"/>
        </w:rPr>
      </w:r>
      <w:r/>
    </w:p>
    <w:p>
      <w:pPr>
        <w:ind w:firstLine="480"/>
        <w:spacing w:line="360" w:lineRule="auto"/>
        <w:rPr>
          <w:rFonts w:hint="eastAsia" w:ascii="宋体" w:hAnsi="宋体" w:cs="宋体"/>
          <w:b/>
          <w:bCs/>
          <w:color w:val="auto"/>
          <w:sz w:val="24"/>
          <w:highlight w:val="none"/>
        </w:rPr>
      </w:pPr>
      <w:r>
        <w:rPr>
          <w:rFonts w:hint="eastAsia" w:ascii="宋体" w:hAnsi="宋体" w:eastAsia="宋体" w:cs="宋体"/>
          <w:b/>
          <w:bCs/>
          <w:sz w:val="24"/>
        </w:rPr>
        <w:t xml:space="preserve">二十</w:t>
      </w:r>
      <w:r>
        <w:rPr>
          <w:rFonts w:hint="eastAsia" w:ascii="宋体" w:hAnsi="宋体" w:cs="宋体"/>
          <w:b/>
          <w:bCs/>
          <w:sz w:val="24"/>
          <w:lang w:val="en-US" w:eastAsia="zh-CN"/>
        </w:rPr>
        <w:t xml:space="preserve">四</w:t>
      </w:r>
      <w:r>
        <w:rPr>
          <w:rFonts w:hint="eastAsia" w:ascii="宋体" w:hAnsi="宋体" w:eastAsia="宋体" w:cs="宋体"/>
          <w:b/>
          <w:bCs/>
          <w:sz w:val="24"/>
        </w:rPr>
        <w:t xml:space="preserve">、代理服务费</w:t>
      </w:r>
      <w:r>
        <w:rPr>
          <w:rFonts w:hint="eastAsia" w:ascii="宋体" w:hAnsi="宋体" w:eastAsia="宋体" w:cs="宋体"/>
          <w:b/>
          <w:bCs/>
          <w:sz w:val="24"/>
          <w:lang w:eastAsia="zh-CN"/>
        </w:rPr>
        <w:t xml:space="preserve">：</w:t>
      </w:r>
      <w:r>
        <w:rPr>
          <w:rFonts w:hint="eastAsia" w:ascii="宋体" w:hAnsi="宋体" w:cs="宋体"/>
          <w:b/>
          <w:bCs/>
          <w:color w:val="auto"/>
          <w:sz w:val="24"/>
          <w:highlight w:val="none"/>
        </w:rPr>
        <w:t xml:space="preserve">成交供应商在领取成交通知书前，向采购代理机构缴纳代理服务费，收取标准见附件。</w:t>
      </w:r>
      <w:r/>
    </w:p>
    <w:p>
      <w:pPr>
        <w:ind w:firstLine="482"/>
        <w:keepLines w:val="0"/>
        <w:keepNext w:val="0"/>
        <w:pageBreakBefore w:val="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r>
      <w:r/>
    </w:p>
    <w:p>
      <w:pPr>
        <w:ind w:firstLine="482"/>
        <w:keepLines w:val="0"/>
        <w:keepNext w:val="0"/>
        <w:pageBreakBefore w:val="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二十</w:t>
      </w:r>
      <w:r>
        <w:rPr>
          <w:rFonts w:hint="eastAsia" w:ascii="宋体" w:hAnsi="宋体" w:cs="宋体"/>
          <w:b/>
          <w:bCs/>
          <w:color w:val="auto"/>
          <w:sz w:val="24"/>
          <w:highlight w:val="none"/>
          <w:lang w:val="en-US" w:eastAsia="zh-CN"/>
        </w:rPr>
        <w:t xml:space="preserve">五、</w:t>
      </w:r>
      <w:r>
        <w:rPr>
          <w:rFonts w:hint="eastAsia" w:ascii="宋体" w:hAnsi="宋体" w:cs="宋体"/>
          <w:b/>
          <w:bCs/>
          <w:color w:val="auto"/>
          <w:sz w:val="24"/>
          <w:highlight w:val="none"/>
        </w:rPr>
        <w:t xml:space="preserve">采购人确定的采购项目属性：</w:t>
      </w:r>
      <w:r>
        <w:rPr>
          <w:rFonts w:hint="eastAsia" w:ascii="宋体" w:hAnsi="宋体" w:cs="宋体"/>
          <w:b/>
          <w:bCs/>
          <w:color w:val="auto"/>
          <w:sz w:val="24"/>
          <w:highlight w:val="none"/>
          <w:lang w:val="en-US" w:eastAsia="zh-CN"/>
        </w:rPr>
        <w:t xml:space="preserve">工程</w:t>
      </w:r>
      <w:r>
        <w:rPr>
          <w:rFonts w:hint="eastAsia" w:ascii="宋体" w:hAnsi="宋体" w:cs="宋体"/>
          <w:b/>
          <w:bCs/>
          <w:color w:val="auto"/>
          <w:sz w:val="24"/>
          <w:highlight w:val="none"/>
        </w:rPr>
        <w:t xml:space="preserve">。</w:t>
      </w:r>
      <w:r/>
    </w:p>
    <w:p>
      <w:pPr>
        <w:ind w:firstLine="480"/>
        <w:keepLines w:val="0"/>
        <w:keepNext w:val="0"/>
        <w:pageBreakBefore w:val="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二十</w:t>
      </w:r>
      <w:r>
        <w:rPr>
          <w:rFonts w:hint="eastAsia" w:ascii="宋体" w:hAnsi="宋体" w:cs="宋体"/>
          <w:b/>
          <w:bCs/>
          <w:color w:val="auto"/>
          <w:sz w:val="24"/>
          <w:highlight w:val="none"/>
          <w:lang w:val="en-US" w:eastAsia="zh-CN"/>
        </w:rPr>
        <w:t xml:space="preserve">六</w:t>
      </w:r>
      <w:r>
        <w:rPr>
          <w:rFonts w:hint="eastAsia" w:ascii="宋体" w:hAnsi="宋体" w:cs="宋体"/>
          <w:b/>
          <w:bCs/>
          <w:color w:val="auto"/>
          <w:sz w:val="24"/>
          <w:highlight w:val="none"/>
        </w:rPr>
        <w:t xml:space="preserve">、附件：附后。</w:t>
      </w:r>
      <w:r/>
    </w:p>
    <w:p>
      <w:pPr>
        <w:rPr>
          <w:rFonts w:hint="eastAsia" w:ascii="宋体" w:hAnsi="宋体" w:cs="宋体"/>
          <w:b/>
          <w:bCs/>
          <w:color w:val="auto"/>
          <w:sz w:val="24"/>
          <w:highlight w:val="none"/>
        </w:rPr>
      </w:pPr>
      <w:r>
        <w:rPr>
          <w:rFonts w:hint="eastAsia" w:ascii="宋体" w:hAnsi="宋体" w:cs="宋体"/>
          <w:b/>
          <w:bCs/>
          <w:color w:val="auto"/>
          <w:sz w:val="24"/>
          <w:highlight w:val="none"/>
        </w:rPr>
        <w:br w:type="page" w:clear="all"/>
      </w:r>
      <w:r/>
    </w:p>
    <w:p>
      <w:pPr>
        <w:ind w:firstLine="480"/>
        <w:keepLines w:val="0"/>
        <w:keepNext w:val="0"/>
        <w:pageBreakBefore w:val="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附件：</w:t>
      </w:r>
      <w:r/>
    </w:p>
    <w:p>
      <w:pPr>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1、《评分细则》</w:t>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rPr>
        <w:t xml:space="preserve">2、《项目要求（采购需求）》</w:t>
      </w:r>
      <w:r>
        <w:rPr>
          <w:rFonts w:hint="eastAsia" w:ascii="宋体" w:hAnsi="宋体" w:cs="宋体"/>
          <w:color w:val="auto"/>
          <w:sz w:val="24"/>
          <w:highlight w:val="none"/>
          <w:lang w:val="en-US" w:eastAsia="zh-CN"/>
        </w:rPr>
        <w:t xml:space="preserve"> </w:t>
      </w:r>
      <w:r/>
    </w:p>
    <w:p>
      <w:pPr>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3、《磋商报价表》</w:t>
      </w:r>
      <w:r/>
    </w:p>
    <w:p>
      <w:pPr>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4、《</w:t>
      </w:r>
      <w:r>
        <w:rPr>
          <w:rFonts w:hint="eastAsia" w:ascii="宋体" w:hAnsi="宋体" w:cs="宋体"/>
          <w:bCs/>
          <w:color w:val="auto"/>
          <w:sz w:val="24"/>
          <w:highlight w:val="none"/>
        </w:rPr>
        <w:t xml:space="preserve">分项价格表</w:t>
      </w:r>
      <w:r>
        <w:rPr>
          <w:rFonts w:hint="eastAsia" w:ascii="宋体" w:hAnsi="宋体" w:cs="宋体"/>
          <w:color w:val="auto"/>
          <w:sz w:val="24"/>
          <w:highlight w:val="none"/>
        </w:rPr>
        <w:t xml:space="preserve">》</w:t>
      </w:r>
      <w:r/>
    </w:p>
    <w:p>
      <w:pPr>
        <w:ind w:firstLine="482"/>
        <w:keepLines w:val="0"/>
        <w:keepNext w:val="0"/>
        <w:pageBreakBefore w:val="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5、《主要材料（设备）一览表》</w:t>
      </w:r>
      <w:r/>
    </w:p>
    <w:p>
      <w:pPr>
        <w:ind w:firstLine="482"/>
        <w:keepLines w:val="0"/>
        <w:keepNext w:val="0"/>
        <w:pageBreakBefore w:val="0"/>
        <w:spacing w:line="360" w:lineRule="auto"/>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6、《偏离表》</w:t>
      </w:r>
      <w:r/>
    </w:p>
    <w:p>
      <w:pPr>
        <w:ind w:firstLine="482"/>
        <w:keepLines w:val="0"/>
        <w:keepNext w:val="0"/>
        <w:pageBreakBefore w:val="0"/>
        <w:spacing w:line="360" w:lineRule="auto"/>
        <w:rPr>
          <w:rFonts w:hint="eastAsia" w:ascii="宋体" w:hAnsi="宋体" w:cs="宋体"/>
          <w:b w:val="0"/>
          <w:bCs w:val="0"/>
          <w:color w:val="auto"/>
          <w:sz w:val="24"/>
          <w:highlight w:val="none"/>
        </w:rPr>
      </w:pPr>
      <w:r>
        <w:rPr>
          <w:rFonts w:hint="eastAsia" w:ascii="宋体" w:hAnsi="宋体" w:cs="宋体"/>
          <w:b w:val="0"/>
          <w:bCs w:val="0"/>
          <w:color w:val="auto"/>
          <w:sz w:val="24"/>
          <w:highlight w:val="none"/>
          <w:lang w:val="en-US" w:eastAsia="zh-CN"/>
        </w:rPr>
        <w:t xml:space="preserve">7</w:t>
      </w:r>
      <w:r>
        <w:rPr>
          <w:rFonts w:hint="eastAsia" w:ascii="宋体" w:hAnsi="宋体" w:cs="宋体"/>
          <w:b w:val="0"/>
          <w:bCs w:val="0"/>
          <w:color w:val="auto"/>
          <w:sz w:val="24"/>
          <w:highlight w:val="none"/>
        </w:rPr>
        <w:t xml:space="preserve">、《合同草案条款》</w:t>
      </w:r>
      <w:r/>
    </w:p>
    <w:p>
      <w:pPr>
        <w:ind w:firstLine="482"/>
        <w:keepLines w:val="0"/>
        <w:keepNext w:val="0"/>
        <w:pageBreakBefore w:val="0"/>
        <w:spacing w:line="360" w:lineRule="auto"/>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8、《承诺书》</w:t>
      </w:r>
      <w:r/>
    </w:p>
    <w:p>
      <w:pPr>
        <w:ind w:firstLine="482"/>
        <w:keepLines w:val="0"/>
        <w:keepNext w:val="0"/>
        <w:pageBreakBefore w:val="0"/>
        <w:spacing w:line="360" w:lineRule="auto"/>
        <w:rPr>
          <w:rFonts w:hint="eastAsia" w:ascii="宋体" w:hAnsi="宋体" w:cs="宋体"/>
          <w:b w:val="0"/>
          <w:bCs w:val="0"/>
          <w:color w:val="auto"/>
          <w:sz w:val="24"/>
          <w:highlight w:val="none"/>
        </w:rPr>
      </w:pPr>
      <w:r>
        <w:rPr>
          <w:rFonts w:hint="eastAsia" w:ascii="宋体" w:hAnsi="宋体" w:cs="宋体"/>
          <w:b w:val="0"/>
          <w:bCs w:val="0"/>
          <w:color w:val="auto"/>
          <w:sz w:val="24"/>
          <w:highlight w:val="none"/>
          <w:lang w:val="en-US" w:eastAsia="zh-CN"/>
        </w:rPr>
        <w:t xml:space="preserve">9</w:t>
      </w:r>
      <w:r>
        <w:rPr>
          <w:rFonts w:hint="eastAsia" w:ascii="宋体" w:hAnsi="宋体" w:cs="宋体"/>
          <w:b w:val="0"/>
          <w:bCs w:val="0"/>
          <w:color w:val="auto"/>
          <w:sz w:val="24"/>
          <w:highlight w:val="none"/>
        </w:rPr>
        <w:t xml:space="preserve">、《授权委托书》</w:t>
      </w:r>
      <w:r/>
    </w:p>
    <w:p>
      <w:pPr>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0</w:t>
      </w:r>
      <w:r>
        <w:rPr>
          <w:rFonts w:hint="eastAsia" w:ascii="宋体" w:hAnsi="宋体" w:cs="宋体"/>
          <w:color w:val="auto"/>
          <w:sz w:val="24"/>
          <w:highlight w:val="none"/>
        </w:rPr>
        <w:t xml:space="preserve">、《具备履行合同所必需的设备和专业技术能力的书面声明》（附证明材料）</w:t>
      </w:r>
      <w:r/>
    </w:p>
    <w:p>
      <w:pPr>
        <w:ind w:firstLine="482"/>
        <w:keepLines w:val="0"/>
        <w:keepNext w:val="0"/>
        <w:pageBreakBefore w:val="0"/>
        <w:spacing w:line="360" w:lineRule="auto"/>
        <w:rPr>
          <w:rFonts w:hint="eastAsia" w:ascii="宋体" w:hAnsi="宋体" w:cs="宋体"/>
          <w:b w:val="0"/>
          <w:bCs w:val="0"/>
          <w:color w:val="auto"/>
          <w:sz w:val="24"/>
          <w:highlight w:val="none"/>
        </w:rPr>
      </w:pPr>
      <w:r>
        <w:rPr>
          <w:rFonts w:hint="eastAsia" w:ascii="宋体" w:hAnsi="宋体" w:cs="宋体"/>
          <w:b w:val="0"/>
          <w:bCs w:val="0"/>
          <w:color w:val="auto"/>
          <w:sz w:val="24"/>
          <w:highlight w:val="none"/>
          <w:lang w:val="en-US" w:eastAsia="zh-CN"/>
        </w:rPr>
        <w:t xml:space="preserve">11</w:t>
      </w:r>
      <w:r>
        <w:rPr>
          <w:rFonts w:hint="eastAsia" w:ascii="宋体" w:hAnsi="宋体" w:cs="宋体"/>
          <w:b w:val="0"/>
          <w:bCs w:val="0"/>
          <w:color w:val="auto"/>
          <w:sz w:val="24"/>
          <w:highlight w:val="none"/>
        </w:rPr>
        <w:t xml:space="preserve">、</w:t>
      </w:r>
      <w:r>
        <w:rPr>
          <w:rFonts w:hint="eastAsia" w:ascii="宋体" w:hAnsi="宋体" w:cs="宋体"/>
          <w:b w:val="0"/>
          <w:bCs w:val="0"/>
          <w:color w:val="auto"/>
          <w:sz w:val="24"/>
          <w:highlight w:val="none"/>
          <w:lang w:eastAsia="zh-CN"/>
        </w:rPr>
        <w:t xml:space="preserve">《</w:t>
      </w:r>
      <w:r>
        <w:rPr>
          <w:rFonts w:hint="eastAsia" w:ascii="宋体" w:hAnsi="宋体" w:cs="宋体"/>
          <w:b w:val="0"/>
          <w:bCs w:val="0"/>
          <w:color w:val="auto"/>
          <w:sz w:val="24"/>
          <w:highlight w:val="none"/>
        </w:rPr>
        <w:t xml:space="preserve">无在建承诺书</w:t>
      </w:r>
      <w:r>
        <w:rPr>
          <w:rFonts w:hint="eastAsia" w:ascii="宋体" w:hAnsi="宋体" w:cs="宋体"/>
          <w:b w:val="0"/>
          <w:bCs w:val="0"/>
          <w:color w:val="auto"/>
          <w:sz w:val="24"/>
          <w:highlight w:val="none"/>
          <w:lang w:eastAsia="zh-CN"/>
        </w:rPr>
        <w:t xml:space="preserve">》</w:t>
      </w:r>
      <w:r/>
    </w:p>
    <w:p>
      <w:pPr>
        <w:ind w:firstLine="482"/>
        <w:keepLines w:val="0"/>
        <w:keepNext w:val="0"/>
        <w:pageBreakBefore w:val="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1</w:t>
      </w:r>
      <w:r>
        <w:rPr>
          <w:rFonts w:hint="eastAsia" w:ascii="宋体" w:hAnsi="宋体" w:cs="宋体"/>
          <w:b/>
          <w:bCs/>
          <w:color w:val="auto"/>
          <w:sz w:val="24"/>
          <w:highlight w:val="none"/>
          <w:lang w:val="en-US" w:eastAsia="zh-CN"/>
        </w:rPr>
        <w:t xml:space="preserve">2</w:t>
      </w:r>
      <w:r>
        <w:rPr>
          <w:rFonts w:hint="eastAsia" w:ascii="宋体" w:hAnsi="宋体" w:cs="宋体"/>
          <w:b/>
          <w:bCs/>
          <w:color w:val="auto"/>
          <w:sz w:val="24"/>
          <w:highlight w:val="none"/>
        </w:rPr>
        <w:t xml:space="preserve">、《中小企业声明函》</w:t>
      </w:r>
      <w:r/>
    </w:p>
    <w:p>
      <w:pPr>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、《供应商参加政府采购活动前3年内在经营活动中没有重大违法记录的书面声明》</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、《残</w:t>
      </w:r>
      <w:r>
        <w:rPr>
          <w:rFonts w:hint="eastAsia" w:ascii="宋体" w:hAnsi="宋体" w:eastAsia="宋体" w:cs="宋体"/>
          <w:color w:val="auto"/>
          <w:sz w:val="24"/>
          <w:highlight w:val="none"/>
        </w:rPr>
        <w:t xml:space="preserve">疾人福利性单位声明函》</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rPr>
        <w:t xml:space="preserve">、《代理服务收费标准》</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rPr>
        <w:t xml:space="preserve">、预付款保函支付条款模板</w:t>
      </w:r>
      <w:r/>
    </w:p>
    <w:p>
      <w:pPr>
        <w:rPr>
          <w:rFonts w:hint="eastAsia" w:ascii="宋体" w:hAnsi="宋体" w:eastAsia="宋体" w:cs="宋体"/>
          <w:b/>
          <w:color w:val="auto"/>
          <w:sz w:val="36"/>
          <w:szCs w:val="36"/>
          <w:highlight w:val="none"/>
          <w:lang w:val="en-US" w:eastAsia="zh-CN"/>
        </w:rPr>
      </w:pPr>
      <w:r>
        <w:rPr>
          <w:rFonts w:hint="eastAsia" w:ascii="宋体" w:hAnsi="宋体" w:eastAsia="宋体" w:cs="宋体"/>
          <w:b/>
          <w:color w:val="auto"/>
          <w:sz w:val="36"/>
          <w:szCs w:val="36"/>
          <w:highlight w:val="none"/>
          <w:lang w:val="en-US" w:eastAsia="zh-CN"/>
        </w:rPr>
        <w:br w:type="page" w:clear="all"/>
      </w:r>
      <w:r/>
    </w:p>
    <w:p>
      <w:pPr>
        <w:numPr>
          <w:ilvl w:val="0"/>
          <w:numId w:val="0"/>
        </w:numPr>
        <w:jc w:val="center"/>
        <w:spacing w:line="0" w:lineRule="atLeast"/>
        <w:rPr>
          <w:rFonts w:hint="eastAsia" w:ascii="宋体" w:hAnsi="宋体" w:eastAsia="宋体" w:cs="宋体"/>
          <w:bCs/>
          <w:color w:val="auto"/>
          <w:sz w:val="24"/>
          <w:highlight w:val="none"/>
        </w:rPr>
        <w:outlineLvl w:val="0"/>
      </w:pPr>
      <w:r>
        <w:rPr>
          <w:rFonts w:hint="eastAsia" w:ascii="宋体" w:hAnsi="宋体" w:eastAsia="宋体" w:cs="宋体"/>
          <w:b/>
          <w:color w:val="auto"/>
          <w:sz w:val="36"/>
          <w:szCs w:val="36"/>
          <w:highlight w:val="none"/>
          <w:lang w:val="en-US" w:eastAsia="zh-CN"/>
        </w:rPr>
        <w:t xml:space="preserve">1、</w:t>
      </w:r>
      <w:r>
        <w:rPr>
          <w:rFonts w:hint="eastAsia" w:ascii="宋体" w:hAnsi="宋体" w:eastAsia="宋体" w:cs="宋体"/>
          <w:b/>
          <w:color w:val="auto"/>
          <w:sz w:val="36"/>
          <w:szCs w:val="36"/>
          <w:highlight w:val="none"/>
        </w:rPr>
        <w:t xml:space="preserve">评分细则</w:t>
      </w:r>
      <w:r/>
    </w:p>
    <w:tbl>
      <w:tblPr>
        <w:tblStyle w:val="991"/>
        <w:tblW w:w="10532"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471"/>
        <w:gridCol w:w="1545"/>
        <w:gridCol w:w="7516"/>
      </w:tblGrid>
      <w:tr>
        <w:trPr>
          <w:jc w:val="center"/>
          <w:trHeight w:val="447"/>
        </w:trPr>
        <w:tc>
          <w:tcPr>
            <w:gridSpan w:val="2"/>
            <w:tcW w:w="3016"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评审因素</w:t>
            </w:r>
            <w:r/>
          </w:p>
        </w:tc>
        <w:tc>
          <w:tcPr>
            <w:tcW w:w="7516"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评审因素细化和量化</w:t>
            </w:r>
            <w:r/>
          </w:p>
        </w:tc>
      </w:tr>
      <w:tr>
        <w:trPr>
          <w:jc w:val="center"/>
          <w:trHeight w:val="1721"/>
        </w:trPr>
        <w:tc>
          <w:tcPr>
            <w:tcW w:w="1471"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价格部分（</w:t>
            </w:r>
            <w:r>
              <w:rPr>
                <w:rFonts w:hint="eastAsia" w:ascii="宋体" w:hAnsi="宋体" w:eastAsia="宋体" w:cs="宋体"/>
                <w:color w:val="auto"/>
                <w:sz w:val="24"/>
                <w:szCs w:val="24"/>
                <w:highlight w:val="none"/>
                <w:lang w:val="en-US" w:eastAsia="zh-CN"/>
              </w:rPr>
              <w:t xml:space="preserve">25</w:t>
            </w:r>
            <w:r>
              <w:rPr>
                <w:rFonts w:hint="eastAsia" w:ascii="宋体" w:hAnsi="宋体" w:eastAsia="宋体" w:cs="宋体"/>
                <w:color w:val="auto"/>
                <w:sz w:val="24"/>
                <w:szCs w:val="24"/>
              </w:rPr>
              <w:t xml:space="preserve">分）</w:t>
            </w:r>
            <w:r/>
          </w:p>
        </w:tc>
        <w:tc>
          <w:tcPr>
            <w:tcW w:w="1545"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价格</w:t>
            </w:r>
            <w:r/>
          </w:p>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25</w:t>
            </w:r>
            <w:r>
              <w:rPr>
                <w:rFonts w:hint="eastAsia" w:ascii="宋体" w:hAnsi="宋体" w:eastAsia="宋体" w:cs="宋体"/>
                <w:color w:val="auto"/>
                <w:sz w:val="24"/>
                <w:szCs w:val="24"/>
              </w:rPr>
              <w:t xml:space="preserve">分）</w:t>
            </w:r>
            <w:r/>
          </w:p>
        </w:tc>
        <w:tc>
          <w:tcPr>
            <w:tcW w:w="7516"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采用低价优先法计算，即满足磋商文件要求且最后报价最低的供应商的价格为磋商基准价，其价格分为满分。其他供应商的价格分统一按照下列公式计算：</w:t>
            </w:r>
            <w:r/>
          </w:p>
          <w:p>
            <w:pPr>
              <w:rPr>
                <w:rFonts w:hint="eastAsia" w:ascii="宋体" w:hAnsi="宋体" w:eastAsia="宋体" w:cs="宋体"/>
                <w:color w:val="auto"/>
                <w:sz w:val="24"/>
                <w:szCs w:val="24"/>
              </w:rPr>
            </w:pPr>
            <w:r>
              <w:rPr>
                <w:rFonts w:hint="eastAsia" w:ascii="宋体" w:hAnsi="宋体" w:eastAsia="宋体" w:cs="宋体"/>
                <w:color w:val="auto"/>
                <w:sz w:val="24"/>
                <w:szCs w:val="24"/>
                <w:highlight w:val="none"/>
              </w:rPr>
              <w:t xml:space="preserve">磋商报价得分=（磋商基准价/最后磋商报价）×25</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得分四舍五入保留小数点后2位。</w:t>
            </w:r>
            <w:r/>
          </w:p>
        </w:tc>
      </w:tr>
      <w:tr>
        <w:trPr>
          <w:cantSplit/>
          <w:jc w:val="center"/>
          <w:trHeight w:val="2041"/>
        </w:trPr>
        <w:tc>
          <w:tcPr>
            <w:tcW w:w="1471" w:type="dxa"/>
            <w:vAlign w:val="center"/>
            <w:vMerge w:val="restart"/>
            <w:textDirection w:val="lrTb"/>
            <w:noWrap w:val="false"/>
          </w:tcPr>
          <w:p>
            <w:pPr>
              <w:jc w:val="center"/>
              <w:rPr>
                <w:rFonts w:hint="eastAsia" w:ascii="宋体" w:hAnsi="宋体" w:eastAsia="宋体" w:cs="宋体"/>
                <w:color w:val="c00000"/>
                <w:sz w:val="24"/>
                <w:szCs w:val="24"/>
                <w:lang w:eastAsia="zh-CN"/>
              </w:rPr>
            </w:pPr>
            <w:r>
              <w:rPr>
                <w:rFonts w:hint="eastAsia" w:ascii="宋体" w:hAnsi="宋体" w:eastAsia="宋体" w:cs="宋体"/>
                <w:color w:val="auto"/>
                <w:sz w:val="24"/>
                <w:szCs w:val="24"/>
                <w:lang w:eastAsia="zh-CN"/>
              </w:rPr>
              <w:t xml:space="preserve">技术部分（</w:t>
            </w:r>
            <w:r>
              <w:rPr>
                <w:rFonts w:hint="eastAsia" w:ascii="宋体" w:hAnsi="宋体" w:eastAsia="宋体" w:cs="宋体"/>
                <w:color w:val="auto"/>
                <w:sz w:val="24"/>
                <w:szCs w:val="24"/>
                <w:lang w:val="en-US" w:eastAsia="zh-CN"/>
              </w:rPr>
              <w:t xml:space="preserve">施工组织设计方案）（61分）</w:t>
            </w:r>
            <w:r/>
          </w:p>
        </w:tc>
        <w:tc>
          <w:tcPr>
            <w:tcW w:w="1545" w:type="dxa"/>
            <w:vAlign w:val="center"/>
            <w:textDirection w:val="lrTb"/>
            <w:noWrap w:val="false"/>
          </w:tcPr>
          <w:p>
            <w:pPr>
              <w:jc w:val="center"/>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施工组织总体设想（10分）</w:t>
            </w:r>
            <w:r/>
          </w:p>
        </w:tc>
        <w:tc>
          <w:tcPr>
            <w:tcW w:w="7516" w:type="dxa"/>
            <w:vAlign w:val="center"/>
            <w:textDirection w:val="lrTb"/>
            <w:noWrap w:val="false"/>
          </w:tcPr>
          <w:p>
            <w:pPr>
              <w:numPr>
                <w:ilvl w:val="0"/>
                <w:numId w:val="0"/>
              </w:numPr>
              <w:ind w:right="0"/>
              <w:jc w:val="left"/>
              <w:spacing w:before="0" w:after="0"/>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根据响应文件中提供的《施工组织总体设想》，从方案的针对性、合理性及可行性进行综合评价：</w:t>
            </w:r>
            <w:r/>
          </w:p>
          <w:p>
            <w:pPr>
              <w:numPr>
                <w:ilvl w:val="0"/>
                <w:numId w:val="0"/>
              </w:numPr>
              <w:ind w:right="0"/>
              <w:jc w:val="left"/>
              <w:spacing w:before="0" w:after="0"/>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内容详细具体、科学合理、针对性强、内容完整的得10分；</w:t>
            </w:r>
            <w:r/>
          </w:p>
          <w:p>
            <w:pPr>
              <w:numPr>
                <w:ilvl w:val="0"/>
                <w:numId w:val="0"/>
              </w:numPr>
              <w:ind w:right="0"/>
              <w:jc w:val="left"/>
              <w:spacing w:before="0" w:after="0"/>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内容基本完整、针对性较强、基本符合要求的得7分；</w:t>
            </w:r>
            <w:r/>
          </w:p>
          <w:p>
            <w:pPr>
              <w:numPr>
                <w:ilvl w:val="0"/>
                <w:numId w:val="0"/>
              </w:numPr>
              <w:ind w:right="0"/>
              <w:jc w:val="left"/>
              <w:spacing w:before="0" w:after="0"/>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内容一般、基本可行的得4分；</w:t>
            </w:r>
            <w:r/>
          </w:p>
          <w:p>
            <w:pPr>
              <w:numPr>
                <w:ilvl w:val="0"/>
                <w:numId w:val="0"/>
              </w:numPr>
              <w:ind w:right="0"/>
              <w:jc w:val="left"/>
              <w:spacing w:before="0" w:after="0"/>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内容较差或有缺陷的得1分；</w:t>
            </w:r>
            <w:r/>
          </w:p>
          <w:p>
            <w:pPr>
              <w:numPr>
                <w:ilvl w:val="0"/>
                <w:numId w:val="0"/>
              </w:numPr>
              <w:ind w:right="0"/>
              <w:jc w:val="left"/>
              <w:spacing w:before="0" w:after="0"/>
              <w:rPr>
                <w:rFonts w:hint="eastAsia" w:ascii="宋体" w:hAnsi="宋体" w:eastAsia="宋体" w:cs="宋体"/>
                <w:sz w:val="24"/>
                <w:szCs w:val="3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无具体内容的得0分。</w:t>
            </w:r>
            <w:r/>
          </w:p>
        </w:tc>
      </w:tr>
      <w:tr>
        <w:trPr>
          <w:cantSplit/>
          <w:jc w:val="center"/>
          <w:trHeight w:val="1994"/>
        </w:trPr>
        <w:tc>
          <w:tcPr>
            <w:tcW w:w="1471" w:type="dxa"/>
            <w:vAlign w:val="center"/>
            <w:vMerge w:val="continue"/>
            <w:textDirection w:val="lrTb"/>
            <w:noWrap w:val="false"/>
          </w:tcPr>
          <w:p>
            <w:pPr>
              <w:rPr>
                <w:rFonts w:hint="eastAsia" w:ascii="宋体" w:hAnsi="宋体" w:eastAsia="宋体" w:cs="宋体"/>
                <w:color w:val="c00000"/>
                <w:sz w:val="24"/>
                <w:szCs w:val="24"/>
                <w:lang w:eastAsia="zh-CN"/>
              </w:rPr>
            </w:pPr>
            <w:r>
              <w:rPr>
                <w:rFonts w:hint="eastAsia" w:ascii="宋体" w:hAnsi="宋体" w:eastAsia="宋体" w:cs="宋体"/>
                <w:color w:val="c00000"/>
                <w:sz w:val="24"/>
                <w:szCs w:val="24"/>
                <w:lang w:eastAsia="zh-CN"/>
              </w:rPr>
            </w:r>
            <w:r/>
          </w:p>
        </w:tc>
        <w:tc>
          <w:tcPr>
            <w:tcW w:w="1545" w:type="dxa"/>
            <w:vAlign w:val="center"/>
            <w:textDirection w:val="lrTb"/>
            <w:noWrap w:val="false"/>
          </w:tcPr>
          <w:p>
            <w:pPr>
              <w:jc w:val="center"/>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施工进度计划和各阶段进度的保证措施（10分）</w:t>
            </w:r>
            <w:r/>
          </w:p>
        </w:tc>
        <w:tc>
          <w:tcPr>
            <w:tcW w:w="7516" w:type="dxa"/>
            <w:vAlign w:val="center"/>
            <w:textDirection w:val="lrTb"/>
            <w:noWrap w:val="false"/>
          </w:tcPr>
          <w:p>
            <w:pPr>
              <w:numPr>
                <w:ilvl w:val="0"/>
                <w:numId w:val="0"/>
              </w:numPr>
              <w:ind w:right="0"/>
              <w:jc w:val="left"/>
              <w:spacing w:before="0" w:after="0"/>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根据响应文件中提供的《施工进度计划和各阶段进度的保证措施》，从方案的全面性、合理性及可行性进行综合评价：</w:t>
            </w:r>
            <w:r/>
          </w:p>
          <w:p>
            <w:pPr>
              <w:numPr>
                <w:ilvl w:val="0"/>
                <w:numId w:val="0"/>
              </w:numPr>
              <w:ind w:right="0"/>
              <w:jc w:val="left"/>
              <w:spacing w:before="0" w:after="0"/>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内容详细具体、科学合理、针对性强、内容完整的得10分；</w:t>
            </w:r>
            <w:r/>
          </w:p>
          <w:p>
            <w:pPr>
              <w:numPr>
                <w:ilvl w:val="0"/>
                <w:numId w:val="0"/>
              </w:numPr>
              <w:ind w:right="0"/>
              <w:jc w:val="left"/>
              <w:spacing w:before="0" w:after="0"/>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内容基本完整、针对性较强、基本符合要求的得7分；</w:t>
            </w:r>
            <w:r/>
          </w:p>
          <w:p>
            <w:pPr>
              <w:numPr>
                <w:ilvl w:val="0"/>
                <w:numId w:val="0"/>
              </w:numPr>
              <w:ind w:right="0"/>
              <w:jc w:val="left"/>
              <w:spacing w:before="0" w:after="0"/>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内容一般、基本可行的得4分；</w:t>
            </w:r>
            <w:r/>
          </w:p>
          <w:p>
            <w:pPr>
              <w:numPr>
                <w:ilvl w:val="0"/>
                <w:numId w:val="0"/>
              </w:numPr>
              <w:ind w:right="0"/>
              <w:jc w:val="left"/>
              <w:spacing w:before="0" w:after="0"/>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内容较差或有缺陷的得1分；</w:t>
            </w:r>
            <w:r/>
          </w:p>
          <w:p>
            <w:pPr>
              <w:numPr>
                <w:ilvl w:val="0"/>
                <w:numId w:val="0"/>
              </w:numPr>
              <w:ind w:right="0"/>
              <w:jc w:val="left"/>
              <w:spacing w:before="0" w:after="0"/>
              <w:rPr>
                <w:rFonts w:hint="eastAsia" w:ascii="宋体" w:hAnsi="宋体" w:eastAsia="宋体" w:cs="宋体"/>
                <w:sz w:val="24"/>
                <w:szCs w:val="3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无具体内容的得0分。</w:t>
            </w:r>
            <w:r/>
          </w:p>
        </w:tc>
      </w:tr>
      <w:tr>
        <w:trPr>
          <w:cantSplit/>
          <w:jc w:val="center"/>
          <w:trHeight w:val="1010"/>
        </w:trPr>
        <w:tc>
          <w:tcPr>
            <w:tcW w:w="1471" w:type="dxa"/>
            <w:vAlign w:val="center"/>
            <w:vMerge w:val="continue"/>
            <w:textDirection w:val="lrTb"/>
            <w:noWrap w:val="false"/>
          </w:tcPr>
          <w:p>
            <w:pPr>
              <w:rPr>
                <w:rFonts w:hint="eastAsia" w:ascii="宋体" w:hAnsi="宋体" w:eastAsia="宋体" w:cs="宋体"/>
                <w:color w:val="c00000"/>
                <w:sz w:val="24"/>
                <w:szCs w:val="24"/>
                <w:lang w:eastAsia="zh-CN"/>
              </w:rPr>
            </w:pPr>
            <w:r>
              <w:rPr>
                <w:rFonts w:hint="eastAsia" w:ascii="宋体" w:hAnsi="宋体" w:eastAsia="宋体" w:cs="宋体"/>
                <w:color w:val="c00000"/>
                <w:sz w:val="24"/>
                <w:szCs w:val="24"/>
                <w:lang w:eastAsia="zh-CN"/>
              </w:rPr>
            </w:r>
            <w:r/>
          </w:p>
        </w:tc>
        <w:tc>
          <w:tcPr>
            <w:tcW w:w="1545" w:type="dxa"/>
            <w:vAlign w:val="center"/>
            <w:textDirection w:val="lrTb"/>
            <w:noWrap w:val="false"/>
          </w:tcPr>
          <w:p>
            <w:pPr>
              <w:jc w:val="center"/>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各分部分项工程的施工方案、质量保证措施及分段施工方案（10分）</w:t>
            </w:r>
            <w:r/>
          </w:p>
        </w:tc>
        <w:tc>
          <w:tcPr>
            <w:tcW w:w="7516"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4"/>
                <w:highlight w:val="none"/>
                <w:lang w:bidi="hi-IN"/>
              </w:rPr>
            </w:pPr>
            <w:r>
              <w:rPr>
                <w:rFonts w:hint="eastAsia" w:ascii="宋体" w:hAnsi="宋体" w:eastAsia="宋体" w:cs="宋体"/>
                <w:color w:val="auto"/>
                <w:sz w:val="24"/>
                <w:szCs w:val="24"/>
                <w:highlight w:val="none"/>
                <w:lang w:bidi="hi-IN"/>
              </w:rPr>
              <w:t xml:space="preserve">根据响应文件中</w:t>
            </w:r>
            <w:r>
              <w:rPr>
                <w:rFonts w:hint="eastAsia" w:ascii="宋体" w:hAnsi="宋体" w:eastAsia="宋体" w:cs="宋体"/>
                <w:color w:val="auto"/>
                <w:sz w:val="24"/>
                <w:szCs w:val="24"/>
                <w:highlight w:val="none"/>
                <w:lang w:val="en-US" w:eastAsia="zh-CN" w:bidi="hi-IN"/>
              </w:rPr>
              <w:t xml:space="preserve">提供的《</w:t>
            </w:r>
            <w:r>
              <w:rPr>
                <w:rFonts w:hint="eastAsia" w:ascii="宋体" w:hAnsi="宋体" w:eastAsia="宋体" w:cs="宋体"/>
                <w:color w:val="auto"/>
                <w:sz w:val="24"/>
                <w:szCs w:val="24"/>
                <w:highlight w:val="none"/>
                <w:lang w:bidi="hi-IN"/>
              </w:rPr>
              <w:t xml:space="preserve">各分部分项工程的施工方案</w:t>
            </w:r>
            <w:r>
              <w:rPr>
                <w:rFonts w:hint="eastAsia" w:ascii="宋体" w:hAnsi="宋体" w:eastAsia="宋体" w:cs="宋体"/>
                <w:color w:val="auto"/>
                <w:sz w:val="24"/>
                <w:szCs w:val="24"/>
                <w:highlight w:val="none"/>
                <w:lang w:eastAsia="zh-CN" w:bidi="hi-IN"/>
              </w:rPr>
              <w:t xml:space="preserve">、</w:t>
            </w:r>
            <w:r>
              <w:rPr>
                <w:rFonts w:hint="eastAsia" w:ascii="宋体" w:hAnsi="宋体" w:eastAsia="宋体" w:cs="宋体"/>
                <w:color w:val="auto"/>
                <w:sz w:val="24"/>
                <w:szCs w:val="24"/>
                <w:highlight w:val="none"/>
                <w:lang w:bidi="hi-IN"/>
              </w:rPr>
              <w:t xml:space="preserve">质量保证措施</w:t>
            </w:r>
            <w:r>
              <w:rPr>
                <w:rFonts w:hint="eastAsia" w:ascii="宋体" w:hAnsi="宋体" w:eastAsia="宋体" w:cs="宋体"/>
                <w:color w:val="auto"/>
                <w:sz w:val="24"/>
                <w:szCs w:val="24"/>
                <w:highlight w:val="none"/>
                <w:lang w:val="en-US" w:eastAsia="zh-CN" w:bidi="hi-IN"/>
              </w:rPr>
              <w:t xml:space="preserve">及分段施工方案》</w:t>
            </w:r>
            <w:r>
              <w:rPr>
                <w:rFonts w:hint="eastAsia" w:ascii="宋体" w:hAnsi="宋体" w:eastAsia="宋体" w:cs="宋体"/>
                <w:color w:val="auto"/>
                <w:sz w:val="24"/>
                <w:szCs w:val="24"/>
                <w:highlight w:val="none"/>
                <w:lang w:bidi="hi-IN"/>
              </w:rPr>
              <w:t xml:space="preserve">进行综合评价：</w:t>
            </w:r>
            <w:r/>
          </w:p>
          <w:p>
            <w:pPr>
              <w:jc w:val="left"/>
              <w:keepLines w:val="0"/>
              <w:keepNext w:val="0"/>
              <w:pageBreakBefore w:val="0"/>
              <w:spacing w:line="240" w:lineRule="auto"/>
              <w:widowControl/>
              <w:rPr>
                <w:rFonts w:hint="eastAsia" w:ascii="宋体" w:hAnsi="宋体" w:eastAsia="宋体" w:cs="宋体"/>
                <w:color w:val="auto"/>
                <w:sz w:val="24"/>
                <w:szCs w:val="24"/>
                <w:highlight w:val="none"/>
                <w:lang w:bidi="hi-IN"/>
              </w:rPr>
            </w:pPr>
            <w:r>
              <w:rPr>
                <w:rFonts w:hint="eastAsia" w:ascii="宋体" w:hAnsi="宋体" w:eastAsia="宋体" w:cs="宋体"/>
                <w:color w:val="auto"/>
                <w:sz w:val="24"/>
                <w:szCs w:val="24"/>
                <w:highlight w:val="none"/>
                <w:lang w:bidi="hi-IN"/>
              </w:rPr>
              <w:t xml:space="preserve">内容详细具体、科学合理、针对性强、内容完整的得10分；</w:t>
            </w:r>
            <w:r/>
          </w:p>
          <w:p>
            <w:pPr>
              <w:jc w:val="left"/>
              <w:keepLines w:val="0"/>
              <w:keepNext w:val="0"/>
              <w:pageBreakBefore w:val="0"/>
              <w:spacing w:line="240" w:lineRule="auto"/>
              <w:widowControl/>
              <w:rPr>
                <w:rFonts w:hint="eastAsia" w:ascii="宋体" w:hAnsi="宋体" w:eastAsia="宋体" w:cs="宋体"/>
                <w:color w:val="auto"/>
                <w:sz w:val="24"/>
                <w:szCs w:val="24"/>
                <w:highlight w:val="none"/>
                <w:lang w:bidi="hi-IN"/>
              </w:rPr>
            </w:pPr>
            <w:r>
              <w:rPr>
                <w:rFonts w:hint="eastAsia" w:ascii="宋体" w:hAnsi="宋体" w:eastAsia="宋体" w:cs="宋体"/>
                <w:color w:val="auto"/>
                <w:sz w:val="24"/>
                <w:szCs w:val="24"/>
                <w:highlight w:val="none"/>
                <w:lang w:bidi="hi-IN"/>
              </w:rPr>
              <w:t xml:space="preserve">内容基本完整、针对性较强、基本符合要求的得7分；</w:t>
            </w:r>
            <w:r/>
          </w:p>
          <w:p>
            <w:pPr>
              <w:jc w:val="left"/>
              <w:keepLines w:val="0"/>
              <w:keepNext w:val="0"/>
              <w:pageBreakBefore w:val="0"/>
              <w:spacing w:line="240" w:lineRule="auto"/>
              <w:widowControl/>
              <w:rPr>
                <w:rFonts w:hint="eastAsia" w:ascii="宋体" w:hAnsi="宋体" w:eastAsia="宋体" w:cs="宋体"/>
                <w:color w:val="auto"/>
                <w:sz w:val="24"/>
                <w:szCs w:val="24"/>
                <w:highlight w:val="none"/>
                <w:lang w:bidi="hi-IN"/>
              </w:rPr>
            </w:pPr>
            <w:r>
              <w:rPr>
                <w:rFonts w:hint="eastAsia" w:ascii="宋体" w:hAnsi="宋体" w:eastAsia="宋体" w:cs="宋体"/>
                <w:color w:val="auto"/>
                <w:sz w:val="24"/>
                <w:szCs w:val="24"/>
                <w:highlight w:val="none"/>
                <w:lang w:bidi="hi-IN"/>
              </w:rPr>
              <w:t xml:space="preserve">内容一般、基本可行的得4分；</w:t>
            </w:r>
            <w:r/>
          </w:p>
          <w:p>
            <w:pPr>
              <w:jc w:val="left"/>
              <w:keepLines w:val="0"/>
              <w:keepNext w:val="0"/>
              <w:pageBreakBefore w:val="0"/>
              <w:spacing w:line="240" w:lineRule="auto"/>
              <w:widowControl/>
              <w:rPr>
                <w:rFonts w:hint="eastAsia" w:ascii="宋体" w:hAnsi="宋体" w:eastAsia="宋体" w:cs="宋体"/>
                <w:color w:val="auto"/>
                <w:sz w:val="24"/>
                <w:szCs w:val="24"/>
                <w:highlight w:val="none"/>
                <w:lang w:bidi="hi-IN"/>
              </w:rPr>
            </w:pPr>
            <w:r>
              <w:rPr>
                <w:rFonts w:hint="eastAsia" w:ascii="宋体" w:hAnsi="宋体" w:eastAsia="宋体" w:cs="宋体"/>
                <w:color w:val="auto"/>
                <w:sz w:val="24"/>
                <w:szCs w:val="24"/>
                <w:highlight w:val="none"/>
                <w:lang w:bidi="hi-IN"/>
              </w:rPr>
              <w:t xml:space="preserve">内容较差或有缺陷的得1分；</w:t>
            </w:r>
            <w:r/>
          </w:p>
          <w:p>
            <w:pPr>
              <w:numPr>
                <w:ilvl w:val="0"/>
                <w:numId w:val="0"/>
              </w:numPr>
              <w:ind w:left="0" w:right="0" w:firstLine="0"/>
              <w:jc w:val="left"/>
              <w:spacing w:before="0" w:after="0"/>
              <w:rPr>
                <w:rFonts w:hint="eastAsia" w:ascii="宋体" w:hAnsi="宋体" w:eastAsia="宋体" w:cs="宋体"/>
                <w:sz w:val="24"/>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bidi="hi-IN"/>
              </w:rPr>
              <w:t xml:space="preserve">无具体内容的得0分。</w:t>
            </w:r>
            <w:r/>
          </w:p>
        </w:tc>
      </w:tr>
      <w:tr>
        <w:trPr>
          <w:jc w:val="center"/>
          <w:trHeight w:val="1512"/>
        </w:trPr>
        <w:tc>
          <w:tcPr>
            <w:tcW w:w="1471" w:type="dxa"/>
            <w:vAlign w:val="center"/>
            <w:vMerge w:val="continue"/>
            <w:textDirection w:val="lrTb"/>
            <w:noWrap w:val="false"/>
          </w:tcPr>
          <w:p>
            <w:pPr>
              <w:rPr>
                <w:rFonts w:hint="eastAsia" w:ascii="宋体" w:hAnsi="宋体" w:eastAsia="宋体" w:cs="宋体"/>
                <w:color w:val="c00000"/>
                <w:sz w:val="24"/>
                <w:szCs w:val="24"/>
                <w:lang w:eastAsia="zh-CN"/>
              </w:rPr>
            </w:pPr>
            <w:r>
              <w:rPr>
                <w:rFonts w:hint="eastAsia" w:ascii="宋体" w:hAnsi="宋体" w:eastAsia="宋体" w:cs="宋体"/>
                <w:color w:val="c00000"/>
                <w:sz w:val="24"/>
                <w:szCs w:val="24"/>
                <w:lang w:eastAsia="zh-CN"/>
              </w:rPr>
            </w:r>
            <w:r/>
          </w:p>
        </w:tc>
        <w:tc>
          <w:tcPr>
            <w:tcW w:w="1545" w:type="dxa"/>
            <w:vAlign w:val="center"/>
            <w:vMerge w:val="restart"/>
            <w:textDirection w:val="lrTb"/>
            <w:noWrap w:val="false"/>
          </w:tcPr>
          <w:p>
            <w:pPr>
              <w:jc w:val="center"/>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项目管理班子人员配备、素质及管理经验</w:t>
            </w:r>
            <w:r/>
          </w:p>
          <w:p>
            <w:pPr>
              <w:jc w:val="center"/>
              <w:rPr>
                <w:rFonts w:hint="eastAsia" w:ascii="宋体" w:hAnsi="宋体" w:eastAsia="宋体" w:cs="宋体"/>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（11分）</w:t>
            </w:r>
            <w:r/>
          </w:p>
        </w:tc>
        <w:tc>
          <w:tcPr>
            <w:tcW w:w="7516"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项目部其他人员（不包括项目负责人）：</w:t>
            </w:r>
            <w:r/>
          </w:p>
          <w:p>
            <w:pPr>
              <w:jc w:val="left"/>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具有工程类高级职称或市政公用工程专业</w:t>
            </w:r>
            <w:r>
              <w:rPr>
                <w:rFonts w:hint="eastAsia" w:ascii="宋体" w:hAnsi="宋体" w:eastAsia="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rPr>
              <w:t xml:space="preserve">级建造师资格的，每有一个得2分，最高得2分。</w:t>
            </w:r>
            <w:r/>
          </w:p>
          <w:p>
            <w:pPr>
              <w:jc w:val="left"/>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具有工程类中级职称或市政公用工程专业</w:t>
            </w: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rPr>
              <w:t xml:space="preserve">级建造师资格的，每有一个得1分，最高得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p>
          <w:p>
            <w:pPr>
              <w:numPr>
                <w:ilvl w:val="0"/>
                <w:numId w:val="0"/>
              </w:numPr>
              <w:ind w:left="0" w:right="0" w:firstLine="0"/>
              <w:jc w:val="left"/>
              <w:spacing w:before="0" w:after="0"/>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bidi="hi-IN"/>
              </w:rPr>
              <w:t xml:space="preserve">注：</w:t>
            </w:r>
            <w:r>
              <w:rPr>
                <w:rFonts w:hint="eastAsia" w:ascii="宋体" w:hAnsi="宋体" w:eastAsia="宋体" w:cs="宋体"/>
                <w:b/>
                <w:color w:val="auto"/>
                <w:sz w:val="24"/>
                <w:szCs w:val="24"/>
                <w:highlight w:val="none"/>
                <w:lang w:val="en-US" w:eastAsia="zh-CN" w:bidi="hi-IN"/>
              </w:rPr>
              <w:t xml:space="preserve">响应文件</w:t>
            </w:r>
            <w:r>
              <w:rPr>
                <w:rFonts w:hint="eastAsia" w:ascii="宋体" w:hAnsi="宋体" w:eastAsia="宋体" w:cs="宋体"/>
                <w:b/>
                <w:color w:val="auto"/>
                <w:sz w:val="24"/>
                <w:szCs w:val="24"/>
                <w:highlight w:val="none"/>
                <w:lang w:bidi="hi-IN"/>
              </w:rPr>
              <w:t xml:space="preserve">同时提供人员职称证书或建造师注册证书扫描件</w:t>
            </w:r>
            <w:r>
              <w:rPr>
                <w:rFonts w:hint="eastAsia" w:ascii="宋体" w:hAnsi="宋体" w:eastAsia="宋体" w:cs="宋体"/>
                <w:b/>
                <w:color w:val="auto"/>
                <w:sz w:val="24"/>
                <w:szCs w:val="24"/>
                <w:highlight w:val="none"/>
                <w:lang w:eastAsia="zh-CN" w:bidi="hi-IN"/>
              </w:rPr>
              <w:t xml:space="preserve">，</w:t>
            </w:r>
            <w:r>
              <w:rPr>
                <w:rFonts w:hint="eastAsia" w:ascii="宋体" w:hAnsi="宋体" w:eastAsia="宋体" w:cs="宋体"/>
                <w:b/>
                <w:color w:val="auto"/>
                <w:sz w:val="24"/>
                <w:szCs w:val="24"/>
                <w:highlight w:val="none"/>
                <w:lang w:val="en-US" w:eastAsia="zh-CN" w:bidi="hi-IN"/>
              </w:rPr>
              <w:t xml:space="preserve">以及供应商为其</w:t>
            </w:r>
            <w:r>
              <w:rPr>
                <w:rFonts w:hint="eastAsia" w:ascii="宋体" w:hAnsi="宋体" w:eastAsia="宋体" w:cs="宋体"/>
                <w:b/>
                <w:color w:val="auto"/>
                <w:sz w:val="24"/>
                <w:szCs w:val="24"/>
                <w:highlight w:val="none"/>
                <w:lang w:bidi="hi-IN"/>
              </w:rPr>
              <w:t xml:space="preserve">缴纳</w:t>
            </w:r>
            <w:r>
              <w:rPr>
                <w:rFonts w:hint="eastAsia" w:ascii="宋体" w:hAnsi="宋体" w:eastAsia="宋体" w:cs="宋体"/>
                <w:b/>
                <w:color w:val="auto"/>
                <w:sz w:val="24"/>
                <w:szCs w:val="24"/>
                <w:highlight w:val="none"/>
                <w:lang w:val="en-US" w:eastAsia="zh-CN" w:bidi="hi-IN"/>
              </w:rPr>
              <w:t xml:space="preserve">的</w:t>
            </w:r>
            <w:r>
              <w:rPr>
                <w:rFonts w:hint="eastAsia" w:ascii="宋体" w:hAnsi="宋体" w:eastAsia="宋体" w:cs="宋体"/>
                <w:b/>
                <w:color w:val="auto"/>
                <w:sz w:val="24"/>
                <w:szCs w:val="24"/>
                <w:highlight w:val="none"/>
                <w:lang w:bidi="hi-IN"/>
              </w:rPr>
              <w:t xml:space="preserve">最近六个月内任意</w:t>
            </w:r>
            <w:r>
              <w:rPr>
                <w:rFonts w:hint="eastAsia" w:ascii="宋体" w:hAnsi="宋体" w:eastAsia="宋体" w:cs="宋体"/>
                <w:b/>
                <w:color w:val="auto"/>
                <w:sz w:val="24"/>
                <w:szCs w:val="24"/>
                <w:highlight w:val="none"/>
                <w:lang w:val="en-US" w:eastAsia="zh-CN" w:bidi="hi-IN"/>
              </w:rPr>
              <w:t xml:space="preserve">一个</w:t>
            </w:r>
            <w:r>
              <w:rPr>
                <w:rFonts w:hint="eastAsia" w:ascii="宋体" w:hAnsi="宋体" w:eastAsia="宋体" w:cs="宋体"/>
                <w:b/>
                <w:color w:val="auto"/>
                <w:sz w:val="24"/>
                <w:szCs w:val="24"/>
                <w:highlight w:val="none"/>
                <w:lang w:bidi="hi-IN"/>
              </w:rPr>
              <w:t xml:space="preserve">月</w:t>
            </w:r>
            <w:r>
              <w:rPr>
                <w:rFonts w:hint="eastAsia" w:ascii="宋体" w:hAnsi="宋体" w:eastAsia="宋体" w:cs="宋体"/>
                <w:b/>
                <w:color w:val="auto"/>
                <w:sz w:val="24"/>
                <w:szCs w:val="24"/>
                <w:highlight w:val="none"/>
                <w:lang w:eastAsia="zh-CN" w:bidi="hi-IN"/>
              </w:rPr>
              <w:t xml:space="preserve">（</w:t>
            </w:r>
            <w:r>
              <w:rPr>
                <w:rFonts w:hint="eastAsia" w:ascii="宋体" w:hAnsi="宋体" w:eastAsia="宋体" w:cs="宋体"/>
                <w:b/>
                <w:color w:val="auto"/>
                <w:sz w:val="24"/>
                <w:szCs w:val="24"/>
                <w:highlight w:val="none"/>
                <w:lang w:val="en-US" w:eastAsia="zh-CN" w:bidi="hi-IN"/>
              </w:rPr>
              <w:t xml:space="preserve">2025年</w:t>
            </w:r>
            <w:r>
              <w:rPr>
                <w:rFonts w:hint="eastAsia" w:ascii="宋体" w:hAnsi="宋体" w:cs="宋体"/>
                <w:b/>
                <w:color w:val="auto"/>
                <w:sz w:val="24"/>
                <w:szCs w:val="24"/>
                <w:highlight w:val="none"/>
                <w:lang w:val="en-US" w:eastAsia="zh-CN" w:bidi="hi-IN"/>
              </w:rPr>
              <w:t xml:space="preserve">10月</w:t>
            </w:r>
            <w:r>
              <w:rPr>
                <w:rFonts w:hint="eastAsia" w:ascii="宋体" w:hAnsi="宋体" w:eastAsia="宋体" w:cs="宋体"/>
                <w:b/>
                <w:color w:val="auto"/>
                <w:sz w:val="24"/>
                <w:szCs w:val="24"/>
                <w:highlight w:val="none"/>
                <w:lang w:val="en-US" w:eastAsia="zh-CN" w:bidi="hi-IN"/>
              </w:rPr>
              <w:t xml:space="preserve">-</w:t>
            </w:r>
            <w:r>
              <w:rPr>
                <w:rFonts w:hint="eastAsia" w:ascii="宋体" w:hAnsi="宋体" w:cs="宋体"/>
                <w:b/>
                <w:color w:val="auto"/>
                <w:sz w:val="24"/>
                <w:szCs w:val="24"/>
                <w:highlight w:val="none"/>
                <w:lang w:val="en-US" w:eastAsia="zh-CN" w:bidi="hi-IN"/>
              </w:rPr>
              <w:t xml:space="preserve">2026年3</w:t>
            </w:r>
            <w:r>
              <w:rPr>
                <w:rFonts w:hint="eastAsia" w:ascii="宋体" w:hAnsi="宋体" w:eastAsia="宋体" w:cs="宋体"/>
                <w:b/>
                <w:color w:val="auto"/>
                <w:sz w:val="24"/>
                <w:szCs w:val="24"/>
                <w:highlight w:val="none"/>
                <w:lang w:val="en-US" w:eastAsia="zh-CN" w:bidi="hi-IN"/>
              </w:rPr>
              <w:t xml:space="preserve">月份</w:t>
            </w:r>
            <w:r>
              <w:rPr>
                <w:rFonts w:hint="eastAsia" w:ascii="宋体" w:hAnsi="宋体" w:eastAsia="宋体" w:cs="宋体"/>
                <w:b/>
                <w:color w:val="auto"/>
                <w:sz w:val="24"/>
                <w:szCs w:val="24"/>
                <w:highlight w:val="none"/>
                <w:lang w:bidi="hi-IN"/>
              </w:rPr>
              <w:t xml:space="preserve">任意</w:t>
            </w:r>
            <w:r>
              <w:rPr>
                <w:rFonts w:hint="eastAsia" w:ascii="宋体" w:hAnsi="宋体" w:eastAsia="宋体" w:cs="宋体"/>
                <w:b/>
                <w:color w:val="auto"/>
                <w:sz w:val="24"/>
                <w:szCs w:val="24"/>
                <w:highlight w:val="none"/>
                <w:lang w:val="en-US" w:eastAsia="zh-CN" w:bidi="hi-IN"/>
              </w:rPr>
              <w:t xml:space="preserve">一个</w:t>
            </w:r>
            <w:r>
              <w:rPr>
                <w:rFonts w:hint="eastAsia" w:ascii="宋体" w:hAnsi="宋体" w:eastAsia="宋体" w:cs="宋体"/>
                <w:b/>
                <w:color w:val="auto"/>
                <w:sz w:val="24"/>
                <w:szCs w:val="24"/>
                <w:highlight w:val="none"/>
                <w:lang w:bidi="hi-IN"/>
              </w:rPr>
              <w:t xml:space="preserve">月</w:t>
            </w:r>
            <w:r>
              <w:rPr>
                <w:rFonts w:hint="eastAsia" w:ascii="宋体" w:hAnsi="宋体" w:eastAsia="宋体" w:cs="宋体"/>
                <w:b/>
                <w:color w:val="auto"/>
                <w:sz w:val="24"/>
                <w:szCs w:val="24"/>
                <w:highlight w:val="none"/>
                <w:lang w:eastAsia="zh-CN" w:bidi="hi-IN"/>
              </w:rPr>
              <w:t xml:space="preserve">）</w:t>
            </w:r>
            <w:r>
              <w:rPr>
                <w:rFonts w:hint="eastAsia" w:ascii="宋体" w:hAnsi="宋体" w:eastAsia="宋体" w:cs="宋体"/>
                <w:b/>
                <w:color w:val="auto"/>
                <w:sz w:val="24"/>
                <w:szCs w:val="24"/>
                <w:highlight w:val="none"/>
                <w:lang w:bidi="hi-IN"/>
              </w:rPr>
              <w:t xml:space="preserve">的社保证明</w:t>
            </w:r>
            <w:r>
              <w:rPr>
                <w:rFonts w:hint="eastAsia" w:ascii="宋体" w:hAnsi="宋体" w:eastAsia="宋体" w:cs="宋体"/>
                <w:b/>
                <w:i w:val="0"/>
                <w:iCs w:val="0"/>
                <w:color w:val="auto"/>
                <w:sz w:val="24"/>
                <w:szCs w:val="24"/>
                <w:highlight w:val="none"/>
                <w:u w:val="none"/>
                <w:lang w:eastAsia="zh-CN" w:bidi="hi-IN"/>
              </w:rPr>
              <w:t xml:space="preserve">（</w:t>
            </w:r>
            <w:r>
              <w:rPr>
                <w:rFonts w:hint="eastAsia" w:ascii="宋体" w:hAnsi="宋体" w:eastAsia="宋体" w:cs="宋体"/>
                <w:b/>
                <w:i w:val="0"/>
                <w:iCs w:val="0"/>
                <w:color w:val="auto"/>
                <w:sz w:val="24"/>
                <w:szCs w:val="24"/>
                <w:highlight w:val="none"/>
                <w:u w:val="none"/>
                <w:lang w:val="en-US" w:eastAsia="zh-CN" w:bidi="hi-IN"/>
              </w:rPr>
              <w:t xml:space="preserve">加盖供应商电子签章</w:t>
            </w:r>
            <w:r>
              <w:rPr>
                <w:rFonts w:hint="eastAsia" w:ascii="宋体" w:hAnsi="宋体" w:eastAsia="宋体" w:cs="宋体"/>
                <w:b/>
                <w:i w:val="0"/>
                <w:iCs w:val="0"/>
                <w:color w:val="auto"/>
                <w:sz w:val="24"/>
                <w:szCs w:val="24"/>
                <w:highlight w:val="none"/>
                <w:u w:val="none"/>
                <w:lang w:eastAsia="zh-CN" w:bidi="hi-IN"/>
              </w:rPr>
              <w:t xml:space="preserve">）</w:t>
            </w:r>
            <w:r>
              <w:rPr>
                <w:rFonts w:hint="eastAsia" w:ascii="宋体" w:hAnsi="宋体" w:eastAsia="宋体" w:cs="宋体"/>
                <w:b/>
                <w:color w:val="auto"/>
                <w:sz w:val="24"/>
                <w:szCs w:val="24"/>
                <w:highlight w:val="none"/>
                <w:lang w:bidi="hi-IN"/>
              </w:rPr>
              <w:t xml:space="preserve">，否则不得分；若同一人员同时</w:t>
            </w:r>
            <w:r>
              <w:rPr>
                <w:rFonts w:hint="eastAsia" w:ascii="宋体" w:hAnsi="宋体" w:eastAsia="宋体" w:cs="宋体"/>
                <w:b/>
                <w:color w:val="auto"/>
                <w:sz w:val="24"/>
                <w:szCs w:val="24"/>
                <w:highlight w:val="none"/>
                <w:lang w:val="en-US" w:eastAsia="zh-CN" w:bidi="hi-IN"/>
              </w:rPr>
              <w:t xml:space="preserve">具有多项证书</w:t>
            </w:r>
            <w:r>
              <w:rPr>
                <w:rFonts w:hint="eastAsia" w:ascii="宋体" w:hAnsi="宋体" w:eastAsia="宋体" w:cs="宋体"/>
                <w:b/>
                <w:color w:val="auto"/>
                <w:sz w:val="24"/>
                <w:szCs w:val="24"/>
                <w:highlight w:val="none"/>
                <w:lang w:bidi="hi-IN"/>
              </w:rPr>
              <w:t xml:space="preserve">，不累计</w:t>
            </w:r>
            <w:r>
              <w:rPr>
                <w:rFonts w:hint="eastAsia" w:ascii="宋体" w:hAnsi="宋体" w:eastAsia="宋体" w:cs="宋体"/>
                <w:b/>
                <w:color w:val="auto"/>
                <w:sz w:val="24"/>
                <w:szCs w:val="24"/>
                <w:highlight w:val="none"/>
                <w:lang w:val="en-US" w:eastAsia="zh-CN" w:bidi="hi-IN"/>
              </w:rPr>
              <w:t xml:space="preserve">计分，按照得分高的计算</w:t>
            </w:r>
            <w:r>
              <w:rPr>
                <w:rFonts w:hint="eastAsia" w:ascii="宋体" w:hAnsi="宋体" w:eastAsia="宋体" w:cs="宋体"/>
                <w:b/>
                <w:color w:val="auto"/>
                <w:sz w:val="24"/>
                <w:szCs w:val="24"/>
                <w:highlight w:val="none"/>
                <w:lang w:bidi="hi-IN"/>
              </w:rPr>
              <w:t xml:space="preserve">。</w:t>
            </w:r>
            <w:r/>
          </w:p>
        </w:tc>
      </w:tr>
      <w:tr>
        <w:trPr>
          <w:jc w:val="center"/>
          <w:trHeight w:val="1222"/>
        </w:trPr>
        <w:tc>
          <w:tcPr>
            <w:tcW w:w="1471" w:type="dxa"/>
            <w:vAlign w:val="center"/>
            <w:vMerge w:val="continue"/>
            <w:textDirection w:val="lrTb"/>
            <w:noWrap w:val="false"/>
          </w:tcPr>
          <w:p>
            <w:pPr>
              <w:rPr>
                <w:rFonts w:hint="eastAsia" w:ascii="宋体" w:hAnsi="宋体" w:eastAsia="宋体" w:cs="宋体"/>
                <w:color w:val="c00000"/>
                <w:sz w:val="24"/>
                <w:szCs w:val="24"/>
                <w:lang w:eastAsia="zh-CN"/>
              </w:rPr>
            </w:pPr>
            <w:r>
              <w:rPr>
                <w:rFonts w:hint="eastAsia" w:ascii="宋体" w:hAnsi="宋体" w:eastAsia="宋体" w:cs="宋体"/>
                <w:color w:val="c00000"/>
                <w:sz w:val="24"/>
                <w:szCs w:val="24"/>
                <w:lang w:eastAsia="zh-CN"/>
              </w:rPr>
            </w:r>
            <w:r/>
          </w:p>
        </w:tc>
        <w:tc>
          <w:tcPr>
            <w:tcW w:w="1545" w:type="dxa"/>
            <w:vAlign w:val="center"/>
            <w:vMerge w:val="continue"/>
            <w:textDirection w:val="lrTb"/>
            <w:noWrap w:val="false"/>
          </w:tcPr>
          <w:p>
            <w:pPr>
              <w:jc w:val="center"/>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W w:w="7516" w:type="dxa"/>
            <w:vAlign w:val="center"/>
            <w:textDirection w:val="lrTb"/>
            <w:noWrap w:val="false"/>
          </w:tcPr>
          <w:p>
            <w:pPr>
              <w:numPr>
                <w:ilvl w:val="0"/>
                <w:numId w:val="0"/>
              </w:num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hi-IN"/>
              </w:rPr>
              <w:t xml:space="preserve">2.</w:t>
            </w:r>
            <w:r>
              <w:rPr>
                <w:rFonts w:hint="eastAsia" w:ascii="宋体" w:hAnsi="宋体" w:eastAsia="宋体" w:cs="宋体"/>
                <w:color w:val="auto"/>
                <w:sz w:val="24"/>
                <w:szCs w:val="24"/>
                <w:highlight w:val="none"/>
                <w:lang w:bidi="hi-IN"/>
              </w:rPr>
              <w:t xml:space="preserve">根据响应文件中</w:t>
            </w:r>
            <w:r>
              <w:rPr>
                <w:rFonts w:hint="eastAsia" w:ascii="宋体" w:hAnsi="宋体" w:eastAsia="宋体" w:cs="宋体"/>
                <w:color w:val="auto"/>
                <w:sz w:val="24"/>
                <w:szCs w:val="24"/>
                <w:highlight w:val="none"/>
                <w:lang w:val="en-US" w:eastAsia="zh-CN" w:bidi="hi-IN"/>
              </w:rPr>
              <w:t xml:space="preserve">提供的《</w:t>
            </w:r>
            <w:r>
              <w:rPr>
                <w:rFonts w:hint="eastAsia" w:ascii="宋体" w:hAnsi="宋体" w:eastAsia="宋体" w:cs="宋体"/>
                <w:b w:val="0"/>
                <w:bCs w:val="0"/>
                <w:color w:val="auto"/>
                <w:sz w:val="24"/>
                <w:szCs w:val="24"/>
                <w:highlight w:val="none"/>
                <w:lang w:val="en-US" w:eastAsia="zh-CN"/>
              </w:rPr>
              <w:t xml:space="preserve">项目管理班子人员配备、素质及管理经验</w:t>
            </w:r>
            <w:r>
              <w:rPr>
                <w:rFonts w:hint="eastAsia" w:ascii="宋体" w:hAnsi="宋体" w:eastAsia="宋体" w:cs="宋体"/>
                <w:color w:val="auto"/>
                <w:sz w:val="24"/>
                <w:szCs w:val="24"/>
                <w:highlight w:val="none"/>
                <w:lang w:val="en-US" w:eastAsia="zh-CN" w:bidi="hi-IN"/>
              </w:rPr>
              <w:t xml:space="preserve">》，</w:t>
            </w:r>
            <w:r>
              <w:rPr>
                <w:rFonts w:hint="eastAsia" w:ascii="宋体" w:hAnsi="宋体" w:eastAsia="宋体" w:cs="宋体"/>
                <w:color w:val="auto"/>
                <w:sz w:val="24"/>
                <w:szCs w:val="24"/>
                <w:highlight w:val="none"/>
              </w:rPr>
              <w:t xml:space="preserve">对内容</w:t>
            </w:r>
            <w:r>
              <w:rPr>
                <w:rFonts w:hint="eastAsia" w:ascii="宋体" w:hAnsi="宋体" w:eastAsia="宋体" w:cs="宋体"/>
                <w:color w:val="auto"/>
                <w:sz w:val="24"/>
                <w:szCs w:val="24"/>
                <w:highlight w:val="none"/>
                <w:lang w:val="en-US" w:eastAsia="zh-CN"/>
              </w:rPr>
              <w:t xml:space="preserve">全面性</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合理性及针对性</w:t>
            </w:r>
            <w:r>
              <w:rPr>
                <w:rFonts w:hint="eastAsia" w:ascii="宋体" w:hAnsi="宋体" w:eastAsia="宋体" w:cs="宋体"/>
                <w:color w:val="auto"/>
                <w:sz w:val="24"/>
                <w:szCs w:val="24"/>
                <w:highlight w:val="none"/>
              </w:rPr>
              <w:t xml:space="preserve">进行评价：</w:t>
            </w:r>
            <w:r/>
          </w:p>
          <w:p>
            <w:pPr>
              <w:numPr>
                <w:ilvl w:val="0"/>
                <w:numId w:val="0"/>
              </w:numPr>
              <w:jc w:val="both"/>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项目管理班子</w:t>
            </w:r>
            <w:r>
              <w:rPr>
                <w:rFonts w:hint="eastAsia" w:ascii="宋体" w:hAnsi="宋体" w:eastAsia="宋体" w:cs="宋体"/>
                <w:color w:val="auto"/>
                <w:sz w:val="24"/>
                <w:szCs w:val="24"/>
                <w:highlight w:val="none"/>
              </w:rPr>
              <w:t xml:space="preserve">人员的配备、素质及管理经验，对内容详细具体、科学合理、措施可靠，组织严谨、针对性强等方面进行评价：</w:t>
            </w:r>
            <w:r/>
          </w:p>
          <w:p>
            <w:pPr>
              <w:jc w:val="left"/>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内容详细具体完整、科学合理、措施可靠</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组织严谨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针对性强的得</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p>
            <w:pPr>
              <w:jc w:val="left"/>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内容基本完整、针对性较强、基本符合要求的得5分；</w:t>
            </w:r>
            <w:r/>
          </w:p>
          <w:p>
            <w:pPr>
              <w:jc w:val="left"/>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内容一般、基本可行的得3分；</w:t>
            </w:r>
            <w:r/>
          </w:p>
          <w:p>
            <w:pPr>
              <w:ind w:right="6"/>
              <w:jc w:val="left"/>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内容较差或有缺陷的得1分；</w:t>
            </w:r>
            <w:r/>
          </w:p>
          <w:p>
            <w:pPr>
              <w:numPr>
                <w:ilvl w:val="0"/>
                <w:numId w:val="0"/>
              </w:numPr>
              <w:ind w:left="0" w:right="0" w:firstLine="0"/>
              <w:jc w:val="left"/>
              <w:spacing w:before="0" w:after="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无具体内容的得0分。</w:t>
            </w:r>
            <w:r/>
          </w:p>
        </w:tc>
      </w:tr>
      <w:tr>
        <w:trPr>
          <w:jc w:val="center"/>
          <w:trHeight w:val="2283"/>
        </w:trPr>
        <w:tc>
          <w:tcPr>
            <w:tcW w:w="1471" w:type="dxa"/>
            <w:vAlign w:val="center"/>
            <w:vMerge w:val="continue"/>
            <w:textDirection w:val="lrTb"/>
            <w:noWrap w:val="false"/>
          </w:tcPr>
          <w:p>
            <w:pPr>
              <w:rPr>
                <w:rFonts w:hint="eastAsia" w:ascii="宋体" w:hAnsi="宋体" w:eastAsia="宋体" w:cs="宋体"/>
                <w:color w:val="c00000"/>
                <w:sz w:val="24"/>
                <w:szCs w:val="24"/>
                <w:lang w:eastAsia="zh-CN"/>
              </w:rPr>
            </w:pPr>
            <w:r>
              <w:rPr>
                <w:rFonts w:hint="eastAsia" w:ascii="宋体" w:hAnsi="宋体" w:eastAsia="宋体" w:cs="宋体"/>
                <w:color w:val="c00000"/>
                <w:sz w:val="24"/>
                <w:szCs w:val="24"/>
                <w:lang w:eastAsia="zh-CN"/>
              </w:rPr>
            </w:r>
            <w:r/>
          </w:p>
        </w:tc>
        <w:tc>
          <w:tcPr>
            <w:tcW w:w="1545" w:type="dxa"/>
            <w:vAlign w:val="center"/>
            <w:textDirection w:val="lrTb"/>
            <w:noWrap w:val="false"/>
          </w:tcPr>
          <w:p>
            <w:pPr>
              <w:jc w:val="center"/>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关键施工技术、工艺及工程项目实施的重点、难点和解决方案</w:t>
            </w:r>
            <w:r/>
          </w:p>
          <w:p>
            <w:pPr>
              <w:jc w:val="center"/>
              <w:rPr>
                <w:rFonts w:hint="eastAsia" w:ascii="宋体" w:hAnsi="宋体" w:eastAsia="宋体" w:cs="宋体"/>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（10分）</w:t>
            </w:r>
            <w:r/>
          </w:p>
        </w:tc>
        <w:tc>
          <w:tcPr>
            <w:tcW w:w="7516"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根据响应文件中</w:t>
            </w:r>
            <w:r>
              <w:rPr>
                <w:rFonts w:hint="eastAsia" w:ascii="宋体" w:hAnsi="宋体" w:eastAsia="宋体" w:cs="宋体"/>
                <w:color w:val="auto"/>
                <w:sz w:val="24"/>
                <w:szCs w:val="24"/>
                <w:highlight w:val="none"/>
                <w:lang w:val="en-US" w:eastAsia="zh-CN"/>
              </w:rPr>
              <w:t xml:space="preserve">提供的《关键施工技术、工艺及工程项目实施的重点、难点和解决方案》，</w:t>
            </w:r>
            <w:r>
              <w:rPr>
                <w:rFonts w:hint="eastAsia" w:ascii="宋体" w:hAnsi="宋体" w:eastAsia="宋体" w:cs="宋体"/>
                <w:color w:val="auto"/>
                <w:sz w:val="24"/>
                <w:szCs w:val="24"/>
                <w:highlight w:val="none"/>
              </w:rPr>
              <w:t xml:space="preserve">对内容</w:t>
            </w:r>
            <w:r>
              <w:rPr>
                <w:rFonts w:hint="eastAsia" w:ascii="宋体" w:hAnsi="宋体" w:eastAsia="宋体" w:cs="宋体"/>
                <w:color w:val="auto"/>
                <w:sz w:val="24"/>
                <w:szCs w:val="24"/>
                <w:highlight w:val="none"/>
                <w:lang w:val="en-US" w:eastAsia="zh-CN"/>
              </w:rPr>
              <w:t xml:space="preserve">全面性</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合理性及针对性</w:t>
            </w:r>
            <w:r>
              <w:rPr>
                <w:rFonts w:hint="eastAsia" w:ascii="宋体" w:hAnsi="宋体" w:eastAsia="宋体" w:cs="宋体"/>
                <w:color w:val="auto"/>
                <w:sz w:val="24"/>
                <w:szCs w:val="24"/>
                <w:highlight w:val="none"/>
              </w:rPr>
              <w:t xml:space="preserve">进行评价：</w:t>
            </w:r>
            <w:r/>
          </w:p>
          <w:p>
            <w:pPr>
              <w:jc w:val="left"/>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内容详细具体、科学合理、针对性强、内容完整的得10分；</w:t>
            </w:r>
            <w:r/>
          </w:p>
          <w:p>
            <w:pPr>
              <w:jc w:val="left"/>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内容基本完整、针对性较强、基本符合要求的得7分；</w:t>
            </w:r>
            <w:r/>
          </w:p>
          <w:p>
            <w:pPr>
              <w:jc w:val="left"/>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内容一般、基本可行的得4分；</w:t>
            </w:r>
            <w:r/>
          </w:p>
          <w:p>
            <w:pPr>
              <w:jc w:val="left"/>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内容较差或有缺陷的得1分</w:t>
            </w:r>
            <w:r/>
          </w:p>
          <w:p>
            <w:pPr>
              <w:jc w:val="left"/>
              <w:keepLines w:val="0"/>
              <w:keepNext w:val="0"/>
              <w:pageBreakBefore w:val="0"/>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无具体内容的得0分。</w:t>
            </w:r>
            <w:r/>
          </w:p>
        </w:tc>
      </w:tr>
      <w:tr>
        <w:trPr>
          <w:jc w:val="center"/>
          <w:trHeight w:val="2358"/>
        </w:trPr>
        <w:tc>
          <w:tcPr>
            <w:tcW w:w="1471" w:type="dxa"/>
            <w:vAlign w:val="center"/>
            <w:vMerge w:val="continue"/>
            <w:textDirection w:val="lrTb"/>
            <w:noWrap w:val="false"/>
          </w:tcPr>
          <w:p>
            <w:pPr>
              <w:rPr>
                <w:rFonts w:hint="eastAsia" w:ascii="宋体" w:hAnsi="宋体" w:eastAsia="宋体" w:cs="宋体"/>
                <w:color w:val="c00000"/>
                <w:sz w:val="24"/>
                <w:szCs w:val="24"/>
                <w:lang w:eastAsia="zh-CN"/>
              </w:rPr>
            </w:pPr>
            <w:r>
              <w:rPr>
                <w:rFonts w:hint="eastAsia" w:ascii="宋体" w:hAnsi="宋体" w:eastAsia="宋体" w:cs="宋体"/>
                <w:color w:val="c00000"/>
                <w:sz w:val="24"/>
                <w:szCs w:val="24"/>
                <w:lang w:eastAsia="zh-CN"/>
              </w:rPr>
            </w:r>
            <w:r/>
          </w:p>
        </w:tc>
        <w:tc>
          <w:tcPr>
            <w:tcW w:w="1545"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cs="宋体"/>
                <w:color w:val="auto"/>
                <w:sz w:val="24"/>
                <w:highlight w:val="none"/>
              </w:rPr>
              <w:t xml:space="preserve">安全文明施工及环境保护措施</w:t>
            </w:r>
            <w:r>
              <w:rPr>
                <w:rFonts w:hint="eastAsia" w:ascii="宋体" w:hAnsi="宋体" w:eastAsia="宋体" w:cs="宋体"/>
                <w:b w:val="0"/>
                <w:bCs w:val="0"/>
                <w:color w:val="auto"/>
                <w:sz w:val="24"/>
                <w:szCs w:val="24"/>
                <w:highlight w:val="none"/>
                <w:lang w:val="en-US" w:eastAsia="zh-CN"/>
              </w:rPr>
              <w:t xml:space="preserve">（10分）</w:t>
            </w:r>
            <w:r/>
          </w:p>
        </w:tc>
        <w:tc>
          <w:tcPr>
            <w:tcW w:w="7516"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根据响应文件中</w:t>
            </w:r>
            <w:r>
              <w:rPr>
                <w:rFonts w:hint="eastAsia" w:ascii="宋体" w:hAnsi="宋体" w:eastAsia="宋体" w:cs="宋体"/>
                <w:color w:val="auto"/>
                <w:sz w:val="24"/>
                <w:szCs w:val="24"/>
                <w:highlight w:val="none"/>
                <w:lang w:val="en-US" w:eastAsia="zh-CN"/>
              </w:rPr>
              <w:t xml:space="preserve">提供的《</w:t>
            </w:r>
            <w:r>
              <w:rPr>
                <w:rFonts w:hint="eastAsia" w:ascii="宋体" w:hAnsi="宋体" w:cs="宋体"/>
                <w:color w:val="auto"/>
                <w:sz w:val="24"/>
                <w:highlight w:val="none"/>
              </w:rPr>
              <w:t xml:space="preserve">安全文明施工及环境保护措施</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对内容</w:t>
            </w:r>
            <w:r>
              <w:rPr>
                <w:rFonts w:hint="eastAsia" w:ascii="宋体" w:hAnsi="宋体" w:eastAsia="宋体" w:cs="宋体"/>
                <w:color w:val="auto"/>
                <w:sz w:val="24"/>
                <w:szCs w:val="24"/>
                <w:highlight w:val="none"/>
                <w:lang w:val="en-US" w:eastAsia="zh-CN"/>
              </w:rPr>
              <w:t xml:space="preserve">全面性</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合理性及针对性</w:t>
            </w:r>
            <w:r>
              <w:rPr>
                <w:rFonts w:hint="eastAsia" w:ascii="宋体" w:hAnsi="宋体" w:eastAsia="宋体" w:cs="宋体"/>
                <w:color w:val="auto"/>
                <w:sz w:val="24"/>
                <w:szCs w:val="24"/>
                <w:highlight w:val="none"/>
              </w:rPr>
              <w:t xml:space="preserve">进行评价：</w:t>
            </w:r>
            <w:r/>
          </w:p>
          <w:p>
            <w:pPr>
              <w:jc w:val="left"/>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内容详细具体、科学合理、针对性强、内容完整的得</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w:t>
            </w:r>
            <w:r/>
          </w:p>
          <w:p>
            <w:pPr>
              <w:jc w:val="left"/>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内容基本完整、针对性较强、基本符合要求的得</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分；</w:t>
            </w:r>
            <w:r/>
          </w:p>
          <w:p>
            <w:pPr>
              <w:jc w:val="left"/>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内容一般、基本可行的得4分；</w:t>
            </w:r>
            <w:r/>
          </w:p>
          <w:p>
            <w:pPr>
              <w:jc w:val="left"/>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内容较差或有缺陷的得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p>
            <w:pPr>
              <w:jc w:val="left"/>
              <w:keepLines w:val="0"/>
              <w:keepNext w:val="0"/>
              <w:pageBreakBefore w:val="0"/>
              <w:spacing w:line="24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无具体内容的得0分。</w:t>
            </w:r>
            <w:r/>
          </w:p>
        </w:tc>
      </w:tr>
      <w:tr>
        <w:trPr>
          <w:jc w:val="center"/>
          <w:trHeight w:val="2996"/>
        </w:trPr>
        <w:tc>
          <w:tcPr>
            <w:tcW w:w="1471" w:type="dxa"/>
            <w:vAlign w:val="center"/>
            <w:textDirection w:val="lrTb"/>
            <w:noWrap w:val="false"/>
          </w:tcPr>
          <w:p>
            <w:pPr>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技术部分</w:t>
            </w:r>
            <w:r/>
          </w:p>
          <w:p>
            <w:pPr>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（售后服务方案）</w:t>
            </w:r>
            <w:r/>
          </w:p>
          <w:p>
            <w:pPr>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（10分）</w:t>
            </w:r>
            <w:r/>
          </w:p>
        </w:tc>
        <w:tc>
          <w:tcPr>
            <w:tcW w:w="1545" w:type="dxa"/>
            <w:vAlign w:val="center"/>
            <w:textDirection w:val="lrTb"/>
            <w:noWrap w:val="false"/>
          </w:tcPr>
          <w:p>
            <w:pPr>
              <w:jc w:val="center"/>
              <w:rPr>
                <w:rFonts w:hint="eastAsia" w:ascii="宋体" w:hAnsi="宋体" w:eastAsia="宋体" w:cs="宋体"/>
                <w:sz w:val="24"/>
                <w:szCs w:val="24"/>
                <w:highlight w:val="none"/>
                <w:lang w:eastAsia="zh-CN"/>
              </w:rPr>
            </w:pPr>
            <w:r>
              <w:rPr>
                <w:rFonts w:hint="eastAsia" w:ascii="宋体" w:hAnsi="宋体" w:eastAsia="宋体" w:cs="宋体"/>
                <w:color w:val="auto"/>
                <w:sz w:val="24"/>
                <w:szCs w:val="24"/>
                <w:highlight w:val="none"/>
                <w:lang w:eastAsia="zh-CN"/>
              </w:rPr>
              <w:t xml:space="preserve">缺陷责任期内和缺陷责任期外的售后服务方案（</w:t>
            </w:r>
            <w:r>
              <w:rPr>
                <w:rFonts w:hint="eastAsia" w:ascii="宋体" w:hAnsi="宋体" w:eastAsia="宋体" w:cs="宋体"/>
                <w:color w:val="auto"/>
                <w:sz w:val="24"/>
                <w:szCs w:val="24"/>
                <w:highlight w:val="none"/>
                <w:lang w:val="en-US" w:eastAsia="zh-CN"/>
              </w:rPr>
              <w:t xml:space="preserve">10分</w:t>
            </w:r>
            <w:r>
              <w:rPr>
                <w:rFonts w:hint="eastAsia" w:ascii="宋体" w:hAnsi="宋体" w:eastAsia="宋体" w:cs="宋体"/>
                <w:color w:val="auto"/>
                <w:sz w:val="24"/>
                <w:szCs w:val="24"/>
                <w:highlight w:val="none"/>
                <w:lang w:eastAsia="zh-CN"/>
              </w:rPr>
              <w:t xml:space="preserve">）</w:t>
            </w:r>
            <w:r/>
          </w:p>
        </w:tc>
        <w:tc>
          <w:tcPr>
            <w:tcW w:w="7516" w:type="dxa"/>
            <w:vAlign w:val="center"/>
            <w:textDirection w:val="lrTb"/>
            <w:noWrap w:val="false"/>
          </w:tcPr>
          <w:p>
            <w:pPr>
              <w:pStyle w:val="1003"/>
              <w:jc w:val="lef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根据响应文件中</w:t>
            </w:r>
            <w:r>
              <w:rPr>
                <w:rFonts w:hint="eastAsia" w:ascii="宋体" w:hAnsi="宋体" w:eastAsia="宋体" w:cs="宋体"/>
                <w:color w:val="auto"/>
                <w:sz w:val="24"/>
                <w:szCs w:val="24"/>
                <w:highlight w:val="none"/>
                <w:lang w:val="en-US" w:eastAsia="zh-CN"/>
              </w:rPr>
              <w:t xml:space="preserve">提供的《</w:t>
            </w:r>
            <w:r>
              <w:rPr>
                <w:rFonts w:hint="eastAsia" w:ascii="宋体" w:hAnsi="宋体" w:eastAsia="宋体" w:cs="宋体"/>
                <w:color w:val="auto"/>
                <w:sz w:val="24"/>
                <w:szCs w:val="24"/>
                <w:highlight w:val="none"/>
              </w:rPr>
              <w:t xml:space="preserve">缺陷责任期内和缺陷责任期外的售后服务方案</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包括但不限于售后服务承诺、质保服务年限、服务计划、服务内容、服务响应时间、流程，现场服务支持能力等。对内容的完整性、合理性、可行性进行评价：</w:t>
            </w:r>
            <w:r/>
          </w:p>
          <w:p>
            <w:pPr>
              <w:pStyle w:val="1003"/>
              <w:jc w:val="lef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内容详细具体、科学合理、针对性强、内容完整的得</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w:t>
            </w:r>
            <w:r/>
          </w:p>
          <w:p>
            <w:pPr>
              <w:pStyle w:val="1003"/>
              <w:jc w:val="lef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内容基本完整、针对性较强、基本符合要求的得7分；</w:t>
            </w:r>
            <w:r/>
          </w:p>
          <w:p>
            <w:pPr>
              <w:pStyle w:val="1003"/>
              <w:jc w:val="lef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内容一般、基本可行的得4分；</w:t>
            </w:r>
            <w:r/>
          </w:p>
          <w:p>
            <w:pPr>
              <w:pStyle w:val="1003"/>
              <w:jc w:val="lef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内容较差或有缺陷的得1分；</w:t>
            </w:r>
            <w:r/>
          </w:p>
          <w:p>
            <w:pPr>
              <w:pStyle w:val="1003"/>
              <w:jc w:val="lef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无具体内容的得0分。</w:t>
            </w:r>
            <w:r/>
          </w:p>
        </w:tc>
      </w:tr>
      <w:tr>
        <w:trPr>
          <w:jc w:val="center"/>
          <w:trHeight w:val="1949"/>
        </w:trPr>
        <w:tc>
          <w:tcPr>
            <w:tcW w:w="1471" w:type="dxa"/>
            <w:vAlign w:val="center"/>
            <w:textDirection w:val="lrTb"/>
            <w:noWrap w:val="false"/>
          </w:tcPr>
          <w:p>
            <w:pPr>
              <w:jc w:val="center"/>
              <w:rPr>
                <w:rFonts w:hint="eastAsia" w:ascii="宋体" w:hAnsi="宋体" w:eastAsia="宋体" w:cs="宋体"/>
                <w:color w:val="c00000"/>
                <w:sz w:val="24"/>
                <w:szCs w:val="24"/>
                <w:lang w:eastAsia="zh-CN"/>
              </w:rPr>
            </w:pPr>
            <w:r>
              <w:rPr>
                <w:rFonts w:hint="eastAsia" w:ascii="宋体" w:hAnsi="宋体" w:eastAsia="宋体" w:cs="宋体"/>
                <w:color w:val="auto"/>
                <w:sz w:val="24"/>
                <w:szCs w:val="24"/>
                <w:lang w:val="en-US" w:eastAsia="zh-CN"/>
              </w:rPr>
              <w:t xml:space="preserve">商务部分（4分）</w:t>
            </w:r>
            <w:r/>
          </w:p>
        </w:tc>
        <w:tc>
          <w:tcPr>
            <w:tcW w:w="1545"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eastAsia="宋体" w:cs="宋体"/>
                <w:sz w:val="24"/>
                <w:szCs w:val="24"/>
                <w:highlight w:val="none"/>
                <w:lang w:val="en-US" w:eastAsia="zh-CN"/>
              </w:rPr>
              <w:t xml:space="preserve">供应商</w:t>
            </w:r>
            <w:r>
              <w:rPr>
                <w:rFonts w:hint="eastAsia" w:ascii="宋体" w:hAnsi="宋体" w:eastAsia="宋体" w:cs="宋体"/>
                <w:sz w:val="24"/>
                <w:szCs w:val="24"/>
                <w:highlight w:val="none"/>
                <w:lang w:eastAsia="zh-CN"/>
              </w:rPr>
              <w:t xml:space="preserve">业绩</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分）</w:t>
            </w:r>
            <w:r/>
          </w:p>
        </w:tc>
        <w:tc>
          <w:tcPr>
            <w:tcW w:w="7516" w:type="dxa"/>
            <w:vAlign w:val="center"/>
            <w:textDirection w:val="lrTb"/>
            <w:noWrap w:val="false"/>
          </w:tcPr>
          <w:p>
            <w:pPr>
              <w:pStyle w:val="1003"/>
              <w:jc w:val="lef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供应商自202</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月1日（含）以来独立承担过类似工程（类似工程指市政</w:t>
            </w:r>
            <w:r>
              <w:rPr>
                <w:rFonts w:hint="eastAsia" w:ascii="宋体" w:hAnsi="宋体" w:eastAsia="宋体" w:cs="宋体"/>
                <w:color w:val="auto"/>
                <w:sz w:val="24"/>
                <w:szCs w:val="24"/>
                <w:highlight w:val="none"/>
                <w:lang w:val="en-US" w:eastAsia="zh-CN"/>
              </w:rPr>
              <w:t xml:space="preserve">道路工</w:t>
            </w:r>
            <w:r>
              <w:rPr>
                <w:rFonts w:hint="eastAsia" w:ascii="宋体" w:hAnsi="宋体" w:eastAsia="宋体" w:cs="宋体"/>
                <w:color w:val="auto"/>
                <w:sz w:val="24"/>
                <w:szCs w:val="24"/>
                <w:highlight w:val="none"/>
              </w:rPr>
              <w:t xml:space="preserve">程），每提供一份业绩得2分，最高得4分。</w:t>
            </w:r>
            <w:r/>
          </w:p>
          <w:p>
            <w:pPr>
              <w:pStyle w:val="1003"/>
              <w:jc w:val="lef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响应文件中提供</w:t>
            </w:r>
            <w:r>
              <w:rPr>
                <w:rFonts w:hint="eastAsia" w:ascii="宋体" w:hAnsi="宋体" w:eastAsia="宋体" w:cs="宋体"/>
                <w:color w:val="auto"/>
                <w:sz w:val="24"/>
                <w:szCs w:val="24"/>
                <w:highlight w:val="none"/>
              </w:rPr>
              <w:t xml:space="preserve">中标（</w:t>
            </w:r>
            <w:r>
              <w:rPr>
                <w:rFonts w:hint="eastAsia" w:ascii="宋体" w:hAnsi="宋体" w:eastAsia="宋体" w:cs="宋体"/>
                <w:color w:val="auto"/>
                <w:sz w:val="24"/>
                <w:szCs w:val="24"/>
                <w:highlight w:val="none"/>
                <w:lang w:val="en-US"/>
              </w:rPr>
              <w:t xml:space="preserve">成交</w:t>
            </w:r>
            <w:r>
              <w:rPr>
                <w:rFonts w:hint="eastAsia" w:ascii="宋体" w:hAnsi="宋体" w:eastAsia="宋体" w:cs="宋体"/>
                <w:color w:val="auto"/>
                <w:sz w:val="24"/>
                <w:szCs w:val="24"/>
                <w:highlight w:val="none"/>
              </w:rPr>
              <w:t xml:space="preserve">）通知书、施工合同（</w:t>
            </w:r>
            <w:r>
              <w:rPr>
                <w:rFonts w:hint="eastAsia" w:ascii="宋体" w:hAnsi="宋体" w:eastAsia="宋体" w:cs="宋体"/>
                <w:color w:val="auto"/>
                <w:sz w:val="24"/>
                <w:szCs w:val="24"/>
                <w:highlight w:val="none"/>
                <w:lang w:val="en-US"/>
              </w:rPr>
              <w:t xml:space="preserve">主要内容</w:t>
            </w:r>
            <w:r>
              <w:rPr>
                <w:rFonts w:hint="eastAsia" w:ascii="宋体" w:hAnsi="宋体" w:eastAsia="宋体" w:cs="宋体"/>
                <w:color w:val="auto"/>
                <w:sz w:val="24"/>
                <w:szCs w:val="24"/>
                <w:highlight w:val="none"/>
              </w:rPr>
              <w:t xml:space="preserve">）及竣工验收证明</w:t>
            </w:r>
            <w:r>
              <w:rPr>
                <w:rFonts w:hint="eastAsia" w:ascii="宋体" w:hAnsi="宋体" w:eastAsia="宋体" w:cs="宋体"/>
                <w:color w:val="auto"/>
                <w:sz w:val="24"/>
                <w:szCs w:val="24"/>
                <w:highlight w:val="none"/>
                <w:lang w:val="en-US"/>
              </w:rPr>
              <w:t xml:space="preserve">材料扫描件</w:t>
            </w:r>
            <w:r>
              <w:rPr>
                <w:rFonts w:hint="eastAsia" w:ascii="宋体" w:hAnsi="宋体" w:eastAsia="宋体" w:cs="宋体"/>
                <w:color w:val="auto"/>
                <w:sz w:val="24"/>
                <w:szCs w:val="24"/>
                <w:highlight w:val="none"/>
              </w:rPr>
              <w:t xml:space="preserve">（直接发包项目</w:t>
            </w:r>
            <w:r>
              <w:rPr>
                <w:rFonts w:hint="eastAsia" w:ascii="宋体" w:hAnsi="宋体" w:eastAsia="宋体" w:cs="宋体"/>
                <w:color w:val="auto"/>
                <w:sz w:val="24"/>
                <w:szCs w:val="24"/>
                <w:highlight w:val="none"/>
                <w:lang w:val="en-US" w:eastAsia="zh-CN"/>
              </w:rPr>
              <w:t xml:space="preserve">提供</w:t>
            </w:r>
            <w:r>
              <w:rPr>
                <w:rFonts w:hint="eastAsia" w:ascii="宋体" w:hAnsi="宋体" w:eastAsia="宋体" w:cs="宋体"/>
                <w:color w:val="auto"/>
                <w:sz w:val="24"/>
                <w:szCs w:val="24"/>
                <w:highlight w:val="none"/>
              </w:rPr>
              <w:t xml:space="preserve">施工合同、竣工验收证明</w:t>
            </w:r>
            <w:r>
              <w:rPr>
                <w:rFonts w:hint="eastAsia" w:ascii="宋体" w:hAnsi="宋体" w:eastAsia="宋体" w:cs="宋体"/>
                <w:color w:val="auto"/>
                <w:sz w:val="24"/>
                <w:szCs w:val="24"/>
                <w:highlight w:val="none"/>
                <w:lang w:val="en-US" w:eastAsia="zh-CN"/>
              </w:rPr>
              <w:t xml:space="preserve">材料扫描件</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并加盖电子签章</w:t>
            </w:r>
            <w:r>
              <w:rPr>
                <w:rFonts w:hint="eastAsia" w:ascii="宋体" w:hAnsi="宋体" w:eastAsia="宋体" w:cs="宋体"/>
                <w:color w:val="auto"/>
                <w:sz w:val="24"/>
                <w:szCs w:val="24"/>
                <w:highlight w:val="none"/>
              </w:rPr>
              <w:t xml:space="preserve">，以上必须同时具备，</w:t>
            </w:r>
            <w:r>
              <w:rPr>
                <w:rFonts w:hint="eastAsia" w:ascii="宋体" w:hAnsi="宋体" w:eastAsia="宋体" w:cs="宋体"/>
                <w:color w:val="auto"/>
                <w:sz w:val="24"/>
                <w:szCs w:val="24"/>
                <w:highlight w:val="none"/>
                <w:lang w:eastAsia="zh-CN"/>
              </w:rPr>
              <w:t xml:space="preserve">否则不得分</w:t>
            </w:r>
            <w:r>
              <w:rPr>
                <w:rFonts w:hint="eastAsia" w:ascii="宋体" w:hAnsi="宋体" w:eastAsia="宋体" w:cs="宋体"/>
                <w:color w:val="auto"/>
                <w:sz w:val="24"/>
                <w:szCs w:val="24"/>
                <w:highlight w:val="none"/>
              </w:rPr>
              <w:t xml:space="preserve">。</w:t>
            </w:r>
            <w:r/>
          </w:p>
          <w:p>
            <w:pPr>
              <w:pStyle w:val="1003"/>
              <w:jc w:val="lef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rPr>
              <w:t xml:space="preserve">注：时间以竣工验收时间为准</w:t>
            </w:r>
            <w:r>
              <w:rPr>
                <w:rFonts w:hint="eastAsia" w:ascii="宋体" w:hAnsi="宋体" w:eastAsia="宋体" w:cs="宋体"/>
                <w:b/>
                <w:bCs/>
                <w:color w:val="auto"/>
                <w:sz w:val="24"/>
                <w:szCs w:val="24"/>
                <w:highlight w:val="none"/>
                <w:lang w:eastAsia="zh-CN"/>
              </w:rPr>
              <w:t xml:space="preserve">。</w:t>
            </w:r>
            <w:r/>
          </w:p>
        </w:tc>
      </w:tr>
    </w:tbl>
    <w:p>
      <w:pPr>
        <w:spacing w:line="52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说明：本项目采用综合评分法。</w:t>
      </w:r>
      <w:r/>
    </w:p>
    <w:p>
      <w:pPr>
        <w:rPr>
          <w:rFonts w:hint="eastAsia" w:ascii="宋体" w:hAnsi="宋体" w:eastAsia="宋体" w:cs="宋体"/>
          <w:b/>
          <w:bCs/>
          <w:color w:val="auto"/>
          <w:sz w:val="36"/>
          <w:szCs w:val="36"/>
          <w:highlight w:val="yellow"/>
        </w:rPr>
      </w:pPr>
      <w:r>
        <w:rPr>
          <w:rFonts w:hint="eastAsia" w:ascii="宋体" w:hAnsi="宋体" w:eastAsia="宋体" w:cs="宋体"/>
          <w:b/>
          <w:bCs/>
          <w:color w:val="auto"/>
          <w:sz w:val="36"/>
          <w:szCs w:val="36"/>
          <w:highlight w:val="yellow"/>
        </w:rPr>
        <w:br w:type="page" w:clear="all"/>
      </w:r>
      <w:r/>
    </w:p>
    <w:p>
      <w:pPr>
        <w:jc w:val="center"/>
        <w:spacing w:line="360" w:lineRule="auto"/>
        <w:rPr>
          <w:rFonts w:hint="eastAsia" w:ascii="宋体" w:hAnsi="宋体" w:eastAsia="宋体" w:cs="宋体"/>
          <w:b/>
          <w:color w:val="auto"/>
          <w:sz w:val="24"/>
          <w:highlight w:val="none"/>
        </w:rPr>
        <w:outlineLvl w:val="0"/>
      </w:pPr>
      <w:r>
        <w:rPr>
          <w:rFonts w:hint="eastAsia" w:ascii="宋体" w:hAnsi="宋体" w:eastAsia="宋体" w:cs="宋体"/>
          <w:b/>
          <w:bCs/>
          <w:color w:val="auto"/>
          <w:sz w:val="36"/>
          <w:szCs w:val="36"/>
          <w:highlight w:val="none"/>
        </w:rPr>
        <w:t xml:space="preserve">2、项目要求（采购需求）</w:t>
      </w:r>
      <w:r/>
    </w:p>
    <w:p>
      <w:pPr>
        <w:ind w:firstLine="480"/>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rPr>
      </w:pPr>
      <w:r>
        <w:rPr>
          <w:rFonts w:hint="eastAsia" w:ascii="宋体" w:hAnsi="宋体" w:eastAsia="宋体" w:cs="宋体"/>
          <w:b/>
          <w:sz w:val="24"/>
          <w:highlight w:val="none"/>
        </w:rPr>
        <w:t xml:space="preserve">一、</w:t>
      </w:r>
      <w:r>
        <w:rPr>
          <w:rFonts w:hint="eastAsia" w:ascii="宋体" w:hAnsi="宋体" w:eastAsia="宋体" w:cs="宋体"/>
          <w:b/>
          <w:bCs/>
          <w:sz w:val="24"/>
          <w:highlight w:val="none"/>
        </w:rPr>
        <w:t xml:space="preserve">本项目不接受超过</w:t>
      </w:r>
      <w:r>
        <w:rPr>
          <w:rFonts w:hint="eastAsia" w:ascii="宋体" w:hAnsi="宋体" w:cs="宋体"/>
          <w:b/>
          <w:bCs/>
          <w:color w:val="auto"/>
          <w:sz w:val="24"/>
          <w:highlight w:val="none"/>
          <w:u w:val="single"/>
          <w:lang w:val="en-US" w:eastAsia="zh-CN"/>
        </w:rPr>
        <w:t xml:space="preserve">265.45万</w:t>
      </w:r>
      <w:r>
        <w:rPr>
          <w:rFonts w:hint="eastAsia" w:ascii="宋体" w:hAnsi="宋体" w:eastAsia="宋体" w:cs="宋体"/>
          <w:b/>
          <w:bCs/>
          <w:color w:val="auto"/>
          <w:sz w:val="24"/>
          <w:highlight w:val="none"/>
          <w:u w:val="none"/>
        </w:rPr>
        <w:t xml:space="preserve">元</w:t>
      </w:r>
      <w:r>
        <w:rPr>
          <w:rFonts w:hint="eastAsia" w:ascii="宋体" w:hAnsi="宋体" w:eastAsia="宋体" w:cs="宋体"/>
          <w:b/>
          <w:bCs/>
          <w:sz w:val="24"/>
          <w:highlight w:val="none"/>
        </w:rPr>
        <w:t xml:space="preserve">（采购项目预算金额）的报价</w:t>
      </w:r>
      <w:r>
        <w:rPr>
          <w:rFonts w:hint="eastAsia" w:ascii="宋体" w:hAnsi="宋体" w:eastAsia="宋体" w:cs="宋体"/>
          <w:b/>
          <w:bCs/>
          <w:sz w:val="24"/>
          <w:highlight w:val="none"/>
          <w:lang w:eastAsia="zh-CN"/>
        </w:rPr>
        <w:t xml:space="preserve">。</w:t>
      </w:r>
      <w:r>
        <w:rPr>
          <w:rFonts w:hint="eastAsia" w:ascii="宋体" w:hAnsi="宋体" w:eastAsia="宋体" w:cs="宋体"/>
          <w:b/>
          <w:bCs/>
          <w:sz w:val="24"/>
          <w:highlight w:val="none"/>
          <w:lang w:val="en-US" w:eastAsia="zh-CN"/>
        </w:rPr>
        <w:t xml:space="preserve">其中苏堤北路(铜沛路-二环北路)、凤鸣路(凤鸣四巷-解放南路)南区热电供热替代工程工后道路恢复工程</w:t>
      </w:r>
      <w:r>
        <w:rPr>
          <w:rFonts w:hint="eastAsia" w:ascii="宋体" w:hAnsi="宋体" w:eastAsia="宋体" w:cs="宋体"/>
          <w:b/>
          <w:bCs/>
          <w:color w:val="auto"/>
          <w:sz w:val="24"/>
          <w:szCs w:val="24"/>
          <w:highlight w:val="none"/>
          <w:lang w:val="en-US" w:eastAsia="zh-CN"/>
        </w:rPr>
        <w:t xml:space="preserve">不接受超过</w:t>
      </w:r>
      <w:r>
        <w:rPr>
          <w:rFonts w:hint="eastAsia" w:ascii="宋体" w:hAnsi="宋体" w:cs="宋体"/>
          <w:b/>
          <w:bCs/>
          <w:color w:val="auto"/>
          <w:sz w:val="24"/>
          <w:szCs w:val="24"/>
          <w:highlight w:val="none"/>
          <w:lang w:val="en-US" w:eastAsia="zh-CN"/>
        </w:rPr>
        <w:t xml:space="preserve">175.01</w:t>
      </w:r>
      <w:r>
        <w:rPr>
          <w:rFonts w:hint="eastAsia" w:ascii="宋体" w:hAnsi="宋体" w:eastAsia="宋体" w:cs="宋体"/>
          <w:b/>
          <w:bCs/>
          <w:color w:val="auto"/>
          <w:sz w:val="24"/>
          <w:szCs w:val="24"/>
          <w:highlight w:val="none"/>
          <w:lang w:val="en-US" w:eastAsia="zh-CN"/>
        </w:rPr>
        <w:t xml:space="preserve">万元的报价，青年路(故黄河一复兴路)雨污分流工程工后道路恢复工程不接受超过</w:t>
      </w:r>
      <w:r>
        <w:rPr>
          <w:rFonts w:hint="eastAsia" w:ascii="宋体" w:hAnsi="宋体" w:cs="宋体"/>
          <w:b/>
          <w:bCs/>
          <w:color w:val="auto"/>
          <w:sz w:val="24"/>
          <w:szCs w:val="24"/>
          <w:highlight w:val="none"/>
          <w:lang w:val="en-US" w:eastAsia="zh-CN"/>
        </w:rPr>
        <w:t xml:space="preserve">90.44</w:t>
      </w:r>
      <w:r>
        <w:rPr>
          <w:rFonts w:hint="eastAsia" w:ascii="宋体" w:hAnsi="宋体" w:eastAsia="宋体" w:cs="宋体"/>
          <w:b/>
          <w:bCs/>
          <w:color w:val="auto"/>
          <w:sz w:val="24"/>
          <w:szCs w:val="24"/>
          <w:highlight w:val="none"/>
          <w:lang w:val="en-US" w:eastAsia="zh-CN"/>
        </w:rPr>
        <w:t xml:space="preserve">万元的报价。</w:t>
      </w:r>
      <w:r/>
    </w:p>
    <w:p>
      <w:pPr>
        <w:pStyle w:val="1253"/>
        <w:ind w:firstLine="482"/>
        <w:keepLines w:val="0"/>
        <w:keepNext w:val="0"/>
        <w:pageBreakBefore w:val="0"/>
        <w:spacing w:before="0" w:beforeAutospacing="0" w:after="0" w:afterAutospacing="0" w:line="360" w:lineRule="auto"/>
        <w:rPr>
          <w:rFonts w:hint="eastAsia" w:ascii="宋体" w:hAnsi="宋体" w:eastAsia="宋体" w:cs="宋体"/>
          <w:b/>
          <w:bCs/>
          <w:color w:val="auto"/>
          <w:highlight w:val="none"/>
        </w:rPr>
        <w:outlineLvl w:val="9"/>
      </w:pPr>
      <w:r>
        <w:rPr>
          <w:rFonts w:hint="eastAsia" w:ascii="宋体" w:hAnsi="宋体" w:eastAsia="宋体" w:cs="宋体"/>
          <w:b/>
          <w:bCs/>
          <w:color w:val="auto"/>
          <w:highlight w:val="none"/>
        </w:rPr>
        <w:t xml:space="preserve">二、项目</w:t>
      </w:r>
      <w:r>
        <w:rPr>
          <w:rFonts w:hint="eastAsia" w:ascii="宋体" w:hAnsi="宋体" w:eastAsia="宋体" w:cs="宋体"/>
          <w:b/>
          <w:bCs/>
          <w:color w:val="auto"/>
          <w:highlight w:val="none"/>
          <w:lang w:val="en-US" w:eastAsia="zh-CN"/>
        </w:rPr>
        <w:t xml:space="preserve">说明及概况</w:t>
      </w:r>
      <w:r>
        <w:rPr>
          <w:rFonts w:hint="eastAsia" w:ascii="宋体" w:hAnsi="宋体" w:eastAsia="宋体" w:cs="宋体"/>
          <w:b/>
          <w:bCs/>
          <w:color w:val="auto"/>
          <w:highlight w:val="none"/>
        </w:rPr>
        <w:t xml:space="preserve">：</w:t>
      </w:r>
      <w:r/>
    </w:p>
    <w:p>
      <w:pPr>
        <w:pStyle w:val="1253"/>
        <w:ind w:firstLine="482"/>
        <w:keepLines w:val="0"/>
        <w:keepNext w:val="0"/>
        <w:pageBreakBefore w:val="0"/>
        <w:spacing w:before="0" w:beforeAutospacing="0" w:after="0" w:afterAutospacing="0" w:line="360" w:lineRule="auto"/>
        <w:rPr>
          <w:rFonts w:hint="eastAsia"/>
          <w:b/>
          <w:bCs/>
          <w:color w:val="auto"/>
          <w:highlight w:val="none"/>
        </w:rPr>
        <w:outlineLvl w:val="9"/>
      </w:pPr>
      <w:r>
        <w:rPr>
          <w:rFonts w:hint="eastAsia"/>
          <w:b/>
          <w:bCs/>
          <w:color w:val="auto"/>
          <w:highlight w:val="none"/>
        </w:rPr>
        <w:t xml:space="preserve">1、项目名称：</w:t>
      </w:r>
      <w:r>
        <w:rPr>
          <w:rFonts w:hint="eastAsia" w:cs="宋体"/>
          <w:b/>
          <w:bCs/>
          <w:color w:val="auto"/>
          <w:sz w:val="24"/>
          <w:szCs w:val="24"/>
          <w:highlight w:val="none"/>
          <w:lang w:val="en-US" w:eastAsia="zh-CN"/>
        </w:rPr>
        <w:t xml:space="preserve">苏堤北路、凤鸣路、及青年路（故黄河-复兴路）工后道路恢复工程</w:t>
      </w:r>
      <w:r/>
    </w:p>
    <w:p>
      <w:pPr>
        <w:pStyle w:val="1253"/>
        <w:ind w:firstLine="482"/>
        <w:keepLines w:val="0"/>
        <w:keepNext w:val="0"/>
        <w:pageBreakBefore w:val="0"/>
        <w:spacing w:before="0" w:beforeAutospacing="0" w:after="0" w:afterAutospacing="0" w:line="360" w:lineRule="auto"/>
        <w:rPr>
          <w:rFonts w:hint="default"/>
          <w:b/>
          <w:bCs/>
          <w:color w:val="auto"/>
          <w:highlight w:val="none"/>
          <w:lang w:val="en-US" w:eastAsia="zh-CN"/>
        </w:rPr>
        <w:outlineLvl w:val="9"/>
      </w:pPr>
      <w:r>
        <w:rPr>
          <w:rFonts w:hint="eastAsia"/>
          <w:b/>
          <w:bCs/>
          <w:color w:val="auto"/>
          <w:highlight w:val="none"/>
        </w:rPr>
        <w:t xml:space="preserve">2、项目地址（建设地点）：本次工程位于徐州市</w:t>
      </w:r>
      <w:r>
        <w:rPr>
          <w:rFonts w:hint="eastAsia"/>
          <w:b/>
          <w:bCs/>
          <w:color w:val="auto"/>
          <w:highlight w:val="none"/>
          <w:lang w:val="en-US" w:eastAsia="zh-CN"/>
        </w:rPr>
        <w:t xml:space="preserve">。</w:t>
      </w:r>
      <w:r/>
    </w:p>
    <w:p>
      <w:pPr>
        <w:pStyle w:val="1253"/>
        <w:ind w:firstLine="482"/>
        <w:keepLines w:val="0"/>
        <w:keepNext w:val="0"/>
        <w:pageBreakBefore w:val="0"/>
        <w:spacing w:before="0" w:beforeAutospacing="0" w:after="0" w:afterAutospacing="0" w:line="360" w:lineRule="auto"/>
        <w:rPr>
          <w:rFonts w:hint="eastAsia"/>
          <w:b/>
          <w:bCs/>
          <w:color w:val="auto"/>
          <w:highlight w:val="none"/>
        </w:rPr>
        <w:outlineLvl w:val="9"/>
      </w:pPr>
      <w:r>
        <w:rPr>
          <w:rFonts w:hint="eastAsia"/>
          <w:b/>
          <w:bCs/>
          <w:color w:val="auto"/>
          <w:highlight w:val="none"/>
        </w:rPr>
        <w:t xml:space="preserve">3、工期</w:t>
      </w:r>
      <w:r>
        <w:rPr>
          <w:rFonts w:hint="eastAsia"/>
          <w:b/>
          <w:bCs/>
          <w:color w:val="auto"/>
          <w:highlight w:val="none"/>
          <w:lang w:val="en-US" w:eastAsia="zh-CN"/>
        </w:rPr>
        <w:t xml:space="preserve">要求</w:t>
      </w:r>
      <w:r>
        <w:rPr>
          <w:rFonts w:hint="eastAsia"/>
          <w:b/>
          <w:bCs/>
          <w:color w:val="auto"/>
          <w:highlight w:val="none"/>
        </w:rPr>
        <w:t xml:space="preserve">：</w:t>
      </w:r>
      <w:r>
        <w:rPr>
          <w:rFonts w:hint="eastAsia"/>
          <w:b/>
          <w:bCs/>
          <w:color w:val="auto"/>
          <w:highlight w:val="none"/>
          <w:lang w:val="en-US" w:eastAsia="zh-CN"/>
        </w:rPr>
        <w:t xml:space="preserve">180</w:t>
      </w:r>
      <w:r>
        <w:rPr>
          <w:rFonts w:hint="eastAsia"/>
          <w:b/>
          <w:bCs/>
          <w:color w:val="auto"/>
          <w:highlight w:val="none"/>
        </w:rPr>
        <w:t xml:space="preserve">日历天（具体工期应配合本项目</w:t>
      </w:r>
      <w:r>
        <w:rPr>
          <w:rFonts w:hint="eastAsia" w:ascii="Times New Roman" w:eastAsia="宋体"/>
          <w:b/>
          <w:bCs/>
          <w:color w:val="auto"/>
          <w:highlight w:val="none"/>
          <w:lang w:val="en-US" w:eastAsia="zh-CN"/>
        </w:rPr>
        <w:t xml:space="preserve">热力</w:t>
      </w:r>
      <w:r>
        <w:rPr>
          <w:rFonts w:hint="eastAsia"/>
          <w:b/>
          <w:bCs/>
          <w:color w:val="auto"/>
          <w:highlight w:val="none"/>
        </w:rPr>
        <w:t xml:space="preserve">管网</w:t>
      </w:r>
      <w:r>
        <w:rPr>
          <w:rFonts w:hint="eastAsia"/>
          <w:b/>
          <w:bCs/>
          <w:color w:val="auto"/>
          <w:highlight w:val="none"/>
          <w:lang w:eastAsia="zh-CN"/>
        </w:rPr>
        <w:t xml:space="preserve">、</w:t>
      </w:r>
      <w:r>
        <w:rPr>
          <w:rFonts w:hint="eastAsia"/>
          <w:b/>
          <w:bCs/>
          <w:color w:val="auto"/>
          <w:highlight w:val="none"/>
        </w:rPr>
        <w:t xml:space="preserve">排水管网施工工期要求）。</w:t>
      </w:r>
      <w:r/>
    </w:p>
    <w:p>
      <w:pPr>
        <w:pStyle w:val="1253"/>
        <w:ind w:firstLine="482"/>
        <w:keepLines w:val="0"/>
        <w:keepNext w:val="0"/>
        <w:pageBreakBefore w:val="0"/>
        <w:spacing w:before="0" w:beforeAutospacing="0" w:after="0" w:afterAutospacing="0" w:line="360" w:lineRule="auto"/>
        <w:rPr>
          <w:rFonts w:hint="eastAsia"/>
          <w:b/>
          <w:bCs/>
          <w:i w:val="0"/>
          <w:iCs w:val="0"/>
          <w:color w:val="auto"/>
          <w:highlight w:val="none"/>
        </w:rPr>
        <w:outlineLvl w:val="9"/>
      </w:pPr>
      <w:r>
        <w:rPr>
          <w:rFonts w:hint="eastAsia"/>
          <w:b/>
          <w:bCs/>
          <w:i w:val="0"/>
          <w:iCs w:val="0"/>
          <w:color w:val="auto"/>
          <w:highlight w:val="none"/>
        </w:rPr>
        <w:t xml:space="preserve">4、工程质量：合格，通过相关部门验收。未达到质量要求的，</w:t>
      </w:r>
      <w:r>
        <w:rPr>
          <w:rFonts w:hint="eastAsia"/>
          <w:b/>
          <w:bCs/>
          <w:i w:val="0"/>
          <w:iCs w:val="0"/>
          <w:color w:val="auto"/>
          <w:highlight w:val="none"/>
          <w:lang w:val="en-US" w:eastAsia="zh-CN"/>
        </w:rPr>
        <w:t xml:space="preserve">供应商</w:t>
      </w:r>
      <w:r>
        <w:rPr>
          <w:rFonts w:hint="eastAsia"/>
          <w:b/>
          <w:bCs/>
          <w:i w:val="0"/>
          <w:iCs w:val="0"/>
          <w:color w:val="auto"/>
          <w:highlight w:val="none"/>
        </w:rPr>
        <w:t xml:space="preserve">负责无条件返工，直至达到要求，所发生的费用由</w:t>
      </w:r>
      <w:r>
        <w:rPr>
          <w:rFonts w:hint="eastAsia"/>
          <w:b/>
          <w:bCs/>
          <w:i w:val="0"/>
          <w:iCs w:val="0"/>
          <w:color w:val="auto"/>
          <w:highlight w:val="none"/>
          <w:lang w:val="en-US" w:eastAsia="zh-CN"/>
        </w:rPr>
        <w:t xml:space="preserve">供应商</w:t>
      </w:r>
      <w:r>
        <w:rPr>
          <w:rFonts w:hint="eastAsia"/>
          <w:b/>
          <w:bCs/>
          <w:i w:val="0"/>
          <w:iCs w:val="0"/>
          <w:color w:val="auto"/>
          <w:highlight w:val="none"/>
        </w:rPr>
        <w:t xml:space="preserve">承担，</w:t>
      </w:r>
      <w:r>
        <w:rPr>
          <w:rFonts w:hint="eastAsia"/>
          <w:b/>
          <w:bCs/>
          <w:i w:val="0"/>
          <w:iCs w:val="0"/>
          <w:color w:val="auto"/>
          <w:highlight w:val="none"/>
          <w:lang w:val="en-US" w:eastAsia="zh-CN"/>
        </w:rPr>
        <w:t xml:space="preserve">供应商</w:t>
      </w:r>
      <w:r>
        <w:rPr>
          <w:rFonts w:hint="eastAsia"/>
          <w:b/>
          <w:bCs/>
          <w:i w:val="0"/>
          <w:iCs w:val="0"/>
          <w:color w:val="auto"/>
          <w:highlight w:val="none"/>
        </w:rPr>
        <w:t xml:space="preserve">还应赔偿因此给</w:t>
      </w:r>
      <w:r>
        <w:rPr>
          <w:rFonts w:hint="eastAsia"/>
          <w:b/>
          <w:bCs/>
          <w:i w:val="0"/>
          <w:iCs w:val="0"/>
          <w:color w:val="auto"/>
          <w:highlight w:val="none"/>
          <w:lang w:val="en-US" w:eastAsia="zh-CN"/>
        </w:rPr>
        <w:t xml:space="preserve">采购</w:t>
      </w:r>
      <w:r>
        <w:rPr>
          <w:rFonts w:hint="eastAsia"/>
          <w:b/>
          <w:bCs/>
          <w:i w:val="0"/>
          <w:iCs w:val="0"/>
          <w:color w:val="auto"/>
          <w:highlight w:val="none"/>
        </w:rPr>
        <w:t xml:space="preserve">人造成的损失。本项目验收按照《江苏省政府采购履约验收管理办法》执行，对履约验收发生的检测（检验）费、验收小组成员中的专业技术人员费用等支出，均由</w:t>
      </w:r>
      <w:r>
        <w:rPr>
          <w:rFonts w:hint="eastAsia"/>
          <w:b/>
          <w:bCs/>
          <w:i w:val="0"/>
          <w:iCs w:val="0"/>
          <w:color w:val="auto"/>
          <w:highlight w:val="none"/>
          <w:lang w:val="en-US" w:eastAsia="zh-CN"/>
        </w:rPr>
        <w:t xml:space="preserve">供应商</w:t>
      </w:r>
      <w:r>
        <w:rPr>
          <w:rFonts w:hint="eastAsia"/>
          <w:b/>
          <w:bCs/>
          <w:i w:val="0"/>
          <w:iCs w:val="0"/>
          <w:color w:val="auto"/>
          <w:highlight w:val="none"/>
        </w:rPr>
        <w:t xml:space="preserve">承担，执行标准参照江苏省政府采购专家评审费，</w:t>
      </w:r>
      <w:r>
        <w:rPr>
          <w:rFonts w:hint="eastAsia"/>
          <w:b/>
          <w:bCs/>
          <w:i w:val="0"/>
          <w:iCs w:val="0"/>
          <w:color w:val="auto"/>
          <w:highlight w:val="none"/>
          <w:lang w:val="en-US" w:eastAsia="zh-CN"/>
        </w:rPr>
        <w:t xml:space="preserve">采购人</w:t>
      </w:r>
      <w:r>
        <w:rPr>
          <w:rFonts w:hint="eastAsia"/>
          <w:b/>
          <w:bCs/>
          <w:i w:val="0"/>
          <w:iCs w:val="0"/>
          <w:color w:val="auto"/>
          <w:highlight w:val="none"/>
        </w:rPr>
        <w:t xml:space="preserve">不再支付其它任何费用。</w:t>
      </w:r>
      <w:r/>
    </w:p>
    <w:p>
      <w:pPr>
        <w:pStyle w:val="1253"/>
        <w:ind w:firstLine="482"/>
        <w:keepLines w:val="0"/>
        <w:keepNext w:val="0"/>
        <w:pageBreakBefore w:val="0"/>
        <w:spacing w:before="0" w:beforeAutospacing="0" w:after="0" w:afterAutospacing="0" w:line="360" w:lineRule="auto"/>
        <w:rPr>
          <w:rFonts w:hint="eastAsia"/>
          <w:b/>
          <w:bCs/>
          <w:color w:val="auto"/>
          <w:highlight w:val="none"/>
        </w:rPr>
        <w:outlineLvl w:val="9"/>
      </w:pPr>
      <w:r>
        <w:rPr>
          <w:rFonts w:hint="eastAsia"/>
          <w:b/>
          <w:bCs/>
          <w:color w:val="auto"/>
          <w:highlight w:val="none"/>
        </w:rPr>
        <w:t xml:space="preserve">5、</w:t>
      </w:r>
      <w:r>
        <w:rPr>
          <w:rFonts w:hint="eastAsia"/>
          <w:b/>
          <w:bCs/>
          <w:color w:val="auto"/>
          <w:highlight w:val="none"/>
          <w:lang w:val="en-US" w:eastAsia="zh-CN"/>
        </w:rPr>
        <w:t xml:space="preserve">项目概况及</w:t>
      </w:r>
      <w:r>
        <w:rPr>
          <w:rFonts w:hint="eastAsia"/>
          <w:b/>
          <w:bCs/>
          <w:color w:val="auto"/>
          <w:highlight w:val="none"/>
        </w:rPr>
        <w:t xml:space="preserve">范围：</w:t>
      </w:r>
      <w:r>
        <w:rPr>
          <w:rFonts w:hint="eastAsia"/>
          <w:b/>
          <w:bCs/>
          <w:color w:val="auto"/>
          <w:highlight w:val="none"/>
          <w:lang w:eastAsia="zh-CN"/>
        </w:rPr>
        <w:t xml:space="preserve">主要包含铣刨路面、水泥混凝土、沥青混凝土、人行道块料铺设、安砌平石等，详见工程量清单及施工图所含全部内容</w:t>
      </w:r>
      <w:r>
        <w:rPr>
          <w:rFonts w:hint="eastAsia"/>
          <w:b/>
          <w:bCs/>
          <w:color w:val="auto"/>
          <w:highlight w:val="none"/>
        </w:rPr>
        <w:t xml:space="preserve">。</w:t>
      </w:r>
      <w:r/>
    </w:p>
    <w:p>
      <w:pPr>
        <w:pStyle w:val="1253"/>
        <w:ind w:firstLine="480"/>
        <w:keepLines w:val="0"/>
        <w:keepNext w:val="0"/>
        <w:pageBreakBefore w:val="0"/>
        <w:spacing w:before="0" w:beforeAutospacing="0" w:after="0" w:afterAutospacing="0" w:line="360" w:lineRule="auto"/>
        <w:rPr>
          <w:rFonts w:hint="eastAsia"/>
          <w:color w:val="auto"/>
          <w:highlight w:val="none"/>
        </w:rPr>
        <w:outlineLvl w:val="9"/>
      </w:pPr>
      <w:r>
        <w:rPr>
          <w:rFonts w:hint="eastAsia"/>
          <w:color w:val="auto"/>
          <w:highlight w:val="none"/>
        </w:rPr>
        <w:t xml:space="preserve">6、现场自然及施工条件：要求供应商</w:t>
      </w:r>
      <w:r>
        <w:rPr>
          <w:rFonts w:hint="eastAsia"/>
          <w:color w:val="auto"/>
          <w:highlight w:val="none"/>
          <w:lang w:val="en-US" w:eastAsia="zh-CN"/>
        </w:rPr>
        <w:t xml:space="preserve">自行</w:t>
      </w:r>
      <w:r>
        <w:rPr>
          <w:rFonts w:hint="eastAsia"/>
          <w:color w:val="auto"/>
          <w:highlight w:val="none"/>
        </w:rPr>
        <w:t xml:space="preserve">对项目现场和周围环境进行实地踏勘，以了解现场的施工环境、施工范围、技术要求及相关服务，获取有关编制响应文件和签订合同所需的各项资料，供应商应承担现场踏勘的责任和风险，费用由供应商自己承担。成交后不得以未踏勘现场或不了解现场为由提出任何增加费用的要求。</w:t>
      </w:r>
      <w:r/>
    </w:p>
    <w:p>
      <w:pPr>
        <w:pStyle w:val="1253"/>
        <w:ind w:firstLine="482"/>
        <w:keepLines w:val="0"/>
        <w:keepNext w:val="0"/>
        <w:pageBreakBefore w:val="0"/>
        <w:spacing w:before="0" w:beforeAutospacing="0" w:after="0" w:afterAutospacing="0" w:line="360" w:lineRule="auto"/>
        <w:rPr>
          <w:rFonts w:hint="eastAsia"/>
          <w:b/>
          <w:bCs/>
          <w:color w:val="auto"/>
          <w:highlight w:val="none"/>
        </w:rPr>
        <w:outlineLvl w:val="9"/>
      </w:pPr>
      <w:r>
        <w:rPr>
          <w:rFonts w:hint="eastAsia"/>
          <w:b/>
          <w:bCs/>
          <w:color w:val="auto"/>
          <w:highlight w:val="none"/>
        </w:rPr>
        <w:t xml:space="preserve">7、现场踏勘：自行踏勘现场。</w:t>
      </w:r>
      <w:r/>
    </w:p>
    <w:p>
      <w:pPr>
        <w:pStyle w:val="1253"/>
        <w:ind w:firstLine="482"/>
        <w:keepLines w:val="0"/>
        <w:keepNext w:val="0"/>
        <w:pageBreakBefore w:val="0"/>
        <w:spacing w:before="0" w:beforeAutospacing="0" w:after="0" w:afterAutospacing="0" w:line="360" w:lineRule="auto"/>
        <w:rPr>
          <w:rFonts w:hint="eastAsia"/>
          <w:b/>
          <w:bCs/>
          <w:color w:val="auto"/>
          <w:highlight w:val="none"/>
        </w:rPr>
        <w:outlineLvl w:val="9"/>
      </w:pPr>
      <w:r>
        <w:rPr>
          <w:rFonts w:hint="eastAsia"/>
          <w:b/>
          <w:bCs/>
          <w:color w:val="auto"/>
          <w:highlight w:val="none"/>
        </w:rPr>
        <w:t xml:space="preserve">说明：</w:t>
      </w:r>
      <w:r/>
    </w:p>
    <w:p>
      <w:pPr>
        <w:pStyle w:val="1253"/>
        <w:ind w:firstLine="480"/>
        <w:keepLines w:val="0"/>
        <w:keepNext w:val="0"/>
        <w:pageBreakBefore w:val="0"/>
        <w:spacing w:before="0" w:beforeAutospacing="0" w:after="0" w:afterAutospacing="0" w:line="360" w:lineRule="auto"/>
        <w:rPr>
          <w:rFonts w:hint="eastAsia"/>
          <w:color w:val="auto"/>
          <w:highlight w:val="none"/>
        </w:rPr>
        <w:outlineLvl w:val="9"/>
      </w:pPr>
      <w:r>
        <w:rPr>
          <w:rFonts w:hint="eastAsia"/>
          <w:color w:val="auto"/>
          <w:highlight w:val="none"/>
        </w:rPr>
        <w:t xml:space="preserve">（1）供应商对施工现场进行踏勘，以获取编制响应文件所需的现场信息资料。</w:t>
      </w:r>
      <w:r/>
    </w:p>
    <w:p>
      <w:pPr>
        <w:pStyle w:val="1253"/>
        <w:ind w:firstLine="480"/>
        <w:keepLines w:val="0"/>
        <w:keepNext w:val="0"/>
        <w:pageBreakBefore w:val="0"/>
        <w:spacing w:before="0" w:beforeAutospacing="0" w:after="0" w:afterAutospacing="0" w:line="360" w:lineRule="auto"/>
        <w:rPr>
          <w:rFonts w:hint="eastAsia"/>
          <w:color w:val="auto"/>
          <w:highlight w:val="none"/>
        </w:rPr>
        <w:outlineLvl w:val="9"/>
      </w:pPr>
      <w:r>
        <w:rPr>
          <w:rFonts w:hint="eastAsia"/>
          <w:color w:val="auto"/>
          <w:highlight w:val="none"/>
        </w:rPr>
        <w:t xml:space="preserve">（2）供应商对本磋商文件所作出的理解、推论和解释由其自己负责。</w:t>
      </w:r>
      <w:r/>
    </w:p>
    <w:p>
      <w:pPr>
        <w:pStyle w:val="1253"/>
        <w:ind w:firstLine="480"/>
        <w:keepLines w:val="0"/>
        <w:keepNext w:val="0"/>
        <w:pageBreakBefore w:val="0"/>
        <w:spacing w:before="0" w:beforeAutospacing="0" w:after="0" w:afterAutospacing="0" w:line="360" w:lineRule="auto"/>
        <w:rPr>
          <w:rFonts w:hint="eastAsia"/>
          <w:color w:val="auto"/>
          <w:highlight w:val="none"/>
        </w:rPr>
        <w:outlineLvl w:val="9"/>
      </w:pPr>
      <w:r>
        <w:rPr>
          <w:rFonts w:hint="eastAsia"/>
          <w:color w:val="auto"/>
          <w:highlight w:val="none"/>
        </w:rPr>
        <w:t xml:space="preserve">（3）由于现场踏勘没有进行或者不详细所导致的一切问题均由供应商自行负责。</w:t>
      </w:r>
      <w:r/>
    </w:p>
    <w:p>
      <w:pPr>
        <w:pStyle w:val="1253"/>
        <w:ind w:firstLine="480"/>
        <w:keepLines w:val="0"/>
        <w:keepNext w:val="0"/>
        <w:pageBreakBefore w:val="0"/>
        <w:spacing w:before="0" w:beforeAutospacing="0" w:after="0" w:afterAutospacing="0" w:line="360" w:lineRule="auto"/>
        <w:rPr>
          <w:rFonts w:hint="eastAsia"/>
          <w:color w:val="auto"/>
          <w:highlight w:val="none"/>
        </w:rPr>
        <w:outlineLvl w:val="9"/>
      </w:pPr>
      <w:r>
        <w:rPr>
          <w:rFonts w:hint="eastAsia"/>
          <w:color w:val="auto"/>
          <w:highlight w:val="none"/>
        </w:rPr>
        <w:t xml:space="preserve">（4）供应商应承担现场踏勘的责任和风险，现场踏勘费用由供应商自己承担。</w:t>
      </w:r>
      <w:r/>
    </w:p>
    <w:p>
      <w:pPr>
        <w:ind w:firstLine="480"/>
        <w:keepLines w:val="0"/>
        <w:keepNext w:val="0"/>
        <w:pageBreakBefore w:val="0"/>
        <w:spacing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8、承包方式：包工包料。</w:t>
      </w:r>
      <w:r/>
    </w:p>
    <w:p>
      <w:pPr>
        <w:ind w:firstLine="480"/>
        <w:keepLines w:val="0"/>
        <w:keepNext w:val="0"/>
        <w:pageBreakBefore w:val="0"/>
        <w:spacing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9、本工程采用的技术规范：执行现行技术规范：</w:t>
      </w:r>
      <w:r/>
    </w:p>
    <w:p>
      <w:pPr>
        <w:ind w:firstLine="480"/>
        <w:keepLines w:val="0"/>
        <w:keepNext w:val="0"/>
        <w:pageBreakBefore w:val="0"/>
        <w:spacing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执行国家、江苏省及徐州市颁发的现行行业规范、相关标准及相关文件。</w:t>
      </w:r>
      <w:r/>
    </w:p>
    <w:p>
      <w:pPr>
        <w:ind w:firstLine="480"/>
        <w:keepLines w:val="0"/>
        <w:keepNext w:val="0"/>
        <w:pageBreakBefore w:val="0"/>
        <w:spacing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10、工程建设地点的现场条件：</w:t>
      </w:r>
      <w:r/>
    </w:p>
    <w:p>
      <w:pPr>
        <w:ind w:firstLine="480"/>
        <w:keepLines w:val="0"/>
        <w:keepNext w:val="0"/>
        <w:pageBreakBefore w:val="0"/>
        <w:spacing w:line="360" w:lineRule="auto"/>
        <w:rPr>
          <w:rFonts w:hint="eastAsia" w:ascii="宋体" w:hAnsi="宋体" w:cs="宋体"/>
          <w:color w:val="auto"/>
          <w:sz w:val="24"/>
          <w:highlight w:val="none"/>
        </w:rPr>
        <w:outlineLvl w:val="9"/>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现场自然条件：供应商自行踏勘现场获取。（包括：现场环境、地形、地貌、地质、水文、地震烈度及气温、雨雪量、风向、风力等）</w:t>
      </w:r>
      <w:r/>
    </w:p>
    <w:p>
      <w:pPr>
        <w:ind w:firstLine="480"/>
        <w:keepLines w:val="0"/>
        <w:keepNext w:val="0"/>
        <w:pageBreakBefore w:val="0"/>
        <w:spacing w:line="360" w:lineRule="auto"/>
        <w:rPr>
          <w:rFonts w:hint="eastAsia" w:ascii="宋体" w:hAnsi="宋体" w:cs="宋体"/>
          <w:color w:val="auto"/>
          <w:sz w:val="24"/>
          <w:highlight w:val="none"/>
        </w:rPr>
        <w:outlineLvl w:val="9"/>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现场施工条件：供应商踏勘现场获取。</w:t>
      </w:r>
      <w:r/>
    </w:p>
    <w:p>
      <w:pPr>
        <w:ind w:firstLine="480"/>
        <w:keepLines w:val="0"/>
        <w:keepNext w:val="0"/>
        <w:pageBreakBefore w:val="0"/>
        <w:spacing w:line="360" w:lineRule="auto"/>
        <w:rPr>
          <w:rFonts w:hint="eastAsia" w:ascii="宋体" w:hAnsi="宋体" w:cs="宋体"/>
          <w:b/>
          <w:bCs/>
          <w:color w:val="auto"/>
          <w:sz w:val="24"/>
          <w:highlight w:val="none"/>
        </w:rPr>
        <w:outlineLvl w:val="9"/>
      </w:pPr>
      <w:r>
        <w:rPr>
          <w:rFonts w:hint="eastAsia" w:ascii="宋体" w:hAnsi="宋体" w:cs="宋体"/>
          <w:color w:val="auto"/>
          <w:sz w:val="24"/>
          <w:highlight w:val="none"/>
        </w:rPr>
        <w:t xml:space="preserve">（包括：建设用地面积、建筑物占地面积、场地情况、施工用水、电及有关勘探资料等）</w:t>
      </w:r>
      <w:r/>
    </w:p>
    <w:p>
      <w:pPr>
        <w:ind w:firstLine="482"/>
        <w:keepLines w:val="0"/>
        <w:keepNext w:val="0"/>
        <w:pageBreakBefore w:val="0"/>
        <w:spacing w:line="360" w:lineRule="auto"/>
        <w:rPr>
          <w:rFonts w:hint="eastAsia" w:ascii="宋体" w:hAnsi="宋体" w:cs="宋体"/>
          <w:b/>
          <w:bCs/>
          <w:color w:val="auto"/>
          <w:sz w:val="24"/>
          <w:highlight w:val="none"/>
        </w:rPr>
        <w:outlineLvl w:val="9"/>
      </w:pPr>
      <w:r>
        <w:rPr>
          <w:rFonts w:hint="eastAsia" w:ascii="宋体" w:hAnsi="宋体" w:cs="宋体"/>
          <w:b/>
          <w:bCs/>
          <w:color w:val="auto"/>
          <w:sz w:val="24"/>
          <w:highlight w:val="none"/>
        </w:rPr>
        <w:t xml:space="preserve">三、工程量清单</w:t>
      </w:r>
      <w:r/>
    </w:p>
    <w:p>
      <w:pPr>
        <w:pStyle w:val="1014"/>
        <w:ind w:firstLine="482"/>
        <w:keepLines w:val="0"/>
        <w:keepNext w:val="0"/>
        <w:pageBreakBefore w:val="0"/>
        <w:spacing w:after="0" w:line="360" w:lineRule="auto"/>
        <w:rPr>
          <w:rFonts w:hint="eastAsia" w:ascii="宋体" w:hAnsi="宋体" w:cs="宋体"/>
          <w:b/>
          <w:bCs/>
          <w:color w:val="auto"/>
          <w:sz w:val="24"/>
          <w:highlight w:val="none"/>
        </w:rPr>
        <w:outlineLvl w:val="9"/>
      </w:pPr>
      <w:r>
        <w:rPr>
          <w:rFonts w:hint="eastAsia" w:ascii="宋体" w:hAnsi="宋体" w:cs="宋体"/>
          <w:b/>
          <w:bCs/>
          <w:color w:val="auto"/>
          <w:sz w:val="24"/>
          <w:highlight w:val="none"/>
        </w:rPr>
        <w:t xml:space="preserve">1、工程量清单编制说明：</w:t>
      </w:r>
      <w:r/>
    </w:p>
    <w:p>
      <w:pPr>
        <w:pStyle w:val="1014"/>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1.1</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 xml:space="preserve">本工程量清单是依据现行国家标准《建设工程工程量清单计价规范》(GB50500-2013)及其9本计算规范(以下简称“计价规范”)、地方规定以及磋商文件中包括的图纸等编制。</w:t>
      </w:r>
      <w:r/>
    </w:p>
    <w:p>
      <w:pPr>
        <w:pStyle w:val="1014"/>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1.2 本工程量清单应与磋商文件中通用合同条款、专用合同条款、技术标准和要求等章节内容一起阅读和理解。</w:t>
      </w:r>
      <w:r/>
    </w:p>
    <w:p>
      <w:pPr>
        <w:pStyle w:val="1014"/>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1.3</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 xml:space="preserve">本工程量清单仅是</w:t>
      </w:r>
      <w:r>
        <w:rPr>
          <w:rFonts w:hint="eastAsia" w:ascii="宋体" w:hAnsi="宋体" w:cs="宋体"/>
          <w:color w:val="auto"/>
          <w:sz w:val="24"/>
          <w:highlight w:val="none"/>
          <w:lang w:eastAsia="zh-CN"/>
        </w:rPr>
        <w:t xml:space="preserve">报价</w:t>
      </w:r>
      <w:r>
        <w:rPr>
          <w:rFonts w:hint="eastAsia" w:ascii="宋体" w:hAnsi="宋体" w:cs="宋体"/>
          <w:color w:val="auto"/>
          <w:sz w:val="24"/>
          <w:highlight w:val="none"/>
        </w:rPr>
        <w:t xml:space="preserve">的共同基础，竣工结算的工程量按合同约定确定。合同价格的确定以及价款支付应遵循合同条款(包括通用合同条款和专用合同条款)、技术标准和要求以及本章的有关约定。</w:t>
      </w:r>
      <w:r/>
    </w:p>
    <w:p>
      <w:pPr>
        <w:pStyle w:val="1014"/>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1.4</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 xml:space="preserve">本条第1.1款中约定的计量和计价规则适用于合同履约过程中工程量计量与价款支付、工程变更、索赔和工程结算。</w:t>
      </w:r>
      <w:r/>
    </w:p>
    <w:p>
      <w:pPr>
        <w:pStyle w:val="1014"/>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1.5 本</w:t>
      </w:r>
      <w:r>
        <w:rPr>
          <w:rFonts w:hint="eastAsia" w:ascii="宋体" w:hAnsi="宋体" w:cs="宋体"/>
          <w:color w:val="auto"/>
          <w:sz w:val="24"/>
          <w:highlight w:val="none"/>
          <w:lang w:val="en-US" w:eastAsia="zh-CN"/>
        </w:rPr>
        <w:t xml:space="preserve">清单要求</w:t>
      </w:r>
      <w:r>
        <w:rPr>
          <w:rFonts w:hint="eastAsia" w:ascii="宋体" w:hAnsi="宋体" w:cs="宋体"/>
          <w:color w:val="auto"/>
          <w:sz w:val="24"/>
          <w:highlight w:val="none"/>
        </w:rPr>
        <w:t xml:space="preserve">是构成合同文件的已标价工程量清单的组成部分。</w:t>
      </w:r>
      <w:r/>
    </w:p>
    <w:p>
      <w:pPr>
        <w:pStyle w:val="1014"/>
        <w:ind w:firstLine="482"/>
        <w:keepLines w:val="0"/>
        <w:keepNext w:val="0"/>
        <w:pageBreakBefore w:val="0"/>
        <w:spacing w:after="0" w:line="360" w:lineRule="auto"/>
        <w:rPr>
          <w:rFonts w:hint="eastAsia" w:ascii="宋体" w:hAnsi="宋体" w:cs="宋体"/>
          <w:b/>
          <w:bCs/>
          <w:color w:val="auto"/>
          <w:sz w:val="24"/>
          <w:highlight w:val="none"/>
        </w:rPr>
        <w:outlineLvl w:val="9"/>
      </w:pPr>
      <w:r>
        <w:rPr>
          <w:rFonts w:hint="eastAsia" w:ascii="宋体" w:hAnsi="宋体" w:cs="宋体"/>
          <w:b/>
          <w:bCs/>
          <w:color w:val="auto"/>
          <w:sz w:val="24"/>
          <w:highlight w:val="none"/>
        </w:rPr>
        <w:t xml:space="preserve">2、响应报价编制要求</w:t>
      </w:r>
      <w:r/>
    </w:p>
    <w:p>
      <w:pPr>
        <w:pStyle w:val="1014"/>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2.1</w:t>
      </w:r>
      <w:r>
        <w:rPr>
          <w:rFonts w:hint="eastAsia" w:ascii="宋体" w:hAnsi="宋体" w:cs="宋体"/>
          <w:color w:val="auto"/>
          <w:sz w:val="24"/>
          <w:highlight w:val="none"/>
          <w:lang w:eastAsia="zh-CN"/>
        </w:rPr>
        <w:t xml:space="preserve">报价</w:t>
      </w:r>
      <w:r>
        <w:rPr>
          <w:rFonts w:hint="eastAsia" w:ascii="宋体" w:hAnsi="宋体" w:cs="宋体"/>
          <w:color w:val="auto"/>
          <w:sz w:val="24"/>
          <w:highlight w:val="none"/>
        </w:rPr>
        <w:t xml:space="preserve">应根据磋商文件中的有关计价要求，并按照下列依据自主报价，但不得低于成本。</w:t>
      </w:r>
      <w:r/>
    </w:p>
    <w:p>
      <w:pPr>
        <w:pStyle w:val="1014"/>
        <w:numPr>
          <w:ilvl w:val="0"/>
          <w:numId w:val="0"/>
        </w:numPr>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本磋商文件；</w:t>
      </w:r>
      <w:r/>
    </w:p>
    <w:p>
      <w:pPr>
        <w:pStyle w:val="1014"/>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《建设工程工程量清单计价规范》 (GB50500-2013) 及其9本计算规范；</w:t>
      </w:r>
      <w:r/>
    </w:p>
    <w:p>
      <w:pPr>
        <w:pStyle w:val="1014"/>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 国家或省级、行业建设主管部门颁发的计价办法；</w:t>
      </w:r>
      <w:r/>
    </w:p>
    <w:p>
      <w:pPr>
        <w:pStyle w:val="1014"/>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企业定额，国家或省级、行业建设主管部门颁发的计价定额；</w:t>
      </w:r>
      <w:r/>
    </w:p>
    <w:p>
      <w:pPr>
        <w:pStyle w:val="1014"/>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磋商文件、招标工程量清单及其补充通知、答疑纪要；</w:t>
      </w:r>
      <w:r/>
    </w:p>
    <w:p>
      <w:pPr>
        <w:pStyle w:val="1014"/>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建设工程设计文件及相关资料；</w:t>
      </w:r>
      <w:r/>
    </w:p>
    <w:p>
      <w:pPr>
        <w:pStyle w:val="1014"/>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施工现场情况、工程特点及拟定的施工组织设计或施工方案；</w:t>
      </w:r>
      <w:r/>
    </w:p>
    <w:p>
      <w:pPr>
        <w:pStyle w:val="1014"/>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8</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与建设项目相关的标准、规范等技术资料；</w:t>
      </w:r>
      <w:r/>
    </w:p>
    <w:p>
      <w:pPr>
        <w:pStyle w:val="1014"/>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市场价格信息或工程造价管理机构发布的工程造价信息；</w:t>
      </w:r>
      <w:r/>
    </w:p>
    <w:p>
      <w:pPr>
        <w:pStyle w:val="1014"/>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10</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其他的相关资料。</w:t>
      </w:r>
      <w:r/>
    </w:p>
    <w:p>
      <w:pPr>
        <w:pStyle w:val="1014"/>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2.2招标工程量清单与计价表中列明的所有需要填写单价和合价的项目，均应填写且只允许有一个报价。未填写单价和合价的项目，视为此项费用已包含在已标价工程量清单中其他项目的单价和合价之中。</w:t>
      </w:r>
      <w:r/>
    </w:p>
    <w:p>
      <w:pPr>
        <w:pStyle w:val="1014"/>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2.3工程量清单</w:t>
      </w:r>
      <w:r>
        <w:rPr>
          <w:rFonts w:hint="eastAsia" w:ascii="宋体" w:hAnsi="宋体" w:cs="宋体"/>
          <w:color w:val="auto"/>
          <w:sz w:val="24"/>
          <w:highlight w:val="none"/>
          <w:lang w:val="en-US" w:eastAsia="zh-CN"/>
        </w:rPr>
        <w:t xml:space="preserve">成交</w:t>
      </w:r>
      <w:r>
        <w:rPr>
          <w:rFonts w:hint="eastAsia" w:ascii="宋体" w:hAnsi="宋体" w:cs="宋体"/>
          <w:color w:val="auto"/>
          <w:sz w:val="24"/>
          <w:highlight w:val="none"/>
        </w:rPr>
        <w:t xml:space="preserve">价的单价或金额，应包括所需人工费、材料费、施工机具使用费、管理费和利润，以及一定范围内的风险费用。所谓“一定范围内的风险”是指合同约定的风险。</w:t>
      </w:r>
      <w:r/>
    </w:p>
    <w:p>
      <w:pPr>
        <w:pStyle w:val="1014"/>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2.4“</w:t>
      </w:r>
      <w:r>
        <w:rPr>
          <w:rFonts w:hint="eastAsia" w:ascii="宋体" w:hAnsi="宋体" w:cs="宋体"/>
          <w:color w:val="auto"/>
          <w:sz w:val="24"/>
          <w:highlight w:val="none"/>
          <w:lang w:eastAsia="zh-CN"/>
        </w:rPr>
        <w:t xml:space="preserve">报价</w:t>
      </w:r>
      <w:r>
        <w:rPr>
          <w:rFonts w:hint="eastAsia" w:ascii="宋体" w:hAnsi="宋体" w:cs="宋体"/>
          <w:color w:val="auto"/>
          <w:sz w:val="24"/>
          <w:highlight w:val="none"/>
        </w:rPr>
        <w:t xml:space="preserve">汇总表”中的总价由分部分项工程费、措施项目费、其他项目费、规费和税金组成，并且“</w:t>
      </w:r>
      <w:r>
        <w:rPr>
          <w:rFonts w:hint="eastAsia" w:ascii="宋体" w:hAnsi="宋体" w:cs="宋体"/>
          <w:color w:val="auto"/>
          <w:sz w:val="24"/>
          <w:highlight w:val="none"/>
          <w:lang w:eastAsia="zh-CN"/>
        </w:rPr>
        <w:t xml:space="preserve">报价</w:t>
      </w:r>
      <w:r>
        <w:rPr>
          <w:rFonts w:hint="eastAsia" w:ascii="宋体" w:hAnsi="宋体" w:cs="宋体"/>
          <w:color w:val="auto"/>
          <w:sz w:val="24"/>
          <w:highlight w:val="none"/>
        </w:rPr>
        <w:t xml:space="preserve">汇总表”中的总价应当与构成已标价工程量清单的分部分项工程费、措施项目费、其他项目费、规费、税金的合计金额一致。</w:t>
      </w:r>
      <w:r/>
    </w:p>
    <w:p>
      <w:pPr>
        <w:pStyle w:val="1014"/>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2.5 分部分项工程和措施项目中的单价项目按下列要求报价：</w:t>
      </w:r>
      <w:r/>
    </w:p>
    <w:p>
      <w:pPr>
        <w:pStyle w:val="1014"/>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2.5.1分部分项工程和措施项目中的单价项目，应根据磋商文件和招标工程量清单确定综合单价。</w:t>
      </w:r>
      <w:r/>
    </w:p>
    <w:p>
      <w:pPr>
        <w:pStyle w:val="1014"/>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2.5.2如果分部分项工程量清单中涉及“发包人供应材料和工程设备一览表”中列出的材料和工程设备，则该类材料和工程设备供应至现场指定位置的采购供应价（含材料保管费）应计入对应的工程量清单综合单价。</w:t>
      </w:r>
      <w:r/>
    </w:p>
    <w:p>
      <w:pPr>
        <w:pStyle w:val="1014"/>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2.5.3“分部分项工程和单价措施项目清单与计价表”所列各项目的综合单价组成中，各项目的人工、材料和机械台班消耗量、管理费费率、利润费率由供应商按照其自身情况做充分的、竞争性考虑。</w:t>
      </w:r>
      <w:r/>
    </w:p>
    <w:p>
      <w:pPr>
        <w:pStyle w:val="1014"/>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2.5.4</w:t>
      </w:r>
      <w:r>
        <w:rPr>
          <w:rFonts w:hint="eastAsia" w:ascii="宋体" w:hAnsi="宋体" w:cs="宋体"/>
          <w:color w:val="auto"/>
          <w:sz w:val="24"/>
          <w:highlight w:val="none"/>
          <w:lang w:eastAsia="zh-CN"/>
        </w:rPr>
        <w:t xml:space="preserve">供应商</w:t>
      </w:r>
      <w:r>
        <w:rPr>
          <w:rFonts w:hint="eastAsia" w:ascii="宋体" w:hAnsi="宋体" w:cs="宋体"/>
          <w:color w:val="auto"/>
          <w:sz w:val="24"/>
          <w:highlight w:val="none"/>
        </w:rPr>
        <w:t xml:space="preserve">在响应文件中提交并构成合同文件的“承包人供应主要材料和工程设备一览表”中所列的材料和工程设备的价格是指此类材料和工程设备到达施工现场指定堆放地点的落地价格，即包括采购、包装、运输、装卸、堆放、现场保管等全部费用。“承包人供应主要材料和工程设备一览表”中所列材料和工程设备的价格应与构成综合单价相应材料或工程设备的价格一致。响应文件中的“发包人供应材料和工程设备一览表”中的甲供材料的名称、规格、单价、交货方式、交货地点等必须与招标工程量清单一致。</w:t>
      </w:r>
      <w:r/>
    </w:p>
    <w:p>
      <w:pPr>
        <w:pStyle w:val="1014"/>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2.6</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 xml:space="preserve">措施项目中的总价项目按下列要求报价：</w:t>
      </w:r>
      <w:r/>
    </w:p>
    <w:p>
      <w:pPr>
        <w:pStyle w:val="1014"/>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2.6.1 总价措施项目中，以费率计算的，</w:t>
      </w:r>
      <w:r>
        <w:rPr>
          <w:rFonts w:hint="eastAsia" w:ascii="宋体" w:hAnsi="宋体" w:cs="宋体"/>
          <w:color w:val="auto"/>
          <w:sz w:val="24"/>
          <w:highlight w:val="none"/>
          <w:lang w:val="en-US" w:eastAsia="zh-CN"/>
        </w:rPr>
        <w:t xml:space="preserve">供应商</w:t>
      </w:r>
      <w:r>
        <w:rPr>
          <w:rFonts w:hint="eastAsia" w:ascii="宋体" w:hAnsi="宋体" w:cs="宋体"/>
          <w:color w:val="auto"/>
          <w:sz w:val="24"/>
          <w:highlight w:val="none"/>
        </w:rPr>
        <w:t xml:space="preserve">在</w:t>
      </w:r>
      <w:r>
        <w:rPr>
          <w:rFonts w:hint="eastAsia" w:ascii="宋体" w:hAnsi="宋体" w:cs="宋体"/>
          <w:color w:val="auto"/>
          <w:sz w:val="24"/>
          <w:highlight w:val="none"/>
          <w:lang w:eastAsia="zh-CN"/>
        </w:rPr>
        <w:t xml:space="preserve">报价</w:t>
      </w:r>
      <w:r>
        <w:rPr>
          <w:rFonts w:hint="eastAsia" w:ascii="宋体" w:hAnsi="宋体" w:cs="宋体"/>
          <w:color w:val="auto"/>
          <w:sz w:val="24"/>
          <w:highlight w:val="none"/>
        </w:rPr>
        <w:t xml:space="preserve">时自主报价。</w:t>
      </w:r>
      <w:r/>
    </w:p>
    <w:p>
      <w:pPr>
        <w:pStyle w:val="1014"/>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2.6.2</w:t>
      </w:r>
      <w:r>
        <w:rPr>
          <w:rFonts w:hint="eastAsia" w:ascii="宋体" w:hAnsi="宋体" w:cs="宋体"/>
          <w:color w:val="auto"/>
          <w:sz w:val="24"/>
          <w:highlight w:val="none"/>
        </w:rPr>
        <w:t xml:space="preserve">措施项目清单中的安全文明施工费应按国家、省级或行业建设主管部门的规定计价，不得作为竞争性费用。</w:t>
      </w:r>
      <w:r/>
    </w:p>
    <w:p>
      <w:pPr>
        <w:pStyle w:val="1014"/>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2.6.3采购人提供的措施项目清单，供应商在报价时应充分、全面地阅读和理解磋商文件的相关内容和约定，包括“技术规范”的相关约定，详实了解工程场地及其周围环境，充分考虑工程特点及拟定的施工方案和施工组织设计，</w:t>
      </w:r>
      <w:r>
        <w:rPr>
          <w:rFonts w:hint="eastAsia" w:ascii="宋体" w:hAnsi="宋体" w:cs="宋体"/>
          <w:color w:val="auto"/>
          <w:sz w:val="24"/>
          <w:highlight w:val="none"/>
          <w:lang w:eastAsia="zh-CN"/>
        </w:rPr>
        <w:t xml:space="preserve">供应商</w:t>
      </w:r>
      <w:r>
        <w:rPr>
          <w:rFonts w:hint="eastAsia" w:ascii="宋体" w:hAnsi="宋体" w:cs="宋体"/>
          <w:color w:val="auto"/>
          <w:sz w:val="24"/>
          <w:highlight w:val="none"/>
        </w:rPr>
        <w:t xml:space="preserve">可根据工程实际与施工组织设计增补总价措施项目，但不应更改采购人已列措施项目。</w:t>
      </w:r>
      <w:r/>
    </w:p>
    <w:p>
      <w:pPr>
        <w:pStyle w:val="1014"/>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2.6.4“总价措施项目清单与计价表”中所填写的报价金额，应全面涵盖磋商文件约定的</w:t>
      </w:r>
      <w:r>
        <w:rPr>
          <w:rFonts w:hint="eastAsia" w:ascii="宋体" w:hAnsi="宋体" w:cs="宋体"/>
          <w:color w:val="auto"/>
          <w:sz w:val="24"/>
          <w:highlight w:val="none"/>
          <w:lang w:eastAsia="zh-CN"/>
        </w:rPr>
        <w:t xml:space="preserve">供应商</w:t>
      </w:r>
      <w:r>
        <w:rPr>
          <w:rFonts w:hint="eastAsia" w:ascii="宋体" w:hAnsi="宋体" w:cs="宋体"/>
          <w:color w:val="auto"/>
          <w:sz w:val="24"/>
          <w:highlight w:val="none"/>
        </w:rPr>
        <w:t xml:space="preserve">中标后施工、竣工、交付本工程并维修其任何缺陷所需要履行的责任和义务的全部费用。</w:t>
      </w:r>
      <w:r/>
    </w:p>
    <w:p>
      <w:pPr>
        <w:pStyle w:val="1014"/>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2.7其他项目清单费应按下列规定报价：</w:t>
      </w:r>
      <w:r/>
    </w:p>
    <w:p>
      <w:pPr>
        <w:pStyle w:val="1014"/>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2.7.1计日工按“计日工表”中列出的项目和估算数量，自主确定综合单价并计算计日工金额。</w:t>
      </w:r>
      <w:r/>
    </w:p>
    <w:p>
      <w:pPr>
        <w:pStyle w:val="1014"/>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2.8规费和税金应按“规费、税金项目计价表”所列项目并根据国家、省级或行业建设主管部门的有关规定列项和计算，不得作为竞争性费用。</w:t>
      </w:r>
      <w:r/>
    </w:p>
    <w:p>
      <w:pPr>
        <w:pStyle w:val="1014"/>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2.9除磋商文件有强制性规定以及不可竞争部分以外，</w:t>
      </w:r>
      <w:r>
        <w:rPr>
          <w:rFonts w:hint="eastAsia" w:ascii="宋体" w:hAnsi="宋体" w:cs="宋体"/>
          <w:color w:val="auto"/>
          <w:sz w:val="24"/>
          <w:highlight w:val="none"/>
          <w:lang w:eastAsia="zh-CN"/>
        </w:rPr>
        <w:t xml:space="preserve">报价</w:t>
      </w:r>
      <w:r>
        <w:rPr>
          <w:rFonts w:hint="eastAsia" w:ascii="宋体" w:hAnsi="宋体" w:cs="宋体"/>
          <w:color w:val="auto"/>
          <w:sz w:val="24"/>
          <w:highlight w:val="none"/>
        </w:rPr>
        <w:t xml:space="preserve">由</w:t>
      </w:r>
      <w:r>
        <w:rPr>
          <w:rFonts w:hint="eastAsia" w:ascii="宋体" w:hAnsi="宋体" w:cs="宋体"/>
          <w:color w:val="auto"/>
          <w:sz w:val="24"/>
          <w:highlight w:val="none"/>
          <w:lang w:eastAsia="zh-CN"/>
        </w:rPr>
        <w:t xml:space="preserve">供应商</w:t>
      </w:r>
      <w:r>
        <w:rPr>
          <w:rFonts w:hint="eastAsia" w:ascii="宋体" w:hAnsi="宋体" w:cs="宋体"/>
          <w:color w:val="auto"/>
          <w:sz w:val="24"/>
          <w:highlight w:val="none"/>
        </w:rPr>
        <w:t xml:space="preserve">自主确定，但不得低于成本。</w:t>
      </w:r>
      <w:r/>
    </w:p>
    <w:p>
      <w:pPr>
        <w:pStyle w:val="1014"/>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2.10工程量清单计价所涉及的生产资源(包括各类人工、材料、工程设备、施工设备、临时设施、临时用水、临时用电等)的价格，应根据自身的信息渠道和采购渠道，分析其市场价格水平并判断其整个施工周期内的变化趋势，体现</w:t>
      </w:r>
      <w:r>
        <w:rPr>
          <w:rFonts w:hint="eastAsia" w:ascii="宋体" w:hAnsi="宋体" w:cs="宋体"/>
          <w:color w:val="auto"/>
          <w:sz w:val="24"/>
          <w:highlight w:val="none"/>
          <w:lang w:eastAsia="zh-CN"/>
        </w:rPr>
        <w:t xml:space="preserve">供应商</w:t>
      </w:r>
      <w:r>
        <w:rPr>
          <w:rFonts w:hint="eastAsia" w:ascii="宋体" w:hAnsi="宋体" w:cs="宋体"/>
          <w:color w:val="auto"/>
          <w:sz w:val="24"/>
          <w:highlight w:val="none"/>
        </w:rPr>
        <w:t xml:space="preserve">自身的管理水平、技术水平和综合实力。</w:t>
      </w:r>
      <w:r/>
    </w:p>
    <w:p>
      <w:pPr>
        <w:pStyle w:val="1014"/>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2.11 管理费应由供应商在保证不低于其成本的基础上做竞争性考虑；利润由</w:t>
      </w:r>
      <w:r>
        <w:rPr>
          <w:rFonts w:hint="eastAsia" w:ascii="宋体" w:hAnsi="宋体" w:cs="宋体"/>
          <w:color w:val="auto"/>
          <w:sz w:val="24"/>
          <w:highlight w:val="none"/>
          <w:lang w:eastAsia="zh-CN"/>
        </w:rPr>
        <w:t xml:space="preserve">供应商</w:t>
      </w:r>
      <w:r>
        <w:rPr>
          <w:rFonts w:hint="eastAsia" w:ascii="宋体" w:hAnsi="宋体" w:cs="宋体"/>
          <w:color w:val="auto"/>
          <w:sz w:val="24"/>
          <w:highlight w:val="none"/>
        </w:rPr>
        <w:t xml:space="preserve">根据自身情况和综合实力做竞争性考虑。</w:t>
      </w:r>
      <w:r/>
    </w:p>
    <w:p>
      <w:pPr>
        <w:pStyle w:val="1014"/>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2.12 响应报价中应考虑磋商文件中要求</w:t>
      </w:r>
      <w:r>
        <w:rPr>
          <w:rFonts w:hint="eastAsia" w:ascii="宋体" w:hAnsi="宋体" w:cs="宋体"/>
          <w:color w:val="auto"/>
          <w:sz w:val="24"/>
          <w:highlight w:val="none"/>
          <w:lang w:eastAsia="zh-CN"/>
        </w:rPr>
        <w:t xml:space="preserve">供应商</w:t>
      </w:r>
      <w:r>
        <w:rPr>
          <w:rFonts w:hint="eastAsia" w:ascii="宋体" w:hAnsi="宋体" w:cs="宋体"/>
          <w:color w:val="auto"/>
          <w:sz w:val="24"/>
          <w:highlight w:val="none"/>
        </w:rPr>
        <w:t xml:space="preserve">承担的风险范围以及相关的费用。</w:t>
      </w:r>
      <w:r/>
    </w:p>
    <w:p>
      <w:pPr>
        <w:pStyle w:val="1014"/>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2.13 总价为</w:t>
      </w:r>
      <w:r>
        <w:rPr>
          <w:rFonts w:hint="eastAsia" w:ascii="宋体" w:hAnsi="宋体" w:cs="宋体"/>
          <w:color w:val="auto"/>
          <w:sz w:val="24"/>
          <w:highlight w:val="none"/>
          <w:lang w:eastAsia="zh-CN"/>
        </w:rPr>
        <w:t xml:space="preserve">供应商</w:t>
      </w:r>
      <w:r>
        <w:rPr>
          <w:rFonts w:hint="eastAsia" w:ascii="宋体" w:hAnsi="宋体" w:cs="宋体"/>
          <w:color w:val="auto"/>
          <w:sz w:val="24"/>
          <w:highlight w:val="none"/>
        </w:rPr>
        <w:t xml:space="preserve">在响应文件中提出的各项支付金额的总和，为实施、完成招标工程并修补缺陷以及履行磋商文件中约定的风险范围内的所有责任和义务所发生的全部费用。</w:t>
      </w:r>
      <w:r/>
    </w:p>
    <w:p>
      <w:pPr>
        <w:pStyle w:val="1014"/>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2.14 有关报价的其他要求： 执行《省住房城乡建设厅关于调整建设工程按质论价等费用计取方法的公告》（江苏省住房和城乡建设厅〔2018〕第24号）规定。</w:t>
      </w:r>
      <w:r/>
    </w:p>
    <w:p>
      <w:pPr>
        <w:pStyle w:val="1014"/>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lang w:val="en-US" w:eastAsia="zh-CN"/>
        </w:rPr>
        <w:t xml:space="preserve">2.15</w:t>
      </w:r>
      <w:r>
        <w:rPr>
          <w:rFonts w:hint="eastAsia" w:ascii="宋体" w:hAnsi="宋体" w:cs="宋体"/>
          <w:color w:val="auto"/>
          <w:sz w:val="24"/>
          <w:highlight w:val="none"/>
        </w:rPr>
        <w:t xml:space="preserve">检验试验费：因本工程需要所做的全部检验、试验及检测相关费用，由</w:t>
      </w:r>
      <w:r>
        <w:rPr>
          <w:rFonts w:hint="eastAsia" w:ascii="宋体" w:hAnsi="宋体" w:cs="宋体"/>
          <w:color w:val="auto"/>
          <w:sz w:val="24"/>
          <w:highlight w:val="none"/>
          <w:lang w:eastAsia="zh-CN"/>
        </w:rPr>
        <w:t xml:space="preserve">供应商</w:t>
      </w:r>
      <w:r>
        <w:rPr>
          <w:rFonts w:hint="eastAsia" w:ascii="宋体" w:hAnsi="宋体" w:cs="宋体"/>
          <w:color w:val="auto"/>
          <w:sz w:val="24"/>
          <w:highlight w:val="none"/>
        </w:rPr>
        <w:t xml:space="preserve">自行考虑风险并计入报价中，结算时不予调整。</w:t>
      </w:r>
      <w:r/>
    </w:p>
    <w:p>
      <w:pPr>
        <w:pStyle w:val="1014"/>
        <w:ind w:firstLine="482"/>
        <w:keepLines w:val="0"/>
        <w:keepNext w:val="0"/>
        <w:pageBreakBefore w:val="0"/>
        <w:spacing w:after="0" w:line="360" w:lineRule="auto"/>
        <w:rPr>
          <w:rFonts w:hint="eastAsia" w:ascii="宋体" w:hAnsi="宋体" w:cs="宋体"/>
          <w:b/>
          <w:bCs/>
          <w:color w:val="auto"/>
          <w:sz w:val="24"/>
          <w:highlight w:val="none"/>
        </w:rPr>
        <w:outlineLvl w:val="9"/>
      </w:pPr>
      <w:r>
        <w:rPr>
          <w:rFonts w:hint="eastAsia" w:ascii="宋体" w:hAnsi="宋体" w:cs="宋体"/>
          <w:b/>
          <w:bCs/>
          <w:color w:val="auto"/>
          <w:sz w:val="24"/>
          <w:highlight w:val="none"/>
        </w:rPr>
        <w:t xml:space="preserve">3、其他说明</w:t>
      </w:r>
      <w:r/>
    </w:p>
    <w:p>
      <w:pPr>
        <w:pStyle w:val="1014"/>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3.1词语和定义</w:t>
      </w:r>
      <w:r/>
    </w:p>
    <w:p>
      <w:pPr>
        <w:pStyle w:val="1014"/>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3.1.1 同义词语</w:t>
      </w:r>
      <w:r/>
    </w:p>
    <w:p>
      <w:pPr>
        <w:pStyle w:val="1014"/>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本磋商文件中使用的词语“采购人（招标人）”和“</w:t>
      </w:r>
      <w:r>
        <w:rPr>
          <w:rFonts w:hint="eastAsia" w:ascii="宋体" w:hAnsi="宋体" w:cs="宋体"/>
          <w:color w:val="auto"/>
          <w:sz w:val="24"/>
          <w:highlight w:val="none"/>
          <w:lang w:eastAsia="zh-CN"/>
        </w:rPr>
        <w:t xml:space="preserve">供应商</w:t>
      </w:r>
      <w:r>
        <w:rPr>
          <w:rFonts w:hint="eastAsia" w:ascii="宋体" w:hAnsi="宋体" w:cs="宋体"/>
          <w:color w:val="auto"/>
          <w:sz w:val="24"/>
          <w:highlight w:val="none"/>
        </w:rPr>
        <w:t xml:space="preserve">”分别与合同条款中定义的“发包人”和“承包人”同义。</w:t>
      </w:r>
      <w:r/>
    </w:p>
    <w:p>
      <w:pPr>
        <w:pStyle w:val="1014"/>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3.2 工程量差异调整</w:t>
      </w:r>
      <w:r/>
    </w:p>
    <w:p>
      <w:pPr>
        <w:pStyle w:val="1014"/>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3.2.1 工程量清单中的项目列项、特征描述、工作内容以及“分部分项工程和单价措施项目清单与计价表”中附带的工程量都不应理解为是对承包(招标)范围以及合同工作内容的唯一的、最终的或全部的定义。</w:t>
      </w:r>
      <w:r/>
    </w:p>
    <w:p>
      <w:pPr>
        <w:pStyle w:val="1014"/>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3.2.2 供应商可对采购人提供的工程量清单进行复核。这种复核包括对采购人提供的工程量清单中的项目编码、项目名称、项目特征描述、计量单位、工程量的准确性以及可能存在的任何书</w:t>
      </w:r>
      <w:r>
        <w:rPr>
          <w:rFonts w:hint="eastAsia" w:ascii="宋体" w:hAnsi="宋体" w:cs="宋体"/>
          <w:color w:val="auto"/>
          <w:sz w:val="24"/>
          <w:highlight w:val="none"/>
        </w:rPr>
        <w:t xml:space="preserve">写、打印错误进行检查和复核，也包括对“分部分项工程和单价措施项目清单与计价表”中每个工作项目的工程量进行重新计算和校核。如果供应商经过检查和复核以后认为采购人提供的工程量清单存在差异，则供应商按磋商文件规定的程序向采购人提出异议。否则，不得改变(包括对工程量清单项目的项目名称、项目特征描述、计量单位以及工程量的任何修改、增加或减少)采购人提供的分部分项工程量清单和其他项目清单。即使按照图纸和招标范围的约定并不存在的项目，只要在采购人提供的分部分项工程量清单中已经列明，供应商都需要对其报价，并纳入总价的计算。</w:t>
      </w:r>
      <w:r/>
    </w:p>
    <w:p>
      <w:pPr>
        <w:pStyle w:val="1014"/>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3.</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清单编制范围：详见工程量清单</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另附</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w:t>
      </w:r>
      <w:r/>
    </w:p>
    <w:p>
      <w:pPr>
        <w:pStyle w:val="1014"/>
        <w:ind w:firstLine="482"/>
        <w:keepLines w:val="0"/>
        <w:keepNext w:val="0"/>
        <w:pageBreakBefore w:val="0"/>
        <w:spacing w:after="0" w:line="360" w:lineRule="auto"/>
        <w:rPr>
          <w:rFonts w:hint="eastAsia" w:ascii="宋体" w:hAnsi="宋体" w:cs="宋体"/>
          <w:b/>
          <w:bCs/>
          <w:color w:val="auto"/>
          <w:sz w:val="24"/>
          <w:highlight w:val="none"/>
        </w:rPr>
        <w:outlineLvl w:val="9"/>
      </w:pPr>
      <w:r>
        <w:rPr>
          <w:rFonts w:hint="eastAsia" w:ascii="宋体" w:hAnsi="宋体" w:cs="宋体"/>
          <w:b/>
          <w:bCs/>
          <w:color w:val="auto"/>
          <w:sz w:val="24"/>
          <w:highlight w:val="none"/>
        </w:rPr>
        <w:t xml:space="preserve">3.</w:t>
      </w:r>
      <w:r>
        <w:rPr>
          <w:rFonts w:hint="eastAsia" w:ascii="宋体" w:hAnsi="宋体" w:cs="宋体"/>
          <w:b/>
          <w:bCs/>
          <w:color w:val="auto"/>
          <w:sz w:val="24"/>
          <w:highlight w:val="none"/>
          <w:lang w:val="en-US" w:eastAsia="zh-CN"/>
        </w:rPr>
        <w:t xml:space="preserve">4</w:t>
      </w:r>
      <w:r>
        <w:rPr>
          <w:rFonts w:hint="eastAsia" w:ascii="宋体" w:hAnsi="宋体" w:cs="宋体"/>
          <w:b/>
          <w:bCs/>
          <w:color w:val="auto"/>
          <w:sz w:val="24"/>
          <w:highlight w:val="none"/>
        </w:rPr>
        <w:t xml:space="preserve">编制依据</w:t>
      </w:r>
      <w:r/>
    </w:p>
    <w:p>
      <w:pPr>
        <w:pStyle w:val="1014"/>
        <w:ind w:firstLine="480"/>
        <w:jc w:val="left"/>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3.</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.1本工程清单执行现行国家标准《建设工程工程量清单计价规范》（GB50500－2013）、《市政工程工程量计算规范》（GB50857-2013）</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《房屋建筑与装饰工程工程量计算规范</w:t>
      </w:r>
      <w:r>
        <w:rPr>
          <w:rFonts w:hint="eastAsia" w:ascii="宋体" w:hAnsi="宋体" w:cs="宋体"/>
          <w:color w:val="auto"/>
          <w:sz w:val="24"/>
          <w:highlight w:val="none"/>
        </w:rPr>
        <w:t xml:space="preserve">》（GB50854-2013）、《通用安装工程工程量计算规范》（GB50857-2013），定额依据《江苏省建筑与装饰工程计价定额》（2014版）、《江苏省安装工程计价定额》（2014版），取费依据《江苏省建设工程费用定额》（2014版）、营改增苏建价〔2016〕154配套文件、《省住房城乡建设厅关于调整建设工程按质论价等费用计取方法的公告》（江苏省住房和城乡建设厅〔2018〕第24号）、《省住房城乡建设厅关于建筑工人实名制费用计取方法的公告》（[2019]第19号文）及有关文件规定，采购人提供的设计图纸。</w:t>
      </w:r>
      <w:r/>
    </w:p>
    <w:p>
      <w:pPr>
        <w:pStyle w:val="1014"/>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不可竞争费用：执行《江苏省建设工程费用定额》（2014）（营改增后调整内容）的各项要求，该项费用按《江苏省建设工程费用定额》（2014）（营改增后调整内容）、《省住房城乡建设厅关于建筑业实施营改增后江苏省建设工程计价依据调整的通知》（苏建价[2016]154号文）文件规定计算。（不可竞争费包括：安全文明施工措施费、扬尘污染防治增加费、社会保险费、住房公积金、税金）。</w:t>
      </w:r>
      <w:r/>
    </w:p>
    <w:p>
      <w:pPr>
        <w:pStyle w:val="1014"/>
        <w:ind w:firstLine="482"/>
        <w:keepLines w:val="0"/>
        <w:keepNext w:val="0"/>
        <w:pageBreakBefore w:val="0"/>
        <w:spacing w:after="0" w:line="360" w:lineRule="auto"/>
        <w:rPr>
          <w:rFonts w:hint="eastAsia" w:ascii="宋体" w:hAnsi="宋体" w:cs="宋体"/>
          <w:b/>
          <w:bCs/>
          <w:color w:val="auto"/>
          <w:sz w:val="24"/>
          <w:highlight w:val="none"/>
        </w:rPr>
        <w:outlineLvl w:val="9"/>
      </w:pPr>
      <w:r>
        <w:rPr>
          <w:rFonts w:hint="eastAsia" w:ascii="宋体" w:hAnsi="宋体" w:cs="宋体"/>
          <w:b/>
          <w:bCs/>
          <w:color w:val="auto"/>
          <w:sz w:val="24"/>
          <w:highlight w:val="none"/>
        </w:rPr>
        <w:t xml:space="preserve">3.</w:t>
      </w:r>
      <w:r>
        <w:rPr>
          <w:rFonts w:hint="eastAsia" w:ascii="宋体" w:hAnsi="宋体" w:cs="宋体"/>
          <w:b/>
          <w:bCs/>
          <w:color w:val="auto"/>
          <w:sz w:val="24"/>
          <w:highlight w:val="none"/>
          <w:lang w:val="en-US" w:eastAsia="zh-CN"/>
        </w:rPr>
        <w:t xml:space="preserve">4</w:t>
      </w:r>
      <w:r>
        <w:rPr>
          <w:rFonts w:hint="eastAsia" w:ascii="宋体" w:hAnsi="宋体" w:cs="宋体"/>
          <w:b/>
          <w:bCs/>
          <w:color w:val="auto"/>
          <w:sz w:val="24"/>
          <w:highlight w:val="none"/>
        </w:rPr>
        <w:t xml:space="preserve">.2 人工工日单价执行苏建函价〔</w:t>
      </w:r>
      <w:r>
        <w:rPr>
          <w:rFonts w:hint="eastAsia" w:ascii="宋体" w:hAnsi="宋体" w:cs="宋体"/>
          <w:b/>
          <w:bCs/>
          <w:color w:val="auto"/>
          <w:sz w:val="24"/>
          <w:highlight w:val="none"/>
          <w:lang w:eastAsia="zh-CN"/>
        </w:rPr>
        <w:t xml:space="preserve">20</w:t>
      </w:r>
      <w:r>
        <w:rPr>
          <w:rFonts w:hint="eastAsia" w:ascii="宋体" w:hAnsi="宋体" w:cs="宋体"/>
          <w:b/>
          <w:bCs/>
          <w:color w:val="auto"/>
          <w:sz w:val="24"/>
          <w:highlight w:val="none"/>
          <w:lang w:val="en-US" w:eastAsia="zh-CN"/>
        </w:rPr>
        <w:t xml:space="preserve">25</w:t>
      </w:r>
      <w:r>
        <w:rPr>
          <w:rFonts w:hint="eastAsia" w:ascii="宋体" w:hAnsi="宋体" w:cs="宋体"/>
          <w:b/>
          <w:bCs/>
          <w:color w:val="auto"/>
          <w:sz w:val="24"/>
          <w:highlight w:val="none"/>
        </w:rPr>
        <w:t xml:space="preserve">〕</w:t>
      </w:r>
      <w:r>
        <w:rPr>
          <w:rFonts w:hint="eastAsia" w:ascii="宋体" w:hAnsi="宋体" w:cs="宋体"/>
          <w:b/>
          <w:bCs/>
          <w:color w:val="auto"/>
          <w:sz w:val="24"/>
          <w:highlight w:val="none"/>
          <w:lang w:val="en-US" w:eastAsia="zh-CN"/>
        </w:rPr>
        <w:t xml:space="preserve">273</w:t>
      </w:r>
      <w:r>
        <w:rPr>
          <w:rFonts w:hint="eastAsia" w:ascii="宋体" w:hAnsi="宋体" w:cs="宋体"/>
          <w:b/>
          <w:bCs/>
          <w:color w:val="auto"/>
          <w:sz w:val="24"/>
          <w:highlight w:val="none"/>
        </w:rPr>
        <w:t xml:space="preserve">号文件。</w:t>
      </w:r>
      <w:r/>
    </w:p>
    <w:p>
      <w:pPr>
        <w:pStyle w:val="1014"/>
        <w:ind w:firstLine="482"/>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b/>
          <w:bCs/>
          <w:color w:val="auto"/>
          <w:sz w:val="24"/>
          <w:highlight w:val="none"/>
        </w:rPr>
        <w:t xml:space="preserve">3.</w:t>
      </w:r>
      <w:r>
        <w:rPr>
          <w:rFonts w:hint="eastAsia" w:ascii="宋体" w:hAnsi="宋体" w:cs="宋体"/>
          <w:b/>
          <w:bCs/>
          <w:color w:val="auto"/>
          <w:sz w:val="24"/>
          <w:highlight w:val="none"/>
          <w:lang w:val="en-US" w:eastAsia="zh-CN"/>
        </w:rPr>
        <w:t xml:space="preserve">4</w:t>
      </w:r>
      <w:r>
        <w:rPr>
          <w:rFonts w:hint="eastAsia" w:ascii="宋体" w:hAnsi="宋体" w:cs="宋体"/>
          <w:b/>
          <w:bCs/>
          <w:color w:val="auto"/>
          <w:sz w:val="24"/>
          <w:highlight w:val="none"/>
        </w:rPr>
        <w:t xml:space="preserve">.3 招标控制价编制材料价格参考</w:t>
      </w:r>
      <w:r>
        <w:rPr>
          <w:rFonts w:hint="eastAsia" w:ascii="宋体" w:hAnsi="宋体" w:cs="宋体"/>
          <w:b/>
          <w:bCs/>
          <w:color w:val="auto"/>
          <w:sz w:val="24"/>
          <w:highlight w:val="none"/>
          <w:lang w:eastAsia="zh-CN"/>
        </w:rPr>
        <w:t xml:space="preserve">202</w:t>
      </w:r>
      <w:r>
        <w:rPr>
          <w:rFonts w:hint="eastAsia" w:ascii="宋体" w:hAnsi="宋体" w:cs="宋体"/>
          <w:b/>
          <w:bCs/>
          <w:color w:val="auto"/>
          <w:sz w:val="24"/>
          <w:highlight w:val="none"/>
          <w:lang w:val="en-US" w:eastAsia="zh-CN"/>
        </w:rPr>
        <w:t xml:space="preserve">5</w:t>
      </w:r>
      <w:r>
        <w:rPr>
          <w:rFonts w:hint="eastAsia" w:ascii="宋体" w:hAnsi="宋体" w:cs="宋体"/>
          <w:b/>
          <w:bCs/>
          <w:color w:val="auto"/>
          <w:sz w:val="24"/>
          <w:highlight w:val="none"/>
        </w:rPr>
        <w:t xml:space="preserve">年第</w:t>
      </w:r>
      <w:r>
        <w:rPr>
          <w:rFonts w:hint="eastAsia" w:ascii="宋体" w:hAnsi="宋体" w:cs="宋体"/>
          <w:b/>
          <w:bCs/>
          <w:color w:val="auto"/>
          <w:sz w:val="24"/>
          <w:highlight w:val="none"/>
          <w:lang w:val="en-US" w:eastAsia="zh-CN"/>
        </w:rPr>
        <w:t xml:space="preserve">12</w:t>
      </w:r>
      <w:r>
        <w:rPr>
          <w:rFonts w:hint="eastAsia" w:ascii="宋体" w:hAnsi="宋体" w:cs="宋体"/>
          <w:b/>
          <w:bCs/>
          <w:color w:val="auto"/>
          <w:sz w:val="24"/>
          <w:highlight w:val="none"/>
        </w:rPr>
        <w:t xml:space="preserve">期</w:t>
      </w:r>
      <w:r>
        <w:rPr>
          <w:rFonts w:hint="eastAsia" w:ascii="宋体" w:hAnsi="宋体" w:cs="宋体"/>
          <w:color w:val="auto"/>
          <w:sz w:val="24"/>
          <w:highlight w:val="none"/>
        </w:rPr>
        <w:t xml:space="preserve">《徐州工程造价信息》中的指导价，指导价没有的材料参照市场材料参考价。供应商的材料价格根据市场行情自主报价。</w:t>
      </w:r>
      <w:r/>
    </w:p>
    <w:p>
      <w:pPr>
        <w:pStyle w:val="1014"/>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3.</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.4 安全文明施工总价措施费只计算安全文明施工基本费，根据江苏省城乡建设厅〔2018〕第24号文增列扬尘污染防治增加费。</w:t>
      </w:r>
      <w:r/>
    </w:p>
    <w:p>
      <w:pPr>
        <w:pStyle w:val="1014"/>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3.</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.5 规费计算社会保障费和住房公积金。</w:t>
      </w:r>
      <w:r/>
    </w:p>
    <w:p>
      <w:pPr>
        <w:pStyle w:val="1014"/>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3.</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.6 税金按增值税一般计税法执行苏建函价〔2019〕178号文按9%计算。</w:t>
      </w:r>
      <w:r/>
    </w:p>
    <w:p>
      <w:pPr>
        <w:pStyle w:val="1014"/>
        <w:ind w:firstLine="480"/>
        <w:keepLines w:val="0"/>
        <w:keepNext w:val="0"/>
        <w:pageBreakBefore w:val="0"/>
        <w:spacing w:after="0" w:line="360" w:lineRule="auto"/>
        <w:rPr>
          <w:rFonts w:hint="eastAsia" w:ascii="宋体" w:hAnsi="宋体" w:cs="宋体"/>
          <w:b w:val="0"/>
          <w:bCs w:val="0"/>
          <w:color w:val="auto"/>
          <w:sz w:val="24"/>
          <w:highlight w:val="none"/>
        </w:rPr>
        <w:outlineLvl w:val="9"/>
      </w:pPr>
      <w:r>
        <w:rPr>
          <w:rFonts w:hint="eastAsia" w:ascii="宋体" w:hAnsi="宋体" w:cs="宋体"/>
          <w:b w:val="0"/>
          <w:bCs w:val="0"/>
          <w:color w:val="auto"/>
          <w:sz w:val="24"/>
          <w:highlight w:val="none"/>
        </w:rPr>
        <w:t xml:space="preserve">3.</w:t>
      </w:r>
      <w:r>
        <w:rPr>
          <w:rFonts w:hint="eastAsia" w:ascii="宋体" w:hAnsi="宋体" w:cs="宋体"/>
          <w:b w:val="0"/>
          <w:bCs w:val="0"/>
          <w:color w:val="auto"/>
          <w:sz w:val="24"/>
          <w:highlight w:val="none"/>
          <w:lang w:val="en-US" w:eastAsia="zh-CN"/>
        </w:rPr>
        <w:t xml:space="preserve">5</w:t>
      </w:r>
      <w:r>
        <w:rPr>
          <w:rFonts w:hint="eastAsia" w:ascii="宋体" w:hAnsi="宋体" w:cs="宋体"/>
          <w:b w:val="0"/>
          <w:bCs w:val="0"/>
          <w:color w:val="auto"/>
          <w:sz w:val="24"/>
          <w:highlight w:val="none"/>
        </w:rPr>
        <w:t xml:space="preserve">其他补充说明：本工程变更或新增项目，磋商响应文件中有相同或类似项目的，参照响应文件中清单单价认定；无相同或类似项目的，按江苏省2014相关专业定额、徐州市造价信息（参见上）进行组价计取单价。新组单价须按照控制价与合同价的下浮比例进行下浮。</w:t>
      </w:r>
      <w:r/>
    </w:p>
    <w:p>
      <w:pPr>
        <w:pStyle w:val="1014"/>
        <w:ind w:firstLine="482"/>
        <w:keepLines w:val="0"/>
        <w:keepNext w:val="0"/>
        <w:pageBreakBefore w:val="0"/>
        <w:spacing w:after="0" w:line="360" w:lineRule="auto"/>
        <w:rPr>
          <w:rFonts w:hint="default" w:ascii="宋体" w:hAnsi="宋体" w:cs="宋体"/>
          <w:b/>
          <w:bCs/>
          <w:color w:val="auto"/>
          <w:sz w:val="24"/>
          <w:highlight w:val="none"/>
          <w:lang w:val="en-US" w:eastAsia="zh-CN"/>
        </w:rPr>
        <w:outlineLvl w:val="9"/>
      </w:pPr>
      <w:r>
        <w:rPr>
          <w:rFonts w:hint="eastAsia" w:ascii="宋体" w:hAnsi="宋体" w:cs="宋体"/>
          <w:b/>
          <w:bCs/>
          <w:color w:val="auto"/>
          <w:sz w:val="24"/>
          <w:highlight w:val="none"/>
          <w:lang w:val="en-US" w:eastAsia="zh-CN"/>
        </w:rPr>
        <w:t xml:space="preserve">四、项目验收要求：</w:t>
      </w:r>
      <w:r>
        <w:rPr>
          <w:rFonts w:hint="default" w:ascii="宋体" w:hAnsi="宋体" w:cs="宋体"/>
          <w:b/>
          <w:bCs/>
          <w:color w:val="auto"/>
          <w:sz w:val="24"/>
          <w:highlight w:val="none"/>
          <w:lang w:val="en-US" w:eastAsia="zh-CN"/>
        </w:rPr>
        <w:t xml:space="preserve">合格，通过相关部门验收。</w:t>
      </w:r>
      <w:r/>
    </w:p>
    <w:p>
      <w:pPr>
        <w:pStyle w:val="1014"/>
        <w:ind w:firstLine="482"/>
        <w:keepLines w:val="0"/>
        <w:keepNext w:val="0"/>
        <w:pageBreakBefore w:val="0"/>
        <w:spacing w:after="0" w:line="360" w:lineRule="auto"/>
        <w:rPr>
          <w:rFonts w:hint="eastAsia" w:ascii="宋体" w:hAnsi="宋体" w:cs="宋体"/>
          <w:b/>
          <w:bCs/>
          <w:color w:val="auto"/>
          <w:sz w:val="24"/>
          <w:highlight w:val="none"/>
        </w:rPr>
        <w:outlineLvl w:val="9"/>
      </w:pPr>
      <w:r>
        <w:rPr>
          <w:rFonts w:hint="eastAsia" w:ascii="宋体" w:hAnsi="宋体" w:cs="宋体"/>
          <w:b/>
          <w:bCs/>
          <w:color w:val="auto"/>
          <w:sz w:val="24"/>
          <w:highlight w:val="none"/>
          <w:lang w:val="en-US" w:eastAsia="zh-CN"/>
        </w:rPr>
        <w:t xml:space="preserve">五</w:t>
      </w:r>
      <w:r>
        <w:rPr>
          <w:rFonts w:hint="eastAsia" w:ascii="宋体" w:hAnsi="宋体" w:cs="宋体"/>
          <w:b/>
          <w:bCs/>
          <w:color w:val="auto"/>
          <w:sz w:val="24"/>
          <w:highlight w:val="none"/>
        </w:rPr>
        <w:t xml:space="preserve">、低于成本报价：</w:t>
      </w:r>
      <w:r/>
    </w:p>
    <w:p>
      <w:pPr>
        <w:pStyle w:val="1014"/>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在</w:t>
      </w:r>
      <w:r>
        <w:rPr>
          <w:rFonts w:hint="eastAsia" w:ascii="宋体" w:hAnsi="宋体" w:cs="宋体"/>
          <w:color w:val="auto"/>
          <w:sz w:val="24"/>
          <w:highlight w:val="none"/>
          <w:lang w:val="en-US" w:eastAsia="zh-CN"/>
        </w:rPr>
        <w:t xml:space="preserve">评审</w:t>
      </w:r>
      <w:r>
        <w:rPr>
          <w:rFonts w:hint="eastAsia" w:ascii="宋体" w:hAnsi="宋体" w:cs="宋体"/>
          <w:color w:val="auto"/>
          <w:sz w:val="24"/>
          <w:highlight w:val="none"/>
        </w:rPr>
        <w:t xml:space="preserve">过程中，</w:t>
      </w:r>
      <w:r>
        <w:rPr>
          <w:rFonts w:hint="eastAsia" w:ascii="宋体" w:hAnsi="宋体" w:cs="宋体"/>
          <w:color w:val="auto"/>
          <w:sz w:val="24"/>
          <w:highlight w:val="none"/>
          <w:lang w:val="en-US" w:eastAsia="zh-CN"/>
        </w:rPr>
        <w:t xml:space="preserve">磋商小组</w:t>
      </w:r>
      <w:r>
        <w:rPr>
          <w:rFonts w:hint="eastAsia" w:ascii="宋体" w:hAnsi="宋体" w:cs="宋体"/>
          <w:color w:val="auto"/>
          <w:sz w:val="24"/>
          <w:highlight w:val="none"/>
        </w:rPr>
        <w:t xml:space="preserve">发现供应商的报价明显低于其他报价，使得其报价可能低于其个别成本的，应当要求该供应商作出书面说明并提供相关证明材料。供应商不能合理说明或者不能提供相关证明材料的，由</w:t>
      </w:r>
      <w:r>
        <w:rPr>
          <w:rFonts w:hint="eastAsia" w:ascii="宋体" w:hAnsi="宋体" w:cs="宋体"/>
          <w:color w:val="auto"/>
          <w:sz w:val="24"/>
          <w:highlight w:val="none"/>
          <w:lang w:val="en-US" w:eastAsia="zh-CN"/>
        </w:rPr>
        <w:t xml:space="preserve">磋商小组</w:t>
      </w:r>
      <w:r>
        <w:rPr>
          <w:rFonts w:hint="eastAsia" w:ascii="宋体" w:hAnsi="宋体" w:cs="宋体"/>
          <w:color w:val="auto"/>
          <w:sz w:val="24"/>
          <w:highlight w:val="none"/>
        </w:rPr>
        <w:t xml:space="preserve">认定该供应商以低于成本报价，其响应文件应作无效响应文件处理。 </w:t>
      </w:r>
      <w:r/>
    </w:p>
    <w:p>
      <w:pPr>
        <w:pStyle w:val="1014"/>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lang w:val="en-US" w:eastAsia="zh-CN"/>
        </w:rPr>
        <w:t xml:space="preserve">2、磋商小组</w:t>
      </w:r>
      <w:r>
        <w:rPr>
          <w:rFonts w:hint="eastAsia" w:ascii="宋体" w:hAnsi="宋体" w:cs="宋体"/>
          <w:color w:val="auto"/>
          <w:sz w:val="24"/>
          <w:highlight w:val="none"/>
        </w:rPr>
        <w:t xml:space="preserve">全体成员三分之二以上认为该供应商不能合理说明或者不能提供相关证明材料的，认定该供应商以低于成本报价，其响应文件应作无效响应文件处理。持有异议的</w:t>
      </w:r>
      <w:r>
        <w:rPr>
          <w:rFonts w:hint="eastAsia" w:ascii="宋体" w:hAnsi="宋体" w:cs="宋体"/>
          <w:color w:val="auto"/>
          <w:sz w:val="24"/>
          <w:highlight w:val="none"/>
          <w:lang w:val="en-US" w:eastAsia="zh-CN"/>
        </w:rPr>
        <w:t xml:space="preserve">磋商小组</w:t>
      </w:r>
      <w:r>
        <w:rPr>
          <w:rFonts w:hint="eastAsia" w:ascii="宋体" w:hAnsi="宋体" w:cs="宋体"/>
          <w:color w:val="auto"/>
          <w:sz w:val="24"/>
          <w:highlight w:val="none"/>
        </w:rPr>
        <w:t xml:space="preserve">成员可以书面方式阐述其不同意见和理由，拒绝签字且不陈述其不同意见和理由的，视为同意。</w:t>
      </w:r>
      <w:r/>
    </w:p>
    <w:p>
      <w:pPr>
        <w:pStyle w:val="1014"/>
        <w:ind w:firstLine="482"/>
        <w:keepLines w:val="0"/>
        <w:keepNext w:val="0"/>
        <w:pageBreakBefore w:val="0"/>
        <w:spacing w:after="0" w:line="360" w:lineRule="auto"/>
        <w:rPr>
          <w:rFonts w:hint="eastAsia" w:ascii="宋体" w:hAnsi="宋体" w:cs="宋体"/>
          <w:b/>
          <w:bCs/>
          <w:color w:val="auto"/>
          <w:sz w:val="24"/>
          <w:highlight w:val="none"/>
        </w:rPr>
        <w:outlineLvl w:val="9"/>
      </w:pPr>
      <w:r>
        <w:rPr>
          <w:rFonts w:hint="eastAsia" w:ascii="宋体" w:hAnsi="宋体" w:cs="宋体"/>
          <w:b/>
          <w:bCs/>
          <w:color w:val="auto"/>
          <w:sz w:val="24"/>
          <w:highlight w:val="none"/>
        </w:rPr>
        <w:t xml:space="preserve">为强化政府采购异常低价审查，根据苏财购〔2025〕62号文件要求，本项目采购文件已明确启动异常低价投标审查的情形和具体要求，处理方法具体详见磋商文件第三章《磋商相关说明》相关内容。</w:t>
      </w:r>
      <w:r/>
    </w:p>
    <w:p>
      <w:pPr>
        <w:pStyle w:val="1014"/>
        <w:ind w:firstLine="482"/>
        <w:keepLines w:val="0"/>
        <w:keepNext w:val="0"/>
        <w:pageBreakBefore w:val="0"/>
        <w:spacing w:after="0" w:line="360" w:lineRule="auto"/>
        <w:rPr>
          <w:rFonts w:hint="eastAsia" w:ascii="宋体" w:hAnsi="宋体" w:cs="宋体"/>
          <w:b/>
          <w:bCs/>
          <w:color w:val="auto"/>
          <w:sz w:val="24"/>
          <w:highlight w:val="none"/>
        </w:rPr>
        <w:outlineLvl w:val="9"/>
      </w:pPr>
      <w:r>
        <w:rPr>
          <w:rFonts w:hint="eastAsia" w:ascii="宋体" w:hAnsi="宋体" w:cs="宋体"/>
          <w:b/>
          <w:bCs/>
          <w:color w:val="auto"/>
          <w:sz w:val="24"/>
          <w:highlight w:val="none"/>
          <w:lang w:val="en-US" w:eastAsia="zh-CN"/>
        </w:rPr>
        <w:t xml:space="preserve">六</w:t>
      </w:r>
      <w:r>
        <w:rPr>
          <w:rFonts w:hint="eastAsia" w:ascii="宋体" w:hAnsi="宋体" w:cs="宋体"/>
          <w:b/>
          <w:bCs/>
          <w:color w:val="auto"/>
          <w:sz w:val="24"/>
          <w:highlight w:val="none"/>
        </w:rPr>
        <w:t xml:space="preserve">、项目相关要求</w:t>
      </w:r>
      <w:r/>
    </w:p>
    <w:p>
      <w:pPr>
        <w:pStyle w:val="1014"/>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1、供应商报价时需考虑完成本项目内容所涉及的人工费、材料费、机械费、税费、验收等相关的一切费用。</w:t>
      </w:r>
      <w:r/>
    </w:p>
    <w:p>
      <w:pPr>
        <w:pStyle w:val="1014"/>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2、供应商应根据本项目实际情况，合理配置人员，项目经理需无其他在建工程，除项目经理外，安全员、质检员、施工员、预算员、材料员等人员应经验丰富，确保项目顺利实施。</w:t>
      </w:r>
      <w:r/>
    </w:p>
    <w:p>
      <w:pPr>
        <w:pStyle w:val="1014"/>
        <w:ind w:firstLine="480"/>
        <w:keepLines w:val="0"/>
        <w:keepNext w:val="0"/>
        <w:pageBreakBefore w:val="0"/>
        <w:spacing w:after="0" w:line="360" w:lineRule="auto"/>
        <w:rPr>
          <w:rFonts w:hint="eastAsia" w:ascii="宋体" w:hAnsi="宋体" w:eastAsia="宋体" w:cs="宋体"/>
          <w:color w:val="auto"/>
          <w:sz w:val="24"/>
          <w:highlight w:val="none"/>
          <w:lang w:eastAsia="zh-CN"/>
        </w:rPr>
        <w:outlineLvl w:val="9"/>
      </w:pPr>
      <w:r>
        <w:rPr>
          <w:rFonts w:hint="eastAsia" w:ascii="宋体" w:hAnsi="宋体" w:cs="宋体"/>
          <w:color w:val="auto"/>
          <w:sz w:val="24"/>
          <w:highlight w:val="none"/>
        </w:rPr>
        <w:t xml:space="preserve">3、供应商对项目现场和周围环境进行实地踏勘，合理编制本项目</w:t>
      </w:r>
      <w:r>
        <w:rPr>
          <w:rFonts w:hint="eastAsia" w:ascii="宋体" w:hAnsi="宋体" w:eastAsia="宋体" w:cs="宋体"/>
          <w:sz w:val="24"/>
          <w:lang w:val="en-US" w:eastAsia="zh-CN"/>
        </w:rPr>
        <w:t xml:space="preserve">施工组织设计方案</w:t>
      </w:r>
      <w:r>
        <w:rPr>
          <w:rFonts w:hint="eastAsia" w:ascii="宋体" w:hAnsi="宋体" w:cs="宋体"/>
          <w:color w:val="auto"/>
          <w:sz w:val="24"/>
          <w:highlight w:val="none"/>
        </w:rPr>
        <w:t xml:space="preserve">，</w:t>
      </w:r>
      <w:r>
        <w:rPr>
          <w:rFonts w:hint="eastAsia" w:ascii="宋体" w:hAnsi="宋体" w:eastAsia="宋体" w:cs="宋体"/>
          <w:sz w:val="24"/>
          <w:lang w:val="en-US" w:eastAsia="zh-CN"/>
        </w:rPr>
        <w:t xml:space="preserve">施工组织设计方案</w:t>
      </w:r>
      <w:r>
        <w:rPr>
          <w:rFonts w:hint="eastAsia" w:ascii="宋体" w:hAnsi="宋体" w:cs="宋体"/>
          <w:color w:val="auto"/>
          <w:sz w:val="24"/>
          <w:highlight w:val="none"/>
        </w:rPr>
        <w:t xml:space="preserve">应至少包含：总体概述</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施工进度计划和各阶段进度的保证措施</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各分部分项工程的施工方案、质量保证措施及分段施工方案</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项目管理班子人员配备、素质及管理经验</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关键施工技术、工艺及工程项目实施的重点、难点和解决方案</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安全文明施工及环境保护措施</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劳动力、机械设备和材料投入计划</w:t>
      </w:r>
      <w:r>
        <w:rPr>
          <w:rFonts w:hint="eastAsia" w:ascii="宋体" w:hAnsi="宋体" w:cs="宋体"/>
          <w:color w:val="auto"/>
          <w:sz w:val="24"/>
          <w:highlight w:val="none"/>
          <w:lang w:eastAsia="zh-CN"/>
        </w:rPr>
        <w:t xml:space="preserve">。</w:t>
      </w:r>
      <w:r/>
    </w:p>
    <w:p>
      <w:pPr>
        <w:pStyle w:val="1014"/>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4、符合徐州市有关部门规定的标准化施工现场要求，同时应满足市政、市容等相关主管部门的有关规定。施工工地一律实行封闭施工、防尘网覆盖、定时洒水，控制扬尘污染等安全文明施工措施。承包人违反规定所造成的损失和处罚由承包人承担。交工后一周内彻底清洁完毕撤离现场。</w:t>
      </w:r>
      <w:r/>
    </w:p>
    <w:p>
      <w:pPr>
        <w:pStyle w:val="1014"/>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5、承包人对工程建设期间扬尘治理工作负主体责任。应制定施工现场扬尘污染防治专项方案，按照承包工程范围做好扬尘污染防治措施的落实。方案必须符合我市</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徐州市扬尘污染防治条例</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、《徐州市市区扬尘污染防治办法》和</w:t>
      </w:r>
      <w:r>
        <w:rPr>
          <w:rFonts w:ascii="Segoe UI" w:hAnsi="Segoe UI" w:eastAsia="Segoe UI" w:cs="Segoe UI"/>
          <w:i w:val="0"/>
          <w:iCs w:val="0"/>
          <w:caps w:val="0"/>
          <w:spacing w:val="0"/>
          <w:sz w:val="24"/>
          <w:szCs w:val="24"/>
          <w:u w:val="none"/>
          <w:shd w:val="clear" w:color="auto" w:fill="ffffff"/>
        </w:rPr>
        <w:t xml:space="preserve">《徐州市市区工地扬尘污染管理规范（试行）》</w:t>
      </w:r>
      <w:r>
        <w:rPr>
          <w:rFonts w:hint="eastAsia" w:ascii="宋体" w:hAnsi="宋体" w:eastAsia="宋体" w:cs="宋体"/>
          <w:color w:val="auto"/>
          <w:sz w:val="24"/>
          <w:szCs w:val="24"/>
          <w:highlight w:val="none"/>
          <w:u w:val="none"/>
        </w:rPr>
        <w:t xml:space="preserve">（徐空气提升办﹝2018﹞11 号）</w:t>
      </w:r>
      <w:r>
        <w:rPr>
          <w:rFonts w:hint="eastAsia" w:ascii="宋体" w:hAnsi="宋体" w:cs="宋体"/>
          <w:color w:val="auto"/>
          <w:sz w:val="24"/>
          <w:highlight w:val="none"/>
        </w:rPr>
        <w:t xml:space="preserve">关于扬尘管控的相关规定要求。</w:t>
      </w:r>
      <w:r/>
    </w:p>
    <w:p>
      <w:pPr>
        <w:pStyle w:val="1014"/>
        <w:ind w:firstLine="480"/>
        <w:keepLines w:val="0"/>
        <w:keepNext w:val="0"/>
        <w:pageBreakBefore w:val="0"/>
        <w:spacing w:after="0" w:line="360" w:lineRule="auto"/>
        <w:rPr>
          <w:rFonts w:hint="eastAsia" w:ascii="宋体" w:hAnsi="宋体" w:eastAsia="宋体" w:cs="宋体"/>
          <w:b/>
          <w:color w:val="auto"/>
          <w:sz w:val="24"/>
          <w:highlight w:val="none"/>
          <w:lang w:eastAsia="zh-CN"/>
        </w:rPr>
        <w:outlineLvl w:val="9"/>
      </w:pP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工程质量必须达到合同约定标准，且保证相关部门验收通过；未达到质量要求的，成交供应商负责无条件返工，直至达到要求，所发生的费用由成交供应商承担，成交供应商还应赔偿因此给采购人造成的损失，工期不予顺延，同时采购人有权对成交供应商进行适当处罚</w:t>
      </w:r>
      <w:r>
        <w:rPr>
          <w:rFonts w:hint="eastAsia" w:ascii="宋体" w:hAnsi="宋体" w:cs="宋体"/>
          <w:color w:val="auto"/>
          <w:sz w:val="24"/>
          <w:highlight w:val="none"/>
          <w:lang w:eastAsia="zh-CN"/>
        </w:rPr>
        <w:t xml:space="preserve">。</w:t>
      </w:r>
      <w:r/>
    </w:p>
    <w:p>
      <w:pPr>
        <w:pStyle w:val="1014"/>
        <w:ind w:firstLine="482"/>
        <w:keepLines w:val="0"/>
        <w:keepNext w:val="0"/>
        <w:pageBreakBefore w:val="0"/>
        <w:spacing w:after="0" w:line="360" w:lineRule="auto"/>
        <w:rPr>
          <w:rFonts w:hint="eastAsia" w:ascii="宋体" w:hAnsi="宋体" w:cs="宋体"/>
          <w:b/>
          <w:bCs/>
          <w:color w:val="auto"/>
          <w:sz w:val="24"/>
          <w:highlight w:val="none"/>
        </w:rPr>
        <w:outlineLvl w:val="9"/>
      </w:pPr>
      <w:r>
        <w:rPr>
          <w:rFonts w:hint="eastAsia" w:ascii="宋体" w:hAnsi="宋体" w:cs="宋体"/>
          <w:b/>
          <w:bCs/>
          <w:color w:val="auto"/>
          <w:sz w:val="24"/>
          <w:highlight w:val="none"/>
          <w:lang w:val="en-US" w:eastAsia="zh-CN"/>
        </w:rPr>
        <w:t xml:space="preserve">七</w:t>
      </w:r>
      <w:r>
        <w:rPr>
          <w:rFonts w:hint="eastAsia" w:ascii="宋体" w:hAnsi="宋体" w:cs="宋体"/>
          <w:b/>
          <w:bCs/>
          <w:color w:val="auto"/>
          <w:sz w:val="24"/>
          <w:highlight w:val="none"/>
        </w:rPr>
        <w:t xml:space="preserve">、本项目无效</w:t>
      </w:r>
      <w:r>
        <w:rPr>
          <w:rFonts w:hint="eastAsia" w:ascii="宋体" w:hAnsi="宋体" w:cs="宋体"/>
          <w:b/>
          <w:bCs/>
          <w:color w:val="auto"/>
          <w:sz w:val="24"/>
          <w:highlight w:val="none"/>
          <w:lang w:val="en-US" w:eastAsia="zh-CN"/>
        </w:rPr>
        <w:t xml:space="preserve">响应文件的</w:t>
      </w:r>
      <w:r>
        <w:rPr>
          <w:rFonts w:hint="eastAsia" w:ascii="宋体" w:hAnsi="宋体" w:cs="宋体"/>
          <w:b/>
          <w:bCs/>
          <w:color w:val="auto"/>
          <w:sz w:val="24"/>
          <w:highlight w:val="none"/>
        </w:rPr>
        <w:t xml:space="preserve">判定（磋商文件的实质性要求）：</w:t>
      </w:r>
      <w:r/>
    </w:p>
    <w:p>
      <w:pPr>
        <w:pStyle w:val="1014"/>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1、供应商资格条件不符合国家有关规定或磋商文件要求的； </w:t>
      </w:r>
      <w:r/>
    </w:p>
    <w:p>
      <w:pPr>
        <w:pStyle w:val="1014"/>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、响应报价低于成本或者高于磋商文件设定的最高限价的； </w:t>
      </w:r>
      <w:r/>
    </w:p>
    <w:p>
      <w:pPr>
        <w:pStyle w:val="1014"/>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、同一供应商提交两个及以上不同的响应文件或者响应报价，但磋商文件要求提交备选的除外； </w:t>
      </w:r>
      <w:r/>
    </w:p>
    <w:p>
      <w:pPr>
        <w:pStyle w:val="1014"/>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、与磋商文件规定的甲供材料价格不一致的； </w:t>
      </w:r>
      <w:r/>
    </w:p>
    <w:p>
      <w:pPr>
        <w:pStyle w:val="1014"/>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、与磋商文件明确列出的不可竞争费用项目或费率或计算基础不一致的； </w:t>
      </w:r>
      <w:r/>
    </w:p>
    <w:p>
      <w:pPr>
        <w:pStyle w:val="1014"/>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、与磋商文件提供的工程量清单中的项目编码、项目名称、项目特征、计量单位、工程量不一致的； </w:t>
      </w:r>
      <w:r/>
    </w:p>
    <w:p>
      <w:pPr>
        <w:pStyle w:val="1014"/>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、响应文件载明的项目完成期限超过磋商文件规定的期限的； </w:t>
      </w:r>
      <w:r/>
    </w:p>
    <w:p>
      <w:pPr>
        <w:pStyle w:val="1014"/>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lang w:val="en-US" w:eastAsia="zh-CN"/>
        </w:rPr>
        <w:t xml:space="preserve">8</w:t>
      </w:r>
      <w:r>
        <w:rPr>
          <w:rFonts w:hint="eastAsia" w:ascii="宋体" w:hAnsi="宋体" w:cs="宋体"/>
          <w:color w:val="auto"/>
          <w:sz w:val="24"/>
          <w:highlight w:val="none"/>
        </w:rPr>
        <w:t xml:space="preserve">、明显不符合技术规范、技术标准的要求的； </w:t>
      </w:r>
      <w:r/>
    </w:p>
    <w:p>
      <w:pPr>
        <w:pStyle w:val="1014"/>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、响应文件载明的货物包装方式、检验标准和方法等不符合磋商文件的要求的； </w:t>
      </w:r>
      <w:r/>
    </w:p>
    <w:p>
      <w:pPr>
        <w:pStyle w:val="1014"/>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lang w:val="en-US" w:eastAsia="zh-CN"/>
        </w:rPr>
        <w:t xml:space="preserve">10</w:t>
      </w:r>
      <w:r>
        <w:rPr>
          <w:rFonts w:hint="eastAsia" w:ascii="宋体" w:hAnsi="宋体" w:cs="宋体"/>
          <w:color w:val="auto"/>
          <w:sz w:val="24"/>
          <w:highlight w:val="none"/>
        </w:rPr>
        <w:t xml:space="preserve">、响应文件提出了不能满足磋商文件要求或采购人不能接受的工程验收、计量、价款结算和支付办法的； </w:t>
      </w:r>
      <w:r/>
    </w:p>
    <w:p>
      <w:pPr>
        <w:pStyle w:val="1014"/>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lang w:val="en-US" w:eastAsia="zh-CN"/>
        </w:rPr>
        <w:t xml:space="preserve">11</w:t>
      </w:r>
      <w:r>
        <w:rPr>
          <w:rFonts w:hint="eastAsia" w:ascii="宋体" w:hAnsi="宋体" w:cs="宋体"/>
          <w:color w:val="auto"/>
          <w:sz w:val="24"/>
          <w:highlight w:val="none"/>
        </w:rPr>
        <w:t xml:space="preserve">、不同供应商的响应文件以及响应文件制作过程出现了</w:t>
      </w:r>
      <w:r>
        <w:rPr>
          <w:rFonts w:hint="eastAsia" w:ascii="宋体" w:hAnsi="宋体" w:cs="宋体"/>
          <w:color w:val="auto"/>
          <w:sz w:val="24"/>
          <w:highlight w:val="none"/>
          <w:lang w:val="en-US" w:eastAsia="zh-CN"/>
        </w:rPr>
        <w:t xml:space="preserve">磋商小组</w:t>
      </w:r>
      <w:r>
        <w:rPr>
          <w:rFonts w:hint="eastAsia" w:ascii="宋体" w:hAnsi="宋体" w:cs="宋体"/>
          <w:color w:val="auto"/>
          <w:sz w:val="24"/>
          <w:highlight w:val="none"/>
        </w:rPr>
        <w:t xml:space="preserve">认为不应当雷同的情况的； </w:t>
      </w:r>
      <w:r/>
    </w:p>
    <w:p>
      <w:pPr>
        <w:pStyle w:val="1014"/>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lang w:val="en-US" w:eastAsia="zh-CN"/>
        </w:rPr>
        <w:t xml:space="preserve">12</w:t>
      </w:r>
      <w:r>
        <w:rPr>
          <w:rFonts w:hint="eastAsia" w:ascii="宋体" w:hAnsi="宋体" w:cs="宋体"/>
          <w:color w:val="auto"/>
          <w:sz w:val="24"/>
          <w:highlight w:val="none"/>
        </w:rPr>
        <w:t xml:space="preserve">、以他人的名义投标、串通投标、以行贿手段谋取成交或者以其他弄虚作假方式</w:t>
      </w:r>
      <w:r>
        <w:rPr>
          <w:rFonts w:hint="eastAsia" w:ascii="宋体" w:hAnsi="宋体" w:cs="宋体"/>
          <w:color w:val="auto"/>
          <w:sz w:val="24"/>
          <w:highlight w:val="none"/>
          <w:lang w:val="en-US" w:eastAsia="zh-CN"/>
        </w:rPr>
        <w:t xml:space="preserve">参与采购活动</w:t>
      </w:r>
      <w:r>
        <w:rPr>
          <w:rFonts w:hint="eastAsia" w:ascii="宋体" w:hAnsi="宋体" w:cs="宋体"/>
          <w:color w:val="auto"/>
          <w:sz w:val="24"/>
          <w:highlight w:val="none"/>
        </w:rPr>
        <w:t xml:space="preserve">的。</w:t>
      </w:r>
      <w:r/>
    </w:p>
    <w:p>
      <w:pPr>
        <w:pStyle w:val="1014"/>
        <w:ind w:firstLine="480"/>
        <w:keepLines w:val="0"/>
        <w:keepNext w:val="0"/>
        <w:pageBreakBefore w:val="0"/>
        <w:spacing w:after="0" w:line="360" w:lineRule="auto"/>
        <w:rPr>
          <w:rFonts w:hint="eastAsia" w:ascii="宋体" w:hAnsi="宋体" w:cs="宋体"/>
          <w:b/>
          <w:bCs/>
          <w:color w:val="auto"/>
          <w:sz w:val="24"/>
          <w:highlight w:val="none"/>
        </w:rPr>
        <w:outlineLvl w:val="9"/>
      </w:pPr>
      <w:r>
        <w:rPr>
          <w:rFonts w:hint="eastAsia" w:ascii="宋体" w:hAnsi="宋体" w:cs="宋体"/>
          <w:color w:val="auto"/>
          <w:sz w:val="24"/>
          <w:highlight w:val="none"/>
          <w:lang w:val="en-US" w:eastAsia="zh-CN"/>
        </w:rPr>
        <w:t xml:space="preserve">13</w:t>
      </w:r>
      <w:r>
        <w:rPr>
          <w:rFonts w:hint="eastAsia" w:ascii="宋体" w:hAnsi="宋体" w:cs="宋体"/>
          <w:color w:val="auto"/>
          <w:sz w:val="24"/>
          <w:highlight w:val="none"/>
        </w:rPr>
        <w:t xml:space="preserve">、未按磋商文件规定的格式填写，内容不全或关键字模糊、无法辨认的；未按磋商文件要求提供电子响应文件，或者响应文件未能解密且按照磋商文件明确的响应文件解密失败的补救方案补救不成功的。</w:t>
      </w:r>
      <w:r/>
    </w:p>
    <w:p>
      <w:pPr>
        <w:ind w:right="0" w:firstLine="482"/>
        <w:keepLines w:val="0"/>
        <w:keepNext w:val="0"/>
        <w:pageBreakBefore w:val="0"/>
        <w:spacing w:line="360" w:lineRule="auto"/>
        <w:widowControl w:val="off"/>
        <w:rPr>
          <w:rFonts w:hint="eastAsia" w:ascii="宋体" w:hAnsi="宋体" w:eastAsia="宋体" w:cs="宋体"/>
        </w:rPr>
      </w:pPr>
      <w:r>
        <w:rPr>
          <w:rFonts w:hint="eastAsia" w:ascii="宋体" w:hAnsi="宋体" w:cs="宋体"/>
          <w:b/>
          <w:bCs/>
          <w:color w:val="auto"/>
          <w:sz w:val="24"/>
          <w:szCs w:val="24"/>
          <w:lang w:val="en-US" w:eastAsia="zh-CN"/>
        </w:rPr>
        <w:t xml:space="preserve">八</w:t>
      </w:r>
      <w:r>
        <w:rPr>
          <w:rFonts w:hint="eastAsia" w:ascii="宋体" w:hAnsi="宋体" w:eastAsia="宋体" w:cs="宋体"/>
          <w:b/>
          <w:bCs/>
          <w:color w:val="auto"/>
          <w:sz w:val="24"/>
          <w:szCs w:val="24"/>
          <w:lang w:val="en-US" w:eastAsia="zh-CN"/>
        </w:rPr>
        <w:t xml:space="preserve">、其他内容和要求：</w:t>
      </w:r>
      <w:r>
        <w:rPr>
          <w:rFonts w:hint="eastAsia" w:ascii="宋体" w:hAnsi="宋体" w:eastAsia="宋体" w:cs="宋体"/>
          <w:color w:val="auto"/>
          <w:sz w:val="24"/>
          <w:szCs w:val="24"/>
          <w:lang w:val="en-US" w:eastAsia="zh-CN"/>
        </w:rPr>
        <w:t xml:space="preserve">见《磋商文件》附件：7、《合同草案条款》。</w:t>
      </w:r>
      <w:r/>
    </w:p>
    <w:p>
      <w:pPr>
        <w:rPr>
          <w:rFonts w:hint="eastAsia" w:ascii="宋体" w:hAnsi="宋体" w:eastAsia="宋体" w:cs="宋体"/>
          <w:b/>
          <w:sz w:val="36"/>
        </w:rPr>
      </w:pPr>
      <w:r>
        <w:rPr>
          <w:rFonts w:hint="eastAsia" w:ascii="宋体" w:hAnsi="宋体" w:eastAsia="宋体" w:cs="宋体"/>
          <w:b/>
          <w:sz w:val="36"/>
        </w:rPr>
        <w:br w:type="page" w:clear="all"/>
      </w:r>
      <w:r/>
    </w:p>
    <w:p>
      <w:pPr>
        <w:jc w:val="center"/>
        <w:keepLines w:val="0"/>
        <w:keepNext w:val="0"/>
        <w:pageBreakBefore w:val="0"/>
        <w:spacing w:line="360" w:lineRule="auto"/>
        <w:widowControl w:val="off"/>
        <w:rPr>
          <w:rFonts w:hint="eastAsia" w:ascii="宋体" w:hAnsi="宋体" w:eastAsia="宋体" w:cs="宋体"/>
          <w:b/>
          <w:bCs/>
          <w:sz w:val="36"/>
        </w:rPr>
      </w:pPr>
      <w:r>
        <w:rPr>
          <w:rFonts w:hint="eastAsia" w:ascii="宋体" w:hAnsi="宋体" w:eastAsia="宋体" w:cs="宋体"/>
          <w:b/>
          <w:sz w:val="36"/>
        </w:rPr>
        <w:t xml:space="preserve">3、磋商</w:t>
      </w:r>
      <w:r>
        <w:rPr>
          <w:rFonts w:hint="eastAsia" w:ascii="宋体" w:hAnsi="宋体" w:eastAsia="宋体" w:cs="宋体"/>
          <w:b/>
          <w:bCs/>
          <w:sz w:val="36"/>
        </w:rPr>
        <w:t xml:space="preserve">报价表</w:t>
      </w:r>
      <w:r/>
    </w:p>
    <w:p>
      <w:pPr>
        <w:spacing w:line="360" w:lineRule="auto"/>
        <w:rPr>
          <w:rFonts w:hint="eastAsia" w:ascii="宋体" w:hAnsi="宋体" w:cs="宋体"/>
          <w:sz w:val="24"/>
          <w:u w:val="single"/>
          <w:lang w:eastAsia="zh-CN"/>
        </w:rPr>
      </w:pPr>
      <w:r>
        <w:rPr>
          <w:rFonts w:hint="eastAsia" w:ascii="宋体" w:hAnsi="宋体" w:eastAsia="宋体" w:cs="宋体"/>
          <w:sz w:val="24"/>
        </w:rPr>
        <w:t xml:space="preserve">项目名称：</w:t>
      </w:r>
      <w:r>
        <w:rPr>
          <w:rFonts w:hint="eastAsia" w:ascii="宋体" w:hAnsi="宋体" w:cs="宋体"/>
          <w:color w:val="auto"/>
          <w:sz w:val="24"/>
          <w:u w:val="single"/>
          <w:lang w:eastAsia="zh-CN"/>
        </w:rPr>
        <w:t xml:space="preserve">苏堤北路、凤鸣路、及青年路（故黄河-复兴路）工后道路恢复工程</w:t>
      </w:r>
      <w:r/>
    </w:p>
    <w:p>
      <w:pPr>
        <w:spacing w:line="360" w:lineRule="auto"/>
        <w:rPr>
          <w:rFonts w:hint="eastAsia" w:ascii="宋体" w:hAnsi="宋体" w:cs="宋体"/>
          <w:sz w:val="24"/>
          <w:szCs w:val="24"/>
          <w:u w:val="single"/>
          <w:lang w:eastAsia="zh-CN"/>
        </w:rPr>
      </w:pPr>
      <w:r>
        <w:rPr>
          <w:rFonts w:hint="eastAsia" w:ascii="宋体" w:hAnsi="宋体" w:eastAsia="宋体" w:cs="宋体"/>
          <w:sz w:val="24"/>
        </w:rPr>
        <w:t xml:space="preserve">项目编号：</w:t>
      </w:r>
      <w:r>
        <w:rPr>
          <w:rFonts w:hint="eastAsia" w:ascii="宋体" w:hAnsi="宋体" w:cs="宋体"/>
          <w:color w:val="auto"/>
          <w:sz w:val="24"/>
          <w:szCs w:val="24"/>
          <w:u w:val="single"/>
          <w:lang w:eastAsia="zh-CN"/>
        </w:rPr>
        <w:t xml:space="preserve">JSZC-320300-RHGC-C2026-0005</w:t>
      </w:r>
      <w:r/>
    </w:p>
    <w:p>
      <w:pPr>
        <w:spacing w:line="360" w:lineRule="auto"/>
        <w:rPr>
          <w:rFonts w:hint="eastAsia" w:ascii="宋体" w:hAnsi="宋体" w:eastAsia="宋体" w:cs="宋体"/>
          <w:sz w:val="24"/>
        </w:rPr>
      </w:pPr>
      <w:r>
        <w:rPr>
          <w:rFonts w:hint="eastAsia" w:ascii="宋体" w:hAnsi="宋体" w:eastAsia="宋体" w:cs="宋体"/>
          <w:sz w:val="24"/>
        </w:rPr>
        <w:t xml:space="preserve">本次为首次报价</w:t>
      </w:r>
      <w:r/>
    </w:p>
    <w:p>
      <w:pPr>
        <w:ind w:firstLine="6240"/>
        <w:spacing w:line="360" w:lineRule="auto"/>
        <w:rPr>
          <w:rFonts w:hint="eastAsia" w:ascii="宋体" w:hAnsi="宋体" w:eastAsia="宋体" w:cs="宋体"/>
          <w:sz w:val="24"/>
        </w:rPr>
      </w:pPr>
      <w:r>
        <w:rPr>
          <w:rFonts w:hint="eastAsia" w:ascii="宋体" w:hAnsi="宋体" w:eastAsia="宋体" w:cs="宋体"/>
          <w:sz w:val="24"/>
        </w:rPr>
        <w:t xml:space="preserve">货币单位：人民币元</w:t>
      </w:r>
      <w:r/>
    </w:p>
    <w:tbl>
      <w:tblPr>
        <w:tblStyle w:val="991"/>
        <w:tblW w:w="9334" w:type="dxa"/>
        <w:jc w:val="center"/>
        <w:tblBorders>
          <w:top w:val="single" w:color="auto" w:sz="6" w:space="0"/>
          <w:left w:val="single" w:color="auto" w:sz="6" w:space="0"/>
          <w:bottom w:val="single" w:color="auto" w:sz="2" w:space="0"/>
          <w:right w:val="single" w:color="auto" w:sz="6" w:space="0"/>
          <w:insideH w:val="single" w:color="auto" w:sz="2" w:space="0"/>
          <w:insideV w:val="single" w:color="auto" w:sz="2" w:space="0"/>
        </w:tblBorders>
        <w:tblLayout w:type="fixed"/>
        <w:tblCellMar>
          <w:left w:w="108" w:type="dxa"/>
          <w:top w:w="0" w:type="dxa"/>
          <w:right w:w="108" w:type="dxa"/>
          <w:bottom w:w="0" w:type="dxa"/>
        </w:tblCellMar>
        <w:tblLook w:val="04A0" w:firstRow="1" w:lastRow="0" w:firstColumn="1" w:lastColumn="0" w:noHBand="0" w:noVBand="1"/>
      </w:tblPr>
      <w:tblGrid>
        <w:gridCol w:w="3641"/>
        <w:gridCol w:w="2700"/>
        <w:gridCol w:w="2993"/>
      </w:tblGrid>
      <w:tr>
        <w:trPr>
          <w:cantSplit/>
          <w:jc w:val="center"/>
          <w:trHeight w:val="752"/>
        </w:trPr>
        <w:tc>
          <w:tcPr>
            <w:tcBorders>
              <w:top w:val="single" w:color="000000" w:sz="6" w:space="0"/>
              <w:left w:val="single" w:color="000000" w:sz="6" w:space="0"/>
              <w:bottom w:val="single" w:color="000000" w:sz="2" w:space="0"/>
              <w:right w:val="single" w:color="000000" w:sz="2" w:space="0"/>
            </w:tcBorders>
            <w:tcW w:w="3641"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项目名称</w:t>
            </w:r>
            <w:r/>
          </w:p>
        </w:tc>
        <w:tc>
          <w:tcPr>
            <w:tcBorders>
              <w:top w:val="single" w:color="000000" w:sz="6" w:space="0"/>
              <w:left w:val="single" w:color="000000" w:sz="2" w:space="0"/>
              <w:bottom w:val="single" w:color="000000" w:sz="2" w:space="0"/>
              <w:right w:val="single" w:color="000000" w:sz="2" w:space="0"/>
            </w:tcBorders>
            <w:tcW w:w="2700"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项目内容</w:t>
            </w:r>
            <w:r/>
          </w:p>
        </w:tc>
        <w:tc>
          <w:tcPr>
            <w:tcBorders>
              <w:top w:val="single" w:color="000000" w:sz="6" w:space="0"/>
              <w:left w:val="single" w:color="000000" w:sz="2" w:space="0"/>
              <w:bottom w:val="single" w:color="000000" w:sz="2" w:space="0"/>
              <w:right w:val="single" w:color="000000" w:sz="2" w:space="0"/>
            </w:tcBorders>
            <w:tcW w:w="2993"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总价（小写）</w:t>
            </w:r>
            <w:r/>
          </w:p>
        </w:tc>
      </w:tr>
      <w:tr>
        <w:trPr>
          <w:cantSplit/>
          <w:jc w:val="center"/>
          <w:trHeight w:val="899"/>
        </w:trPr>
        <w:tc>
          <w:tcPr>
            <w:tcBorders>
              <w:top w:val="single" w:color="000000" w:sz="2" w:space="0"/>
              <w:left w:val="single" w:color="000000" w:sz="6" w:space="0"/>
              <w:right w:val="single" w:color="000000" w:sz="2" w:space="0"/>
            </w:tcBorders>
            <w:tcW w:w="3641" w:type="dxa"/>
            <w:vAlign w:val="center"/>
            <w:textDirection w:val="lrTb"/>
            <w:noWrap w:val="false"/>
          </w:tcPr>
          <w:p>
            <w:pPr>
              <w:jc w:val="center"/>
              <w:rPr>
                <w:rFonts w:hint="eastAsia" w:ascii="宋体" w:hAnsi="宋体" w:eastAsia="宋体" w:cs="宋体"/>
                <w:sz w:val="24"/>
                <w:lang w:eastAsia="zh-CN"/>
              </w:rPr>
            </w:pPr>
            <w:r>
              <w:rPr>
                <w:rFonts w:hint="eastAsia" w:ascii="宋体" w:hAnsi="宋体" w:cs="宋体"/>
                <w:color w:val="auto"/>
                <w:sz w:val="24"/>
                <w:lang w:eastAsia="zh-CN"/>
              </w:rPr>
              <w:t xml:space="preserve">苏堤北路、凤鸣路、及青年路（故黄河-复兴路）工后道路恢复工程</w:t>
            </w:r>
            <w:r>
              <w:rPr>
                <w:rFonts w:hint="eastAsia" w:ascii="宋体" w:hAnsi="宋体" w:cs="宋体"/>
                <w:sz w:val="24"/>
                <w:lang w:eastAsia="zh-CN"/>
              </w:rPr>
              <w:t xml:space="preserve"> </w:t>
            </w:r>
            <w:r/>
          </w:p>
        </w:tc>
        <w:tc>
          <w:tcPr>
            <w:tcBorders>
              <w:top w:val="single" w:color="000000" w:sz="2" w:space="0"/>
              <w:left w:val="single" w:color="000000" w:sz="2" w:space="0"/>
              <w:right w:val="single" w:color="000000" w:sz="2" w:space="0"/>
            </w:tcBorders>
            <w:tcW w:w="2700"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详见</w:t>
            </w:r>
            <w:r>
              <w:rPr>
                <w:rFonts w:hint="eastAsia" w:ascii="宋体" w:hAnsi="宋体" w:eastAsia="宋体" w:cs="宋体"/>
                <w:bCs/>
                <w:sz w:val="24"/>
              </w:rPr>
              <w:t xml:space="preserve">响应文件</w:t>
            </w:r>
            <w:r/>
          </w:p>
        </w:tc>
        <w:tc>
          <w:tcPr>
            <w:tcBorders>
              <w:top w:val="single" w:color="000000" w:sz="2" w:space="0"/>
              <w:left w:val="single" w:color="000000" w:sz="2" w:space="0"/>
              <w:right w:val="single" w:color="000000" w:sz="2" w:space="0"/>
            </w:tcBorders>
            <w:tcW w:w="2993"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r>
      <w:tr>
        <w:trPr>
          <w:cantSplit/>
          <w:jc w:val="center"/>
          <w:trHeight w:val="912"/>
        </w:trPr>
        <w:tc>
          <w:tcPr>
            <w:tcBorders>
              <w:top w:val="single" w:color="000000" w:sz="2" w:space="0"/>
              <w:left w:val="single" w:color="000000" w:sz="6" w:space="0"/>
              <w:bottom w:val="single" w:color="000000" w:sz="2" w:space="0"/>
              <w:right w:val="single" w:color="000000" w:sz="2" w:space="0"/>
            </w:tcBorders>
            <w:tcW w:w="3641"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总价（大写）：</w:t>
            </w:r>
            <w:r/>
          </w:p>
        </w:tc>
        <w:tc>
          <w:tcPr>
            <w:gridSpan w:val="2"/>
            <w:tcBorders>
              <w:top w:val="single" w:color="000000" w:sz="2" w:space="0"/>
              <w:left w:val="single" w:color="000000" w:sz="2" w:space="0"/>
              <w:bottom w:val="single" w:color="000000" w:sz="2" w:space="0"/>
              <w:right w:val="single" w:color="000000" w:sz="2" w:space="0"/>
            </w:tcBorders>
            <w:tcW w:w="5693"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r>
    </w:tbl>
    <w:p>
      <w:pPr>
        <w:ind w:right="-340"/>
        <w:spacing w:line="520" w:lineRule="exact"/>
        <w:rPr>
          <w:rFonts w:hint="eastAsia" w:ascii="宋体" w:hAnsi="宋体" w:eastAsia="宋体" w:cs="宋体"/>
          <w:sz w:val="24"/>
        </w:rPr>
      </w:pPr>
      <w:r>
        <w:rPr>
          <w:rFonts w:hint="eastAsia" w:ascii="宋体" w:hAnsi="宋体" w:eastAsia="宋体" w:cs="宋体"/>
          <w:sz w:val="24"/>
        </w:rPr>
        <w:t xml:space="preserve">供应商承诺：本项目由供应商本企业提供的施工。</w:t>
      </w:r>
      <w:r/>
    </w:p>
    <w:p>
      <w:pPr>
        <w:spacing w:line="360" w:lineRule="auto"/>
        <w:rPr>
          <w:rFonts w:hint="eastAsia" w:ascii="宋体" w:hAnsi="宋体" w:eastAsia="宋体" w:cs="宋体"/>
          <w:sz w:val="24"/>
        </w:rPr>
      </w:pPr>
      <w:r>
        <w:rPr>
          <w:rFonts w:hint="eastAsia" w:ascii="宋体" w:hAnsi="宋体" w:eastAsia="宋体" w:cs="宋体"/>
          <w:sz w:val="24"/>
        </w:rPr>
      </w:r>
      <w:r/>
    </w:p>
    <w:p>
      <w:pPr>
        <w:spacing w:line="360" w:lineRule="auto"/>
        <w:rPr>
          <w:rFonts w:hint="eastAsia" w:ascii="宋体" w:hAnsi="宋体" w:eastAsia="宋体" w:cs="宋体"/>
          <w:sz w:val="24"/>
        </w:rPr>
      </w:pPr>
      <w:r>
        <w:rPr>
          <w:rFonts w:hint="eastAsia" w:ascii="宋体" w:hAnsi="宋体" w:eastAsia="宋体" w:cs="宋体"/>
          <w:sz w:val="24"/>
        </w:rPr>
        <w:t xml:space="preserve">供应商报价说明：</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1、报价应包括磋商文件所确定的招标范围内工程量清单所含的全部内容，以及为完成上述内容所需的全部费用。</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2、偏离说明：详见《偏离表》。</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3、报价大小写不一致以大写为准。</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4、如最后报价未列明单价，则最后所报各项单价计算方法为：（最后总价/最初总价）* 各项最初报价的单价。</w:t>
      </w:r>
      <w:r/>
    </w:p>
    <w:p>
      <w:pPr>
        <w:ind w:firstLine="480"/>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r>
      <w:r/>
    </w:p>
    <w:p>
      <w:pPr>
        <w:ind w:right="29"/>
        <w:spacing w:line="360" w:lineRule="auto"/>
        <w:rPr>
          <w:rFonts w:hint="eastAsia" w:ascii="宋体" w:hAnsi="宋体" w:eastAsia="宋体" w:cs="宋体"/>
          <w:sz w:val="24"/>
        </w:rPr>
      </w:pPr>
      <w:r>
        <w:rPr>
          <w:rFonts w:hint="eastAsia" w:ascii="宋体" w:hAnsi="宋体" w:eastAsia="宋体" w:cs="宋体"/>
          <w:sz w:val="24"/>
        </w:rPr>
        <w:t xml:space="preserve">                           供应商（</w:t>
      </w:r>
      <w:r>
        <w:rPr>
          <w:rFonts w:hint="eastAsia" w:ascii="宋体" w:hAnsi="宋体" w:eastAsia="宋体" w:cs="宋体"/>
          <w:sz w:val="24"/>
          <w:lang w:eastAsia="zh-CN"/>
        </w:rPr>
        <w:t xml:space="preserve">电子签章</w:t>
      </w:r>
      <w:r>
        <w:rPr>
          <w:rFonts w:hint="eastAsia" w:ascii="宋体" w:hAnsi="宋体" w:eastAsia="宋体" w:cs="宋体"/>
          <w:sz w:val="24"/>
        </w:rPr>
        <w:t xml:space="preserve">）：</w:t>
      </w:r>
      <w:r/>
    </w:p>
    <w:p>
      <w:pPr>
        <w:ind w:right="29"/>
        <w:spacing w:line="360" w:lineRule="auto"/>
        <w:rPr>
          <w:rFonts w:hint="eastAsia" w:ascii="宋体" w:hAnsi="宋体" w:eastAsia="宋体" w:cs="宋体"/>
          <w:sz w:val="24"/>
        </w:rPr>
      </w:pPr>
      <w:r>
        <w:rPr>
          <w:rFonts w:hint="eastAsia" w:ascii="宋体" w:hAnsi="宋体" w:eastAsia="宋体" w:cs="宋体"/>
          <w:sz w:val="24"/>
        </w:rPr>
        <w:t xml:space="preserve">                      </w:t>
      </w:r>
      <w:r>
        <w:rPr>
          <w:rFonts w:hint="eastAsia" w:ascii="宋体" w:hAnsi="宋体" w:eastAsia="宋体" w:cs="宋体"/>
          <w:sz w:val="24"/>
          <w:lang w:val="en-US" w:eastAsia="zh-CN"/>
        </w:rPr>
        <w:t xml:space="preserve">     </w:t>
      </w:r>
      <w:r>
        <w:rPr>
          <w:rFonts w:hint="eastAsia" w:ascii="宋体" w:hAnsi="宋体" w:eastAsia="宋体" w:cs="宋体"/>
          <w:sz w:val="24"/>
        </w:rPr>
        <w:t xml:space="preserve">日期：</w:t>
      </w:r>
      <w:r/>
    </w:p>
    <w:p>
      <w:pPr>
        <w:pStyle w:val="1040"/>
        <w:ind w:firstLine="0"/>
        <w:rPr>
          <w:rFonts w:hint="eastAsia" w:ascii="宋体" w:hAnsi="宋体" w:eastAsia="宋体" w:cs="宋体"/>
        </w:rPr>
      </w:pPr>
      <w:r>
        <w:rPr>
          <w:rFonts w:hint="eastAsia" w:ascii="宋体" w:hAnsi="宋体" w:eastAsia="宋体" w:cs="宋体"/>
        </w:rPr>
      </w:r>
      <w:r/>
    </w:p>
    <w:p>
      <w:pPr>
        <w:pStyle w:val="1041"/>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pStyle w:val="1041"/>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br w:type="page" w:clear="all"/>
      </w:r>
      <w:r/>
    </w:p>
    <w:p>
      <w:pPr>
        <w:rPr>
          <w:rFonts w:hint="eastAsia"/>
        </w:rPr>
      </w:pPr>
      <w:r>
        <w:rPr>
          <w:rFonts w:hint="eastAsia"/>
        </w:rPr>
      </w:r>
      <w:r/>
    </w:p>
    <w:p>
      <w:pPr>
        <w:numPr>
          <w:ilvl w:val="0"/>
          <w:numId w:val="7"/>
        </w:numPr>
        <w:jc w:val="center"/>
        <w:keepLines w:val="0"/>
        <w:keepNext w:val="0"/>
        <w:pageBreakBefore w:val="0"/>
        <w:spacing w:line="360" w:lineRule="auto"/>
        <w:widowControl w:val="off"/>
        <w:rPr>
          <w:rFonts w:hint="eastAsia" w:ascii="宋体" w:hAnsi="宋体" w:eastAsia="宋体" w:cs="宋体"/>
          <w:b/>
          <w:bCs/>
          <w:sz w:val="36"/>
          <w:highlight w:val="none"/>
        </w:rPr>
      </w:pPr>
      <w:r>
        <w:rPr>
          <w:rFonts w:hint="eastAsia" w:ascii="宋体" w:hAnsi="宋体" w:eastAsia="宋体" w:cs="宋体"/>
          <w:b/>
          <w:bCs/>
          <w:sz w:val="36"/>
          <w:highlight w:val="none"/>
        </w:rPr>
        <w:t xml:space="preserve">分项价格表</w:t>
      </w:r>
      <w:r/>
    </w:p>
    <w:p>
      <w:pPr>
        <w:numPr>
          <w:ilvl w:val="0"/>
          <w:numId w:val="0"/>
        </w:numPr>
        <w:jc w:val="center"/>
        <w:keepLines w:val="0"/>
        <w:keepNext w:val="0"/>
        <w:pageBreakBefore w:val="0"/>
        <w:spacing w:line="360" w:lineRule="auto"/>
        <w:widowControl w:val="off"/>
        <w:rPr>
          <w:rFonts w:hint="eastAsia"/>
        </w:rPr>
      </w:pPr>
      <w:r>
        <w:rPr>
          <w:rFonts w:hint="eastAsia" w:ascii="宋体" w:hAnsi="宋体" w:cs="宋体"/>
          <w:b/>
          <w:bCs/>
          <w:color w:val="auto"/>
          <w:sz w:val="36"/>
          <w:highlight w:val="none"/>
        </w:rPr>
        <w:t xml:space="preserve">（具有标价的工程量清单与报价表）</w:t>
      </w:r>
      <w:r/>
    </w:p>
    <w:p>
      <w:pPr>
        <w:keepLines w:val="0"/>
        <w:keepNext w:val="0"/>
        <w:pageBreakBefore w:val="0"/>
        <w:spacing w:line="360" w:lineRule="auto"/>
        <w:widowControl w:val="off"/>
        <w:rPr>
          <w:rFonts w:hint="eastAsia" w:ascii="宋体" w:hAnsi="宋体" w:cs="宋体"/>
          <w:sz w:val="24"/>
          <w:u w:val="single"/>
          <w:lang w:eastAsia="zh-CN"/>
        </w:rPr>
        <w:outlineLvl w:val="0"/>
      </w:pPr>
      <w:r>
        <w:rPr>
          <w:rFonts w:hint="eastAsia" w:ascii="宋体" w:hAnsi="宋体" w:eastAsia="宋体" w:cs="宋体"/>
          <w:sz w:val="24"/>
        </w:rPr>
        <w:t xml:space="preserve">项目名称：</w:t>
      </w:r>
      <w:r>
        <w:rPr>
          <w:rFonts w:hint="eastAsia" w:ascii="宋体" w:hAnsi="宋体" w:cs="宋体"/>
          <w:color w:val="auto"/>
          <w:sz w:val="24"/>
          <w:u w:val="single"/>
          <w:lang w:eastAsia="zh-CN"/>
        </w:rPr>
        <w:t xml:space="preserve">苏堤北路、凤鸣路、及青年路（故黄河-复兴路）工后道路恢复工程</w:t>
      </w:r>
      <w:r/>
    </w:p>
    <w:p>
      <w:pPr>
        <w:keepLines w:val="0"/>
        <w:keepNext w:val="0"/>
        <w:pageBreakBefore w:val="0"/>
        <w:spacing w:line="360" w:lineRule="auto"/>
        <w:widowControl w:val="off"/>
        <w:rPr>
          <w:rFonts w:hint="eastAsia" w:ascii="宋体" w:hAnsi="宋体" w:eastAsia="宋体" w:cs="宋体"/>
          <w:sz w:val="24"/>
          <w:u w:val="single"/>
          <w:lang w:val="en-US" w:eastAsia="zh-CN"/>
        </w:rPr>
        <w:outlineLvl w:val="0"/>
      </w:pPr>
      <w:r>
        <w:rPr>
          <w:rFonts w:hint="eastAsia" w:ascii="宋体" w:hAnsi="宋体" w:eastAsia="宋体" w:cs="宋体"/>
          <w:sz w:val="24"/>
        </w:rPr>
        <w:t xml:space="preserve">项目编号：</w:t>
      </w:r>
      <w:r>
        <w:rPr>
          <w:rFonts w:hint="eastAsia" w:ascii="宋体" w:hAnsi="宋体" w:cs="宋体"/>
          <w:color w:val="auto"/>
          <w:sz w:val="24"/>
          <w:szCs w:val="24"/>
          <w:u w:val="single"/>
          <w:lang w:eastAsia="zh-CN"/>
        </w:rPr>
        <w:t xml:space="preserve">JSZC-320300-RHGC-C2026-0005</w:t>
      </w:r>
      <w:r>
        <w:rPr>
          <w:rFonts w:hint="eastAsia" w:ascii="宋体" w:hAnsi="宋体" w:eastAsia="宋体" w:cs="宋体"/>
          <w:sz w:val="24"/>
          <w:u w:val="single"/>
        </w:rPr>
        <w:t xml:space="preserve">     </w:t>
      </w:r>
      <w:r>
        <w:rPr>
          <w:rFonts w:hint="eastAsia" w:ascii="宋体" w:hAnsi="宋体" w:eastAsia="宋体" w:cs="宋体"/>
          <w:sz w:val="24"/>
        </w:rPr>
        <w:t xml:space="preserve">      </w:t>
      </w:r>
      <w:r/>
    </w:p>
    <w:p>
      <w:pPr>
        <w:spacing w:line="360" w:lineRule="auto"/>
        <w:rPr>
          <w:rFonts w:hint="eastAsia" w:ascii="宋体" w:hAnsi="宋体" w:eastAsia="宋体" w:cs="宋体"/>
          <w:sz w:val="24"/>
        </w:rPr>
      </w:pPr>
      <w:r>
        <w:rPr>
          <w:rFonts w:hint="eastAsia" w:ascii="宋体" w:hAnsi="宋体" w:eastAsia="宋体" w:cs="宋体"/>
          <w:sz w:val="24"/>
        </w:rPr>
      </w:r>
      <w:r/>
    </w:p>
    <w:p>
      <w:pPr>
        <w:spacing w:line="360" w:lineRule="auto"/>
        <w:rPr>
          <w:rFonts w:hint="eastAsia" w:ascii="宋体" w:hAnsi="宋体" w:eastAsia="宋体" w:cs="宋体"/>
          <w:sz w:val="24"/>
        </w:rPr>
      </w:pPr>
      <w:r>
        <w:rPr>
          <w:rFonts w:hint="eastAsia" w:ascii="宋体" w:hAnsi="宋体" w:eastAsia="宋体" w:cs="宋体"/>
          <w:sz w:val="24"/>
        </w:rPr>
        <w:t xml:space="preserve">本次为首次报价</w:t>
      </w:r>
      <w:r/>
    </w:p>
    <w:p>
      <w:pPr>
        <w:ind w:firstLine="6000"/>
        <w:spacing w:line="360" w:lineRule="auto"/>
        <w:rPr>
          <w:rFonts w:hint="eastAsia" w:ascii="宋体" w:hAnsi="宋体" w:eastAsia="宋体" w:cs="宋体"/>
          <w:sz w:val="24"/>
        </w:rPr>
        <w:outlineLvl w:val="0"/>
      </w:pPr>
      <w:r>
        <w:rPr>
          <w:rFonts w:hint="eastAsia" w:ascii="宋体" w:hAnsi="宋体" w:eastAsia="宋体" w:cs="宋体"/>
          <w:sz w:val="24"/>
        </w:rPr>
        <w:t xml:space="preserve">货币单位：人民币元</w:t>
      </w:r>
      <w:r/>
    </w:p>
    <w:p>
      <w:pPr>
        <w:ind w:right="29"/>
        <w:spacing w:line="360" w:lineRule="auto"/>
        <w:rPr>
          <w:rFonts w:hint="eastAsia" w:ascii="宋体" w:hAnsi="宋体" w:cs="宋体"/>
          <w:sz w:val="24"/>
          <w:lang w:eastAsia="zh-CN"/>
        </w:rPr>
      </w:pPr>
      <w:r>
        <w:rPr>
          <w:rFonts w:hint="eastAsia" w:ascii="宋体" w:hAnsi="宋体" w:cs="宋体"/>
          <w:sz w:val="24"/>
          <w:lang w:eastAsia="zh-CN"/>
        </w:rPr>
      </w:r>
      <w:r/>
    </w:p>
    <w:p>
      <w:pPr>
        <w:ind w:right="29"/>
        <w:spacing w:line="360" w:lineRule="auto"/>
        <w:rPr>
          <w:rFonts w:hint="eastAsia" w:ascii="宋体" w:hAnsi="宋体" w:eastAsia="宋体" w:cs="宋体"/>
          <w:sz w:val="24"/>
        </w:rPr>
      </w:pPr>
      <w:r>
        <w:rPr>
          <w:rFonts w:hint="eastAsia" w:ascii="宋体" w:hAnsi="宋体" w:cs="宋体"/>
          <w:sz w:val="24"/>
          <w:lang w:eastAsia="zh-CN"/>
        </w:rPr>
        <w:t xml:space="preserve">（根据工程量清单进行编制）</w:t>
      </w:r>
      <w:r>
        <w:rPr>
          <w:rFonts w:hint="eastAsia" w:ascii="宋体" w:hAnsi="宋体" w:eastAsia="宋体" w:cs="宋体"/>
          <w:sz w:val="24"/>
        </w:rPr>
        <w:t xml:space="preserve">                         </w:t>
      </w:r>
      <w:r/>
    </w:p>
    <w:p>
      <w:pPr>
        <w:ind w:right="29"/>
        <w:spacing w:line="360" w:lineRule="auto"/>
        <w:rPr>
          <w:rFonts w:hint="eastAsia" w:ascii="宋体" w:hAnsi="宋体" w:eastAsia="宋体" w:cs="宋体"/>
          <w:sz w:val="24"/>
        </w:rPr>
      </w:pPr>
      <w:r>
        <w:rPr>
          <w:rFonts w:hint="eastAsia" w:ascii="宋体" w:hAnsi="宋体" w:eastAsia="宋体" w:cs="宋体"/>
          <w:sz w:val="24"/>
        </w:rPr>
      </w:r>
      <w:r/>
    </w:p>
    <w:p>
      <w:pPr>
        <w:ind w:right="29"/>
        <w:spacing w:line="360" w:lineRule="auto"/>
        <w:rPr>
          <w:rFonts w:hint="eastAsia" w:ascii="宋体" w:hAnsi="宋体" w:eastAsia="宋体" w:cs="宋体"/>
          <w:sz w:val="24"/>
        </w:rPr>
      </w:pPr>
      <w:r>
        <w:rPr>
          <w:rFonts w:hint="eastAsia" w:ascii="宋体" w:hAnsi="宋体" w:eastAsia="宋体" w:cs="宋体"/>
          <w:sz w:val="24"/>
        </w:rPr>
      </w:r>
      <w:r/>
    </w:p>
    <w:p>
      <w:pPr>
        <w:ind w:right="29"/>
        <w:spacing w:line="360" w:lineRule="auto"/>
        <w:rPr>
          <w:rFonts w:hint="eastAsia" w:ascii="宋体" w:hAnsi="宋体" w:eastAsia="宋体" w:cs="宋体"/>
          <w:sz w:val="24"/>
        </w:rPr>
      </w:pPr>
      <w:r>
        <w:rPr>
          <w:rFonts w:hint="eastAsia" w:ascii="宋体" w:hAnsi="宋体" w:eastAsia="宋体" w:cs="宋体"/>
          <w:sz w:val="24"/>
        </w:rPr>
      </w:r>
      <w:r/>
    </w:p>
    <w:p>
      <w:pPr>
        <w:ind w:right="29"/>
        <w:spacing w:line="360" w:lineRule="auto"/>
        <w:rPr>
          <w:rFonts w:hint="eastAsia" w:ascii="宋体" w:hAnsi="宋体" w:eastAsia="宋体" w:cs="宋体"/>
          <w:sz w:val="24"/>
        </w:rPr>
      </w:pPr>
      <w:r>
        <w:rPr>
          <w:rFonts w:hint="eastAsia" w:ascii="宋体" w:hAnsi="宋体" w:eastAsia="宋体" w:cs="宋体"/>
          <w:sz w:val="24"/>
        </w:rPr>
      </w:r>
      <w:r/>
    </w:p>
    <w:p>
      <w:pPr>
        <w:ind w:right="29"/>
        <w:spacing w:line="360" w:lineRule="auto"/>
        <w:rPr>
          <w:rFonts w:hint="eastAsia" w:ascii="宋体" w:hAnsi="宋体" w:eastAsia="宋体" w:cs="宋体"/>
          <w:sz w:val="24"/>
        </w:rPr>
      </w:pPr>
      <w:r>
        <w:rPr>
          <w:rFonts w:hint="eastAsia" w:ascii="宋体" w:hAnsi="宋体" w:eastAsia="宋体" w:cs="宋体"/>
          <w:sz w:val="24"/>
        </w:rPr>
      </w:r>
      <w:r/>
    </w:p>
    <w:p>
      <w:pPr>
        <w:ind w:right="29"/>
        <w:spacing w:line="360" w:lineRule="auto"/>
        <w:rPr>
          <w:rFonts w:hint="eastAsia" w:ascii="宋体" w:hAnsi="宋体" w:eastAsia="宋体" w:cs="宋体"/>
          <w:sz w:val="24"/>
        </w:rPr>
      </w:pPr>
      <w:r>
        <w:rPr>
          <w:rFonts w:hint="eastAsia" w:ascii="宋体" w:hAnsi="宋体" w:eastAsia="宋体" w:cs="宋体"/>
          <w:sz w:val="24"/>
        </w:rPr>
      </w:r>
      <w:r/>
    </w:p>
    <w:p>
      <w:pPr>
        <w:ind w:right="29"/>
        <w:spacing w:line="360" w:lineRule="auto"/>
        <w:rPr>
          <w:rFonts w:hint="eastAsia" w:ascii="宋体" w:hAnsi="宋体" w:eastAsia="宋体" w:cs="宋体"/>
          <w:sz w:val="24"/>
        </w:rPr>
      </w:pPr>
      <w:r>
        <w:rPr>
          <w:rFonts w:hint="eastAsia" w:ascii="宋体" w:hAnsi="宋体" w:eastAsia="宋体" w:cs="宋体"/>
          <w:sz w:val="24"/>
        </w:rPr>
      </w:r>
      <w:r/>
    </w:p>
    <w:p>
      <w:pPr>
        <w:ind w:right="29"/>
        <w:spacing w:line="360" w:lineRule="auto"/>
        <w:rPr>
          <w:rFonts w:hint="eastAsia" w:ascii="宋体" w:hAnsi="宋体" w:eastAsia="宋体" w:cs="宋体"/>
          <w:sz w:val="24"/>
        </w:rPr>
      </w:pPr>
      <w:r>
        <w:rPr>
          <w:rFonts w:hint="eastAsia" w:ascii="宋体" w:hAnsi="宋体" w:eastAsia="宋体" w:cs="宋体"/>
          <w:sz w:val="24"/>
        </w:rPr>
      </w:r>
      <w:r/>
    </w:p>
    <w:p>
      <w:pPr>
        <w:ind w:right="29" w:firstLine="3120"/>
        <w:spacing w:line="360" w:lineRule="auto"/>
        <w:rPr>
          <w:rFonts w:hint="eastAsia" w:ascii="宋体" w:hAnsi="宋体" w:eastAsia="宋体" w:cs="宋体"/>
          <w:sz w:val="24"/>
        </w:rPr>
      </w:pPr>
      <w:r>
        <w:rPr>
          <w:rFonts w:hint="eastAsia" w:ascii="宋体" w:hAnsi="宋体" w:eastAsia="宋体" w:cs="宋体"/>
          <w:sz w:val="24"/>
        </w:rPr>
        <w:t xml:space="preserve"> 供应商（</w:t>
      </w:r>
      <w:r>
        <w:rPr>
          <w:rFonts w:hint="eastAsia" w:ascii="宋体" w:hAnsi="宋体" w:eastAsia="宋体" w:cs="宋体"/>
          <w:sz w:val="24"/>
          <w:lang w:eastAsia="zh-CN"/>
        </w:rPr>
        <w:t xml:space="preserve">电子签章</w:t>
      </w:r>
      <w:r>
        <w:rPr>
          <w:rFonts w:hint="eastAsia" w:ascii="宋体" w:hAnsi="宋体" w:eastAsia="宋体" w:cs="宋体"/>
          <w:sz w:val="24"/>
        </w:rPr>
        <w:t xml:space="preserve">）：</w:t>
      </w:r>
      <w:r/>
    </w:p>
    <w:p>
      <w:pPr>
        <w:ind w:right="29"/>
        <w:spacing w:line="360" w:lineRule="auto"/>
        <w:rPr>
          <w:rFonts w:hint="eastAsia" w:ascii="宋体" w:hAnsi="宋体" w:eastAsia="宋体" w:cs="宋体"/>
          <w:color w:val="000000"/>
          <w:sz w:val="24"/>
        </w:rPr>
      </w:pPr>
      <w:r>
        <w:rPr>
          <w:rFonts w:hint="eastAsia" w:ascii="宋体" w:hAnsi="宋体" w:eastAsia="宋体" w:cs="宋体"/>
          <w:sz w:val="24"/>
        </w:rPr>
        <w:t xml:space="preserve">                           日期：</w:t>
      </w:r>
      <w:r/>
    </w:p>
    <w:p>
      <w:pPr>
        <w:rPr>
          <w:rFonts w:hint="eastAsia" w:ascii="宋体" w:hAnsi="宋体" w:eastAsia="宋体" w:cs="宋体"/>
        </w:rPr>
      </w:pPr>
      <w:r>
        <w:rPr>
          <w:rFonts w:hint="eastAsia" w:ascii="宋体" w:hAnsi="宋体" w:eastAsia="宋体" w:cs="宋体"/>
        </w:rPr>
      </w:r>
      <w:r/>
    </w:p>
    <w:p>
      <w:pPr>
        <w:spacing w:line="360" w:lineRule="auto"/>
        <w:rPr>
          <w:rFonts w:hint="eastAsia" w:ascii="宋体" w:hAnsi="宋体" w:eastAsia="宋体" w:cs="宋体"/>
          <w:sz w:val="24"/>
        </w:rPr>
      </w:pPr>
      <w:r>
        <w:rPr>
          <w:rFonts w:hint="eastAsia" w:ascii="宋体" w:hAnsi="宋体" w:eastAsia="宋体" w:cs="宋体"/>
          <w:sz w:val="24"/>
        </w:rPr>
        <w:t xml:space="preserve">注：1．如果按单价计算的结果与总价不一致，以总价为准。</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2．如果不提供详细分项报价将视为没有实质性响应。</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w:t>
      </w:r>
      <w:r>
        <w:rPr>
          <w:rFonts w:hint="eastAsia" w:ascii="宋体" w:hAnsi="宋体" w:cs="宋体"/>
          <w:sz w:val="24"/>
          <w:lang w:val="en-US" w:eastAsia="zh-CN"/>
        </w:rPr>
        <w:t xml:space="preserve"> </w:t>
      </w:r>
      <w:r>
        <w:rPr>
          <w:rFonts w:hint="eastAsia" w:ascii="宋体" w:hAnsi="宋体" w:eastAsia="宋体" w:cs="宋体"/>
          <w:sz w:val="24"/>
        </w:rPr>
        <w:t xml:space="preserve">供应商对以上数据的真实性负责。</w:t>
      </w:r>
      <w:r/>
    </w:p>
    <w:p>
      <w:pPr>
        <w:ind w:firstLine="482"/>
        <w:spacing w:line="360" w:lineRule="auto"/>
        <w:rPr>
          <w:rFonts w:hint="eastAsia" w:ascii="宋体" w:hAnsi="宋体" w:eastAsia="宋体" w:cs="宋体"/>
          <w:color w:val="000000"/>
          <w:sz w:val="24"/>
        </w:rPr>
      </w:pPr>
      <w:r>
        <w:rPr>
          <w:rFonts w:hint="eastAsia" w:ascii="宋体" w:hAnsi="宋体" w:cs="宋体"/>
          <w:b/>
          <w:iCs/>
          <w:color w:val="000000"/>
          <w:sz w:val="24"/>
          <w:u w:val="single"/>
          <w:lang w:eastAsia="zh-CN"/>
        </w:rPr>
        <w:t xml:space="preserve">江苏仁华工程项目管理有限公司</w:t>
      </w:r>
      <w:r>
        <w:rPr>
          <w:rFonts w:hint="eastAsia" w:ascii="宋体" w:hAnsi="宋体" w:eastAsia="宋体" w:cs="宋体"/>
          <w:b/>
          <w:iCs/>
          <w:color w:val="000000"/>
          <w:sz w:val="24"/>
          <w:u w:val="single"/>
        </w:rPr>
        <w:t xml:space="preserve">有权将以上内容进行公示。</w:t>
      </w:r>
      <w:r/>
    </w:p>
    <w:p>
      <w:pP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rPr>
      </w:pPr>
      <w:r>
        <w:rPr>
          <w:rFonts w:hint="eastAsia" w:ascii="宋体" w:hAnsi="宋体" w:eastAsia="宋体" w:cs="宋体"/>
          <w:sz w:val="24"/>
        </w:rPr>
      </w:r>
      <w:r/>
    </w:p>
    <w:p>
      <w:pPr>
        <w:pStyle w:val="1032"/>
        <w:rPr>
          <w:rFonts w:hint="eastAsia" w:ascii="宋体" w:hAnsi="宋体" w:eastAsia="宋体" w:cs="宋体"/>
          <w:sz w:val="24"/>
        </w:rPr>
      </w:pPr>
      <w:r>
        <w:rPr>
          <w:rFonts w:hint="eastAsia" w:ascii="宋体" w:hAnsi="宋体" w:eastAsia="宋体" w:cs="宋体"/>
          <w:sz w:val="24"/>
        </w:rPr>
      </w:r>
      <w:r/>
    </w:p>
    <w:p>
      <w:pPr>
        <w:jc w:val="both"/>
        <w:keepLines w:val="0"/>
        <w:keepNext w:val="0"/>
        <w:pageBreakBefore w:val="0"/>
        <w:spacing w:line="360" w:lineRule="auto"/>
        <w:widowControl w:val="off"/>
        <w:rPr>
          <w:rFonts w:hint="eastAsia" w:ascii="宋体" w:hAnsi="宋体" w:eastAsia="宋体" w:cs="宋体"/>
          <w:b/>
          <w:bCs/>
          <w:sz w:val="36"/>
        </w:rPr>
      </w:pPr>
      <w:r>
        <w:rPr>
          <w:rFonts w:hint="eastAsia" w:ascii="宋体" w:hAnsi="宋体" w:eastAsia="宋体" w:cs="宋体"/>
          <w:b/>
          <w:bCs/>
          <w:sz w:val="36"/>
        </w:rPr>
      </w:r>
      <w:r/>
    </w:p>
    <w:p>
      <w:pPr>
        <w:rPr>
          <w:rFonts w:hint="eastAsia"/>
        </w:rPr>
      </w:pPr>
      <w:r>
        <w:rPr>
          <w:rFonts w:hint="eastAsia"/>
        </w:rPr>
      </w:r>
      <w:r/>
    </w:p>
    <w:p>
      <w:pPr>
        <w:rPr>
          <w:rFonts w:hint="eastAsia"/>
        </w:rPr>
      </w:pPr>
      <w:r>
        <w:rPr>
          <w:rFonts w:hint="eastAsia"/>
        </w:rPr>
        <w:br w:type="page" w:clear="all"/>
      </w:r>
      <w:r/>
    </w:p>
    <w:p>
      <w:pPr>
        <w:rPr>
          <w:rFonts w:hint="eastAsia"/>
        </w:rPr>
      </w:pPr>
      <w:r>
        <w:rPr>
          <w:rFonts w:hint="eastAsia"/>
        </w:rPr>
      </w:r>
      <w:r/>
    </w:p>
    <w:p>
      <w:pPr>
        <w:numPr>
          <w:ilvl w:val="0"/>
          <w:numId w:val="8"/>
        </w:numPr>
        <w:jc w:val="center"/>
        <w:keepLines w:val="0"/>
        <w:keepNext w:val="0"/>
        <w:pageBreakBefore w:val="0"/>
        <w:spacing w:line="360" w:lineRule="auto"/>
        <w:widowControl w:val="off"/>
        <w:rPr>
          <w:rFonts w:hint="eastAsia" w:ascii="宋体" w:hAnsi="宋体" w:eastAsia="宋体" w:cs="宋体"/>
          <w:b/>
          <w:bCs/>
          <w:sz w:val="36"/>
          <w:lang w:val="en-US" w:eastAsia="zh-CN"/>
        </w:rPr>
      </w:pPr>
      <w:r>
        <w:rPr>
          <w:rFonts w:hint="eastAsia" w:ascii="宋体" w:hAnsi="宋体" w:eastAsia="宋体" w:cs="宋体"/>
          <w:b/>
          <w:bCs/>
          <w:sz w:val="36"/>
          <w:lang w:val="en-US" w:eastAsia="zh-CN"/>
        </w:rPr>
        <w:t xml:space="preserve">主要材料（设备）一览表</w:t>
      </w:r>
      <w:r/>
    </w:p>
    <w:p>
      <w:pPr>
        <w:keepLines w:val="0"/>
        <w:keepNext w:val="0"/>
        <w:pageBreakBefore w:val="0"/>
        <w:spacing w:line="360" w:lineRule="auto"/>
        <w:widowControl w:val="off"/>
        <w:rPr>
          <w:rFonts w:hint="eastAsia" w:ascii="宋体" w:hAnsi="宋体" w:cs="宋体"/>
          <w:sz w:val="24"/>
          <w:u w:val="single"/>
          <w:lang w:eastAsia="zh-CN"/>
        </w:rPr>
      </w:pPr>
      <w:r>
        <w:rPr>
          <w:rFonts w:hint="eastAsia" w:ascii="宋体" w:hAnsi="宋体" w:eastAsia="宋体" w:cs="宋体"/>
          <w:sz w:val="24"/>
        </w:rPr>
        <w:t xml:space="preserve">项目名称：</w:t>
      </w:r>
      <w:r>
        <w:rPr>
          <w:rFonts w:hint="eastAsia" w:ascii="宋体" w:hAnsi="宋体" w:cs="宋体"/>
          <w:color w:val="auto"/>
          <w:sz w:val="24"/>
          <w:u w:val="single"/>
          <w:lang w:eastAsia="zh-CN"/>
        </w:rPr>
        <w:t xml:space="preserve">苏堤北路、凤鸣路、及青年路（故黄河-复兴路）工后道路恢复工程</w:t>
      </w:r>
      <w:r/>
    </w:p>
    <w:p>
      <w:pPr>
        <w:keepLines w:val="0"/>
        <w:keepNext w:val="0"/>
        <w:pageBreakBefore w:val="0"/>
        <w:spacing w:line="360" w:lineRule="auto"/>
        <w:widowControl w:val="off"/>
        <w:rPr>
          <w:rFonts w:hint="eastAsia"/>
          <w:lang w:val="en-US" w:eastAsia="zh-CN"/>
        </w:rPr>
      </w:pPr>
      <w:r>
        <w:rPr>
          <w:rFonts w:hint="eastAsia" w:ascii="宋体" w:hAnsi="宋体" w:eastAsia="宋体" w:cs="宋体"/>
          <w:sz w:val="24"/>
        </w:rPr>
        <w:t xml:space="preserve">项目编号：</w:t>
      </w:r>
      <w:r>
        <w:rPr>
          <w:rFonts w:hint="eastAsia" w:ascii="宋体" w:hAnsi="宋体" w:cs="宋体"/>
          <w:color w:val="auto"/>
          <w:sz w:val="24"/>
          <w:szCs w:val="24"/>
          <w:u w:val="single"/>
          <w:lang w:eastAsia="zh-CN"/>
        </w:rPr>
        <w:t xml:space="preserve">JSZC-320300-RHGC-C2026-0005</w:t>
      </w:r>
      <w:r>
        <w:rPr>
          <w:rFonts w:hint="eastAsia" w:ascii="宋体" w:hAnsi="宋体" w:eastAsia="宋体" w:cs="宋体"/>
          <w:sz w:val="24"/>
          <w:u w:val="single"/>
        </w:rPr>
        <w:t xml:space="preserve">   </w:t>
      </w:r>
      <w:r/>
    </w:p>
    <w:p>
      <w:pPr>
        <w:pStyle w:val="998"/>
        <w:rPr>
          <w:rFonts w:hint="eastAsia"/>
          <w:lang w:val="en-US" w:eastAsia="zh-CN"/>
        </w:rPr>
      </w:pPr>
      <w:r>
        <w:rPr>
          <w:rFonts w:hint="eastAsia"/>
          <w:lang w:val="en-US" w:eastAsia="zh-CN"/>
        </w:rPr>
      </w:r>
      <w:r/>
    </w:p>
    <w:tbl>
      <w:tblPr>
        <w:tblStyle w:val="991"/>
        <w:tblW w:w="10520"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0" w:type="dxa"/>
          <w:top w:w="0" w:type="dxa"/>
          <w:right w:w="0" w:type="dxa"/>
          <w:bottom w:w="0" w:type="dxa"/>
        </w:tblCellMar>
        <w:tblLook w:val="04A0" w:firstRow="1" w:lastRow="0" w:firstColumn="1" w:lastColumn="0" w:noHBand="0" w:noVBand="1"/>
      </w:tblPr>
      <w:tblGrid>
        <w:gridCol w:w="555"/>
        <w:gridCol w:w="1080"/>
        <w:gridCol w:w="2062"/>
        <w:gridCol w:w="818"/>
        <w:gridCol w:w="1260"/>
        <w:gridCol w:w="2227"/>
        <w:gridCol w:w="1305"/>
        <w:gridCol w:w="1213"/>
      </w:tblGrid>
      <w:tr>
        <w:trPr>
          <w:jc w:val="center"/>
          <w:trHeight w:val="597"/>
        </w:trPr>
        <w:tc>
          <w:tcPr>
            <w:shd w:val="clear" w:color="auto" w:fill="c0c0c0"/>
            <w:tcBorders>
              <w:bottom w:val="single" w:color="000000" w:sz="4" w:space="0"/>
              <w:right w:val="single" w:color="000000" w:sz="4" w:space="0"/>
            </w:tcBorders>
            <w:tcW w:w="555"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序号</w:t>
            </w:r>
            <w:r/>
          </w:p>
        </w:tc>
        <w:tc>
          <w:tcPr>
            <w:shd w:val="clear" w:color="auto" w:fill="c0c0c0"/>
            <w:tcBorders>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材料编码</w:t>
            </w:r>
            <w:r/>
          </w:p>
        </w:tc>
        <w:tc>
          <w:tcPr>
            <w:shd w:val="clear" w:color="auto" w:fill="c0c0c0"/>
            <w:tcBorders>
              <w:left w:val="single" w:color="000000" w:sz="4" w:space="0"/>
              <w:bottom w:val="single" w:color="000000" w:sz="4" w:space="0"/>
              <w:right w:val="single" w:color="000000" w:sz="4" w:space="0"/>
            </w:tcBorders>
            <w:tcW w:w="206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材料（设备）名称</w:t>
            </w:r>
            <w:r/>
          </w:p>
        </w:tc>
        <w:tc>
          <w:tcPr>
            <w:shd w:val="clear" w:color="auto" w:fill="c0c0c0"/>
            <w:tcBorders>
              <w:left w:val="singl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品牌</w:t>
            </w:r>
            <w:r/>
          </w:p>
        </w:tc>
        <w:tc>
          <w:tcPr>
            <w:shd w:val="clear" w:color="auto" w:fill="c0c0c0"/>
            <w:tcBorders>
              <w:left w:val="single" w:color="000000" w:sz="4" w:space="0"/>
              <w:bottom w:val="single" w:color="000000" w:sz="4" w:space="0"/>
              <w:right w:val="single" w:color="000000" w:sz="4" w:space="0"/>
            </w:tcBorders>
            <w:tcW w:w="1260"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规格、型号</w:t>
            </w:r>
            <w:r/>
          </w:p>
        </w:tc>
        <w:tc>
          <w:tcPr>
            <w:shd w:val="clear" w:color="auto" w:fill="c0c0c0"/>
            <w:tcBorders>
              <w:left w:val="single" w:color="000000" w:sz="4" w:space="0"/>
              <w:bottom w:val="single" w:color="000000" w:sz="4" w:space="0"/>
              <w:right w:val="single" w:color="000000" w:sz="4" w:space="0"/>
            </w:tcBorders>
            <w:tcW w:w="2227"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产品制造企业名称</w:t>
            </w:r>
            <w:r/>
          </w:p>
        </w:tc>
        <w:tc>
          <w:tcPr>
            <w:shd w:val="clear" w:color="auto" w:fill="c0c0c0"/>
            <w:tcBorders>
              <w:left w:val="single" w:color="000000" w:sz="4" w:space="0"/>
              <w:bottom w:val="single" w:color="000000" w:sz="4" w:space="0"/>
              <w:right w:val="single" w:color="000000" w:sz="4" w:space="0"/>
            </w:tcBorders>
            <w:tcW w:w="1305"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单位</w:t>
            </w:r>
            <w:r/>
          </w:p>
        </w:tc>
        <w:tc>
          <w:tcPr>
            <w:shd w:val="clear" w:color="auto" w:fill="c0c0c0"/>
            <w:tcBorders>
              <w:left w:val="single" w:color="000000" w:sz="4" w:space="0"/>
              <w:bottom w:val="single" w:color="000000" w:sz="4" w:space="0"/>
              <w:right w:val="single" w:color="000000" w:sz="4" w:space="0"/>
            </w:tcBorders>
            <w:tcW w:w="1213"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备注</w:t>
            </w:r>
            <w:r/>
          </w:p>
        </w:tc>
      </w:tr>
      <w:tr>
        <w:trPr>
          <w:jc w:val="center"/>
          <w:trHeight w:val="327"/>
        </w:trPr>
        <w:tc>
          <w:tcPr>
            <w:tcBorders>
              <w:top w:val="single" w:color="000000" w:sz="4" w:space="0"/>
              <w:bottom w:val="single" w:color="000000" w:sz="4" w:space="0"/>
              <w:right w:val="single" w:color="000000" w:sz="4" w:space="0"/>
            </w:tcBorders>
            <w:tcW w:w="555"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1</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206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2227"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326"/>
        </w:trPr>
        <w:tc>
          <w:tcPr>
            <w:tcBorders>
              <w:top w:val="single" w:color="000000" w:sz="4" w:space="0"/>
              <w:bottom w:val="single" w:color="000000" w:sz="4" w:space="0"/>
              <w:right w:val="single" w:color="000000" w:sz="4" w:space="0"/>
            </w:tcBorders>
            <w:tcW w:w="555"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206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2227"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326"/>
        </w:trPr>
        <w:tc>
          <w:tcPr>
            <w:tcBorders>
              <w:top w:val="single" w:color="000000" w:sz="4" w:space="0"/>
              <w:bottom w:val="single" w:color="000000" w:sz="4" w:space="0"/>
              <w:right w:val="single" w:color="000000" w:sz="4" w:space="0"/>
            </w:tcBorders>
            <w:tcW w:w="555"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3</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206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2227"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336"/>
        </w:trPr>
        <w:tc>
          <w:tcPr>
            <w:tcBorders>
              <w:top w:val="single" w:color="000000" w:sz="4" w:space="0"/>
              <w:bottom w:val="single" w:color="000000" w:sz="4" w:space="0"/>
              <w:right w:val="single" w:color="000000" w:sz="4" w:space="0"/>
            </w:tcBorders>
            <w:tcW w:w="555"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4</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206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2227"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326"/>
        </w:trPr>
        <w:tc>
          <w:tcPr>
            <w:tcBorders>
              <w:top w:val="single" w:color="000000" w:sz="4" w:space="0"/>
              <w:bottom w:val="single" w:color="000000" w:sz="4" w:space="0"/>
              <w:right w:val="single" w:color="000000" w:sz="4" w:space="0"/>
            </w:tcBorders>
            <w:tcW w:w="555"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5</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206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2227"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327"/>
        </w:trPr>
        <w:tc>
          <w:tcPr>
            <w:tcBorders>
              <w:top w:val="single" w:color="000000" w:sz="4" w:space="0"/>
              <w:bottom w:val="single" w:color="000000" w:sz="4" w:space="0"/>
              <w:right w:val="single" w:color="000000" w:sz="4" w:space="0"/>
            </w:tcBorders>
            <w:tcW w:w="555" w:type="dxa"/>
            <w:vAlign w:val="center"/>
            <w:textDirection w:val="lrTb"/>
            <w:noWrap w:val="false"/>
          </w:tcPr>
          <w:p>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206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2227"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bl>
    <w:p>
      <w:pPr>
        <w:pStyle w:val="998"/>
        <w:ind w:left="0"/>
        <w:spacing w:before="0"/>
        <w:rPr>
          <w:rFonts w:hint="eastAsia" w:ascii="宋体" w:hAnsi="宋体" w:eastAsia="宋体" w:cs="宋体"/>
        </w:rPr>
      </w:pPr>
      <w:r>
        <w:rPr>
          <w:rFonts w:hint="eastAsia" w:ascii="宋体" w:hAnsi="宋体" w:eastAsia="宋体" w:cs="宋体"/>
        </w:rPr>
      </w:r>
      <w:r/>
    </w:p>
    <w:p>
      <w:pPr>
        <w:pStyle w:val="998"/>
        <w:ind w:left="0"/>
        <w:spacing w:before="0"/>
        <w:rPr>
          <w:rFonts w:hint="eastAsia" w:ascii="宋体" w:hAnsi="宋体" w:eastAsia="宋体" w:cs="宋体"/>
        </w:rPr>
      </w:pPr>
      <w:r>
        <w:rPr>
          <w:rFonts w:hint="eastAsia" w:ascii="宋体" w:hAnsi="宋体" w:eastAsia="宋体" w:cs="宋体"/>
        </w:rPr>
      </w:r>
      <w:r/>
    </w:p>
    <w:p>
      <w:pPr>
        <w:pStyle w:val="998"/>
        <w:ind w:left="0"/>
        <w:spacing w:before="0"/>
        <w:rPr>
          <w:rFonts w:hint="eastAsia" w:ascii="宋体" w:hAnsi="宋体" w:eastAsia="宋体" w:cs="宋体"/>
        </w:rPr>
      </w:pPr>
      <w:r>
        <w:rPr>
          <w:rFonts w:hint="eastAsia" w:ascii="宋体" w:hAnsi="宋体" w:eastAsia="宋体" w:cs="宋体"/>
        </w:rPr>
      </w:r>
      <w:r/>
    </w:p>
    <w:p>
      <w:pPr>
        <w:pStyle w:val="998"/>
        <w:ind w:left="0"/>
        <w:spacing w:before="0"/>
        <w:rPr>
          <w:rFonts w:hint="eastAsia" w:ascii="宋体" w:hAnsi="宋体" w:eastAsia="宋体" w:cs="宋体"/>
        </w:rPr>
      </w:pPr>
      <w:r>
        <w:rPr>
          <w:rFonts w:hint="eastAsia" w:ascii="宋体" w:hAnsi="宋体" w:eastAsia="宋体" w:cs="宋体"/>
        </w:rPr>
      </w:r>
      <w:r/>
    </w:p>
    <w:p>
      <w:pPr>
        <w:pStyle w:val="999"/>
        <w:rPr>
          <w:rFonts w:hint="eastAsia"/>
        </w:rPr>
      </w:pPr>
      <w:r>
        <w:rPr>
          <w:rFonts w:hint="eastAsia"/>
        </w:rPr>
      </w:r>
      <w:r/>
    </w:p>
    <w:p>
      <w:pPr>
        <w:pStyle w:val="998"/>
        <w:ind w:left="0"/>
        <w:spacing w:before="0"/>
        <w:rPr>
          <w:rFonts w:hint="eastAsia" w:ascii="宋体" w:hAnsi="宋体" w:eastAsia="宋体" w:cs="宋体"/>
        </w:rPr>
      </w:pPr>
      <w:r>
        <w:rPr>
          <w:rFonts w:hint="eastAsia" w:ascii="宋体" w:hAnsi="宋体" w:eastAsia="宋体" w:cs="宋体"/>
        </w:rPr>
      </w:r>
      <w:r/>
    </w:p>
    <w:p>
      <w:pPr>
        <w:ind w:right="29" w:firstLine="336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供应商（</w:t>
      </w:r>
      <w:r>
        <w:rPr>
          <w:rFonts w:hint="eastAsia" w:ascii="宋体" w:hAnsi="宋体" w:eastAsia="宋体" w:cs="宋体"/>
          <w:sz w:val="24"/>
          <w:lang w:eastAsia="zh-CN"/>
        </w:rPr>
        <w:t xml:space="preserve">电子签章</w:t>
      </w:r>
      <w:r>
        <w:rPr>
          <w:rFonts w:hint="eastAsia" w:ascii="宋体" w:hAnsi="宋体" w:eastAsia="宋体" w:cs="宋体"/>
          <w:sz w:val="24"/>
        </w:rPr>
        <w:t xml:space="preserve">）：</w:t>
      </w:r>
      <w:r/>
    </w:p>
    <w:p>
      <w:pPr>
        <w:ind w:right="29"/>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                        </w:t>
      </w:r>
      <w:r/>
    </w:p>
    <w:p>
      <w:pPr>
        <w:ind w:right="29"/>
        <w:keepLines w:val="0"/>
        <w:keepNext w:val="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rPr>
        <w:t xml:space="preserve">                           </w:t>
      </w:r>
      <w:r>
        <w:rPr>
          <w:rFonts w:hint="eastAsia" w:ascii="宋体" w:hAnsi="宋体" w:eastAsia="宋体" w:cs="宋体"/>
          <w:sz w:val="24"/>
          <w:lang w:val="en-US" w:eastAsia="zh-CN"/>
        </w:rPr>
        <w:t xml:space="preserve"> </w:t>
      </w:r>
      <w:r>
        <w:rPr>
          <w:rFonts w:hint="eastAsia" w:ascii="宋体" w:hAnsi="宋体" w:eastAsia="宋体" w:cs="宋体"/>
          <w:sz w:val="24"/>
        </w:rPr>
        <w:t xml:space="preserve">日期：</w:t>
      </w:r>
      <w:r/>
    </w:p>
    <w:p>
      <w:pPr>
        <w:rPr>
          <w:rFonts w:hint="eastAsia" w:ascii="宋体" w:hAnsi="宋体" w:eastAsia="宋体" w:cs="宋体"/>
          <w:lang w:val="en-US" w:eastAsia="zh-CN"/>
        </w:rPr>
      </w:pPr>
      <w:r>
        <w:rPr>
          <w:rFonts w:hint="eastAsia" w:ascii="宋体" w:hAnsi="宋体" w:eastAsia="宋体" w:cs="宋体"/>
          <w:lang w:val="en-US" w:eastAsia="zh-CN"/>
        </w:rPr>
      </w:r>
      <w:r/>
    </w:p>
    <w:p>
      <w:pPr>
        <w:pStyle w:val="1041"/>
        <w:rPr>
          <w:rFonts w:hint="eastAsia" w:ascii="宋体" w:hAnsi="宋体" w:eastAsia="宋体" w:cs="宋体"/>
          <w:lang w:val="en-US" w:eastAsia="zh-CN"/>
        </w:rPr>
      </w:pPr>
      <w:r>
        <w:rPr>
          <w:rFonts w:hint="eastAsia" w:ascii="宋体" w:hAnsi="宋体" w:eastAsia="宋体" w:cs="宋体"/>
          <w:lang w:val="en-US" w:eastAsia="zh-CN"/>
        </w:rPr>
      </w:r>
      <w:r/>
    </w:p>
    <w:p>
      <w:pPr>
        <w:rPr>
          <w:rFonts w:hint="eastAsia" w:ascii="宋体" w:hAnsi="宋体" w:eastAsia="宋体" w:cs="宋体"/>
          <w:lang w:val="en-US" w:eastAsia="zh-CN"/>
        </w:rPr>
      </w:pPr>
      <w:r>
        <w:rPr>
          <w:rFonts w:hint="eastAsia" w:ascii="宋体" w:hAnsi="宋体" w:eastAsia="宋体" w:cs="宋体"/>
          <w:lang w:val="en-US" w:eastAsia="zh-CN"/>
        </w:rPr>
      </w:r>
      <w:r/>
    </w:p>
    <w:p>
      <w:pPr>
        <w:pStyle w:val="1041"/>
        <w:rPr>
          <w:rFonts w:hint="eastAsia" w:ascii="宋体" w:hAnsi="宋体" w:eastAsia="宋体" w:cs="宋体"/>
          <w:lang w:val="en-US" w:eastAsia="zh-CN"/>
        </w:rPr>
      </w:pPr>
      <w:r>
        <w:rPr>
          <w:rFonts w:hint="eastAsia" w:ascii="宋体" w:hAnsi="宋体" w:eastAsia="宋体" w:cs="宋体"/>
          <w:lang w:val="en-US" w:eastAsia="zh-CN"/>
        </w:rPr>
      </w:r>
      <w:r/>
    </w:p>
    <w:p>
      <w:pPr>
        <w:rPr>
          <w:rFonts w:hint="eastAsia"/>
          <w:lang w:val="en-US" w:eastAsia="zh-CN"/>
        </w:rPr>
      </w:pPr>
      <w:r>
        <w:rPr>
          <w:rFonts w:hint="eastAsia"/>
          <w:lang w:val="en-US" w:eastAsia="zh-CN"/>
        </w:rPr>
      </w:r>
      <w:r/>
    </w:p>
    <w:p>
      <w:pPr>
        <w:rPr>
          <w:rFonts w:hint="eastAsia" w:ascii="宋体" w:hAnsi="宋体" w:eastAsia="宋体" w:cs="宋体"/>
          <w:lang w:val="en-US" w:eastAsia="zh-CN"/>
        </w:rPr>
      </w:pPr>
      <w:r>
        <w:rPr>
          <w:rFonts w:hint="eastAsia" w:ascii="宋体" w:hAnsi="宋体" w:eastAsia="宋体" w:cs="宋体"/>
          <w:lang w:val="en-US" w:eastAsia="zh-CN"/>
        </w:rPr>
      </w:r>
      <w:r/>
    </w:p>
    <w:p>
      <w:pPr>
        <w:pStyle w:val="983"/>
        <w:ind w:left="0" w:firstLine="480"/>
        <w:keepLines w:val="0"/>
        <w:keepNext w:val="0"/>
        <w:pageBreakBefore w:val="0"/>
        <w:spacing w:before="0" w:after="0" w:line="360" w:lineRule="auto"/>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注：1.如果不提供《主要材料（设备）一览表》将视为没有实质性响应。</w:t>
      </w:r>
      <w:r/>
    </w:p>
    <w:p>
      <w:pPr>
        <w:ind w:firstLine="960"/>
        <w:keepLines w:val="0"/>
        <w:keepNext w:val="0"/>
        <w:pageBreakBefore w:val="0"/>
        <w:spacing w:line="360" w:lineRule="auto"/>
        <w:widowControl w:val="off"/>
        <w:tabs>
          <w:tab w:val="left" w:pos="895" w:leader="none"/>
        </w:tabs>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2.供应商对以上数据的真实性负责。</w:t>
      </w:r>
      <w:r/>
    </w:p>
    <w:p>
      <w:pPr>
        <w:jc w:val="center"/>
        <w:keepLines w:val="0"/>
        <w:keepNext w:val="0"/>
        <w:pageBreakBefore w:val="0"/>
        <w:spacing w:line="360" w:lineRule="auto"/>
        <w:widowControl w:val="off"/>
        <w:rPr>
          <w:rFonts w:hint="eastAsia" w:ascii="宋体" w:hAnsi="宋体" w:eastAsia="宋体" w:cs="宋体"/>
          <w:b/>
          <w:bCs/>
          <w:sz w:val="36"/>
        </w:rPr>
      </w:pPr>
      <w:r>
        <w:rPr>
          <w:rFonts w:hint="eastAsia" w:ascii="宋体" w:hAnsi="宋体" w:eastAsia="宋体" w:cs="宋体"/>
          <w:b/>
          <w:bCs/>
          <w:sz w:val="36"/>
        </w:rPr>
      </w:r>
      <w:r/>
    </w:p>
    <w:p>
      <w:pPr>
        <w:pStyle w:val="1041"/>
        <w:ind w:left="0" w:firstLine="0"/>
        <w:rPr>
          <w:rFonts w:hint="eastAsia" w:ascii="宋体" w:hAnsi="宋体" w:eastAsia="宋体" w:cs="宋体"/>
          <w:b/>
          <w:bCs/>
          <w:sz w:val="36"/>
        </w:rPr>
      </w:pPr>
      <w:r>
        <w:rPr>
          <w:rFonts w:hint="eastAsia" w:ascii="宋体" w:hAnsi="宋体" w:eastAsia="宋体" w:cs="宋体"/>
          <w:b/>
          <w:bCs/>
          <w:sz w:val="36"/>
        </w:rPr>
      </w:r>
      <w:r/>
    </w:p>
    <w:p>
      <w:pPr>
        <w:rPr>
          <w:rFonts w:hint="eastAsia"/>
        </w:rPr>
      </w:pPr>
      <w:r>
        <w:rPr>
          <w:rFonts w:hint="eastAsia"/>
        </w:rPr>
      </w:r>
      <w:r/>
    </w:p>
    <w:p>
      <w:pPr>
        <w:pStyle w:val="998"/>
        <w:rPr>
          <w:rFonts w:hint="eastAsia"/>
        </w:rPr>
      </w:pPr>
      <w:r>
        <w:rPr>
          <w:rFonts w:hint="eastAsia"/>
        </w:rPr>
      </w:r>
      <w:r/>
    </w:p>
    <w:p>
      <w:pPr>
        <w:rPr>
          <w:rFonts w:hint="eastAsia" w:ascii="宋体" w:hAnsi="宋体" w:cs="宋体"/>
          <w:b/>
          <w:bCs/>
          <w:sz w:val="36"/>
          <w:lang w:val="en-US" w:eastAsia="zh-CN"/>
        </w:rPr>
      </w:pPr>
      <w:r>
        <w:rPr>
          <w:rFonts w:hint="eastAsia" w:ascii="宋体" w:hAnsi="宋体" w:cs="宋体"/>
          <w:b/>
          <w:bCs/>
          <w:sz w:val="36"/>
          <w:lang w:val="en-US" w:eastAsia="zh-CN"/>
        </w:rPr>
        <w:br w:type="page" w:clear="all"/>
      </w:r>
      <w:r/>
    </w:p>
    <w:p>
      <w:pPr>
        <w:jc w:val="center"/>
        <w:keepLines w:val="0"/>
        <w:keepNext w:val="0"/>
        <w:pageBreakBefore w:val="0"/>
        <w:spacing w:line="360" w:lineRule="auto"/>
        <w:widowControl w:val="off"/>
        <w:rPr>
          <w:rFonts w:hint="eastAsia" w:ascii="宋体" w:hAnsi="宋体" w:eastAsia="宋体" w:cs="宋体"/>
          <w:b/>
          <w:bCs/>
          <w:sz w:val="36"/>
        </w:rPr>
      </w:pPr>
      <w:r>
        <w:rPr>
          <w:rFonts w:hint="eastAsia" w:ascii="宋体" w:hAnsi="宋体" w:cs="宋体"/>
          <w:b/>
          <w:bCs/>
          <w:sz w:val="36"/>
          <w:lang w:val="en-US" w:eastAsia="zh-CN"/>
        </w:rPr>
        <w:t xml:space="preserve">6</w:t>
      </w:r>
      <w:r>
        <w:rPr>
          <w:rFonts w:hint="eastAsia" w:ascii="宋体" w:hAnsi="宋体" w:eastAsia="宋体" w:cs="宋体"/>
          <w:b/>
          <w:bCs/>
          <w:sz w:val="36"/>
        </w:rPr>
        <w:t xml:space="preserve">、偏离表</w:t>
      </w:r>
      <w:r/>
    </w:p>
    <w:p>
      <w:pPr>
        <w:jc w:val="center"/>
        <w:keepLines w:val="0"/>
        <w:keepNext w:val="0"/>
        <w:pageBreakBefore w:val="0"/>
        <w:spacing w:line="360" w:lineRule="auto"/>
        <w:widowControl w:val="off"/>
        <w:rPr>
          <w:rFonts w:hint="eastAsia" w:ascii="宋体" w:hAnsi="宋体" w:eastAsia="宋体" w:cs="宋体"/>
          <w:b/>
          <w:bCs/>
          <w:sz w:val="36"/>
        </w:rPr>
        <w:outlineLvl w:val="0"/>
      </w:pPr>
      <w:r>
        <w:rPr>
          <w:rFonts w:hint="eastAsia" w:ascii="宋体" w:hAnsi="宋体" w:eastAsia="宋体" w:cs="宋体"/>
          <w:sz w:val="24"/>
        </w:rPr>
        <w:t xml:space="preserve">（首次报价）</w:t>
      </w:r>
      <w:r/>
    </w:p>
    <w:p>
      <w:pPr>
        <w:spacing w:line="360" w:lineRule="auto"/>
        <w:rPr>
          <w:rFonts w:hint="eastAsia" w:ascii="宋体" w:hAnsi="宋体" w:cs="宋体"/>
          <w:sz w:val="24"/>
          <w:u w:val="single"/>
          <w:lang w:eastAsia="zh-CN"/>
        </w:rPr>
      </w:pPr>
      <w:r>
        <w:rPr>
          <w:rFonts w:hint="eastAsia" w:ascii="宋体" w:hAnsi="宋体" w:eastAsia="宋体" w:cs="宋体"/>
          <w:sz w:val="24"/>
        </w:rPr>
        <w:t xml:space="preserve">项目名称：</w:t>
      </w:r>
      <w:r>
        <w:rPr>
          <w:rFonts w:hint="eastAsia" w:ascii="宋体" w:hAnsi="宋体" w:cs="宋体"/>
          <w:color w:val="auto"/>
          <w:sz w:val="24"/>
          <w:u w:val="single"/>
          <w:lang w:eastAsia="zh-CN"/>
        </w:rPr>
        <w:t xml:space="preserve">苏堤北路、凤鸣路、及青年路（故黄河-复兴路）工后道路恢复工程</w:t>
      </w:r>
      <w:r/>
    </w:p>
    <w:p>
      <w:pPr>
        <w:spacing w:line="360" w:lineRule="auto"/>
        <w:rPr>
          <w:rFonts w:hint="eastAsia" w:ascii="宋体" w:hAnsi="宋体" w:eastAsia="宋体" w:cs="宋体"/>
          <w:sz w:val="24"/>
          <w:u w:val="single"/>
          <w:lang w:val="en-US" w:eastAsia="zh-CN"/>
        </w:rPr>
      </w:pPr>
      <w:r>
        <w:rPr>
          <w:rFonts w:hint="eastAsia" w:ascii="宋体" w:hAnsi="宋体" w:eastAsia="宋体" w:cs="宋体"/>
          <w:sz w:val="24"/>
        </w:rPr>
        <w:t xml:space="preserve">项目编号：</w:t>
      </w:r>
      <w:r>
        <w:rPr>
          <w:rFonts w:hint="eastAsia" w:ascii="宋体" w:hAnsi="宋体" w:cs="宋体"/>
          <w:color w:val="auto"/>
          <w:sz w:val="24"/>
          <w:szCs w:val="24"/>
          <w:u w:val="single"/>
          <w:lang w:eastAsia="zh-CN"/>
        </w:rPr>
        <w:t xml:space="preserve">JSZC-320300-RHGC-C2026-0005</w:t>
      </w:r>
      <w:r>
        <w:rPr>
          <w:rFonts w:hint="eastAsia" w:ascii="宋体" w:hAnsi="宋体" w:eastAsia="宋体" w:cs="宋体"/>
          <w:sz w:val="24"/>
          <w:u w:val="single"/>
        </w:rPr>
        <w:t xml:space="preserve">  </w:t>
      </w:r>
      <w:r/>
    </w:p>
    <w:p>
      <w:pPr>
        <w:jc w:val="left"/>
        <w:spacing w:line="0" w:lineRule="atLeast"/>
        <w:rPr>
          <w:rFonts w:hint="eastAsia" w:ascii="宋体" w:hAnsi="宋体" w:eastAsia="宋体" w:cs="宋体"/>
          <w:sz w:val="24"/>
        </w:rPr>
      </w:pPr>
      <w:r>
        <w:rPr>
          <w:rFonts w:hint="eastAsia" w:ascii="宋体" w:hAnsi="宋体" w:eastAsia="宋体" w:cs="宋体"/>
          <w:sz w:val="24"/>
        </w:rPr>
      </w:r>
      <w:r/>
    </w:p>
    <w:tbl>
      <w:tblPr>
        <w:tblStyle w:val="991"/>
        <w:tblW w:w="0" w:type="auto"/>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28"/>
        <w:gridCol w:w="900"/>
        <w:gridCol w:w="2491"/>
        <w:gridCol w:w="1469"/>
        <w:gridCol w:w="1260"/>
        <w:gridCol w:w="1980"/>
      </w:tblGrid>
      <w:tr>
        <w:trPr>
          <w:jc w:val="center"/>
          <w:trHeight w:val="41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jc w:val="center"/>
              <w:rPr>
                <w:rFonts w:hint="eastAsia" w:ascii="宋体" w:hAnsi="宋体" w:eastAsia="宋体" w:cs="宋体"/>
                <w:caps/>
                <w:sz w:val="24"/>
              </w:rPr>
            </w:pPr>
            <w:r>
              <w:rPr>
                <w:rFonts w:hint="eastAsia" w:ascii="宋体" w:hAnsi="宋体" w:eastAsia="宋体" w:cs="宋体"/>
                <w:caps/>
                <w:sz w:val="24"/>
              </w:rPr>
              <w:t xml:space="preserve">序号</w:t>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jc w:val="center"/>
              <w:rPr>
                <w:rFonts w:hint="eastAsia" w:ascii="宋体" w:hAnsi="宋体" w:eastAsia="宋体" w:cs="宋体"/>
                <w:caps/>
                <w:sz w:val="24"/>
              </w:rPr>
            </w:pPr>
            <w:r>
              <w:rPr>
                <w:rFonts w:hint="eastAsia" w:ascii="宋体" w:hAnsi="宋体" w:eastAsia="宋体" w:cs="宋体"/>
                <w:caps/>
                <w:sz w:val="24"/>
              </w:rPr>
              <w:t xml:space="preserve">偏离内容</w:t>
            </w:r>
            <w:r/>
          </w:p>
        </w:tc>
        <w:tc>
          <w:tcPr>
            <w:tcBorders>
              <w:top w:val="single" w:color="000000" w:sz="6" w:space="0"/>
              <w:left w:val="single" w:color="000000" w:sz="6" w:space="0"/>
              <w:bottom w:val="single" w:color="000000" w:sz="6" w:space="0"/>
              <w:right w:val="single" w:color="000000" w:sz="6" w:space="0"/>
            </w:tcBorders>
            <w:tcW w:w="2491" w:type="dxa"/>
            <w:textDirection w:val="lrTb"/>
            <w:noWrap w:val="false"/>
          </w:tcPr>
          <w:p>
            <w:pPr>
              <w:jc w:val="center"/>
              <w:rPr>
                <w:rFonts w:hint="eastAsia" w:ascii="宋体" w:hAnsi="宋体" w:eastAsia="宋体" w:cs="宋体"/>
                <w:caps/>
                <w:sz w:val="24"/>
              </w:rPr>
            </w:pPr>
            <w:r>
              <w:rPr>
                <w:rFonts w:hint="eastAsia" w:ascii="宋体" w:hAnsi="宋体" w:eastAsia="宋体" w:cs="宋体"/>
                <w:sz w:val="24"/>
              </w:rPr>
              <w:t xml:space="preserve">竞争性磋商文件（含竞争性磋商文件的澄清或者修改）的要求</w:t>
            </w:r>
            <w:r/>
          </w:p>
        </w:tc>
        <w:tc>
          <w:tcPr>
            <w:tcBorders>
              <w:top w:val="single" w:color="000000" w:sz="6" w:space="0"/>
              <w:left w:val="single" w:color="000000" w:sz="6" w:space="0"/>
              <w:bottom w:val="single" w:color="000000" w:sz="6" w:space="0"/>
              <w:right w:val="single" w:color="000000" w:sz="6" w:space="0"/>
            </w:tcBorders>
            <w:tcW w:w="1469" w:type="dxa"/>
            <w:textDirection w:val="lrTb"/>
            <w:noWrap w:val="false"/>
          </w:tcPr>
          <w:p>
            <w:pPr>
              <w:jc w:val="center"/>
              <w:rPr>
                <w:rFonts w:hint="eastAsia" w:ascii="宋体" w:hAnsi="宋体" w:eastAsia="宋体" w:cs="宋体"/>
                <w:caps/>
                <w:sz w:val="24"/>
              </w:rPr>
            </w:pPr>
            <w:r>
              <w:rPr>
                <w:rFonts w:hint="eastAsia" w:ascii="宋体" w:hAnsi="宋体" w:eastAsia="宋体" w:cs="宋体"/>
                <w:sz w:val="24"/>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rPr>
                <w:rFonts w:hint="eastAsia" w:ascii="宋体" w:hAnsi="宋体" w:eastAsia="宋体" w:cs="宋体"/>
                <w:caps/>
                <w:sz w:val="24"/>
              </w:rPr>
            </w:pPr>
            <w:r>
              <w:rPr>
                <w:rFonts w:hint="eastAsia" w:ascii="宋体" w:hAnsi="宋体" w:eastAsia="宋体" w:cs="宋体"/>
                <w:caps/>
                <w:sz w:val="24"/>
              </w:rPr>
              <w:t xml:space="preserve">（正/负/无）偏离</w:t>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jc w:val="center"/>
              <w:rPr>
                <w:rFonts w:hint="eastAsia" w:ascii="宋体" w:hAnsi="宋体" w:eastAsia="宋体" w:cs="宋体"/>
                <w:caps/>
                <w:sz w:val="24"/>
              </w:rPr>
            </w:pPr>
            <w:r>
              <w:rPr>
                <w:rFonts w:hint="eastAsia" w:ascii="宋体" w:hAnsi="宋体" w:eastAsia="宋体" w:cs="宋体"/>
                <w:caps/>
                <w:sz w:val="24"/>
              </w:rPr>
              <w:t xml:space="preserve">说明</w:t>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val="false"/>
          </w:tcPr>
          <w:p>
            <w:pPr>
              <w:jc w:val="center"/>
              <w:rPr>
                <w:rFonts w:hint="eastAsia" w:ascii="宋体" w:hAnsi="宋体" w:eastAsia="宋体" w:cs="宋体"/>
                <w:caps/>
                <w:sz w:val="24"/>
              </w:rPr>
            </w:pPr>
            <w:r>
              <w:rPr>
                <w:rFonts w:hint="eastAsia" w:ascii="宋体" w:hAnsi="宋体" w:eastAsia="宋体" w:cs="宋体"/>
                <w:caps/>
                <w:sz w:val="24"/>
              </w:rPr>
            </w:r>
            <w:r/>
          </w:p>
        </w:tc>
        <w:tc>
          <w:tcPr>
            <w:tcBorders>
              <w:top w:val="single" w:color="000000" w:sz="6" w:space="0"/>
              <w:left w:val="single" w:color="000000" w:sz="6" w:space="0"/>
              <w:bottom w:val="single" w:color="000000" w:sz="6" w:space="0"/>
              <w:right w:val="single" w:color="000000" w:sz="6" w:space="0"/>
            </w:tcBorders>
            <w:tcW w:w="900" w:type="dxa"/>
            <w:vAlign w:val="center"/>
            <w:textDirection w:val="lrTb"/>
            <w:noWrap w:val="false"/>
          </w:tcPr>
          <w:p>
            <w:pPr>
              <w:jc w:val="center"/>
              <w:rPr>
                <w:rFonts w:hint="eastAsia" w:ascii="宋体" w:hAnsi="宋体" w:eastAsia="宋体" w:cs="宋体"/>
                <w:caps/>
                <w:sz w:val="24"/>
              </w:rPr>
            </w:pPr>
            <w:r>
              <w:rPr>
                <w:rFonts w:hint="eastAsia" w:ascii="宋体" w:hAnsi="宋体" w:eastAsia="宋体" w:cs="宋体"/>
                <w:caps/>
                <w:sz w:val="24"/>
              </w:rPr>
            </w:r>
            <w:r/>
          </w:p>
        </w:tc>
        <w:tc>
          <w:tcPr>
            <w:tcBorders>
              <w:top w:val="single" w:color="000000" w:sz="6" w:space="0"/>
              <w:left w:val="single" w:color="000000" w:sz="6" w:space="0"/>
              <w:bottom w:val="single" w:color="000000" w:sz="6" w:space="0"/>
              <w:right w:val="single" w:color="000000" w:sz="6" w:space="0"/>
            </w:tcBorders>
            <w:tcW w:w="2491" w:type="dxa"/>
            <w:vAlign w:val="center"/>
            <w:textDirection w:val="lrTb"/>
            <w:noWrap w:val="false"/>
          </w:tcPr>
          <w:p>
            <w:pPr>
              <w:jc w:val="center"/>
              <w:rPr>
                <w:rFonts w:hint="eastAsia" w:ascii="宋体" w:hAnsi="宋体" w:eastAsia="宋体" w:cs="宋体"/>
                <w:caps/>
                <w:sz w:val="24"/>
              </w:rPr>
            </w:pPr>
            <w:r>
              <w:rPr>
                <w:rFonts w:hint="eastAsia" w:ascii="宋体" w:hAnsi="宋体" w:eastAsia="宋体" w:cs="宋体"/>
                <w:caps/>
                <w:sz w:val="24"/>
              </w:rPr>
            </w:r>
            <w:r/>
          </w:p>
        </w:tc>
        <w:tc>
          <w:tcPr>
            <w:tcBorders>
              <w:top w:val="single" w:color="000000" w:sz="6" w:space="0"/>
              <w:left w:val="single" w:color="000000" w:sz="6" w:space="0"/>
              <w:bottom w:val="single" w:color="000000" w:sz="6" w:space="0"/>
              <w:right w:val="single" w:color="000000" w:sz="6" w:space="0"/>
            </w:tcBorders>
            <w:tcW w:w="1469" w:type="dxa"/>
            <w:vAlign w:val="center"/>
            <w:textDirection w:val="lrTb"/>
            <w:noWrap w:val="false"/>
          </w:tcPr>
          <w:p>
            <w:pPr>
              <w:jc w:val="center"/>
              <w:rPr>
                <w:rFonts w:hint="eastAsia" w:ascii="宋体" w:hAnsi="宋体" w:eastAsia="宋体" w:cs="宋体"/>
                <w:caps/>
                <w:sz w:val="24"/>
              </w:rPr>
            </w:pPr>
            <w:r>
              <w:rPr>
                <w:rFonts w:hint="eastAsia" w:ascii="宋体" w:hAnsi="宋体" w:eastAsia="宋体" w:cs="宋体"/>
                <w:caps/>
                <w:sz w:val="24"/>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jc w:val="center"/>
              <w:rPr>
                <w:rFonts w:hint="eastAsia" w:ascii="宋体" w:hAnsi="宋体" w:eastAsia="宋体" w:cs="宋体"/>
                <w:caps/>
                <w:sz w:val="24"/>
              </w:rPr>
            </w:pPr>
            <w:r>
              <w:rPr>
                <w:rFonts w:hint="eastAsia" w:ascii="宋体" w:hAnsi="宋体" w:eastAsia="宋体" w:cs="宋体"/>
                <w:caps/>
                <w:sz w:val="24"/>
              </w:rPr>
            </w:r>
            <w:r/>
          </w:p>
        </w:tc>
        <w:tc>
          <w:tcPr>
            <w:tcBorders>
              <w:top w:val="single" w:color="000000" w:sz="6" w:space="0"/>
              <w:left w:val="single" w:color="000000" w:sz="6" w:space="0"/>
              <w:bottom w:val="single" w:color="000000" w:sz="6" w:space="0"/>
              <w:right w:val="single" w:color="000000" w:sz="6" w:space="0"/>
            </w:tcBorders>
            <w:tcW w:w="1980" w:type="dxa"/>
            <w:vAlign w:val="center"/>
            <w:textDirection w:val="lrTb"/>
            <w:noWrap w:val="false"/>
          </w:tcPr>
          <w:p>
            <w:pPr>
              <w:jc w:val="center"/>
              <w:rPr>
                <w:rFonts w:hint="eastAsia" w:ascii="宋体" w:hAnsi="宋体" w:eastAsia="宋体" w:cs="宋体"/>
                <w:caps/>
                <w:sz w:val="24"/>
              </w:rPr>
            </w:pPr>
            <w:r>
              <w:rPr>
                <w:rFonts w:hint="eastAsia" w:ascii="宋体" w:hAnsi="宋体" w:eastAsia="宋体" w:cs="宋体"/>
                <w:caps/>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2491" w:type="dxa"/>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469" w:type="dxa"/>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rPr>
                <w:rFonts w:hint="eastAsia" w:ascii="宋体" w:hAnsi="宋体" w:eastAsia="宋体" w:cs="宋体"/>
                <w:sz w:val="24"/>
              </w:rPr>
            </w:pPr>
            <w:r>
              <w:rPr>
                <w:rFonts w:hint="eastAsia" w:ascii="宋体" w:hAnsi="宋体" w:eastAsia="宋体" w:cs="宋体"/>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2491" w:type="dxa"/>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469" w:type="dxa"/>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rPr>
                <w:rFonts w:hint="eastAsia" w:ascii="宋体" w:hAnsi="宋体" w:eastAsia="宋体" w:cs="宋体"/>
                <w:sz w:val="24"/>
              </w:rPr>
            </w:pPr>
            <w:r>
              <w:rPr>
                <w:rFonts w:hint="eastAsia" w:ascii="宋体" w:hAnsi="宋体" w:eastAsia="宋体" w:cs="宋体"/>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2491" w:type="dxa"/>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469" w:type="dxa"/>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rPr>
                <w:rFonts w:hint="eastAsia" w:ascii="宋体" w:hAnsi="宋体" w:eastAsia="宋体" w:cs="宋体"/>
                <w:sz w:val="24"/>
              </w:rPr>
            </w:pPr>
            <w:r>
              <w:rPr>
                <w:rFonts w:hint="eastAsia" w:ascii="宋体" w:hAnsi="宋体" w:eastAsia="宋体" w:cs="宋体"/>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2491" w:type="dxa"/>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469" w:type="dxa"/>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rPr>
                <w:rFonts w:hint="eastAsia" w:ascii="宋体" w:hAnsi="宋体" w:eastAsia="宋体" w:cs="宋体"/>
                <w:sz w:val="24"/>
              </w:rPr>
            </w:pPr>
            <w:r>
              <w:rPr>
                <w:rFonts w:hint="eastAsia" w:ascii="宋体" w:hAnsi="宋体" w:eastAsia="宋体" w:cs="宋体"/>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2491" w:type="dxa"/>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469" w:type="dxa"/>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rPr>
                <w:rFonts w:hint="eastAsia" w:ascii="宋体" w:hAnsi="宋体" w:eastAsia="宋体" w:cs="宋体"/>
                <w:sz w:val="24"/>
              </w:rPr>
            </w:pPr>
            <w:r>
              <w:rPr>
                <w:rFonts w:hint="eastAsia" w:ascii="宋体" w:hAnsi="宋体" w:eastAsia="宋体" w:cs="宋体"/>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2491" w:type="dxa"/>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469" w:type="dxa"/>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rPr>
                <w:rFonts w:hint="eastAsia" w:ascii="宋体" w:hAnsi="宋体" w:eastAsia="宋体" w:cs="宋体"/>
                <w:sz w:val="24"/>
              </w:rPr>
            </w:pPr>
            <w:r>
              <w:rPr>
                <w:rFonts w:hint="eastAsia" w:ascii="宋体" w:hAnsi="宋体" w:eastAsia="宋体" w:cs="宋体"/>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2491" w:type="dxa"/>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469" w:type="dxa"/>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rPr>
                <w:rFonts w:hint="eastAsia" w:ascii="宋体" w:hAnsi="宋体" w:eastAsia="宋体" w:cs="宋体"/>
                <w:sz w:val="24"/>
              </w:rPr>
            </w:pPr>
            <w:r>
              <w:rPr>
                <w:rFonts w:hint="eastAsia" w:ascii="宋体" w:hAnsi="宋体" w:eastAsia="宋体" w:cs="宋体"/>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2491" w:type="dxa"/>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469" w:type="dxa"/>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rPr>
                <w:rFonts w:hint="eastAsia" w:ascii="宋体" w:hAnsi="宋体" w:eastAsia="宋体" w:cs="宋体"/>
                <w:sz w:val="24"/>
              </w:rPr>
            </w:pPr>
            <w:r>
              <w:rPr>
                <w:rFonts w:hint="eastAsia" w:ascii="宋体" w:hAnsi="宋体" w:eastAsia="宋体" w:cs="宋体"/>
                <w:sz w:val="24"/>
              </w:rPr>
            </w:r>
            <w:r/>
          </w:p>
        </w:tc>
      </w:tr>
    </w:tbl>
    <w:p>
      <w:pPr>
        <w:rPr>
          <w:rFonts w:hint="eastAsia" w:ascii="宋体" w:hAnsi="宋体" w:eastAsia="宋体" w:cs="宋体"/>
          <w:sz w:val="24"/>
          <w:u w:val="single"/>
        </w:rPr>
      </w:pPr>
      <w:r>
        <w:rPr>
          <w:rFonts w:hint="eastAsia" w:ascii="宋体" w:hAnsi="宋体" w:eastAsia="宋体" w:cs="宋体"/>
          <w:sz w:val="24"/>
          <w:u w:val="single"/>
        </w:rPr>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ind w:right="29"/>
        <w:spacing w:line="360" w:lineRule="auto"/>
        <w:rPr>
          <w:rFonts w:hint="eastAsia" w:ascii="宋体" w:hAnsi="宋体" w:eastAsia="宋体" w:cs="宋体"/>
          <w:sz w:val="24"/>
        </w:rPr>
      </w:pPr>
      <w:r>
        <w:rPr>
          <w:rFonts w:hint="eastAsia" w:ascii="宋体" w:hAnsi="宋体" w:eastAsia="宋体" w:cs="宋体"/>
          <w:sz w:val="24"/>
        </w:rPr>
        <w:t xml:space="preserve">                           供应商（</w:t>
      </w:r>
      <w:r>
        <w:rPr>
          <w:rFonts w:hint="eastAsia" w:ascii="宋体" w:hAnsi="宋体" w:eastAsia="宋体" w:cs="宋体"/>
          <w:sz w:val="24"/>
          <w:lang w:eastAsia="zh-CN"/>
        </w:rPr>
        <w:t xml:space="preserve">电子签章</w:t>
      </w:r>
      <w:r>
        <w:rPr>
          <w:rFonts w:hint="eastAsia" w:ascii="宋体" w:hAnsi="宋体" w:eastAsia="宋体" w:cs="宋体"/>
          <w:sz w:val="24"/>
        </w:rPr>
        <w:t xml:space="preserve">）：</w:t>
      </w:r>
      <w:r/>
    </w:p>
    <w:p>
      <w:pPr>
        <w:ind w:right="29"/>
        <w:spacing w:line="360" w:lineRule="auto"/>
        <w:rPr>
          <w:rFonts w:hint="eastAsia" w:ascii="宋体" w:hAnsi="宋体" w:eastAsia="宋体" w:cs="宋体"/>
          <w:sz w:val="24"/>
        </w:rPr>
      </w:pPr>
      <w:r>
        <w:rPr>
          <w:rFonts w:hint="eastAsia" w:ascii="宋体" w:hAnsi="宋体" w:eastAsia="宋体" w:cs="宋体"/>
          <w:sz w:val="24"/>
        </w:rPr>
        <w:t xml:space="preserve">                           日期：</w:t>
      </w:r>
      <w:r/>
    </w:p>
    <w:p>
      <w:pPr>
        <w:rPr>
          <w:rFonts w:hint="eastAsia" w:ascii="宋体" w:hAnsi="宋体" w:cs="宋体"/>
          <w:b/>
          <w:bCs/>
          <w:color w:val="auto"/>
          <w:sz w:val="36"/>
          <w:szCs w:val="36"/>
          <w:highlight w:val="none"/>
          <w:lang w:val="en-US" w:eastAsia="zh-CN"/>
        </w:rPr>
      </w:pPr>
      <w:r>
        <w:rPr>
          <w:rFonts w:hint="eastAsia" w:ascii="宋体" w:hAnsi="宋体" w:cs="宋体"/>
          <w:b/>
          <w:bCs/>
          <w:color w:val="auto"/>
          <w:sz w:val="36"/>
          <w:szCs w:val="36"/>
          <w:highlight w:val="none"/>
          <w:lang w:val="en-US" w:eastAsia="zh-CN"/>
        </w:rPr>
        <w:br w:type="page" w:clear="all"/>
      </w:r>
      <w:r/>
    </w:p>
    <w:p>
      <w:pPr>
        <w:jc w:val="center"/>
        <w:keepLines w:val="0"/>
        <w:keepNext w:val="0"/>
        <w:pageBreakBefore w:val="0"/>
        <w:spacing w:line="360" w:lineRule="auto"/>
        <w:widowControl w:val="off"/>
        <w:rPr>
          <w:rFonts w:hint="eastAsia" w:ascii="宋体" w:hAnsi="宋体" w:eastAsia="宋体" w:cs="宋体"/>
          <w:b/>
          <w:bCs/>
          <w:color w:val="auto"/>
          <w:sz w:val="36"/>
          <w:szCs w:val="36"/>
          <w:highlight w:val="none"/>
        </w:rPr>
      </w:pPr>
      <w:r>
        <w:rPr>
          <w:rFonts w:hint="eastAsia" w:ascii="宋体" w:hAnsi="宋体" w:cs="宋体"/>
          <w:b/>
          <w:bCs/>
          <w:color w:val="auto"/>
          <w:sz w:val="36"/>
          <w:szCs w:val="36"/>
          <w:highlight w:val="none"/>
          <w:lang w:val="en-US" w:eastAsia="zh-CN"/>
        </w:rPr>
        <w:t xml:space="preserve">7</w:t>
      </w:r>
      <w:r>
        <w:rPr>
          <w:rFonts w:hint="eastAsia" w:ascii="宋体" w:hAnsi="宋体" w:eastAsia="宋体" w:cs="宋体"/>
          <w:b/>
          <w:bCs/>
          <w:color w:val="auto"/>
          <w:sz w:val="36"/>
          <w:szCs w:val="36"/>
          <w:highlight w:val="none"/>
        </w:rPr>
        <w:t xml:space="preserve">、合同草案条款</w:t>
      </w:r>
      <w:r/>
    </w:p>
    <w:p>
      <w:pPr>
        <w:ind w:firstLine="480"/>
        <w:spacing w:line="360" w:lineRule="auto"/>
        <w:tabs>
          <w:tab w:val="left" w:pos="397" w:leader="none"/>
        </w:tabs>
        <w:rPr>
          <w:rFonts w:hint="eastAsia" w:ascii="宋体" w:hAnsi="宋体" w:eastAsia="宋体" w:cs="宋体"/>
          <w:sz w:val="24"/>
        </w:rPr>
      </w:pPr>
      <w:r>
        <w:rPr>
          <w:rFonts w:hint="eastAsia" w:ascii="宋体" w:hAnsi="宋体" w:eastAsia="宋体" w:cs="宋体"/>
          <w:sz w:val="24"/>
        </w:rPr>
      </w:r>
      <w:r/>
    </w:p>
    <w:p>
      <w:pPr>
        <w:pStyle w:val="1006"/>
        <w:rPr>
          <w:rFonts w:hint="eastAsia" w:ascii="宋体" w:hAnsi="宋体" w:eastAsia="宋体" w:cs="宋体"/>
          <w:sz w:val="24"/>
        </w:rPr>
      </w:pPr>
      <w:r>
        <w:rPr>
          <w:rFonts w:hint="eastAsia" w:ascii="宋体" w:hAnsi="宋体" w:eastAsia="宋体" w:cs="宋体"/>
          <w:sz w:val="24"/>
        </w:rPr>
      </w:r>
      <w:r/>
    </w:p>
    <w:p>
      <w:pPr>
        <w:pStyle w:val="1007"/>
        <w:rPr>
          <w:rFonts w:hint="eastAsia"/>
        </w:rPr>
      </w:pPr>
      <w:r>
        <w:rPr>
          <w:rFonts w:hint="eastAsia"/>
        </w:rPr>
      </w:r>
      <w:r/>
    </w:p>
    <w:p>
      <w:pPr>
        <w:pStyle w:val="1250"/>
        <w:ind w:firstLine="0"/>
        <w:jc w:val="center"/>
        <w:keepLines w:val="0"/>
        <w:keepNext w:val="0"/>
        <w:pageBreakBefore w:val="0"/>
        <w:spacing w:line="360" w:lineRule="auto"/>
        <w:widowControl w:val="off"/>
        <w:rPr>
          <w:rFonts w:hint="eastAsia" w:ascii="宋体" w:hAnsi="宋体" w:cs="宋体"/>
          <w:b/>
          <w:color w:val="auto"/>
          <w:sz w:val="40"/>
          <w:szCs w:val="40"/>
          <w:highlight w:val="none"/>
          <w:lang w:eastAsia="zh-CN"/>
        </w:rPr>
      </w:pPr>
      <w:r>
        <w:rPr>
          <w:rFonts w:hint="eastAsia" w:ascii="宋体" w:hAnsi="宋体" w:cs="宋体"/>
          <w:b/>
          <w:color w:val="auto"/>
          <w:sz w:val="40"/>
          <w:szCs w:val="40"/>
          <w:highlight w:val="none"/>
          <w:lang w:eastAsia="zh-CN"/>
        </w:rPr>
        <w:t xml:space="preserve">徐州市市政管理中心</w:t>
      </w:r>
      <w:r/>
    </w:p>
    <w:p>
      <w:pPr>
        <w:pStyle w:val="1250"/>
        <w:ind w:firstLine="0"/>
        <w:jc w:val="center"/>
        <w:keepLines w:val="0"/>
        <w:keepNext w:val="0"/>
        <w:pageBreakBefore w:val="0"/>
        <w:spacing w:line="360" w:lineRule="auto"/>
        <w:widowControl w:val="off"/>
        <w:rPr>
          <w:rFonts w:hint="eastAsia" w:ascii="宋体" w:hAnsi="宋体" w:cs="宋体"/>
          <w:b/>
          <w:color w:val="auto"/>
          <w:sz w:val="40"/>
          <w:szCs w:val="40"/>
          <w:highlight w:val="none"/>
          <w:lang w:val="en-US" w:eastAsia="zh-CN"/>
        </w:rPr>
      </w:pPr>
      <w:r>
        <w:rPr>
          <w:rFonts w:hint="eastAsia" w:ascii="宋体" w:hAnsi="宋体" w:cs="宋体"/>
          <w:b/>
          <w:color w:val="auto"/>
          <w:sz w:val="40"/>
          <w:szCs w:val="40"/>
          <w:highlight w:val="none"/>
          <w:lang w:val="en-US" w:eastAsia="zh-CN"/>
        </w:rPr>
        <w:t xml:space="preserve">苏堤北路、凤鸣路、及青年路（故黄河-复兴路）工后道路恢复工程</w:t>
      </w:r>
      <w:r/>
    </w:p>
    <w:p>
      <w:pPr>
        <w:pStyle w:val="1250"/>
        <w:ind w:firstLine="0"/>
        <w:jc w:val="center"/>
        <w:keepLines w:val="0"/>
        <w:keepNext w:val="0"/>
        <w:pageBreakBefore w:val="0"/>
        <w:spacing w:line="360" w:lineRule="auto"/>
        <w:widowControl w:val="off"/>
        <w:rPr>
          <w:rFonts w:hint="eastAsia" w:ascii="宋体" w:hAnsi="宋体" w:cs="宋体"/>
          <w:b/>
          <w:color w:val="auto"/>
          <w:sz w:val="40"/>
          <w:szCs w:val="40"/>
          <w:highlight w:val="none"/>
        </w:rPr>
      </w:pPr>
      <w:r>
        <w:rPr>
          <w:rFonts w:hint="eastAsia" w:ascii="宋体" w:hAnsi="宋体" w:cs="宋体"/>
          <w:b/>
          <w:color w:val="auto"/>
          <w:sz w:val="40"/>
          <w:szCs w:val="40"/>
          <w:highlight w:val="none"/>
          <w:lang w:val="en-US" w:eastAsia="zh-CN"/>
        </w:rPr>
        <w:t xml:space="preserve">项目</w:t>
      </w:r>
      <w:r>
        <w:rPr>
          <w:rFonts w:hint="eastAsia" w:ascii="宋体" w:hAnsi="宋体" w:cs="宋体"/>
          <w:b/>
          <w:color w:val="auto"/>
          <w:sz w:val="40"/>
          <w:szCs w:val="40"/>
          <w:highlight w:val="none"/>
        </w:rPr>
        <w:t xml:space="preserve">合同</w:t>
      </w:r>
      <w:r/>
    </w:p>
    <w:p>
      <w:pPr>
        <w:pStyle w:val="998"/>
        <w:jc w:val="left"/>
        <w:spacing w:after="100" w:line="1000" w:lineRule="exact"/>
        <w:tabs>
          <w:tab w:val="left" w:pos="7453" w:leader="none"/>
        </w:tabs>
        <w:rPr>
          <w:rFonts w:hint="eastAsia" w:ascii="宋体" w:hAnsi="宋体" w:eastAsia="宋体" w:cs="宋体"/>
          <w:b/>
          <w:sz w:val="80"/>
          <w:szCs w:val="80"/>
          <w:shd w:val="clear" w:color="auto" w:fill="f8fcff"/>
          <w:lang w:eastAsia="zh-CN"/>
        </w:rPr>
      </w:pPr>
      <w:r>
        <w:rPr>
          <w:rFonts w:hint="eastAsia" w:ascii="宋体" w:hAnsi="宋体" w:eastAsia="宋体" w:cs="宋体"/>
          <w:b/>
          <w:sz w:val="80"/>
          <w:szCs w:val="80"/>
          <w:shd w:val="clear" w:color="auto" w:fill="f8fcff"/>
          <w:lang w:eastAsia="zh-CN"/>
        </w:rPr>
      </w:r>
      <w:r/>
    </w:p>
    <w:p>
      <w:pPr>
        <w:pStyle w:val="1001"/>
        <w:rPr>
          <w:rFonts w:hint="eastAsia" w:ascii="宋体" w:hAnsi="宋体" w:eastAsia="宋体" w:cs="宋体"/>
          <w:b/>
          <w:sz w:val="80"/>
          <w:szCs w:val="80"/>
          <w:shd w:val="clear" w:color="auto" w:fill="f8fcff"/>
          <w:lang w:eastAsia="zh-CN"/>
        </w:rPr>
      </w:pPr>
      <w:r>
        <w:rPr>
          <w:rFonts w:hint="eastAsia" w:ascii="宋体" w:hAnsi="宋体" w:eastAsia="宋体" w:cs="宋体"/>
          <w:b/>
          <w:sz w:val="80"/>
          <w:szCs w:val="80"/>
          <w:shd w:val="clear" w:color="auto" w:fill="f8fcff"/>
          <w:lang w:eastAsia="zh-CN"/>
        </w:rPr>
      </w:r>
      <w:r/>
    </w:p>
    <w:p>
      <w:pPr>
        <w:ind w:firstLine="840"/>
        <w:spacing w:line="600" w:lineRule="exact"/>
        <w:rPr>
          <w:rFonts w:hint="eastAsia" w:ascii="宋体" w:hAnsi="宋体" w:eastAsia="宋体" w:cs="宋体"/>
          <w:sz w:val="28"/>
          <w:szCs w:val="28"/>
          <w:u w:val="none"/>
          <w:lang w:val="en-US" w:eastAsia="zh-CN"/>
        </w:rPr>
      </w:pPr>
      <w:r>
        <w:rPr>
          <w:rFonts w:hint="eastAsia" w:ascii="宋体" w:hAnsi="宋体" w:eastAsia="宋体" w:cs="宋体"/>
          <w:sz w:val="28"/>
          <w:szCs w:val="28"/>
        </w:rPr>
        <w:t xml:space="preserve">甲方</w:t>
      </w:r>
      <w:r>
        <w:rPr>
          <w:rFonts w:hint="eastAsia" w:ascii="宋体" w:hAnsi="宋体" w:eastAsia="宋体" w:cs="宋体"/>
          <w:sz w:val="28"/>
          <w:szCs w:val="28"/>
          <w:lang w:eastAsia="zh-CN"/>
        </w:rPr>
        <w:t xml:space="preserve">（</w:t>
      </w:r>
      <w:r>
        <w:rPr>
          <w:rFonts w:hint="eastAsia" w:ascii="宋体" w:hAnsi="宋体" w:cs="宋体"/>
          <w:sz w:val="28"/>
          <w:szCs w:val="28"/>
          <w:lang w:eastAsia="zh-CN"/>
        </w:rPr>
        <w:t xml:space="preserve">发包人</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w:t>
      </w:r>
      <w:r>
        <w:rPr>
          <w:rFonts w:hint="eastAsia" w:ascii="宋体" w:hAnsi="宋体" w:eastAsia="宋体" w:cs="宋体"/>
          <w:sz w:val="28"/>
          <w:szCs w:val="28"/>
          <w:lang w:val="en-US" w:eastAsia="zh-CN"/>
        </w:rPr>
        <w:t xml:space="preserve">____________________</w:t>
      </w:r>
      <w:r>
        <w:rPr>
          <w:rFonts w:hint="eastAsia" w:ascii="宋体" w:hAnsi="宋体" w:eastAsia="宋体" w:cs="宋体"/>
          <w:sz w:val="28"/>
          <w:szCs w:val="28"/>
          <w:u w:val="none"/>
          <w:lang w:val="en-US" w:eastAsia="zh-CN"/>
        </w:rPr>
        <w:t xml:space="preserve">       </w:t>
      </w:r>
      <w:r/>
    </w:p>
    <w:p>
      <w:pPr>
        <w:ind w:firstLine="840"/>
        <w:jc w:val="left"/>
        <w:spacing w:line="600" w:lineRule="exact"/>
        <w:rPr>
          <w:rFonts w:hint="eastAsia" w:ascii="宋体" w:hAnsi="宋体" w:eastAsia="宋体" w:cs="宋体"/>
          <w:sz w:val="28"/>
          <w:szCs w:val="28"/>
          <w:u w:val="single"/>
          <w:lang w:val="en-US" w:eastAsia="zh-CN"/>
        </w:rPr>
      </w:pPr>
      <w:r>
        <w:rPr>
          <w:rFonts w:hint="eastAsia" w:ascii="宋体" w:hAnsi="宋体" w:eastAsia="宋体" w:cs="宋体"/>
          <w:sz w:val="28"/>
          <w:szCs w:val="28"/>
        </w:rPr>
        <w:t xml:space="preserve">乙方</w:t>
      </w:r>
      <w:r>
        <w:rPr>
          <w:rFonts w:hint="eastAsia" w:ascii="宋体" w:hAnsi="宋体" w:eastAsia="宋体" w:cs="宋体"/>
          <w:sz w:val="28"/>
          <w:szCs w:val="28"/>
          <w:lang w:eastAsia="zh-CN"/>
        </w:rPr>
        <w:t xml:space="preserve">（</w:t>
      </w:r>
      <w:r>
        <w:rPr>
          <w:rFonts w:hint="eastAsia" w:ascii="宋体" w:hAnsi="宋体" w:cs="宋体"/>
          <w:sz w:val="28"/>
          <w:szCs w:val="28"/>
          <w:lang w:eastAsia="zh-CN"/>
        </w:rPr>
        <w:t xml:space="preserve">承包人</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w:t>
      </w:r>
      <w:r>
        <w:rPr>
          <w:rFonts w:hint="eastAsia" w:ascii="宋体" w:hAnsi="宋体" w:eastAsia="宋体" w:cs="宋体"/>
          <w:sz w:val="28"/>
          <w:szCs w:val="28"/>
          <w:lang w:val="en-US" w:eastAsia="zh-CN"/>
        </w:rPr>
        <w:t xml:space="preserve">____________________</w:t>
      </w:r>
      <w:r>
        <w:rPr>
          <w:rFonts w:hint="eastAsia" w:ascii="宋体" w:hAnsi="宋体" w:eastAsia="宋体" w:cs="宋体"/>
          <w:sz w:val="28"/>
          <w:szCs w:val="28"/>
          <w:u w:val="none"/>
        </w:rPr>
        <w:t xml:space="preserve">         </w:t>
      </w:r>
      <w:r/>
    </w:p>
    <w:p>
      <w:pPr>
        <w:ind w:firstLine="840"/>
        <w:spacing w:line="600" w:lineRule="exact"/>
        <w:rPr>
          <w:rFonts w:hint="eastAsia" w:ascii="宋体" w:hAnsi="宋体" w:eastAsia="宋体" w:cs="宋体"/>
          <w:sz w:val="28"/>
          <w:szCs w:val="28"/>
          <w:u w:val="single"/>
          <w:lang w:val="en-US" w:eastAsia="zh-CN"/>
        </w:rPr>
      </w:pPr>
      <w:r>
        <w:rPr>
          <w:rFonts w:hint="eastAsia" w:ascii="宋体" w:hAnsi="宋体" w:eastAsia="宋体" w:cs="宋体"/>
          <w:sz w:val="28"/>
          <w:szCs w:val="28"/>
        </w:rPr>
        <w:t xml:space="preserve">项目名称：</w:t>
      </w:r>
      <w:r>
        <w:rPr>
          <w:rFonts w:hint="eastAsia" w:ascii="宋体" w:hAnsi="宋体" w:eastAsia="宋体" w:cs="宋体"/>
          <w:sz w:val="28"/>
          <w:szCs w:val="28"/>
          <w:lang w:val="en-US" w:eastAsia="zh-CN"/>
        </w:rPr>
        <w:t xml:space="preserve">____________________</w:t>
      </w:r>
      <w:r>
        <w:rPr>
          <w:rFonts w:hint="eastAsia" w:ascii="宋体" w:hAnsi="宋体" w:eastAsia="宋体" w:cs="宋体"/>
          <w:sz w:val="28"/>
          <w:szCs w:val="28"/>
          <w:u w:val="none"/>
          <w:lang w:val="en-US" w:eastAsia="zh-CN"/>
        </w:rPr>
        <w:t xml:space="preserve">       </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val="en-US" w:eastAsia="zh-CN"/>
        </w:rPr>
        <w:t xml:space="preserve">                      </w:t>
      </w:r>
      <w:r/>
    </w:p>
    <w:p>
      <w:pPr>
        <w:ind w:firstLine="840"/>
        <w:spacing w:line="600" w:lineRule="exact"/>
        <w:rPr>
          <w:rFonts w:hint="eastAsia" w:ascii="宋体" w:hAnsi="宋体" w:eastAsia="宋体" w:cs="宋体"/>
          <w:sz w:val="28"/>
          <w:szCs w:val="28"/>
          <w:lang w:val="en-US" w:eastAsia="zh-CN"/>
        </w:rPr>
      </w:pPr>
      <w:r>
        <w:rPr>
          <w:rFonts w:hint="eastAsia" w:ascii="宋体" w:hAnsi="宋体" w:eastAsia="宋体" w:cs="宋体"/>
          <w:sz w:val="28"/>
          <w:szCs w:val="28"/>
        </w:rPr>
        <w:t xml:space="preserve">项目编号：</w:t>
      </w:r>
      <w:r>
        <w:rPr>
          <w:rFonts w:hint="eastAsia" w:ascii="宋体" w:hAnsi="宋体" w:eastAsia="宋体" w:cs="宋体"/>
          <w:sz w:val="28"/>
          <w:szCs w:val="28"/>
          <w:lang w:val="en-US" w:eastAsia="zh-CN"/>
        </w:rPr>
        <w:t xml:space="preserve">____________________</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val="en-US" w:eastAsia="zh-CN"/>
        </w:rPr>
        <w:t xml:space="preserve">                             </w:t>
      </w:r>
      <w:r/>
    </w:p>
    <w:p>
      <w:pPr>
        <w:ind w:firstLine="840"/>
        <w:spacing w:line="600" w:lineRule="exact"/>
        <w:rPr>
          <w:rFonts w:hint="eastAsia" w:ascii="宋体" w:hAnsi="宋体" w:eastAsia="宋体" w:cs="宋体"/>
          <w:b/>
          <w:bCs/>
          <w:color w:val="c00000"/>
          <w:sz w:val="36"/>
          <w:szCs w:val="36"/>
        </w:rPr>
      </w:pPr>
      <w:r>
        <w:rPr>
          <w:rFonts w:hint="eastAsia" w:ascii="宋体" w:hAnsi="宋体" w:eastAsia="宋体" w:cs="宋体"/>
          <w:sz w:val="28"/>
          <w:szCs w:val="28"/>
        </w:rPr>
        <w:t xml:space="preserve">签订日期：</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single"/>
        </w:rPr>
        <w:t xml:space="preserve">年    月  </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single"/>
        </w:rPr>
        <w:t xml:space="preserve"> 日</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single"/>
        </w:rPr>
        <w:t xml:space="preserve">     </w:t>
      </w:r>
      <w:r/>
    </w:p>
    <w:p>
      <w:pPr>
        <w:pStyle w:val="1041"/>
        <w:ind w:left="0" w:firstLine="0"/>
        <w:rPr>
          <w:rFonts w:hint="eastAsia" w:ascii="宋体" w:hAnsi="宋体" w:eastAsia="宋体" w:cs="宋体"/>
        </w:rPr>
      </w:pPr>
      <w:r>
        <w:rPr>
          <w:rFonts w:hint="eastAsia" w:ascii="宋体" w:hAnsi="宋体" w:eastAsia="宋体" w:cs="宋体"/>
        </w:rPr>
      </w:r>
      <w:r/>
    </w:p>
    <w:p>
      <w:pPr>
        <w:ind w:firstLine="480"/>
        <w:keepLines w:val="0"/>
        <w:keepNext w:val="0"/>
        <w:pageBreakBefore w:val="0"/>
        <w:spacing w:line="360" w:lineRule="auto"/>
        <w:widowControl w:val="off"/>
        <w:tabs>
          <w:tab w:val="left" w:pos="397" w:leader="none"/>
        </w:tabs>
        <w:rPr>
          <w:rFonts w:hint="eastAsia" w:ascii="宋体" w:hAnsi="宋体" w:eastAsia="宋体" w:cs="宋体"/>
          <w:sz w:val="24"/>
        </w:rPr>
      </w:pPr>
      <w:r>
        <w:rPr>
          <w:rFonts w:hint="eastAsia" w:ascii="宋体" w:hAnsi="宋体" w:eastAsia="宋体" w:cs="宋体"/>
          <w:sz w:val="24"/>
        </w:rPr>
      </w:r>
      <w:r/>
    </w:p>
    <w:p>
      <w:pPr>
        <w:ind w:firstLine="480"/>
        <w:keepLines w:val="0"/>
        <w:keepNext w:val="0"/>
        <w:pageBreakBefore w:val="0"/>
        <w:spacing w:line="360" w:lineRule="auto"/>
        <w:widowControl w:val="off"/>
        <w:tabs>
          <w:tab w:val="left" w:pos="397" w:leader="none"/>
        </w:tabs>
        <w:rPr>
          <w:rFonts w:hint="eastAsia" w:ascii="宋体" w:hAnsi="宋体" w:eastAsia="宋体" w:cs="宋体"/>
          <w:sz w:val="24"/>
        </w:rPr>
      </w:pPr>
      <w:r>
        <w:rPr>
          <w:rFonts w:hint="eastAsia" w:ascii="宋体" w:hAnsi="宋体" w:eastAsia="宋体" w:cs="宋体"/>
          <w:sz w:val="24"/>
        </w:rPr>
        <w:t xml:space="preserve">(友情提醒：采购人与中标、成交供应商应当在中标、成交通知书发出之日起三十日内，按照采购文件确定的事项签订政府采购合同。</w:t>
      </w:r>
      <w:r/>
    </w:p>
    <w:p>
      <w:pPr>
        <w:ind w:firstLine="480"/>
        <w:spacing w:line="360" w:lineRule="auto"/>
        <w:tabs>
          <w:tab w:val="left" w:pos="397" w:leader="none"/>
        </w:tabs>
        <w:rPr>
          <w:rFonts w:hint="eastAsia" w:ascii="宋体" w:hAnsi="宋体" w:eastAsia="宋体" w:cs="宋体"/>
          <w:sz w:val="24"/>
        </w:rPr>
      </w:pPr>
      <w:r>
        <w:rPr>
          <w:rFonts w:hint="eastAsia" w:ascii="宋体" w:hAnsi="宋体" w:eastAsia="宋体" w:cs="宋体"/>
          <w:sz w:val="24"/>
        </w:rPr>
        <w:t xml:space="preserve">采购人应当自政府采购合同签订之日起2个工作日内，将政府采购合同在省级以上人民政府财政部门指定的媒体上公告，但政府采购合同中涉及国家秘密、商业秘密的内容除外。)</w:t>
      </w:r>
      <w:r/>
    </w:p>
    <w:p>
      <w:pPr>
        <w:spacing w:line="360" w:lineRule="auto"/>
        <w:rPr>
          <w:rFonts w:hint="eastAsia" w:ascii="宋体" w:hAnsi="宋体" w:eastAsia="宋体" w:cs="宋体"/>
          <w:sz w:val="24"/>
        </w:rPr>
      </w:pPr>
      <w:r>
        <w:rPr>
          <w:rFonts w:hint="eastAsia" w:ascii="宋体" w:hAnsi="宋体" w:eastAsia="宋体" w:cs="宋体"/>
          <w:sz w:val="24"/>
        </w:rPr>
      </w:r>
      <w:r/>
    </w:p>
    <w:p>
      <w:pPr>
        <w:pStyle w:val="1050"/>
        <w:numPr>
          <w:ilvl w:val="0"/>
          <w:numId w:val="0"/>
        </w:numPr>
        <w:rPr>
          <w:rFonts w:hint="eastAsia"/>
        </w:rPr>
      </w:pPr>
      <w:r>
        <w:rPr>
          <w:rFonts w:hint="eastAsia"/>
        </w:rPr>
      </w:r>
      <w:r/>
    </w:p>
    <w:p>
      <w:pPr>
        <w:spacing w:line="360" w:lineRule="auto"/>
        <w:rPr>
          <w:rFonts w:hint="eastAsia" w:ascii="宋体" w:hAnsi="宋体" w:eastAsia="宋体" w:cs="宋体"/>
          <w:sz w:val="24"/>
        </w:rPr>
      </w:pPr>
      <w:r>
        <w:rPr>
          <w:rFonts w:hint="eastAsia" w:ascii="宋体" w:hAnsi="宋体" w:eastAsia="宋体" w:cs="宋体"/>
          <w:sz w:val="24"/>
        </w:rPr>
      </w:r>
      <w:r/>
    </w:p>
    <w:p>
      <w:pPr>
        <w:pStyle w:val="1041"/>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rPr>
      </w:pPr>
      <w:r>
        <w:rPr>
          <w:rFonts w:hint="eastAsia" w:ascii="宋体" w:hAnsi="宋体" w:eastAsia="宋体" w:cs="宋体"/>
          <w:sz w:val="24"/>
        </w:rPr>
      </w:r>
      <w:r/>
    </w:p>
    <w:p>
      <w:pPr>
        <w:pStyle w:val="1041"/>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rPr>
      </w:pPr>
      <w:r>
        <w:rPr>
          <w:rFonts w:hint="eastAsia" w:ascii="宋体" w:hAnsi="宋体" w:eastAsia="宋体" w:cs="宋体"/>
          <w:sz w:val="24"/>
        </w:rPr>
      </w:r>
      <w:r/>
    </w:p>
    <w:p>
      <w:pPr>
        <w:jc w:val="center"/>
        <w:pageBreakBefore w:val="0"/>
        <w:spacing w:line="500" w:lineRule="exact"/>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40"/>
          <w:szCs w:val="40"/>
          <w:highlight w:val="none"/>
          <w14:textFill>
            <w14:solidFill>
              <w14:schemeClr w14:val="tx1"/>
            </w14:solidFill>
          </w14:textFill>
        </w:rPr>
        <w:t xml:space="preserve">建设工程施工合同</w:t>
      </w:r>
      <w:r>
        <w:rPr>
          <w:rFonts w:hint="eastAsia" w:ascii="宋体" w:hAnsi="宋体" w:eastAsia="宋体" w:cs="宋体"/>
          <w:b w:val="0"/>
          <w:bCs/>
          <w:color w:val="000000" w:themeColor="text1"/>
          <w:sz w:val="24"/>
          <w:szCs w:val="24"/>
          <w:highlight w:val="none"/>
          <w14:textFill>
            <w14:solidFill>
              <w14:schemeClr w14:val="tx1"/>
            </w14:solidFill>
          </w14:textFill>
        </w:rPr>
        <w:br/>
      </w:r>
      <w:r>
        <w:rPr>
          <w:rFonts w:hint="eastAsia" w:ascii="宋体" w:hAnsi="宋体" w:eastAsia="宋体" w:cs="宋体"/>
          <w:b w:val="0"/>
          <w:bCs/>
          <w:color w:val="000000" w:themeColor="text1"/>
          <w:sz w:val="24"/>
          <w:szCs w:val="24"/>
          <w:highlight w:val="none"/>
          <w14:textFill>
            <w14:solidFill>
              <w14:schemeClr w14:val="tx1"/>
            </w14:solidFill>
          </w14:textFill>
        </w:rPr>
        <w:t xml:space="preserve">（GF—2017—0201）</w:t>
      </w:r>
      <w:r/>
    </w:p>
    <w:p>
      <w:pPr>
        <w:jc w:val="center"/>
        <w:pageBreakBefore w:val="0"/>
        <w:spacing w:line="500" w:lineRule="exac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r>
      <w:r/>
    </w:p>
    <w:p>
      <w:pPr>
        <w:pStyle w:val="1014"/>
        <w:ind w:firstLine="2400"/>
        <w:jc w:val="left"/>
        <w:pageBreakBefore w:val="0"/>
        <w:spacing w:after="0" w:line="500" w:lineRule="exact"/>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pStyle w:val="1014"/>
        <w:ind w:firstLine="2400"/>
        <w:jc w:val="left"/>
        <w:pageBreakBefore w:val="0"/>
        <w:spacing w:after="0" w:line="500" w:lineRule="exact"/>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项目名称： </w:t>
      </w:r>
      <w:r/>
    </w:p>
    <w:p>
      <w:pPr>
        <w:pStyle w:val="1014"/>
        <w:ind w:firstLine="2400"/>
        <w:jc w:val="left"/>
        <w:pageBreakBefore w:val="0"/>
        <w:spacing w:after="0" w:line="500" w:lineRule="exact"/>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项目编号</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pStyle w:val="1014"/>
        <w:ind w:firstLine="2400"/>
        <w:jc w:val="left"/>
        <w:pageBreakBefore w:val="0"/>
        <w:spacing w:after="0" w:line="500" w:lineRule="exact"/>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发包人（全称）：</w:t>
      </w:r>
      <w:r/>
    </w:p>
    <w:p>
      <w:pPr>
        <w:pStyle w:val="1014"/>
        <w:ind w:firstLine="2400"/>
        <w:jc w:val="left"/>
        <w:pageBreakBefore w:val="0"/>
        <w:spacing w:after="0" w:line="500" w:lineRule="exact"/>
        <w:widowControl w:val="off"/>
        <w:rPr>
          <w:rFonts w:hint="eastAsia" w:ascii="宋体" w:hAnsi="宋体" w:eastAsia="宋体" w:cs="宋体"/>
          <w:b/>
          <w:color w:val="000000" w:themeColor="text1"/>
          <w:sz w:val="24"/>
          <w:szCs w:val="24"/>
          <w:highlight w:val="none"/>
          <w:u w:val="singl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承包人（全称）：</w:t>
      </w:r>
      <w:r>
        <w:rPr>
          <w:rFonts w:hint="eastAsia" w:ascii="宋体" w:hAnsi="宋体" w:eastAsia="宋体" w:cs="宋体"/>
          <w:bCs/>
          <w:color w:val="000000" w:themeColor="text1"/>
          <w:sz w:val="24"/>
          <w:szCs w:val="24"/>
          <w:highlight w:val="none"/>
          <w:u w:val="none"/>
          <w14:textFill>
            <w14:solidFill>
              <w14:schemeClr w14:val="tx1"/>
            </w14:solidFill>
          </w14:textFill>
        </w:rPr>
        <w:t xml:space="preserve">          </w:t>
      </w:r>
      <w:r>
        <w:rPr>
          <w:rFonts w:hint="eastAsia" w:ascii="宋体" w:hAnsi="宋体" w:eastAsia="宋体" w:cs="宋体"/>
          <w:b/>
          <w:color w:val="000000" w:themeColor="text1"/>
          <w:sz w:val="24"/>
          <w:szCs w:val="24"/>
          <w:highlight w:val="none"/>
          <w:u w:val="none"/>
          <w14:textFill>
            <w14:solidFill>
              <w14:schemeClr w14:val="tx1"/>
            </w14:solidFill>
          </w14:textFill>
        </w:rPr>
        <w:t xml:space="preserve">          </w:t>
      </w:r>
      <w:r>
        <w:rPr>
          <w:rFonts w:hint="eastAsia" w:ascii="宋体" w:hAnsi="宋体" w:eastAsia="宋体" w:cs="宋体"/>
          <w:b/>
          <w:color w:val="000000" w:themeColor="text1"/>
          <w:sz w:val="24"/>
          <w:szCs w:val="24"/>
          <w:highlight w:val="none"/>
          <w:u w:val="single"/>
          <w14:textFill>
            <w14:solidFill>
              <w14:schemeClr w14:val="tx1"/>
            </w14:solidFill>
          </w14:textFill>
        </w:rPr>
        <w:t xml:space="preserve">  </w:t>
      </w:r>
      <w:r/>
    </w:p>
    <w:p>
      <w:pPr>
        <w:pStyle w:val="1014"/>
        <w:ind w:firstLine="2400"/>
        <w:jc w:val="left"/>
        <w:pageBreakBefore w:val="0"/>
        <w:spacing w:after="0" w:line="500" w:lineRule="exact"/>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合同签订日期：   年   月   日</w:t>
      </w:r>
      <w:r/>
    </w:p>
    <w:p>
      <w:pPr>
        <w:jc w:val="center"/>
        <w:pageBreakBefore w:val="0"/>
        <w:spacing w:line="500" w:lineRule="exac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r>
      <w:r/>
    </w:p>
    <w:p>
      <w:pPr>
        <w:pageBreakBefore w:val="0"/>
        <w:spacing w:line="500" w:lineRule="exac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r>
      <w:r/>
    </w:p>
    <w:p>
      <w:pPr>
        <w:ind w:right="2719"/>
        <w:jc w:val="both"/>
        <w:pageBreakBefore w:val="0"/>
        <w:spacing w:line="500" w:lineRule="exact"/>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r>
      <w:r/>
    </w:p>
    <w:p>
      <w:pPr>
        <w:ind w:right="2719" w:firstLine="3600"/>
        <w:jc w:val="both"/>
        <w:pageBreakBefore w:val="0"/>
        <w:spacing w:line="5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 w:val="0"/>
          <w:bCs w:val="0"/>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4668520</wp:posOffset>
                </wp:positionH>
                <wp:positionV relativeFrom="paragraph">
                  <wp:posOffset>172720</wp:posOffset>
                </wp:positionV>
                <wp:extent cx="723900" cy="457200"/>
                <wp:effectExtent l="0" t="0" r="0" b="0"/>
                <wp:wrapNone/>
                <wp:docPr id="10" name="文本框 17"/>
                <wp:cNvGraphicFramePr/>
                <a:graphic xmlns:a="http://schemas.openxmlformats.org/drawingml/2006/main">
                  <a:graphicData uri="http://schemas.microsoft.com/office/word/2010/wordprocessingShape">
                    <wps:wsp>
                      <wps:cNvPr id="0" name=""/>
                      <wps:cNvSpPr txBox="1"/>
                      <wps:spPr bwMode="auto">
                        <a:xfrm>
                          <a:off x="0" y="0"/>
                          <a:ext cx="723900" cy="457200"/>
                        </a:xfrm>
                        <a:prstGeom prst="rect">
                          <a:avLst/>
                        </a:prstGeom>
                        <a:noFill/>
                        <a:ln>
                          <a:noFill/>
                          <a:miter/>
                        </a:ln>
                      </wps:spPr>
                      <wps:txbx>
                        <w:txbxContent>
                          <w:p>
                            <w:pPr>
                              <w:rPr>
                                <w:b w:val="0"/>
                                <w:bCs w:val="0"/>
                                <w:sz w:val="28"/>
                                <w:szCs w:val="28"/>
                              </w:rPr>
                            </w:pPr>
                            <w:r>
                              <w:rPr>
                                <w:rFonts w:hint="eastAsia"/>
                                <w:b w:val="0"/>
                                <w:bCs w:val="0"/>
                                <w:sz w:val="28"/>
                                <w:szCs w:val="28"/>
                              </w:rPr>
                              <w:t xml:space="preserve">制定</w:t>
                            </w:r>
                            <w:r/>
                          </w:p>
                        </w:txbxContent>
                      </wps:txbx>
                      <wps:bodyPr wrap="square" upright="1"/>
                    </wps:wsp>
                  </a:graphicData>
                </a:graphic>
              </wp:anchor>
            </w:drawing>
          </mc:Choice>
          <mc:Fallback>
            <w:pict>
              <v:shape id="shape 9" o:spid="_x0000_s9" o:spt="202" type="#_x0000_t202" style="position:absolute;z-index:251664384;o:allowoverlap:true;o:allowincell:true;mso-position-horizontal-relative:text;margin-left:367.6pt;mso-position-horizontal:absolute;mso-position-vertical-relative:text;margin-top:13.6pt;mso-position-vertical:absolute;width:57.0pt;height:36.0pt;mso-wrap-distance-left:9.0pt;mso-wrap-distance-top:0.0pt;mso-wrap-distance-right:9.0pt;mso-wrap-distance-bottom:0.0pt;visibility:visible;" filled="f" stroked="f">
                <v:textbox inset="0,0,0,0">
                  <w:txbxContent>
                    <w:p>
                      <w:pPr>
                        <w:rPr>
                          <w:b w:val="0"/>
                          <w:bCs w:val="0"/>
                          <w:sz w:val="28"/>
                          <w:szCs w:val="28"/>
                        </w:rPr>
                      </w:pPr>
                      <w:r>
                        <w:rPr>
                          <w:rFonts w:hint="eastAsia"/>
                          <w:b w:val="0"/>
                          <w:bCs w:val="0"/>
                          <w:sz w:val="28"/>
                          <w:szCs w:val="28"/>
                        </w:rPr>
                        <w:t xml:space="preserve">制定</w:t>
                      </w:r>
                      <w:r/>
                    </w:p>
                  </w:txbxContent>
                </v:textbox>
              </v:shape>
            </w:pict>
          </mc:Fallback>
        </mc:AlternateContent>
      </w:r>
      <w:r>
        <w:rPr>
          <w:rFonts w:hint="eastAsia" w:ascii="宋体" w:hAnsi="宋体" w:eastAsia="宋体" w:cs="宋体"/>
          <w:b w:val="0"/>
          <w:bCs w:val="0"/>
          <w:color w:val="auto"/>
          <w:sz w:val="24"/>
          <w:szCs w:val="24"/>
          <w:highlight w:val="none"/>
        </w:rPr>
        <w:t xml:space="preserve">住房和城乡建设部</w:t>
      </w:r>
      <w:r/>
    </w:p>
    <w:p>
      <w:pPr>
        <w:ind w:right="2719" w:firstLine="3945"/>
        <w:jc w:val="both"/>
        <w:pageBreakBefore w:val="0"/>
        <w:spacing w:line="5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国家工商行政管理总局</w:t>
      </w:r>
      <w:r/>
    </w:p>
    <w:p>
      <w:pPr>
        <w:pStyle w:val="1254"/>
        <w:pageBreakBefore w:val="0"/>
        <w:spacing w:before="120" w:after="120" w:line="500" w:lineRule="exact"/>
        <w:rPr>
          <w:rFonts w:hint="eastAsia" w:ascii="宋体" w:hAnsi="宋体" w:eastAsia="宋体" w:cs="宋体"/>
          <w:b w:val="0"/>
          <w:bCs w:val="0"/>
          <w:color w:val="auto"/>
          <w:sz w:val="24"/>
          <w:szCs w:val="24"/>
          <w:highlight w:val="none"/>
        </w:rPr>
        <w:sectPr>
          <w:headerReference w:type="default" r:id="rId9"/>
          <w:headerReference w:type="first" r:id="rId10"/>
          <w:footerReference w:type="default" r:id="rId12"/>
          <w:footerReference w:type="first" r:id="rId13"/>
          <w:footnotePr/>
          <w:endnotePr/>
          <w:type w:val="nextPage"/>
          <w:pgSz w:w="11906" w:h="16838" w:orient="portrait"/>
          <w:pgMar w:top="1440" w:right="1080" w:bottom="1440" w:left="1080" w:header="851" w:footer="992" w:gutter="0"/>
          <w:pgNumType w:start="1"/>
          <w:cols w:num="1" w:sep="0" w:space="720" w:equalWidth="1"/>
          <w:docGrid w:linePitch="360"/>
          <w:titlePg/>
        </w:sectPr>
      </w:pPr>
      <w:r>
        <w:rPr>
          <w:rFonts w:hint="eastAsia" w:ascii="宋体" w:hAnsi="宋体" w:eastAsia="宋体" w:cs="宋体"/>
          <w:b w:val="0"/>
          <w:bCs w:val="0"/>
          <w:color w:val="auto"/>
          <w:sz w:val="24"/>
          <w:szCs w:val="24"/>
          <w:highlight w:val="none"/>
        </w:rPr>
      </w:r>
      <w:r/>
    </w:p>
    <w:p>
      <w:pPr>
        <w:pStyle w:val="983"/>
        <w:jc w:val="center"/>
        <w:keepLines/>
        <w:keepNext/>
        <w:pageBreakBefore w:val="0"/>
        <w:spacing w:before="0" w:after="0" w:line="500" w:lineRule="exact"/>
        <w:widowControl/>
        <w:rPr>
          <w:rFonts w:hint="eastAsia" w:ascii="宋体" w:hAnsi="宋体" w:eastAsia="宋体" w:cs="宋体"/>
          <w:color w:val="auto"/>
          <w:sz w:val="24"/>
          <w:szCs w:val="24"/>
          <w:highlight w:val="none"/>
        </w:rPr>
      </w:pPr>
      <w:r/>
      <w:bookmarkStart w:id="0" w:name="_Toc24196"/>
      <w:r/>
      <w:bookmarkStart w:id="1" w:name="_Toc17550"/>
      <w:r>
        <w:rPr>
          <w:rFonts w:hint="eastAsia" w:ascii="宋体" w:hAnsi="宋体" w:eastAsia="宋体" w:cs="宋体"/>
          <w:b/>
          <w:bCs/>
          <w:color w:val="auto"/>
          <w:sz w:val="24"/>
          <w:szCs w:val="24"/>
          <w:highlight w:val="none"/>
        </w:rPr>
        <w:t xml:space="preserve">第一部分 合同协议书</w:t>
      </w:r>
      <w:bookmarkEnd w:id="0"/>
      <w:r/>
      <w:bookmarkEnd w:id="1"/>
      <w:r/>
      <w:r/>
    </w:p>
    <w:p>
      <w:pPr>
        <w:keepLines w:val="0"/>
        <w:keepNext w:val="0"/>
        <w:pageBreakBefore w:val="0"/>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keepLines w:val="0"/>
        <w:keepNext w:val="0"/>
        <w:pageBreakBefore w:val="0"/>
        <w:spacing w:line="360" w:lineRule="auto"/>
        <w:widowControl w:val="off"/>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rPr>
        <w:t xml:space="preserve">发包人（全称）：</w:t>
      </w:r>
      <w:r>
        <w:rPr>
          <w:rFonts w:hint="eastAsia" w:ascii="宋体" w:hAnsi="宋体" w:eastAsia="宋体" w:cs="宋体"/>
          <w:b/>
          <w:color w:val="auto"/>
          <w:sz w:val="24"/>
          <w:szCs w:val="24"/>
          <w:highlight w:val="none"/>
          <w:u w:val="single"/>
        </w:rPr>
        <w:t xml:space="preserve">徐州市市政管理中心</w:t>
      </w:r>
      <w:r/>
    </w:p>
    <w:p>
      <w:pPr>
        <w:keepLines w:val="0"/>
        <w:keepNext w:val="0"/>
        <w:pageBreakBefore w:val="0"/>
        <w:spacing w:line="360" w:lineRule="auto"/>
        <w:widowControl w:val="off"/>
        <w:rPr>
          <w:rFonts w:hint="eastAsia" w:ascii="宋体" w:hAnsi="宋体" w:eastAsia="宋体" w:cs="宋体"/>
          <w:b/>
          <w:color w:val="auto"/>
          <w:sz w:val="24"/>
          <w:szCs w:val="24"/>
          <w:highlight w:val="none"/>
          <w:u w:val="single"/>
          <w:lang w:val="en-US" w:eastAsia="zh-CN"/>
        </w:rPr>
      </w:pPr>
      <w:r>
        <w:rPr>
          <w:rFonts w:hint="eastAsia" w:ascii="宋体" w:hAnsi="宋体" w:eastAsia="宋体" w:cs="宋体"/>
          <w:b/>
          <w:color w:val="auto"/>
          <w:sz w:val="24"/>
          <w:szCs w:val="24"/>
          <w:highlight w:val="none"/>
        </w:rPr>
        <w:t xml:space="preserve">承包人（全称）：</w:t>
      </w:r>
      <w:r>
        <w:rPr>
          <w:rFonts w:hint="eastAsia" w:ascii="宋体" w:hAnsi="宋体" w:eastAsia="宋体" w:cs="宋体"/>
          <w:b/>
          <w:color w:val="auto"/>
          <w:sz w:val="24"/>
          <w:szCs w:val="24"/>
          <w:highlight w:val="none"/>
          <w:lang w:val="en-US" w:eastAsia="zh-CN"/>
        </w:rPr>
        <w:t xml:space="preserve">   </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根据《中华人民共和国民法典》、《中华人民共和国建筑法》及有关法律规定、本项目招标文件及中标结果，遵循平等、自愿、公平和诚实信用的原则，双方就</w:t>
      </w:r>
      <w:r>
        <w:rPr>
          <w:rFonts w:hint="eastAsia" w:ascii="宋体" w:hAnsi="宋体" w:cs="宋体"/>
          <w:color w:val="auto"/>
          <w:sz w:val="24"/>
          <w:szCs w:val="24"/>
          <w:highlight w:val="none"/>
          <w:u w:val="single"/>
          <w:lang w:eastAsia="zh-CN"/>
        </w:rPr>
        <w:t xml:space="preserve">苏堤北路、凤鸣路、及青年路（故黄河-复兴路）工后道路恢复工程</w:t>
      </w:r>
      <w:r>
        <w:rPr>
          <w:rFonts w:hint="eastAsia" w:ascii="宋体" w:hAnsi="宋体" w:eastAsia="宋体" w:cs="宋体"/>
          <w:color w:val="auto"/>
          <w:sz w:val="24"/>
          <w:szCs w:val="24"/>
          <w:highlight w:val="none"/>
        </w:rPr>
        <w:t xml:space="preserve">施工及有关事项协商一致，共同达成如下协议：</w:t>
      </w:r>
      <w:r/>
    </w:p>
    <w:p>
      <w:pPr>
        <w:ind w:firstLine="482"/>
        <w:keepLines w:val="0"/>
        <w:keepNext w:val="0"/>
        <w:pageBreakBefore w:val="0"/>
        <w:spacing w:line="360" w:lineRule="auto"/>
        <w:widowControl w:val="off"/>
        <w:rPr>
          <w:rFonts w:hint="eastAsia" w:ascii="宋体" w:hAnsi="宋体" w:eastAsia="宋体" w:cs="宋体"/>
          <w:b/>
          <w:color w:val="auto"/>
          <w:sz w:val="24"/>
          <w:szCs w:val="24"/>
          <w:highlight w:val="none"/>
        </w:rPr>
      </w:pPr>
      <w:r/>
      <w:bookmarkStart w:id="2" w:name="_Toc351203481"/>
      <w:r>
        <w:rPr>
          <w:rFonts w:hint="eastAsia" w:ascii="宋体" w:hAnsi="宋体" w:eastAsia="宋体" w:cs="宋体"/>
          <w:b/>
          <w:color w:val="auto"/>
          <w:sz w:val="24"/>
          <w:szCs w:val="24"/>
          <w:highlight w:val="none"/>
        </w:rPr>
        <w:t xml:space="preserve">一、工程概况</w:t>
      </w:r>
      <w:bookmarkEnd w:id="2"/>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1.工程名称：</w:t>
      </w:r>
      <w:r>
        <w:rPr>
          <w:rFonts w:hint="eastAsia" w:ascii="宋体" w:hAnsi="宋体" w:cs="宋体"/>
          <w:color w:val="auto"/>
          <w:sz w:val="24"/>
          <w:szCs w:val="24"/>
          <w:highlight w:val="none"/>
          <w:u w:val="single"/>
          <w:lang w:eastAsia="zh-CN"/>
        </w:rPr>
        <w:t xml:space="preserve">苏堤北路、凤鸣路、及青年路（故黄河-复兴路）工后道路恢复工程</w:t>
      </w:r>
      <w:r/>
    </w:p>
    <w:p>
      <w:pPr>
        <w:ind w:firstLine="480"/>
        <w:jc w:val="left"/>
        <w:keepLines w:val="0"/>
        <w:keepNext w:val="0"/>
        <w:pageBreakBefore w:val="0"/>
        <w:spacing w:line="360" w:lineRule="auto"/>
        <w:widowControl w:val="off"/>
        <w:rPr>
          <w:rFonts w:hint="default"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 xml:space="preserve">2.工程地点：</w:t>
      </w:r>
      <w:r>
        <w:rPr>
          <w:rFonts w:hint="eastAsia" w:ascii="宋体" w:hAnsi="宋体" w:cs="宋体"/>
          <w:color w:val="auto"/>
          <w:sz w:val="24"/>
          <w:szCs w:val="24"/>
          <w:highlight w:val="none"/>
          <w:u w:val="single"/>
          <w:lang w:val="en-US" w:eastAsia="zh-CN"/>
        </w:rPr>
        <w:t xml:space="preserve">徐州市</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3.资金来源：</w:t>
      </w:r>
      <w:r>
        <w:rPr>
          <w:rFonts w:hint="eastAsia" w:ascii="宋体" w:hAnsi="宋体" w:cs="宋体"/>
          <w:color w:val="auto"/>
          <w:sz w:val="24"/>
          <w:szCs w:val="24"/>
          <w:highlight w:val="none"/>
          <w:u w:val="single"/>
          <w:lang w:val="en-US" w:eastAsia="zh-CN"/>
        </w:rPr>
        <w:t xml:space="preserve">财政</w:t>
      </w:r>
      <w:r>
        <w:rPr>
          <w:rFonts w:hint="eastAsia" w:ascii="宋体" w:hAnsi="宋体" w:eastAsia="宋体" w:cs="宋体"/>
          <w:color w:val="auto"/>
          <w:sz w:val="24"/>
          <w:szCs w:val="24"/>
          <w:highlight w:val="none"/>
          <w:u w:val="single"/>
        </w:rPr>
        <w:t xml:space="preserve">资金</w:t>
      </w:r>
      <w:r/>
    </w:p>
    <w:p>
      <w:pPr>
        <w:pStyle w:val="1003"/>
        <w:ind w:firstLine="480"/>
        <w:keepLines w:val="0"/>
        <w:keepNext w:val="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.工程内容：</w:t>
      </w:r>
      <w:r>
        <w:rPr>
          <w:rFonts w:hint="eastAsia" w:ascii="宋体" w:hAnsi="宋体" w:cs="宋体"/>
          <w:color w:val="auto"/>
          <w:sz w:val="24"/>
          <w:szCs w:val="24"/>
          <w:highlight w:val="none"/>
          <w:u w:val="single"/>
          <w:lang w:eastAsia="zh-CN"/>
        </w:rPr>
        <w:t xml:space="preserve">苏堤北路、凤鸣路、及青年路（故黄河-复兴路）工后道路恢复工程</w:t>
      </w:r>
      <w:r>
        <w:rPr>
          <w:rFonts w:hint="eastAsia" w:ascii="宋体" w:hAnsi="宋体" w:eastAsia="宋体" w:cs="宋体"/>
          <w:color w:val="auto"/>
          <w:sz w:val="24"/>
          <w:szCs w:val="24"/>
          <w:highlight w:val="none"/>
          <w:u w:val="single"/>
        </w:rPr>
        <w:t xml:space="preserve">，主要包含铣刨路面</w:t>
      </w:r>
      <w:r>
        <w:rPr>
          <w:rFonts w:hint="eastAsia" w:ascii="宋体" w:hAnsi="宋体" w:eastAsia="宋体" w:cs="宋体"/>
          <w:color w:val="auto"/>
          <w:sz w:val="24"/>
          <w:szCs w:val="24"/>
          <w:highlight w:val="none"/>
          <w:u w:val="single"/>
          <w:lang w:eastAsia="zh-CN"/>
        </w:rPr>
        <w:t xml:space="preserve">、水泥混凝土、沥青混凝土、人行道块料铺设、安砌平石</w:t>
      </w:r>
      <w:r>
        <w:rPr>
          <w:rFonts w:hint="eastAsia" w:ascii="宋体" w:hAnsi="宋体" w:eastAsia="宋体" w:cs="宋体"/>
          <w:color w:val="auto"/>
          <w:sz w:val="24"/>
          <w:szCs w:val="24"/>
          <w:highlight w:val="none"/>
          <w:u w:val="single"/>
        </w:rPr>
        <w:t xml:space="preserve">等，详见工程量清单及施工图所含全部内容。</w:t>
      </w:r>
      <w:r/>
    </w:p>
    <w:p>
      <w:pPr>
        <w:pStyle w:val="1003"/>
        <w:ind w:firstLine="480"/>
        <w:keepLines w:val="0"/>
        <w:keepNext w:val="0"/>
        <w:pageBreakBefore w:val="0"/>
        <w:spacing w:line="360" w:lineRule="auto"/>
        <w:widowControl w:val="off"/>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5.工程承包范围：</w:t>
      </w:r>
      <w:r>
        <w:rPr>
          <w:rFonts w:hint="eastAsia" w:ascii="宋体" w:hAnsi="宋体" w:cs="宋体"/>
          <w:color w:val="auto"/>
          <w:sz w:val="24"/>
          <w:szCs w:val="24"/>
          <w:highlight w:val="none"/>
          <w:u w:val="single"/>
          <w:lang w:eastAsia="zh-CN"/>
        </w:rPr>
        <w:t xml:space="preserve">苏堤北路、凤鸣路、及青年路（故黄河-复兴路）工后道路恢复工程</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详见工程量清单所含全部内容</w:t>
      </w:r>
      <w:r>
        <w:rPr>
          <w:rFonts w:hint="eastAsia" w:ascii="宋体" w:hAnsi="宋体" w:eastAsia="宋体" w:cs="宋体"/>
          <w:bCs/>
          <w:color w:val="auto"/>
          <w:sz w:val="24"/>
          <w:szCs w:val="24"/>
          <w:highlight w:val="none"/>
          <w:u w:val="singl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6.承包方式：</w:t>
      </w:r>
      <w:bookmarkStart w:id="3" w:name="_Toc351203482"/>
      <w:r>
        <w:rPr>
          <w:rFonts w:hint="eastAsia" w:ascii="宋体" w:hAnsi="宋体" w:eastAsia="宋体" w:cs="宋体"/>
          <w:color w:val="auto"/>
          <w:sz w:val="24"/>
          <w:szCs w:val="24"/>
          <w:highlight w:val="none"/>
        </w:rPr>
        <w:t xml:space="preserve">以包工包料的方式实施养护总承包，不得分包与转包。</w:t>
      </w:r>
      <w:r/>
    </w:p>
    <w:p>
      <w:pPr>
        <w:ind w:left="0" w:right="0" w:firstLine="482"/>
        <w:jc w:val="both"/>
        <w:keepLines w:val="0"/>
        <w:keepNext w:val="0"/>
        <w:pageBreakBefore w:val="0"/>
        <w:spacing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二、工期</w:t>
      </w:r>
      <w:bookmarkEnd w:id="3"/>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none"/>
          <w:lang w:val="en-US" w:eastAsia="zh-CN"/>
        </w:rPr>
        <w:t xml:space="preserve">日历天</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自</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lang w:val="en-US" w:eastAsia="zh-CN"/>
        </w:rPr>
        <w:t xml:space="preserve">年</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lang w:val="en-US" w:eastAsia="zh-CN"/>
        </w:rPr>
        <w:t xml:space="preserve">月</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lang w:val="en-US" w:eastAsia="zh-CN"/>
        </w:rPr>
        <w:t xml:space="preserve">日 至</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lang w:val="en-US" w:eastAsia="zh-CN"/>
        </w:rPr>
        <w:t xml:space="preserve">年</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lang w:val="en-US" w:eastAsia="zh-CN"/>
        </w:rPr>
        <w:t xml:space="preserve">月</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lang w:val="en-US" w:eastAsia="zh-CN"/>
        </w:rPr>
        <w:t xml:space="preserve">日</w:t>
      </w:r>
      <w:r>
        <w:rPr>
          <w:rFonts w:hint="eastAsia" w:ascii="宋体" w:hAnsi="宋体" w:eastAsia="宋体" w:cs="宋体"/>
          <w:b/>
          <w:bCs/>
          <w:color w:val="auto"/>
          <w:sz w:val="24"/>
          <w:szCs w:val="24"/>
          <w:highlight w:val="none"/>
        </w:rPr>
        <w:t xml:space="preserve">。</w:t>
      </w:r>
      <w:r>
        <w:rPr>
          <w:rFonts w:ascii="宋体" w:hAnsi="宋体" w:eastAsia="宋体" w:cs="宋体"/>
          <w:color w:val="auto"/>
          <w:sz w:val="24"/>
          <w:highlight w:val="none"/>
        </w:rPr>
        <w:t xml:space="preserve">（具体工期应配合本项目排水管网施工工期要求）。 </w:t>
      </w:r>
      <w:r/>
    </w:p>
    <w:p>
      <w:pPr>
        <w:ind w:firstLine="482"/>
        <w:keepLines w:val="0"/>
        <w:keepNext w:val="0"/>
        <w:pageBreakBefore w:val="0"/>
        <w:spacing w:line="360" w:lineRule="auto"/>
        <w:widowControl w:val="off"/>
        <w:rPr>
          <w:rFonts w:hint="eastAsia" w:ascii="宋体" w:hAnsi="宋体" w:eastAsia="宋体" w:cs="宋体"/>
          <w:b/>
          <w:color w:val="auto"/>
          <w:sz w:val="24"/>
          <w:szCs w:val="24"/>
          <w:highlight w:val="none"/>
        </w:rPr>
      </w:pPr>
      <w:r/>
      <w:bookmarkStart w:id="4" w:name="_Toc351203483"/>
      <w:r>
        <w:rPr>
          <w:rFonts w:hint="eastAsia" w:ascii="宋体" w:hAnsi="宋体" w:eastAsia="宋体" w:cs="宋体"/>
          <w:b/>
          <w:color w:val="auto"/>
          <w:sz w:val="24"/>
          <w:szCs w:val="24"/>
          <w:highlight w:val="none"/>
        </w:rPr>
        <w:t xml:space="preserve">三、质量标准</w:t>
      </w:r>
      <w:bookmarkEnd w:id="4"/>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工程质量符合</w:t>
      </w:r>
      <w:r>
        <w:rPr>
          <w:rFonts w:hint="eastAsia" w:ascii="宋体" w:hAnsi="宋体" w:eastAsia="宋体" w:cs="宋体"/>
          <w:color w:val="auto"/>
          <w:sz w:val="24"/>
          <w:szCs w:val="24"/>
          <w:highlight w:val="none"/>
          <w:u w:val="single"/>
        </w:rPr>
        <w:t xml:space="preserve">   合格    </w:t>
      </w:r>
      <w:r>
        <w:rPr>
          <w:rFonts w:hint="eastAsia" w:ascii="宋体" w:hAnsi="宋体" w:eastAsia="宋体" w:cs="宋体"/>
          <w:color w:val="auto"/>
          <w:sz w:val="24"/>
          <w:szCs w:val="24"/>
          <w:highlight w:val="none"/>
        </w:rPr>
        <w:t xml:space="preserve">标准。符合相关验收要求</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标准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符合《城镇道路工程施工与质量验收规范》及发包人要求</w:t>
      </w:r>
      <w:r>
        <w:rPr>
          <w:rFonts w:hint="eastAsia" w:ascii="宋体" w:hAnsi="宋体" w:eastAsia="宋体" w:cs="宋体"/>
          <w:color w:val="auto"/>
          <w:sz w:val="24"/>
          <w:szCs w:val="24"/>
          <w:highlight w:val="none"/>
        </w:rPr>
        <w:t xml:space="preserve">。</w:t>
      </w:r>
      <w:r/>
    </w:p>
    <w:p>
      <w:pPr>
        <w:ind w:firstLine="482"/>
        <w:keepLines w:val="0"/>
        <w:keepNext w:val="0"/>
        <w:pageBreakBefore w:val="0"/>
        <w:spacing w:line="360" w:lineRule="auto"/>
        <w:widowControl w:val="off"/>
        <w:rPr>
          <w:rFonts w:hint="eastAsia" w:ascii="宋体" w:hAnsi="宋体" w:eastAsia="宋体" w:cs="宋体"/>
          <w:b/>
          <w:color w:val="auto"/>
          <w:sz w:val="24"/>
          <w:szCs w:val="24"/>
          <w:highlight w:val="none"/>
        </w:rPr>
      </w:pPr>
      <w:r/>
      <w:bookmarkStart w:id="5" w:name="_Toc351203484"/>
      <w:r>
        <w:rPr>
          <w:rFonts w:hint="eastAsia" w:ascii="宋体" w:hAnsi="宋体" w:eastAsia="宋体" w:cs="宋体"/>
          <w:b/>
          <w:color w:val="auto"/>
          <w:sz w:val="24"/>
          <w:szCs w:val="24"/>
          <w:highlight w:val="none"/>
          <w:lang w:val="en-US" w:eastAsia="zh-CN"/>
        </w:rPr>
        <w:t xml:space="preserve">四</w:t>
      </w:r>
      <w:r>
        <w:rPr>
          <w:rFonts w:hint="eastAsia" w:ascii="宋体" w:hAnsi="宋体" w:eastAsia="宋体" w:cs="宋体"/>
          <w:b/>
          <w:color w:val="auto"/>
          <w:sz w:val="24"/>
          <w:szCs w:val="24"/>
          <w:highlight w:val="none"/>
        </w:rPr>
        <w:t xml:space="preserve">、签约合同价与合同价格形式</w:t>
      </w:r>
      <w:bookmarkEnd w:id="5"/>
      <w:r>
        <w:rPr>
          <w:rFonts w:hint="eastAsia" w:ascii="宋体" w:hAnsi="宋体" w:eastAsia="宋体" w:cs="宋体"/>
          <w:b/>
          <w:color w:val="auto"/>
          <w:sz w:val="24"/>
          <w:szCs w:val="24"/>
          <w:highlight w:val="none"/>
        </w:rPr>
        <w:tab/>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u w:val="none"/>
          <w:lang w:val="en-US" w:eastAsia="zh-CN"/>
        </w:rPr>
      </w:pPr>
      <w:r/>
      <w:bookmarkStart w:id="6" w:name="_Toc351203485"/>
      <w:r>
        <w:rPr>
          <w:rFonts w:hint="eastAsia" w:ascii="宋体" w:hAnsi="宋体" w:eastAsia="宋体" w:cs="宋体"/>
          <w:color w:val="auto"/>
          <w:sz w:val="24"/>
          <w:szCs w:val="24"/>
          <w:highlight w:val="none"/>
        </w:rPr>
        <w:t xml:space="preserve">1.签约合同价：</w:t>
      </w:r>
      <w:r>
        <w:rPr>
          <w:rFonts w:hint="eastAsia" w:ascii="宋体" w:hAnsi="宋体" w:eastAsia="宋体" w:cs="宋体"/>
          <w:color w:val="auto"/>
          <w:sz w:val="24"/>
          <w:szCs w:val="24"/>
          <w:highlight w:val="none"/>
          <w:lang w:val="en-US" w:eastAsia="zh-CN"/>
        </w:rPr>
        <w:t xml:space="preserve">小写￥：（</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 ，大写（人民币）：</w:t>
      </w:r>
      <w:r>
        <w:rPr>
          <w:rFonts w:hint="eastAsia" w:ascii="宋体" w:hAnsi="宋体" w:eastAsia="宋体" w:cs="宋体"/>
          <w:color w:val="auto"/>
          <w:sz w:val="24"/>
          <w:szCs w:val="24"/>
          <w:highlight w:val="none"/>
          <w:u w:val="single"/>
          <w:lang w:val="en-US" w:eastAsia="zh-CN"/>
        </w:rPr>
        <w:t xml:space="preserve">                 元</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u w:val="none"/>
          <w:lang w:val="en-US" w:eastAsia="zh-CN"/>
        </w:rPr>
        <w:t xml:space="preserve">              </w:t>
      </w:r>
      <w:r/>
    </w:p>
    <w:p>
      <w:pPr>
        <w:pStyle w:val="1003"/>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2.合同价格形式：</w:t>
      </w:r>
      <w:r>
        <w:rPr>
          <w:rFonts w:hint="eastAsia" w:ascii="宋体" w:hAnsi="宋体" w:eastAsia="宋体" w:cs="宋体"/>
          <w:color w:val="auto"/>
          <w:sz w:val="24"/>
          <w:szCs w:val="24"/>
          <w:highlight w:val="none"/>
          <w:u w:val="single"/>
        </w:rPr>
        <w:t xml:space="preserve">  固定单价合同 。</w:t>
      </w:r>
      <w:r>
        <w:rPr>
          <w:rFonts w:hint="eastAsia" w:ascii="宋体" w:hAnsi="宋体" w:eastAsia="宋体" w:cs="宋体"/>
          <w:color w:val="auto"/>
          <w:sz w:val="24"/>
          <w:szCs w:val="24"/>
          <w:highlight w:val="none"/>
        </w:rPr>
        <w:t xml:space="preserve">竣工结算时，结算单价按中标单价计取，工程量按实际发生量计算。</w:t>
      </w:r>
      <w:r/>
    </w:p>
    <w:p>
      <w:pPr>
        <w:ind w:firstLine="482"/>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五、</w:t>
      </w:r>
      <w:bookmarkEnd w:id="6"/>
      <w:r>
        <w:rPr>
          <w:rFonts w:hint="eastAsia" w:ascii="宋体" w:hAnsi="宋体" w:eastAsia="宋体" w:cs="宋体"/>
          <w:b/>
          <w:color w:val="auto"/>
          <w:sz w:val="24"/>
          <w:szCs w:val="24"/>
          <w:highlight w:val="none"/>
        </w:rPr>
        <w:t xml:space="preserve">项目经理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承包人项目经理：</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，身份证号：</w:t>
      </w:r>
      <w:r>
        <w:rPr>
          <w:rFonts w:hint="eastAsia" w:ascii="宋体" w:hAnsi="宋体" w:eastAsia="宋体" w:cs="宋体"/>
          <w:color w:val="auto"/>
          <w:sz w:val="24"/>
          <w:szCs w:val="24"/>
          <w:highlight w:val="none"/>
          <w:u w:val="none"/>
        </w:rPr>
        <w:t xml:space="preserve"> </w:t>
      </w:r>
      <w:r>
        <w:rPr>
          <w:rFonts w:hint="eastAsia" w:ascii="宋体" w:hAnsi="宋体" w:eastAsia="宋体" w:cs="宋体"/>
          <w:color w:val="auto"/>
          <w:sz w:val="24"/>
          <w:szCs w:val="24"/>
          <w:highlight w:val="none"/>
          <w:u w:val="none"/>
          <w:lang w:val="en-US" w:eastAsia="zh-CN"/>
        </w:rPr>
        <w:t xml:space="preserve">     </w:t>
      </w:r>
      <w:r>
        <w:rPr>
          <w:rFonts w:hint="eastAsia" w:ascii="宋体" w:hAnsi="宋体" w:eastAsia="宋体" w:cs="宋体"/>
          <w:color w:val="auto"/>
          <w:sz w:val="24"/>
          <w:szCs w:val="24"/>
          <w:highlight w:val="none"/>
          <w:u w:val="none"/>
        </w:rPr>
        <w:t xml:space="preserve">                    </w:t>
      </w:r>
      <w:r>
        <w:rPr>
          <w:rFonts w:hint="eastAsia" w:ascii="宋体" w:hAnsi="宋体" w:eastAsia="宋体" w:cs="宋体"/>
          <w:color w:val="auto"/>
          <w:sz w:val="24"/>
          <w:szCs w:val="24"/>
          <w:highlight w:val="none"/>
          <w:u w:val="single"/>
        </w:rPr>
        <w:t xml:space="preserve">                </w:t>
      </w:r>
      <w:r/>
    </w:p>
    <w:p>
      <w:pPr>
        <w:ind w:firstLine="482"/>
        <w:keepLines w:val="0"/>
        <w:keepNext w:val="0"/>
        <w:pageBreakBefore w:val="0"/>
        <w:spacing w:line="360" w:lineRule="auto"/>
        <w:widowControl w:val="off"/>
        <w:rPr>
          <w:rFonts w:hint="eastAsia" w:ascii="宋体" w:hAnsi="宋体" w:eastAsia="宋体" w:cs="宋体"/>
          <w:b/>
          <w:color w:val="auto"/>
          <w:sz w:val="24"/>
          <w:szCs w:val="24"/>
          <w:highlight w:val="none"/>
        </w:rPr>
      </w:pPr>
      <w:r/>
      <w:bookmarkStart w:id="7" w:name="_Toc351203486"/>
      <w:r>
        <w:rPr>
          <w:rFonts w:hint="eastAsia" w:ascii="宋体" w:hAnsi="宋体" w:eastAsia="宋体" w:cs="宋体"/>
          <w:b/>
          <w:color w:val="auto"/>
          <w:sz w:val="24"/>
          <w:szCs w:val="24"/>
          <w:highlight w:val="none"/>
        </w:rPr>
        <w:t xml:space="preserve">六、合同文件构成</w:t>
      </w:r>
      <w:bookmarkEnd w:id="7"/>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本协议书与下列文件一起构成合同文件：</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（1）中标通知书（如果有）；</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（2）投标函及其附录（如果有）； </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（3）专用合同条款及其附件；</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（4）通用合同条款；</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（5）技术标准和要求；</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（6）图纸；</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（7）已标价工程量清单或预算书；</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（8）其他合同文件。</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在合同订立及履行过程中形成的与合同有关的文件均构成合同文件组成部分。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rPr>
      </w:pPr>
      <w:r/>
      <w:bookmarkStart w:id="8" w:name="_Toc351203487"/>
      <w:r>
        <w:rPr>
          <w:rFonts w:hint="eastAsia" w:ascii="宋体" w:hAnsi="宋体" w:eastAsia="宋体" w:cs="宋体"/>
          <w:b/>
          <w:bCs/>
          <w:color w:val="auto"/>
          <w:sz w:val="24"/>
          <w:szCs w:val="24"/>
          <w:highlight w:val="none"/>
        </w:rPr>
        <w:t xml:space="preserve">七、承诺</w:t>
      </w:r>
      <w:bookmarkEnd w:id="8"/>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1.发包人承诺按照法律规定履行项目审批手续、筹集工程建设资金并按照合同约定的期限和方式支付合同价款。</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2.承包人承诺按照法律规定及合同约定组织完成工程施工，确保工程质量和安全，不进行转包及违法分包，并在缺陷责任期及保修期内承担相应的工程维修责任。</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3.发包人和承包人通过招投标形式签订合同的，双方理解并承诺不再就同一工程另行签订与合同实质性内容相背离的协议。</w:t>
      </w:r>
      <w:r/>
    </w:p>
    <w:p>
      <w:pPr>
        <w:ind w:firstLine="482"/>
        <w:keepLines w:val="0"/>
        <w:keepNext w:val="0"/>
        <w:pageBreakBefore w:val="0"/>
        <w:spacing w:line="360" w:lineRule="auto"/>
        <w:widowControl w:val="off"/>
        <w:rPr>
          <w:rFonts w:hint="eastAsia" w:ascii="宋体" w:hAnsi="宋体" w:eastAsia="宋体" w:cs="宋体"/>
          <w:b/>
          <w:color w:val="auto"/>
          <w:sz w:val="24"/>
          <w:szCs w:val="24"/>
          <w:highlight w:val="none"/>
        </w:rPr>
      </w:pPr>
      <w:r/>
      <w:bookmarkStart w:id="9" w:name="_Toc351203488"/>
      <w:r>
        <w:rPr>
          <w:rFonts w:hint="eastAsia" w:ascii="宋体" w:hAnsi="宋体" w:eastAsia="宋体" w:cs="宋体"/>
          <w:b/>
          <w:color w:val="auto"/>
          <w:sz w:val="24"/>
          <w:szCs w:val="24"/>
          <w:highlight w:val="none"/>
        </w:rPr>
        <w:t xml:space="preserve">八、词语含义</w:t>
      </w:r>
      <w:bookmarkEnd w:id="9"/>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本协议书中词语含义与第二部分通用合同条款中赋予的含义相同。</w:t>
      </w:r>
      <w:r/>
    </w:p>
    <w:p>
      <w:pPr>
        <w:ind w:firstLine="482"/>
        <w:keepLines w:val="0"/>
        <w:keepNext w:val="0"/>
        <w:pageBreakBefore w:val="0"/>
        <w:spacing w:line="360" w:lineRule="auto"/>
        <w:widowControl w:val="off"/>
        <w:rPr>
          <w:rFonts w:hint="eastAsia" w:ascii="宋体" w:hAnsi="宋体" w:eastAsia="宋体" w:cs="宋体"/>
          <w:b/>
          <w:color w:val="auto"/>
          <w:sz w:val="24"/>
          <w:szCs w:val="24"/>
          <w:highlight w:val="none"/>
        </w:rPr>
      </w:pPr>
      <w:r/>
      <w:bookmarkStart w:id="10" w:name="_Toc351203489"/>
      <w:r>
        <w:rPr>
          <w:rFonts w:hint="eastAsia" w:ascii="宋体" w:hAnsi="宋体" w:eastAsia="宋体" w:cs="宋体"/>
          <w:b/>
          <w:color w:val="auto"/>
          <w:sz w:val="24"/>
          <w:szCs w:val="24"/>
          <w:highlight w:val="none"/>
        </w:rPr>
        <w:t xml:space="preserve">九、签订时间</w:t>
      </w:r>
      <w:bookmarkEnd w:id="10"/>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本合同于</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年</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月</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日签订。</w:t>
      </w:r>
      <w:r/>
    </w:p>
    <w:p>
      <w:pPr>
        <w:ind w:firstLine="482"/>
        <w:keepLines w:val="0"/>
        <w:keepNext w:val="0"/>
        <w:pageBreakBefore w:val="0"/>
        <w:spacing w:line="360" w:lineRule="auto"/>
        <w:widowControl w:val="off"/>
        <w:rPr>
          <w:rFonts w:hint="eastAsia" w:ascii="宋体" w:hAnsi="宋体" w:eastAsia="宋体" w:cs="宋体"/>
          <w:b/>
          <w:color w:val="auto"/>
          <w:sz w:val="24"/>
          <w:szCs w:val="24"/>
          <w:highlight w:val="none"/>
        </w:rPr>
      </w:pPr>
      <w:r/>
      <w:bookmarkStart w:id="11" w:name="_Toc351203490"/>
      <w:r>
        <w:rPr>
          <w:rFonts w:hint="eastAsia" w:ascii="宋体" w:hAnsi="宋体" w:eastAsia="宋体" w:cs="宋体"/>
          <w:b/>
          <w:color w:val="auto"/>
          <w:sz w:val="24"/>
          <w:szCs w:val="24"/>
          <w:highlight w:val="none"/>
        </w:rPr>
        <w:t xml:space="preserve">十、签订地点</w:t>
      </w:r>
      <w:bookmarkEnd w:id="11"/>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本合同在</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签订。</w:t>
      </w:r>
      <w:r/>
    </w:p>
    <w:p>
      <w:pPr>
        <w:ind w:firstLine="482"/>
        <w:keepLines w:val="0"/>
        <w:keepNext w:val="0"/>
        <w:pageBreakBefore w:val="0"/>
        <w:spacing w:line="360" w:lineRule="auto"/>
        <w:widowControl w:val="off"/>
        <w:rPr>
          <w:rFonts w:hint="eastAsia" w:ascii="宋体" w:hAnsi="宋体" w:eastAsia="宋体" w:cs="宋体"/>
          <w:b/>
          <w:color w:val="auto"/>
          <w:sz w:val="24"/>
          <w:szCs w:val="24"/>
          <w:highlight w:val="none"/>
        </w:rPr>
      </w:pPr>
      <w:r/>
      <w:bookmarkStart w:id="12" w:name="_Toc351203491"/>
      <w:r>
        <w:rPr>
          <w:rFonts w:hint="eastAsia" w:ascii="宋体" w:hAnsi="宋体" w:eastAsia="宋体" w:cs="宋体"/>
          <w:b/>
          <w:color w:val="auto"/>
          <w:sz w:val="24"/>
          <w:szCs w:val="24"/>
          <w:highlight w:val="none"/>
        </w:rPr>
        <w:t xml:space="preserve">十一、补充协议</w:t>
      </w:r>
      <w:bookmarkEnd w:id="12"/>
      <w:r/>
      <w:r/>
    </w:p>
    <w:p>
      <w:pPr>
        <w:ind w:firstLine="480"/>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Cs/>
          <w:color w:val="auto"/>
          <w:sz w:val="24"/>
          <w:szCs w:val="24"/>
          <w:highlight w:val="none"/>
        </w:rPr>
        <w:t xml:space="preserve">合同未尽事宜，合同当事人另行签订补充协议，补充协议是合同的组成部分。</w:t>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rPr>
      </w:pPr>
      <w:r/>
      <w:bookmarkStart w:id="13" w:name="_Toc351203492"/>
      <w:r>
        <w:rPr>
          <w:rFonts w:hint="eastAsia" w:ascii="宋体" w:hAnsi="宋体" w:eastAsia="宋体" w:cs="宋体"/>
          <w:b/>
          <w:bCs/>
          <w:color w:val="auto"/>
          <w:sz w:val="24"/>
          <w:szCs w:val="24"/>
          <w:highlight w:val="none"/>
        </w:rPr>
        <w:t xml:space="preserve">十二、合同生效</w:t>
      </w:r>
      <w:bookmarkEnd w:id="13"/>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本合同自</w:t>
      </w:r>
      <w:r>
        <w:rPr>
          <w:rFonts w:hint="eastAsia" w:ascii="宋体" w:hAnsi="宋体" w:eastAsia="宋体" w:cs="宋体"/>
          <w:bCs/>
          <w:color w:val="auto"/>
          <w:sz w:val="24"/>
          <w:szCs w:val="24"/>
          <w:highlight w:val="none"/>
          <w:u w:val="single"/>
        </w:rPr>
        <w:t xml:space="preserve">   双方签字并盖章后  </w:t>
      </w:r>
      <w:r>
        <w:rPr>
          <w:rFonts w:hint="eastAsia" w:ascii="宋体" w:hAnsi="宋体" w:eastAsia="宋体" w:cs="宋体"/>
          <w:bCs/>
          <w:color w:val="auto"/>
          <w:sz w:val="24"/>
          <w:szCs w:val="24"/>
          <w:highlight w:val="none"/>
        </w:rPr>
        <w:t xml:space="preserve">生效。</w:t>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rPr>
      </w:pPr>
      <w:r/>
      <w:bookmarkStart w:id="14" w:name="_Toc351203493"/>
      <w:r>
        <w:rPr>
          <w:rFonts w:hint="eastAsia" w:ascii="宋体" w:hAnsi="宋体" w:eastAsia="宋体" w:cs="宋体"/>
          <w:b/>
          <w:bCs/>
          <w:color w:val="auto"/>
          <w:sz w:val="24"/>
          <w:szCs w:val="24"/>
          <w:highlight w:val="none"/>
        </w:rPr>
        <w:t xml:space="preserve">十三、合同份数</w:t>
      </w:r>
      <w:bookmarkEnd w:id="14"/>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本合同一式</w:t>
      </w:r>
      <w:r>
        <w:rPr>
          <w:rFonts w:hint="eastAsia" w:ascii="宋体" w:hAnsi="宋体" w:eastAsia="宋体" w:cs="宋体"/>
          <w:bCs/>
          <w:color w:val="auto"/>
          <w:sz w:val="24"/>
          <w:szCs w:val="24"/>
          <w:highlight w:val="none"/>
          <w:u w:val="single"/>
        </w:rPr>
        <w:t xml:space="preserve">  四  </w:t>
      </w:r>
      <w:r>
        <w:rPr>
          <w:rFonts w:hint="eastAsia" w:ascii="宋体" w:hAnsi="宋体" w:eastAsia="宋体" w:cs="宋体"/>
          <w:bCs/>
          <w:color w:val="auto"/>
          <w:sz w:val="24"/>
          <w:szCs w:val="24"/>
          <w:highlight w:val="none"/>
        </w:rPr>
        <w:t xml:space="preserve">份，均具有同等法律效力，发包人执</w:t>
      </w:r>
      <w:r>
        <w:rPr>
          <w:rFonts w:hint="eastAsia" w:ascii="宋体" w:hAnsi="宋体" w:eastAsia="宋体" w:cs="宋体"/>
          <w:bCs/>
          <w:color w:val="auto"/>
          <w:sz w:val="24"/>
          <w:szCs w:val="24"/>
          <w:highlight w:val="none"/>
          <w:u w:val="single"/>
        </w:rPr>
        <w:t xml:space="preserve"> 二  </w:t>
      </w:r>
      <w:r>
        <w:rPr>
          <w:rFonts w:hint="eastAsia" w:ascii="宋体" w:hAnsi="宋体" w:eastAsia="宋体" w:cs="宋体"/>
          <w:bCs/>
          <w:color w:val="auto"/>
          <w:sz w:val="24"/>
          <w:szCs w:val="24"/>
          <w:highlight w:val="none"/>
        </w:rPr>
        <w:t xml:space="preserve">份，承包人执</w:t>
      </w:r>
      <w:r>
        <w:rPr>
          <w:rFonts w:hint="eastAsia" w:ascii="宋体" w:hAnsi="宋体" w:eastAsia="宋体" w:cs="宋体"/>
          <w:bCs/>
          <w:color w:val="auto"/>
          <w:sz w:val="24"/>
          <w:szCs w:val="24"/>
          <w:highlight w:val="none"/>
          <w:u w:val="single"/>
        </w:rPr>
        <w:t xml:space="preserve">  二 </w:t>
      </w:r>
      <w:r>
        <w:rPr>
          <w:rFonts w:hint="eastAsia" w:ascii="宋体" w:hAnsi="宋体" w:eastAsia="宋体" w:cs="宋体"/>
          <w:bCs/>
          <w:color w:val="auto"/>
          <w:sz w:val="24"/>
          <w:szCs w:val="24"/>
          <w:highlight w:val="none"/>
        </w:rPr>
        <w:t xml:space="preserve"> 份。</w:t>
      </w:r>
      <w:r/>
    </w:p>
    <w:p>
      <w:pPr>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  (公章)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承包人：  (公章)</w:t>
      </w:r>
      <w:r/>
    </w:p>
    <w:p>
      <w:pPr>
        <w:keepLines w:val="0"/>
        <w:keepNext w:val="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r>
      <w:r/>
    </w:p>
    <w:p>
      <w:pPr>
        <w:ind w:firstLine="480"/>
        <w:keepLines w:val="0"/>
        <w:keepNext w:val="0"/>
        <w:pageBreakBefore w:val="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签订日期：  年  月  日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签订日期：  年  月  日 </w:t>
      </w:r>
      <w:r/>
    </w:p>
    <w:p>
      <w:pPr>
        <w:ind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法定代表人或其委托代理人：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法定代表人或其委托代理人：</w:t>
      </w:r>
      <w:r/>
    </w:p>
    <w:p>
      <w:pPr>
        <w:ind w:firstLine="480"/>
        <w:keepLines w:val="0"/>
        <w:keepNext w:val="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（签字）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（签字）</w:t>
      </w:r>
      <w:r/>
    </w:p>
    <w:p>
      <w:pPr>
        <w:ind w:firstLine="480"/>
        <w:keepLines w:val="0"/>
        <w:keepNext w:val="0"/>
        <w:pageBreakBefore w:val="0"/>
        <w:spacing w:line="500" w:lineRule="exact"/>
        <w:tabs>
          <w:tab w:val="left" w:pos="441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组织机构代码：                   组织机构代码：  </w:t>
      </w:r>
      <w:r/>
    </w:p>
    <w:p>
      <w:pPr>
        <w:ind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                         地  址：</w:t>
      </w:r>
      <w:r/>
    </w:p>
    <w:p>
      <w:pPr>
        <w:ind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  话：                         电  话：</w:t>
      </w:r>
      <w:r/>
    </w:p>
    <w:p>
      <w:pPr>
        <w:ind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电子信箱：                       电子信箱：</w:t>
      </w:r>
      <w:r/>
    </w:p>
    <w:p>
      <w:pPr>
        <w:ind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开户银行：                       开户银行：</w:t>
      </w:r>
      <w:r/>
    </w:p>
    <w:p>
      <w:pPr>
        <w:ind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账  号：                         账  号： </w:t>
      </w:r>
      <w:r/>
    </w:p>
    <w:p>
      <w:pPr>
        <w:pStyle w:val="983"/>
        <w:jc w:val="center"/>
        <w:pageBreakBefore w:val="0"/>
        <w:spacing w:before="0"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bookmarkStart w:id="15" w:name="_Toc29594"/>
      <w:r/>
      <w:bookmarkStart w:id="16" w:name="_Toc351203494"/>
      <w:r/>
      <w:bookmarkStart w:id="17" w:name="_Toc29286"/>
      <w:r>
        <w:rPr>
          <w:rFonts w:hint="eastAsia" w:ascii="宋体" w:hAnsi="宋体" w:eastAsia="宋体" w:cs="宋体"/>
          <w:b/>
          <w:bCs/>
          <w:color w:val="auto"/>
          <w:sz w:val="24"/>
          <w:szCs w:val="24"/>
          <w:highlight w:val="none"/>
        </w:rPr>
        <w:t xml:space="preserve">第二部分 通用合同条款</w:t>
      </w:r>
      <w:bookmarkEnd w:id="15"/>
      <w:r/>
      <w:bookmarkEnd w:id="16"/>
      <w:r/>
      <w:bookmarkEnd w:id="17"/>
      <w:r/>
      <w:bookmarkStart w:id="18" w:name="_Toc337558727"/>
      <w:r/>
      <w:r/>
    </w:p>
    <w:p>
      <w:pPr>
        <w:jc w:val="center"/>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备注：</w:t>
      </w:r>
      <w:r>
        <w:rPr>
          <w:rFonts w:hint="eastAsia" w:ascii="宋体" w:hAnsi="宋体" w:eastAsia="宋体" w:cs="宋体"/>
          <w:color w:val="auto"/>
          <w:sz w:val="24"/>
          <w:szCs w:val="24"/>
          <w:highlight w:val="none"/>
        </w:rPr>
        <w:t xml:space="preserve">本合同通用条款执行建设工程施工合同(GF—2017—0201)</w:t>
      </w:r>
      <w:r/>
    </w:p>
    <w:p>
      <w:pPr>
        <w:jc w:val="center"/>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u w:val="single"/>
        </w:rPr>
        <w:t xml:space="preserve">此部分在正式签订合同时应不加修改的、完整的装订在合同中</w:t>
      </w:r>
      <w:bookmarkEnd w:id="18"/>
      <w:r/>
      <w:r/>
    </w:p>
    <w:p>
      <w:pPr>
        <w:pStyle w:val="983"/>
        <w:jc w:val="center"/>
        <w:pageBreakBefore w:val="0"/>
        <w:spacing w:before="0" w:after="0" w:line="500" w:lineRule="exact"/>
        <w:rPr>
          <w:rFonts w:hint="eastAsia" w:ascii="宋体" w:hAnsi="宋体" w:eastAsia="宋体" w:cs="宋体"/>
          <w:color w:val="auto"/>
          <w:sz w:val="24"/>
          <w:szCs w:val="24"/>
          <w:highlight w:val="none"/>
        </w:rPr>
      </w:pPr>
      <w:r>
        <w:rPr>
          <w:rStyle w:val="1242"/>
          <w:rFonts w:hint="eastAsia" w:ascii="宋体" w:hAnsi="宋体" w:eastAsia="宋体" w:cs="宋体"/>
          <w:color w:val="auto"/>
          <w:sz w:val="24"/>
          <w:szCs w:val="24"/>
          <w:highlight w:val="none"/>
        </w:rPr>
        <w:br w:type="page" w:clear="all"/>
      </w:r>
      <w:bookmarkStart w:id="19" w:name="_Toc351203632"/>
      <w:r/>
      <w:bookmarkStart w:id="20" w:name="_Toc24249"/>
      <w:r/>
      <w:bookmarkStart w:id="21" w:name="_Toc3191"/>
      <w:r>
        <w:rPr>
          <w:rFonts w:hint="eastAsia" w:ascii="宋体" w:hAnsi="宋体" w:eastAsia="宋体" w:cs="宋体"/>
          <w:b/>
          <w:bCs/>
          <w:color w:val="auto"/>
          <w:sz w:val="24"/>
          <w:szCs w:val="24"/>
          <w:highlight w:val="none"/>
        </w:rPr>
        <w:t xml:space="preserve">第三部分 专用合同条款</w:t>
      </w:r>
      <w:bookmarkEnd w:id="19"/>
      <w:r/>
      <w:bookmarkEnd w:id="20"/>
      <w:r/>
      <w:bookmarkEnd w:id="21"/>
      <w:r/>
      <w:r/>
    </w:p>
    <w:p>
      <w:pPr>
        <w:pStyle w:val="984"/>
        <w:ind w:left="0" w:firstLine="480"/>
        <w:pageBreakBefore w:val="0"/>
        <w:spacing w:before="0" w:after="0"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1. 一般约定</w:t>
      </w:r>
      <w:r/>
    </w:p>
    <w:p>
      <w:pPr>
        <w:ind w:left="0" w:firstLine="480"/>
        <w:pageBreakBefore w:val="0"/>
        <w:spacing w:line="36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1.1 词语定义</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1.1.1合同</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1.1.1.10其他合同文件包括：</w:t>
      </w:r>
      <w:r>
        <w:rPr>
          <w:rFonts w:hint="eastAsia" w:ascii="宋体" w:hAnsi="宋体" w:eastAsia="宋体" w:cs="宋体"/>
          <w:color w:val="auto"/>
          <w:sz w:val="24"/>
          <w:szCs w:val="24"/>
          <w:highlight w:val="none"/>
          <w:u w:val="single"/>
        </w:rPr>
        <w:t xml:space="preserve">履行合同过程中双方书面确认的会议纪要、签证、设计变更等资料 </w:t>
      </w:r>
      <w:r>
        <w:rPr>
          <w:rFonts w:hint="eastAsia" w:ascii="宋体" w:hAnsi="宋体" w:eastAsia="宋体" w:cs="宋体"/>
          <w:color w:val="auto"/>
          <w:sz w:val="24"/>
          <w:szCs w:val="24"/>
          <w:highlight w:val="none"/>
        </w:rPr>
        <w:t xml:space="preserve">。</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 合同当事人及其他相关方</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1.1.2.4监理人：</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    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资质类别和等级：</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1.1.2.5 设计人：</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    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资质类别和等级：</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 工程和设备</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1.1.3.7 作为施工现场组成部分的其他场所包括：</w:t>
      </w:r>
      <w:r>
        <w:rPr>
          <w:rFonts w:hint="eastAsia" w:ascii="宋体" w:hAnsi="宋体" w:eastAsia="宋体" w:cs="宋体"/>
          <w:color w:val="auto"/>
          <w:sz w:val="24"/>
          <w:szCs w:val="24"/>
          <w:highlight w:val="none"/>
          <w:u w:val="single"/>
        </w:rPr>
        <w:t xml:space="preserve">  现场临时办公及施工场地 </w:t>
      </w:r>
      <w:r>
        <w:rPr>
          <w:rFonts w:hint="eastAsia" w:ascii="宋体" w:hAnsi="宋体" w:eastAsia="宋体" w:cs="宋体"/>
          <w:color w:val="auto"/>
          <w:sz w:val="24"/>
          <w:szCs w:val="24"/>
          <w:highlight w:val="none"/>
        </w:rPr>
        <w:t xml:space="preserve">。</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1.1.3.9 永久占地包括：</w:t>
      </w:r>
      <w:r>
        <w:rPr>
          <w:rFonts w:hint="eastAsia" w:ascii="宋体" w:hAnsi="宋体" w:eastAsia="宋体" w:cs="宋体"/>
          <w:color w:val="auto"/>
          <w:sz w:val="24"/>
          <w:szCs w:val="24"/>
          <w:highlight w:val="none"/>
          <w:u w:val="single"/>
        </w:rPr>
        <w:t xml:space="preserve">   按施工图设计确定 </w:t>
      </w:r>
      <w:r>
        <w:rPr>
          <w:rFonts w:hint="eastAsia" w:ascii="宋体" w:hAnsi="宋体" w:eastAsia="宋体" w:cs="宋体"/>
          <w:color w:val="auto"/>
          <w:sz w:val="24"/>
          <w:szCs w:val="24"/>
          <w:highlight w:val="none"/>
        </w:rPr>
        <w:t xml:space="preserve">。</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1.1.3.10 临时占地包括：</w:t>
      </w:r>
      <w:r>
        <w:rPr>
          <w:rFonts w:hint="eastAsia" w:ascii="宋体" w:hAnsi="宋体" w:eastAsia="宋体" w:cs="宋体"/>
          <w:color w:val="auto"/>
          <w:sz w:val="24"/>
          <w:szCs w:val="24"/>
          <w:highlight w:val="none"/>
          <w:u w:val="single"/>
        </w:rPr>
        <w:t xml:space="preserve">  合同履行中确定    </w:t>
      </w:r>
      <w:r>
        <w:rPr>
          <w:rFonts w:hint="eastAsia" w:ascii="宋体" w:hAnsi="宋体" w:eastAsia="宋体" w:cs="宋体"/>
          <w:color w:val="auto"/>
          <w:sz w:val="24"/>
          <w:szCs w:val="24"/>
          <w:highlight w:val="none"/>
        </w:rPr>
        <w:t xml:space="preserve">。</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1.3法律 </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适用于合同的其他规范性文件：</w:t>
      </w:r>
      <w:r>
        <w:rPr>
          <w:rFonts w:hint="eastAsia" w:ascii="宋体" w:hAnsi="宋体" w:eastAsia="宋体" w:cs="宋体"/>
          <w:color w:val="auto"/>
          <w:sz w:val="24"/>
          <w:szCs w:val="24"/>
          <w:highlight w:val="none"/>
          <w:u w:val="single"/>
        </w:rPr>
        <w:t xml:space="preserve">《中华人民共和国民法典》、《中华人民共和国建筑法》、《中华人民共和国</w:t>
      </w:r>
      <w:r>
        <w:rPr>
          <w:rFonts w:hint="eastAsia" w:ascii="宋体" w:hAnsi="宋体" w:cs="宋体"/>
          <w:color w:val="auto"/>
          <w:sz w:val="24"/>
          <w:szCs w:val="24"/>
          <w:highlight w:val="none"/>
          <w:u w:val="single"/>
          <w:lang w:val="en-US" w:eastAsia="zh-CN"/>
        </w:rPr>
        <w:t xml:space="preserve">政府采购</w:t>
      </w:r>
      <w:r>
        <w:rPr>
          <w:rFonts w:hint="eastAsia" w:ascii="宋体" w:hAnsi="宋体" w:eastAsia="宋体" w:cs="宋体"/>
          <w:color w:val="auto"/>
          <w:sz w:val="24"/>
          <w:szCs w:val="24"/>
          <w:highlight w:val="none"/>
          <w:u w:val="single"/>
        </w:rPr>
        <w:t xml:space="preserve">法》、《中华人民共和国安全生产法》、《城市道路管理条例》、《建设工程质量管理条例》、《城市道路管理条例》、《徐州市市政公用设施管理条例》及其他现行有关法律、法规。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 标准和规范</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1.4.1适用于工程的标准规范包括：</w:t>
      </w:r>
      <w:r>
        <w:rPr>
          <w:rFonts w:hint="eastAsia" w:ascii="宋体" w:hAnsi="宋体" w:eastAsia="宋体" w:cs="宋体"/>
          <w:color w:val="auto"/>
          <w:sz w:val="24"/>
          <w:szCs w:val="24"/>
          <w:highlight w:val="none"/>
          <w:u w:val="single"/>
        </w:rPr>
        <w:t xml:space="preserve">现行国家及江苏省、徐州市的有关标准及其他适用于本工程的技术标准、规范等。</w:t>
      </w:r>
      <w:r/>
    </w:p>
    <w:p>
      <w:pPr>
        <w:pStyle w:val="1020"/>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 发包人提供国外标准、规范的名称：</w:t>
      </w:r>
      <w:r>
        <w:rPr>
          <w:rFonts w:hint="eastAsia" w:ascii="宋体" w:hAnsi="宋体" w:eastAsia="宋体" w:cs="宋体"/>
          <w:color w:val="auto"/>
          <w:sz w:val="24"/>
          <w:szCs w:val="24"/>
          <w:highlight w:val="none"/>
          <w:u w:val="single"/>
        </w:rPr>
        <w:t xml:space="preserve"> 不采用  </w:t>
      </w:r>
      <w:r>
        <w:rPr>
          <w:rFonts w:hint="eastAsia" w:ascii="宋体" w:hAnsi="宋体" w:eastAsia="宋体" w:cs="宋体"/>
          <w:color w:val="auto"/>
          <w:sz w:val="24"/>
          <w:szCs w:val="24"/>
          <w:highlight w:val="none"/>
        </w:rPr>
        <w:t xml:space="preserve">；</w:t>
      </w:r>
      <w:r/>
    </w:p>
    <w:p>
      <w:pPr>
        <w:pStyle w:val="1020"/>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发包人提供国外标准、规范的份数：</w:t>
      </w:r>
      <w:r>
        <w:rPr>
          <w:rFonts w:hint="eastAsia" w:ascii="宋体" w:hAnsi="宋体" w:eastAsia="宋体" w:cs="宋体"/>
          <w:color w:val="auto"/>
          <w:sz w:val="24"/>
          <w:szCs w:val="24"/>
          <w:highlight w:val="none"/>
          <w:u w:val="single"/>
        </w:rPr>
        <w:t xml:space="preserve">  不采用  </w:t>
      </w:r>
      <w:r>
        <w:rPr>
          <w:rFonts w:hint="eastAsia" w:ascii="宋体" w:hAnsi="宋体" w:eastAsia="宋体" w:cs="宋体"/>
          <w:color w:val="auto"/>
          <w:sz w:val="24"/>
          <w:szCs w:val="24"/>
          <w:highlight w:val="none"/>
        </w:rPr>
        <w:t xml:space="preserve">；</w:t>
      </w:r>
      <w:r/>
    </w:p>
    <w:p>
      <w:pPr>
        <w:pStyle w:val="1020"/>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发包人提供国外标准、规范的名称：</w:t>
      </w:r>
      <w:r>
        <w:rPr>
          <w:rFonts w:hint="eastAsia" w:ascii="宋体" w:hAnsi="宋体" w:eastAsia="宋体" w:cs="宋体"/>
          <w:color w:val="auto"/>
          <w:sz w:val="24"/>
          <w:szCs w:val="24"/>
          <w:highlight w:val="none"/>
          <w:u w:val="single"/>
        </w:rPr>
        <w:t xml:space="preserve">  不采用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1.4.3发包人对工程的技术标准和功能要求的特殊要求：</w:t>
      </w:r>
      <w:r>
        <w:rPr>
          <w:rFonts w:hint="eastAsia" w:ascii="宋体" w:hAnsi="宋体" w:eastAsia="宋体" w:cs="宋体"/>
          <w:color w:val="auto"/>
          <w:sz w:val="24"/>
          <w:szCs w:val="24"/>
          <w:highlight w:val="none"/>
          <w:u w:val="single"/>
        </w:rPr>
        <w:t xml:space="preserve">符合有关行业主管部门和业主的要求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1.5 合同文件的优先顺序</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合同文件组成及优先顺序为：</w:t>
      </w:r>
      <w:r>
        <w:rPr>
          <w:rFonts w:hint="eastAsia" w:ascii="宋体" w:hAnsi="宋体" w:eastAsia="宋体" w:cs="宋体"/>
          <w:color w:val="auto"/>
          <w:sz w:val="24"/>
          <w:szCs w:val="24"/>
          <w:highlight w:val="none"/>
          <w:u w:val="single"/>
        </w:rPr>
        <w:t xml:space="preserve">本合同协议书；中标</w:t>
      </w:r>
      <w:r>
        <w:rPr>
          <w:rFonts w:hint="eastAsia" w:ascii="宋体" w:hAnsi="宋体" w:cs="宋体"/>
          <w:color w:val="auto"/>
          <w:sz w:val="24"/>
          <w:szCs w:val="24"/>
          <w:highlight w:val="none"/>
          <w:u w:val="single"/>
          <w:lang w:eastAsia="zh-CN"/>
        </w:rPr>
        <w:t xml:space="preserve">（</w:t>
      </w:r>
      <w:r>
        <w:rPr>
          <w:rFonts w:hint="eastAsia" w:ascii="宋体" w:hAnsi="宋体" w:cs="宋体"/>
          <w:color w:val="auto"/>
          <w:sz w:val="24"/>
          <w:szCs w:val="24"/>
          <w:highlight w:val="none"/>
          <w:u w:val="single"/>
          <w:lang w:val="en-US" w:eastAsia="zh-CN"/>
        </w:rPr>
        <w:t xml:space="preserve">成交</w:t>
      </w:r>
      <w:r>
        <w:rPr>
          <w:rFonts w:hint="eastAsia" w:ascii="宋体" w:hAnsi="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通知书；</w:t>
      </w:r>
      <w:r>
        <w:rPr>
          <w:rFonts w:hint="eastAsia" w:ascii="宋体" w:hAnsi="宋体" w:cs="宋体"/>
          <w:color w:val="auto"/>
          <w:sz w:val="24"/>
          <w:szCs w:val="24"/>
          <w:highlight w:val="none"/>
          <w:u w:val="single"/>
          <w:lang w:val="en-US" w:eastAsia="zh-CN"/>
        </w:rPr>
        <w:t xml:space="preserve">响应文件</w:t>
      </w:r>
      <w:r>
        <w:rPr>
          <w:rFonts w:hint="eastAsia" w:ascii="宋体" w:hAnsi="宋体" w:eastAsia="宋体" w:cs="宋体"/>
          <w:color w:val="auto"/>
          <w:sz w:val="24"/>
          <w:szCs w:val="24"/>
          <w:highlight w:val="none"/>
          <w:u w:val="single"/>
        </w:rPr>
        <w:t xml:space="preserve">及其附件；本合同专用条款；本合同通用条款；标准、规范及有关技术文件；图纸；工程量清单；工程报价单或预算书；其他合同文件。双方有关工程的洽商、变更、会议纪要、双方来往函件(施工过程中的)等书面协议或文件视为本合同的组成部分。</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1.6 图纸和承包人文件</w:t>
      </w:r>
      <w:r>
        <w:rPr>
          <w:rFonts w:hint="eastAsia" w:ascii="宋体" w:hAnsi="宋体" w:eastAsia="宋体" w:cs="宋体"/>
          <w:color w:val="auto"/>
          <w:sz w:val="24"/>
          <w:szCs w:val="24"/>
          <w:highlight w:val="none"/>
        </w:rPr>
        <w:tab/>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 图纸的提供</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发包人向承包人提供图纸的期限：</w:t>
      </w:r>
      <w:r>
        <w:rPr>
          <w:rFonts w:hint="eastAsia" w:ascii="宋体" w:hAnsi="宋体" w:eastAsia="宋体" w:cs="宋体"/>
          <w:color w:val="auto"/>
          <w:sz w:val="24"/>
          <w:szCs w:val="24"/>
          <w:highlight w:val="none"/>
          <w:u w:val="single"/>
        </w:rPr>
        <w:t xml:space="preserve">开工前7天</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发包人向承包人提供图纸的数量：</w:t>
      </w:r>
      <w:r>
        <w:rPr>
          <w:rFonts w:hint="eastAsia" w:ascii="宋体" w:hAnsi="宋体" w:eastAsia="宋体" w:cs="宋体"/>
          <w:color w:val="auto"/>
          <w:sz w:val="24"/>
          <w:szCs w:val="24"/>
          <w:highlight w:val="none"/>
          <w:u w:val="single"/>
        </w:rPr>
        <w:t xml:space="preserve">贰套，如承包人需增加施工图纸，由发包人与设计院联系，出图费用由承包人自行承担。设计文件和图纸由发包人统一提供，承包人不得直接接收设计单位提供的设计文件和图纸；</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承包人收到设计文件和图纸后，要根据技术标准、设计规范、标准设计图、通用图和有关规定，对设计文件和图纸认真审查。发现问题及时以书面形式报告发包人。否则，因设计文件和图纸差错造成的损失，由承包人承担。</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发包人向承包人提供图纸的内容：</w:t>
      </w:r>
      <w:r>
        <w:rPr>
          <w:rFonts w:hint="eastAsia" w:ascii="宋体" w:hAnsi="宋体" w:eastAsia="宋体" w:cs="宋体"/>
          <w:color w:val="auto"/>
          <w:sz w:val="24"/>
          <w:szCs w:val="24"/>
          <w:highlight w:val="none"/>
          <w:u w:val="single"/>
        </w:rPr>
        <w:t xml:space="preserve">全套施工图纸。</w:t>
      </w:r>
      <w:r/>
    </w:p>
    <w:p>
      <w:pPr>
        <w:pStyle w:val="1020"/>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承包人对图纸的保密要求：未经发包人许可，除了绝对是为执行合同以外，承包人不能让第三者应用和向第三者通报图纸、规范及其它由发包人提供的任何资料或信息。如有违反，承包人应向发包人支付违约金，具体数额由发包人根据实际损失确定。</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1.6.4 承包人文件</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需要由承包人提供的文件，包括：</w:t>
      </w:r>
      <w:r>
        <w:rPr>
          <w:rFonts w:hint="eastAsia" w:ascii="宋体" w:hAnsi="宋体" w:eastAsia="宋体" w:cs="宋体"/>
          <w:color w:val="auto"/>
          <w:sz w:val="24"/>
          <w:szCs w:val="24"/>
          <w:highlight w:val="none"/>
          <w:u w:val="single"/>
        </w:rPr>
        <w:t xml:space="preserve">①按GB/T50502、本合同第二部分 通用合同条款7.1和7.2编制施工组织设计、施工措施计划、施工方案、交通导改方案、扬尘污染、噪声污染防治、建筑垃圾、生活垃圾管理等措施报监理人审核和发包人确认；</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②由承包人办理的许可和批准的办理结果书面报送监理人审核和发包人确认、留存；</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③拟制施工人员名册（动态），并与为其办理工伤保险的有效证明一起报送监理人审核和发包人确认；</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④承包人项目管理机构、职责及施工现场人员安排的报告（其内容执行通用条款3.3）和主要施工管理人员与承包人之间的劳动关系证明和缴纳社会保险的有效证明，报送监理人审核和发包人确认；</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⑤特殊工种作业人员资格证明报送监理人审核和发包人确认；</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⑥项目经理的姓名、职称、注册建造师的编号、联系方式、授权范围等事项，和与承包人之间的正式聘用劳动合同、承包人为其缴纳社会保险的有效证明，一起报送监理人审核和发包人确认；</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⑦工程质量管理体系及措施文件、质量检查制度、质量控制文件，报送监理人审核和发包人确认；</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⑧工程安全管理体系及措施文件、安全检查制度、安全控制文件，报送监理人审核和发包人确认；</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⑨发包人管理需要的其他文件；</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⑩上述文件如发包人因管理需增加时，承包人有义务按发包人提出的形式、格式、数量、时间等要求提供；</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承包人提供的文件的期限为：</w:t>
      </w:r>
      <w:r>
        <w:rPr>
          <w:rFonts w:hint="eastAsia" w:ascii="宋体" w:hAnsi="宋体" w:eastAsia="宋体" w:cs="宋体"/>
          <w:color w:val="auto"/>
          <w:sz w:val="24"/>
          <w:szCs w:val="24"/>
          <w:highlight w:val="none"/>
          <w:u w:val="single"/>
        </w:rPr>
        <w:t xml:space="preserve">合同签字后7日内或发包人、监理人要求</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承包人提供的文件的数量为：</w:t>
      </w:r>
      <w:r>
        <w:rPr>
          <w:rFonts w:hint="eastAsia" w:ascii="宋体" w:hAnsi="宋体" w:eastAsia="宋体" w:cs="宋体"/>
          <w:color w:val="auto"/>
          <w:sz w:val="24"/>
          <w:szCs w:val="24"/>
          <w:highlight w:val="none"/>
          <w:u w:val="single"/>
        </w:rPr>
        <w:t xml:space="preserve">纸质版肆套，电子版一套；或发包人、监理人要求；</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承包人提供的文件的形式为：</w:t>
      </w:r>
      <w:r>
        <w:rPr>
          <w:rFonts w:hint="eastAsia" w:ascii="宋体" w:hAnsi="宋体" w:eastAsia="宋体" w:cs="宋体"/>
          <w:color w:val="auto"/>
          <w:sz w:val="24"/>
          <w:szCs w:val="24"/>
          <w:highlight w:val="none"/>
          <w:u w:val="single"/>
        </w:rPr>
        <w:t xml:space="preserve">纸质版，电子版；或发包人、监理人要求； </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发包人审批承包人文件的期限：</w:t>
      </w:r>
      <w:r>
        <w:rPr>
          <w:rFonts w:hint="eastAsia" w:ascii="宋体" w:hAnsi="宋体" w:eastAsia="宋体" w:cs="宋体"/>
          <w:color w:val="auto"/>
          <w:sz w:val="24"/>
          <w:szCs w:val="24"/>
          <w:highlight w:val="none"/>
          <w:u w:val="single"/>
        </w:rPr>
        <w:t xml:space="preserve">7个工作日内。 </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1.6.5 现场图纸准备</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关于现场图纸准备的约定：</w:t>
      </w:r>
      <w:r>
        <w:rPr>
          <w:rFonts w:hint="eastAsia" w:ascii="宋体" w:hAnsi="宋体" w:eastAsia="宋体" w:cs="宋体"/>
          <w:color w:val="auto"/>
          <w:sz w:val="24"/>
          <w:szCs w:val="24"/>
          <w:highlight w:val="none"/>
          <w:u w:val="single"/>
        </w:rPr>
        <w:t xml:space="preserve">执行通用条款。</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 联络</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1.7.1发包人和承包人应当在</w:t>
      </w:r>
      <w:r>
        <w:rPr>
          <w:rFonts w:hint="eastAsia" w:ascii="宋体" w:hAnsi="宋体" w:eastAsia="宋体" w:cs="宋体"/>
          <w:color w:val="auto"/>
          <w:sz w:val="24"/>
          <w:szCs w:val="24"/>
          <w:highlight w:val="none"/>
          <w:u w:val="single"/>
        </w:rPr>
        <w:t xml:space="preserve">五 </w:t>
      </w:r>
      <w:r>
        <w:rPr>
          <w:rFonts w:hint="eastAsia" w:ascii="宋体" w:hAnsi="宋体" w:eastAsia="宋体" w:cs="宋体"/>
          <w:color w:val="auto"/>
          <w:sz w:val="24"/>
          <w:szCs w:val="24"/>
          <w:highlight w:val="none"/>
        </w:rPr>
        <w:t xml:space="preserve">天内将与合同有关的通知、批准、证明、证书、指示、指令、要求、请求、同意、意见、确定和决定等书面函件送达对方当事人。</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1.7.2 发包人接收文件的地点：</w:t>
      </w:r>
      <w:r>
        <w:rPr>
          <w:rFonts w:hint="eastAsia" w:ascii="宋体" w:hAnsi="宋体" w:eastAsia="宋体" w:cs="宋体"/>
          <w:color w:val="auto"/>
          <w:sz w:val="24"/>
          <w:szCs w:val="24"/>
          <w:highlight w:val="none"/>
          <w:u w:val="single"/>
        </w:rPr>
        <w:t xml:space="preserve">发包人指定地点  </w:t>
      </w:r>
      <w:r>
        <w:rPr>
          <w:rFonts w:hint="eastAsia" w:ascii="宋体" w:hAnsi="宋体" w:eastAsia="宋体" w:cs="宋体"/>
          <w:color w:val="auto"/>
          <w:sz w:val="24"/>
          <w:szCs w:val="24"/>
          <w:highlight w:val="none"/>
        </w:rPr>
        <w:t xml:space="preserve">；</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发包人指定的接收人为：</w:t>
      </w:r>
      <w:r>
        <w:rPr>
          <w:rFonts w:hint="eastAsia" w:ascii="宋体" w:hAnsi="宋体" w:eastAsia="宋体" w:cs="宋体"/>
          <w:color w:val="auto"/>
          <w:sz w:val="24"/>
          <w:szCs w:val="24"/>
          <w:highlight w:val="none"/>
          <w:u w:val="single"/>
        </w:rPr>
        <w:t xml:space="preserve">发包人派驻现场代表    </w:t>
      </w:r>
      <w:r>
        <w:rPr>
          <w:rFonts w:hint="eastAsia" w:ascii="宋体" w:hAnsi="宋体" w:eastAsia="宋体" w:cs="宋体"/>
          <w:color w:val="auto"/>
          <w:sz w:val="24"/>
          <w:szCs w:val="24"/>
          <w:highlight w:val="none"/>
        </w:rPr>
        <w:t xml:space="preserve">。</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承包人接收文件的地点：</w:t>
      </w:r>
      <w:r>
        <w:rPr>
          <w:rFonts w:hint="eastAsia" w:ascii="宋体" w:hAnsi="宋体" w:eastAsia="宋体" w:cs="宋体"/>
          <w:color w:val="auto"/>
          <w:sz w:val="24"/>
          <w:szCs w:val="24"/>
          <w:highlight w:val="none"/>
          <w:u w:val="single"/>
        </w:rPr>
        <w:t xml:space="preserve">施工现场办公室          </w:t>
      </w:r>
      <w:r>
        <w:rPr>
          <w:rFonts w:hint="eastAsia" w:ascii="宋体" w:hAnsi="宋体" w:eastAsia="宋体" w:cs="宋体"/>
          <w:color w:val="auto"/>
          <w:sz w:val="24"/>
          <w:szCs w:val="24"/>
          <w:highlight w:val="none"/>
        </w:rPr>
        <w:t xml:space="preserve">；</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承包人指定的接收人为：</w:t>
      </w:r>
      <w:r>
        <w:rPr>
          <w:rFonts w:hint="eastAsia" w:ascii="宋体" w:hAnsi="宋体" w:eastAsia="宋体" w:cs="宋体"/>
          <w:color w:val="auto"/>
          <w:sz w:val="24"/>
          <w:szCs w:val="24"/>
          <w:highlight w:val="none"/>
          <w:u w:val="single"/>
        </w:rPr>
        <w:t xml:space="preserve">项目经理            </w:t>
      </w:r>
      <w:r>
        <w:rPr>
          <w:rFonts w:hint="eastAsia" w:ascii="宋体" w:hAnsi="宋体" w:eastAsia="宋体" w:cs="宋体"/>
          <w:color w:val="auto"/>
          <w:sz w:val="24"/>
          <w:szCs w:val="24"/>
          <w:highlight w:val="none"/>
        </w:rPr>
        <w:t xml:space="preserve">。</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监理人接收文件的地点：</w:t>
      </w:r>
      <w:r>
        <w:rPr>
          <w:rFonts w:hint="eastAsia" w:ascii="宋体" w:hAnsi="宋体" w:eastAsia="宋体" w:cs="宋体"/>
          <w:color w:val="auto"/>
          <w:sz w:val="24"/>
          <w:szCs w:val="24"/>
          <w:highlight w:val="none"/>
          <w:u w:val="single"/>
        </w:rPr>
        <w:t xml:space="preserve">监理人施工现场办公室  </w:t>
      </w:r>
      <w:r>
        <w:rPr>
          <w:rFonts w:hint="eastAsia" w:ascii="宋体" w:hAnsi="宋体" w:eastAsia="宋体" w:cs="宋体"/>
          <w:color w:val="auto"/>
          <w:sz w:val="24"/>
          <w:szCs w:val="24"/>
          <w:highlight w:val="none"/>
        </w:rPr>
        <w:t xml:space="preserve">；</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监理人指定的接收人为：</w:t>
      </w:r>
      <w:r>
        <w:rPr>
          <w:rFonts w:hint="eastAsia" w:ascii="宋体" w:hAnsi="宋体" w:eastAsia="宋体" w:cs="宋体"/>
          <w:color w:val="auto"/>
          <w:sz w:val="24"/>
          <w:szCs w:val="24"/>
          <w:highlight w:val="none"/>
          <w:u w:val="single"/>
        </w:rPr>
        <w:t xml:space="preserve">总监或总监代表        </w:t>
      </w:r>
      <w:r>
        <w:rPr>
          <w:rFonts w:hint="eastAsia" w:ascii="宋体" w:hAnsi="宋体" w:eastAsia="宋体" w:cs="宋体"/>
          <w:color w:val="auto"/>
          <w:sz w:val="24"/>
          <w:szCs w:val="24"/>
          <w:highlight w:val="none"/>
        </w:rPr>
        <w:t xml:space="preserve">。</w:t>
      </w:r>
      <w:r/>
    </w:p>
    <w:p>
      <w:pPr>
        <w:ind w:left="0" w:firstLine="480"/>
        <w:pageBreakBefore w:val="0"/>
        <w:spacing w:line="36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1.10 交通运输</w:t>
      </w:r>
      <w:r/>
    </w:p>
    <w:p>
      <w:pPr>
        <w:ind w:left="0" w:firstLine="480"/>
        <w:pageBreakBefore w:val="0"/>
        <w:spacing w:line="36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1.10.1 出入现场的权利</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关于出入现场的权利的约定：</w:t>
      </w:r>
      <w:r>
        <w:rPr>
          <w:rFonts w:hint="eastAsia" w:ascii="宋体" w:hAnsi="宋体" w:eastAsia="宋体" w:cs="宋体"/>
          <w:color w:val="auto"/>
          <w:sz w:val="24"/>
          <w:szCs w:val="24"/>
          <w:highlight w:val="none"/>
          <w:u w:val="single"/>
        </w:rPr>
        <w:t xml:space="preserve">由承包人按发包人要求负责取得出入施工现场所需的批准手续和全部权利，以及取得因施工所需修建道路、桥梁以及其他基础设施的权利，并承担相关手续费用和建设费用，此费用包含在</w:t>
      </w:r>
      <w:r>
        <w:rPr>
          <w:rFonts w:hint="eastAsia" w:ascii="宋体" w:hAnsi="宋体" w:cs="宋体"/>
          <w:color w:val="auto"/>
          <w:sz w:val="24"/>
          <w:szCs w:val="24"/>
          <w:highlight w:val="none"/>
          <w:u w:val="single"/>
          <w:lang w:eastAsia="zh-CN"/>
        </w:rPr>
        <w:t xml:space="preserve">响应报价</w:t>
      </w:r>
      <w:r>
        <w:rPr>
          <w:rFonts w:hint="eastAsia" w:ascii="宋体" w:hAnsi="宋体" w:eastAsia="宋体" w:cs="宋体"/>
          <w:color w:val="auto"/>
          <w:sz w:val="24"/>
          <w:szCs w:val="24"/>
          <w:highlight w:val="none"/>
          <w:u w:val="single"/>
        </w:rPr>
        <w:t xml:space="preserve">内。</w:t>
      </w:r>
      <w:r/>
    </w:p>
    <w:p>
      <w:pPr>
        <w:ind w:left="0" w:firstLine="480"/>
        <w:pageBreakBefore w:val="0"/>
        <w:spacing w:line="36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1.10.3 场内交通</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关于场外交通和场内交通的边界的约定：</w:t>
      </w:r>
      <w:r>
        <w:rPr>
          <w:rFonts w:hint="eastAsia" w:ascii="宋体" w:hAnsi="宋体" w:eastAsia="宋体" w:cs="宋体"/>
          <w:color w:val="auto"/>
          <w:sz w:val="24"/>
          <w:szCs w:val="24"/>
          <w:highlight w:val="none"/>
          <w:u w:val="single"/>
        </w:rPr>
        <w:t xml:space="preserve">以现场实际施工条件为准。</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为保证道路交通安全及运输畅通，当施工期间，承包人必须事先与交通和公安部门协调，采取足够的交通疏导措施；承包人制定运输计划时，应避开现有道路上在高峰时段。所需费用包含在</w:t>
      </w:r>
      <w:r>
        <w:rPr>
          <w:rFonts w:hint="eastAsia" w:ascii="宋体" w:hAnsi="宋体" w:cs="宋体"/>
          <w:color w:val="auto"/>
          <w:sz w:val="24"/>
          <w:szCs w:val="24"/>
          <w:highlight w:val="none"/>
          <w:u w:val="single"/>
          <w:lang w:eastAsia="zh-CN"/>
        </w:rPr>
        <w:t xml:space="preserve">响应报价</w:t>
      </w:r>
      <w:r>
        <w:rPr>
          <w:rFonts w:hint="eastAsia" w:ascii="宋体" w:hAnsi="宋体" w:eastAsia="宋体" w:cs="宋体"/>
          <w:color w:val="auto"/>
          <w:sz w:val="24"/>
          <w:szCs w:val="24"/>
          <w:highlight w:val="none"/>
          <w:u w:val="single"/>
        </w:rPr>
        <w:t xml:space="preserve">内。</w:t>
      </w:r>
      <w:r/>
    </w:p>
    <w:p>
      <w:pPr>
        <w:ind w:left="0" w:firstLine="480"/>
        <w:pageBreakBefore w:val="0"/>
        <w:spacing w:line="360" w:lineRule="auto"/>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rPr>
        <w:t xml:space="preserve">关于发包人向承包人免费提供满足工程施工需要的场内道路和交通设施的约定：</w:t>
      </w:r>
      <w:r>
        <w:rPr>
          <w:rFonts w:hint="eastAsia" w:ascii="宋体" w:hAnsi="宋体" w:eastAsia="宋体" w:cs="宋体"/>
          <w:color w:val="auto"/>
          <w:sz w:val="24"/>
          <w:szCs w:val="24"/>
          <w:highlight w:val="none"/>
          <w:u w:val="single"/>
        </w:rPr>
        <w:t xml:space="preserve">以现场实际施工条件为准</w:t>
      </w:r>
      <w:r>
        <w:rPr>
          <w:rFonts w:hint="eastAsia" w:ascii="宋体" w:hAnsi="宋体" w:cs="宋体"/>
          <w:color w:val="auto"/>
          <w:sz w:val="24"/>
          <w:szCs w:val="24"/>
          <w:highlight w:val="none"/>
          <w:u w:val="single"/>
          <w:lang w:eastAsia="zh-CN"/>
        </w:rPr>
        <w:t xml:space="preserve">。</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承包人应负责修建、维修、养护和管理施工所需的临时道路和交通设施，并承担相应费用。承包人修建的临时道路和交通设施应免费提供给发包人、监理人和其他承包人使用。</w:t>
      </w:r>
      <w:r>
        <w:rPr>
          <w:rFonts w:hint="eastAsia" w:ascii="宋体" w:hAnsi="宋体" w:eastAsia="宋体" w:cs="宋体"/>
          <w:color w:val="auto"/>
          <w:sz w:val="24"/>
          <w:szCs w:val="24"/>
          <w:highlight w:val="none"/>
        </w:rPr>
        <w:t xml:space="preserve"> </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1.10.4超大件和超重件的运输</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运输超大件或超重件所需的道路和桥梁临时加固改造费用和其他有关费用由</w:t>
      </w:r>
      <w:r>
        <w:rPr>
          <w:rFonts w:hint="eastAsia" w:ascii="宋体" w:hAnsi="宋体" w:eastAsia="宋体" w:cs="宋体"/>
          <w:color w:val="auto"/>
          <w:sz w:val="24"/>
          <w:szCs w:val="24"/>
          <w:highlight w:val="none"/>
          <w:u w:val="single"/>
        </w:rPr>
        <w:t xml:space="preserve"> 承包人 </w:t>
      </w:r>
      <w:r>
        <w:rPr>
          <w:rFonts w:hint="eastAsia" w:ascii="宋体" w:hAnsi="宋体" w:eastAsia="宋体" w:cs="宋体"/>
          <w:color w:val="auto"/>
          <w:sz w:val="24"/>
          <w:szCs w:val="24"/>
          <w:highlight w:val="none"/>
        </w:rPr>
        <w:t xml:space="preserve">承担。</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 知识产权</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rPr>
        <w:t xml:space="preserve">  。</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关于发包人提供的上述文件的使用限制的要求：</w:t>
      </w:r>
      <w:r>
        <w:rPr>
          <w:rFonts w:hint="eastAsia" w:ascii="宋体" w:hAnsi="宋体" w:eastAsia="宋体" w:cs="宋体"/>
          <w:color w:val="auto"/>
          <w:sz w:val="24"/>
          <w:szCs w:val="24"/>
          <w:highlight w:val="none"/>
          <w:u w:val="single"/>
        </w:rPr>
        <w:t xml:space="preserve">执行通用条款 </w:t>
      </w:r>
      <w:r>
        <w:rPr>
          <w:rFonts w:hint="eastAsia" w:ascii="宋体" w:hAnsi="宋体" w:eastAsia="宋体" w:cs="宋体"/>
          <w:color w:val="auto"/>
          <w:sz w:val="24"/>
          <w:szCs w:val="24"/>
          <w:highlight w:val="none"/>
        </w:rPr>
        <w:t xml:space="preserve"> 。</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1.11.2 关于承包人为实施工程所编制文件的著作权的归属：</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rPr>
        <w:t xml:space="preserve">。</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关于承包人提供的上述文件的使用限制的要求：</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rPr>
        <w:t xml:space="preserve">  。</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1.11.4 承包人在施工过程中所采用的专利、专有技术、技术秘密的使用费的承担方式：执行通用条款。</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1.13工程量清单错误的修正</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出现工程量清单错误时，是否调整合同价格：</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 xml:space="preserve"> 。</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允许调整合同价格的工程量偏差范围：</w:t>
      </w:r>
      <w:r>
        <w:rPr>
          <w:rFonts w:hint="eastAsia" w:ascii="宋体" w:hAnsi="宋体" w:eastAsia="宋体" w:cs="宋体"/>
          <w:color w:val="auto"/>
          <w:sz w:val="24"/>
          <w:szCs w:val="24"/>
          <w:highlight w:val="none"/>
          <w:u w:val="single"/>
        </w:rPr>
        <w:t xml:space="preserve">执行“合同价格、计量与支付”相关条款</w:t>
      </w:r>
      <w:r>
        <w:rPr>
          <w:rFonts w:hint="eastAsia" w:ascii="宋体" w:hAnsi="宋体" w:eastAsia="宋体" w:cs="宋体"/>
          <w:color w:val="auto"/>
          <w:sz w:val="24"/>
          <w:szCs w:val="24"/>
          <w:highlight w:val="none"/>
        </w:rPr>
        <w:t xml:space="preserve"> 。 </w:t>
      </w:r>
      <w:r/>
    </w:p>
    <w:p>
      <w:pPr>
        <w:pStyle w:val="984"/>
        <w:ind w:left="0" w:firstLine="480"/>
        <w:pageBreakBefore w:val="0"/>
        <w:spacing w:before="0" w:after="0"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2. 发包人</w:t>
      </w:r>
      <w:r/>
    </w:p>
    <w:p>
      <w:pPr>
        <w:ind w:left="0" w:firstLine="480"/>
        <w:pageBreakBefore w:val="0"/>
        <w:spacing w:line="36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2.2 发包人代表</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发包人代表：</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    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身份证号：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职    务：</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80"/>
        <w:jc w:val="left"/>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发包人对发包人代表的授权范围如下：</w:t>
      </w:r>
      <w:r>
        <w:rPr>
          <w:rFonts w:hint="eastAsia" w:ascii="宋体" w:hAnsi="宋体" w:eastAsia="宋体" w:cs="宋体"/>
          <w:color w:val="auto"/>
          <w:sz w:val="24"/>
          <w:szCs w:val="24"/>
          <w:highlight w:val="none"/>
          <w:u w:val="single"/>
        </w:rPr>
        <w:t xml:space="preserve">协助外部环境的协调与配合，主持工程的竣工验收；负责组织工程质量、进度、安全的检查监督；经发包人授权签署与工程投资有关的各种施工技术变更、施工技术方案和图纸会审纪要等；签字确认经监理工程师核准的分项工程量，并报发包人核准。</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 施工现场、施工条件和基础资料的提供</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 提供施工现场</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关于发包人移交施工现场的期限要求：</w:t>
      </w:r>
      <w:r>
        <w:rPr>
          <w:rFonts w:hint="eastAsia" w:ascii="宋体" w:hAnsi="宋体" w:eastAsia="宋体" w:cs="宋体"/>
          <w:color w:val="auto"/>
          <w:sz w:val="24"/>
          <w:szCs w:val="24"/>
          <w:highlight w:val="none"/>
          <w:u w:val="single"/>
        </w:rPr>
        <w:t xml:space="preserve">开工通知载明的开工日期7日前 </w:t>
      </w:r>
      <w:r>
        <w:rPr>
          <w:rFonts w:hint="eastAsia" w:ascii="宋体" w:hAnsi="宋体" w:eastAsia="宋体" w:cs="宋体"/>
          <w:color w:val="auto"/>
          <w:sz w:val="24"/>
          <w:szCs w:val="24"/>
          <w:highlight w:val="none"/>
        </w:rPr>
        <w:t xml:space="preserve">。</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 提供施工条件</w:t>
      </w:r>
      <w:r/>
    </w:p>
    <w:p>
      <w:pPr>
        <w:ind w:firstLine="48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关于发包人应负责提供施工所需要的条件，包括：</w:t>
      </w:r>
      <w:r>
        <w:rPr>
          <w:rFonts w:hint="eastAsia" w:ascii="宋体" w:hAnsi="宋体" w:eastAsia="宋体" w:cs="宋体"/>
          <w:color w:val="auto"/>
          <w:sz w:val="24"/>
          <w:szCs w:val="24"/>
          <w:highlight w:val="none"/>
          <w:u w:val="single"/>
        </w:rPr>
        <w:t xml:space="preserve">发包人不提供电源、水源，施工用水用电由承包人自费解决，且施工用电设备线路的安装由承包人负责实施，安装费、线路、设备购置费及施工过程中发生的所有电费，无论承包人是否在</w:t>
      </w:r>
      <w:r>
        <w:rPr>
          <w:rFonts w:hint="eastAsia" w:ascii="宋体" w:hAnsi="宋体" w:cs="宋体"/>
          <w:color w:val="auto"/>
          <w:sz w:val="24"/>
          <w:szCs w:val="24"/>
          <w:highlight w:val="none"/>
          <w:u w:val="single"/>
          <w:lang w:eastAsia="zh-CN"/>
        </w:rPr>
        <w:t xml:space="preserve">响应报价</w:t>
      </w:r>
      <w:r>
        <w:rPr>
          <w:rFonts w:hint="eastAsia" w:ascii="宋体" w:hAnsi="宋体" w:eastAsia="宋体" w:cs="宋体"/>
          <w:color w:val="auto"/>
          <w:sz w:val="24"/>
          <w:szCs w:val="24"/>
          <w:highlight w:val="none"/>
          <w:u w:val="single"/>
        </w:rPr>
        <w:t xml:space="preserve">中单独列支，发包人均认为此项费用包含在</w:t>
      </w:r>
      <w:r>
        <w:rPr>
          <w:rFonts w:hint="eastAsia" w:ascii="宋体" w:hAnsi="宋体" w:cs="宋体"/>
          <w:color w:val="auto"/>
          <w:sz w:val="24"/>
          <w:szCs w:val="24"/>
          <w:highlight w:val="none"/>
          <w:u w:val="single"/>
          <w:lang w:eastAsia="zh-CN"/>
        </w:rPr>
        <w:t xml:space="preserve">响应报价</w:t>
      </w:r>
      <w:r>
        <w:rPr>
          <w:rFonts w:hint="eastAsia" w:ascii="宋体" w:hAnsi="宋体" w:eastAsia="宋体" w:cs="宋体"/>
          <w:color w:val="auto"/>
          <w:sz w:val="24"/>
          <w:szCs w:val="24"/>
          <w:highlight w:val="none"/>
          <w:u w:val="single"/>
        </w:rPr>
        <w:t xml:space="preserve">中，由承包人直接缴纳。施工各用水点的管路安装、布置由承包人负责实施，其安装费、管材、设备购置费及施工过程中发生的所有水费，无论承包人是否在</w:t>
      </w:r>
      <w:r>
        <w:rPr>
          <w:rFonts w:hint="eastAsia" w:ascii="宋体" w:hAnsi="宋体" w:cs="宋体"/>
          <w:color w:val="auto"/>
          <w:sz w:val="24"/>
          <w:szCs w:val="24"/>
          <w:highlight w:val="none"/>
          <w:u w:val="single"/>
          <w:lang w:eastAsia="zh-CN"/>
        </w:rPr>
        <w:t xml:space="preserve">响应报价</w:t>
      </w:r>
      <w:r>
        <w:rPr>
          <w:rFonts w:hint="eastAsia" w:ascii="宋体" w:hAnsi="宋体" w:eastAsia="宋体" w:cs="宋体"/>
          <w:color w:val="auto"/>
          <w:sz w:val="24"/>
          <w:szCs w:val="24"/>
          <w:highlight w:val="none"/>
          <w:u w:val="single"/>
        </w:rPr>
        <w:t xml:space="preserve">中单独列支，发包人均认为此项费用包含在</w:t>
      </w:r>
      <w:r>
        <w:rPr>
          <w:rFonts w:hint="eastAsia" w:ascii="宋体" w:hAnsi="宋体" w:cs="宋体"/>
          <w:color w:val="auto"/>
          <w:sz w:val="24"/>
          <w:szCs w:val="24"/>
          <w:highlight w:val="none"/>
          <w:u w:val="single"/>
          <w:lang w:eastAsia="zh-CN"/>
        </w:rPr>
        <w:t xml:space="preserve">响应报价</w:t>
      </w:r>
      <w:r>
        <w:rPr>
          <w:rFonts w:hint="eastAsia" w:ascii="宋体" w:hAnsi="宋体" w:eastAsia="宋体" w:cs="宋体"/>
          <w:color w:val="auto"/>
          <w:sz w:val="24"/>
          <w:szCs w:val="24"/>
          <w:highlight w:val="none"/>
          <w:u w:val="single"/>
        </w:rPr>
        <w:t xml:space="preserve">中。由承包人直接缴纳。承包人的实际用水费用（含分摊的水费损耗费用）由其自行缴纳（或与总包单位协商）。承包人逾期缴纳及其滞纳金，发包人有权从承包人工程款中直接扣除 。场外施工道路为市政现状，场内施工道路由承包人根据批准的施工组织设计在开工前自行完成，并满足施工要求及有关规定，此费用包含在</w:t>
      </w:r>
      <w:r>
        <w:rPr>
          <w:rFonts w:hint="eastAsia" w:ascii="宋体" w:hAnsi="宋体" w:cs="宋体"/>
          <w:color w:val="auto"/>
          <w:sz w:val="24"/>
          <w:szCs w:val="24"/>
          <w:highlight w:val="none"/>
          <w:u w:val="single"/>
          <w:lang w:val="en-US" w:eastAsia="zh-CN"/>
        </w:rPr>
        <w:t xml:space="preserve">响应</w:t>
      </w:r>
      <w:r>
        <w:rPr>
          <w:rFonts w:hint="eastAsia" w:ascii="宋体" w:hAnsi="宋体" w:eastAsia="宋体" w:cs="宋体"/>
          <w:color w:val="auto"/>
          <w:sz w:val="24"/>
          <w:szCs w:val="24"/>
          <w:highlight w:val="none"/>
          <w:u w:val="single"/>
        </w:rPr>
        <w:t xml:space="preserve">报价内。</w:t>
      </w:r>
      <w:r/>
    </w:p>
    <w:p>
      <w:pPr>
        <w:pStyle w:val="1251"/>
        <w:ind w:left="0" w:right="0" w:firstLine="480"/>
        <w:pageBreakBefore w:val="0"/>
        <w:spacing w:before="0"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图纸会审和设计交底时间：</w:t>
      </w:r>
      <w:r>
        <w:rPr>
          <w:rFonts w:hint="eastAsia" w:ascii="宋体" w:hAnsi="宋体" w:eastAsia="宋体" w:cs="宋体"/>
          <w:color w:val="auto"/>
          <w:sz w:val="24"/>
          <w:szCs w:val="24"/>
          <w:highlight w:val="none"/>
          <w:u w:val="single"/>
        </w:rPr>
        <w:t xml:space="preserve"> 开工前一周内完成。               </w:t>
      </w:r>
      <w:r/>
    </w:p>
    <w:p>
      <w:pPr>
        <w:pStyle w:val="1251"/>
        <w:ind w:left="0" w:right="0" w:firstLine="480"/>
        <w:pageBreakBefore w:val="0"/>
        <w:spacing w:before="0"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由承包人负责协调处理施工场地周围地下管线和邻近建筑物、构筑物（含文物保护建筑）、古树名木的保护工作。承包人根据施工需要进行保护，所需费用含在</w:t>
      </w:r>
      <w:r>
        <w:rPr>
          <w:rFonts w:hint="eastAsia" w:ascii="宋体" w:hAnsi="宋体" w:cs="宋体"/>
          <w:color w:val="auto"/>
          <w:sz w:val="24"/>
          <w:szCs w:val="24"/>
          <w:highlight w:val="none"/>
          <w:u w:val="single"/>
          <w:lang w:eastAsia="zh-CN"/>
        </w:rPr>
        <w:t xml:space="preserve">响应报价</w:t>
      </w:r>
      <w:r>
        <w:rPr>
          <w:rFonts w:hint="eastAsia" w:ascii="宋体" w:hAnsi="宋体" w:eastAsia="宋体" w:cs="宋体"/>
          <w:color w:val="auto"/>
          <w:sz w:val="24"/>
          <w:szCs w:val="24"/>
          <w:highlight w:val="none"/>
          <w:u w:val="single"/>
        </w:rPr>
        <w:t xml:space="preserve">内。</w:t>
      </w:r>
      <w:r/>
    </w:p>
    <w:p>
      <w:pPr>
        <w:pStyle w:val="1251"/>
        <w:ind w:left="0" w:right="0" w:firstLine="480"/>
        <w:pageBreakBefore w:val="0"/>
        <w:spacing w:before="0"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施工期间的周边关系及第三方干扰等由承包人负责协调，所需费用含在</w:t>
      </w:r>
      <w:r>
        <w:rPr>
          <w:rFonts w:hint="eastAsia" w:ascii="宋体" w:hAnsi="宋体" w:cs="宋体"/>
          <w:color w:val="auto"/>
          <w:sz w:val="24"/>
          <w:szCs w:val="24"/>
          <w:highlight w:val="none"/>
          <w:u w:val="single"/>
          <w:lang w:eastAsia="zh-CN"/>
        </w:rPr>
        <w:t xml:space="preserve">响应报价</w:t>
      </w:r>
      <w:r>
        <w:rPr>
          <w:rFonts w:hint="eastAsia" w:ascii="宋体" w:hAnsi="宋体" w:eastAsia="宋体" w:cs="宋体"/>
          <w:color w:val="auto"/>
          <w:sz w:val="24"/>
          <w:szCs w:val="24"/>
          <w:highlight w:val="none"/>
          <w:u w:val="single"/>
        </w:rPr>
        <w:t xml:space="preserve">内。</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2.4.3发包人工作</w:t>
      </w:r>
      <w:r/>
    </w:p>
    <w:p>
      <w:pPr>
        <w:ind w:left="0" w:firstLine="48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提供基础资料。在办理施工安全技术措施审查前，组织工程监理单位、施工总承包单位共同拟定文明施工现场创建目标、规划和措施。工程项目开工前，建设单位、监理单位、施工单位应在办理安全技术措施审查的同时，签署工程文明施工管理目标。</w:t>
      </w:r>
      <w:r/>
    </w:p>
    <w:p>
      <w:pPr>
        <w:ind w:left="0" w:firstLine="480"/>
        <w:pageBreakBefore w:val="0"/>
        <w:spacing w:line="360" w:lineRule="auto"/>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2.5 资金来源证明及支付担保</w:t>
      </w:r>
      <w:r/>
    </w:p>
    <w:p>
      <w:pPr>
        <w:ind w:left="0" w:firstLine="48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发包人提供资金来源证明的期限要求：</w:t>
      </w:r>
      <w:r>
        <w:rPr>
          <w:rFonts w:hint="eastAsia" w:ascii="宋体" w:hAnsi="宋体" w:eastAsia="宋体" w:cs="宋体"/>
          <w:color w:val="auto"/>
          <w:sz w:val="24"/>
          <w:szCs w:val="24"/>
          <w:highlight w:val="none"/>
          <w:u w:val="single"/>
        </w:rPr>
        <w:t xml:space="preserve">/  。</w:t>
      </w:r>
      <w:r/>
    </w:p>
    <w:p>
      <w:pPr>
        <w:ind w:left="0" w:firstLine="48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发包人是否提供支付担保：</w:t>
      </w:r>
      <w:r>
        <w:rPr>
          <w:rFonts w:hint="eastAsia" w:ascii="宋体" w:hAnsi="宋体" w:eastAsia="宋体" w:cs="宋体"/>
          <w:color w:val="auto"/>
          <w:sz w:val="24"/>
          <w:szCs w:val="24"/>
          <w:highlight w:val="none"/>
          <w:u w:val="single"/>
        </w:rPr>
        <w:t xml:space="preserve">否  。</w:t>
      </w:r>
      <w:r/>
    </w:p>
    <w:p>
      <w:pPr>
        <w:ind w:left="0" w:firstLine="48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发包人提供支付担保的形式：</w:t>
      </w:r>
      <w:r>
        <w:rPr>
          <w:rFonts w:hint="eastAsia" w:ascii="宋体" w:hAnsi="宋体" w:eastAsia="宋体" w:cs="宋体"/>
          <w:color w:val="auto"/>
          <w:sz w:val="24"/>
          <w:szCs w:val="24"/>
          <w:highlight w:val="none"/>
          <w:u w:val="single"/>
        </w:rPr>
        <w:t xml:space="preserve"> /。</w:t>
      </w:r>
      <w:r/>
    </w:p>
    <w:p>
      <w:pPr>
        <w:pStyle w:val="984"/>
        <w:ind w:left="0" w:firstLine="480"/>
        <w:pageBreakBefore w:val="0"/>
        <w:spacing w:before="0" w:after="0"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3. 承包人</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承包人的一般义务</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（7）承包人的施工安全责任</w:t>
      </w:r>
      <w:r/>
    </w:p>
    <w:p>
      <w:pPr>
        <w:ind w:left="0" w:firstLine="48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为确保安全、文明施工，应该本着“安全第一，预防为主”的原则，建立安全管理组织体系。承包人应制定详细的安全生产实施方案，严格执行国家、江苏省及徐州市颁发的现行行业规范、相关标准及相关文件。</w:t>
      </w:r>
      <w:r/>
    </w:p>
    <w:p>
      <w:pPr>
        <w:ind w:left="0" w:firstLine="48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如果承包人的安全措施达不到要求，发包人有权委托其他单位完成，对此发生的所有费用从承包人的安全生产费中支付。安全生产费用应当用于施工安全防护用具及设施的购买、维护和更新，安全生产措施的落实， 安全生产条件的改善，不得挪作他用。</w:t>
      </w:r>
      <w:r/>
    </w:p>
    <w:p>
      <w:pPr>
        <w:ind w:left="0" w:firstLine="48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承包人应杜绝死亡事故、重伤事故和重大机械事故，确保无安全生产责任事故。</w:t>
      </w:r>
      <w:r/>
    </w:p>
    <w:p>
      <w:pPr>
        <w:ind w:left="0" w:firstLine="48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在施工过程中如承包人违反生产安全责任被处罚或发生安全生产事故，承包人应向发包人支付合同金额的20%的违约金，发包人有权解除合同。所造成的一切责任和损失由承包人负责。</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（9）承包人提交的竣工资料的内容：</w:t>
      </w:r>
      <w:r>
        <w:rPr>
          <w:rFonts w:hint="eastAsia" w:ascii="宋体" w:hAnsi="宋体" w:eastAsia="宋体" w:cs="宋体"/>
          <w:color w:val="auto"/>
          <w:sz w:val="24"/>
          <w:szCs w:val="24"/>
          <w:highlight w:val="none"/>
          <w:u w:val="single"/>
        </w:rPr>
        <w:t xml:space="preserve">承包人按照《建设工程文件归档整理规范》及江苏省相关法规、规范标准及本合同要求绘制竣工图及完整的工程技术档案、工程质量保修书、及有关工程使用、维护的说明。</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承包人需要提交的竣工资料套数：</w:t>
      </w:r>
      <w:r>
        <w:rPr>
          <w:rFonts w:hint="eastAsia" w:ascii="宋体" w:hAnsi="宋体" w:eastAsia="宋体" w:cs="宋体"/>
          <w:color w:val="auto"/>
          <w:sz w:val="24"/>
          <w:szCs w:val="24"/>
          <w:highlight w:val="none"/>
          <w:u w:val="single"/>
        </w:rPr>
        <w:t xml:space="preserve">向发包人提交盖承包人公章和工程竣工资料专用章的纸质版竣工图肆套，竣工资料肆套、电子文档资料壹套 </w:t>
      </w:r>
      <w:r>
        <w:rPr>
          <w:rFonts w:hint="eastAsia" w:ascii="宋体" w:hAnsi="宋体" w:eastAsia="宋体" w:cs="宋体"/>
          <w:color w:val="auto"/>
          <w:sz w:val="24"/>
          <w:szCs w:val="24"/>
          <w:highlight w:val="none"/>
        </w:rPr>
        <w:t xml:space="preserve">。</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承包人提交的竣工资料的费用承担：</w:t>
      </w:r>
      <w:r>
        <w:rPr>
          <w:rFonts w:hint="eastAsia" w:ascii="宋体" w:hAnsi="宋体" w:eastAsia="宋体" w:cs="宋体"/>
          <w:color w:val="auto"/>
          <w:sz w:val="24"/>
          <w:szCs w:val="24"/>
          <w:highlight w:val="none"/>
          <w:u w:val="single"/>
        </w:rPr>
        <w:t xml:space="preserve">由承包人承担   </w:t>
      </w:r>
      <w:r>
        <w:rPr>
          <w:rFonts w:hint="eastAsia" w:ascii="宋体" w:hAnsi="宋体" w:eastAsia="宋体" w:cs="宋体"/>
          <w:color w:val="auto"/>
          <w:sz w:val="24"/>
          <w:szCs w:val="24"/>
          <w:highlight w:val="none"/>
        </w:rPr>
        <w:t xml:space="preserve">。</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承包人提交的竣工资料移交时间：</w:t>
      </w:r>
      <w:r>
        <w:rPr>
          <w:rFonts w:hint="eastAsia" w:ascii="宋体" w:hAnsi="宋体" w:eastAsia="宋体" w:cs="宋体"/>
          <w:color w:val="auto"/>
          <w:sz w:val="24"/>
          <w:szCs w:val="24"/>
          <w:highlight w:val="none"/>
          <w:u w:val="single"/>
        </w:rPr>
        <w:t xml:space="preserve">竣工验收合格后30日内，若逾期提交，发包人有权暂停支付工程款</w:t>
      </w:r>
      <w:r>
        <w:rPr>
          <w:rFonts w:hint="eastAsia" w:ascii="宋体" w:hAnsi="宋体" w:eastAsia="宋体" w:cs="宋体"/>
          <w:color w:val="auto"/>
          <w:sz w:val="24"/>
          <w:szCs w:val="24"/>
          <w:highlight w:val="none"/>
        </w:rPr>
        <w:t xml:space="preserve">。</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承包人提交的竣工资料形式要求：</w:t>
      </w:r>
      <w:r>
        <w:rPr>
          <w:rFonts w:hint="eastAsia" w:ascii="宋体" w:hAnsi="宋体" w:eastAsia="宋体" w:cs="宋体"/>
          <w:color w:val="auto"/>
          <w:sz w:val="24"/>
          <w:szCs w:val="24"/>
          <w:highlight w:val="none"/>
          <w:u w:val="single"/>
        </w:rPr>
        <w:t xml:space="preserve">书面方式（立卷、装订成册的纸质文档）和电子文档</w:t>
      </w:r>
      <w:r>
        <w:rPr>
          <w:rFonts w:hint="eastAsia" w:ascii="宋体" w:hAnsi="宋体" w:eastAsia="宋体" w:cs="宋体"/>
          <w:color w:val="auto"/>
          <w:sz w:val="24"/>
          <w:szCs w:val="24"/>
          <w:highlight w:val="none"/>
        </w:rPr>
        <w:t xml:space="preserve">。</w:t>
      </w:r>
      <w:r/>
    </w:p>
    <w:p>
      <w:pPr>
        <w:numPr>
          <w:ilvl w:val="0"/>
          <w:numId w:val="6"/>
        </w:numPr>
        <w:ind w:left="0" w:firstLine="48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承包人应履行的其他义务：</w:t>
      </w:r>
      <w:r/>
    </w:p>
    <w:p>
      <w:pPr>
        <w:ind w:left="0" w:firstLine="48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①施工过程中的排污、环保、渣土、环卫、市容、城建、城管、治安、人口管理等相关手续由承包人按规定负责办理并承担因此产生的一切费用，施工时对临近居民和行人的干扰及影响由承包人负责处理并承担一切责任，如因与临近居民或行人发生冲突，导致工程停工，所有停工损失及其产生的费用由承包人承担，结算时不再调整。若因上述原因引起相关部门的行政处罚，则由承包人承担行政处罚的费用，发包人据此</w:t>
      </w:r>
      <w:r>
        <w:rPr>
          <w:rFonts w:hint="eastAsia" w:ascii="宋体" w:hAnsi="宋体" w:cs="宋体"/>
          <w:color w:val="auto"/>
          <w:sz w:val="24"/>
          <w:szCs w:val="24"/>
          <w:highlight w:val="none"/>
          <w:u w:val="single"/>
          <w:lang w:val="en-US" w:eastAsia="zh-CN"/>
        </w:rPr>
        <w:t xml:space="preserve">额外对</w:t>
      </w:r>
      <w:r>
        <w:rPr>
          <w:rFonts w:hint="eastAsia" w:ascii="宋体" w:hAnsi="宋体" w:eastAsia="宋体" w:cs="宋体"/>
          <w:color w:val="auto"/>
          <w:sz w:val="24"/>
          <w:szCs w:val="24"/>
          <w:highlight w:val="none"/>
          <w:u w:val="single"/>
        </w:rPr>
        <w:t xml:space="preserve">承包人</w:t>
      </w:r>
      <w:r>
        <w:rPr>
          <w:rFonts w:hint="eastAsia" w:ascii="宋体" w:hAnsi="宋体" w:cs="宋体"/>
          <w:color w:val="auto"/>
          <w:sz w:val="24"/>
          <w:szCs w:val="24"/>
          <w:highlight w:val="none"/>
          <w:u w:val="single"/>
          <w:lang w:val="en-US" w:eastAsia="zh-CN"/>
        </w:rPr>
        <w:t xml:space="preserve">进行相应的</w:t>
      </w:r>
      <w:r>
        <w:rPr>
          <w:rFonts w:hint="eastAsia" w:ascii="宋体" w:hAnsi="宋体" w:eastAsia="宋体" w:cs="宋体"/>
          <w:color w:val="auto"/>
          <w:sz w:val="24"/>
          <w:szCs w:val="24"/>
          <w:highlight w:val="none"/>
          <w:u w:val="single"/>
        </w:rPr>
        <w:t xml:space="preserve">违约金</w:t>
      </w:r>
      <w:r>
        <w:rPr>
          <w:rFonts w:hint="eastAsia" w:ascii="宋体" w:hAnsi="宋体" w:cs="宋体"/>
          <w:color w:val="auto"/>
          <w:sz w:val="24"/>
          <w:szCs w:val="24"/>
          <w:highlight w:val="none"/>
          <w:u w:val="single"/>
          <w:lang w:val="en-US" w:eastAsia="zh-CN"/>
        </w:rPr>
        <w:t xml:space="preserve">处罚</w:t>
      </w:r>
      <w:r>
        <w:rPr>
          <w:rFonts w:hint="eastAsia" w:ascii="宋体" w:hAnsi="宋体" w:eastAsia="宋体" w:cs="宋体"/>
          <w:color w:val="auto"/>
          <w:sz w:val="24"/>
          <w:szCs w:val="24"/>
          <w:highlight w:val="none"/>
          <w:u w:val="single"/>
        </w:rPr>
        <w:t xml:space="preserve">。  </w:t>
      </w:r>
      <w:r/>
    </w:p>
    <w:p>
      <w:pPr>
        <w:ind w:left="0" w:firstLine="48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②承包人作为一名有经验的承包</w:t>
      </w:r>
      <w:r>
        <w:rPr>
          <w:rFonts w:hint="eastAsia" w:ascii="宋体" w:hAnsi="宋体" w:cs="宋体"/>
          <w:color w:val="auto"/>
          <w:sz w:val="24"/>
          <w:szCs w:val="24"/>
          <w:highlight w:val="none"/>
          <w:u w:val="single"/>
          <w:lang w:eastAsia="zh-CN"/>
        </w:rPr>
        <w:t xml:space="preserve">人</w:t>
      </w:r>
      <w:r>
        <w:rPr>
          <w:rFonts w:hint="eastAsia" w:ascii="宋体" w:hAnsi="宋体" w:eastAsia="宋体" w:cs="宋体"/>
          <w:color w:val="auto"/>
          <w:sz w:val="24"/>
          <w:szCs w:val="24"/>
          <w:highlight w:val="none"/>
          <w:u w:val="single"/>
        </w:rPr>
        <w:t xml:space="preserve">，应预见施工中与综合管线等其他专业施工单位发生的配合工作，并自主将相关配合费用综合考虑在</w:t>
      </w:r>
      <w:r>
        <w:rPr>
          <w:rFonts w:hint="eastAsia" w:ascii="宋体" w:hAnsi="宋体" w:cs="宋体"/>
          <w:color w:val="auto"/>
          <w:sz w:val="24"/>
          <w:szCs w:val="24"/>
          <w:highlight w:val="none"/>
          <w:u w:val="single"/>
          <w:lang w:eastAsia="zh-CN"/>
        </w:rPr>
        <w:t xml:space="preserve">响应报价</w:t>
      </w:r>
      <w:r>
        <w:rPr>
          <w:rFonts w:hint="eastAsia" w:ascii="宋体" w:hAnsi="宋体" w:eastAsia="宋体" w:cs="宋体"/>
          <w:color w:val="auto"/>
          <w:sz w:val="24"/>
          <w:szCs w:val="24"/>
          <w:highlight w:val="none"/>
          <w:u w:val="single"/>
        </w:rPr>
        <w:t xml:space="preserve">内，结算时不再调整。承包人按规定做好施工场地及周围地下管线、邻近建筑物等已完工程的保护。若因承包人原因造成损坏，由承包人负责修复并承担一切费用。若承包人拒绝修复，发包人有权安排其他施工单位修复，所需费用从承包人工程款中扣除。</w:t>
      </w:r>
      <w:r/>
    </w:p>
    <w:p>
      <w:pPr>
        <w:ind w:left="0" w:firstLine="48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③符合徐州市有关部门规定的标准化施工现场要求，同时应满足市政、市容、</w:t>
      </w:r>
      <w:r>
        <w:rPr>
          <w:rStyle w:val="1048"/>
          <w:rFonts w:hint="eastAsia" w:ascii="宋体" w:hAnsi="宋体" w:eastAsia="宋体" w:cs="宋体"/>
          <w:color w:val="auto"/>
          <w:sz w:val="24"/>
          <w:szCs w:val="24"/>
          <w:highlight w:val="none"/>
        </w:rPr>
        <w:t xml:space="preserve">生态环境</w:t>
      </w:r>
      <w:r>
        <w:rPr>
          <w:rFonts w:hint="eastAsia" w:ascii="宋体" w:hAnsi="宋体" w:eastAsia="宋体" w:cs="宋体"/>
          <w:color w:val="auto"/>
          <w:sz w:val="24"/>
          <w:szCs w:val="24"/>
          <w:highlight w:val="none"/>
          <w:u w:val="single"/>
        </w:rPr>
        <w:t xml:space="preserve">等相关主管部门的有关规定。道路施工工地一律实行封闭施工、防尘网覆盖、定时洒水，控制扬尘污染等安全文明施工措施。不符合要求者，承包人应承担20000元/次的违约金。承包人违反规定所造成的损失和行政处罚由承包人承担。承包人负责在竣工验收合格后七日内将施工现场彻底清洁完毕，承包人拒绝清洁的，发包人有权安排其他施工单位修复，所需费用从承包人工程款中扣除。</w:t>
      </w:r>
      <w:r/>
    </w:p>
    <w:p>
      <w:pPr>
        <w:ind w:left="0" w:firstLine="48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④承担施工安全保卫工作及非夜间施工照明的责任和要求：由承包人按建设行政管理部门和相关部门的要求自行承担，并设置明显警示标志和专职人员维护公共安全。</w:t>
      </w:r>
      <w:r/>
    </w:p>
    <w:p>
      <w:pPr>
        <w:ind w:left="0" w:firstLine="48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⑤向发包人提供的办公和生活房屋及设施的要求：发包人驻施工现场管理人员必要的办公用房及设施由承包人负责免费提供。</w:t>
      </w:r>
      <w:r/>
    </w:p>
    <w:p>
      <w:pPr>
        <w:ind w:left="0" w:firstLine="48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 6 \* GB3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 xml:space="preserve">⑥</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 xml:space="preserve">需承包人办理的有关施工场地交通、环卫和施工噪音污染防治管理等手续：由承包人负责承担，费用也由承包</w:t>
      </w:r>
      <w:r>
        <w:rPr>
          <w:rFonts w:hint="eastAsia" w:ascii="宋体" w:hAnsi="宋体" w:cs="宋体"/>
          <w:color w:val="auto"/>
          <w:sz w:val="24"/>
          <w:szCs w:val="24"/>
          <w:highlight w:val="none"/>
          <w:u w:val="single"/>
          <w:lang w:eastAsia="zh-CN"/>
        </w:rPr>
        <w:t xml:space="preserve">人</w:t>
      </w:r>
      <w:r>
        <w:rPr>
          <w:rFonts w:hint="eastAsia" w:ascii="宋体" w:hAnsi="宋体" w:eastAsia="宋体" w:cs="宋体"/>
          <w:color w:val="auto"/>
          <w:sz w:val="24"/>
          <w:szCs w:val="24"/>
          <w:highlight w:val="none"/>
          <w:u w:val="single"/>
        </w:rPr>
        <w:t xml:space="preserve">承担并综合考虑在报价内。</w:t>
      </w:r>
      <w:r/>
    </w:p>
    <w:p>
      <w:pPr>
        <w:ind w:left="0" w:firstLine="48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 7 \* GB3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 xml:space="preserve">⑦</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 xml:space="preserve">承包人综合考虑本项目全线封闭施工，且考虑可能存在的半幅道路施工，因此可能增加的费用综合考虑在</w:t>
      </w:r>
      <w:r>
        <w:rPr>
          <w:rFonts w:hint="eastAsia" w:ascii="宋体" w:hAnsi="宋体" w:cs="宋体"/>
          <w:color w:val="auto"/>
          <w:sz w:val="24"/>
          <w:szCs w:val="24"/>
          <w:highlight w:val="none"/>
          <w:u w:val="single"/>
          <w:lang w:eastAsia="zh-CN"/>
        </w:rPr>
        <w:t xml:space="preserve">响应报价</w:t>
      </w:r>
      <w:r>
        <w:rPr>
          <w:rFonts w:hint="eastAsia" w:ascii="宋体" w:hAnsi="宋体" w:eastAsia="宋体" w:cs="宋体"/>
          <w:color w:val="auto"/>
          <w:sz w:val="24"/>
          <w:szCs w:val="24"/>
          <w:highlight w:val="none"/>
          <w:u w:val="single"/>
        </w:rPr>
        <w:t xml:space="preserve">内，结算时不再增加于此相关的费用。</w:t>
      </w:r>
      <w:r/>
    </w:p>
    <w:p>
      <w:pPr>
        <w:ind w:left="0" w:firstLine="48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 8 \* GB3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 xml:space="preserve">⑧</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 xml:space="preserve">已完工程成品保护的特殊要求及费用承担：由承包人负责承担。</w:t>
      </w:r>
      <w:r/>
    </w:p>
    <w:p>
      <w:pPr>
        <w:ind w:left="0" w:firstLine="48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 9 \* GB3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 xml:space="preserve">⑨</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 xml:space="preserve">施工场地清洁卫生和要求：应按建设行政主管部门和相关部门的规定办理，所需费用由承包人负担。</w:t>
      </w:r>
      <w:r/>
    </w:p>
    <w:p>
      <w:pPr>
        <w:ind w:left="0" w:firstLine="48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 10 \* GB3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 xml:space="preserve">⑩</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 xml:space="preserve">承包人需要</w:t>
      </w:r>
      <w:r>
        <w:rPr>
          <w:rFonts w:hint="eastAsia" w:ascii="宋体" w:hAnsi="宋体" w:cs="宋体"/>
          <w:color w:val="auto"/>
          <w:sz w:val="24"/>
          <w:szCs w:val="24"/>
          <w:highlight w:val="none"/>
          <w:u w:val="single"/>
          <w:lang w:val="en-US" w:eastAsia="zh-CN"/>
        </w:rPr>
        <w:t xml:space="preserve">在和管线施工单位现场验收交接后</w:t>
      </w:r>
      <w:r>
        <w:rPr>
          <w:rFonts w:hint="eastAsia" w:ascii="宋体" w:hAnsi="宋体" w:eastAsia="宋体" w:cs="宋体"/>
          <w:color w:val="auto"/>
          <w:sz w:val="24"/>
          <w:szCs w:val="24"/>
          <w:highlight w:val="none"/>
          <w:u w:val="single"/>
        </w:rPr>
        <w:t xml:space="preserve">，</w:t>
      </w:r>
      <w:r>
        <w:rPr>
          <w:rFonts w:hint="eastAsia" w:ascii="宋体" w:hAnsi="宋体" w:cs="宋体"/>
          <w:i w:val="0"/>
          <w:iCs w:val="0"/>
          <w:color w:val="auto"/>
          <w:sz w:val="24"/>
          <w:szCs w:val="24"/>
          <w:highlight w:val="none"/>
          <w:u w:val="single"/>
          <w:lang w:val="en-US" w:eastAsia="zh-CN"/>
        </w:rPr>
        <w:t xml:space="preserve">负责</w:t>
      </w:r>
      <w:r>
        <w:rPr>
          <w:rFonts w:hint="eastAsia" w:ascii="宋体" w:hAnsi="宋体" w:eastAsia="宋体" w:cs="宋体"/>
          <w:i w:val="0"/>
          <w:iCs w:val="0"/>
          <w:color w:val="auto"/>
          <w:sz w:val="24"/>
          <w:szCs w:val="24"/>
          <w:highlight w:val="none"/>
          <w:u w:val="single"/>
        </w:rPr>
        <w:t xml:space="preserve">维护</w:t>
      </w:r>
      <w:r>
        <w:rPr>
          <w:rFonts w:hint="eastAsia" w:ascii="宋体" w:hAnsi="宋体" w:cs="宋体"/>
          <w:i w:val="0"/>
          <w:iCs w:val="0"/>
          <w:color w:val="auto"/>
          <w:sz w:val="24"/>
          <w:szCs w:val="24"/>
          <w:highlight w:val="none"/>
          <w:u w:val="single"/>
          <w:lang w:val="en-US" w:eastAsia="zh-CN"/>
        </w:rPr>
        <w:t xml:space="preserve">或提供现场的围挡及交通附属设施等，并协助做好交通秩序管理</w:t>
      </w:r>
      <w:r>
        <w:rPr>
          <w:rFonts w:hint="eastAsia" w:ascii="宋体" w:hAnsi="宋体" w:eastAsia="宋体" w:cs="宋体"/>
          <w:i w:val="0"/>
          <w:iCs w:val="0"/>
          <w:color w:val="auto"/>
          <w:sz w:val="24"/>
          <w:szCs w:val="24"/>
          <w:highlight w:val="none"/>
          <w:u w:val="single"/>
        </w:rPr>
        <w:t xml:space="preserve">，</w:t>
      </w:r>
      <w:r>
        <w:rPr>
          <w:rFonts w:hint="eastAsia" w:ascii="宋体" w:hAnsi="宋体" w:eastAsia="宋体" w:cs="宋体"/>
          <w:color w:val="auto"/>
          <w:sz w:val="24"/>
          <w:szCs w:val="24"/>
          <w:highlight w:val="none"/>
          <w:u w:val="single"/>
        </w:rPr>
        <w:t xml:space="preserve">以及对工程进行保护或为公众提供安全和方便。承包人负责在工程施工整个过程中施工现场在承包范围内全部人员的安全</w:t>
      </w:r>
      <w:r>
        <w:rPr>
          <w:rFonts w:hint="eastAsia" w:ascii="宋体" w:hAnsi="宋体" w:eastAsia="宋体" w:cs="宋体"/>
          <w:b w:val="0"/>
          <w:bCs w:val="0"/>
          <w:color w:val="auto"/>
          <w:sz w:val="24"/>
          <w:szCs w:val="24"/>
          <w:highlight w:val="none"/>
          <w:u w:val="single"/>
        </w:rPr>
        <w:t xml:space="preserve">。发包人不承担承包人或其内部班组雇用工人或其他人员的伤亡赔偿或补偿责任。承包人在施工现场的安</w:t>
      </w:r>
      <w:r>
        <w:rPr>
          <w:rFonts w:hint="eastAsia" w:ascii="宋体" w:hAnsi="宋体" w:eastAsia="宋体" w:cs="宋体"/>
          <w:color w:val="auto"/>
          <w:sz w:val="24"/>
          <w:szCs w:val="24"/>
          <w:highlight w:val="none"/>
          <w:u w:val="single"/>
        </w:rPr>
        <w:t xml:space="preserve">全管理、教育和安全事故的责任由承包人承担。因承包人未履行上述义务给</w:t>
      </w:r>
      <w:r>
        <w:rPr>
          <w:rFonts w:hint="eastAsia" w:ascii="宋体" w:hAnsi="宋体" w:cs="宋体"/>
          <w:color w:val="auto"/>
          <w:sz w:val="24"/>
          <w:szCs w:val="24"/>
          <w:highlight w:val="none"/>
          <w:u w:val="single"/>
          <w:lang w:eastAsia="zh-CN"/>
        </w:rPr>
        <w:t xml:space="preserve">发包人</w:t>
      </w:r>
      <w:r>
        <w:rPr>
          <w:rFonts w:hint="eastAsia" w:ascii="宋体" w:hAnsi="宋体" w:eastAsia="宋体" w:cs="宋体"/>
          <w:color w:val="auto"/>
          <w:sz w:val="24"/>
          <w:szCs w:val="24"/>
          <w:highlight w:val="none"/>
          <w:u w:val="single"/>
        </w:rPr>
        <w:t xml:space="preserve">造成的损失及财产损失的，承包</w:t>
      </w:r>
      <w:r>
        <w:rPr>
          <w:rFonts w:hint="eastAsia" w:ascii="宋体" w:hAnsi="宋体" w:cs="宋体"/>
          <w:color w:val="auto"/>
          <w:sz w:val="24"/>
          <w:szCs w:val="24"/>
          <w:highlight w:val="none"/>
          <w:u w:val="single"/>
          <w:lang w:val="en-US" w:eastAsia="zh-CN"/>
        </w:rPr>
        <w:t xml:space="preserve">人</w:t>
      </w:r>
      <w:r>
        <w:rPr>
          <w:rFonts w:hint="eastAsia" w:ascii="宋体" w:hAnsi="宋体" w:eastAsia="宋体" w:cs="宋体"/>
          <w:color w:val="auto"/>
          <w:sz w:val="24"/>
          <w:szCs w:val="24"/>
          <w:highlight w:val="none"/>
          <w:u w:val="single"/>
        </w:rPr>
        <w:t xml:space="preserve">应负全部的赔偿责任，</w:t>
      </w:r>
      <w:r>
        <w:rPr>
          <w:rFonts w:hint="eastAsia" w:ascii="宋体" w:hAnsi="宋体" w:eastAsia="宋体" w:cs="宋体"/>
          <w:b w:val="0"/>
          <w:bCs w:val="0"/>
          <w:color w:val="auto"/>
          <w:sz w:val="24"/>
          <w:szCs w:val="24"/>
          <w:highlight w:val="none"/>
          <w:u w:val="single"/>
        </w:rPr>
        <w:t xml:space="preserve">并由责任单位</w:t>
      </w:r>
      <w:r>
        <w:rPr>
          <w:rFonts w:hint="eastAsia" w:ascii="宋体" w:hAnsi="宋体" w:cs="宋体"/>
          <w:b w:val="0"/>
          <w:bCs w:val="0"/>
          <w:color w:val="auto"/>
          <w:sz w:val="24"/>
          <w:szCs w:val="24"/>
          <w:highlight w:val="none"/>
          <w:u w:val="single"/>
          <w:lang w:val="en-US" w:eastAsia="zh-CN"/>
        </w:rPr>
        <w:t xml:space="preserve">向发包人支付</w:t>
      </w:r>
      <w:r>
        <w:rPr>
          <w:rFonts w:hint="eastAsia" w:ascii="宋体" w:hAnsi="宋体" w:eastAsia="宋体" w:cs="宋体"/>
          <w:b w:val="0"/>
          <w:bCs w:val="0"/>
          <w:color w:val="auto"/>
          <w:sz w:val="24"/>
          <w:szCs w:val="24"/>
          <w:highlight w:val="none"/>
          <w:u w:val="single"/>
        </w:rPr>
        <w:t xml:space="preserve">违约金</w:t>
      </w:r>
      <w:r>
        <w:rPr>
          <w:rFonts w:hint="eastAsia" w:ascii="宋体" w:hAnsi="宋体" w:cs="宋体"/>
          <w:b w:val="0"/>
          <w:bCs w:val="0"/>
          <w:color w:val="auto"/>
          <w:sz w:val="24"/>
          <w:szCs w:val="24"/>
          <w:highlight w:val="none"/>
          <w:u w:val="single"/>
          <w:lang w:eastAsia="zh-CN"/>
        </w:rPr>
        <w:t xml:space="preserve">，</w:t>
      </w:r>
      <w:r>
        <w:rPr>
          <w:rFonts w:hint="eastAsia" w:ascii="宋体" w:hAnsi="宋体" w:cs="宋体"/>
          <w:b w:val="0"/>
          <w:bCs w:val="0"/>
          <w:color w:val="auto"/>
          <w:sz w:val="24"/>
          <w:szCs w:val="24"/>
          <w:highlight w:val="none"/>
          <w:u w:val="single"/>
          <w:lang w:val="en-US" w:eastAsia="zh-CN"/>
        </w:rPr>
        <w:t xml:space="preserve">为</w:t>
      </w:r>
      <w:r>
        <w:rPr>
          <w:rFonts w:hint="eastAsia" w:ascii="宋体" w:hAnsi="宋体" w:eastAsia="宋体" w:cs="宋体"/>
          <w:b w:val="0"/>
          <w:bCs w:val="0"/>
          <w:color w:val="auto"/>
          <w:sz w:val="24"/>
          <w:szCs w:val="24"/>
          <w:highlight w:val="none"/>
          <w:u w:val="single"/>
        </w:rPr>
        <w:t xml:space="preserve">结算价的20%。违约金于处罚书或责任认定书开出后15日内支付。</w:t>
      </w:r>
      <w:r/>
    </w:p>
    <w:p>
      <w:pPr>
        <w:ind w:left="0" w:firstLine="48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承包人应积极配合各类上级主管部门的各项检查及验收工作等，并积极做好各项迎检工作，所产生费用由承包人承担。若承包人拒绝配合，发包人有权安排其他施工单位配合，所需费用从承包人工程款中扣除。</w:t>
      </w:r>
      <w:r/>
    </w:p>
    <w:p>
      <w:pPr>
        <w:ind w:left="0" w:firstLine="48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承包人必须对工程现场施工人员全部实行实名制考勤管理，签订劳动合同，设立工资存储专户，按照工程进度和工人实名制登记信息，按月足额由银行代发工资。</w:t>
      </w:r>
      <w:r/>
    </w:p>
    <w:p>
      <w:pPr>
        <w:ind w:left="0" w:firstLine="480"/>
        <w:pageBreakBefore w:val="0"/>
        <w:spacing w:line="360" w:lineRule="auto"/>
        <w:rPr>
          <w:rFonts w:hint="eastAsia" w:ascii="宋体" w:hAnsi="宋体" w:eastAsia="宋体" w:cs="宋体"/>
          <w:i w:val="0"/>
          <w:iCs w:val="0"/>
          <w:strike w:val="0"/>
          <w:color w:val="auto"/>
          <w:sz w:val="24"/>
          <w:szCs w:val="24"/>
          <w:highlight w:val="none"/>
          <w:u w:val="single"/>
        </w:rPr>
      </w:pPr>
      <w:r>
        <w:rPr>
          <w:rFonts w:hint="eastAsia" w:ascii="宋体" w:hAnsi="宋体" w:eastAsia="宋体" w:cs="宋体"/>
          <w:i w:val="0"/>
          <w:iCs w:val="0"/>
          <w:strike w:val="0"/>
          <w:color w:val="auto"/>
          <w:sz w:val="24"/>
          <w:szCs w:val="24"/>
          <w:highlight w:val="none"/>
          <w:u w:val="single"/>
        </w:rPr>
        <w:t xml:space="preserve">⑪向发包人提供的办公和生活房屋及设施的要求：发包人驻施工现场管理人员必要的办公用房及桌椅、空调等及设施由承包人负责免费提供。</w:t>
      </w:r>
      <w:r/>
    </w:p>
    <w:p>
      <w:pPr>
        <w:ind w:left="0" w:firstLine="48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需承包人办理的有关施工场地交通、施工扬尘、施工噪声防治等：由承包人负责承担，费用也由承包</w:t>
      </w:r>
      <w:r>
        <w:rPr>
          <w:rFonts w:hint="eastAsia" w:ascii="宋体" w:hAnsi="宋体" w:cs="宋体"/>
          <w:color w:val="auto"/>
          <w:sz w:val="24"/>
          <w:szCs w:val="24"/>
          <w:highlight w:val="none"/>
          <w:u w:val="single"/>
          <w:lang w:eastAsia="zh-CN"/>
        </w:rPr>
        <w:t xml:space="preserve">人</w:t>
      </w:r>
      <w:r>
        <w:rPr>
          <w:rFonts w:hint="eastAsia" w:ascii="宋体" w:hAnsi="宋体" w:eastAsia="宋体" w:cs="宋体"/>
          <w:color w:val="auto"/>
          <w:sz w:val="24"/>
          <w:szCs w:val="24"/>
          <w:highlight w:val="none"/>
          <w:u w:val="single"/>
        </w:rPr>
        <w:t xml:space="preserve">承担并综合考虑在</w:t>
      </w:r>
      <w:r>
        <w:rPr>
          <w:rFonts w:hint="eastAsia" w:ascii="宋体" w:hAnsi="宋体" w:cs="宋体"/>
          <w:color w:val="auto"/>
          <w:sz w:val="24"/>
          <w:szCs w:val="24"/>
          <w:highlight w:val="none"/>
          <w:u w:val="single"/>
          <w:lang w:eastAsia="zh-CN"/>
        </w:rPr>
        <w:t xml:space="preserve">响应报价</w:t>
      </w:r>
      <w:r>
        <w:rPr>
          <w:rFonts w:hint="eastAsia" w:ascii="宋体" w:hAnsi="宋体" w:eastAsia="宋体" w:cs="宋体"/>
          <w:color w:val="auto"/>
          <w:sz w:val="24"/>
          <w:szCs w:val="24"/>
          <w:highlight w:val="none"/>
          <w:u w:val="single"/>
        </w:rPr>
        <w:t xml:space="preserve">内。已完工程成品保护的特殊要求及费用承担：由承包人负责承担。</w:t>
      </w:r>
      <w:r/>
    </w:p>
    <w:p>
      <w:pPr>
        <w:ind w:left="0" w:firstLine="48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⑫施工过程中的排污、环保、建筑垃圾、环卫、市容、城建、城管、治安、人口管理等相关手续由承包人按规定负责办理并承担因此产生的一切费用，施工时对临近居民和行人的干扰及影响由承包人负责处理并承担一切责任，如因与临近居民或行人发生冲突，导致工程停工，所有停工损失及其产生的费用由承包人承担，结算时不再调整。 若因上述原因引起相关部门的处罚，则由承包人承担处罚的费用，并从工程款中扣除。</w:t>
      </w:r>
      <w:r/>
    </w:p>
    <w:p>
      <w:pPr>
        <w:ind w:left="0" w:firstLine="48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⑬</w:t>
      </w:r>
      <w:r>
        <w:rPr>
          <w:rFonts w:hint="eastAsia" w:ascii="宋体" w:hAnsi="宋体" w:cs="宋体"/>
          <w:color w:val="auto"/>
          <w:sz w:val="24"/>
          <w:szCs w:val="24"/>
          <w:highlight w:val="none"/>
          <w:u w:val="single"/>
          <w:lang w:eastAsia="zh-CN"/>
        </w:rPr>
        <w:t xml:space="preserve">发包人</w:t>
      </w:r>
      <w:r>
        <w:rPr>
          <w:rFonts w:hint="eastAsia" w:ascii="宋体" w:hAnsi="宋体" w:eastAsia="宋体" w:cs="宋体"/>
          <w:color w:val="auto"/>
          <w:sz w:val="24"/>
          <w:szCs w:val="24"/>
          <w:highlight w:val="none"/>
          <w:u w:val="single"/>
        </w:rPr>
        <w:t xml:space="preserve">施工期间对承包</w:t>
      </w:r>
      <w:r>
        <w:rPr>
          <w:rFonts w:hint="eastAsia" w:ascii="宋体" w:hAnsi="宋体" w:cs="宋体"/>
          <w:color w:val="auto"/>
          <w:sz w:val="24"/>
          <w:szCs w:val="24"/>
          <w:highlight w:val="none"/>
          <w:u w:val="single"/>
          <w:lang w:eastAsia="zh-CN"/>
        </w:rPr>
        <w:t xml:space="preserve">人</w:t>
      </w:r>
      <w:r>
        <w:rPr>
          <w:rFonts w:hint="eastAsia" w:ascii="宋体" w:hAnsi="宋体" w:eastAsia="宋体" w:cs="宋体"/>
          <w:color w:val="auto"/>
          <w:sz w:val="24"/>
          <w:szCs w:val="24"/>
          <w:highlight w:val="none"/>
          <w:u w:val="single"/>
        </w:rPr>
        <w:t xml:space="preserve">施工管理人员进行进行考勤，由</w:t>
      </w:r>
      <w:r>
        <w:rPr>
          <w:rFonts w:hint="eastAsia" w:ascii="宋体" w:hAnsi="宋体" w:cs="宋体"/>
          <w:color w:val="auto"/>
          <w:sz w:val="24"/>
          <w:szCs w:val="24"/>
          <w:highlight w:val="none"/>
          <w:u w:val="single"/>
          <w:lang w:eastAsia="zh-CN"/>
        </w:rPr>
        <w:t xml:space="preserve">发包人</w:t>
      </w:r>
      <w:r>
        <w:rPr>
          <w:rFonts w:hint="eastAsia" w:ascii="宋体" w:hAnsi="宋体" w:eastAsia="宋体" w:cs="宋体"/>
          <w:color w:val="auto"/>
          <w:sz w:val="24"/>
          <w:szCs w:val="24"/>
          <w:highlight w:val="none"/>
          <w:u w:val="single"/>
        </w:rPr>
        <w:t xml:space="preserve">、监理核查。达不到出勤要求的</w:t>
      </w:r>
      <w:r>
        <w:rPr>
          <w:rFonts w:hint="eastAsia" w:ascii="宋体" w:hAnsi="宋体" w:cs="宋体"/>
          <w:color w:val="auto"/>
          <w:sz w:val="24"/>
          <w:szCs w:val="24"/>
          <w:highlight w:val="none"/>
          <w:u w:val="single"/>
          <w:lang w:eastAsia="zh-CN"/>
        </w:rPr>
        <w:t xml:space="preserve">发包人</w:t>
      </w:r>
      <w:r>
        <w:rPr>
          <w:rFonts w:hint="eastAsia" w:ascii="宋体" w:hAnsi="宋体" w:eastAsia="宋体" w:cs="宋体"/>
          <w:color w:val="auto"/>
          <w:sz w:val="24"/>
          <w:szCs w:val="24"/>
          <w:highlight w:val="none"/>
          <w:u w:val="single"/>
        </w:rPr>
        <w:t xml:space="preserve">按5000元/次人从对承包</w:t>
      </w:r>
      <w:r>
        <w:rPr>
          <w:rFonts w:hint="eastAsia" w:ascii="宋体" w:hAnsi="宋体" w:cs="宋体"/>
          <w:color w:val="auto"/>
          <w:sz w:val="24"/>
          <w:szCs w:val="24"/>
          <w:highlight w:val="none"/>
          <w:u w:val="single"/>
          <w:lang w:eastAsia="zh-CN"/>
        </w:rPr>
        <w:t xml:space="preserve">人</w:t>
      </w:r>
      <w:r>
        <w:rPr>
          <w:rFonts w:hint="eastAsia" w:ascii="宋体" w:hAnsi="宋体" w:eastAsia="宋体" w:cs="宋体"/>
          <w:color w:val="auto"/>
          <w:sz w:val="24"/>
          <w:szCs w:val="24"/>
          <w:highlight w:val="none"/>
          <w:u w:val="single"/>
        </w:rPr>
        <w:t xml:space="preserve">工程款中进行扣款。应提供计划、报表的名称及完成时间：按月提供，每月 20 日之前提供当月完成进度及下月施工计划，未按规定提供的，按每次10000元违约金承担。</w:t>
      </w:r>
      <w:r/>
    </w:p>
    <w:p>
      <w:pPr>
        <w:ind w:left="0" w:firstLine="48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⑭施工场地周围地下管线和邻近建筑物、构筑物（含文物保护建筑）、古树名木的保护要求及费用承担：承包人在施工时发现地下管线、文物时，应停止施工并及时报告监理工程师和发包人，在会同有关单位部门共同研究方案后再实施，费用由承包人在</w:t>
      </w:r>
      <w:r>
        <w:rPr>
          <w:rFonts w:hint="eastAsia" w:ascii="宋体" w:hAnsi="宋体" w:cs="宋体"/>
          <w:color w:val="auto"/>
          <w:sz w:val="24"/>
          <w:szCs w:val="24"/>
          <w:highlight w:val="none"/>
          <w:u w:val="single"/>
          <w:lang w:eastAsia="zh-CN"/>
        </w:rPr>
        <w:t xml:space="preserve">响应报价</w:t>
      </w:r>
      <w:r>
        <w:rPr>
          <w:rFonts w:hint="eastAsia" w:ascii="宋体" w:hAnsi="宋体" w:eastAsia="宋体" w:cs="宋体"/>
          <w:color w:val="auto"/>
          <w:sz w:val="24"/>
          <w:szCs w:val="24"/>
          <w:highlight w:val="none"/>
          <w:u w:val="single"/>
        </w:rPr>
        <w:t xml:space="preserve">中自行考虑。</w:t>
      </w:r>
      <w:r/>
    </w:p>
    <w:p>
      <w:pPr>
        <w:ind w:left="0" w:firstLine="48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⑮地方关系由承包人负责协调，费用包含在合同价款中。</w:t>
      </w:r>
      <w:r/>
    </w:p>
    <w:p>
      <w:pPr>
        <w:ind w:left="0" w:firstLine="48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⑯</w:t>
      </w:r>
      <w:r>
        <w:rPr>
          <w:rFonts w:hint="eastAsia" w:ascii="宋体" w:hAnsi="宋体" w:cs="宋体"/>
          <w:color w:val="auto"/>
          <w:sz w:val="24"/>
          <w:szCs w:val="24"/>
          <w:highlight w:val="none"/>
          <w:u w:val="single"/>
          <w:lang w:val="en-US" w:eastAsia="zh-CN"/>
        </w:rPr>
        <w:t xml:space="preserve">承包人</w:t>
      </w:r>
      <w:r>
        <w:rPr>
          <w:rFonts w:hint="eastAsia" w:ascii="宋体" w:hAnsi="宋体" w:eastAsia="宋体" w:cs="宋体"/>
          <w:color w:val="auto"/>
          <w:sz w:val="24"/>
          <w:szCs w:val="24"/>
          <w:highlight w:val="none"/>
          <w:u w:val="single"/>
        </w:rPr>
        <w:t xml:space="preserve">的扬尘、噪声、建筑垃圾、生活垃圾等环保防控要求必须严格按照《中华人民共和国大气污染防治法》《中华人民共和国噪声污染防治法》《中华人民共和国固体废物污染环境防治法》等法律法规的要求，《徐州市扬尘污染防治条例》</w:t>
      </w:r>
      <w:r>
        <w:rPr>
          <w:rFonts w:hint="eastAsia" w:ascii="宋体" w:hAnsi="宋体" w:cs="宋体"/>
          <w:color w:val="auto"/>
          <w:sz w:val="24"/>
          <w:szCs w:val="24"/>
          <w:highlight w:val="none"/>
          <w:u w:val="single"/>
          <w:lang w:eastAsia="zh-CN"/>
        </w:rPr>
        <w:t xml:space="preserve">、</w:t>
      </w:r>
      <w:r>
        <w:rPr>
          <w:rFonts w:ascii="Segoe UI" w:hAnsi="Segoe UI" w:eastAsia="Segoe UI" w:cs="Segoe UI"/>
          <w:i w:val="0"/>
          <w:iCs w:val="0"/>
          <w:caps w:val="0"/>
          <w:spacing w:val="0"/>
          <w:sz w:val="24"/>
          <w:szCs w:val="24"/>
          <w:u w:val="single"/>
          <w:shd w:val="clear" w:color="auto" w:fill="ffffff"/>
        </w:rPr>
        <w:t xml:space="preserve">《徐州市市区工地扬尘污染管理规范（试行）》</w:t>
      </w:r>
      <w:r>
        <w:rPr>
          <w:rFonts w:hint="eastAsia" w:ascii="宋体" w:hAnsi="宋体" w:eastAsia="宋体" w:cs="宋体"/>
          <w:color w:val="auto"/>
          <w:sz w:val="24"/>
          <w:szCs w:val="24"/>
          <w:highlight w:val="none"/>
          <w:u w:val="single"/>
        </w:rPr>
        <w:t xml:space="preserve">（徐空气提升办﹝2018﹞11 号）和《徐州市2018年大气污染防治攻坚行动方案》、徐城管发【2018】55 号文的规定。该费用按江苏省住房和城乡建设厅《关于调整建设工程按质论价等费用计取方法的公告【2018】第 24 号》文件要求执行，已经包含在报价当中，结算不再增加此项费用。</w:t>
      </w:r>
      <w:r/>
    </w:p>
    <w:p>
      <w:pPr>
        <w:ind w:left="0" w:firstLine="48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⑰施工场地清洁卫生和要求：应按建设行政主管部门和环保等相关部门的规定办理，所需费用由承包人负担。</w:t>
      </w:r>
      <w:r/>
    </w:p>
    <w:p>
      <w:pPr>
        <w:ind w:left="0" w:firstLine="48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⑱对于在招投标、施工期间出台新的清单规范、计价定额及费用定额，本工程均不执行。</w:t>
      </w:r>
      <w:r/>
    </w:p>
    <w:p>
      <w:pPr>
        <w:ind w:left="0" w:firstLine="48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⑲承包人勘查现场后已经在施工组织设计中体现：1、承包人与现场其他施工企业保持有序、顺利施工的措施方案；2、现场分段施工的措施方案；3、现场开辟新临时通道的方案，且承包人必须考虑完成以上 3 点所要增加的一切费用。发包人在临时设施费用中为承包人综合考虑了以上费用，承包人自主报价，结算时发包人不再支付与以上关联的任何费用。</w:t>
      </w:r>
      <w:r/>
    </w:p>
    <w:p>
      <w:pPr>
        <w:ind w:left="0" w:firstLine="480"/>
        <w:pageBreakBefore w:val="0"/>
        <w:spacing w:line="360" w:lineRule="auto"/>
        <w:rPr>
          <w:rFonts w:hint="eastAsia" w:ascii="宋体" w:hAnsi="宋体" w:eastAsia="宋体" w:cs="宋体"/>
          <w:i w:val="0"/>
          <w:iCs w:val="0"/>
          <w:color w:val="auto"/>
          <w:sz w:val="24"/>
          <w:szCs w:val="24"/>
          <w:highlight w:val="none"/>
          <w:u w:val="single"/>
        </w:rPr>
      </w:pPr>
      <w:r>
        <w:rPr>
          <w:rFonts w:hint="eastAsia" w:ascii="宋体" w:hAnsi="宋体" w:eastAsia="宋体" w:cs="宋体"/>
          <w:color w:val="auto"/>
          <w:sz w:val="24"/>
          <w:szCs w:val="24"/>
          <w:highlight w:val="none"/>
          <w:u w:val="single"/>
        </w:rPr>
        <w:t xml:space="preserve">⑳检测机构检测费用不单独列项，承包人应综合考虑在企业管理费中，包括但不限于：材料常规检验试验及相关费用、建筑工程质量检测及相关费用、工程质量检测发生的第三方检测费用等，结算时不再调整。发包人不再承担此类费用。需要明确的是，对新工艺、新材料以及对构件做破坏性试验，按检测报告结果，检测合格的，检测费用由发包人支付；检测不合格，视为承包人违约，检测费、整改至合格的费用由承包人支付，如影响工程质量或造成其它损失，</w:t>
      </w:r>
      <w:r>
        <w:rPr>
          <w:rFonts w:hint="eastAsia" w:ascii="宋体" w:hAnsi="宋体" w:cs="宋体"/>
          <w:i w:val="0"/>
          <w:iCs w:val="0"/>
          <w:color w:val="auto"/>
          <w:sz w:val="24"/>
          <w:szCs w:val="24"/>
          <w:highlight w:val="none"/>
          <w:u w:val="single"/>
          <w:lang w:val="en-US" w:eastAsia="zh-CN"/>
        </w:rPr>
        <w:t xml:space="preserve">除</w:t>
      </w:r>
      <w:r>
        <w:rPr>
          <w:rFonts w:hint="eastAsia" w:ascii="宋体" w:hAnsi="宋体" w:eastAsia="宋体" w:cs="宋体"/>
          <w:i w:val="0"/>
          <w:iCs w:val="0"/>
          <w:color w:val="auto"/>
          <w:sz w:val="24"/>
          <w:szCs w:val="24"/>
          <w:highlight w:val="none"/>
          <w:u w:val="single"/>
        </w:rPr>
        <w:t xml:space="preserve">采取补救措施，使工程质量达到合格标准</w:t>
      </w:r>
      <w:r>
        <w:rPr>
          <w:rFonts w:hint="eastAsia" w:ascii="宋体" w:hAnsi="宋体" w:cs="宋体"/>
          <w:i w:val="0"/>
          <w:iCs w:val="0"/>
          <w:color w:val="auto"/>
          <w:sz w:val="24"/>
          <w:szCs w:val="24"/>
          <w:highlight w:val="none"/>
          <w:u w:val="single"/>
          <w:lang w:val="en-US" w:eastAsia="zh-CN"/>
        </w:rPr>
        <w:t xml:space="preserve">外，</w:t>
      </w:r>
      <w:r>
        <w:rPr>
          <w:rFonts w:hint="eastAsia" w:ascii="宋体" w:hAnsi="宋体" w:eastAsia="宋体" w:cs="宋体"/>
          <w:i w:val="0"/>
          <w:iCs w:val="0"/>
          <w:color w:val="auto"/>
          <w:sz w:val="24"/>
          <w:szCs w:val="24"/>
          <w:highlight w:val="none"/>
          <w:u w:val="single"/>
        </w:rPr>
        <w:t xml:space="preserve">承包人应向发包人支付合同</w:t>
      </w:r>
      <w:r>
        <w:rPr>
          <w:rFonts w:hint="eastAsia" w:ascii="宋体" w:hAnsi="宋体" w:cs="宋体"/>
          <w:i w:val="0"/>
          <w:iCs w:val="0"/>
          <w:color w:val="auto"/>
          <w:sz w:val="24"/>
          <w:szCs w:val="24"/>
          <w:highlight w:val="none"/>
          <w:u w:val="single"/>
          <w:lang w:val="en-US" w:eastAsia="zh-CN"/>
        </w:rPr>
        <w:t xml:space="preserve">结算价</w:t>
      </w:r>
      <w:r>
        <w:rPr>
          <w:rFonts w:hint="eastAsia" w:ascii="宋体" w:hAnsi="宋体" w:eastAsia="宋体" w:cs="宋体"/>
          <w:i w:val="0"/>
          <w:iCs w:val="0"/>
          <w:color w:val="auto"/>
          <w:sz w:val="24"/>
          <w:szCs w:val="24"/>
          <w:highlight w:val="none"/>
          <w:u w:val="single"/>
        </w:rPr>
        <w:t xml:space="preserve">的20%违约金。</w:t>
      </w:r>
      <w:r/>
    </w:p>
    <w:p>
      <w:pPr>
        <w:ind w:left="0" w:firstLine="48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㉑投标前投标前应充分考察现场，本工程现场地表、沟渠、池塘等明水排除（污）费用由承包人承担，该部分费用不单独列项，</w:t>
      </w:r>
      <w:r>
        <w:rPr>
          <w:rFonts w:hint="eastAsia" w:ascii="宋体" w:hAnsi="宋体" w:cs="宋体"/>
          <w:color w:val="auto"/>
          <w:sz w:val="24"/>
          <w:szCs w:val="24"/>
          <w:highlight w:val="none"/>
          <w:u w:val="single"/>
          <w:lang w:val="en-US" w:eastAsia="zh-CN"/>
        </w:rPr>
        <w:t xml:space="preserve">承包人</w:t>
      </w:r>
      <w:r>
        <w:rPr>
          <w:rFonts w:hint="eastAsia" w:ascii="宋体" w:hAnsi="宋体" w:eastAsia="宋体" w:cs="宋体"/>
          <w:color w:val="auto"/>
          <w:sz w:val="24"/>
          <w:szCs w:val="24"/>
          <w:highlight w:val="none"/>
          <w:u w:val="single"/>
        </w:rPr>
        <w:t xml:space="preserve">应综合考虑在</w:t>
      </w:r>
      <w:r>
        <w:rPr>
          <w:rFonts w:hint="eastAsia" w:ascii="宋体" w:hAnsi="宋体" w:cs="宋体"/>
          <w:color w:val="auto"/>
          <w:sz w:val="24"/>
          <w:szCs w:val="24"/>
          <w:highlight w:val="none"/>
          <w:u w:val="single"/>
          <w:lang w:eastAsia="zh-CN"/>
        </w:rPr>
        <w:t xml:space="preserve">响应报价</w:t>
      </w:r>
      <w:r>
        <w:rPr>
          <w:rFonts w:hint="eastAsia" w:ascii="宋体" w:hAnsi="宋体" w:eastAsia="宋体" w:cs="宋体"/>
          <w:color w:val="auto"/>
          <w:sz w:val="24"/>
          <w:szCs w:val="24"/>
          <w:highlight w:val="none"/>
          <w:u w:val="single"/>
        </w:rPr>
        <w:t xml:space="preserve">中，结算时不再调整。</w:t>
      </w:r>
      <w:r/>
    </w:p>
    <w:p>
      <w:pPr>
        <w:ind w:left="0" w:firstLine="48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㉒因施工或施工材料进出场造成附近居民楼产生破损等质量问题均由承包人负责维修并承担所有费用，结算时发包人不再支付因此所产生的任何费用。</w:t>
      </w:r>
      <w:r/>
    </w:p>
    <w:p>
      <w:pPr>
        <w:ind w:left="0" w:firstLine="48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㉓项目特征描述不全或不符的项目：清单项目中特征描述不全的工序或施工内容、材料和设备名称，如施工图纸及技术要求已明确或已指明引用的规范、图集等或是常规工艺必须的工序，视为费用已包括在合同价款中，不得再以项目特征描述不全或者其他理由主张价格变更。承包人应按照发包人提供的施工图纸及技术要求实施合同工程。承包人应充分考虑中标后至工程正式开工的间隔期对自身产生的影响并视为已体现在</w:t>
      </w:r>
      <w:r>
        <w:rPr>
          <w:rFonts w:hint="eastAsia" w:ascii="宋体" w:hAnsi="宋体" w:cs="宋体"/>
          <w:color w:val="auto"/>
          <w:sz w:val="24"/>
          <w:szCs w:val="24"/>
          <w:highlight w:val="none"/>
          <w:u w:val="single"/>
          <w:lang w:eastAsia="zh-CN"/>
        </w:rPr>
        <w:t xml:space="preserve">响应报价</w:t>
      </w:r>
      <w:r>
        <w:rPr>
          <w:rFonts w:hint="eastAsia" w:ascii="宋体" w:hAnsi="宋体" w:eastAsia="宋体" w:cs="宋体"/>
          <w:color w:val="auto"/>
          <w:sz w:val="24"/>
          <w:szCs w:val="24"/>
          <w:highlight w:val="none"/>
          <w:u w:val="single"/>
        </w:rPr>
        <w:t xml:space="preserve">中，结算时不再因此予以调整。</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 项目经理</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 项目经理：</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    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ab/>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身份证号：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建造师执业资格等级：</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建造师注册证书号：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建造师执业印章号：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安全生产考核合格证书号：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承包人对项目经理的授权范围如下：</w:t>
      </w:r>
      <w:r/>
    </w:p>
    <w:p>
      <w:pPr>
        <w:ind w:left="0" w:firstLine="48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1.领导、决策，调集企业所属各单位、各部门为项目进行全面服务和控制。</w:t>
      </w:r>
      <w:r/>
    </w:p>
    <w:p>
      <w:pPr>
        <w:ind w:left="0" w:firstLine="48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2.代表承包人履行对业主的合约，并受业主委托行使对项目所有分包商统一指挥、协调、管理权；</w:t>
      </w:r>
      <w:r/>
    </w:p>
    <w:p>
      <w:pPr>
        <w:ind w:left="0" w:firstLine="48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3.负责组织编制与审批工程总体进度</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"http://www.fdcew.com/gw/List_203.html"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u w:val="single"/>
        </w:rPr>
        <w:t xml:space="preserve">计划</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 xml:space="preserve">及其修订与调整；</w:t>
      </w:r>
      <w:r/>
    </w:p>
    <w:p>
      <w:pPr>
        <w:ind w:left="0" w:firstLine="48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4.负责组织编制与审批质量保证计划及其修订与调整；</w:t>
      </w:r>
      <w:r/>
    </w:p>
    <w:p>
      <w:pPr>
        <w:ind w:left="0" w:firstLine="48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5.负责组织编制与审批主要物资供应与采购计划及其修订与调整；</w:t>
      </w:r>
      <w:r/>
    </w:p>
    <w:p>
      <w:pPr>
        <w:ind w:left="0" w:firstLine="48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6.负责组织编制与审批工程分包计划及其修订与调整；</w:t>
      </w:r>
      <w:r/>
    </w:p>
    <w:p>
      <w:pPr>
        <w:ind w:left="0" w:firstLine="48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7.组织工程成本的分析、预测及控制，对项目资金管理与</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"http://www.fdcew.com/hypx/List_192.html"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u w:val="single"/>
        </w:rPr>
        <w:t xml:space="preserve">财务</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 xml:space="preserve">运作负责；</w:t>
      </w:r>
      <w:r/>
    </w:p>
    <w:p>
      <w:pPr>
        <w:ind w:left="0" w:firstLine="48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8.与业主、监理保持经常沟通，了解业主需求，解决随时出现的问题，替业主排忧解难，保护业主利益；</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9.负责组织人力资源调配、内部和外部关系协调；遵照</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"http://www.fdcew.com/gw/List_211.html"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u w:val="single"/>
        </w:rPr>
        <w:t xml:space="preserve">合同</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 xml:space="preserve">约定及施工组织设计中的内容实施于工程，当超出实施范围应向上级决策机构申报。</w:t>
      </w:r>
      <w:r/>
    </w:p>
    <w:p>
      <w:pPr>
        <w:ind w:left="0" w:firstLine="480"/>
        <w:pageBreakBefore w:val="0"/>
        <w:spacing w:line="360" w:lineRule="auto"/>
        <w:rPr>
          <w:rFonts w:hint="eastAsia" w:ascii="宋体" w:hAnsi="宋体" w:eastAsia="宋体" w:cs="宋体"/>
          <w:b/>
          <w:color w:val="auto"/>
          <w:sz w:val="24"/>
          <w:szCs w:val="24"/>
          <w:highlight w:val="none"/>
          <w:u w:val="single"/>
        </w:rPr>
      </w:pPr>
      <w:r>
        <w:rPr>
          <w:rFonts w:hint="eastAsia" w:ascii="宋体" w:hAnsi="宋体" w:eastAsia="宋体" w:cs="宋体"/>
          <w:color w:val="auto"/>
          <w:sz w:val="24"/>
          <w:szCs w:val="24"/>
          <w:highlight w:val="none"/>
        </w:rPr>
        <w:t xml:space="preserve">关于项目经理每月在施工现场的时间要求：</w:t>
      </w:r>
      <w:r>
        <w:rPr>
          <w:rFonts w:hint="eastAsia" w:ascii="宋体" w:hAnsi="宋体" w:eastAsia="宋体" w:cs="宋体"/>
          <w:color w:val="auto"/>
          <w:sz w:val="24"/>
          <w:szCs w:val="24"/>
          <w:highlight w:val="none"/>
          <w:u w:val="single"/>
        </w:rPr>
        <w:t xml:space="preserve"> 项目经理必须亲临施工现场组织本工程项目的施工，必须严格遵循现行的有关法律、法规，切实履行自己的权利和义务。项目实施期间，项目经理应驻守现场，现场办公，离开施工现场应向发包人驻工地代表请假。项目经理每月驻守工地时间不得低于24天，每天不低于8小时，项目经理擅离职守，每发现一次，将向发包人支付10000元违约金</w:t>
      </w:r>
      <w:r>
        <w:rPr>
          <w:rFonts w:hint="eastAsia" w:ascii="宋体" w:hAnsi="宋体" w:eastAsia="宋体" w:cs="宋体"/>
          <w:color w:val="auto"/>
          <w:sz w:val="24"/>
          <w:szCs w:val="24"/>
          <w:highlight w:val="none"/>
        </w:rPr>
        <w:t xml:space="preserve">。</w:t>
      </w:r>
      <w:r>
        <w:rPr>
          <w:rFonts w:hint="eastAsia" w:ascii="宋体" w:hAnsi="宋体" w:eastAsia="宋体" w:cs="宋体"/>
          <w:b w:val="0"/>
          <w:bCs/>
          <w:i w:val="0"/>
          <w:iCs w:val="0"/>
          <w:color w:val="auto"/>
          <w:sz w:val="24"/>
          <w:szCs w:val="24"/>
          <w:highlight w:val="none"/>
          <w:u w:val="single"/>
        </w:rPr>
        <w:t xml:space="preserve">且应及时参加发包人、监理方组织的例会</w:t>
      </w:r>
      <w:r>
        <w:rPr>
          <w:rFonts w:hint="eastAsia" w:ascii="宋体" w:hAnsi="宋体" w:cs="宋体"/>
          <w:b w:val="0"/>
          <w:bCs/>
          <w:i w:val="0"/>
          <w:iCs w:val="0"/>
          <w:color w:val="auto"/>
          <w:sz w:val="24"/>
          <w:szCs w:val="24"/>
          <w:highlight w:val="none"/>
          <w:u w:val="single"/>
          <w:lang w:val="en-US" w:eastAsia="zh-CN"/>
        </w:rPr>
        <w:t xml:space="preserve">、参与竣工验收、</w:t>
      </w:r>
      <w:r>
        <w:rPr>
          <w:rFonts w:hint="eastAsia" w:ascii="宋体" w:hAnsi="宋体" w:eastAsia="宋体" w:cs="宋体"/>
          <w:b w:val="0"/>
          <w:bCs/>
          <w:i w:val="0"/>
          <w:iCs w:val="0"/>
          <w:color w:val="auto"/>
          <w:sz w:val="24"/>
          <w:szCs w:val="24"/>
          <w:highlight w:val="none"/>
          <w:u w:val="single"/>
        </w:rPr>
        <w:t xml:space="preserve">并保证现场施工及时顺畅的进行。</w:t>
      </w:r>
      <w:r/>
    </w:p>
    <w:p>
      <w:pPr>
        <w:ind w:left="0" w:firstLine="482"/>
        <w:pageBreakBefore w:val="0"/>
        <w:spacing w:line="360" w:lineRule="auto"/>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u w:val="single"/>
        </w:rPr>
        <w:t xml:space="preserve">承包人未提交劳动合同，以及没有为项目经理缴纳社会保险证明的违约责任：承包人承担结算价金额的20%违约金，逾期未提交劳动合同，视为无项目经理，发包人有权终止合同，承包人应当赔偿发包人损失。</w:t>
      </w:r>
      <w:r/>
    </w:p>
    <w:p>
      <w:pPr>
        <w:ind w:left="0" w:firstLine="48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项目经理未经批准，擅自离开施工现场的违约责任：</w:t>
      </w:r>
      <w:r>
        <w:rPr>
          <w:rFonts w:hint="eastAsia" w:ascii="宋体" w:hAnsi="宋体" w:eastAsia="宋体" w:cs="宋体"/>
          <w:color w:val="auto"/>
          <w:sz w:val="24"/>
          <w:szCs w:val="24"/>
          <w:highlight w:val="none"/>
          <w:u w:val="single"/>
        </w:rPr>
        <w:t xml:space="preserve">承包人应承担10000元/天的违约金，且承包人承担上述违约给发包人造成的一切损失。</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3.2.3 承包人擅自更换项目经理的违约责任：</w:t>
      </w:r>
      <w:r>
        <w:rPr>
          <w:rFonts w:hint="eastAsia" w:ascii="宋体" w:hAnsi="宋体" w:eastAsia="宋体" w:cs="宋体"/>
          <w:color w:val="auto"/>
          <w:sz w:val="24"/>
          <w:szCs w:val="24"/>
          <w:highlight w:val="none"/>
          <w:u w:val="single"/>
        </w:rPr>
        <w:t xml:space="preserve">项目经理及项目部其他主要组成人员（施工员、质量员、安全员等）应与承包人承诺的名单一致，并保持稳定，不应无故不到位或被替换。以上人员的变更，必须经发包人</w:t>
      </w:r>
      <w:r>
        <w:rPr>
          <w:rFonts w:hint="eastAsia" w:ascii="宋体" w:hAnsi="宋体" w:eastAsia="宋体" w:cs="宋体"/>
          <w:color w:val="auto"/>
          <w:sz w:val="24"/>
          <w:szCs w:val="24"/>
          <w:highlight w:val="none"/>
          <w:u w:val="single"/>
          <w:lang w:val="en-US" w:eastAsia="zh-CN"/>
        </w:rPr>
        <w:t xml:space="preserve">书面</w:t>
      </w:r>
      <w:r>
        <w:rPr>
          <w:rFonts w:hint="eastAsia" w:ascii="宋体" w:hAnsi="宋体" w:eastAsia="宋体" w:cs="宋体"/>
          <w:color w:val="auto"/>
          <w:sz w:val="24"/>
          <w:szCs w:val="24"/>
          <w:highlight w:val="none"/>
          <w:u w:val="single"/>
        </w:rPr>
        <w:t xml:space="preserve">同意。未征得发包人同意撤换项目经理，</w:t>
      </w:r>
      <w:r>
        <w:rPr>
          <w:rFonts w:hint="eastAsia" w:ascii="宋体" w:hAnsi="宋体" w:eastAsia="宋体" w:cs="宋体"/>
          <w:b/>
          <w:color w:val="auto"/>
          <w:sz w:val="24"/>
          <w:szCs w:val="24"/>
          <w:highlight w:val="none"/>
          <w:u w:val="single"/>
        </w:rPr>
        <w:t xml:space="preserve">承包人除应承担壹拾万元/次的违约金外</w:t>
      </w:r>
      <w:r>
        <w:rPr>
          <w:rFonts w:hint="eastAsia" w:ascii="宋体" w:hAnsi="宋体" w:eastAsia="宋体" w:cs="宋体"/>
          <w:color w:val="auto"/>
          <w:sz w:val="24"/>
          <w:szCs w:val="24"/>
          <w:highlight w:val="none"/>
          <w:u w:val="single"/>
        </w:rPr>
        <w:t xml:space="preserve">，还应按照项目经理擅自离开现场的违约责任向发包人支付违约金，且发包人有权单方面终止合同，由此造成的一切损失均由承包人承担</w:t>
      </w:r>
      <w:r>
        <w:rPr>
          <w:rFonts w:hint="eastAsia" w:ascii="宋体" w:hAnsi="宋体" w:eastAsia="宋体" w:cs="宋体"/>
          <w:color w:val="auto"/>
          <w:sz w:val="24"/>
          <w:szCs w:val="24"/>
          <w:highlight w:val="none"/>
        </w:rPr>
        <w:t xml:space="preserve">。</w:t>
      </w:r>
      <w:r/>
    </w:p>
    <w:p>
      <w:pPr>
        <w:ind w:left="0" w:firstLine="48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3.2.4 承包人无正当理由拒绝更换项目经理的违约责任：</w:t>
      </w:r>
      <w:r>
        <w:rPr>
          <w:rFonts w:hint="eastAsia" w:ascii="宋体" w:hAnsi="宋体" w:eastAsia="宋体" w:cs="宋体"/>
          <w:color w:val="auto"/>
          <w:sz w:val="24"/>
          <w:szCs w:val="24"/>
          <w:highlight w:val="none"/>
          <w:u w:val="single"/>
        </w:rPr>
        <w:t xml:space="preserve">在任何情况下，如果发包人要求撤换不能胜任本职工作、行为不端或玩忽职守的承包人项目经理，有权以书面通知承包人撤换项目经理，同时应在收到发包人通知之日起的7日内，委派经发包人与监理人同意的新的项目经理。</w:t>
      </w:r>
      <w:r>
        <w:rPr>
          <w:rFonts w:hint="eastAsia" w:ascii="宋体" w:hAnsi="宋体" w:eastAsia="宋体" w:cs="宋体"/>
          <w:b/>
          <w:color w:val="auto"/>
          <w:sz w:val="24"/>
          <w:szCs w:val="24"/>
          <w:highlight w:val="none"/>
          <w:u w:val="single"/>
        </w:rPr>
        <w:t xml:space="preserve">承包人无正当理由拒绝更换项目经理，向发包人支付壹拾万元/次违约金</w:t>
      </w:r>
      <w:r>
        <w:rPr>
          <w:rFonts w:hint="eastAsia" w:ascii="宋体" w:hAnsi="宋体" w:eastAsia="宋体" w:cs="宋体"/>
          <w:color w:val="auto"/>
          <w:sz w:val="24"/>
          <w:szCs w:val="24"/>
          <w:highlight w:val="none"/>
          <w:u w:val="single"/>
        </w:rPr>
        <w:t xml:space="preserve">，发包人并有权解除合同并责令承包人退场，由此产生的一切损失及后果由承包人承担 。</w:t>
      </w:r>
      <w:r/>
    </w:p>
    <w:p>
      <w:pPr>
        <w:ind w:left="0" w:firstLine="48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如承包人拒绝执行发包人的合理指令，发包人有权另行委托第三方执行指令，承包人向发包人支付壹拾万元/次的违约金，且执行指令的费用由承包人支付；若承包人拒绝支付，则发包人有权从承包人工程款中扣除。</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 承包人人员 </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3.3.1 承包人提交项目管理机构及施工现场管理人员安排报告的期限：</w:t>
      </w:r>
      <w:r>
        <w:rPr>
          <w:rFonts w:hint="eastAsia" w:ascii="宋体" w:hAnsi="宋体" w:eastAsia="宋体" w:cs="宋体"/>
          <w:color w:val="auto"/>
          <w:sz w:val="24"/>
          <w:szCs w:val="24"/>
          <w:highlight w:val="none"/>
          <w:u w:val="single"/>
        </w:rPr>
        <w:t xml:space="preserve">合同生效后7天内按照投标文件的项目管理机构及施工现场管理人员提交</w:t>
      </w:r>
      <w:r>
        <w:rPr>
          <w:rFonts w:hint="eastAsia" w:ascii="宋体" w:hAnsi="宋体" w:eastAsia="宋体" w:cs="宋体"/>
          <w:color w:val="auto"/>
          <w:sz w:val="24"/>
          <w:szCs w:val="24"/>
          <w:highlight w:val="none"/>
        </w:rPr>
        <w:t xml:space="preserve">。</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3.3.3 承包人无正当理由拒绝撤换主要施工管理人员的违约责任：</w:t>
      </w:r>
      <w:r>
        <w:rPr>
          <w:rFonts w:hint="eastAsia" w:ascii="宋体" w:hAnsi="宋体" w:eastAsia="宋体" w:cs="宋体"/>
          <w:color w:val="auto"/>
          <w:sz w:val="24"/>
          <w:szCs w:val="24"/>
          <w:highlight w:val="none"/>
          <w:u w:val="single"/>
        </w:rPr>
        <w:t xml:space="preserve">在任何情况下，如果发包人认为施工管理人员不能胜任工作，有权以书面通知，要求承包人更换施工管理人员；承包人应在收到发包人通知之日起的7天内，按照发包人要求，提出新的人选，报发包人批准后，即刻任命。</w:t>
      </w:r>
      <w:r>
        <w:rPr>
          <w:rFonts w:hint="eastAsia" w:ascii="宋体" w:hAnsi="宋体" w:eastAsia="宋体" w:cs="宋体"/>
          <w:b/>
          <w:color w:val="auto"/>
          <w:sz w:val="24"/>
          <w:szCs w:val="24"/>
          <w:highlight w:val="none"/>
          <w:u w:val="single"/>
        </w:rPr>
        <w:t xml:space="preserve">承包人拒绝更换的，承包人应承担叁万元∕人.次的违约金，</w:t>
      </w:r>
      <w:r>
        <w:rPr>
          <w:rFonts w:hint="eastAsia" w:ascii="宋体" w:hAnsi="宋体" w:eastAsia="宋体" w:cs="宋体"/>
          <w:color w:val="auto"/>
          <w:sz w:val="24"/>
          <w:szCs w:val="24"/>
          <w:highlight w:val="none"/>
          <w:u w:val="single"/>
        </w:rPr>
        <w:t xml:space="preserve">由此产生的一切损失及后果由承包人承担。</w:t>
      </w:r>
      <w:r/>
    </w:p>
    <w:p>
      <w:pPr>
        <w:ind w:left="0" w:firstLine="48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3.3.4 承包人主要施工管理人员离开施工现场的批准要求：</w:t>
      </w:r>
      <w:r>
        <w:rPr>
          <w:rFonts w:hint="eastAsia" w:ascii="宋体" w:hAnsi="宋体" w:eastAsia="宋体" w:cs="宋体"/>
          <w:color w:val="auto"/>
          <w:sz w:val="24"/>
          <w:szCs w:val="24"/>
          <w:highlight w:val="none"/>
          <w:u w:val="single"/>
        </w:rPr>
        <w:t xml:space="preserve">主要施工管理人员，必须严格遵循现行的有关法律、法规，切实履行自己的权利和义务。项目实施期间，应全程驻守，现场办公，离开施工现场应</w:t>
      </w:r>
      <w:r>
        <w:rPr>
          <w:rFonts w:hint="eastAsia" w:ascii="宋体" w:hAnsi="宋体" w:eastAsia="宋体" w:cs="宋体"/>
          <w:b/>
          <w:color w:val="auto"/>
          <w:sz w:val="24"/>
          <w:szCs w:val="24"/>
          <w:highlight w:val="none"/>
          <w:u w:val="single"/>
        </w:rPr>
        <w:t xml:space="preserve">由总监理工程师及发包人代表批准后方可离开</w:t>
      </w:r>
      <w:r>
        <w:rPr>
          <w:rFonts w:hint="eastAsia" w:ascii="宋体" w:hAnsi="宋体" w:eastAsia="宋体" w:cs="宋体"/>
          <w:color w:val="auto"/>
          <w:sz w:val="24"/>
          <w:szCs w:val="24"/>
          <w:highlight w:val="none"/>
          <w:u w:val="single"/>
        </w:rPr>
        <w:t xml:space="preserve">。 施工管理人员擅自离开施工现场，承包人承担5000元/人.天的违约金，承包人还应承担上述违约给发包人造成的损失。</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3.3.5承包人擅自更换主要施工管理人员的违约责任：</w:t>
      </w:r>
      <w:r>
        <w:rPr>
          <w:rFonts w:hint="eastAsia" w:ascii="宋体" w:hAnsi="宋体" w:eastAsia="宋体" w:cs="宋体"/>
          <w:color w:val="auto"/>
          <w:sz w:val="24"/>
          <w:szCs w:val="24"/>
          <w:highlight w:val="none"/>
          <w:u w:val="single"/>
        </w:rPr>
        <w:t xml:space="preserve">承包人的施工管理人员不能擅自更换，确须调整时，必须经发包人书面同意。擅自</w:t>
      </w:r>
      <w:r>
        <w:rPr>
          <w:rFonts w:hint="eastAsia" w:ascii="宋体" w:hAnsi="宋体" w:eastAsia="宋体" w:cs="宋体"/>
          <w:bCs/>
          <w:color w:val="auto"/>
          <w:sz w:val="24"/>
          <w:szCs w:val="24"/>
          <w:highlight w:val="none"/>
          <w:u w:val="single"/>
        </w:rPr>
        <w:t xml:space="preserve">撤换技术负责人、质量负责人、安全负责人等其他项目部主要成员，</w:t>
      </w:r>
      <w:r>
        <w:rPr>
          <w:rFonts w:hint="eastAsia" w:ascii="宋体" w:hAnsi="宋体" w:eastAsia="宋体" w:cs="宋体"/>
          <w:color w:val="auto"/>
          <w:sz w:val="24"/>
          <w:szCs w:val="24"/>
          <w:highlight w:val="none"/>
          <w:u w:val="single"/>
        </w:rPr>
        <w:t xml:space="preserve"> </w:t>
      </w:r>
      <w:r>
        <w:rPr>
          <w:rFonts w:hint="eastAsia" w:ascii="宋体" w:hAnsi="宋体" w:eastAsia="宋体" w:cs="宋体"/>
          <w:b/>
          <w:color w:val="auto"/>
          <w:sz w:val="24"/>
          <w:szCs w:val="24"/>
          <w:highlight w:val="none"/>
          <w:u w:val="single"/>
        </w:rPr>
        <w:t xml:space="preserve">承包人应承担壹拾万元∕次的违约金，</w:t>
      </w:r>
      <w:r>
        <w:rPr>
          <w:rFonts w:hint="eastAsia" w:ascii="宋体" w:hAnsi="宋体" w:eastAsia="宋体" w:cs="宋体"/>
          <w:color w:val="auto"/>
          <w:sz w:val="24"/>
          <w:szCs w:val="24"/>
          <w:highlight w:val="none"/>
          <w:u w:val="single"/>
        </w:rPr>
        <w:t xml:space="preserve">由此产生的一切损失及后果由承包人承担</w:t>
      </w:r>
      <w:r>
        <w:rPr>
          <w:rFonts w:hint="eastAsia" w:ascii="宋体" w:hAnsi="宋体" w:eastAsia="宋体" w:cs="宋体"/>
          <w:bCs/>
          <w:color w:val="auto"/>
          <w:sz w:val="24"/>
          <w:szCs w:val="24"/>
          <w:highlight w:val="none"/>
          <w:u w:val="single"/>
        </w:rPr>
        <w:t xml:space="preserve">。</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 分包</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3.5.1 分包的一般约定</w:t>
      </w:r>
      <w:r/>
    </w:p>
    <w:p>
      <w:pPr>
        <w:ind w:left="0" w:firstLine="48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禁止分包的工程包括：</w:t>
      </w:r>
      <w:r>
        <w:rPr>
          <w:rFonts w:hint="eastAsia" w:ascii="宋体" w:hAnsi="宋体" w:eastAsia="宋体" w:cs="宋体"/>
          <w:color w:val="auto"/>
          <w:sz w:val="24"/>
          <w:szCs w:val="24"/>
          <w:highlight w:val="none"/>
          <w:u w:val="single"/>
        </w:rPr>
        <w:t xml:space="preserve">本工程禁止</w:t>
      </w:r>
      <w:r>
        <w:rPr>
          <w:rFonts w:hint="eastAsia" w:ascii="宋体" w:hAnsi="宋体" w:eastAsia="宋体" w:cs="宋体"/>
          <w:color w:val="auto"/>
          <w:sz w:val="24"/>
          <w:szCs w:val="24"/>
          <w:highlight w:val="none"/>
          <w:u w:val="single"/>
          <w:lang w:val="en-US" w:eastAsia="zh-CN"/>
        </w:rPr>
        <w:t xml:space="preserve">转包及违法分包</w:t>
      </w:r>
      <w:r>
        <w:rPr>
          <w:rFonts w:hint="eastAsia" w:ascii="宋体" w:hAnsi="宋体" w:eastAsia="宋体" w:cs="宋体"/>
          <w:color w:val="auto"/>
          <w:sz w:val="24"/>
          <w:szCs w:val="24"/>
          <w:highlight w:val="none"/>
          <w:u w:val="single"/>
        </w:rPr>
        <w:t xml:space="preserve">。</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主体结构、关键性工作的范围：</w:t>
      </w:r>
      <w:r>
        <w:rPr>
          <w:rFonts w:hint="eastAsia" w:ascii="宋体" w:hAnsi="宋体" w:eastAsia="宋体" w:cs="宋体"/>
          <w:color w:val="auto"/>
          <w:sz w:val="24"/>
          <w:szCs w:val="24"/>
          <w:highlight w:val="none"/>
          <w:u w:val="single"/>
        </w:rPr>
        <w:t xml:space="preserve">执行国家相关法律、法规规定 </w:t>
      </w:r>
      <w:r>
        <w:rPr>
          <w:rFonts w:hint="eastAsia" w:ascii="宋体" w:hAnsi="宋体" w:eastAsia="宋体" w:cs="宋体"/>
          <w:color w:val="auto"/>
          <w:sz w:val="24"/>
          <w:szCs w:val="24"/>
          <w:highlight w:val="none"/>
        </w:rPr>
        <w:t xml:space="preserve">。</w:t>
      </w:r>
      <w:bookmarkStart w:id="22" w:name="_Toc296891201"/>
      <w:r/>
      <w:bookmarkStart w:id="23" w:name="_Toc296503161"/>
      <w:r/>
      <w:bookmarkStart w:id="24" w:name="_Toc296944500"/>
      <w:r/>
      <w:bookmarkStart w:id="25" w:name="_Toc296346662"/>
      <w:r/>
      <w:bookmarkStart w:id="26" w:name="_Toc296890989"/>
      <w:r/>
      <w:bookmarkStart w:id="27" w:name="_Toc303539104"/>
      <w:r/>
      <w:bookmarkStart w:id="28" w:name="_Toc296347160"/>
      <w:r/>
      <w:bookmarkStart w:id="29" w:name="_Toc297216153"/>
      <w:r/>
      <w:bookmarkStart w:id="30" w:name="_Toc297123494"/>
      <w:r/>
      <w:bookmarkStart w:id="31" w:name="_Toc297048347"/>
      <w:r/>
      <w:bookmarkStart w:id="32" w:name="_Toc300934947"/>
      <w:r/>
      <w:bookmarkStart w:id="33" w:name="_Toc304295525"/>
      <w:r/>
      <w:bookmarkStart w:id="34" w:name="_Toc297120461"/>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w:t>
      </w:r>
      <w:r>
        <w:rPr>
          <w:rStyle w:val="1048"/>
          <w:rFonts w:hint="eastAsia" w:ascii="宋体" w:hAnsi="宋体" w:eastAsia="宋体" w:cs="宋体"/>
          <w:color w:val="auto"/>
          <w:sz w:val="24"/>
          <w:szCs w:val="24"/>
          <w:highlight w:val="none"/>
        </w:rPr>
        <w:t xml:space="preserve">发现分包、转包，发包人有权单方面取消或终止合同</w:t>
      </w:r>
      <w:r>
        <w:rPr>
          <w:rStyle w:val="1048"/>
          <w:rFonts w:hint="eastAsia" w:ascii="宋体" w:hAnsi="宋体" w:cs="宋体"/>
          <w:i w:val="0"/>
          <w:iCs w:val="0"/>
          <w:color w:val="auto"/>
          <w:sz w:val="24"/>
          <w:szCs w:val="24"/>
          <w:highlight w:val="none"/>
          <w:lang w:val="en-US" w:eastAsia="zh-CN"/>
        </w:rPr>
        <w:t xml:space="preserve">并支付给发包人合同结算价20%违约金</w:t>
      </w:r>
      <w:r>
        <w:rPr>
          <w:rStyle w:val="1048"/>
          <w:rFonts w:hint="eastAsia" w:ascii="宋体" w:hAnsi="宋体" w:eastAsia="宋体" w:cs="宋体"/>
          <w:color w:val="auto"/>
          <w:sz w:val="24"/>
          <w:szCs w:val="24"/>
          <w:highlight w:val="none"/>
        </w:rPr>
        <w:t xml:space="preserve">，由此造成的一切损失均由承包人承担。</w:t>
      </w:r>
      <w:bookmarkEnd w:id="22"/>
      <w:r/>
      <w:bookmarkEnd w:id="23"/>
      <w:r/>
      <w:bookmarkEnd w:id="24"/>
      <w:r/>
      <w:bookmarkEnd w:id="25"/>
      <w:r/>
      <w:bookmarkEnd w:id="26"/>
      <w:r/>
      <w:bookmarkEnd w:id="27"/>
      <w:r/>
      <w:bookmarkEnd w:id="28"/>
      <w:r/>
      <w:bookmarkEnd w:id="29"/>
      <w:r/>
      <w:bookmarkEnd w:id="30"/>
      <w:r/>
      <w:bookmarkEnd w:id="31"/>
      <w:r/>
      <w:bookmarkEnd w:id="32"/>
      <w:r/>
      <w:bookmarkEnd w:id="33"/>
      <w:r/>
      <w:bookmarkEnd w:id="34"/>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3.5.2分包的确定</w:t>
      </w:r>
      <w:r/>
    </w:p>
    <w:p>
      <w:pPr>
        <w:ind w:left="0" w:firstLine="48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允许分包的专业工程包括：不允许分包。</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 工程照管与成品、半成品保护</w:t>
      </w:r>
      <w:r/>
    </w:p>
    <w:p>
      <w:pPr>
        <w:ind w:left="0" w:firstLine="48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承包人负责照管工程及工程相关的材料、工程设备的起始时间：</w:t>
      </w:r>
      <w:r>
        <w:rPr>
          <w:rFonts w:hint="eastAsia" w:ascii="宋体" w:hAnsi="宋体" w:eastAsia="宋体" w:cs="宋体"/>
          <w:color w:val="auto"/>
          <w:sz w:val="24"/>
          <w:szCs w:val="24"/>
          <w:highlight w:val="none"/>
          <w:u w:val="single"/>
        </w:rPr>
        <w:t xml:space="preserve">工程施工开始至竣工验收合格并办理完工程移交手续止 。设备、人员进场至工程移交/接收证书签发前由承包人负责照管，费用由承包人承担。承包人负责采取有效措施对已完成工程成品的保护，费用由承包人承担。保护期间发生的损坏承包人予以修理并承担因此产生的一切损失和费用。损坏其他单位所承担的施工内容，由承包人负责赔偿或修复，并承担因此产生的一切损失费用。承包人拒绝赔偿或修复的，发包人有权另行委托施工单位进行修复，所需费用从承包人工程款中直接扣除，承包人不得有任何异议。</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3.7 履约担保</w:t>
      </w:r>
      <w:r/>
    </w:p>
    <w:p>
      <w:pPr>
        <w:ind w:left="0"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承包人是否提供履约担保：</w:t>
      </w:r>
      <w:r>
        <w:rPr>
          <w:rFonts w:hint="eastAsia" w:ascii="宋体" w:hAnsi="宋体" w:eastAsia="宋体" w:cs="宋体"/>
          <w:color w:val="auto"/>
          <w:sz w:val="24"/>
          <w:szCs w:val="24"/>
          <w:highlight w:val="none"/>
          <w:u w:val="single"/>
        </w:rPr>
        <w:t xml:space="preserve">提供，签订合同前缴纳</w:t>
      </w:r>
      <w:r>
        <w:rPr>
          <w:rFonts w:hint="eastAsia" w:ascii="宋体" w:hAnsi="宋体" w:eastAsia="宋体" w:cs="宋体"/>
          <w:color w:val="auto"/>
          <w:sz w:val="24"/>
          <w:szCs w:val="24"/>
          <w:highlight w:val="none"/>
        </w:rPr>
        <w:t xml:space="preserve">。</w:t>
      </w:r>
      <w:r/>
    </w:p>
    <w:p>
      <w:pPr>
        <w:ind w:left="0"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履约保证金的形式：</w:t>
      </w:r>
      <w:r>
        <w:rPr>
          <w:rFonts w:hint="eastAsia" w:ascii="宋体" w:hAnsi="宋体" w:eastAsia="宋体" w:cs="宋体"/>
          <w:color w:val="auto"/>
          <w:sz w:val="24"/>
          <w:szCs w:val="24"/>
          <w:highlight w:val="none"/>
          <w:u w:val="single"/>
        </w:rPr>
        <w:t xml:space="preserve">以支票、汇票、本票或者金融机构、担保机构出具的保函等非现金形式提交</w:t>
      </w:r>
      <w:r>
        <w:rPr>
          <w:rFonts w:hint="eastAsia" w:ascii="宋体" w:hAnsi="宋体" w:eastAsia="宋体" w:cs="宋体"/>
          <w:color w:val="auto"/>
          <w:sz w:val="24"/>
          <w:szCs w:val="24"/>
          <w:highlight w:val="none"/>
        </w:rPr>
        <w:t xml:space="preserve">。 </w:t>
      </w:r>
      <w:r/>
    </w:p>
    <w:p>
      <w:pPr>
        <w:ind w:left="0"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履约保证金的金额：</w:t>
      </w:r>
      <w:r>
        <w:rPr>
          <w:rFonts w:hint="eastAsia" w:ascii="宋体" w:hAnsi="宋体" w:cs="宋体"/>
          <w:color w:val="auto"/>
          <w:sz w:val="24"/>
          <w:szCs w:val="24"/>
          <w:highlight w:val="none"/>
          <w:u w:val="single"/>
          <w:lang w:val="en-US" w:eastAsia="zh-CN"/>
        </w:rPr>
        <w:t xml:space="preserve">成交</w:t>
      </w:r>
      <w:r>
        <w:rPr>
          <w:rFonts w:hint="eastAsia" w:ascii="宋体" w:hAnsi="宋体" w:eastAsia="宋体" w:cs="宋体"/>
          <w:color w:val="auto"/>
          <w:sz w:val="24"/>
          <w:szCs w:val="24"/>
          <w:highlight w:val="none"/>
          <w:u w:val="single"/>
        </w:rPr>
        <w:t xml:space="preserve">金额的3%</w:t>
      </w:r>
      <w:r>
        <w:rPr>
          <w:rFonts w:hint="eastAsia" w:ascii="宋体" w:hAnsi="宋体" w:eastAsia="宋体" w:cs="宋体"/>
          <w:color w:val="auto"/>
          <w:sz w:val="24"/>
          <w:szCs w:val="24"/>
          <w:highlight w:val="none"/>
        </w:rPr>
        <w:t xml:space="preserve">。</w:t>
      </w:r>
      <w:r/>
    </w:p>
    <w:p>
      <w:pPr>
        <w:ind w:left="0"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履约保证金的返还：</w:t>
      </w:r>
      <w:r>
        <w:rPr>
          <w:rFonts w:hint="eastAsia" w:ascii="宋体" w:hAnsi="宋体" w:eastAsia="宋体" w:cs="宋体"/>
          <w:color w:val="auto"/>
          <w:sz w:val="24"/>
          <w:szCs w:val="24"/>
          <w:highlight w:val="none"/>
          <w:u w:val="single"/>
        </w:rPr>
        <w:t xml:space="preserve">待工程竣工验收合格且质保期满无质量问</w:t>
      </w:r>
      <w:r>
        <w:rPr>
          <w:rFonts w:hint="eastAsia" w:ascii="宋体" w:hAnsi="宋体" w:eastAsia="宋体" w:cs="宋体"/>
          <w:i w:val="0"/>
          <w:iCs w:val="0"/>
          <w:color w:val="auto"/>
          <w:sz w:val="24"/>
          <w:szCs w:val="24"/>
          <w:highlight w:val="none"/>
          <w:u w:val="single"/>
        </w:rPr>
        <w:t xml:space="preserve">题后</w:t>
      </w:r>
      <w:r>
        <w:rPr>
          <w:rFonts w:hint="eastAsia" w:ascii="宋体" w:hAnsi="宋体" w:cs="宋体"/>
          <w:i w:val="0"/>
          <w:iCs w:val="0"/>
          <w:color w:val="auto"/>
          <w:sz w:val="24"/>
          <w:szCs w:val="24"/>
          <w:highlight w:val="none"/>
          <w:u w:val="single"/>
          <w:lang w:val="en-US" w:eastAsia="zh-CN"/>
        </w:rPr>
        <w:t xml:space="preserve">30日历天内</w:t>
      </w:r>
      <w:r>
        <w:rPr>
          <w:rFonts w:hint="eastAsia" w:ascii="宋体" w:hAnsi="宋体" w:eastAsia="宋体" w:cs="宋体"/>
          <w:i w:val="0"/>
          <w:iCs w:val="0"/>
          <w:color w:val="auto"/>
          <w:sz w:val="24"/>
          <w:szCs w:val="24"/>
          <w:highlight w:val="none"/>
          <w:u w:val="single"/>
        </w:rPr>
        <w:t xml:space="preserve">无息退还</w:t>
      </w:r>
      <w:r>
        <w:rPr>
          <w:rFonts w:hint="eastAsia" w:ascii="宋体" w:hAnsi="宋体" w:eastAsia="宋体" w:cs="宋体"/>
          <w:color w:val="auto"/>
          <w:sz w:val="24"/>
          <w:szCs w:val="24"/>
          <w:highlight w:val="none"/>
          <w:u w:val="single"/>
        </w:rPr>
        <w:t xml:space="preserve">。如果承包</w:t>
      </w:r>
      <w:r>
        <w:rPr>
          <w:rFonts w:hint="eastAsia" w:ascii="宋体" w:hAnsi="宋体" w:cs="宋体"/>
          <w:color w:val="auto"/>
          <w:sz w:val="24"/>
          <w:szCs w:val="24"/>
          <w:highlight w:val="none"/>
          <w:u w:val="single"/>
          <w:lang w:eastAsia="zh-CN"/>
        </w:rPr>
        <w:t xml:space="preserve">人</w:t>
      </w:r>
      <w:r>
        <w:rPr>
          <w:rFonts w:hint="eastAsia" w:ascii="宋体" w:hAnsi="宋体" w:eastAsia="宋体" w:cs="宋体"/>
          <w:color w:val="auto"/>
          <w:sz w:val="24"/>
          <w:szCs w:val="24"/>
          <w:highlight w:val="none"/>
          <w:u w:val="single"/>
        </w:rPr>
        <w:t xml:space="preserve">不履行合同约定的义务，未能完全履行合同规定的义务或其履行不符合合同的约定，</w:t>
      </w:r>
      <w:r>
        <w:rPr>
          <w:rFonts w:hint="eastAsia" w:ascii="宋体" w:hAnsi="宋体" w:cs="宋体"/>
          <w:color w:val="auto"/>
          <w:sz w:val="24"/>
          <w:szCs w:val="24"/>
          <w:highlight w:val="none"/>
          <w:u w:val="single"/>
          <w:lang w:eastAsia="zh-CN"/>
        </w:rPr>
        <w:t xml:space="preserve">发包人</w:t>
      </w:r>
      <w:r>
        <w:rPr>
          <w:rFonts w:hint="eastAsia" w:ascii="宋体" w:hAnsi="宋体" w:eastAsia="宋体" w:cs="宋体"/>
          <w:color w:val="auto"/>
          <w:sz w:val="24"/>
          <w:szCs w:val="24"/>
          <w:highlight w:val="none"/>
          <w:u w:val="single"/>
        </w:rPr>
        <w:t xml:space="preserve">有权扣除履约保证金取得补偿。</w:t>
      </w:r>
      <w:r/>
    </w:p>
    <w:p>
      <w:pPr>
        <w:ind w:left="0" w:firstLine="480"/>
        <w:pageBreakBefore w:val="0"/>
        <w:spacing w:line="360" w:lineRule="auto"/>
        <w:widowControl w:val="off"/>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4. 监理人</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4.1监理人的一般规定</w:t>
      </w:r>
      <w:r/>
    </w:p>
    <w:p>
      <w:pPr>
        <w:ind w:left="0" w:firstLine="48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关于监理人的监理内容：</w:t>
      </w:r>
      <w:r>
        <w:rPr>
          <w:rFonts w:hint="eastAsia" w:ascii="宋体" w:hAnsi="宋体" w:eastAsia="宋体" w:cs="宋体"/>
          <w:color w:val="auto"/>
          <w:sz w:val="24"/>
          <w:szCs w:val="24"/>
          <w:highlight w:val="none"/>
          <w:u w:val="single"/>
        </w:rPr>
        <w:t xml:space="preserve">施工图设计范围内（含变更）工程施工的安全、质量、进度、文明施工、扬尘防治、成本控制；本项目分包、转包监督等。</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关于监理人的监理权限：</w:t>
      </w:r>
      <w:r>
        <w:rPr>
          <w:rFonts w:hint="eastAsia" w:ascii="宋体" w:hAnsi="宋体" w:eastAsia="宋体" w:cs="宋体"/>
          <w:color w:val="auto"/>
          <w:sz w:val="24"/>
          <w:szCs w:val="24"/>
          <w:highlight w:val="none"/>
          <w:u w:val="single"/>
        </w:rPr>
        <w:t xml:space="preserve">对工程建设实施全面监督和管理，但不得修改本施工合同、减轻或免除合同约定的承包人的任何责任与义务，任何增加工程造价的签证均需获得发包人同意。 </w:t>
      </w:r>
      <w:r>
        <w:rPr>
          <w:rFonts w:hint="eastAsia" w:ascii="宋体" w:hAnsi="宋体" w:eastAsia="宋体" w:cs="宋体"/>
          <w:color w:val="auto"/>
          <w:sz w:val="24"/>
          <w:szCs w:val="24"/>
          <w:highlight w:val="none"/>
        </w:rPr>
        <w:t xml:space="preserve"> </w:t>
      </w:r>
      <w:r/>
    </w:p>
    <w:p>
      <w:pPr>
        <w:ind w:left="0" w:firstLine="480"/>
        <w:pageBreakBefore w:val="0"/>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color w:val="auto"/>
          <w:sz w:val="24"/>
          <w:szCs w:val="24"/>
          <w:highlight w:val="none"/>
        </w:rPr>
        <w:t xml:space="preserve">关于监理人在施工现场的办公场所、生活场所的提供和费用承担的约</w:t>
      </w:r>
      <w:r>
        <w:rPr>
          <w:rFonts w:hint="eastAsia" w:ascii="宋体" w:hAnsi="宋体" w:eastAsia="宋体" w:cs="宋体"/>
          <w:i w:val="0"/>
          <w:iCs w:val="0"/>
          <w:color w:val="auto"/>
          <w:sz w:val="24"/>
          <w:szCs w:val="24"/>
          <w:highlight w:val="none"/>
        </w:rPr>
        <w:t xml:space="preserve">定：</w:t>
      </w:r>
      <w:r>
        <w:rPr>
          <w:rFonts w:hint="eastAsia" w:ascii="宋体" w:hAnsi="宋体" w:cs="宋体"/>
          <w:i w:val="0"/>
          <w:iCs w:val="0"/>
          <w:color w:val="auto"/>
          <w:sz w:val="24"/>
          <w:szCs w:val="24"/>
          <w:highlight w:val="none"/>
          <w:u w:val="single"/>
          <w:lang w:val="en-US" w:eastAsia="zh-CN"/>
        </w:rPr>
        <w:t xml:space="preserve">详见监理合同</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 xml:space="preserve">。</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（1）职责范围</w:t>
      </w:r>
      <w:r/>
    </w:p>
    <w:p>
      <w:pPr>
        <w:ind w:left="0" w:firstLine="48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施工全过程监理，包括“三控二管一协调以及安全管理”，即施工过程中的质量、进度、投资控制，合同、信息等方面的管理及安全文明生产管理 ；协调各方面与工程有关的关系；负责施工组织设计、单项施工技术方案的审核和图纸会审纪要的签发；负责主持分部分项工程验收及工程竣工预验收，定期的现场施工调度会；参加发包人主持的竣工验收工作；竣工后保修阶段的服务以及发包人赋予的其他有关权利。 </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（2）工程变更和签证授权</w:t>
      </w:r>
      <w:r/>
    </w:p>
    <w:p>
      <w:pPr>
        <w:ind w:left="0" w:firstLine="48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涉及设计变更和签证单的签字，监理人的总监工程师签字后应在24小时内送交委托人工地代表核准。其中，涉及到费用增加的签证单，监理人应在签字前通知委托人的工地代表，确认是否需要征得委托人同意，否则，因监理人签证所发生的增加费用，委托人将不予认可。</w:t>
      </w:r>
      <w:r/>
    </w:p>
    <w:p>
      <w:pPr>
        <w:ind w:left="0" w:firstLine="48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（3）监理人在征得委托人代表同意的前提下，有权要求承包人调换其人员。 </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 监理人员</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总监理工程师：</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    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职    务：</w:t>
      </w:r>
      <w:r>
        <w:rPr>
          <w:rFonts w:hint="eastAsia" w:ascii="宋体" w:hAnsi="宋体" w:eastAsia="宋体" w:cs="宋体"/>
          <w:color w:val="auto"/>
          <w:sz w:val="24"/>
          <w:szCs w:val="24"/>
          <w:highlight w:val="none"/>
          <w:u w:val="single"/>
        </w:rPr>
        <w:t xml:space="preserve">   总监理工程师       </w:t>
      </w:r>
      <w:r>
        <w:rPr>
          <w:rFonts w:hint="eastAsia" w:ascii="宋体" w:hAnsi="宋体" w:eastAsia="宋体" w:cs="宋体"/>
          <w:color w:val="auto"/>
          <w:sz w:val="24"/>
          <w:szCs w:val="24"/>
          <w:highlight w:val="none"/>
        </w:rPr>
        <w:t xml:space="preserve">；</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监理工程师执业资格证书号：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关于监理人的其他约定：</w:t>
      </w:r>
      <w:r>
        <w:rPr>
          <w:rFonts w:hint="eastAsia" w:ascii="宋体" w:hAnsi="宋体" w:eastAsia="宋体" w:cs="宋体"/>
          <w:color w:val="auto"/>
          <w:sz w:val="24"/>
          <w:szCs w:val="24"/>
          <w:highlight w:val="none"/>
          <w:u w:val="single"/>
        </w:rPr>
        <w:t xml:space="preserve">详见本工程监理合同</w:t>
      </w:r>
      <w:r>
        <w:rPr>
          <w:rFonts w:hint="eastAsia" w:ascii="宋体" w:hAnsi="宋体" w:eastAsia="宋体" w:cs="宋体"/>
          <w:color w:val="auto"/>
          <w:sz w:val="24"/>
          <w:szCs w:val="24"/>
          <w:highlight w:val="none"/>
        </w:rPr>
        <w:t xml:space="preserve">。</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4.3 商定或确定</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在发包人和承包人不能通过协商达成一致意见时，发包人授权监理人对以下事项进行确定：</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t xml:space="preserve">     无      </w:t>
      </w:r>
      <w:r>
        <w:rPr>
          <w:rFonts w:hint="eastAsia" w:ascii="宋体" w:hAnsi="宋体" w:eastAsia="宋体" w:cs="宋体"/>
          <w:color w:val="auto"/>
          <w:sz w:val="24"/>
          <w:szCs w:val="24"/>
          <w:highlight w:val="none"/>
        </w:rPr>
        <w:t xml:space="preserve">。</w:t>
      </w:r>
      <w:r/>
    </w:p>
    <w:p>
      <w:pPr>
        <w:pStyle w:val="984"/>
        <w:ind w:left="0" w:firstLine="480"/>
        <w:pageBreakBefore w:val="0"/>
        <w:spacing w:before="0" w:after="0"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5. 工程质量</w:t>
      </w:r>
      <w:r/>
    </w:p>
    <w:p>
      <w:pPr>
        <w:ind w:left="0" w:firstLine="480"/>
        <w:pageBreakBefore w:val="0"/>
        <w:spacing w:line="36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5.1 质量要求</w:t>
      </w:r>
      <w:r/>
    </w:p>
    <w:p>
      <w:pPr>
        <w:ind w:left="0" w:firstLine="48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5.1 特殊质量标准和要求：</w:t>
      </w:r>
      <w:r>
        <w:rPr>
          <w:rFonts w:hint="eastAsia" w:ascii="宋体" w:hAnsi="宋体" w:eastAsia="宋体" w:cs="宋体"/>
          <w:color w:val="auto"/>
          <w:sz w:val="24"/>
          <w:szCs w:val="24"/>
          <w:highlight w:val="none"/>
          <w:u w:val="single"/>
        </w:rPr>
        <w:t xml:space="preserve">执行《徐州市城市管理局施工现场履约考核办法》、《徐州市城市管理局城建重点工程质量抽检工作实施办法》（试行）。满足发包人及道路移交相关部门的要求。</w:t>
      </w:r>
      <w:r/>
    </w:p>
    <w:p>
      <w:pPr>
        <w:ind w:left="0" w:firstLine="480"/>
        <w:pageBreakBefore w:val="0"/>
        <w:spacing w:line="36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5.2 隐蔽工程检查</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承包人提前通知监理人隐蔽工程检查的期限的约定：</w:t>
      </w:r>
      <w:r/>
    </w:p>
    <w:p>
      <w:pPr>
        <w:ind w:left="0" w:firstLine="480"/>
        <w:pageBreakBefore w:val="0"/>
        <w:spacing w:line="360" w:lineRule="auto"/>
        <w:rPr>
          <w:rFonts w:hint="default" w:ascii="宋体" w:hAnsi="宋体" w:eastAsia="宋体" w:cs="宋体"/>
          <w:i/>
          <w:iCs/>
          <w:color w:val="auto"/>
          <w:sz w:val="24"/>
          <w:szCs w:val="24"/>
          <w:highlight w:val="none"/>
          <w:u w:val="single"/>
          <w:lang w:val="en-US" w:eastAsia="zh-CN"/>
        </w:rPr>
      </w:pPr>
      <w:r>
        <w:rPr>
          <w:rFonts w:hint="eastAsia" w:ascii="宋体" w:hAnsi="宋体" w:eastAsia="宋体" w:cs="宋体"/>
          <w:color w:val="auto"/>
          <w:sz w:val="24"/>
          <w:szCs w:val="24"/>
          <w:highlight w:val="none"/>
          <w:u w:val="single"/>
        </w:rPr>
        <w:t xml:space="preserve">隐蔽工程覆盖前的检查：未经监理工程师、发包人代表批准，工程的任何部位都不能覆盖，当任何部分的隐蔽工程或基础已经具备检验条件时，</w:t>
      </w:r>
      <w:r>
        <w:rPr>
          <w:rFonts w:hint="eastAsia" w:ascii="宋体" w:hAnsi="宋体" w:cs="宋体"/>
          <w:color w:val="auto"/>
          <w:sz w:val="24"/>
          <w:szCs w:val="24"/>
          <w:highlight w:val="none"/>
          <w:u w:val="single"/>
          <w:lang w:val="en-US" w:eastAsia="zh-CN"/>
        </w:rPr>
        <w:t xml:space="preserve">承包</w:t>
      </w:r>
      <w:r>
        <w:rPr>
          <w:rFonts w:hint="eastAsia" w:ascii="宋体" w:hAnsi="宋体" w:eastAsia="宋体" w:cs="宋体"/>
          <w:color w:val="auto"/>
          <w:sz w:val="24"/>
          <w:szCs w:val="24"/>
          <w:highlight w:val="none"/>
          <w:u w:val="single"/>
        </w:rPr>
        <w:t xml:space="preserve">人应及时通知监理工程师、</w:t>
      </w:r>
      <w:r>
        <w:rPr>
          <w:rFonts w:hint="eastAsia" w:ascii="宋体" w:hAnsi="宋体" w:cs="宋体"/>
          <w:strike w:val="0"/>
          <w:color w:val="auto"/>
          <w:sz w:val="24"/>
          <w:szCs w:val="24"/>
          <w:highlight w:val="none"/>
          <w:u w:val="single"/>
          <w:lang w:val="en-US" w:eastAsia="zh-CN"/>
        </w:rPr>
        <w:t xml:space="preserve">发包人</w:t>
      </w:r>
      <w:r>
        <w:rPr>
          <w:rFonts w:hint="eastAsia" w:ascii="宋体" w:hAnsi="宋体" w:eastAsia="宋体" w:cs="宋体"/>
          <w:strike w:val="0"/>
          <w:color w:val="auto"/>
          <w:sz w:val="24"/>
          <w:szCs w:val="24"/>
          <w:highlight w:val="none"/>
          <w:u w:val="single"/>
        </w:rPr>
        <w:t xml:space="preserve">代表</w:t>
      </w:r>
      <w:r>
        <w:rPr>
          <w:rFonts w:hint="eastAsia" w:ascii="宋体" w:hAnsi="宋体" w:cs="宋体"/>
          <w:strike w:val="0"/>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监理工程师、发包人代表在接到承包人通知24小时后没有批复，承包人可以覆盖这部分工程或基础。 </w:t>
      </w:r>
      <w:r>
        <w:rPr>
          <w:rFonts w:hint="eastAsia" w:ascii="宋体" w:hAnsi="宋体" w:cs="宋体"/>
          <w:i w:val="0"/>
          <w:iCs w:val="0"/>
          <w:color w:val="auto"/>
          <w:sz w:val="24"/>
          <w:szCs w:val="24"/>
          <w:highlight w:val="none"/>
          <w:u w:val="single"/>
          <w:lang w:val="en-US" w:eastAsia="zh-CN"/>
        </w:rPr>
        <w:t xml:space="preserve">如隐蔽工程竣工验收资料不全、缺失、不规范，或不能反映出已按照合同、图纸约定的内容完成的，发包人有权要求承包人返工。</w:t>
      </w:r>
      <w:r/>
    </w:p>
    <w:p>
      <w:pPr>
        <w:ind w:left="0" w:firstLine="48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剥露和开口：承包人应按监理工程师、发包人代表随时发出的指示，对工程的任何部分剥露或开口，并负责这部分工程恢复原样，若这部分工程已按17.2条的要求覆盖，而剥露后查明其施工质量符合合同约定，则监理工程师、发包人代表应在与承包人协商后，确定承包人在剥露或开口的恢复和修复等方面的费用，并将其数额追加到合同价格上，所影响的工期相应顺延。若属承包人责任发生的费用及影响的工期由承包人承担。</w:t>
      </w:r>
      <w:r/>
    </w:p>
    <w:p>
      <w:pPr>
        <w:ind w:left="0" w:firstLine="48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承包人未按上述要求施工的，承包人应向发包人支付合同金额的20%的违约金，发包人有权解除合同。所造成的一切责任和损失由承包人负责。</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监理人不能按时进行检查时，应提前</w:t>
      </w:r>
      <w:r>
        <w:rPr>
          <w:rFonts w:hint="eastAsia" w:ascii="宋体" w:hAnsi="宋体" w:eastAsia="宋体" w:cs="宋体"/>
          <w:color w:val="auto"/>
          <w:sz w:val="24"/>
          <w:szCs w:val="24"/>
          <w:highlight w:val="none"/>
          <w:u w:val="single"/>
        </w:rPr>
        <w:t xml:space="preserve">  8  </w:t>
      </w:r>
      <w:r>
        <w:rPr>
          <w:rFonts w:hint="eastAsia" w:ascii="宋体" w:hAnsi="宋体" w:eastAsia="宋体" w:cs="宋体"/>
          <w:color w:val="auto"/>
          <w:sz w:val="24"/>
          <w:szCs w:val="24"/>
          <w:highlight w:val="none"/>
        </w:rPr>
        <w:t xml:space="preserve">小时提交书面延期要求。关于延期最长不得超过：</w:t>
      </w:r>
      <w:r>
        <w:rPr>
          <w:rFonts w:hint="eastAsia" w:ascii="宋体" w:hAnsi="宋体" w:eastAsia="宋体" w:cs="宋体"/>
          <w:color w:val="auto"/>
          <w:sz w:val="24"/>
          <w:szCs w:val="24"/>
          <w:highlight w:val="none"/>
          <w:u w:val="single"/>
        </w:rPr>
        <w:t xml:space="preserve">  24  </w:t>
      </w:r>
      <w:r>
        <w:rPr>
          <w:rFonts w:hint="eastAsia" w:ascii="宋体" w:hAnsi="宋体" w:eastAsia="宋体" w:cs="宋体"/>
          <w:color w:val="auto"/>
          <w:sz w:val="24"/>
          <w:szCs w:val="24"/>
          <w:highlight w:val="none"/>
        </w:rPr>
        <w:t xml:space="preserve">小时。</w:t>
      </w:r>
      <w:r/>
    </w:p>
    <w:p>
      <w:pPr>
        <w:pStyle w:val="984"/>
        <w:ind w:left="0" w:firstLine="480"/>
        <w:pageBreakBefore w:val="0"/>
        <w:spacing w:before="0" w:after="0"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6. 安全文明施工与环境保护</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6.1安全文明施工</w:t>
      </w:r>
      <w:r/>
    </w:p>
    <w:p>
      <w:pPr>
        <w:ind w:left="0" w:firstLine="48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6.1.1 项目安全生产的达标目标及相应事项的约定：</w:t>
      </w:r>
      <w:r>
        <w:rPr>
          <w:rFonts w:hint="eastAsia" w:ascii="宋体" w:hAnsi="宋体" w:eastAsia="宋体" w:cs="宋体"/>
          <w:color w:val="auto"/>
          <w:sz w:val="24"/>
          <w:szCs w:val="24"/>
          <w:highlight w:val="none"/>
          <w:u w:val="single"/>
        </w:rPr>
        <w:t xml:space="preserve"> </w:t>
      </w:r>
      <w:r/>
    </w:p>
    <w:p>
      <w:pPr>
        <w:ind w:left="0" w:firstLine="48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 1 \* GB3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 xml:space="preserve">①</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 xml:space="preserve">达标目标为徐州市安全文明工地及相关规范标准。其安全文明施工费用已经含在</w:t>
      </w:r>
      <w:r>
        <w:rPr>
          <w:rFonts w:hint="eastAsia" w:ascii="宋体" w:hAnsi="宋体" w:cs="宋体"/>
          <w:color w:val="auto"/>
          <w:sz w:val="24"/>
          <w:szCs w:val="24"/>
          <w:highlight w:val="none"/>
          <w:u w:val="single"/>
          <w:lang w:eastAsia="zh-CN"/>
        </w:rPr>
        <w:t xml:space="preserve">响应报价</w:t>
      </w:r>
      <w:r>
        <w:rPr>
          <w:rFonts w:hint="eastAsia" w:ascii="宋体" w:hAnsi="宋体" w:eastAsia="宋体" w:cs="宋体"/>
          <w:color w:val="auto"/>
          <w:sz w:val="24"/>
          <w:szCs w:val="24"/>
          <w:highlight w:val="none"/>
          <w:u w:val="single"/>
        </w:rPr>
        <w:t xml:space="preserve">内。</w:t>
      </w:r>
      <w:r/>
    </w:p>
    <w:p>
      <w:pPr>
        <w:ind w:left="0" w:firstLine="48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②在本合同实施过程中，承包人应对现场施工人员及现场其他第三人的安全、现场施工秩序、工程保护、环境保护、消防、用电安全等负责，并就工地照明、防护标志和警示信号设置、门卫人员配置等作出具体安排，充分考虑施工的特殊性，确保安全生产无事故，如因承包</w:t>
      </w:r>
      <w:r>
        <w:rPr>
          <w:rFonts w:hint="eastAsia" w:ascii="宋体" w:hAnsi="宋体" w:cs="宋体"/>
          <w:color w:val="auto"/>
          <w:sz w:val="24"/>
          <w:szCs w:val="24"/>
          <w:highlight w:val="none"/>
          <w:u w:val="single"/>
          <w:lang w:eastAsia="zh-CN"/>
        </w:rPr>
        <w:t xml:space="preserve">人</w:t>
      </w:r>
      <w:r>
        <w:rPr>
          <w:rFonts w:hint="eastAsia" w:ascii="宋体" w:hAnsi="宋体" w:eastAsia="宋体" w:cs="宋体"/>
          <w:color w:val="auto"/>
          <w:sz w:val="24"/>
          <w:szCs w:val="24"/>
          <w:highlight w:val="none"/>
          <w:u w:val="single"/>
        </w:rPr>
        <w:t xml:space="preserve">安全文明施工措施不到位对第三方造成损害，全部影响由承包</w:t>
      </w:r>
      <w:r>
        <w:rPr>
          <w:rFonts w:hint="eastAsia" w:ascii="宋体" w:hAnsi="宋体" w:cs="宋体"/>
          <w:color w:val="auto"/>
          <w:sz w:val="24"/>
          <w:szCs w:val="24"/>
          <w:highlight w:val="none"/>
          <w:u w:val="single"/>
          <w:lang w:eastAsia="zh-CN"/>
        </w:rPr>
        <w:t xml:space="preserve">人</w:t>
      </w:r>
      <w:r>
        <w:rPr>
          <w:rFonts w:hint="eastAsia" w:ascii="宋体" w:hAnsi="宋体" w:eastAsia="宋体" w:cs="宋体"/>
          <w:color w:val="auto"/>
          <w:sz w:val="24"/>
          <w:szCs w:val="24"/>
          <w:highlight w:val="none"/>
          <w:u w:val="single"/>
        </w:rPr>
        <w:t xml:space="preserve">承担，并赔偿发包人相应损失。③施工过程中的排污、环卫、市容、城建、城管、治安、人口管理等相关手续由承包人按规定负责办理，对临近居民和行人的影响由承包人负责处理并承担相应费用。④承包人负责采取有效措施对已完成工程成品的保护，费用由承包人承担。保护期间发生的损坏承包人自费予以修理。损坏其他单位所承担的施工内容，由承包人负责赔偿，并承担修复费用。⑤承包人按规定做好施工场地周围地下管线和邻近建筑物的保护。⑥其安全文明施工费已经含在合同价款（即</w:t>
      </w:r>
      <w:r>
        <w:rPr>
          <w:rFonts w:hint="eastAsia" w:ascii="宋体" w:hAnsi="宋体" w:cs="宋体"/>
          <w:color w:val="auto"/>
          <w:sz w:val="24"/>
          <w:szCs w:val="24"/>
          <w:highlight w:val="none"/>
          <w:u w:val="single"/>
          <w:lang w:val="en-US" w:eastAsia="zh-CN"/>
        </w:rPr>
        <w:t xml:space="preserve">成交</w:t>
      </w:r>
      <w:r>
        <w:rPr>
          <w:rFonts w:hint="eastAsia" w:ascii="宋体" w:hAnsi="宋体" w:eastAsia="宋体" w:cs="宋体"/>
          <w:color w:val="auto"/>
          <w:sz w:val="24"/>
          <w:szCs w:val="24"/>
          <w:highlight w:val="none"/>
          <w:u w:val="single"/>
        </w:rPr>
        <w:t xml:space="preserve">价）内。</w:t>
      </w:r>
      <w:r/>
    </w:p>
    <w:p>
      <w:pPr>
        <w:ind w:left="0" w:firstLine="48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承包人须按规范要求做好扬尘污染防治措施，相关费用均包含在</w:t>
      </w:r>
      <w:r>
        <w:rPr>
          <w:rFonts w:hint="eastAsia" w:ascii="宋体" w:hAnsi="宋体" w:cs="宋体"/>
          <w:color w:val="auto"/>
          <w:sz w:val="24"/>
          <w:szCs w:val="24"/>
          <w:highlight w:val="none"/>
          <w:u w:val="single"/>
          <w:lang w:eastAsia="zh-CN"/>
        </w:rPr>
        <w:t xml:space="preserve">响应报价</w:t>
      </w:r>
      <w:r>
        <w:rPr>
          <w:rFonts w:hint="eastAsia" w:ascii="宋体" w:hAnsi="宋体" w:eastAsia="宋体" w:cs="宋体"/>
          <w:color w:val="auto"/>
          <w:sz w:val="24"/>
          <w:szCs w:val="24"/>
          <w:highlight w:val="none"/>
          <w:u w:val="single"/>
        </w:rPr>
        <w:t xml:space="preserve">内。未编制噪音污染、施工扬尘污染防治方案，未落实防治措施的，应向发包人支付合同价款20%的违约金；</w:t>
      </w:r>
      <w:r/>
    </w:p>
    <w:p>
      <w:pPr>
        <w:ind w:left="0" w:firstLine="480"/>
        <w:pageBreakBefore w:val="0"/>
        <w:spacing w:line="360" w:lineRule="auto"/>
        <w:rPr>
          <w:rFonts w:hint="default" w:ascii="宋体" w:hAnsi="宋体" w:eastAsia="宋体" w:cs="宋体"/>
          <w:bCs/>
          <w:i w:val="0"/>
          <w:iCs w:val="0"/>
          <w:color w:val="auto"/>
          <w:sz w:val="24"/>
          <w:szCs w:val="24"/>
          <w:highlight w:val="none"/>
          <w:u w:val="single"/>
          <w:lang w:val="en-US" w:eastAsia="zh-CN"/>
        </w:rPr>
      </w:pPr>
      <w:r>
        <w:rPr>
          <w:rFonts w:hint="eastAsia" w:ascii="宋体" w:hAnsi="宋体" w:eastAsia="宋体" w:cs="宋体"/>
          <w:bCs/>
          <w:i w:val="0"/>
          <w:iCs w:val="0"/>
          <w:color w:val="auto"/>
          <w:sz w:val="24"/>
          <w:szCs w:val="24"/>
          <w:highlight w:val="none"/>
          <w:u w:val="single"/>
        </w:rPr>
        <w:t xml:space="preserve">开工</w:t>
      </w:r>
      <w:r>
        <w:rPr>
          <w:rFonts w:hint="eastAsia" w:ascii="宋体" w:hAnsi="宋体" w:cs="宋体"/>
          <w:bCs/>
          <w:i w:val="0"/>
          <w:iCs w:val="0"/>
          <w:color w:val="auto"/>
          <w:sz w:val="24"/>
          <w:szCs w:val="24"/>
          <w:highlight w:val="none"/>
          <w:u w:val="single"/>
          <w:lang w:val="en-US" w:eastAsia="zh-CN"/>
        </w:rPr>
        <w:t xml:space="preserve">前应</w:t>
      </w:r>
      <w:r>
        <w:rPr>
          <w:rFonts w:hint="eastAsia" w:ascii="宋体" w:hAnsi="宋体" w:eastAsia="宋体" w:cs="宋体"/>
          <w:bCs/>
          <w:i w:val="0"/>
          <w:iCs w:val="0"/>
          <w:color w:val="auto"/>
          <w:sz w:val="24"/>
          <w:szCs w:val="24"/>
          <w:highlight w:val="none"/>
          <w:u w:val="single"/>
        </w:rPr>
        <w:t xml:space="preserve">提交安全技术措施或专项施工方案、安全生产责任制度、治安保卫制度及安全生产教育培训制度</w:t>
      </w:r>
      <w:r>
        <w:rPr>
          <w:rFonts w:hint="eastAsia" w:ascii="宋体" w:hAnsi="宋体" w:cs="宋体"/>
          <w:bCs/>
          <w:i w:val="0"/>
          <w:iCs w:val="0"/>
          <w:color w:val="auto"/>
          <w:sz w:val="24"/>
          <w:szCs w:val="24"/>
          <w:highlight w:val="none"/>
          <w:u w:val="single"/>
          <w:lang w:eastAsia="zh-CN"/>
        </w:rPr>
        <w:t xml:space="preserve">。</w:t>
      </w:r>
      <w:r>
        <w:rPr>
          <w:rFonts w:hint="eastAsia" w:ascii="宋体" w:hAnsi="宋体" w:cs="宋体"/>
          <w:bCs/>
          <w:i w:val="0"/>
          <w:iCs w:val="0"/>
          <w:color w:val="auto"/>
          <w:sz w:val="24"/>
          <w:szCs w:val="24"/>
          <w:highlight w:val="none"/>
          <w:u w:val="single"/>
          <w:lang w:val="en-US" w:eastAsia="zh-CN"/>
        </w:rPr>
        <w:t xml:space="preserve">未按时提交，由此造成工期延误的，参照本合同工期延误条款执行。</w:t>
      </w:r>
      <w:r>
        <w:rPr>
          <w:rFonts w:hint="default" w:ascii="宋体" w:hAnsi="宋体" w:eastAsia="宋体" w:cs="宋体"/>
          <w:bCs/>
          <w:color w:val="auto"/>
          <w:sz w:val="24"/>
          <w:szCs w:val="24"/>
          <w:highlight w:val="none"/>
          <w:u w:val="single"/>
          <w:lang w:val="en-US" w:eastAsia="zh-CN"/>
        </w:rPr>
        <w:t xml:space="preserve">承包人未制定安全技术措施或专项施工方案、安全生产责任制度、治安保卫制度及安全生产教育培训制度中任意一项的，支付5万元违约金；内容弄虚作假或与项目严重不符的，支付2万元违约金。</w:t>
      </w:r>
      <w:r/>
    </w:p>
    <w:p>
      <w:pPr>
        <w:ind w:left="0" w:firstLine="480"/>
        <w:pageBreakBefore w:val="0"/>
        <w:spacing w:line="360" w:lineRule="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u w:val="single"/>
        </w:rPr>
        <w:t xml:space="preserve">在施工和维修整个工程期间，承包人应于工程地点明显位置，日间设置具有警示作用的装置，夜间设置照明装置，在施工现场出入口设置监控装置，或加防护设施，费用由承包人承担；对于工地附近公私建筑、路面、沟渠、街道上下的水电及通讯管线、私有林木植物及人民生命财产者的安全均应采取防范措施。</w:t>
      </w:r>
      <w:r/>
    </w:p>
    <w:p>
      <w:pPr>
        <w:ind w:left="0" w:firstLine="480"/>
        <w:pageBreakBefore w:val="0"/>
        <w:spacing w:line="360" w:lineRule="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u w:val="single"/>
        </w:rPr>
        <w:t xml:space="preserve">承包人应服从发包人、监理对施工现场安全施工方面的监管。如发包人或监理发现承包人工作中的安全措施/设施不符合国家、地方、行业及本合同的有关规定，承包人应向发包人承担合同金额的1%/次的违约金，并在发包人要求期限内整改，发包人有权上报主管部门。</w:t>
      </w:r>
      <w:r/>
    </w:p>
    <w:p>
      <w:pPr>
        <w:ind w:left="0" w:firstLine="480"/>
        <w:pageBreakBefore w:val="0"/>
        <w:spacing w:line="360" w:lineRule="auto"/>
        <w:rPr>
          <w:rFonts w:hint="default" w:ascii="宋体" w:hAnsi="宋体" w:eastAsia="宋体" w:cs="宋体"/>
          <w:bCs/>
          <w:color w:val="auto"/>
          <w:sz w:val="24"/>
          <w:szCs w:val="24"/>
          <w:highlight w:val="none"/>
          <w:u w:val="single"/>
          <w:lang w:val="en-US" w:eastAsia="zh-CN"/>
        </w:rPr>
      </w:pPr>
      <w:r>
        <w:rPr>
          <w:rFonts w:hint="default" w:ascii="宋体" w:hAnsi="宋体" w:eastAsia="宋体" w:cs="宋体"/>
          <w:bCs/>
          <w:color w:val="auto"/>
          <w:sz w:val="24"/>
          <w:szCs w:val="24"/>
          <w:highlight w:val="none"/>
          <w:u w:val="single"/>
          <w:lang w:val="en-US" w:eastAsia="zh-CN"/>
        </w:rPr>
        <w:t xml:space="preserve">承包人违反安全生产管理制度的，给予2万元违约金。</w:t>
      </w:r>
      <w:r/>
    </w:p>
    <w:p>
      <w:pPr>
        <w:ind w:left="0" w:firstLine="480"/>
        <w:pageBreakBefore w:val="0"/>
        <w:spacing w:line="360" w:lineRule="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u w:val="single"/>
          <w:lang w:val="en-US" w:eastAsia="zh-CN"/>
        </w:rPr>
        <w:t xml:space="preserve">承包人在施工过程中发生安全事故的，除向发包人支付合同总价款10%的违约金外，造成损失的赔偿损失，并依法承担相应法律责任；发包人有权单方面取消或终止合同。</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6.1.2 关于治安保卫的特别约定：</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 xml:space="preserve">。</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关于编制施工场地治安管理计划的约定：</w:t>
      </w:r>
      <w:r>
        <w:rPr>
          <w:rFonts w:hint="eastAsia" w:ascii="宋体" w:hAnsi="宋体" w:eastAsia="宋体" w:cs="宋体"/>
          <w:color w:val="auto"/>
          <w:sz w:val="24"/>
          <w:szCs w:val="24"/>
          <w:highlight w:val="none"/>
          <w:u w:val="single"/>
        </w:rPr>
        <w:t xml:space="preserve">开工通知载明的开工日期7天前提交施工场地治安管理计划</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6.1.3 文明施工</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合同当事人对文明施工的要求：</w:t>
      </w:r>
      <w:r>
        <w:rPr>
          <w:rFonts w:hint="eastAsia" w:ascii="宋体" w:hAnsi="宋体" w:eastAsia="宋体" w:cs="宋体"/>
          <w:color w:val="auto"/>
          <w:sz w:val="24"/>
          <w:szCs w:val="24"/>
          <w:highlight w:val="none"/>
          <w:u w:val="single"/>
        </w:rPr>
        <w:t xml:space="preserve"> 符合徐州市有关部门规定的标准化施工现场要求，同时应满足市政、市容等相关主管部门的有关规定。承包人按当地有关主管部门的规定办理相关手续，并承担相应费用，同时以书面形式通知发包人，承担施工过程中因自身原因造成的违约金。</w:t>
      </w:r>
      <w:r/>
    </w:p>
    <w:p>
      <w:pPr>
        <w:ind w:firstLine="420"/>
        <w:pageBreakBefore w:val="0"/>
        <w:spacing w:line="500" w:lineRule="exact"/>
        <w:rPr>
          <w:rFonts w:hint="eastAsia" w:ascii="宋体" w:hAnsi="宋体" w:eastAsia="宋体" w:cs="宋体"/>
          <w:b/>
          <w:bCs/>
          <w:color w:val="auto"/>
          <w:sz w:val="24"/>
          <w:szCs w:val="24"/>
          <w:highlight w:val="none"/>
          <w:u w:val="single"/>
        </w:rPr>
      </w:pPr>
      <w:r>
        <w:rPr>
          <w:rFonts w:hint="eastAsia" w:ascii="宋体" w:hAnsi="宋体" w:eastAsia="宋体" w:cs="宋体"/>
          <w:color w:val="auto"/>
          <w:sz w:val="24"/>
          <w:szCs w:val="24"/>
          <w:highlight w:val="none"/>
          <w:u w:val="single"/>
        </w:rPr>
        <w:t xml:space="preserve">按照《中华人民共和国大气污染防治法》《中华人民共和国噪声污染防治法》《中华人民共和国固体废物污染环境防治法》等法律法规的要求，制定并落实扬尘、噪声、固体废物等污染防治措施；</w:t>
      </w:r>
      <w:r>
        <w:rPr>
          <w:rFonts w:hint="eastAsia" w:ascii="宋体" w:hAnsi="宋体" w:cs="宋体"/>
          <w:color w:val="auto"/>
          <w:sz w:val="24"/>
          <w:szCs w:val="24"/>
          <w:highlight w:val="none"/>
          <w:u w:val="single"/>
          <w:lang w:val="en-US" w:eastAsia="zh-CN"/>
        </w:rPr>
        <w:t xml:space="preserve">按照《徐州市扬尘污染防治条例》和《徐州市市区扬尘污染防治办法》的要求，</w:t>
      </w:r>
      <w:r>
        <w:rPr>
          <w:rFonts w:hint="eastAsia" w:ascii="宋体" w:hAnsi="宋体" w:eastAsia="宋体" w:cs="宋体"/>
          <w:color w:val="auto"/>
          <w:sz w:val="24"/>
          <w:szCs w:val="24"/>
          <w:highlight w:val="none"/>
          <w:u w:val="single"/>
        </w:rPr>
        <w:t xml:space="preserve">开工前15日向项目所在地生态环境、城市管理等部门进行排污申报；道路施工工地一律实行封闭施工、施工便道硬化、防尘网覆盖、定时洒水等控制扬尘污染措施；扬尘污染防治设施应当保持完好、正常运行，不得擅自拆除和闲置；确需拆除和闲置的，应当报经环境保护行政主管部门批准；拆除、开挖后的建筑垃圾必须当日清除，并且覆盖运输，如因建筑垃圾未及时清理或运输不当，造成工地周边扬尘、噪声污染等及其他给发包人带来不利影响或出现群众投诉举报造成不良后果的，</w:t>
      </w:r>
      <w:r>
        <w:rPr>
          <w:rFonts w:hint="eastAsia" w:ascii="宋体" w:hAnsi="宋体" w:eastAsia="宋体" w:cs="宋体"/>
          <w:b/>
          <w:bCs/>
          <w:color w:val="auto"/>
          <w:sz w:val="24"/>
          <w:szCs w:val="24"/>
          <w:highlight w:val="none"/>
          <w:u w:val="single"/>
        </w:rPr>
        <w:t xml:space="preserve">每查实一次向发包人支付20000元违约金；造成损失的，由承包人承担。</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本工程位于市区，承包人必须充分考虑工程施工涉及的地方关系、交通协调等情况，及时与交通、公安部门协调，采取足够的交通疏导措施，保持施工期间交通通行，不得全封闭交通，并按要求设置围挡和安全标识；制定运输计划时，应充分考虑现有道路承运能力，避开高峰时段；施工机械设备不得停放在通行道路上。</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本工程要求在施工现场出、入口位置安装在线视频监控，包括视频设备的安装、调试、维护、平台租用及购买费用由承包人自理，包含在合同价中。</w:t>
      </w:r>
      <w:r>
        <w:rPr>
          <w:rFonts w:hint="eastAsia" w:ascii="宋体" w:hAnsi="宋体" w:eastAsia="宋体" w:cs="宋体"/>
          <w:b/>
          <w:color w:val="auto"/>
          <w:sz w:val="24"/>
          <w:szCs w:val="24"/>
          <w:highlight w:val="none"/>
          <w:u w:val="single"/>
        </w:rPr>
        <w:t xml:space="preserve">现场施工及管理人员均需挂牌进场，否则，发包人有权对承包人处以 50元∕人·次的违约金。</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承包人不得以现场增加投入、赶工等借口拖延工期或申请追加合同金额，否则视为违约。</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交工后一周内彻底清洁完毕撤离现场。</w:t>
      </w:r>
      <w:r/>
    </w:p>
    <w:p>
      <w:pPr>
        <w:ind w:firstLine="422"/>
        <w:pageBreakBefore w:val="0"/>
        <w:spacing w:line="500" w:lineRule="exact"/>
        <w:rPr>
          <w:rFonts w:hint="eastAsia" w:ascii="宋体" w:hAnsi="宋体" w:eastAsia="宋体" w:cs="宋体"/>
          <w:b/>
          <w:color w:val="auto"/>
          <w:sz w:val="24"/>
          <w:szCs w:val="24"/>
          <w:highlight w:val="none"/>
          <w:u w:val="single"/>
        </w:rPr>
      </w:pPr>
      <w:r>
        <w:rPr>
          <w:rFonts w:hint="eastAsia" w:ascii="宋体" w:hAnsi="宋体" w:eastAsia="宋体" w:cs="宋体"/>
          <w:b/>
          <w:bCs w:val="0"/>
          <w:color w:val="auto"/>
          <w:sz w:val="24"/>
          <w:szCs w:val="24"/>
          <w:highlight w:val="none"/>
          <w:u w:val="single"/>
        </w:rPr>
        <w:t xml:space="preserve">因扬尘治理、噪声污染防治等环境保护措施未落实或者未达标准，</w:t>
      </w:r>
      <w:r>
        <w:rPr>
          <w:rFonts w:hint="eastAsia" w:ascii="宋体" w:hAnsi="宋体" w:eastAsia="宋体" w:cs="宋体"/>
          <w:b/>
          <w:bCs w:val="0"/>
          <w:color w:val="auto"/>
          <w:sz w:val="24"/>
          <w:szCs w:val="24"/>
          <w:highlight w:val="none"/>
          <w:u w:val="single"/>
          <w:lang w:eastAsia="zh-CN"/>
        </w:rPr>
        <w:t xml:space="preserve">每查实一次，</w:t>
      </w:r>
      <w:r>
        <w:rPr>
          <w:rFonts w:hint="eastAsia" w:ascii="宋体" w:hAnsi="宋体" w:cs="宋体"/>
          <w:b/>
          <w:bCs w:val="0"/>
          <w:color w:val="auto"/>
          <w:sz w:val="24"/>
          <w:szCs w:val="24"/>
          <w:highlight w:val="none"/>
          <w:u w:val="single"/>
          <w:lang w:val="en-US" w:eastAsia="zh-CN"/>
        </w:rPr>
        <w:t xml:space="preserve">承包人</w:t>
      </w:r>
      <w:r>
        <w:rPr>
          <w:rFonts w:hint="eastAsia" w:ascii="宋体" w:hAnsi="宋体" w:eastAsia="宋体" w:cs="宋体"/>
          <w:b/>
          <w:bCs w:val="0"/>
          <w:color w:val="auto"/>
          <w:sz w:val="24"/>
          <w:szCs w:val="24"/>
          <w:highlight w:val="none"/>
          <w:u w:val="single"/>
        </w:rPr>
        <w:t xml:space="preserve">向发包人支付合同金额</w:t>
      </w:r>
      <w:r>
        <w:rPr>
          <w:rFonts w:hint="eastAsia" w:ascii="宋体" w:hAnsi="宋体" w:eastAsia="宋体" w:cs="宋体"/>
          <w:b/>
          <w:bCs w:val="0"/>
          <w:color w:val="auto"/>
          <w:sz w:val="24"/>
          <w:szCs w:val="24"/>
          <w:highlight w:val="none"/>
          <w:u w:val="single"/>
          <w:lang w:val="en-US" w:eastAsia="zh-CN"/>
        </w:rPr>
        <w:t xml:space="preserve">2</w:t>
      </w:r>
      <w:r>
        <w:rPr>
          <w:rFonts w:hint="eastAsia" w:ascii="宋体" w:hAnsi="宋体" w:eastAsia="宋体" w:cs="宋体"/>
          <w:b/>
          <w:bCs w:val="0"/>
          <w:color w:val="auto"/>
          <w:sz w:val="24"/>
          <w:szCs w:val="24"/>
          <w:highlight w:val="none"/>
          <w:u w:val="single"/>
        </w:rPr>
        <w:t xml:space="preserve">%的违约金。</w:t>
      </w:r>
      <w:r/>
    </w:p>
    <w:p>
      <w:pPr>
        <w:ind w:firstLine="422"/>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b/>
          <w:color w:val="auto"/>
          <w:sz w:val="24"/>
          <w:szCs w:val="24"/>
          <w:highlight w:val="none"/>
          <w:u w:val="single"/>
        </w:rPr>
        <w:t xml:space="preserve">文明施工相关法律、标准和规范的其他要求。</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6.1.4 关于安全文明施工费支付比例和支付期限的约定：</w:t>
      </w:r>
      <w:r>
        <w:rPr>
          <w:rFonts w:hint="eastAsia" w:ascii="宋体" w:hAnsi="宋体" w:eastAsia="宋体" w:cs="宋体"/>
          <w:color w:val="auto"/>
          <w:sz w:val="24"/>
          <w:szCs w:val="24"/>
          <w:highlight w:val="none"/>
          <w:u w:val="single"/>
        </w:rPr>
        <w:t xml:space="preserve">合同价款中已含，与合同价款同期支付。</w:t>
      </w:r>
      <w:r/>
    </w:p>
    <w:p>
      <w:pPr>
        <w:pStyle w:val="984"/>
        <w:pageBreakBefore w:val="0"/>
        <w:spacing w:before="0" w:after="0" w:line="500" w:lineRule="exact"/>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7.工期和进度</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 施工组织设计</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7.1.1 合同当事人约定的施工组织设计应包括的其他内容：</w:t>
      </w:r>
      <w:r>
        <w:rPr>
          <w:rFonts w:hint="eastAsia" w:ascii="宋体" w:hAnsi="宋体" w:eastAsia="宋体" w:cs="宋体"/>
          <w:color w:val="auto"/>
          <w:sz w:val="24"/>
          <w:szCs w:val="24"/>
          <w:highlight w:val="none"/>
          <w:u w:val="single"/>
        </w:rPr>
        <w:t xml:space="preserve">执行通用条款 。</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7.1.2 施工组织设计的提交和修改</w:t>
      </w:r>
      <w:r/>
    </w:p>
    <w:p>
      <w:pPr>
        <w:ind w:firstLine="420"/>
        <w:pageBreakBefore w:val="0"/>
        <w:spacing w:line="500" w:lineRule="exact"/>
        <w:rPr>
          <w:rFonts w:hint="eastAsia" w:ascii="宋体" w:hAnsi="宋体" w:eastAsia="宋体" w:cs="宋体"/>
          <w:bCs/>
          <w:color w:val="auto"/>
          <w:sz w:val="24"/>
          <w:szCs w:val="24"/>
          <w:highlight w:val="none"/>
          <w:u w:val="single"/>
        </w:rPr>
      </w:pPr>
      <w:r>
        <w:rPr>
          <w:rFonts w:hint="eastAsia" w:ascii="宋体" w:hAnsi="宋体" w:eastAsia="宋体" w:cs="宋体"/>
          <w:color w:val="auto"/>
          <w:sz w:val="24"/>
          <w:szCs w:val="24"/>
          <w:highlight w:val="none"/>
        </w:rPr>
        <w:t xml:space="preserve">承包人提交详细施工组织设计的期限的约定：</w:t>
      </w:r>
      <w:r>
        <w:rPr>
          <w:rFonts w:hint="eastAsia" w:ascii="宋体" w:hAnsi="宋体" w:eastAsia="宋体" w:cs="宋体"/>
          <w:bCs/>
          <w:color w:val="auto"/>
          <w:sz w:val="24"/>
          <w:szCs w:val="24"/>
          <w:highlight w:val="none"/>
          <w:u w:val="single"/>
        </w:rPr>
        <w:t xml:space="preserve">承包人在收到设计施工图后，应在7日内做出详细的施工组织设计，一式二份报总监及发包人审批；总监及发包人在收到施工组织设计后10日内进</w:t>
      </w:r>
      <w:r>
        <w:rPr>
          <w:rFonts w:hint="eastAsia" w:ascii="宋体" w:hAnsi="宋体" w:eastAsia="宋体" w:cs="宋体"/>
          <w:bCs/>
          <w:color w:val="auto"/>
          <w:sz w:val="24"/>
          <w:szCs w:val="24"/>
          <w:highlight w:val="none"/>
          <w:u w:val="single"/>
        </w:rPr>
        <w:t xml:space="preserve">行审核批准或提出修改意见；承包人不按时送审符合要求的施工组织设计，造成总监及发包人无法判断工程施工顺利与否，发包人可暂缓支付相应部分的工程进度款，直至符合要求，责任由承包人承担。发包人对施工组织设计方案的确认是对其可行性的确认，并不是对所涉及费用的确认；施工组织设计方案属承包人自身的施工措施，所增加的人工、材料、机械等费用均由承包人自行承担。在工程实施过程中，涉及到施工单位所提出的设计方案，如施工组织设计或施工方案，发包人同意并不代表免除承包人的责任，即如果方案在实施过程中出现问题，其全部责任由承包人承担。</w:t>
      </w:r>
      <w:r/>
    </w:p>
    <w:p>
      <w:pPr>
        <w:ind w:firstLine="422"/>
        <w:pageBreakBefore w:val="0"/>
        <w:spacing w:line="500" w:lineRule="exact"/>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u w:val="single"/>
        </w:rPr>
        <w:t xml:space="preserve">承包人勘查现场后必须在施工组织设计中体现：1、承包人保正有序、和谐施工力保不发生人身伤害等恶性事件；2、现场分段施工的措施方案，临设搭设转移等措施项目费用；3、保护已有建筑、管网、线路等措施；4、控制现场扬尘，必须采取应对措施，必须符合我市关于扬尘管控的规定。以上四点是承包人必须考虑的费用，但不限于此，承包人可以自主报价。发包人在措施费用中为承包人综合考虑了以上费用，</w:t>
      </w:r>
      <w:r>
        <w:rPr>
          <w:rFonts w:hint="eastAsia" w:ascii="宋体" w:hAnsi="宋体" w:cs="宋体"/>
          <w:bCs/>
          <w:color w:val="auto"/>
          <w:sz w:val="24"/>
          <w:szCs w:val="24"/>
          <w:highlight w:val="none"/>
          <w:u w:val="single"/>
          <w:lang w:val="en-US" w:eastAsia="zh-CN"/>
        </w:rPr>
        <w:t xml:space="preserve">承包人</w:t>
      </w:r>
      <w:r>
        <w:rPr>
          <w:rFonts w:hint="eastAsia" w:ascii="宋体" w:hAnsi="宋体" w:eastAsia="宋体" w:cs="宋体"/>
          <w:bCs/>
          <w:color w:val="auto"/>
          <w:sz w:val="24"/>
          <w:szCs w:val="24"/>
          <w:highlight w:val="none"/>
          <w:u w:val="single"/>
        </w:rPr>
        <w:t xml:space="preserve">自主报价，结算时发包人不再支付任何费用，且承包人必须承担与此相关的责任及费用。</w:t>
      </w:r>
      <w:r/>
    </w:p>
    <w:p>
      <w:pPr>
        <w:ind w:firstLine="422"/>
        <w:pageBreakBefore w:val="0"/>
        <w:spacing w:line="500" w:lineRule="exact"/>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u w:val="single"/>
        </w:rPr>
        <w:t xml:space="preserve">承包人应保证按照本合同所述的工程建设进度目标进行本合同项下的服务并负责协调与本工程有关的其他工程的进度，根据本合同确定的工程进度计划表应按工程的实际进展情况每月更新一次。</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发包人和监理人在收到详细的施工组织设计后确认或提出修改意见的期限：</w:t>
      </w:r>
      <w:r>
        <w:rPr>
          <w:rFonts w:hint="eastAsia" w:ascii="宋体" w:hAnsi="宋体" w:eastAsia="宋体" w:cs="宋体"/>
          <w:color w:val="auto"/>
          <w:sz w:val="24"/>
          <w:szCs w:val="24"/>
          <w:highlight w:val="none"/>
          <w:u w:val="single"/>
        </w:rPr>
        <w:t xml:space="preserve">  收到后7天内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 施工进度计划</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施工进度计划的修订</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发包人和监理人在收到修订的施工进度计划后确认或提出修改意见的期限：</w:t>
      </w:r>
      <w:r>
        <w:rPr>
          <w:rFonts w:hint="eastAsia" w:ascii="宋体" w:hAnsi="宋体" w:eastAsia="宋体" w:cs="宋体"/>
          <w:color w:val="auto"/>
          <w:sz w:val="24"/>
          <w:szCs w:val="24"/>
          <w:highlight w:val="none"/>
          <w:u w:val="single"/>
        </w:rPr>
        <w:t xml:space="preserve"> 收到后7天施工期间，承包人每月25日前向监理工程师报送下月的“月度工程进度计划表”，经监理工程师审核和发包人代表确认后，应于3日内返回承包人；“月度工程进度计划表”如需修改时，应于当日发回承包人修改，承包人须于次日报送修改稿。</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 开工</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7.3.1 开工准备</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关于承包人提交工程开工报审表的期限：</w:t>
      </w:r>
      <w:r>
        <w:rPr>
          <w:rFonts w:hint="eastAsia" w:ascii="宋体" w:hAnsi="宋体" w:eastAsia="宋体" w:cs="宋体"/>
          <w:color w:val="auto"/>
          <w:sz w:val="24"/>
          <w:szCs w:val="24"/>
          <w:highlight w:val="none"/>
          <w:u w:val="single"/>
        </w:rPr>
        <w:t xml:space="preserve"> 合同签订后、开工前。</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关于发包人应完成的其他开工准备工作及期限：</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关于承包人应完成的其他开工准备工作及期限：</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7.3.2开工通知</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因发包人原因造成监理人未能在计划开工日期之日起</w:t>
      </w:r>
      <w:r>
        <w:rPr>
          <w:rFonts w:hint="eastAsia" w:ascii="宋体" w:hAnsi="宋体" w:eastAsia="宋体" w:cs="宋体"/>
          <w:color w:val="auto"/>
          <w:sz w:val="24"/>
          <w:szCs w:val="24"/>
          <w:highlight w:val="none"/>
          <w:u w:val="single"/>
        </w:rPr>
        <w:t xml:space="preserve"> 60 </w:t>
      </w:r>
      <w:r>
        <w:rPr>
          <w:rFonts w:hint="eastAsia" w:ascii="宋体" w:hAnsi="宋体" w:eastAsia="宋体" w:cs="宋体"/>
          <w:color w:val="auto"/>
          <w:sz w:val="24"/>
          <w:szCs w:val="24"/>
          <w:highlight w:val="none"/>
        </w:rPr>
        <w:t xml:space="preserve">天内发出开工通知的，承包人有权提出价格调整要求，或者解除合同。</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7.4 测量放线</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7.4.1发包人通过监理人向承包人提供测量基准点、基准线和水准点及其书面资料的期限：</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7.5 工期延误</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7.5.1 因发包人原因导致工期延误</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因发包人原因导致工期延误的其他情形：</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7.5.2 因承包人原因导致工期延误</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因承包人原因造成工期延误，逾期竣工违约金的计算方法为：</w:t>
      </w:r>
      <w:r/>
    </w:p>
    <w:p>
      <w:pPr>
        <w:ind w:firstLine="48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经批准的施工组织设计的节点工期每延误一天，由承包人向发包人按5000元/天支付违约金，发包人有权采取任何补救措施来弥补该延误，由此增加的费用由承包人承担</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lang w:val="en-US" w:eastAsia="zh-CN"/>
        </w:rPr>
        <w:t xml:space="preserve">施工过程中故意拖延工期、故意不按计划进度施工的，向发包人支付合同总价款10%的违约金。</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因承包人原因造成工期延误，</w:t>
      </w:r>
      <w:r>
        <w:rPr>
          <w:rFonts w:hint="eastAsia" w:ascii="宋体" w:hAnsi="宋体" w:eastAsia="宋体" w:cs="宋体"/>
          <w:color w:val="auto"/>
          <w:sz w:val="24"/>
          <w:szCs w:val="24"/>
          <w:highlight w:val="none"/>
          <w:u w:val="single"/>
          <w:lang w:val="en-US" w:eastAsia="zh-CN"/>
        </w:rPr>
        <w:t xml:space="preserve">每延迟一日，向发包人支付10000元违约金。</w:t>
      </w:r>
      <w:r>
        <w:rPr>
          <w:rFonts w:hint="eastAsia" w:ascii="宋体" w:hAnsi="宋体" w:eastAsia="宋体" w:cs="宋体"/>
          <w:color w:val="auto"/>
          <w:sz w:val="24"/>
          <w:szCs w:val="24"/>
          <w:highlight w:val="none"/>
          <w:u w:val="single"/>
        </w:rPr>
        <w:t xml:space="preserve">逾期竣工违约金的上限：合同价款的</w:t>
      </w:r>
      <w:r>
        <w:rPr>
          <w:rFonts w:hint="eastAsia" w:ascii="宋体" w:hAnsi="宋体" w:eastAsia="宋体" w:cs="宋体"/>
          <w:color w:val="auto"/>
          <w:sz w:val="24"/>
          <w:szCs w:val="24"/>
          <w:highlight w:val="none"/>
          <w:u w:val="single"/>
          <w:lang w:val="en-US" w:eastAsia="zh-CN"/>
        </w:rPr>
        <w:t xml:space="preserve">20</w:t>
      </w:r>
      <w:r>
        <w:rPr>
          <w:rFonts w:hint="eastAsia" w:ascii="宋体" w:hAnsi="宋体" w:eastAsia="宋体" w:cs="宋体"/>
          <w:color w:val="auto"/>
          <w:sz w:val="24"/>
          <w:szCs w:val="24"/>
          <w:highlight w:val="none"/>
          <w:u w:val="single"/>
        </w:rPr>
        <w:t xml:space="preserve">%。</w:t>
      </w:r>
      <w:r/>
    </w:p>
    <w:p>
      <w:pPr>
        <w:ind w:firstLine="420"/>
        <w:pageBreakBefore w:val="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非</w:t>
      </w:r>
      <w:r>
        <w:rPr>
          <w:rFonts w:hint="eastAsia" w:ascii="宋体" w:hAnsi="宋体" w:eastAsia="宋体" w:cs="宋体"/>
          <w:color w:val="auto"/>
          <w:sz w:val="24"/>
          <w:szCs w:val="24"/>
          <w:highlight w:val="none"/>
        </w:rPr>
        <w:t xml:space="preserve">承包人原因</w:t>
      </w:r>
      <w:r>
        <w:rPr>
          <w:rFonts w:hint="eastAsia" w:ascii="宋体" w:hAnsi="宋体" w:eastAsia="宋体" w:cs="宋体"/>
          <w:color w:val="auto"/>
          <w:sz w:val="24"/>
          <w:szCs w:val="24"/>
          <w:highlight w:val="none"/>
          <w:lang w:val="en-US" w:eastAsia="zh-CN"/>
        </w:rPr>
        <w:t xml:space="preserve">及不可抗力因素造成未按时竣工的，认定材料经发包人书面审核，并附相关佐证资料。</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7.6 不利物质条件</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不利物质条件的其他情形和有关约定：</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7.7异常恶劣的气候条件</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发包人和承包人同意以下情形视为异常恶劣的气候条件：</w:t>
      </w:r>
      <w:r/>
    </w:p>
    <w:p>
      <w:pPr>
        <w:numPr>
          <w:ilvl w:val="0"/>
          <w:numId w:val="9"/>
        </w:num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7.9 提前竣工的奖励</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7.9.2提前竣工的奖励：</w:t>
      </w:r>
      <w:r>
        <w:rPr>
          <w:rFonts w:hint="eastAsia" w:ascii="宋体" w:hAnsi="宋体" w:eastAsia="宋体" w:cs="宋体"/>
          <w:color w:val="auto"/>
          <w:sz w:val="24"/>
          <w:szCs w:val="24"/>
          <w:highlight w:val="none"/>
          <w:u w:val="single"/>
          <w:lang w:val="en-US" w:eastAsia="zh-CN"/>
        </w:rPr>
        <w:t xml:space="preserve"> / </w:t>
      </w:r>
      <w:r>
        <w:rPr>
          <w:rFonts w:hint="eastAsia" w:ascii="宋体" w:hAnsi="宋体" w:eastAsia="宋体" w:cs="宋体"/>
          <w:color w:val="auto"/>
          <w:sz w:val="24"/>
          <w:szCs w:val="24"/>
          <w:highlight w:val="none"/>
        </w:rPr>
        <w:t xml:space="preserve">。</w:t>
      </w:r>
      <w:r/>
    </w:p>
    <w:p>
      <w:pPr>
        <w:pageBreakBefore w:val="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 材料与设备</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8.4材料与工程设备的保管与使用</w:t>
      </w:r>
      <w:r/>
    </w:p>
    <w:p>
      <w:pPr>
        <w:ind w:firstLine="420"/>
        <w:pageBreakBefore w:val="0"/>
        <w:spacing w:line="500" w:lineRule="exac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8.4.1发包人供应的材料设备的保管费用的承担：本工程无甲供材</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所有材料均由承包人自行采购。其采购、运输、验收、检验、保管等费用由承包人负责。承包人采购的所有材料、设备按合格质量要求采购（必须符合规范标准、设计要求及地方有关规定），并提供产品合格证明，并对材料设备质量负责，对存在缺陷而承包人未能检测出问题的设备材料，承包人应无条件更换并应承担因此设备材料的使用而造成的一切直接和间接损失。</w:t>
      </w:r>
      <w:r/>
    </w:p>
    <w:p>
      <w:pPr>
        <w:ind w:firstLine="420"/>
        <w:pageBreakBefore w:val="0"/>
        <w:spacing w:line="500" w:lineRule="exac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8.6 样品</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8.6.1样品的报送与封存</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①需要承包人报送样品的材料或工程设备，样品的种类、名称、规格、数量要求：</w:t>
      </w:r>
      <w:r>
        <w:rPr>
          <w:rFonts w:hint="eastAsia" w:ascii="宋体" w:hAnsi="宋体" w:eastAsia="宋体" w:cs="宋体"/>
          <w:color w:val="auto"/>
          <w:sz w:val="24"/>
          <w:szCs w:val="24"/>
          <w:highlight w:val="none"/>
          <w:u w:val="single"/>
        </w:rPr>
        <w:t xml:space="preserve">本工程如有路灯、电缆、桥梁栏杆、检查井盖座、人行道板、侧平石、装饰板、隔离柱等材料均需报送样品，具体以监理通知为准 。样品不得另行收取费用。</w:t>
      </w:r>
      <w:r/>
    </w:p>
    <w:p>
      <w:pPr>
        <w:ind w:firstLine="420"/>
        <w:pageBreakBefore w:val="0"/>
        <w:spacing w:line="500" w:lineRule="exact"/>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u w:val="single"/>
        </w:rPr>
        <w:t xml:space="preserve">②承包人在采购材料、设备前须提供与施工图纸及</w:t>
      </w:r>
      <w:r>
        <w:rPr>
          <w:rFonts w:hint="eastAsia" w:ascii="宋体" w:hAnsi="宋体" w:cs="宋体"/>
          <w:color w:val="auto"/>
          <w:sz w:val="24"/>
          <w:szCs w:val="24"/>
          <w:highlight w:val="none"/>
          <w:u w:val="single"/>
          <w:lang w:eastAsia="zh-CN"/>
        </w:rPr>
        <w:t xml:space="preserve">发包人</w:t>
      </w:r>
      <w:r>
        <w:rPr>
          <w:rFonts w:hint="eastAsia" w:ascii="宋体" w:hAnsi="宋体" w:eastAsia="宋体" w:cs="宋体"/>
          <w:color w:val="auto"/>
          <w:sz w:val="24"/>
          <w:szCs w:val="24"/>
          <w:highlight w:val="none"/>
          <w:u w:val="single"/>
        </w:rPr>
        <w:t xml:space="preserve">要求的规格相符的样品至少1份，样品应在订购制造此样品材料的28日历天前呈报。有关此样品的材料及加工步骤在被工程师或发包人核准之前均不允许使用。每份样品都应有标签并附有相应的说明书（性能介绍、出厂报告、合格证明）及在工程中的使用位置等，标签上应留有空间让工程师或发包人写上意见及盖用核准章。③如样品有不同的款式及颜色时</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承包人应提供足够多的样品以供选择。样品审核通过后承包人应严格按照样品采购与施工，禁止使用其他种类的样品，除非发包人在需求上有所改变，承包人需再依上法报交样品审核，有关经费由承包人负担。所有材料及设备应与样品相符，承包人应提供适合尺寸的样品作为方便对照之用。样品的封存保管台账、照片，（与隐蔽工程等的台账资料）应附卷保存</w:t>
      </w:r>
      <w:r>
        <w:rPr>
          <w:rFonts w:hint="eastAsia" w:ascii="宋体" w:hAnsi="宋体" w:eastAsia="宋体" w:cs="宋体"/>
          <w:color w:val="auto"/>
          <w:sz w:val="24"/>
          <w:szCs w:val="24"/>
          <w:highlight w:val="none"/>
          <w:u w:val="single"/>
          <w:lang w:eastAsia="zh-CN"/>
        </w:rPr>
        <w:t xml:space="preserve">。</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④所有样品均为发包人所有，被工程师和发包人核准通过的样品应由监理方、工程师、发包人和承包人共同予以封存成为日后用于对照的标准，承包人需在工地办公区选择一间有锁的样品室给监理人，以保存一份样品以便施工中对照。</w:t>
      </w:r>
      <w:r/>
    </w:p>
    <w:p>
      <w:pPr>
        <w:ind w:firstLine="420"/>
        <w:pageBreakBefore w:val="0"/>
        <w:spacing w:line="500" w:lineRule="exact"/>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u w:val="single"/>
        </w:rPr>
        <w:t xml:space="preserve">⑤承包人</w:t>
      </w:r>
      <w:r>
        <w:rPr>
          <w:rFonts w:hint="eastAsia" w:ascii="宋体" w:hAnsi="宋体" w:cs="宋体"/>
          <w:color w:val="auto"/>
          <w:sz w:val="24"/>
          <w:szCs w:val="24"/>
          <w:highlight w:val="none"/>
          <w:u w:val="single"/>
          <w:lang w:eastAsia="zh-CN"/>
        </w:rPr>
        <w:t xml:space="preserve">响应报价</w:t>
      </w:r>
      <w:r>
        <w:rPr>
          <w:rFonts w:hint="eastAsia" w:ascii="宋体" w:hAnsi="宋体" w:eastAsia="宋体" w:cs="宋体"/>
          <w:color w:val="auto"/>
          <w:sz w:val="24"/>
          <w:szCs w:val="24"/>
          <w:highlight w:val="none"/>
          <w:u w:val="single"/>
        </w:rPr>
        <w:t xml:space="preserve">时自行去现场踏勘。</w:t>
      </w:r>
      <w:r/>
    </w:p>
    <w:p>
      <w:pPr>
        <w:ind w:firstLine="420"/>
        <w:pageBreakBefore w:val="0"/>
        <w:spacing w:line="500" w:lineRule="exac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8.8 施工设备和临时设施</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8.8.1 承包人提供的施工设备和临时设施</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关于修建临时设施费用承担的约定：</w:t>
      </w:r>
      <w:r>
        <w:rPr>
          <w:rFonts w:hint="eastAsia" w:ascii="宋体" w:hAnsi="宋体" w:eastAsia="宋体" w:cs="宋体"/>
          <w:color w:val="auto"/>
          <w:sz w:val="24"/>
          <w:szCs w:val="24"/>
          <w:highlight w:val="none"/>
          <w:u w:val="single"/>
        </w:rPr>
        <w:t xml:space="preserve">除法律规定由发包人承担的内容外，承包人自行承担修建临时设施和使用施工设备的费用</w:t>
      </w:r>
      <w:r>
        <w:rPr>
          <w:rFonts w:hint="eastAsia" w:ascii="宋体" w:hAnsi="宋体" w:eastAsia="宋体" w:cs="宋体"/>
          <w:color w:val="auto"/>
          <w:sz w:val="24"/>
          <w:szCs w:val="24"/>
          <w:highlight w:val="none"/>
        </w:rPr>
        <w:t xml:space="preserve">。</w:t>
      </w:r>
      <w:r/>
    </w:p>
    <w:p>
      <w:pPr>
        <w:pStyle w:val="984"/>
        <w:pageBreakBefore w:val="0"/>
        <w:spacing w:before="0" w:after="0" w:line="500" w:lineRule="exact"/>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9. 试验与检验</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9.1试验设备与试验人员</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9.1.2 试验设备</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施工现场需要配置的试验场所：</w:t>
      </w:r>
      <w:r>
        <w:rPr>
          <w:rFonts w:hint="eastAsia" w:ascii="宋体" w:hAnsi="宋体" w:eastAsia="宋体" w:cs="宋体"/>
          <w:color w:val="auto"/>
          <w:sz w:val="24"/>
          <w:szCs w:val="24"/>
          <w:highlight w:val="none"/>
          <w:u w:val="single"/>
        </w:rPr>
        <w:t xml:space="preserve"> 承包人必须设立独立的试验室，配备合格的实验检测设备、人员，或委托有资质的试验单位对进场材料及施工工序进行自检；承包人委托的试验单位不得与发包人进行平行检测或抽检的试验单位重复，其资质资料在签订合同前报发包人审核；自检费用由承包人承担。 </w:t>
      </w:r>
      <w:r/>
    </w:p>
    <w:p>
      <w:pPr>
        <w:ind w:firstLine="420"/>
        <w:pageBreakBefore w:val="0"/>
        <w:spacing w:line="500" w:lineRule="exac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9.4 现场工艺试验 </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现场工艺试验的有关约定：</w:t>
      </w:r>
      <w:r>
        <w:rPr>
          <w:rFonts w:hint="eastAsia" w:ascii="宋体" w:hAnsi="宋体" w:eastAsia="宋体" w:cs="宋体"/>
          <w:color w:val="auto"/>
          <w:sz w:val="24"/>
          <w:szCs w:val="24"/>
          <w:highlight w:val="none"/>
          <w:u w:val="single"/>
        </w:rPr>
        <w:t xml:space="preserve">按现场监理通知执行   </w:t>
      </w:r>
      <w:r>
        <w:rPr>
          <w:rFonts w:hint="eastAsia" w:ascii="宋体" w:hAnsi="宋体" w:eastAsia="宋体" w:cs="宋体"/>
          <w:color w:val="auto"/>
          <w:sz w:val="24"/>
          <w:szCs w:val="24"/>
          <w:highlight w:val="none"/>
        </w:rPr>
        <w:t xml:space="preserve">。</w:t>
      </w:r>
      <w:r/>
    </w:p>
    <w:p>
      <w:pPr>
        <w:pStyle w:val="984"/>
        <w:pageBreakBefore w:val="0"/>
        <w:spacing w:before="0" w:after="0" w:line="500" w:lineRule="exact"/>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10. 变更</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10.1变更的范围</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关于变更的范围的约定：</w:t>
      </w:r>
      <w:r>
        <w:rPr>
          <w:rFonts w:hint="eastAsia" w:ascii="宋体" w:hAnsi="宋体" w:eastAsia="宋体" w:cs="宋体"/>
          <w:color w:val="auto"/>
          <w:sz w:val="24"/>
          <w:szCs w:val="24"/>
          <w:highlight w:val="none"/>
          <w:u w:val="single"/>
        </w:rPr>
        <w:t xml:space="preserve">执行通用条款  </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承包人根据发包人书面确认的变更文件予以变更。变更文件中须明确原做法、变更后做法及工艺、材料名称、规格、品牌、尺寸等，标注要清晰</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10.2 变更估价</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10.2.1 变更估价原则</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关于变更估价的约定</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10.2.1.1设计变更引起新增工程量清单项目，其相应综合单价按本招标文件规定的最高投标限价计价编制办法计算，再乘以</w:t>
      </w:r>
      <w:r>
        <w:rPr>
          <w:rFonts w:hint="eastAsia" w:ascii="宋体" w:hAnsi="宋体" w:cs="宋体"/>
          <w:color w:val="auto"/>
          <w:sz w:val="24"/>
          <w:szCs w:val="24"/>
          <w:highlight w:val="none"/>
          <w:u w:val="single"/>
          <w:lang w:val="en-US" w:eastAsia="zh-CN"/>
        </w:rPr>
        <w:t xml:space="preserve">成交</w:t>
      </w:r>
      <w:r>
        <w:rPr>
          <w:rFonts w:hint="eastAsia" w:ascii="宋体" w:hAnsi="宋体" w:eastAsia="宋体" w:cs="宋体"/>
          <w:color w:val="auto"/>
          <w:sz w:val="24"/>
          <w:szCs w:val="24"/>
          <w:highlight w:val="none"/>
          <w:u w:val="single"/>
        </w:rPr>
        <w:t xml:space="preserve">价与最高投标限价相比的浮动比率后作为综合单价进行结算。以上变更及工程量签证，必须由发、承包双方、现场监理工程师共同确认。</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10.2.1.3</w:t>
      </w:r>
      <w:r>
        <w:rPr>
          <w:rFonts w:hint="eastAsia" w:ascii="宋体" w:hAnsi="宋体" w:eastAsia="宋体" w:cs="宋体"/>
          <w:color w:val="auto"/>
          <w:sz w:val="24"/>
          <w:szCs w:val="24"/>
          <w:highlight w:val="none"/>
          <w:u w:val="single"/>
        </w:rPr>
        <w:t xml:space="preserve">清单项目中特征描述不全的工序，如图纸已明确或已指明引用的规范、图集等或是常规工艺必须的工序，应包括在报价中。</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10.2.1.4</w:t>
      </w:r>
      <w:r>
        <w:rPr>
          <w:rFonts w:hint="eastAsia" w:ascii="宋体" w:hAnsi="宋体" w:eastAsia="宋体" w:cs="宋体"/>
          <w:color w:val="auto"/>
          <w:sz w:val="24"/>
          <w:szCs w:val="24"/>
          <w:highlight w:val="none"/>
          <w:u w:val="single"/>
        </w:rPr>
        <w:t xml:space="preserve">以上10.2.1.1条以外原因引起的价款调整按照以下方法处理：</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（1）有类似单价的，参照类似单价；</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（2）没有类似单价的，按照变更发生前一个月的《徐州工程造价信息》中相应的材料价格和相应的定额计价，同时按照</w:t>
      </w:r>
      <w:r>
        <w:rPr>
          <w:rFonts w:hint="eastAsia" w:ascii="宋体" w:hAnsi="宋体" w:cs="宋体"/>
          <w:color w:val="auto"/>
          <w:sz w:val="24"/>
          <w:szCs w:val="24"/>
          <w:highlight w:val="none"/>
          <w:u w:val="single"/>
          <w:lang w:val="en-US" w:eastAsia="zh-CN"/>
        </w:rPr>
        <w:t xml:space="preserve">成交</w:t>
      </w:r>
      <w:r>
        <w:rPr>
          <w:rFonts w:hint="eastAsia" w:ascii="宋体" w:hAnsi="宋体" w:eastAsia="宋体" w:cs="宋体"/>
          <w:color w:val="auto"/>
          <w:sz w:val="24"/>
          <w:szCs w:val="24"/>
          <w:highlight w:val="none"/>
          <w:u w:val="single"/>
        </w:rPr>
        <w:t xml:space="preserve">价与招标控制价的整体下浮比率下浮；</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（3）《徐州工程造价信息》中没有相应材料价格的，双方比价采购或者由</w:t>
      </w:r>
      <w:r>
        <w:rPr>
          <w:rFonts w:hint="eastAsia" w:ascii="宋体" w:hAnsi="宋体" w:cs="宋体"/>
          <w:color w:val="auto"/>
          <w:sz w:val="24"/>
          <w:szCs w:val="24"/>
          <w:highlight w:val="none"/>
          <w:u w:val="single"/>
          <w:lang w:val="en-US" w:eastAsia="zh-CN"/>
        </w:rPr>
        <w:t xml:space="preserve">采购人</w:t>
      </w:r>
      <w:r>
        <w:rPr>
          <w:rFonts w:hint="eastAsia" w:ascii="宋体" w:hAnsi="宋体" w:eastAsia="宋体" w:cs="宋体"/>
          <w:color w:val="auto"/>
          <w:sz w:val="24"/>
          <w:szCs w:val="24"/>
          <w:highlight w:val="none"/>
          <w:u w:val="single"/>
        </w:rPr>
        <w:t xml:space="preserve">经招标确定价格后，计入相应的定额计价，但该部分材料价格不再参与下浮，其余部分按照</w:t>
      </w:r>
      <w:r>
        <w:rPr>
          <w:rFonts w:hint="eastAsia" w:ascii="宋体" w:hAnsi="宋体" w:cs="宋体"/>
          <w:color w:val="auto"/>
          <w:sz w:val="24"/>
          <w:szCs w:val="24"/>
          <w:highlight w:val="none"/>
          <w:u w:val="single"/>
          <w:lang w:val="en-US" w:eastAsia="zh-CN"/>
        </w:rPr>
        <w:t xml:space="preserve">成交</w:t>
      </w:r>
      <w:r>
        <w:rPr>
          <w:rFonts w:hint="eastAsia" w:ascii="宋体" w:hAnsi="宋体" w:eastAsia="宋体" w:cs="宋体"/>
          <w:color w:val="auto"/>
          <w:sz w:val="24"/>
          <w:szCs w:val="24"/>
          <w:highlight w:val="none"/>
          <w:u w:val="single"/>
        </w:rPr>
        <w:t xml:space="preserve">价与招标控制价的整体下浮比率下浮。</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10.2.1.5</w:t>
      </w:r>
      <w:r>
        <w:rPr>
          <w:rFonts w:hint="eastAsia" w:ascii="宋体" w:hAnsi="宋体" w:eastAsia="宋体" w:cs="宋体"/>
          <w:color w:val="auto"/>
          <w:sz w:val="24"/>
          <w:szCs w:val="24"/>
          <w:highlight w:val="none"/>
          <w:u w:val="single"/>
        </w:rPr>
        <w:t xml:space="preserve">因分部分项工程量清单漏项、数量调整或非承包人原因的工程变更，造成施工组织设计或施工方案变更，引起措施项目发生变化时，在结算按照以下规定调整：</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（1）总价措施措施费仍按投标时费率进行调整（其中安全文明增加费及按质论价费的费率按实调整）。</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单价措施（排水、降水、脚手架、围堰、便桥、封底混凝土、便道、围挡）的措施费按照单价措施项目清单投标单价，结算按实调整（除由设计变更引起的单价措施工程量调整外，结算工程量不得超过投标清单工程量）。</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（3）因设计变更引起的原措施费中没有的单价措施项目，由承包人根据措施项目变更情况，提出适当的措施费变更要求，经发包人确认后调整。</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10.3承包人的合理化建议</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监理人审查承包人合理化建议的期限：</w:t>
      </w:r>
      <w:r>
        <w:rPr>
          <w:rFonts w:hint="eastAsia" w:ascii="宋体" w:hAnsi="宋体" w:eastAsia="宋体" w:cs="宋体"/>
          <w:color w:val="auto"/>
          <w:sz w:val="24"/>
          <w:szCs w:val="24"/>
          <w:highlight w:val="none"/>
          <w:u w:val="single"/>
        </w:rPr>
        <w:t xml:space="preserve">   无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发包人审批承包人合理化建议的期限：</w:t>
      </w:r>
      <w:r>
        <w:rPr>
          <w:rFonts w:hint="eastAsia" w:ascii="宋体" w:hAnsi="宋体" w:eastAsia="宋体" w:cs="宋体"/>
          <w:color w:val="auto"/>
          <w:sz w:val="24"/>
          <w:szCs w:val="24"/>
          <w:highlight w:val="none"/>
          <w:u w:val="single"/>
        </w:rPr>
        <w:t xml:space="preserve">   无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承包人提出的合理化建议降低了合同价格或者提高了工程经济效益的奖励的方法和金额为：</w:t>
      </w:r>
      <w:r>
        <w:rPr>
          <w:rFonts w:hint="eastAsia" w:ascii="宋体" w:hAnsi="宋体" w:eastAsia="宋体" w:cs="宋体"/>
          <w:color w:val="auto"/>
          <w:sz w:val="24"/>
          <w:szCs w:val="24"/>
          <w:highlight w:val="none"/>
          <w:u w:val="single"/>
        </w:rPr>
        <w:t xml:space="preserve">另行协商</w:t>
      </w:r>
      <w:r>
        <w:rPr>
          <w:rFonts w:hint="eastAsia" w:ascii="宋体" w:hAnsi="宋体" w:eastAsia="宋体" w:cs="宋体"/>
          <w:color w:val="auto"/>
          <w:sz w:val="24"/>
          <w:szCs w:val="24"/>
          <w:highlight w:val="none"/>
        </w:rPr>
        <w:t xml:space="preserve">。</w:t>
      </w:r>
      <w:r/>
    </w:p>
    <w:p>
      <w:pPr>
        <w:pStyle w:val="984"/>
        <w:pageBreakBefore w:val="0"/>
        <w:spacing w:before="0" w:after="0" w:line="500" w:lineRule="exact"/>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11. 价格调整</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 市场价格波动引起的调整</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市场价格波动是否调整合同价格的约定：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b/>
          <w:color w:val="auto"/>
          <w:sz w:val="24"/>
          <w:szCs w:val="24"/>
          <w:highlight w:val="none"/>
          <w:u w:val="single"/>
        </w:rPr>
        <w:t xml:space="preserve">不予调整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因市场价格波动调整合同价格，采用以下第</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种方式对合同价格进行调整：</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第1种方式：采用价格指数进行价格调整。</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关于各可调因子、定值和变值权重，以及基本价格指数及其来源的约定：</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  </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第2种方式：采用造价信息进行价格调整。</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本工程以下主要建筑材料：钢材、水泥、管材、沥青、石材、商品混凝土、沥青混凝土、水泥稳定碎石、二灰碎石、碎石、黄沙、石灰、电线电缆，价格按以下方式调整：</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（1）承包人</w:t>
      </w:r>
      <w:r>
        <w:rPr>
          <w:rFonts w:hint="eastAsia" w:ascii="宋体" w:hAnsi="宋体" w:cs="宋体"/>
          <w:color w:val="auto"/>
          <w:sz w:val="24"/>
          <w:szCs w:val="24"/>
          <w:highlight w:val="none"/>
          <w:lang w:eastAsia="zh-CN"/>
        </w:rPr>
        <w:t xml:space="preserve">响应报价</w:t>
      </w:r>
      <w:r>
        <w:rPr>
          <w:rFonts w:hint="eastAsia" w:ascii="宋体" w:hAnsi="宋体" w:eastAsia="宋体" w:cs="宋体"/>
          <w:color w:val="auto"/>
          <w:sz w:val="24"/>
          <w:szCs w:val="24"/>
          <w:highlight w:val="none"/>
        </w:rPr>
        <w:t xml:space="preserve">中材料单价低于基准单价：施工期间材料单价涨幅以基准单价为基础超过10%，或材料单价跌幅以</w:t>
      </w:r>
      <w:r>
        <w:rPr>
          <w:rFonts w:hint="eastAsia" w:ascii="宋体" w:hAnsi="宋体" w:cs="宋体"/>
          <w:color w:val="auto"/>
          <w:sz w:val="24"/>
          <w:szCs w:val="24"/>
          <w:highlight w:val="none"/>
          <w:lang w:eastAsia="zh-CN"/>
        </w:rPr>
        <w:t xml:space="preserve">响应报价</w:t>
      </w:r>
      <w:r>
        <w:rPr>
          <w:rFonts w:hint="eastAsia" w:ascii="宋体" w:hAnsi="宋体" w:eastAsia="宋体" w:cs="宋体"/>
          <w:color w:val="auto"/>
          <w:sz w:val="24"/>
          <w:szCs w:val="24"/>
          <w:highlight w:val="none"/>
        </w:rPr>
        <w:t xml:space="preserve">为基础超过5%时，其超过部分按实调整。</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（2）承包人</w:t>
      </w:r>
      <w:r>
        <w:rPr>
          <w:rFonts w:hint="eastAsia" w:ascii="宋体" w:hAnsi="宋体" w:cs="宋体"/>
          <w:color w:val="auto"/>
          <w:sz w:val="24"/>
          <w:szCs w:val="24"/>
          <w:highlight w:val="none"/>
          <w:lang w:eastAsia="zh-CN"/>
        </w:rPr>
        <w:t xml:space="preserve">响应报价</w:t>
      </w:r>
      <w:r>
        <w:rPr>
          <w:rFonts w:hint="eastAsia" w:ascii="宋体" w:hAnsi="宋体" w:eastAsia="宋体" w:cs="宋体"/>
          <w:color w:val="auto"/>
          <w:sz w:val="24"/>
          <w:szCs w:val="24"/>
          <w:highlight w:val="none"/>
        </w:rPr>
        <w:t xml:space="preserve">中材料单价高于基准单价：施工期间材料单价跌幅以基准单价为基础超过5%，或材料单价涨幅以</w:t>
      </w:r>
      <w:r>
        <w:rPr>
          <w:rFonts w:hint="eastAsia" w:ascii="宋体" w:hAnsi="宋体" w:cs="宋体"/>
          <w:color w:val="auto"/>
          <w:sz w:val="24"/>
          <w:szCs w:val="24"/>
          <w:highlight w:val="none"/>
          <w:lang w:eastAsia="zh-CN"/>
        </w:rPr>
        <w:t xml:space="preserve">响应报价</w:t>
      </w:r>
      <w:r>
        <w:rPr>
          <w:rFonts w:hint="eastAsia" w:ascii="宋体" w:hAnsi="宋体" w:eastAsia="宋体" w:cs="宋体"/>
          <w:color w:val="auto"/>
          <w:sz w:val="24"/>
          <w:szCs w:val="24"/>
          <w:highlight w:val="none"/>
        </w:rPr>
        <w:t xml:space="preserve">为基础超过10%时，其超过部分按实调整。</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（3）承包人</w:t>
      </w:r>
      <w:r>
        <w:rPr>
          <w:rFonts w:hint="eastAsia" w:ascii="宋体" w:hAnsi="宋体" w:cs="宋体"/>
          <w:color w:val="auto"/>
          <w:sz w:val="24"/>
          <w:szCs w:val="24"/>
          <w:highlight w:val="none"/>
          <w:lang w:eastAsia="zh-CN"/>
        </w:rPr>
        <w:t xml:space="preserve">响应报价</w:t>
      </w:r>
      <w:r>
        <w:rPr>
          <w:rFonts w:hint="eastAsia" w:ascii="宋体" w:hAnsi="宋体" w:eastAsia="宋体" w:cs="宋体"/>
          <w:color w:val="auto"/>
          <w:sz w:val="24"/>
          <w:szCs w:val="24"/>
          <w:highlight w:val="none"/>
        </w:rPr>
        <w:t xml:space="preserve">中材料单价等于基准单价：施工期间材料单价涨、跌幅均以基准单价为基础，涨幅超过10%和跌幅超过5%，其超过部分按实调整。</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材料价格调整费用仅计取材料差价及其税金，不再计取其他相关费用。</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第3种方式：其他价格调整方式：</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left="0" w:firstLine="420"/>
        <w:keepLines w:val="0"/>
        <w:keepNext w:val="0"/>
        <w:pageBreakBefore w:val="0"/>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 对于法律、法规、规章或有关政策出台导致工程税金、规费等发生变化的，应按照有关规定执行。</w:t>
      </w:r>
      <w:r/>
    </w:p>
    <w:p>
      <w:pPr>
        <w:ind w:left="0" w:firstLine="420"/>
        <w:keepLines w:val="0"/>
        <w:keepNext w:val="0"/>
        <w:pageBreakBefore w:val="0"/>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w:t>
      </w:r>
      <w:r>
        <w:rPr>
          <w:rFonts w:hint="eastAsia" w:ascii="宋体" w:hAnsi="宋体" w:eastAsia="宋体" w:cs="宋体"/>
          <w:color w:val="auto"/>
          <w:sz w:val="24"/>
          <w:szCs w:val="24"/>
          <w:highlight w:val="none"/>
          <w:u w:val="single"/>
        </w:rPr>
        <w:t xml:space="preserve">关于基准价格的约定：材料价格以</w:t>
      </w:r>
      <w:r>
        <w:rPr>
          <w:rFonts w:hint="eastAsia" w:ascii="宋体" w:hAnsi="宋体" w:eastAsia="宋体" w:cs="宋体"/>
          <w:color w:val="auto"/>
          <w:sz w:val="24"/>
          <w:szCs w:val="24"/>
          <w:highlight w:val="none"/>
          <w:u w:val="single"/>
          <w:lang w:val="en-US" w:eastAsia="zh-CN"/>
        </w:rPr>
        <w:t xml:space="preserve">202</w:t>
      </w:r>
      <w:r>
        <w:rPr>
          <w:rFonts w:hint="eastAsia" w:ascii="宋体" w:hAnsi="宋体" w:cs="宋体"/>
          <w:color w:val="auto"/>
          <w:sz w:val="24"/>
          <w:szCs w:val="24"/>
          <w:highlight w:val="none"/>
          <w:u w:val="single"/>
          <w:lang w:val="en-US" w:eastAsia="zh-CN"/>
        </w:rPr>
        <w:t xml:space="preserve">5</w:t>
      </w:r>
      <w:r>
        <w:rPr>
          <w:rFonts w:hint="eastAsia" w:ascii="宋体" w:hAnsi="宋体" w:eastAsia="宋体" w:cs="宋体"/>
          <w:color w:val="auto"/>
          <w:sz w:val="24"/>
          <w:szCs w:val="24"/>
          <w:highlight w:val="none"/>
          <w:u w:val="single"/>
          <w:lang w:val="en-US" w:eastAsia="zh-CN"/>
        </w:rPr>
        <w:t xml:space="preserve">年第</w:t>
      </w:r>
      <w:r>
        <w:rPr>
          <w:rFonts w:hint="eastAsia" w:ascii="宋体" w:hAnsi="宋体" w:cs="宋体"/>
          <w:color w:val="auto"/>
          <w:sz w:val="24"/>
          <w:szCs w:val="24"/>
          <w:highlight w:val="none"/>
          <w:u w:val="single"/>
          <w:lang w:val="en-US" w:eastAsia="zh-CN"/>
        </w:rPr>
        <w:t xml:space="preserve">12</w:t>
      </w:r>
      <w:r>
        <w:rPr>
          <w:rFonts w:hint="eastAsia" w:ascii="宋体" w:hAnsi="宋体" w:eastAsia="宋体" w:cs="宋体"/>
          <w:color w:val="auto"/>
          <w:sz w:val="24"/>
          <w:szCs w:val="24"/>
          <w:highlight w:val="none"/>
          <w:u w:val="single"/>
          <w:lang w:val="en-US" w:eastAsia="zh-CN"/>
        </w:rPr>
        <w:t xml:space="preserve">期</w:t>
      </w:r>
      <w:r>
        <w:rPr>
          <w:rFonts w:hint="eastAsia" w:ascii="宋体" w:hAnsi="宋体" w:eastAsia="宋体" w:cs="宋体"/>
          <w:color w:val="auto"/>
          <w:sz w:val="24"/>
          <w:szCs w:val="24"/>
          <w:highlight w:val="none"/>
          <w:u w:val="single"/>
        </w:rPr>
        <w:t xml:space="preserve">《徐州市建设工程造价信息》为准，信息价没有标明的材料价格以该项目招标控制价中的材料价格为准；人工费</w:t>
      </w:r>
      <w:r>
        <w:rPr>
          <w:rFonts w:hint="eastAsia" w:ascii="宋体" w:hAnsi="宋体" w:eastAsia="宋体" w:cs="宋体"/>
          <w:color w:val="auto"/>
          <w:sz w:val="24"/>
          <w:szCs w:val="24"/>
          <w:highlight w:val="none"/>
          <w:u w:val="single"/>
        </w:rPr>
        <w:t xml:space="preserve">执行</w:t>
      </w:r>
      <w:r>
        <w:rPr>
          <w:rFonts w:hint="eastAsia" w:ascii="宋体" w:hAnsi="宋体" w:eastAsia="宋体" w:cs="宋体"/>
          <w:color w:val="auto"/>
          <w:sz w:val="24"/>
          <w:szCs w:val="24"/>
          <w:highlight w:val="none"/>
          <w:u w:val="single"/>
        </w:rPr>
        <w:t xml:space="preserve">苏建函价【</w:t>
      </w:r>
      <w:r>
        <w:rPr>
          <w:rFonts w:hint="eastAsia" w:ascii="宋体" w:hAnsi="宋体" w:eastAsia="宋体" w:cs="宋体"/>
          <w:color w:val="auto"/>
          <w:sz w:val="24"/>
          <w:szCs w:val="24"/>
          <w:highlight w:val="none"/>
          <w:u w:val="single"/>
        </w:rPr>
        <w:t xml:space="preserve">2025</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rPr>
        <w:t xml:space="preserve">273</w:t>
      </w:r>
      <w:r>
        <w:rPr>
          <w:rFonts w:hint="eastAsia" w:ascii="宋体" w:hAnsi="宋体" w:eastAsia="宋体" w:cs="宋体"/>
          <w:color w:val="auto"/>
          <w:sz w:val="24"/>
          <w:szCs w:val="24"/>
          <w:highlight w:val="none"/>
          <w:u w:val="single"/>
        </w:rPr>
        <w:t xml:space="preserve">号</w:t>
      </w:r>
      <w:r>
        <w:rPr>
          <w:rFonts w:hint="eastAsia" w:ascii="宋体" w:hAnsi="宋体" w:eastAsia="宋体" w:cs="宋体"/>
          <w:color w:val="auto"/>
          <w:sz w:val="24"/>
          <w:szCs w:val="24"/>
          <w:highlight w:val="none"/>
          <w:u w:val="single"/>
        </w:rPr>
        <w:t xml:space="preserve">文件、《江苏省住房和城乡建设厅》【2019】第19号文件计取建筑工人实名制费用。</w:t>
      </w:r>
      <w:r/>
    </w:p>
    <w:p>
      <w:pPr>
        <w:pStyle w:val="984"/>
        <w:pageBreakBefore w:val="0"/>
        <w:spacing w:before="0" w:after="0" w:line="500" w:lineRule="exact"/>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12. 合同价格、计量与支付</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 合同价格形式</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1、单价合同。</w:t>
      </w:r>
      <w:r>
        <w:rPr>
          <w:rFonts w:hint="eastAsia" w:ascii="宋体" w:hAnsi="宋体" w:eastAsia="宋体" w:cs="宋体"/>
          <w:color w:val="auto"/>
          <w:sz w:val="24"/>
          <w:szCs w:val="24"/>
          <w:highlight w:val="none"/>
          <w:u w:val="single"/>
        </w:rPr>
        <w:t xml:space="preserve">本工程综合单价在约定的风险范围内固定。</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综合单价包含的风险范围：</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①承包人应完全承担的是技术和管理风险，如管理费和利润、由于承包人使用机械设备、施工技术以及组织管理水平等自身原因造成施工费用增加的及施工期间各类市场风险等。</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②承包人建设标准高于发包人要求标准时引起多投入的费用已包含在合同价款中，不再另行增补。</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③招标文件及合同明确约定给予调整的情形外的其他一切风险。</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风险费用的计算方法、风险范围以外合同价格的调整方法约定如下：</w:t>
      </w:r>
      <w:r/>
    </w:p>
    <w:p>
      <w:pPr>
        <w:ind w:firstLine="480"/>
        <w:pageBreakBefore w:val="0"/>
        <w:spacing w:line="500" w:lineRule="exact"/>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u w:val="single"/>
          <w:lang w:val="en-US" w:eastAsia="zh-CN"/>
        </w:rPr>
        <w:t xml:space="preserve">(1)</w:t>
      </w:r>
      <w:r>
        <w:rPr>
          <w:rFonts w:hint="eastAsia" w:ascii="宋体" w:hAnsi="宋体" w:eastAsia="宋体" w:cs="宋体"/>
          <w:color w:val="auto"/>
          <w:sz w:val="24"/>
          <w:szCs w:val="24"/>
          <w:highlight w:val="none"/>
          <w:u w:val="single"/>
        </w:rPr>
        <w:t xml:space="preserve">因市场价格波动引起的调整按第11.1款，因法律、政策引起的调整按第11.2款约定执行</w:t>
      </w:r>
      <w:r>
        <w:rPr>
          <w:rFonts w:hint="eastAsia" w:ascii="宋体" w:hAnsi="宋体" w:eastAsia="宋体" w:cs="宋体"/>
          <w:color w:val="auto"/>
          <w:sz w:val="24"/>
          <w:szCs w:val="24"/>
          <w:highlight w:val="none"/>
          <w:u w:val="single"/>
          <w:lang w:eastAsia="zh-CN"/>
        </w:rPr>
        <w:t xml:space="preserve">；人工费调整执行苏建函价【202</w:t>
      </w:r>
      <w:r>
        <w:rPr>
          <w:rFonts w:hint="eastAsia" w:ascii="宋体" w:hAnsi="宋体" w:cs="宋体"/>
          <w:color w:val="auto"/>
          <w:sz w:val="24"/>
          <w:szCs w:val="24"/>
          <w:highlight w:val="none"/>
          <w:u w:val="single"/>
          <w:lang w:val="en-US" w:eastAsia="zh-CN"/>
        </w:rPr>
        <w:t xml:space="preserve">5</w:t>
      </w:r>
      <w:r>
        <w:rPr>
          <w:rFonts w:hint="eastAsia" w:ascii="宋体" w:hAnsi="宋体" w:eastAsia="宋体" w:cs="宋体"/>
          <w:color w:val="auto"/>
          <w:sz w:val="24"/>
          <w:szCs w:val="24"/>
          <w:highlight w:val="none"/>
          <w:u w:val="single"/>
          <w:lang w:eastAsia="zh-CN"/>
        </w:rPr>
        <w:t xml:space="preserve">】273</w:t>
      </w:r>
      <w:r>
        <w:rPr>
          <w:rFonts w:hint="eastAsia" w:ascii="宋体" w:hAnsi="宋体" w:eastAsia="宋体" w:cs="宋体"/>
          <w:color w:val="auto"/>
          <w:sz w:val="24"/>
          <w:szCs w:val="24"/>
          <w:highlight w:val="none"/>
          <w:u w:val="single"/>
          <w:lang w:eastAsia="zh-CN"/>
        </w:rPr>
        <w:t xml:space="preserve">号文件、《江苏省住房和城乡建设厅》【2019】第19号文件计取建筑工人实名制费用。人工单价按照施工期间对应的人工工资指导价进行调整，并扣除原</w:t>
      </w:r>
      <w:r>
        <w:rPr>
          <w:rFonts w:hint="eastAsia" w:ascii="宋体" w:hAnsi="宋体" w:cs="宋体"/>
          <w:color w:val="auto"/>
          <w:sz w:val="24"/>
          <w:szCs w:val="24"/>
          <w:highlight w:val="none"/>
          <w:u w:val="single"/>
          <w:lang w:eastAsia="zh-CN"/>
        </w:rPr>
        <w:t xml:space="preserve">响应报价</w:t>
      </w:r>
      <w:r>
        <w:rPr>
          <w:rFonts w:hint="eastAsia" w:ascii="宋体" w:hAnsi="宋体" w:eastAsia="宋体" w:cs="宋体"/>
          <w:color w:val="auto"/>
          <w:sz w:val="24"/>
          <w:szCs w:val="24"/>
          <w:highlight w:val="none"/>
          <w:u w:val="single"/>
          <w:lang w:eastAsia="zh-CN"/>
        </w:rPr>
        <w:t xml:space="preserve">中人工单价相对基准日人工工资指导价的让利部分。</w:t>
      </w:r>
      <w:r/>
    </w:p>
    <w:p>
      <w:pPr>
        <w:ind w:firstLine="48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lang w:val="en-US" w:eastAsia="zh-CN"/>
        </w:rPr>
        <w:t xml:space="preserve">(2)</w:t>
      </w:r>
      <w:r>
        <w:rPr>
          <w:rFonts w:hint="eastAsia" w:ascii="宋体" w:hAnsi="宋体" w:eastAsia="宋体" w:cs="宋体"/>
          <w:color w:val="auto"/>
          <w:sz w:val="24"/>
          <w:szCs w:val="24"/>
          <w:highlight w:val="none"/>
          <w:u w:val="single"/>
        </w:rPr>
        <w:t xml:space="preserve">当工程量清单项目工程量的变化幅度超过15%，且其影响分部分项工程费超过0.1%时，执行以下条款：</w:t>
      </w:r>
      <w:r/>
    </w:p>
    <w:p>
      <w:pPr>
        <w:ind w:firstLine="48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①当结算工程量小于或等于投标清单工程量115%时，其相应综合单价仍按</w:t>
      </w:r>
      <w:r>
        <w:rPr>
          <w:rFonts w:hint="eastAsia" w:ascii="宋体" w:hAnsi="宋体" w:cs="宋体"/>
          <w:color w:val="auto"/>
          <w:sz w:val="24"/>
          <w:szCs w:val="24"/>
          <w:highlight w:val="none"/>
          <w:u w:val="single"/>
          <w:lang w:val="en-US" w:eastAsia="zh-CN"/>
        </w:rPr>
        <w:t xml:space="preserve">响应报价（最终报价）</w:t>
      </w:r>
      <w:r>
        <w:rPr>
          <w:rFonts w:hint="eastAsia" w:ascii="宋体" w:hAnsi="宋体" w:eastAsia="宋体" w:cs="宋体"/>
          <w:color w:val="auto"/>
          <w:sz w:val="24"/>
          <w:szCs w:val="24"/>
          <w:highlight w:val="none"/>
          <w:u w:val="single"/>
        </w:rPr>
        <w:t xml:space="preserve">单价进行结算。</w:t>
      </w:r>
      <w:r/>
    </w:p>
    <w:p>
      <w:pPr>
        <w:ind w:firstLine="48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②当结算工程量大于投标清单工程量115%以上时，对超出部分的工程量其相应综合单价执行招标控制价中对应的清单单价再乘以</w:t>
      </w:r>
      <w:r>
        <w:rPr>
          <w:rFonts w:hint="eastAsia" w:ascii="宋体" w:hAnsi="宋体" w:cs="宋体"/>
          <w:color w:val="auto"/>
          <w:sz w:val="24"/>
          <w:szCs w:val="24"/>
          <w:highlight w:val="none"/>
          <w:u w:val="single"/>
          <w:lang w:val="en-US" w:eastAsia="zh-CN"/>
        </w:rPr>
        <w:t xml:space="preserve">成交</w:t>
      </w:r>
      <w:r>
        <w:rPr>
          <w:rFonts w:hint="eastAsia" w:ascii="宋体" w:hAnsi="宋体" w:eastAsia="宋体" w:cs="宋体"/>
          <w:color w:val="auto"/>
          <w:sz w:val="24"/>
          <w:szCs w:val="24"/>
          <w:highlight w:val="none"/>
          <w:u w:val="single"/>
        </w:rPr>
        <w:t xml:space="preserve">价与招标控制价相比的浮动比率后作为综合单价进行结算。</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 预付款</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12.2.1 预付款的支付</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预付款支付比例或金额：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预付款支付期限：</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预付款扣回的方式：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12.2.2 预付款担保</w:t>
      </w:r>
      <w:r/>
    </w:p>
    <w:p>
      <w:pPr>
        <w:ind w:firstLine="420"/>
        <w:pageBreakBefore w:val="0"/>
        <w:spacing w:line="500" w:lineRule="exact"/>
        <w:rPr>
          <w:rFonts w:hint="eastAsia" w:ascii="宋体" w:hAnsi="宋体" w:eastAsia="宋体" w:cs="宋体"/>
          <w:b w:val="0"/>
          <w:bCs w:val="0"/>
          <w:color w:val="auto"/>
          <w:sz w:val="24"/>
          <w:szCs w:val="24"/>
          <w:highlight w:val="none"/>
        </w:rPr>
      </w:pPr>
      <w:r>
        <w:rPr>
          <w:rFonts w:hint="eastAsia" w:ascii="宋体" w:hAnsi="宋体" w:eastAsia="宋体" w:cs="宋体"/>
          <w:color w:val="auto"/>
          <w:sz w:val="24"/>
          <w:szCs w:val="24"/>
          <w:highlight w:val="none"/>
        </w:rPr>
        <w:t xml:space="preserve">承包人提交预付</w:t>
      </w:r>
      <w:r>
        <w:rPr>
          <w:rFonts w:hint="eastAsia" w:ascii="宋体" w:hAnsi="宋体" w:eastAsia="宋体" w:cs="宋体"/>
          <w:b w:val="0"/>
          <w:bCs w:val="0"/>
          <w:color w:val="auto"/>
          <w:sz w:val="24"/>
          <w:szCs w:val="24"/>
          <w:highlight w:val="none"/>
        </w:rPr>
        <w:t xml:space="preserve">款担保的期限：</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u w:val="single"/>
          <w:lang w:val="en-US" w:eastAsia="zh-CN"/>
        </w:rPr>
        <w:t xml:space="preserve">/</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rPr>
        <w:t xml:space="preserve">预付款担保的形式为：</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u w:val="single"/>
          <w:lang w:val="en-US" w:eastAsia="zh-CN"/>
        </w:rPr>
        <w:t xml:space="preserve">/</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 计量</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12.3.1 计量原则</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本工程采用工程量清单方式计价，竣工结算的工程量按实际完成的工程量确定，完成发包人要求的合同以外的零星工作或发生非承包人责任事件的工程量按现场签证确定。</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工程量计算规则：</w:t>
      </w:r>
      <w:r>
        <w:rPr>
          <w:rFonts w:hint="eastAsia" w:ascii="宋体" w:hAnsi="宋体" w:eastAsia="宋体" w:cs="宋体"/>
          <w:color w:val="auto"/>
          <w:sz w:val="24"/>
          <w:szCs w:val="24"/>
          <w:highlight w:val="none"/>
          <w:u w:val="single"/>
        </w:rPr>
        <w:t xml:space="preserve">执行现行国家标准《建设工程工程量清单计价规范》（GB50500-2013）、《市政工程工程量计算规范》（GB50857-2013）、《房屋建筑与装饰工程工程量计算规范》（GB50854-2013）、《通用安装工程工程量计算规范》（GB50856-2013）、《江苏省建筑与装饰工程计价定额》（2014）、《江苏省安装工程计价定额》（2014）、《江苏省建设工程费用定额》（2014）、苏建价〔2016〕154号《江苏省建设工程费用定额》（2014）、苏建函价〔2025〕273号等有关文件规定及</w:t>
      </w:r>
      <w:r>
        <w:rPr>
          <w:rFonts w:hint="eastAsia" w:ascii="宋体" w:hAnsi="宋体" w:cs="宋体"/>
          <w:color w:val="auto"/>
          <w:sz w:val="24"/>
          <w:szCs w:val="24"/>
          <w:highlight w:val="none"/>
          <w:u w:val="single"/>
          <w:lang w:val="en-US" w:eastAsia="zh-CN"/>
        </w:rPr>
        <w:t xml:space="preserve">采购人</w:t>
      </w:r>
      <w:r>
        <w:rPr>
          <w:rFonts w:hint="eastAsia" w:ascii="宋体" w:hAnsi="宋体" w:eastAsia="宋体" w:cs="宋体"/>
          <w:color w:val="auto"/>
          <w:sz w:val="24"/>
          <w:szCs w:val="24"/>
          <w:highlight w:val="none"/>
          <w:u w:val="single"/>
        </w:rPr>
        <w:t xml:space="preserve">提供的工程量清单。</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12.3.2 计量周期</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关于计量周期的约定：</w:t>
      </w:r>
      <w:r>
        <w:rPr>
          <w:rFonts w:hint="eastAsia" w:ascii="宋体" w:hAnsi="宋体" w:eastAsia="宋体" w:cs="宋体"/>
          <w:color w:val="auto"/>
          <w:sz w:val="24"/>
          <w:szCs w:val="24"/>
          <w:highlight w:val="none"/>
          <w:u w:val="single"/>
        </w:rPr>
        <w:t xml:space="preserve">按月进行，每月的25日前提交本月已完工程量报告及相关形象进度资料。如承包人未按时报送工程量，影响工程款支付的，由承包人自行负责</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12.3.3 单价合同的计量</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关于单价合同计量的约定：</w:t>
      </w:r>
      <w:r>
        <w:rPr>
          <w:rFonts w:hint="eastAsia" w:ascii="宋体" w:hAnsi="宋体" w:eastAsia="宋体" w:cs="宋体"/>
          <w:color w:val="auto"/>
          <w:sz w:val="24"/>
          <w:szCs w:val="24"/>
          <w:highlight w:val="none"/>
          <w:u w:val="single"/>
        </w:rPr>
        <w:t xml:space="preserve">（1）承包人应于每月25日向监理人报送</w:t>
      </w:r>
      <w:r>
        <w:rPr>
          <w:rFonts w:hint="eastAsia" w:ascii="宋体" w:hAnsi="宋体" w:eastAsia="宋体" w:cs="宋体"/>
          <w:color w:val="auto"/>
          <w:sz w:val="24"/>
          <w:szCs w:val="24"/>
          <w:highlight w:val="none"/>
          <w:u w:val="single"/>
          <w:lang w:val="en-US" w:eastAsia="zh-CN"/>
        </w:rPr>
        <w:t xml:space="preserve">本</w:t>
      </w:r>
      <w:r>
        <w:rPr>
          <w:rFonts w:hint="eastAsia" w:ascii="宋体" w:hAnsi="宋体" w:eastAsia="宋体" w:cs="宋体"/>
          <w:color w:val="auto"/>
          <w:sz w:val="24"/>
          <w:szCs w:val="24"/>
          <w:highlight w:val="none"/>
          <w:u w:val="single"/>
        </w:rPr>
        <w:t xml:space="preserve">月已完成的工程量报告，并附具进度付款申请单、已完成工程量报表和有关资料。</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复核或修正的工程量视为承包人实际完成的工程量。</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（3）监理人未在收到承包人提交的工程量报表后的7天内完成审核的，承包人报送的工程量报告中的工程量视为承包人实际完成的工程量，据此计算工程价款。</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 工程进度款支付</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12.4.1 付款</w:t>
      </w:r>
      <w:r/>
    </w:p>
    <w:p>
      <w:pPr>
        <w:ind w:firstLine="48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关于付款周期的约定：</w:t>
      </w:r>
      <w:r/>
    </w:p>
    <w:p>
      <w:pPr>
        <w:ind w:firstLine="480"/>
        <w:jc w:val="left"/>
        <w:spacing w:line="440" w:lineRule="exact"/>
        <w:rPr>
          <w:rFonts w:hint="eastAsia" w:ascii="宋体" w:hAnsi="宋体" w:eastAsia="宋体" w:cs="宋体"/>
          <w:b w:val="0"/>
          <w:bCs/>
          <w:color w:val="auto"/>
          <w:sz w:val="24"/>
          <w:highlight w:val="none"/>
          <w:u w:val="single"/>
        </w:rPr>
      </w:pPr>
      <w:r>
        <w:rPr>
          <w:rFonts w:hint="eastAsia" w:ascii="宋体" w:hAnsi="宋体" w:eastAsia="宋体" w:cs="宋体"/>
          <w:color w:val="auto"/>
          <w:sz w:val="24"/>
          <w:szCs w:val="24"/>
          <w:highlight w:val="none"/>
        </w:rPr>
        <w:t xml:space="preserve">本合同总金额为人民币大写金额</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元（小写金额：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w:t>
      </w:r>
      <w:r>
        <w:rPr>
          <w:rFonts w:hint="eastAsia" w:ascii="宋体" w:hAnsi="宋体" w:eastAsia="宋体" w:cs="宋体"/>
          <w:b w:val="0"/>
          <w:bCs/>
          <w:color w:val="auto"/>
          <w:sz w:val="24"/>
          <w:highlight w:val="none"/>
          <w:u w:val="none"/>
        </w:rPr>
        <w:t xml:space="preserve">选择以下付款方式：</w:t>
      </w:r>
      <w:r/>
    </w:p>
    <w:p>
      <w:pPr>
        <w:ind w:firstLine="422"/>
        <w:pageBreakBefore w:val="0"/>
        <w:spacing w:line="500" w:lineRule="exact"/>
        <w:rPr>
          <w:rFonts w:hint="eastAsia" w:ascii="宋体" w:hAnsi="宋体" w:eastAsia="宋体" w:cs="宋体"/>
          <w:b/>
          <w:color w:val="auto"/>
          <w:sz w:val="24"/>
          <w:szCs w:val="24"/>
          <w:highlight w:val="none"/>
          <w:u w:val="single"/>
        </w:rPr>
      </w:pPr>
      <w:r>
        <w:rPr>
          <w:rFonts w:hint="eastAsia" w:ascii="宋体" w:hAnsi="宋体" w:eastAsia="宋体" w:cs="宋体"/>
          <w:b/>
          <w:bCs/>
          <w:color w:val="auto"/>
          <w:sz w:val="24"/>
          <w:szCs w:val="24"/>
          <w:highlight w:val="none"/>
          <w:u w:val="single"/>
        </w:rPr>
        <w:t xml:space="preserve">①</w:t>
      </w:r>
      <w:r>
        <w:rPr>
          <w:rFonts w:hint="eastAsia" w:ascii="宋体" w:hAnsi="宋体" w:eastAsia="宋体" w:cs="宋体"/>
          <w:b/>
          <w:color w:val="auto"/>
          <w:sz w:val="24"/>
          <w:szCs w:val="24"/>
          <w:highlight w:val="none"/>
          <w:u w:val="single"/>
        </w:rPr>
        <w:t xml:space="preserve">工程完成总工程量的2/3后30</w:t>
      </w:r>
      <w:r>
        <w:rPr>
          <w:rFonts w:hint="eastAsia" w:ascii="宋体" w:hAnsi="宋体" w:eastAsia="宋体" w:cs="宋体"/>
          <w:b/>
          <w:color w:val="auto"/>
          <w:sz w:val="24"/>
          <w:szCs w:val="24"/>
          <w:highlight w:val="none"/>
          <w:u w:val="single"/>
          <w:lang w:val="en-US" w:eastAsia="zh-CN"/>
        </w:rPr>
        <w:t xml:space="preserve">日</w:t>
      </w:r>
      <w:r>
        <w:rPr>
          <w:rFonts w:hint="eastAsia" w:ascii="宋体" w:hAnsi="宋体" w:eastAsia="宋体" w:cs="宋体"/>
          <w:b/>
          <w:color w:val="auto"/>
          <w:sz w:val="24"/>
          <w:szCs w:val="24"/>
          <w:highlight w:val="none"/>
          <w:u w:val="single"/>
        </w:rPr>
        <w:t xml:space="preserve">内</w:t>
      </w:r>
      <w:r>
        <w:rPr>
          <w:rFonts w:hint="eastAsia" w:ascii="宋体" w:hAnsi="宋体" w:cs="宋体"/>
          <w:b/>
          <w:color w:val="auto"/>
          <w:sz w:val="24"/>
          <w:szCs w:val="24"/>
          <w:highlight w:val="none"/>
          <w:u w:val="single"/>
          <w:lang w:val="en-US" w:eastAsia="zh-CN"/>
        </w:rPr>
        <w:t xml:space="preserve">申请</w:t>
      </w:r>
      <w:r>
        <w:rPr>
          <w:rFonts w:hint="eastAsia" w:ascii="宋体" w:hAnsi="宋体" w:eastAsia="宋体" w:cs="宋体"/>
          <w:b/>
          <w:color w:val="auto"/>
          <w:sz w:val="24"/>
          <w:szCs w:val="24"/>
          <w:highlight w:val="none"/>
          <w:u w:val="single"/>
        </w:rPr>
        <w:t xml:space="preserve">支付至合同价款的</w:t>
      </w:r>
      <w:r>
        <w:rPr>
          <w:rFonts w:hint="eastAsia" w:ascii="宋体" w:hAnsi="宋体" w:eastAsia="宋体" w:cs="宋体"/>
          <w:b/>
          <w:bCs/>
          <w:color w:val="auto"/>
          <w:sz w:val="24"/>
          <w:szCs w:val="24"/>
          <w:highlight w:val="none"/>
          <w:u w:val="single"/>
        </w:rPr>
        <w:t xml:space="preserve">百分之五十（</w:t>
      </w:r>
      <w:r>
        <w:rPr>
          <w:rFonts w:hint="eastAsia" w:ascii="宋体" w:hAnsi="宋体" w:eastAsia="宋体" w:cs="宋体"/>
          <w:b/>
          <w:color w:val="auto"/>
          <w:sz w:val="24"/>
          <w:szCs w:val="24"/>
          <w:highlight w:val="none"/>
          <w:u w:val="single"/>
        </w:rPr>
        <w:t xml:space="preserve">50%</w:t>
      </w:r>
      <w:r>
        <w:rPr>
          <w:rFonts w:hint="eastAsia" w:ascii="宋体" w:hAnsi="宋体" w:eastAsia="宋体" w:cs="宋体"/>
          <w:b/>
          <w:bCs/>
          <w:color w:val="auto"/>
          <w:sz w:val="24"/>
          <w:szCs w:val="24"/>
          <w:highlight w:val="none"/>
          <w:u w:val="single"/>
        </w:rPr>
        <w:t xml:space="preserve">）。</w:t>
      </w:r>
      <w:r/>
    </w:p>
    <w:p>
      <w:pPr>
        <w:ind w:firstLine="422"/>
        <w:pageBreakBefore w:val="0"/>
        <w:spacing w:line="500" w:lineRule="exact"/>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u w:val="single"/>
        </w:rPr>
        <w:t xml:space="preserve">②工程竣工验收合格后30</w:t>
      </w:r>
      <w:r>
        <w:rPr>
          <w:rFonts w:hint="eastAsia" w:ascii="宋体" w:hAnsi="宋体" w:eastAsia="宋体" w:cs="宋体"/>
          <w:b/>
          <w:color w:val="auto"/>
          <w:sz w:val="24"/>
          <w:szCs w:val="24"/>
          <w:highlight w:val="none"/>
          <w:u w:val="single"/>
          <w:lang w:val="en-US" w:eastAsia="zh-CN"/>
        </w:rPr>
        <w:t xml:space="preserve">日</w:t>
      </w:r>
      <w:r>
        <w:rPr>
          <w:rFonts w:hint="eastAsia" w:ascii="宋体" w:hAnsi="宋体" w:eastAsia="宋体" w:cs="宋体"/>
          <w:b/>
          <w:color w:val="auto"/>
          <w:sz w:val="24"/>
          <w:szCs w:val="24"/>
          <w:highlight w:val="none"/>
          <w:u w:val="single"/>
        </w:rPr>
        <w:t xml:space="preserve">内</w:t>
      </w:r>
      <w:r>
        <w:rPr>
          <w:rFonts w:hint="eastAsia" w:ascii="宋体" w:hAnsi="宋体" w:cs="宋体"/>
          <w:b/>
          <w:color w:val="auto"/>
          <w:sz w:val="24"/>
          <w:szCs w:val="24"/>
          <w:highlight w:val="none"/>
          <w:u w:val="single"/>
          <w:lang w:val="en-US" w:eastAsia="zh-CN"/>
        </w:rPr>
        <w:t xml:space="preserve">申请</w:t>
      </w:r>
      <w:r>
        <w:rPr>
          <w:rFonts w:hint="eastAsia" w:ascii="宋体" w:hAnsi="宋体" w:eastAsia="宋体" w:cs="宋体"/>
          <w:b/>
          <w:color w:val="auto"/>
          <w:sz w:val="24"/>
          <w:szCs w:val="24"/>
          <w:highlight w:val="none"/>
          <w:u w:val="single"/>
        </w:rPr>
        <w:t xml:space="preserve">支付至合同价款的</w:t>
      </w:r>
      <w:r>
        <w:rPr>
          <w:rFonts w:hint="eastAsia" w:ascii="宋体" w:hAnsi="宋体" w:eastAsia="宋体" w:cs="宋体"/>
          <w:b/>
          <w:bCs/>
          <w:color w:val="auto"/>
          <w:sz w:val="24"/>
          <w:szCs w:val="24"/>
          <w:highlight w:val="none"/>
          <w:u w:val="single"/>
        </w:rPr>
        <w:t xml:space="preserve">百分之</w:t>
      </w:r>
      <w:r>
        <w:rPr>
          <w:rFonts w:hint="eastAsia" w:ascii="宋体" w:hAnsi="宋体" w:eastAsia="宋体" w:cs="宋体"/>
          <w:b/>
          <w:bCs/>
          <w:color w:val="auto"/>
          <w:sz w:val="24"/>
          <w:szCs w:val="24"/>
          <w:highlight w:val="none"/>
          <w:u w:val="single"/>
          <w:lang w:val="en-US" w:eastAsia="zh-CN"/>
        </w:rPr>
        <w:t xml:space="preserve">八</w:t>
      </w:r>
      <w:r>
        <w:rPr>
          <w:rFonts w:hint="eastAsia" w:ascii="宋体" w:hAnsi="宋体" w:eastAsia="宋体" w:cs="宋体"/>
          <w:b/>
          <w:bCs/>
          <w:color w:val="auto"/>
          <w:sz w:val="24"/>
          <w:szCs w:val="24"/>
          <w:highlight w:val="none"/>
          <w:u w:val="single"/>
        </w:rPr>
        <w:t xml:space="preserve">十（</w:t>
      </w:r>
      <w:r>
        <w:rPr>
          <w:rFonts w:hint="eastAsia" w:ascii="宋体" w:hAnsi="宋体" w:eastAsia="宋体" w:cs="宋体"/>
          <w:b/>
          <w:bCs/>
          <w:color w:val="auto"/>
          <w:sz w:val="24"/>
          <w:szCs w:val="24"/>
          <w:highlight w:val="none"/>
          <w:u w:val="single"/>
          <w:lang w:val="en-US" w:eastAsia="zh-CN"/>
        </w:rPr>
        <w:t xml:space="preserve">8</w:t>
      </w:r>
      <w:r>
        <w:rPr>
          <w:rFonts w:hint="eastAsia" w:ascii="宋体" w:hAnsi="宋体" w:eastAsia="宋体" w:cs="宋体"/>
          <w:b/>
          <w:color w:val="auto"/>
          <w:sz w:val="24"/>
          <w:szCs w:val="24"/>
          <w:highlight w:val="none"/>
          <w:u w:val="single"/>
        </w:rPr>
        <w:t xml:space="preserve">0%</w:t>
      </w:r>
      <w:r>
        <w:rPr>
          <w:rFonts w:hint="eastAsia" w:ascii="宋体" w:hAnsi="宋体" w:eastAsia="宋体" w:cs="宋体"/>
          <w:b/>
          <w:bCs/>
          <w:color w:val="auto"/>
          <w:sz w:val="24"/>
          <w:szCs w:val="24"/>
          <w:highlight w:val="none"/>
          <w:u w:val="single"/>
        </w:rPr>
        <w:t xml:space="preserve">）。</w:t>
      </w:r>
      <w:r/>
    </w:p>
    <w:p>
      <w:pPr>
        <w:ind w:firstLine="422"/>
        <w:pageBreakBefore w:val="0"/>
        <w:spacing w:line="500" w:lineRule="exact"/>
        <w:rPr>
          <w:rFonts w:hint="eastAsia" w:ascii="宋体" w:hAnsi="宋体" w:eastAsia="宋体" w:cs="宋体"/>
          <w:b/>
          <w:color w:val="auto"/>
          <w:sz w:val="24"/>
          <w:szCs w:val="24"/>
          <w:highlight w:val="none"/>
          <w:u w:val="single"/>
          <w:lang w:eastAsia="zh-CN"/>
        </w:rPr>
      </w:pPr>
      <w:r>
        <w:rPr>
          <w:rFonts w:hint="eastAsia" w:ascii="宋体" w:hAnsi="宋体" w:eastAsia="宋体" w:cs="宋体"/>
          <w:b/>
          <w:color w:val="auto"/>
          <w:sz w:val="24"/>
          <w:szCs w:val="24"/>
          <w:highlight w:val="none"/>
          <w:u w:val="single"/>
        </w:rPr>
        <w:t xml:space="preserve">③结算资料报发包人，经必要双方认可的竣工结算审计完成后，30</w:t>
      </w:r>
      <w:r>
        <w:rPr>
          <w:rFonts w:hint="eastAsia" w:ascii="宋体" w:hAnsi="宋体" w:eastAsia="宋体" w:cs="宋体"/>
          <w:b/>
          <w:color w:val="auto"/>
          <w:sz w:val="24"/>
          <w:szCs w:val="24"/>
          <w:highlight w:val="none"/>
          <w:u w:val="single"/>
          <w:lang w:val="en-US" w:eastAsia="zh-CN"/>
        </w:rPr>
        <w:t xml:space="preserve">日</w:t>
      </w:r>
      <w:r>
        <w:rPr>
          <w:rFonts w:hint="eastAsia" w:ascii="宋体" w:hAnsi="宋体" w:eastAsia="宋体" w:cs="宋体"/>
          <w:b/>
          <w:color w:val="auto"/>
          <w:sz w:val="24"/>
          <w:szCs w:val="24"/>
          <w:highlight w:val="none"/>
          <w:u w:val="single"/>
        </w:rPr>
        <w:t xml:space="preserve">内</w:t>
      </w:r>
      <w:r>
        <w:rPr>
          <w:rFonts w:hint="eastAsia" w:ascii="宋体" w:hAnsi="宋体" w:cs="宋体"/>
          <w:b/>
          <w:color w:val="auto"/>
          <w:sz w:val="24"/>
          <w:szCs w:val="24"/>
          <w:highlight w:val="none"/>
          <w:u w:val="single"/>
          <w:lang w:val="en-US" w:eastAsia="zh-CN"/>
        </w:rPr>
        <w:t xml:space="preserve">申请</w:t>
      </w:r>
      <w:r>
        <w:rPr>
          <w:rFonts w:hint="eastAsia" w:ascii="宋体" w:hAnsi="宋体" w:eastAsia="宋体" w:cs="宋体"/>
          <w:b/>
          <w:color w:val="auto"/>
          <w:sz w:val="24"/>
          <w:szCs w:val="24"/>
          <w:highlight w:val="none"/>
          <w:u w:val="single"/>
        </w:rPr>
        <w:t xml:space="preserve">支付至双方认可的</w:t>
      </w:r>
      <w:r>
        <w:rPr>
          <w:rFonts w:hint="eastAsia" w:ascii="宋体" w:hAnsi="宋体" w:eastAsia="宋体" w:cs="宋体"/>
          <w:b/>
          <w:color w:val="auto"/>
          <w:sz w:val="24"/>
          <w:szCs w:val="24"/>
          <w:highlight w:val="none"/>
          <w:u w:val="single"/>
          <w:lang w:val="en-US" w:eastAsia="zh-CN"/>
        </w:rPr>
        <w:t xml:space="preserve">结算</w:t>
      </w:r>
      <w:r>
        <w:rPr>
          <w:rFonts w:hint="eastAsia" w:ascii="宋体" w:hAnsi="宋体" w:eastAsia="宋体" w:cs="宋体"/>
          <w:b/>
          <w:color w:val="auto"/>
          <w:sz w:val="24"/>
          <w:szCs w:val="24"/>
          <w:highlight w:val="none"/>
          <w:u w:val="single"/>
        </w:rPr>
        <w:t xml:space="preserve">价的100%；</w:t>
      </w:r>
      <w:r/>
    </w:p>
    <w:p>
      <w:pPr>
        <w:ind w:firstLine="422"/>
        <w:pageBreakBefore w:val="0"/>
        <w:spacing w:line="500" w:lineRule="exact"/>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t xml:space="preserve">其他约定：</w:t>
      </w:r>
      <w:r/>
    </w:p>
    <w:p>
      <w:pPr>
        <w:ind w:firstLine="422"/>
        <w:pageBreakBefore w:val="0"/>
        <w:spacing w:line="500" w:lineRule="exact"/>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u w:val="single"/>
        </w:rPr>
        <w:t xml:space="preserve">由乙方开具发票后，甲方按照财政流程申请支付。支付程序、时间节点遵循发包人财务付款程序。</w:t>
      </w:r>
      <w:r/>
    </w:p>
    <w:p>
      <w:pPr>
        <w:ind w:firstLine="422"/>
        <w:pageBreakBefore w:val="0"/>
        <w:spacing w:line="500" w:lineRule="exact"/>
        <w:widowControl/>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t xml:space="preserve">发包人按照工程实际进度，按月拨付已完成工程款的20%以上到承包</w:t>
      </w:r>
      <w:r>
        <w:rPr>
          <w:rFonts w:hint="eastAsia" w:ascii="宋体" w:hAnsi="宋体" w:cs="宋体"/>
          <w:b/>
          <w:bCs/>
          <w:color w:val="auto"/>
          <w:sz w:val="24"/>
          <w:szCs w:val="24"/>
          <w:highlight w:val="none"/>
          <w:u w:val="single"/>
          <w:lang w:eastAsia="zh-CN"/>
        </w:rPr>
        <w:t xml:space="preserve">人</w:t>
      </w:r>
      <w:r>
        <w:rPr>
          <w:rFonts w:hint="eastAsia" w:ascii="宋体" w:hAnsi="宋体" w:eastAsia="宋体" w:cs="宋体"/>
          <w:b/>
          <w:bCs/>
          <w:color w:val="auto"/>
          <w:sz w:val="24"/>
          <w:szCs w:val="24"/>
          <w:highlight w:val="none"/>
          <w:u w:val="single"/>
        </w:rPr>
        <w:t xml:space="preserve">工资存储专户。</w:t>
      </w:r>
      <w:r/>
    </w:p>
    <w:p>
      <w:pPr>
        <w:ind w:firstLine="422"/>
        <w:pageBreakBefore w:val="0"/>
        <w:spacing w:line="500" w:lineRule="exact"/>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t xml:space="preserve">合同履行过程中合同价款的调整均在竣工结算时调整，合同履行过程中不预付该款项。</w:t>
      </w:r>
      <w:r/>
    </w:p>
    <w:p>
      <w:pPr>
        <w:ind w:firstLine="422"/>
        <w:pageBreakBefore w:val="0"/>
        <w:spacing w:line="500" w:lineRule="exact"/>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t xml:space="preserve">合同约定的承包人应承担的违约金及各项费用，发包人有权从工程款中直接扣除。</w:t>
      </w:r>
      <w:r/>
    </w:p>
    <w:p>
      <w:pPr>
        <w:ind w:firstLine="422"/>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u w:val="single"/>
        </w:rPr>
        <w:t xml:space="preserve">进度款与质量挂钩，如果所完成工程的质量达不到验收规范要求，发包人有权暂缓支付该部分工程款，待承包人整改完成符合验收规范要求后再行支付。</w:t>
      </w:r>
      <w:r/>
    </w:p>
    <w:p>
      <w:pPr>
        <w:ind w:firstLine="482"/>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u w:val="single"/>
        </w:rPr>
        <w:t xml:space="preserve">履约保证金的</w:t>
      </w:r>
      <w:r>
        <w:rPr>
          <w:rFonts w:hint="eastAsia" w:ascii="宋体" w:hAnsi="宋体" w:cs="宋体"/>
          <w:b/>
          <w:bCs/>
          <w:color w:val="auto"/>
          <w:sz w:val="24"/>
          <w:szCs w:val="24"/>
          <w:highlight w:val="none"/>
          <w:u w:val="single"/>
          <w:lang w:val="en-US" w:eastAsia="zh-CN"/>
        </w:rPr>
        <w:t xml:space="preserve">退还</w:t>
      </w:r>
      <w:r>
        <w:rPr>
          <w:rFonts w:hint="eastAsia" w:ascii="宋体" w:hAnsi="宋体" w:eastAsia="宋体" w:cs="宋体"/>
          <w:b/>
          <w:bCs/>
          <w:color w:val="auto"/>
          <w:sz w:val="24"/>
          <w:szCs w:val="24"/>
          <w:highlight w:val="none"/>
          <w:u w:val="single"/>
        </w:rPr>
        <w:t xml:space="preserve">：待工程竣工验收合格且质保期满无质量问题后无息退还。如果承包</w:t>
      </w:r>
      <w:r>
        <w:rPr>
          <w:rFonts w:hint="eastAsia" w:ascii="宋体" w:hAnsi="宋体" w:cs="宋体"/>
          <w:b/>
          <w:bCs/>
          <w:color w:val="auto"/>
          <w:sz w:val="24"/>
          <w:szCs w:val="24"/>
          <w:highlight w:val="none"/>
          <w:u w:val="single"/>
          <w:lang w:eastAsia="zh-CN"/>
        </w:rPr>
        <w:t xml:space="preserve">人</w:t>
      </w:r>
      <w:r>
        <w:rPr>
          <w:rFonts w:hint="eastAsia" w:ascii="宋体" w:hAnsi="宋体" w:eastAsia="宋体" w:cs="宋体"/>
          <w:b/>
          <w:bCs/>
          <w:color w:val="auto"/>
          <w:sz w:val="24"/>
          <w:szCs w:val="24"/>
          <w:highlight w:val="none"/>
          <w:u w:val="single"/>
        </w:rPr>
        <w:t xml:space="preserve">不履行合同约定的义务，未能完全履行合同规定的义务或其履行不符合合同的约定，</w:t>
      </w:r>
      <w:r>
        <w:rPr>
          <w:rFonts w:hint="eastAsia" w:ascii="宋体" w:hAnsi="宋体" w:cs="宋体"/>
          <w:b/>
          <w:bCs/>
          <w:color w:val="auto"/>
          <w:sz w:val="24"/>
          <w:szCs w:val="24"/>
          <w:highlight w:val="none"/>
          <w:u w:val="single"/>
          <w:lang w:eastAsia="zh-CN"/>
        </w:rPr>
        <w:t xml:space="preserve">发包人</w:t>
      </w:r>
      <w:r>
        <w:rPr>
          <w:rFonts w:hint="eastAsia" w:ascii="宋体" w:hAnsi="宋体" w:eastAsia="宋体" w:cs="宋体"/>
          <w:b/>
          <w:bCs/>
          <w:color w:val="auto"/>
          <w:sz w:val="24"/>
          <w:szCs w:val="24"/>
          <w:highlight w:val="none"/>
          <w:u w:val="single"/>
        </w:rPr>
        <w:t xml:space="preserve">有权扣除履约保证金取得补偿。</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12.4.2 进度付款申请单的编制</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关于进度付款申请单编制的约定：</w:t>
      </w:r>
      <w:r>
        <w:rPr>
          <w:rFonts w:hint="eastAsia" w:ascii="宋体" w:hAnsi="宋体" w:eastAsia="宋体" w:cs="宋体"/>
          <w:color w:val="auto"/>
          <w:sz w:val="24"/>
          <w:szCs w:val="24"/>
          <w:highlight w:val="none"/>
          <w:u w:val="single"/>
        </w:rPr>
        <w:t xml:space="preserve">执行通用条款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12.4.3 进度付款申请单的提交</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（1）单价合同进度付款申请单提交的约定：</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（2）总价合同进度付款申请单提交的约定：</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（3）其他价格形式合同进度付款申请单提交的约定：</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12.4.4 进度款审核和支付</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（1）监理人审查并报送发包人的期限：</w:t>
      </w:r>
      <w:r>
        <w:rPr>
          <w:rFonts w:hint="eastAsia" w:ascii="宋体" w:hAnsi="宋体" w:eastAsia="宋体" w:cs="宋体"/>
          <w:color w:val="auto"/>
          <w:sz w:val="24"/>
          <w:szCs w:val="24"/>
          <w:highlight w:val="none"/>
          <w:u w:val="single"/>
        </w:rPr>
        <w:t xml:space="preserve">收到承包人修正后的进度付款申请单及发票后3个工作日内</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发包人完成审批并签发进度款支付证书的期限：</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（2）发包人支付进度款的期限：</w:t>
      </w:r>
      <w:r>
        <w:rPr>
          <w:rFonts w:hint="eastAsia" w:ascii="宋体" w:hAnsi="宋体" w:eastAsia="宋体" w:cs="宋体"/>
          <w:color w:val="auto"/>
          <w:sz w:val="24"/>
          <w:szCs w:val="24"/>
          <w:highlight w:val="none"/>
          <w:u w:val="single"/>
        </w:rPr>
        <w:t xml:space="preserve">  遵循采购人工程付款程序，无息。</w:t>
      </w:r>
      <w:r/>
    </w:p>
    <w:p>
      <w:pPr>
        <w:ind w:firstLine="525"/>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12.4.6 支付分解表的编制</w:t>
      </w:r>
      <w:r/>
    </w:p>
    <w:p>
      <w:pPr>
        <w:ind w:left="4348" w:hanging="378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2、总价合同支付分解表的编制与审批：</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3、单价合同的总价项目支付分解表的编制与审批：</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 xml:space="preserve">。</w:t>
      </w:r>
      <w:r/>
    </w:p>
    <w:p>
      <w:pPr>
        <w:pStyle w:val="984"/>
        <w:pageBreakBefore w:val="0"/>
        <w:spacing w:before="0" w:after="0" w:line="500" w:lineRule="exact"/>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13. 验收和工程试车</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 分部分项工程验收</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13.1.2监理人不能按时进行验收时，应提前</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 xml:space="preserve">小时提交书面延期要求。</w:t>
      </w:r>
      <w:r/>
    </w:p>
    <w:p>
      <w:pPr>
        <w:ind w:firstLine="420"/>
        <w:pageBreakBefore w:val="0"/>
        <w:spacing w:line="500" w:lineRule="exact"/>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关于延期最长不得超过：</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 xml:space="preserve">小时。</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 竣工验收</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13.2.2竣工验收程序</w:t>
      </w:r>
      <w:r/>
    </w:p>
    <w:p>
      <w:pPr>
        <w:ind w:firstLine="48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关于竣工验收程序的约定：</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 xml:space="preserve">。</w:t>
      </w:r>
      <w:r>
        <w:rPr>
          <w:rFonts w:hint="eastAsia" w:ascii="宋体" w:hAnsi="宋体" w:eastAsia="宋体" w:cs="宋体"/>
          <w:b/>
          <w:bCs/>
          <w:color w:val="auto"/>
          <w:sz w:val="24"/>
          <w:szCs w:val="24"/>
          <w:highlight w:val="none"/>
        </w:rPr>
        <w:t xml:space="preserve">验收发生的检测(检验)费、专业技术人员费用等费用支出由承包人承担。</w:t>
      </w:r>
      <w:r>
        <w:rPr>
          <w:rFonts w:hint="eastAsia" w:ascii="宋体" w:hAnsi="宋体" w:eastAsia="宋体" w:cs="宋体"/>
          <w:b w:val="0"/>
          <w:bCs w:val="0"/>
          <w:color w:val="auto"/>
          <w:sz w:val="24"/>
          <w:szCs w:val="24"/>
          <w:highlight w:val="none"/>
        </w:rPr>
        <w:t xml:space="preserve">在竣工验收中被验收专家组指出明显、严重问题缺陷的，每发现一项，将向发包人支付合同金额1%的违约金。</w:t>
      </w:r>
      <w:r/>
    </w:p>
    <w:p>
      <w:pPr>
        <w:ind w:firstLine="48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发包人不按照本项约定组织竣工验收、颁发工程接收证书的违约金的计算方法：</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13.2.5移交、接收全部与部分工程</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承包人向发包人移交工程的期限：</w:t>
      </w:r>
      <w:r>
        <w:rPr>
          <w:rFonts w:hint="eastAsia" w:ascii="宋体" w:hAnsi="宋体" w:eastAsia="宋体" w:cs="宋体"/>
          <w:color w:val="auto"/>
          <w:sz w:val="24"/>
          <w:szCs w:val="24"/>
          <w:highlight w:val="none"/>
          <w:u w:val="single"/>
        </w:rPr>
        <w:t xml:space="preserve">30天内（含30天），每延迟一天承包人应向发包人支付合同价款千分之五违约金，超过30天，每延迟一天承包人应向发包人支付合同价款千分之十违约金。</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13.3 工程试车</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13.3.1 试车程序</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工程试车内容：</w:t>
      </w:r>
      <w:r>
        <w:rPr>
          <w:rFonts w:hint="eastAsia" w:ascii="宋体" w:hAnsi="宋体" w:eastAsia="宋体" w:cs="宋体"/>
          <w:color w:val="auto"/>
          <w:sz w:val="24"/>
          <w:szCs w:val="24"/>
          <w:highlight w:val="none"/>
          <w:u w:val="single"/>
        </w:rPr>
        <w:t xml:space="preserve">   以监理通知为准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（1）单机无负荷试车费用由</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 xml:space="preserve">承担；</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（2）无负荷联动试车费用由</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 xml:space="preserve">承担。</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13.3.3 投料试车</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关于投料试车相关事项的约定：</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13.6 竣工退场</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13.6.1 竣工退场</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承包人完成竣工退场的期限：</w:t>
      </w:r>
      <w:r>
        <w:rPr>
          <w:rFonts w:hint="eastAsia" w:ascii="宋体" w:hAnsi="宋体" w:eastAsia="宋体" w:cs="宋体"/>
          <w:color w:val="auto"/>
          <w:sz w:val="24"/>
          <w:szCs w:val="24"/>
          <w:highlight w:val="none"/>
          <w:u w:val="single"/>
        </w:rPr>
        <w:t xml:space="preserve">   以监理通知为准   </w:t>
      </w:r>
      <w:r>
        <w:rPr>
          <w:rFonts w:hint="eastAsia" w:ascii="宋体" w:hAnsi="宋体" w:eastAsia="宋体" w:cs="宋体"/>
          <w:color w:val="auto"/>
          <w:sz w:val="24"/>
          <w:szCs w:val="24"/>
          <w:highlight w:val="none"/>
        </w:rPr>
        <w:t xml:space="preserve">。</w:t>
      </w:r>
      <w:r/>
    </w:p>
    <w:p>
      <w:pPr>
        <w:pStyle w:val="984"/>
        <w:ind w:firstLine="480"/>
        <w:pageBreakBefore w:val="0"/>
        <w:spacing w:before="0" w:after="0" w:line="500" w:lineRule="exact"/>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14. 竣工结算</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 竣工结算申请</w:t>
      </w:r>
      <w:r/>
    </w:p>
    <w:p>
      <w:pPr>
        <w:ind w:firstLine="48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承包人提交竣工结算申请单的期限：</w:t>
      </w:r>
      <w:r>
        <w:rPr>
          <w:rFonts w:hint="eastAsia" w:ascii="宋体" w:hAnsi="宋体" w:eastAsia="宋体" w:cs="宋体"/>
          <w:color w:val="auto"/>
          <w:sz w:val="24"/>
          <w:szCs w:val="24"/>
          <w:highlight w:val="none"/>
          <w:u w:val="single"/>
        </w:rPr>
        <w:t xml:space="preserve">工程竣工验收合格后30天内提供完整的结算书，否则逾期影响财政结算不再受理，违约责任由承包</w:t>
      </w:r>
      <w:r>
        <w:rPr>
          <w:rFonts w:hint="eastAsia" w:ascii="宋体" w:hAnsi="宋体" w:cs="宋体"/>
          <w:color w:val="auto"/>
          <w:sz w:val="24"/>
          <w:szCs w:val="24"/>
          <w:highlight w:val="none"/>
          <w:u w:val="single"/>
          <w:lang w:eastAsia="zh-CN"/>
        </w:rPr>
        <w:t xml:space="preserve">人</w:t>
      </w:r>
      <w:r>
        <w:rPr>
          <w:rFonts w:hint="eastAsia" w:ascii="宋体" w:hAnsi="宋体" w:eastAsia="宋体" w:cs="宋体"/>
          <w:color w:val="auto"/>
          <w:sz w:val="24"/>
          <w:szCs w:val="24"/>
          <w:highlight w:val="none"/>
          <w:u w:val="single"/>
        </w:rPr>
        <w:t xml:space="preserve">承担</w:t>
      </w:r>
      <w:r>
        <w:rPr>
          <w:rFonts w:hint="eastAsia" w:ascii="宋体" w:hAnsi="宋体" w:eastAsia="宋体" w:cs="宋体"/>
          <w:color w:val="auto"/>
          <w:sz w:val="24"/>
          <w:szCs w:val="24"/>
          <w:highlight w:val="none"/>
        </w:rPr>
        <w:t xml:space="preserve">。</w:t>
      </w:r>
      <w:r/>
    </w:p>
    <w:p>
      <w:pPr>
        <w:ind w:firstLine="480"/>
        <w:pageBreakBefore w:val="0"/>
        <w:spacing w:line="50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竣工结算申请单应包括的内容：</w:t>
      </w:r>
      <w:r>
        <w:rPr>
          <w:rFonts w:hint="eastAsia" w:ascii="宋体" w:hAnsi="宋体" w:eastAsia="宋体" w:cs="宋体"/>
          <w:color w:val="auto"/>
          <w:sz w:val="24"/>
          <w:szCs w:val="24"/>
          <w:highlight w:val="none"/>
          <w:u w:val="single"/>
        </w:rPr>
        <w:t xml:space="preserve">除通用条款要求外，还应包括工程验收合格证书、工程移交单、工程竣工图（施工、设计、监理等单位签字盖章）、工程结算书（含现场签证）、接收甲供材料数量一览表并附相关凭证（含供货单位、发包人、</w:t>
      </w:r>
      <w:r>
        <w:rPr>
          <w:rFonts w:hint="eastAsia" w:ascii="宋体" w:hAnsi="宋体" w:cs="宋体"/>
          <w:color w:val="auto"/>
          <w:sz w:val="24"/>
          <w:szCs w:val="24"/>
          <w:highlight w:val="none"/>
          <w:u w:val="single"/>
          <w:lang w:val="en-US" w:eastAsia="zh-CN"/>
        </w:rPr>
        <w:t xml:space="preserve">承包人</w:t>
      </w:r>
      <w:r>
        <w:rPr>
          <w:rFonts w:hint="eastAsia" w:ascii="宋体" w:hAnsi="宋体" w:eastAsia="宋体" w:cs="宋体"/>
          <w:color w:val="auto"/>
          <w:sz w:val="24"/>
          <w:szCs w:val="24"/>
          <w:highlight w:val="none"/>
          <w:u w:val="single"/>
        </w:rPr>
        <w:t xml:space="preserve">、监理单位签字盖章）、工程中标通知书（复印件）、工程投标书及其附件和其它报财政评审需要的资料，一式两份。</w:t>
      </w:r>
      <w:r/>
    </w:p>
    <w:p>
      <w:pPr>
        <w:ind w:firstLine="480"/>
        <w:pageBreakBefore w:val="0"/>
        <w:spacing w:line="500" w:lineRule="exact"/>
        <w:widowControl w:val="off"/>
        <w:rPr>
          <w:rFonts w:hint="eastAsia" w:ascii="宋体" w:hAnsi="宋体" w:eastAsia="宋体" w:cs="宋体"/>
          <w:strike w:val="0"/>
          <w:color w:val="auto"/>
          <w:sz w:val="24"/>
          <w:szCs w:val="24"/>
          <w:highlight w:val="none"/>
          <w:u w:val="single"/>
        </w:rPr>
      </w:pPr>
      <w:r>
        <w:rPr>
          <w:rFonts w:hint="eastAsia" w:ascii="宋体" w:hAnsi="宋体" w:eastAsia="宋体" w:cs="宋体"/>
          <w:color w:val="auto"/>
          <w:sz w:val="24"/>
          <w:szCs w:val="24"/>
          <w:highlight w:val="none"/>
          <w:u w:val="single"/>
        </w:rPr>
        <w:t xml:space="preserve">为防止工程结算高估冒算，承包人应认真核对所报真实提供结算信息，工程造价最终审减额若超过送审额的7%以上（不含7%），发包人可按审减超出部分的5%予以扣款</w:t>
      </w:r>
      <w:r>
        <w:rPr>
          <w:rFonts w:hint="eastAsia" w:ascii="宋体" w:hAnsi="宋体" w:eastAsia="宋体" w:cs="宋体"/>
          <w:strike w:val="0"/>
          <w:color w:val="auto"/>
          <w:sz w:val="24"/>
          <w:szCs w:val="24"/>
          <w:highlight w:val="none"/>
          <w:u w:val="single"/>
        </w:rPr>
        <w:t xml:space="preserve">。 </w:t>
      </w:r>
      <w:r/>
    </w:p>
    <w:p>
      <w:pPr>
        <w:ind w:firstLine="420"/>
        <w:pageBreakBefore w:val="0"/>
        <w:spacing w:line="50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14.2 竣工结算审核</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发包人审批竣工付款申请单的期限：</w:t>
      </w:r>
      <w:r>
        <w:rPr>
          <w:rFonts w:hint="eastAsia" w:ascii="宋体" w:hAnsi="宋体" w:eastAsia="宋体" w:cs="宋体"/>
          <w:color w:val="auto"/>
          <w:sz w:val="24"/>
          <w:szCs w:val="24"/>
          <w:highlight w:val="none"/>
          <w:u w:val="single"/>
          <w:lang w:val="en-US" w:eastAsia="zh-CN"/>
        </w:rPr>
        <w:t xml:space="preserve">在双方无争议的情况下，自</w:t>
      </w:r>
      <w:r>
        <w:rPr>
          <w:rFonts w:hint="eastAsia" w:ascii="宋体" w:hAnsi="宋体" w:eastAsia="宋体" w:cs="宋体"/>
          <w:color w:val="auto"/>
          <w:sz w:val="24"/>
          <w:szCs w:val="24"/>
          <w:highlight w:val="none"/>
          <w:u w:val="single"/>
        </w:rPr>
        <w:t xml:space="preserve">收到</w:t>
      </w:r>
      <w:r>
        <w:rPr>
          <w:rFonts w:hint="eastAsia" w:ascii="宋体" w:hAnsi="宋体" w:eastAsia="宋体" w:cs="宋体"/>
          <w:color w:val="auto"/>
          <w:sz w:val="24"/>
          <w:szCs w:val="24"/>
          <w:highlight w:val="none"/>
          <w:u w:val="single"/>
          <w:lang w:val="en-US" w:eastAsia="zh-CN"/>
        </w:rPr>
        <w:t xml:space="preserve">承包人</w:t>
      </w:r>
      <w:r>
        <w:rPr>
          <w:rFonts w:hint="eastAsia" w:ascii="宋体" w:hAnsi="宋体" w:eastAsia="宋体" w:cs="宋体"/>
          <w:color w:val="auto"/>
          <w:sz w:val="24"/>
          <w:szCs w:val="24"/>
          <w:highlight w:val="none"/>
          <w:u w:val="single"/>
        </w:rPr>
        <w:t xml:space="preserve">完整的竣工结算资料</w:t>
      </w:r>
      <w:r>
        <w:rPr>
          <w:rFonts w:hint="eastAsia" w:ascii="宋体" w:hAnsi="宋体" w:eastAsia="宋体" w:cs="宋体"/>
          <w:color w:val="auto"/>
          <w:sz w:val="24"/>
          <w:szCs w:val="24"/>
          <w:highlight w:val="none"/>
          <w:u w:val="single"/>
          <w:lang w:val="en-US" w:eastAsia="zh-CN"/>
        </w:rPr>
        <w:t xml:space="preserve">3个月</w:t>
      </w:r>
      <w:r>
        <w:rPr>
          <w:rFonts w:hint="eastAsia" w:ascii="宋体" w:hAnsi="宋体" w:eastAsia="宋体" w:cs="宋体"/>
          <w:color w:val="auto"/>
          <w:sz w:val="24"/>
          <w:szCs w:val="24"/>
          <w:highlight w:val="none"/>
          <w:u w:val="single"/>
        </w:rPr>
        <w:t xml:space="preserve">内，</w:t>
      </w:r>
      <w:r>
        <w:rPr>
          <w:rFonts w:hint="eastAsia" w:ascii="宋体" w:hAnsi="宋体" w:eastAsia="宋体" w:cs="宋体"/>
          <w:color w:val="auto"/>
          <w:sz w:val="24"/>
          <w:szCs w:val="24"/>
          <w:highlight w:val="none"/>
          <w:u w:val="single"/>
          <w:lang w:val="en-US" w:eastAsia="zh-CN"/>
        </w:rPr>
        <w:t xml:space="preserve">承包人在上述时间内应积极配合发包人及审计部门的审核，若承包人不配合，或双方存在争议的，审计时间相应顺延。结算审计完成后，承包人放弃对结算价款之外的任何款项的权利主张</w:t>
      </w:r>
      <w:r>
        <w:rPr>
          <w:rFonts w:hint="eastAsia" w:ascii="宋体" w:hAnsi="宋体" w:eastAsia="宋体" w:cs="宋体"/>
          <w:color w:val="auto"/>
          <w:sz w:val="24"/>
          <w:szCs w:val="24"/>
          <w:highlight w:val="none"/>
          <w:u w:val="single"/>
        </w:rPr>
        <w:t xml:space="preserve">。</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发包人完成竣工付款的期限：</w:t>
      </w:r>
      <w:r>
        <w:rPr>
          <w:rFonts w:hint="eastAsia" w:ascii="宋体" w:hAnsi="宋体" w:eastAsia="宋体" w:cs="宋体"/>
          <w:color w:val="auto"/>
          <w:sz w:val="24"/>
          <w:szCs w:val="24"/>
          <w:highlight w:val="none"/>
          <w:u w:val="single"/>
          <w:lang w:val="en-US" w:eastAsia="zh-CN"/>
        </w:rPr>
        <w:t xml:space="preserve">竣工验收合格后且审计结束，按发包人财务</w:t>
      </w:r>
      <w:r>
        <w:rPr>
          <w:rFonts w:hint="eastAsia" w:ascii="宋体" w:hAnsi="宋体" w:eastAsia="宋体" w:cs="宋体"/>
          <w:color w:val="auto"/>
          <w:sz w:val="24"/>
          <w:szCs w:val="24"/>
          <w:highlight w:val="none"/>
          <w:u w:val="single"/>
        </w:rPr>
        <w:t xml:space="preserve">付款程序</w:t>
      </w:r>
      <w:r>
        <w:rPr>
          <w:rFonts w:hint="eastAsia" w:ascii="宋体" w:hAnsi="宋体" w:eastAsia="宋体" w:cs="宋体"/>
          <w:color w:val="auto"/>
          <w:sz w:val="24"/>
          <w:szCs w:val="24"/>
          <w:highlight w:val="none"/>
          <w:u w:val="single"/>
          <w:lang w:val="en-US" w:eastAsia="zh-CN"/>
        </w:rPr>
        <w:t xml:space="preserve">支付</w:t>
      </w:r>
      <w:r>
        <w:rPr>
          <w:rFonts w:hint="eastAsia" w:ascii="宋体" w:hAnsi="宋体" w:eastAsia="宋体" w:cs="宋体"/>
          <w:color w:val="auto"/>
          <w:sz w:val="24"/>
          <w:szCs w:val="24"/>
          <w:highlight w:val="none"/>
          <w:u w:val="single"/>
        </w:rPr>
        <w:t xml:space="preserve">。</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关于竣工付款证书异议部分复核的方式和程序：</w:t>
      </w:r>
      <w:r>
        <w:rPr>
          <w:rFonts w:hint="eastAsia" w:ascii="宋体" w:hAnsi="宋体" w:eastAsia="宋体" w:cs="宋体"/>
          <w:color w:val="auto"/>
          <w:sz w:val="24"/>
          <w:szCs w:val="24"/>
          <w:highlight w:val="none"/>
          <w:u w:val="single"/>
        </w:rPr>
        <w:t xml:space="preserve">  执行通用条款 。</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14.4 最终结清</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14.4.1 最终结清申请单</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承包人提交最终结清申请单的份数：</w:t>
      </w:r>
      <w:r>
        <w:rPr>
          <w:rFonts w:hint="eastAsia" w:ascii="宋体" w:hAnsi="宋体" w:eastAsia="宋体" w:cs="宋体"/>
          <w:color w:val="auto"/>
          <w:sz w:val="24"/>
          <w:szCs w:val="24"/>
          <w:highlight w:val="none"/>
          <w:u w:val="single"/>
        </w:rPr>
        <w:t xml:space="preserve">  一式四份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承包人提交最终结算申请单的期限：</w:t>
      </w:r>
      <w:r>
        <w:rPr>
          <w:rFonts w:hint="eastAsia" w:ascii="宋体" w:hAnsi="宋体" w:eastAsia="宋体" w:cs="宋体"/>
          <w:color w:val="auto"/>
          <w:sz w:val="24"/>
          <w:szCs w:val="24"/>
          <w:highlight w:val="none"/>
          <w:u w:val="single"/>
        </w:rPr>
        <w:t xml:space="preserve">   竣工验收合格之日起满2年后、已办理完毕接收部门的移交手续后且无质量问题后7天内</w:t>
      </w:r>
      <w:r>
        <w:rPr>
          <w:rFonts w:hint="eastAsia" w:ascii="宋体" w:hAnsi="宋体" w:eastAsia="宋体" w:cs="宋体"/>
          <w:color w:val="auto"/>
          <w:sz w:val="24"/>
          <w:szCs w:val="24"/>
          <w:highlight w:val="none"/>
        </w:rPr>
        <w:t xml:space="preserve">。 </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14.4.2 最终结清证书和支付</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（1）发包人完成最终结清申请单的审批并颁发最终结清证书的期限：</w:t>
      </w:r>
      <w:r>
        <w:rPr>
          <w:rFonts w:hint="eastAsia" w:ascii="宋体" w:hAnsi="宋体" w:eastAsia="宋体" w:cs="宋体"/>
          <w:color w:val="auto"/>
          <w:sz w:val="24"/>
          <w:szCs w:val="24"/>
          <w:highlight w:val="none"/>
          <w:u w:val="single"/>
        </w:rPr>
        <w:t xml:space="preserve"> 收到承包人提交的最终结清申请单后56天内</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（2）发包人完成支付的期限：</w:t>
      </w:r>
      <w:r>
        <w:rPr>
          <w:rFonts w:hint="eastAsia" w:ascii="宋体" w:hAnsi="宋体" w:eastAsia="宋体" w:cs="宋体"/>
          <w:color w:val="auto"/>
          <w:sz w:val="24"/>
          <w:szCs w:val="24"/>
          <w:highlight w:val="none"/>
          <w:u w:val="single"/>
        </w:rPr>
        <w:t xml:space="preserve">  颁发最终结清证书后56天内  </w:t>
      </w:r>
      <w:r>
        <w:rPr>
          <w:rFonts w:hint="eastAsia" w:ascii="宋体" w:hAnsi="宋体" w:eastAsia="宋体" w:cs="宋体"/>
          <w:color w:val="auto"/>
          <w:sz w:val="24"/>
          <w:szCs w:val="24"/>
          <w:highlight w:val="none"/>
        </w:rPr>
        <w:t xml:space="preserve">。</w:t>
      </w:r>
      <w:r/>
    </w:p>
    <w:p>
      <w:pPr>
        <w:pStyle w:val="984"/>
        <w:ind w:firstLine="480"/>
        <w:pageBreakBefore w:val="0"/>
        <w:spacing w:before="0" w:after="0" w:line="500" w:lineRule="exact"/>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15. 缺陷责任期与保修</w:t>
      </w:r>
      <w:r/>
    </w:p>
    <w:p>
      <w:pPr>
        <w:ind w:firstLine="48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15.2缺陷责任期</w:t>
      </w:r>
      <w:r/>
    </w:p>
    <w:p>
      <w:pPr>
        <w:ind w:firstLine="48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缺陷责任期的具体期限：</w:t>
      </w:r>
      <w:r>
        <w:rPr>
          <w:rFonts w:hint="eastAsia" w:ascii="宋体" w:hAnsi="宋体" w:eastAsia="宋体" w:cs="宋体"/>
          <w:color w:val="auto"/>
          <w:sz w:val="24"/>
          <w:szCs w:val="24"/>
          <w:highlight w:val="none"/>
          <w:u w:val="single"/>
        </w:rPr>
        <w:t xml:space="preserve"> 自竣工验收合格之日起24个月 。</w:t>
      </w:r>
      <w:r/>
    </w:p>
    <w:p>
      <w:pPr>
        <w:ind w:firstLine="48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15.4保修</w:t>
      </w:r>
      <w:r/>
    </w:p>
    <w:p>
      <w:pPr>
        <w:ind w:firstLine="48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15.4.1 保修责任</w:t>
      </w:r>
      <w:r/>
    </w:p>
    <w:p>
      <w:pPr>
        <w:ind w:firstLine="480"/>
        <w:pageBreakBefore w:val="0"/>
        <w:spacing w:line="500" w:lineRule="exact"/>
        <w:rPr>
          <w:rFonts w:hint="eastAsia" w:ascii="宋体" w:hAnsi="宋体" w:eastAsia="宋体" w:cs="宋体"/>
          <w:b/>
          <w:color w:val="auto"/>
          <w:sz w:val="24"/>
          <w:szCs w:val="24"/>
          <w:highlight w:val="none"/>
          <w:u w:val="single"/>
        </w:rPr>
      </w:pPr>
      <w:r>
        <w:rPr>
          <w:rFonts w:hint="eastAsia" w:ascii="宋体" w:hAnsi="宋体" w:eastAsia="宋体" w:cs="宋体"/>
          <w:color w:val="auto"/>
          <w:sz w:val="24"/>
          <w:szCs w:val="24"/>
          <w:highlight w:val="none"/>
        </w:rPr>
        <w:t xml:space="preserve">工程保修期为</w:t>
      </w:r>
      <w:r>
        <w:rPr>
          <w:rFonts w:hint="eastAsia" w:ascii="宋体" w:hAnsi="宋体" w:eastAsia="宋体" w:cs="宋体"/>
          <w:bCs/>
          <w:color w:val="auto"/>
          <w:sz w:val="24"/>
          <w:szCs w:val="24"/>
          <w:highlight w:val="none"/>
          <w:u w:val="single"/>
        </w:rPr>
        <w:t xml:space="preserve">详工程质量保修书。</w:t>
      </w:r>
      <w:r/>
    </w:p>
    <w:p>
      <w:pPr>
        <w:ind w:firstLine="48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15.4.3 修复通知</w:t>
      </w:r>
      <w:r/>
    </w:p>
    <w:p>
      <w:pPr>
        <w:ind w:firstLine="48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承包人收到保修通知并到达工程现场的合理时间：</w:t>
      </w:r>
      <w:r>
        <w:rPr>
          <w:rFonts w:hint="eastAsia" w:ascii="宋体" w:hAnsi="宋体" w:eastAsia="宋体" w:cs="宋体"/>
          <w:color w:val="auto"/>
          <w:sz w:val="24"/>
          <w:szCs w:val="24"/>
          <w:highlight w:val="none"/>
          <w:u w:val="single"/>
        </w:rPr>
        <w:t xml:space="preserve">   6小时内  </w:t>
      </w:r>
      <w:r>
        <w:rPr>
          <w:rFonts w:hint="eastAsia" w:ascii="宋体" w:hAnsi="宋体" w:eastAsia="宋体" w:cs="宋体"/>
          <w:color w:val="auto"/>
          <w:sz w:val="24"/>
          <w:szCs w:val="24"/>
          <w:highlight w:val="none"/>
        </w:rPr>
        <w:t xml:space="preserve">。</w:t>
      </w:r>
      <w:r/>
    </w:p>
    <w:p>
      <w:pPr>
        <w:pStyle w:val="984"/>
        <w:ind w:firstLine="480"/>
        <w:pageBreakBefore w:val="0"/>
        <w:spacing w:before="0" w:after="0" w:line="500" w:lineRule="exact"/>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16.违约</w:t>
      </w:r>
      <w:r/>
    </w:p>
    <w:p>
      <w:pPr>
        <w:ind w:firstLine="420"/>
        <w:pageBreakBefore w:val="0"/>
        <w:spacing w:line="500" w:lineRule="exac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16.1 发包人违约</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16.1.1发包人违约的情形：</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 xml:space="preserve">。</w:t>
      </w:r>
      <w:r/>
    </w:p>
    <w:p>
      <w:pPr>
        <w:ind w:left="1066" w:hanging="7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16.1.2 发包人违约的责任</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发包人违约责任的承担方式和计算方法：</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（1）因发包人原因未能在计划开工日期前7天内下达开工通知的违约责任：</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（2）因发包人原因未能按合同约定支付合同价款的违约责任：</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（3）发包人违反第10.1款〔变更的范围〕第（2）项约定，自行实施被取消的工作或转由他人实施的违约责任：</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（5）因发包人违反合同约定造成暂停施工的违约责任：</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（6）发包人无正当理由没有在约定期限内发出复工指示，导致承包人无法复工的违约责任：</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（7）其他：</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16.1.3 因发包人违约解除合同</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承包人按16.1.1项〔发包人违约的情形〕约定暂停施工满</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天后发包人仍不纠正其违约行为并致使合同目的不能实现的，承包人有权解除合同。</w:t>
      </w:r>
      <w:r/>
    </w:p>
    <w:p>
      <w:pPr>
        <w:ind w:firstLine="420"/>
        <w:pageBreakBefore w:val="0"/>
        <w:spacing w:line="500" w:lineRule="exac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16.2 承包人违约</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16.2.1 承包人违约的情形</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承包人承包的工程质量必须符合城镇道路等技术规范要求,如不符合质量验收标准要求,所发生的一切返工费用及由此给发包人造成的的经济损失均由承包人承担,此项赔偿并不能解除中标单位完成工程的责任及合同规定的其他责任。如因施工质量导致安全事故,承担事故处理的一切费用、工程的恢复费用及因此造成后续工程延误费用。</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承包人违约的其他情形：</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①承包人在中标后，未能按规定的时间办理相关手续、缴纳相关费用，影响办理施工许可证；</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②没有合理的原因而未能按期开工；</w:t>
      </w:r>
      <w:r/>
    </w:p>
    <w:p>
      <w:pPr>
        <w:ind w:firstLine="420"/>
        <w:pageBreakBefore w:val="0"/>
        <w:spacing w:line="500" w:lineRule="exact"/>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u w:val="single"/>
        </w:rPr>
        <w:t xml:space="preserve">③承包人无正当理由停工</w:t>
      </w:r>
      <w:r>
        <w:rPr>
          <w:rFonts w:hint="eastAsia" w:ascii="宋体" w:hAnsi="宋体" w:eastAsia="宋体" w:cs="宋体"/>
          <w:color w:val="auto"/>
          <w:sz w:val="24"/>
          <w:szCs w:val="24"/>
          <w:highlight w:val="none"/>
          <w:u w:val="single"/>
          <w:lang w:eastAsia="zh-CN"/>
        </w:rPr>
        <w:t xml:space="preserve">；</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④拒绝或不遵照发包人或监理工程师要求整改、更换或拆除有缺陷的工程，不合适的材料或物资的书面通知；或执行（整改）不力的。</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⑤</w:t>
      </w:r>
      <w:r>
        <w:rPr>
          <w:rFonts w:hint="eastAsia" w:ascii="宋体" w:hAnsi="宋体" w:cs="宋体"/>
          <w:color w:val="auto"/>
          <w:sz w:val="24"/>
          <w:szCs w:val="24"/>
          <w:highlight w:val="none"/>
          <w:u w:val="single"/>
          <w:lang w:val="en-US" w:eastAsia="zh-CN"/>
        </w:rPr>
        <w:t xml:space="preserve">成交</w:t>
      </w:r>
      <w:r>
        <w:rPr>
          <w:rFonts w:hint="eastAsia" w:ascii="宋体" w:hAnsi="宋体" w:eastAsia="宋体" w:cs="宋体"/>
          <w:color w:val="auto"/>
          <w:sz w:val="24"/>
          <w:szCs w:val="24"/>
          <w:highlight w:val="none"/>
          <w:u w:val="single"/>
        </w:rPr>
        <w:t xml:space="preserve">后被发现有出卖资质、非法挂靠行为的</w:t>
      </w:r>
      <w:r>
        <w:rPr>
          <w:rFonts w:hint="eastAsia" w:ascii="宋体" w:hAnsi="宋体" w:cs="宋体"/>
          <w:color w:val="auto"/>
          <w:sz w:val="24"/>
          <w:szCs w:val="24"/>
          <w:highlight w:val="none"/>
          <w:u w:val="single"/>
          <w:lang w:val="en-US" w:eastAsia="zh-CN"/>
        </w:rPr>
        <w:t xml:space="preserve">成交供应商</w:t>
      </w:r>
      <w:r>
        <w:rPr>
          <w:rFonts w:hint="eastAsia" w:ascii="宋体" w:hAnsi="宋体" w:eastAsia="宋体" w:cs="宋体"/>
          <w:color w:val="auto"/>
          <w:sz w:val="24"/>
          <w:szCs w:val="24"/>
          <w:highlight w:val="none"/>
          <w:u w:val="single"/>
        </w:rPr>
        <w:t xml:space="preserve">（承包人）。</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⑥其他执行通用条款和专用条款约定 。</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16.2.2承包人违约的责任</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承包人违约责任的承担方式和计算方法：</w:t>
      </w:r>
      <w:r/>
    </w:p>
    <w:p>
      <w:pPr>
        <w:ind w:firstLine="420"/>
        <w:pageBreakBefore w:val="0"/>
        <w:spacing w:line="500" w:lineRule="exact"/>
        <w:widowControl/>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u w:val="single"/>
          <w:lang w:val="en-US" w:eastAsia="zh-CN"/>
        </w:rPr>
        <w:t xml:space="preserve">①</w:t>
      </w:r>
      <w:r>
        <w:rPr>
          <w:rFonts w:hint="eastAsia" w:ascii="宋体" w:hAnsi="宋体" w:eastAsia="宋体" w:cs="宋体"/>
          <w:color w:val="auto"/>
          <w:sz w:val="24"/>
          <w:szCs w:val="24"/>
          <w:highlight w:val="none"/>
          <w:u w:val="single"/>
        </w:rPr>
        <w:t xml:space="preserve">承包人违反合同约定进行转包或违法分包的：转包或分包合同无效，承包人应向发包人承担转包或分包合同金额 30%的违约金，并继续履行本合同；发包人也有权选择单方解除施工合同，清退施工人员并按合同总价的 20%收取违约金，在这种情况下，承包人必须在 10 日内退场，并且不得提出任何对发包人不利的要求。发包人若选择接受分包行为的，承包人应当与实际施工人就分包工程向发包人承担连带责任</w:t>
      </w:r>
      <w:r>
        <w:rPr>
          <w:rFonts w:hint="eastAsia" w:ascii="宋体" w:hAnsi="宋体" w:cs="宋体"/>
          <w:color w:val="auto"/>
          <w:sz w:val="24"/>
          <w:szCs w:val="24"/>
          <w:highlight w:val="none"/>
          <w:u w:val="single"/>
          <w:lang w:eastAsia="zh-CN"/>
        </w:rPr>
        <w:t xml:space="preserve">。</w:t>
      </w:r>
      <w:r/>
    </w:p>
    <w:p>
      <w:pPr>
        <w:ind w:firstLine="480"/>
        <w:pageBreakBefore w:val="0"/>
        <w:spacing w:line="500" w:lineRule="exact"/>
        <w:widowControl/>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en-US" w:eastAsia="zh-CN"/>
        </w:rPr>
        <w:t xml:space="preserve">②承包人违反合同约定采购和使用不合格的材料和工程设备的: 承包人采购的材料设备的品种、规格、型号、质量等级不能通过监理或发包人认可或不符</w:t>
      </w:r>
      <w:r>
        <w:rPr>
          <w:rFonts w:hint="eastAsia" w:ascii="宋体" w:hAnsi="宋体" w:eastAsia="宋体" w:cs="宋体"/>
          <w:color w:val="auto"/>
          <w:sz w:val="24"/>
          <w:szCs w:val="24"/>
          <w:highlight w:val="none"/>
          <w:u w:val="single"/>
          <w:lang w:val="en-US" w:eastAsia="zh-CN"/>
        </w:rPr>
        <w:t xml:space="preserve">合样品要求的,监理或发包人有权拒绝相应的材料、设备进场使用，已经使用的，承包人应负责拆除更换并承担因此产生的一切费用和损失，所造成的工期延误等损失由承包人承担，且每发生一次，承包人向发包人支付 5000 元违约金。如承包人拒绝执行监理或发包人上述指令的，发包人有权单方解除合同，要求承包人清场，承包人应向发包人承担合同价款 20%的违约金，由此造成的发包人的损失和工期延误，由承包人负责赔偿。监理或发包人有权随时在指令规定的时间内一次或分几次从现场运离发包人认为不合格的任何材料或设备，所发生的费用由承包人承担。</w:t>
      </w:r>
      <w:r/>
    </w:p>
    <w:p>
      <w:pPr>
        <w:ind w:firstLine="480"/>
        <w:pageBreakBefore w:val="0"/>
        <w:spacing w:line="500" w:lineRule="exact"/>
        <w:widowControl/>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u w:val="single"/>
          <w:lang w:val="en-US" w:eastAsia="zh-CN"/>
        </w:rPr>
        <w:t xml:space="preserve">③</w:t>
      </w:r>
      <w:r>
        <w:rPr>
          <w:rFonts w:hint="eastAsia" w:ascii="宋体" w:hAnsi="宋体" w:eastAsia="宋体" w:cs="宋体"/>
          <w:color w:val="auto"/>
          <w:sz w:val="24"/>
          <w:szCs w:val="24"/>
          <w:highlight w:val="none"/>
          <w:u w:val="single"/>
        </w:rPr>
        <w:t xml:space="preserve">因承包人原因导致工程质量不符合合同要求的：承包人应无条件整改直至满足合同要求，并承担因此所产生的一切费用和损失。整改所需时间计算在合同总工期内，因此造成的工期延误按照合同专用条款 7.5.2 执行</w:t>
      </w:r>
      <w:r>
        <w:rPr>
          <w:rFonts w:hint="eastAsia" w:ascii="宋体" w:hAnsi="宋体" w:eastAsia="宋体" w:cs="宋体"/>
          <w:color w:val="auto"/>
          <w:sz w:val="24"/>
          <w:szCs w:val="24"/>
          <w:highlight w:val="none"/>
          <w:u w:val="single"/>
          <w:lang w:eastAsia="zh-CN"/>
        </w:rPr>
        <w:t xml:space="preserve">。</w:t>
      </w:r>
      <w:r/>
    </w:p>
    <w:p>
      <w:pPr>
        <w:ind w:firstLine="420"/>
        <w:pageBreakBefore w:val="0"/>
        <w:spacing w:line="500" w:lineRule="exact"/>
        <w:widowControl/>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en-US" w:eastAsia="zh-CN"/>
        </w:rPr>
        <w:t xml:space="preserve">④承包人在缺陷责任期及保修期内，应根据本合同约定的期限对工程缺陷、损坏进行修复，承包人如未按时到场维修或经过两次及以上维修仍未能解决问题或承包人未按要求维修，发包人有权另行委托第三方进行维修，因此而产生的费用将从承包人履约保证金中双倍扣除，超支部分由承包人承担。缺陷责任期及保修期内因工程质量问题给发包人、业主或他人造成财产损失和人身伤害的，由承包人承担一切责任。</w:t>
      </w:r>
      <w:r/>
    </w:p>
    <w:p>
      <w:pPr>
        <w:ind w:firstLine="420"/>
        <w:pageBreakBefore w:val="0"/>
        <w:spacing w:line="500" w:lineRule="exact"/>
        <w:widowControl/>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en-US" w:eastAsia="zh-CN"/>
        </w:rPr>
        <w:t xml:space="preserve">⑤承包人明确表示或者以其行为表明不履行合同主要义务的：发包人有权单方解除合同并不再对承包人已完工程量进行结算，承包人应承担因此造成的一切损失。</w:t>
      </w:r>
      <w:r/>
    </w:p>
    <w:p>
      <w:pPr>
        <w:ind w:firstLine="420"/>
        <w:pageBreakBefore w:val="0"/>
        <w:spacing w:line="500" w:lineRule="exact"/>
        <w:widowControl/>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en-US" w:eastAsia="zh-CN"/>
        </w:rPr>
        <w:t xml:space="preserve">⑥承包人无正当理由停工</w:t>
      </w:r>
      <w:r>
        <w:rPr>
          <w:rFonts w:hint="eastAsia" w:ascii="宋体" w:hAnsi="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lang w:val="en-US" w:eastAsia="zh-CN"/>
        </w:rPr>
        <w:t xml:space="preserve">如承包人施工期间无正当理由停工 48 小时或工期延误超过五天，</w:t>
      </w:r>
      <w:r>
        <w:rPr>
          <w:rFonts w:hint="eastAsia" w:ascii="宋体" w:hAnsi="宋体" w:cs="宋体"/>
          <w:color w:val="auto"/>
          <w:sz w:val="24"/>
          <w:szCs w:val="24"/>
          <w:highlight w:val="none"/>
          <w:u w:val="single"/>
          <w:lang w:val="en-US" w:eastAsia="zh-CN"/>
        </w:rPr>
        <w:t xml:space="preserve">发包人</w:t>
      </w:r>
      <w:r>
        <w:rPr>
          <w:rFonts w:hint="eastAsia" w:ascii="宋体" w:hAnsi="宋体" w:eastAsia="宋体" w:cs="宋体"/>
          <w:color w:val="auto"/>
          <w:sz w:val="24"/>
          <w:szCs w:val="24"/>
          <w:highlight w:val="none"/>
          <w:u w:val="single"/>
          <w:lang w:val="en-US" w:eastAsia="zh-CN"/>
        </w:rPr>
        <w:t xml:space="preserve">有权将承包</w:t>
      </w:r>
      <w:r>
        <w:rPr>
          <w:rFonts w:hint="eastAsia" w:ascii="宋体" w:hAnsi="宋体" w:cs="宋体"/>
          <w:color w:val="auto"/>
          <w:sz w:val="24"/>
          <w:szCs w:val="24"/>
          <w:highlight w:val="none"/>
          <w:u w:val="single"/>
          <w:lang w:val="en-US" w:eastAsia="zh-CN"/>
        </w:rPr>
        <w:t xml:space="preserve">人</w:t>
      </w:r>
      <w:r>
        <w:rPr>
          <w:rFonts w:hint="eastAsia" w:ascii="宋体" w:hAnsi="宋体" w:eastAsia="宋体" w:cs="宋体"/>
          <w:color w:val="auto"/>
          <w:sz w:val="24"/>
          <w:szCs w:val="24"/>
          <w:highlight w:val="none"/>
          <w:u w:val="single"/>
          <w:lang w:val="en-US" w:eastAsia="zh-CN"/>
        </w:rPr>
        <w:t xml:space="preserve">未完成工作量全部或部分发包给其他承包人进行施工，</w:t>
      </w:r>
      <w:r>
        <w:rPr>
          <w:rFonts w:hint="eastAsia" w:ascii="宋体" w:hAnsi="宋体" w:cs="宋体"/>
          <w:color w:val="auto"/>
          <w:sz w:val="24"/>
          <w:szCs w:val="24"/>
          <w:highlight w:val="none"/>
          <w:u w:val="single"/>
          <w:lang w:val="en-US" w:eastAsia="zh-CN"/>
        </w:rPr>
        <w:t xml:space="preserve">发包人</w:t>
      </w:r>
      <w:r>
        <w:rPr>
          <w:rFonts w:hint="eastAsia" w:ascii="宋体" w:hAnsi="宋体" w:eastAsia="宋体" w:cs="宋体"/>
          <w:color w:val="auto"/>
          <w:sz w:val="24"/>
          <w:szCs w:val="24"/>
          <w:highlight w:val="none"/>
          <w:u w:val="single"/>
          <w:lang w:val="en-US" w:eastAsia="zh-CN"/>
        </w:rPr>
        <w:t xml:space="preserve">与其它承包人的结算价款直接从承包人结算总价中扣除，不足部分仍由承包人承担，且承包人须无条件认可。</w:t>
      </w:r>
      <w:r/>
    </w:p>
    <w:p>
      <w:pPr>
        <w:ind w:firstLine="420"/>
        <w:pageBreakBefore w:val="0"/>
        <w:spacing w:line="500" w:lineRule="exact"/>
        <w:widowControl/>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en-US" w:eastAsia="zh-CN"/>
        </w:rPr>
        <w:t xml:space="preserve">工期延误达十天时，发包人有权单方解除合同，将承包人清退出场并更换施工单位，由此产生的所有损失由承包人负责赔偿，承包人还应向发包人支付合同总价款 20%的违约金。</w:t>
      </w:r>
      <w:r/>
    </w:p>
    <w:p>
      <w:pPr>
        <w:ind w:firstLine="420"/>
        <w:pageBreakBefore w:val="0"/>
        <w:spacing w:line="500" w:lineRule="exact"/>
        <w:widowControl/>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en-US" w:eastAsia="zh-CN"/>
        </w:rPr>
        <w:t xml:space="preserve">⑦拒绝或不遵照发包人或监理工程师要求整改、更换或拆除有缺陷的工程，不合适的材料或物资的书面通知；或执行（整改）不力的：发包人有权要求对承包人支付违约金，违约金数额为该缺陷部位工程造价的 1-3 倍；该违约金并不免除承包人的整改、更换工拆除责任及因此缺陷给发包人造成损失的赔偿责任。</w:t>
      </w:r>
      <w:r/>
    </w:p>
    <w:p>
      <w:pPr>
        <w:ind w:firstLine="420"/>
        <w:pageBreakBefore w:val="0"/>
        <w:spacing w:line="500" w:lineRule="exact"/>
        <w:widowControl/>
        <w:rPr>
          <w:rFonts w:hint="eastAsia" w:ascii="宋体" w:hAnsi="宋体" w:eastAsia="宋体" w:cs="宋体"/>
          <w:b w:val="0"/>
          <w:bCs w:val="0"/>
          <w:color w:val="auto"/>
          <w:sz w:val="24"/>
          <w:szCs w:val="24"/>
          <w:highlight w:val="none"/>
          <w:u w:val="single"/>
          <w:lang w:val="en-US" w:eastAsia="zh-CN"/>
        </w:rPr>
      </w:pPr>
      <w:r>
        <w:rPr>
          <w:rFonts w:hint="eastAsia" w:ascii="宋体" w:hAnsi="宋体" w:eastAsia="宋体" w:cs="宋体"/>
          <w:b w:val="0"/>
          <w:bCs w:val="0"/>
          <w:color w:val="auto"/>
          <w:sz w:val="24"/>
          <w:szCs w:val="24"/>
          <w:highlight w:val="none"/>
          <w:u w:val="single"/>
          <w:lang w:val="en-US" w:eastAsia="zh-CN"/>
        </w:rPr>
        <w:t xml:space="preserve">⑧承包人对本项目相关知识产权、成果文件及图纸的保密要求：未经发包人许可，除了绝对是为执行合同以外，承包人不能让第三者应用和向第三者通报相关知识产权、成果文件及图纸、规范及其它由发包人提供的任何资料或信息。如有违反，承包人应向发包人支付违约金，具体数额由发包人根据实际损失确定。</w:t>
      </w:r>
      <w:r/>
    </w:p>
    <w:p>
      <w:pPr>
        <w:ind w:firstLine="420"/>
        <w:pageBreakBefore w:val="0"/>
        <w:spacing w:line="500" w:lineRule="exact"/>
        <w:widowControl/>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en-US" w:eastAsia="zh-CN"/>
        </w:rPr>
        <w:t xml:space="preserve">承包人发生除本项第⑤目约定以外的其他违约情况时，监理人可向承包人发出整改通知，要求其在指定的期限内改正。若不能按期改正，按以</w:t>
      </w:r>
      <w:r>
        <w:rPr>
          <w:rFonts w:hint="eastAsia" w:ascii="宋体" w:hAnsi="宋体" w:cs="宋体"/>
          <w:color w:val="auto"/>
          <w:sz w:val="24"/>
          <w:szCs w:val="24"/>
          <w:highlight w:val="none"/>
          <w:u w:val="single"/>
          <w:lang w:val="en-US" w:eastAsia="zh-CN"/>
        </w:rPr>
        <w:t xml:space="preserve">下</w:t>
      </w:r>
      <w:r>
        <w:rPr>
          <w:rFonts w:hint="eastAsia" w:ascii="宋体" w:hAnsi="宋体" w:eastAsia="宋体" w:cs="宋体"/>
          <w:color w:val="auto"/>
          <w:sz w:val="24"/>
          <w:szCs w:val="24"/>
          <w:highlight w:val="none"/>
          <w:u w:val="single"/>
          <w:lang w:val="en-US" w:eastAsia="zh-CN"/>
        </w:rPr>
        <w:t xml:space="preserve">约定执行。</w:t>
      </w:r>
      <w:r/>
    </w:p>
    <w:p>
      <w:pPr>
        <w:ind w:firstLine="420"/>
        <w:pageBreakBefore w:val="0"/>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lang w:val="en-US" w:eastAsia="zh-CN"/>
        </w:rPr>
        <w:t xml:space="preserve">由此造成的一切损失由承包人承担。</w:t>
      </w:r>
      <w:r>
        <w:rPr>
          <w:rFonts w:hint="eastAsia" w:ascii="宋体" w:hAnsi="宋体" w:eastAsia="宋体" w:cs="宋体"/>
          <w:color w:val="auto"/>
          <w:sz w:val="24"/>
          <w:szCs w:val="24"/>
          <w:highlight w:val="none"/>
          <w:u w:val="single"/>
        </w:rPr>
        <w:t xml:space="preserve">由承包人承担全部费用并承担相关法律责任。</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16.2.3 因承包人违约解除合同</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关于承包人违约解除合同的特别约定：</w:t>
      </w:r>
      <w:r/>
    </w:p>
    <w:p>
      <w:pPr>
        <w:ind w:firstLine="420"/>
        <w:pageBreakBefore w:val="0"/>
        <w:spacing w:line="500" w:lineRule="exact"/>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(1)不遵守交通法规，未按照规程操作发生有责交通事故的。</w:t>
      </w:r>
      <w:r/>
    </w:p>
    <w:p>
      <w:pPr>
        <w:ind w:firstLine="420"/>
        <w:pageBreakBefore w:val="0"/>
        <w:spacing w:line="500" w:lineRule="exact"/>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(2)遇有重大活动或突发事件时，未按要求落实作业机具和人员，保障不力而造成不良影响的。</w:t>
      </w:r>
      <w:r/>
    </w:p>
    <w:p>
      <w:pPr>
        <w:ind w:firstLine="420"/>
        <w:pageBreakBefore w:val="0"/>
        <w:spacing w:line="500" w:lineRule="exact"/>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(3)市领导及各级监管部门检查发现抄告问题未限期整改到位的。</w:t>
      </w:r>
      <w:r/>
    </w:p>
    <w:p>
      <w:pPr>
        <w:ind w:firstLine="420"/>
        <w:pageBreakBefore w:val="0"/>
        <w:spacing w:line="500" w:lineRule="exact"/>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4</w:t>
      </w:r>
      <w:r>
        <w:rPr>
          <w:rFonts w:hint="eastAsia" w:ascii="宋体" w:hAnsi="宋体" w:eastAsia="宋体" w:cs="宋体"/>
          <w:color w:val="auto"/>
          <w:sz w:val="24"/>
          <w:szCs w:val="24"/>
          <w:highlight w:val="none"/>
          <w:u w:val="single"/>
        </w:rPr>
        <w:t xml:space="preserve">)管理混乱，发生人员集体上访的。</w:t>
      </w:r>
      <w:r/>
    </w:p>
    <w:p>
      <w:pPr>
        <w:ind w:firstLine="420"/>
        <w:pageBreakBefore w:val="0"/>
        <w:spacing w:line="500" w:lineRule="exact"/>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5</w:t>
      </w:r>
      <w:r>
        <w:rPr>
          <w:rFonts w:hint="eastAsia" w:ascii="宋体" w:hAnsi="宋体" w:eastAsia="宋体" w:cs="宋体"/>
          <w:color w:val="auto"/>
          <w:sz w:val="24"/>
          <w:szCs w:val="24"/>
          <w:highlight w:val="none"/>
          <w:u w:val="single"/>
        </w:rPr>
        <w:t xml:space="preserve">)组织管理机构、人员素质、</w:t>
      </w:r>
      <w:r>
        <w:rPr>
          <w:rFonts w:hint="eastAsia" w:ascii="宋体" w:hAnsi="宋体" w:eastAsia="宋体" w:cs="宋体"/>
          <w:color w:val="auto"/>
          <w:sz w:val="24"/>
          <w:szCs w:val="24"/>
          <w:highlight w:val="none"/>
          <w:u w:val="single"/>
          <w:lang w:val="en-US" w:eastAsia="zh-CN"/>
        </w:rPr>
        <w:t xml:space="preserve">管理</w:t>
      </w:r>
      <w:r>
        <w:rPr>
          <w:rFonts w:hint="eastAsia" w:ascii="宋体" w:hAnsi="宋体" w:eastAsia="宋体" w:cs="宋体"/>
          <w:color w:val="auto"/>
          <w:sz w:val="24"/>
          <w:szCs w:val="24"/>
          <w:highlight w:val="none"/>
          <w:u w:val="single"/>
        </w:rPr>
        <w:t xml:space="preserve">人数与投标承诺不符，无法完成</w:t>
      </w:r>
      <w:r>
        <w:rPr>
          <w:rFonts w:hint="eastAsia" w:ascii="宋体" w:hAnsi="宋体" w:eastAsia="宋体" w:cs="宋体"/>
          <w:color w:val="auto"/>
          <w:sz w:val="24"/>
          <w:szCs w:val="24"/>
          <w:highlight w:val="none"/>
          <w:u w:val="single"/>
          <w:lang w:val="en-US" w:eastAsia="zh-CN"/>
        </w:rPr>
        <w:t xml:space="preserve">本工程</w:t>
      </w:r>
      <w:r>
        <w:rPr>
          <w:rFonts w:hint="eastAsia" w:ascii="宋体" w:hAnsi="宋体" w:eastAsia="宋体" w:cs="宋体"/>
          <w:color w:val="auto"/>
          <w:sz w:val="24"/>
          <w:szCs w:val="24"/>
          <w:highlight w:val="none"/>
          <w:u w:val="single"/>
        </w:rPr>
        <w:t xml:space="preserve">的。</w:t>
      </w:r>
      <w:r/>
    </w:p>
    <w:p>
      <w:pPr>
        <w:pStyle w:val="984"/>
        <w:ind w:firstLine="480"/>
        <w:pageBreakBefore w:val="0"/>
        <w:spacing w:before="0" w:after="0" w:line="500" w:lineRule="exact"/>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17. 不可抗力 </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 不可抗力的确认</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除通用合同条款约定的不可抗力事件之外，视为不可抗力的其他情形：</w:t>
      </w:r>
      <w:r>
        <w:rPr>
          <w:rFonts w:hint="eastAsia" w:ascii="宋体" w:hAnsi="宋体" w:eastAsia="宋体" w:cs="宋体"/>
          <w:color w:val="auto"/>
          <w:sz w:val="24"/>
          <w:szCs w:val="24"/>
          <w:highlight w:val="none"/>
          <w:u w:val="single"/>
        </w:rPr>
        <w:t xml:space="preserve"> 政策调整，取消全部或部分工程内容</w:t>
      </w:r>
      <w:r>
        <w:rPr>
          <w:rFonts w:hint="eastAsia" w:ascii="宋体" w:hAnsi="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必须由发包人书面认证并提供相关材料和文件</w:t>
      </w:r>
      <w:r>
        <w:rPr>
          <w:rFonts w:hint="eastAsia" w:ascii="宋体" w:hAnsi="宋体" w:eastAsia="宋体" w:cs="宋体"/>
          <w:color w:val="auto"/>
          <w:sz w:val="24"/>
          <w:szCs w:val="24"/>
          <w:highlight w:val="none"/>
          <w:u w:val="single"/>
          <w:lang w:val="en-US" w:eastAsia="zh-CN"/>
        </w:rPr>
        <w:t xml:space="preserve">。</w:t>
      </w:r>
      <w:r>
        <w:rPr>
          <w:rFonts w:hint="eastAsia" w:ascii="宋体" w:hAnsi="宋体" w:cs="宋体"/>
          <w:color w:val="auto"/>
          <w:sz w:val="24"/>
          <w:szCs w:val="24"/>
          <w:highlight w:val="none"/>
          <w:u w:val="single"/>
          <w:lang w:val="en-US" w:eastAsia="zh-CN"/>
        </w:rPr>
        <w:t xml:space="preserve">）</w:t>
      </w:r>
      <w:r/>
    </w:p>
    <w:p>
      <w:pPr>
        <w:ind w:firstLine="420"/>
        <w:pageBreakBefore w:val="0"/>
        <w:spacing w:line="500" w:lineRule="exac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17.4 因不可抗力解除合同</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合同解除后，发包人应在商定或确定发包人应支付款项后</w:t>
      </w:r>
      <w:r>
        <w:rPr>
          <w:rFonts w:hint="eastAsia" w:ascii="宋体" w:hAnsi="宋体" w:eastAsia="宋体" w:cs="宋体"/>
          <w:color w:val="auto"/>
          <w:sz w:val="24"/>
          <w:szCs w:val="24"/>
          <w:highlight w:val="none"/>
          <w:u w:val="single"/>
        </w:rPr>
        <w:t xml:space="preserve"> 56 </w:t>
      </w:r>
      <w:r>
        <w:rPr>
          <w:rFonts w:hint="eastAsia" w:ascii="宋体" w:hAnsi="宋体" w:eastAsia="宋体" w:cs="宋体"/>
          <w:color w:val="auto"/>
          <w:sz w:val="24"/>
          <w:szCs w:val="24"/>
          <w:highlight w:val="none"/>
        </w:rPr>
        <w:t xml:space="preserve">天内完成款项的支付。</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 保险</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18.1 工程保险</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关于工程保险的特别约定：</w:t>
      </w:r>
      <w:r>
        <w:rPr>
          <w:rFonts w:hint="eastAsia" w:ascii="宋体" w:hAnsi="宋体" w:eastAsia="宋体" w:cs="宋体"/>
          <w:color w:val="auto"/>
          <w:sz w:val="24"/>
          <w:szCs w:val="24"/>
          <w:highlight w:val="none"/>
          <w:u w:val="single"/>
        </w:rPr>
        <w:t xml:space="preserve">承包人投保并承担投保费用</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18.3 其他保险</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关于其他保险的约定：</w:t>
      </w:r>
      <w:r>
        <w:rPr>
          <w:rFonts w:hint="eastAsia" w:ascii="宋体" w:hAnsi="宋体" w:eastAsia="宋体" w:cs="宋体"/>
          <w:color w:val="auto"/>
          <w:sz w:val="24"/>
          <w:szCs w:val="24"/>
          <w:highlight w:val="none"/>
          <w:u w:val="single"/>
        </w:rPr>
        <w:t xml:space="preserve">承包人应为其施工现场的全部人员办理意外伤害保险并支付保险费，包括其员工及为履行合同聘请的第三方的人员，若发生安全事故造成的一切人身伤害(包括第三人) 和经济损失均由承包人承担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承包人是否应为其施工设备等办理财产保险：</w:t>
      </w:r>
      <w:r>
        <w:rPr>
          <w:rFonts w:hint="eastAsia" w:ascii="宋体" w:hAnsi="宋体" w:eastAsia="宋体" w:cs="宋体"/>
          <w:color w:val="auto"/>
          <w:sz w:val="24"/>
          <w:szCs w:val="24"/>
          <w:highlight w:val="none"/>
          <w:u w:val="single"/>
        </w:rPr>
        <w:t xml:space="preserve">  是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18.7 通知义务</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关于变更保险合同时的通知义务的约定：</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争议解决</w:t>
      </w:r>
      <w:r/>
    </w:p>
    <w:p>
      <w:pPr>
        <w:ind w:firstLine="420"/>
        <w:pageBreakBefore w:val="0"/>
        <w:spacing w:line="500" w:lineRule="exact"/>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 争议评审</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合同当事人是否同意将工程争议提交争议评审小组决定：</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 xml:space="preserve">。  </w:t>
      </w:r>
      <w:r/>
    </w:p>
    <w:p>
      <w:pPr>
        <w:ind w:firstLine="420"/>
        <w:pageBreakBefore w:val="0"/>
        <w:spacing w:line="500" w:lineRule="exact"/>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.1.1 争议评审小组的确定</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争议评审小组成员的确定：</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选定争议评审员的期限：</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争议评审小组成员的报酬承担方式：</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其他事项的约定：</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.1.2 争议评审小组的决定</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合同当事人关于本项的约定：</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outlineLvl w:val="0"/>
      </w:pPr>
      <w:r>
        <w:rPr>
          <w:rFonts w:hint="eastAsia" w:ascii="宋体" w:hAnsi="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仲裁或诉讼</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因合同及合同有关事项发生的争议，按下列第</w:t>
      </w:r>
      <w:r>
        <w:rPr>
          <w:rFonts w:hint="eastAsia" w:ascii="宋体" w:hAnsi="宋体" w:eastAsia="宋体" w:cs="宋体"/>
          <w:color w:val="auto"/>
          <w:sz w:val="24"/>
          <w:szCs w:val="24"/>
          <w:highlight w:val="none"/>
          <w:u w:val="single"/>
        </w:rPr>
        <w:t xml:space="preserve">  2  </w:t>
      </w:r>
      <w:r>
        <w:rPr>
          <w:rFonts w:hint="eastAsia" w:ascii="宋体" w:hAnsi="宋体" w:eastAsia="宋体" w:cs="宋体"/>
          <w:color w:val="auto"/>
          <w:sz w:val="24"/>
          <w:szCs w:val="24"/>
          <w:highlight w:val="none"/>
        </w:rPr>
        <w:t xml:space="preserve">种方式解决：</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（1）向</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仲裁委员会申请仲裁；</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（2）向</w:t>
      </w:r>
      <w:r>
        <w:rPr>
          <w:rFonts w:hint="eastAsia" w:ascii="宋体" w:hAnsi="宋体" w:eastAsia="宋体" w:cs="宋体"/>
          <w:color w:val="auto"/>
          <w:sz w:val="24"/>
          <w:szCs w:val="24"/>
          <w:highlight w:val="none"/>
          <w:u w:val="single"/>
        </w:rPr>
        <w:t xml:space="preserve">       工程所在地     </w:t>
      </w:r>
      <w:r>
        <w:rPr>
          <w:rFonts w:hint="eastAsia" w:ascii="宋体" w:hAnsi="宋体" w:eastAsia="宋体" w:cs="宋体"/>
          <w:color w:val="auto"/>
          <w:sz w:val="24"/>
          <w:szCs w:val="24"/>
          <w:highlight w:val="none"/>
        </w:rPr>
        <w:t xml:space="preserve">人民法院起诉。</w:t>
      </w:r>
      <w:r/>
    </w:p>
    <w:p>
      <w:pPr>
        <w:ind w:firstLine="422"/>
        <w:pageBreakBefore w:val="0"/>
        <w:spacing w:line="500" w:lineRule="exact"/>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u w:val="single"/>
        </w:rPr>
        <w:t xml:space="preserve">21. 补充条款</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lang w:val="en-US" w:eastAsia="zh-CN"/>
        </w:rPr>
        <w:t xml:space="preserve">21.1</w:t>
      </w:r>
      <w:r>
        <w:rPr>
          <w:rFonts w:hint="eastAsia" w:ascii="宋体" w:hAnsi="宋体" w:eastAsia="宋体" w:cs="宋体"/>
          <w:color w:val="auto"/>
          <w:sz w:val="24"/>
          <w:szCs w:val="24"/>
          <w:highlight w:val="none"/>
          <w:u w:val="single"/>
        </w:rPr>
        <w:t xml:space="preserve">工程</w:t>
      </w:r>
      <w:r>
        <w:rPr>
          <w:rFonts w:hint="eastAsia" w:ascii="宋体" w:hAnsi="宋体" w:cs="宋体"/>
          <w:color w:val="auto"/>
          <w:sz w:val="24"/>
          <w:szCs w:val="24"/>
          <w:highlight w:val="none"/>
          <w:u w:val="single"/>
          <w:lang w:val="en-US" w:eastAsia="zh-CN"/>
        </w:rPr>
        <w:t xml:space="preserve">成交</w:t>
      </w:r>
      <w:r>
        <w:rPr>
          <w:rFonts w:hint="eastAsia" w:ascii="宋体" w:hAnsi="宋体" w:eastAsia="宋体" w:cs="宋体"/>
          <w:color w:val="auto"/>
          <w:sz w:val="24"/>
          <w:szCs w:val="24"/>
          <w:highlight w:val="none"/>
          <w:u w:val="single"/>
        </w:rPr>
        <w:t xml:space="preserve">后</w:t>
      </w:r>
      <w:r>
        <w:rPr>
          <w:rFonts w:hint="eastAsia" w:ascii="宋体" w:hAnsi="宋体" w:cs="宋体"/>
          <w:color w:val="auto"/>
          <w:sz w:val="24"/>
          <w:szCs w:val="24"/>
          <w:highlight w:val="none"/>
          <w:u w:val="single"/>
          <w:lang w:val="en-US" w:eastAsia="zh-CN"/>
        </w:rPr>
        <w:t xml:space="preserve">采购</w:t>
      </w:r>
      <w:r>
        <w:rPr>
          <w:rFonts w:hint="eastAsia" w:ascii="宋体" w:hAnsi="宋体" w:eastAsia="宋体" w:cs="宋体"/>
          <w:color w:val="auto"/>
          <w:sz w:val="24"/>
          <w:szCs w:val="24"/>
          <w:highlight w:val="none"/>
          <w:u w:val="single"/>
        </w:rPr>
        <w:t xml:space="preserve">方会组织</w:t>
      </w:r>
      <w:r>
        <w:rPr>
          <w:rFonts w:hint="eastAsia" w:ascii="宋体" w:hAnsi="宋体" w:cs="宋体"/>
          <w:color w:val="auto"/>
          <w:sz w:val="24"/>
          <w:szCs w:val="24"/>
          <w:highlight w:val="none"/>
          <w:u w:val="single"/>
          <w:lang w:val="en-US" w:eastAsia="zh-CN"/>
        </w:rPr>
        <w:t xml:space="preserve">成交供应商</w:t>
      </w:r>
      <w:r>
        <w:rPr>
          <w:rFonts w:hint="eastAsia" w:ascii="宋体" w:hAnsi="宋体" w:eastAsia="宋体" w:cs="宋体"/>
          <w:color w:val="auto"/>
          <w:sz w:val="24"/>
          <w:szCs w:val="24"/>
          <w:highlight w:val="none"/>
          <w:u w:val="single"/>
        </w:rPr>
        <w:t xml:space="preserve">签署承诺书，依据徐城管发[2017]102号《徐州市城市管理局城建重点工程履约考核管理办法》对</w:t>
      </w:r>
      <w:r>
        <w:rPr>
          <w:rFonts w:hint="eastAsia" w:ascii="宋体" w:hAnsi="宋体" w:cs="宋体"/>
          <w:color w:val="auto"/>
          <w:sz w:val="24"/>
          <w:szCs w:val="24"/>
          <w:highlight w:val="none"/>
          <w:u w:val="single"/>
          <w:lang w:val="en-US" w:eastAsia="zh-CN"/>
        </w:rPr>
        <w:t xml:space="preserve">成交供应商</w:t>
      </w:r>
      <w:r>
        <w:rPr>
          <w:rFonts w:hint="eastAsia" w:ascii="宋体" w:hAnsi="宋体" w:eastAsia="宋体" w:cs="宋体"/>
          <w:color w:val="auto"/>
          <w:sz w:val="24"/>
          <w:szCs w:val="24"/>
          <w:highlight w:val="none"/>
          <w:u w:val="single"/>
        </w:rPr>
        <w:t xml:space="preserve">进行考核。</w:t>
      </w:r>
      <w:r/>
    </w:p>
    <w:p>
      <w:pPr>
        <w:ind w:firstLine="420"/>
        <w:pageBreakBefore w:val="0"/>
        <w:spacing w:line="500" w:lineRule="exact"/>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rPr>
        <w:t xml:space="preserve">2</w:t>
      </w:r>
      <w:r>
        <w:rPr>
          <w:rFonts w:hint="eastAsia" w:ascii="宋体" w:hAnsi="宋体" w:eastAsia="宋体" w:cs="宋体"/>
          <w:color w:val="auto"/>
          <w:sz w:val="24"/>
          <w:szCs w:val="24"/>
          <w:highlight w:val="none"/>
          <w:u w:val="single"/>
          <w:lang w:val="en-US" w:eastAsia="zh-CN"/>
        </w:rPr>
        <w:t xml:space="preserve">1.2根据徐建重办[2015]20 号文件要求，为防止工程结算高估冒算，工程审减额若超过送审额的7%以上（不含 7%），超出部分按审减额 5%给予扣款,发包人自工程款中扣罚。</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lang w:val="en-US" w:eastAsia="zh-CN"/>
        </w:rPr>
        <w:t xml:space="preserve">2</w:t>
      </w:r>
      <w:r>
        <w:rPr>
          <w:rFonts w:hint="eastAsia" w:ascii="宋体" w:hAnsi="宋体" w:eastAsia="宋体" w:cs="宋体"/>
          <w:color w:val="auto"/>
          <w:sz w:val="24"/>
          <w:szCs w:val="24"/>
          <w:highlight w:val="none"/>
          <w:u w:val="single"/>
        </w:rPr>
        <w:t xml:space="preserve">1.</w:t>
      </w:r>
      <w:r>
        <w:rPr>
          <w:rFonts w:hint="eastAsia" w:ascii="宋体" w:hAnsi="宋体" w:eastAsia="宋体" w:cs="宋体"/>
          <w:color w:val="auto"/>
          <w:sz w:val="24"/>
          <w:szCs w:val="24"/>
          <w:highlight w:val="none"/>
          <w:u w:val="single"/>
          <w:lang w:val="en-US" w:eastAsia="zh-CN"/>
        </w:rPr>
        <w:t xml:space="preserve">3</w:t>
      </w:r>
      <w:r>
        <w:rPr>
          <w:rFonts w:hint="eastAsia" w:ascii="宋体" w:hAnsi="宋体" w:eastAsia="宋体" w:cs="宋体"/>
          <w:color w:val="auto"/>
          <w:sz w:val="24"/>
          <w:szCs w:val="24"/>
          <w:highlight w:val="none"/>
          <w:u w:val="single"/>
        </w:rPr>
        <w:t xml:space="preserve">本工程的下浮比率为（1-</w:t>
      </w:r>
      <w:r>
        <w:rPr>
          <w:rFonts w:hint="eastAsia" w:ascii="宋体" w:hAnsi="宋体" w:cs="宋体"/>
          <w:color w:val="auto"/>
          <w:sz w:val="24"/>
          <w:szCs w:val="24"/>
          <w:highlight w:val="none"/>
          <w:u w:val="single"/>
          <w:lang w:val="en-US" w:eastAsia="zh-CN"/>
        </w:rPr>
        <w:t xml:space="preserve">成交</w:t>
      </w:r>
      <w:r>
        <w:rPr>
          <w:rFonts w:hint="eastAsia" w:ascii="宋体" w:hAnsi="宋体" w:eastAsia="宋体" w:cs="宋体"/>
          <w:color w:val="auto"/>
          <w:sz w:val="24"/>
          <w:szCs w:val="24"/>
          <w:highlight w:val="none"/>
          <w:u w:val="single"/>
        </w:rPr>
        <w:t xml:space="preserve">价/工程预算价）*100%=    %，工程结算时需下浮的部分按此比率下浮。</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w:t>
      </w:r>
      <w:r>
        <w:rPr>
          <w:rFonts w:hint="eastAsia" w:ascii="宋体" w:hAnsi="宋体" w:eastAsia="宋体" w:cs="宋体"/>
          <w:color w:val="auto"/>
          <w:sz w:val="24"/>
          <w:szCs w:val="24"/>
          <w:highlight w:val="none"/>
          <w:u w:val="single"/>
          <w:lang w:val="en-US" w:eastAsia="zh-CN"/>
        </w:rPr>
        <w:t xml:space="preserve">4</w:t>
      </w:r>
      <w:r>
        <w:rPr>
          <w:rFonts w:hint="eastAsia" w:ascii="宋体" w:hAnsi="宋体" w:eastAsia="宋体" w:cs="宋体"/>
          <w:color w:val="auto"/>
          <w:sz w:val="24"/>
          <w:szCs w:val="24"/>
          <w:highlight w:val="none"/>
          <w:u w:val="single"/>
        </w:rPr>
        <w:t xml:space="preserve">承包人应在办理完现场确认后7日内（如设计变更等在图纸中能明确反映，无需现场确认的，可根据具体情况在相应工作开始前或结束后14日内）向监理提交“工程签证单”，承包人在规定的时间内不向监理单位提交“工程签证单”的，则认为该项变更不涉及合同价款变更、经济补偿和工期增加，逾期不予补签。</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签证的办理执行</w:t>
      </w:r>
      <w:r>
        <w:rPr>
          <w:rFonts w:hint="eastAsia" w:ascii="宋体" w:hAnsi="宋体" w:cs="宋体"/>
          <w:color w:val="auto"/>
          <w:sz w:val="24"/>
          <w:szCs w:val="24"/>
          <w:highlight w:val="none"/>
          <w:u w:val="single"/>
          <w:lang w:eastAsia="zh-CN"/>
        </w:rPr>
        <w:t xml:space="preserve">发包人</w:t>
      </w:r>
      <w:r>
        <w:rPr>
          <w:rFonts w:hint="eastAsia" w:ascii="宋体" w:hAnsi="宋体" w:eastAsia="宋体" w:cs="宋体"/>
          <w:color w:val="auto"/>
          <w:sz w:val="24"/>
          <w:szCs w:val="24"/>
          <w:highlight w:val="none"/>
          <w:u w:val="single"/>
        </w:rPr>
        <w:t xml:space="preserve">《工程签证管理办法》（承包人进场后由发包人提供），审计单位审计结束，承包人、发包人确认审计结果，有异议的必须在7日内提出，否则视同认可。</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设计变更、现场签证、新增减工程等变更均须经设计院、监理工程师和发包人代表签字认可并加盖公章。否则不作为结算调整依据。承包人根据发包人书面确认的变更文件予以变更。变更文件中须明确原做法、变更后做法及工艺、材料名称、规格、品牌、尺寸等，标注要清晰。</w:t>
      </w:r>
      <w:r/>
    </w:p>
    <w:p>
      <w:pPr>
        <w:ind w:firstLine="420"/>
        <w:pageBreakBefore w:val="0"/>
        <w:spacing w:line="500" w:lineRule="exact"/>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en-US" w:eastAsia="zh-CN"/>
        </w:rPr>
        <w:t xml:space="preserve">21.5</w:t>
      </w:r>
      <w:r>
        <w:rPr>
          <w:rFonts w:hint="eastAsia" w:ascii="宋体" w:hAnsi="宋体" w:cs="宋体"/>
          <w:color w:val="auto"/>
          <w:sz w:val="24"/>
          <w:szCs w:val="24"/>
          <w:highlight w:val="none"/>
          <w:u w:val="single"/>
          <w:lang w:val="en-US" w:eastAsia="zh-CN"/>
        </w:rPr>
        <w:t xml:space="preserve">承包人</w:t>
      </w:r>
      <w:r>
        <w:rPr>
          <w:rFonts w:hint="eastAsia" w:ascii="宋体" w:hAnsi="宋体" w:eastAsia="宋体" w:cs="宋体"/>
          <w:color w:val="auto"/>
          <w:sz w:val="24"/>
          <w:szCs w:val="24"/>
          <w:highlight w:val="none"/>
          <w:u w:val="single"/>
        </w:rPr>
        <w:t xml:space="preserve">要对周围环境及各种影响施工的不利因素有充分了解和应对准备，施工期间要自行化解因施工对周围产生影响所造成的矛盾，并做好群众解释工作。因以上矛盾造成的误工，工期不予顺延</w:t>
      </w:r>
      <w:r>
        <w:rPr>
          <w:rFonts w:hint="eastAsia" w:ascii="宋体" w:hAnsi="宋体" w:eastAsia="宋体" w:cs="宋体"/>
          <w:color w:val="auto"/>
          <w:sz w:val="24"/>
          <w:szCs w:val="24"/>
          <w:highlight w:val="none"/>
          <w:u w:val="single"/>
          <w:lang w:eastAsia="zh-CN"/>
        </w:rPr>
        <w:t xml:space="preserve">。</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lang w:val="en-US" w:eastAsia="zh-CN"/>
        </w:rPr>
        <w:t xml:space="preserve">21.6</w:t>
      </w:r>
      <w:r>
        <w:rPr>
          <w:rFonts w:hint="eastAsia" w:ascii="宋体" w:hAnsi="宋体" w:cs="宋体"/>
          <w:color w:val="auto"/>
          <w:sz w:val="24"/>
          <w:szCs w:val="24"/>
          <w:highlight w:val="none"/>
          <w:u w:val="single"/>
          <w:lang w:eastAsia="zh-CN"/>
        </w:rPr>
        <w:t xml:space="preserve">响应报价</w:t>
      </w:r>
      <w:r>
        <w:rPr>
          <w:rFonts w:hint="eastAsia" w:ascii="宋体" w:hAnsi="宋体" w:eastAsia="宋体" w:cs="宋体"/>
          <w:color w:val="auto"/>
          <w:sz w:val="24"/>
          <w:szCs w:val="24"/>
          <w:highlight w:val="none"/>
          <w:u w:val="single"/>
        </w:rPr>
        <w:t xml:space="preserve">应充分考虑施工场地狭窄对材料堆放、材料现场加工、安全设施搭建、标志指示牌的设置、施工对群众安全进出影响等，竣工结算不再对以上问题进行考虑。</w:t>
      </w:r>
      <w:r/>
    </w:p>
    <w:p>
      <w:pPr>
        <w:ind w:firstLine="420"/>
        <w:pageBreakBefore w:val="0"/>
        <w:spacing w:line="500" w:lineRule="exact"/>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en-US" w:eastAsia="zh-CN"/>
        </w:rPr>
        <w:t xml:space="preserve">21.7</w:t>
      </w:r>
      <w:r>
        <w:rPr>
          <w:rFonts w:hint="eastAsia" w:ascii="宋体" w:hAnsi="宋体" w:eastAsia="宋体" w:cs="宋体"/>
          <w:color w:val="auto"/>
          <w:sz w:val="24"/>
          <w:szCs w:val="24"/>
          <w:highlight w:val="none"/>
          <w:u w:val="single"/>
        </w:rPr>
        <w:t xml:space="preserve">施工方自行办理环保、交管、市政、渣土等部门的相关手续，费用按相关规定缴纳。</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lang w:val="en-US" w:eastAsia="zh-CN"/>
        </w:rPr>
        <w:t xml:space="preserve">21.8</w:t>
      </w:r>
      <w:r>
        <w:rPr>
          <w:rFonts w:hint="eastAsia" w:ascii="宋体" w:hAnsi="宋体" w:eastAsia="宋体" w:cs="宋体"/>
          <w:color w:val="auto"/>
          <w:sz w:val="24"/>
          <w:szCs w:val="24"/>
          <w:highlight w:val="none"/>
          <w:u w:val="single"/>
        </w:rPr>
        <w:t xml:space="preserve">在本工程竣工时，承包人应把留在现场的所有施工设备和临时工程以及任何未使用过的材料撤离现场。发包人在任何时候对上述任何施工设备、临时工程或材料所受的损失或伤害概不负责。</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w:t>
      </w:r>
      <w:r>
        <w:rPr>
          <w:rFonts w:hint="eastAsia" w:ascii="宋体" w:hAnsi="宋体" w:eastAsia="宋体" w:cs="宋体"/>
          <w:color w:val="auto"/>
          <w:sz w:val="24"/>
          <w:szCs w:val="24"/>
          <w:highlight w:val="none"/>
          <w:u w:val="single"/>
          <w:lang w:val="en-US" w:eastAsia="zh-CN"/>
        </w:rPr>
        <w:t xml:space="preserve">9</w:t>
      </w:r>
      <w:r>
        <w:rPr>
          <w:rFonts w:hint="eastAsia" w:ascii="宋体" w:hAnsi="宋体" w:eastAsia="宋体" w:cs="宋体"/>
          <w:color w:val="auto"/>
          <w:sz w:val="24"/>
          <w:szCs w:val="24"/>
          <w:highlight w:val="none"/>
          <w:u w:val="single"/>
        </w:rPr>
        <w:t xml:space="preserve">社会保障费已包含在合同价款内，若由发包人缴付，则此部分费用从第一次付款节点扣回。</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w:t>
      </w:r>
      <w:r>
        <w:rPr>
          <w:rFonts w:hint="eastAsia" w:ascii="宋体" w:hAnsi="宋体" w:eastAsia="宋体" w:cs="宋体"/>
          <w:color w:val="auto"/>
          <w:sz w:val="24"/>
          <w:szCs w:val="24"/>
          <w:highlight w:val="none"/>
          <w:u w:val="single"/>
          <w:lang w:val="en-US" w:eastAsia="zh-CN"/>
        </w:rPr>
        <w:t xml:space="preserve">10</w:t>
      </w:r>
      <w:r>
        <w:rPr>
          <w:rFonts w:hint="eastAsia" w:ascii="宋体" w:hAnsi="宋体" w:eastAsia="宋体" w:cs="宋体"/>
          <w:color w:val="auto"/>
          <w:sz w:val="24"/>
          <w:szCs w:val="24"/>
          <w:highlight w:val="none"/>
          <w:u w:val="single"/>
        </w:rPr>
        <w:t xml:space="preserve">施工过程中，承包人无条件配合发包人处理周围相关事宜及相关分包工程的施工。</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w:t>
      </w:r>
      <w:r>
        <w:rPr>
          <w:rFonts w:hint="eastAsia" w:ascii="宋体" w:hAnsi="宋体" w:eastAsia="宋体" w:cs="宋体"/>
          <w:color w:val="auto"/>
          <w:sz w:val="24"/>
          <w:szCs w:val="24"/>
          <w:highlight w:val="none"/>
          <w:u w:val="single"/>
          <w:lang w:val="en-US" w:eastAsia="zh-CN"/>
        </w:rPr>
        <w:t xml:space="preserve">11</w:t>
      </w:r>
      <w:r>
        <w:rPr>
          <w:rFonts w:hint="eastAsia" w:ascii="宋体" w:hAnsi="宋体" w:eastAsia="宋体" w:cs="宋体"/>
          <w:color w:val="auto"/>
          <w:sz w:val="24"/>
          <w:szCs w:val="24"/>
          <w:highlight w:val="none"/>
          <w:u w:val="single"/>
        </w:rPr>
        <w:t xml:space="preserve">承包人必须遵守发包人现场的管理制度和规定，服从发包人及监理人的管理和监督检查。</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w:t>
      </w:r>
      <w:r>
        <w:rPr>
          <w:rFonts w:hint="eastAsia" w:ascii="宋体" w:hAnsi="宋体" w:eastAsia="宋体" w:cs="宋体"/>
          <w:color w:val="auto"/>
          <w:sz w:val="24"/>
          <w:szCs w:val="24"/>
          <w:highlight w:val="none"/>
          <w:u w:val="single"/>
          <w:lang w:val="en-US" w:eastAsia="zh-CN"/>
        </w:rPr>
        <w:t xml:space="preserve">12</w:t>
      </w:r>
      <w:r>
        <w:rPr>
          <w:rFonts w:hint="eastAsia" w:ascii="宋体" w:hAnsi="宋体" w:eastAsia="宋体" w:cs="宋体"/>
          <w:color w:val="auto"/>
          <w:sz w:val="24"/>
          <w:szCs w:val="24"/>
          <w:highlight w:val="none"/>
          <w:u w:val="single"/>
        </w:rPr>
        <w:t xml:space="preserve">施工过程中，承包人如违反现场管理制度和规定，发包人有权对承包人进行经济处罚，罚金必须3日内缴纳，若未按期缴纳，发包人有权暂缓支付工程款直至缴纳罚金。</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w:t>
      </w:r>
      <w:r>
        <w:rPr>
          <w:rFonts w:hint="eastAsia" w:ascii="宋体" w:hAnsi="宋体" w:eastAsia="宋体" w:cs="宋体"/>
          <w:color w:val="auto"/>
          <w:sz w:val="24"/>
          <w:szCs w:val="24"/>
          <w:highlight w:val="none"/>
          <w:u w:val="single"/>
          <w:lang w:val="en-US" w:eastAsia="zh-CN"/>
        </w:rPr>
        <w:t xml:space="preserve">13</w:t>
      </w:r>
      <w:r>
        <w:rPr>
          <w:rFonts w:hint="eastAsia" w:ascii="宋体" w:hAnsi="宋体" w:eastAsia="宋体" w:cs="宋体"/>
          <w:color w:val="auto"/>
          <w:sz w:val="24"/>
          <w:szCs w:val="24"/>
          <w:highlight w:val="none"/>
          <w:u w:val="single"/>
        </w:rPr>
        <w:t xml:space="preserve">对放线验线、关键工序、主要原材料、取芯检验等，发包人有权请权威机构或部门进行复核或检验，复核或检验结果合格则发包人承担相应费用；如不合格则承包人承担相应费用及造成的一切损失。</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w:t>
      </w:r>
      <w:r>
        <w:rPr>
          <w:rFonts w:hint="eastAsia" w:ascii="宋体" w:hAnsi="宋体" w:eastAsia="宋体" w:cs="宋体"/>
          <w:color w:val="auto"/>
          <w:sz w:val="24"/>
          <w:szCs w:val="24"/>
          <w:highlight w:val="none"/>
          <w:u w:val="single"/>
          <w:lang w:val="en-US" w:eastAsia="zh-CN"/>
        </w:rPr>
        <w:t xml:space="preserve">14</w:t>
      </w:r>
      <w:r>
        <w:rPr>
          <w:rFonts w:hint="eastAsia" w:ascii="宋体" w:hAnsi="宋体" w:eastAsia="宋体" w:cs="宋体"/>
          <w:color w:val="auto"/>
          <w:sz w:val="24"/>
          <w:szCs w:val="24"/>
          <w:highlight w:val="none"/>
          <w:u w:val="single"/>
        </w:rPr>
        <w:t xml:space="preserve">如承包人未按设计图纸、国家规范及合同要求施工，发包人可勒令承包人暂停施工，待承包人整改完毕并报经监理人、发包人验收同意后方可复工，由此造成的损失由承包人负责。</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w:t>
      </w:r>
      <w:r>
        <w:rPr>
          <w:rFonts w:hint="eastAsia" w:ascii="宋体" w:hAnsi="宋体" w:eastAsia="宋体" w:cs="宋体"/>
          <w:color w:val="auto"/>
          <w:sz w:val="24"/>
          <w:szCs w:val="24"/>
          <w:highlight w:val="none"/>
          <w:u w:val="single"/>
          <w:lang w:val="en-US" w:eastAsia="zh-CN"/>
        </w:rPr>
        <w:t xml:space="preserve">15如承包人拒绝执行发包人的合理指令，发包人有权另行委托第三方执行指令，并视情节轻重对承包人处以10000元/次的违约金，且执行指令的费用由承包人支付；若承包人拒绝支付，则发包人有权从承包人工程款中扣除。如因发包人指令错误造成的损失费用则由发包人承担</w:t>
      </w:r>
      <w:r>
        <w:rPr>
          <w:rFonts w:hint="eastAsia" w:ascii="宋体" w:hAnsi="宋体" w:eastAsia="宋体" w:cs="宋体"/>
          <w:color w:val="auto"/>
          <w:sz w:val="24"/>
          <w:szCs w:val="24"/>
          <w:highlight w:val="none"/>
          <w:u w:val="single"/>
        </w:rPr>
        <w:t xml:space="preserve">。</w:t>
      </w:r>
      <w:r/>
    </w:p>
    <w:p>
      <w:pPr>
        <w:ind w:firstLine="420"/>
        <w:pageBreakBefore w:val="0"/>
        <w:spacing w:line="500" w:lineRule="exact"/>
        <w:rPr>
          <w:rFonts w:hint="eastAsia" w:ascii="宋体" w:hAnsi="宋体" w:eastAsia="宋体" w:cs="宋体"/>
          <w:i w:val="0"/>
          <w:iCs w:val="0"/>
          <w:color w:val="auto"/>
          <w:sz w:val="24"/>
          <w:szCs w:val="24"/>
          <w:highlight w:val="none"/>
          <w:u w:val="single"/>
        </w:rPr>
      </w:pPr>
      <w:r>
        <w:rPr>
          <w:rFonts w:hint="eastAsia" w:ascii="宋体" w:hAnsi="宋体" w:eastAsia="宋体" w:cs="宋体"/>
          <w:color w:val="auto"/>
          <w:sz w:val="24"/>
          <w:szCs w:val="24"/>
          <w:highlight w:val="none"/>
          <w:u w:val="single"/>
        </w:rPr>
        <w:t xml:space="preserve"> 21.1</w:t>
      </w:r>
      <w:r>
        <w:rPr>
          <w:rFonts w:hint="eastAsia" w:ascii="宋体" w:hAnsi="宋体" w:eastAsia="宋体" w:cs="宋体"/>
          <w:color w:val="auto"/>
          <w:sz w:val="24"/>
          <w:szCs w:val="24"/>
          <w:highlight w:val="none"/>
          <w:u w:val="single"/>
          <w:lang w:val="en-US" w:eastAsia="zh-CN"/>
        </w:rPr>
        <w:t xml:space="preserve">6</w:t>
      </w:r>
      <w:r>
        <w:rPr>
          <w:rFonts w:hint="eastAsia" w:ascii="宋体" w:hAnsi="宋体" w:eastAsia="宋体" w:cs="宋体"/>
          <w:color w:val="auto"/>
          <w:sz w:val="24"/>
          <w:szCs w:val="24"/>
          <w:highlight w:val="none"/>
          <w:u w:val="single"/>
        </w:rPr>
        <w:t xml:space="preserve">对发包人支付的工程款，承包人应优先用于支付工人劳动报酬；承包人如有拖欠、克扣工人劳动报酬的行为并造成社会不良影响的，发包人有权在承包人工程款中扣除相应款项，按程序直接支付给承包人所属工人，同时承包人还应赔偿因此给发包人造成的一切损失</w:t>
      </w:r>
      <w:r>
        <w:rPr>
          <w:rFonts w:hint="eastAsia" w:ascii="宋体" w:hAnsi="宋体" w:eastAsia="宋体" w:cs="宋体"/>
          <w:i w:val="0"/>
          <w:iCs w:val="0"/>
          <w:color w:val="auto"/>
          <w:sz w:val="24"/>
          <w:szCs w:val="24"/>
          <w:highlight w:val="none"/>
          <w:u w:val="single"/>
        </w:rPr>
        <w:t xml:space="preserve">。发生工</w:t>
      </w:r>
      <w:r>
        <w:rPr>
          <w:rFonts w:hint="eastAsia" w:ascii="宋体" w:hAnsi="宋体" w:cs="宋体"/>
          <w:i w:val="0"/>
          <w:iCs w:val="0"/>
          <w:color w:val="auto"/>
          <w:sz w:val="24"/>
          <w:szCs w:val="24"/>
          <w:highlight w:val="none"/>
          <w:u w:val="single"/>
          <w:lang w:val="en-US" w:eastAsia="zh-CN"/>
        </w:rPr>
        <w:t xml:space="preserve">人</w:t>
      </w:r>
      <w:r>
        <w:rPr>
          <w:rFonts w:hint="eastAsia" w:ascii="宋体" w:hAnsi="宋体" w:eastAsia="宋体" w:cs="宋体"/>
          <w:i w:val="0"/>
          <w:iCs w:val="0"/>
          <w:color w:val="auto"/>
          <w:sz w:val="24"/>
          <w:szCs w:val="24"/>
          <w:highlight w:val="none"/>
          <w:u w:val="single"/>
        </w:rPr>
        <w:t xml:space="preserve">群访事件的（</w:t>
      </w:r>
      <w:r>
        <w:rPr>
          <w:rFonts w:hint="eastAsia" w:ascii="宋体" w:hAnsi="宋体" w:eastAsia="宋体" w:cs="宋体"/>
          <w:i w:val="0"/>
          <w:iCs w:val="0"/>
          <w:color w:val="auto"/>
          <w:sz w:val="24"/>
          <w:szCs w:val="24"/>
          <w:highlight w:val="none"/>
          <w:u w:val="single"/>
          <w:lang w:val="en-US" w:eastAsia="zh-CN"/>
        </w:rPr>
        <w:t xml:space="preserve">3</w:t>
      </w:r>
      <w:r>
        <w:rPr>
          <w:rFonts w:hint="eastAsia" w:ascii="宋体" w:hAnsi="宋体" w:eastAsia="宋体" w:cs="宋体"/>
          <w:i w:val="0"/>
          <w:iCs w:val="0"/>
          <w:color w:val="auto"/>
          <w:sz w:val="24"/>
          <w:szCs w:val="24"/>
          <w:highlight w:val="none"/>
          <w:u w:val="single"/>
        </w:rPr>
        <w:t xml:space="preserve"> 人以上），承包人向发包人支付合同金额5%违约金。</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21.1</w:t>
      </w:r>
      <w:r>
        <w:rPr>
          <w:rFonts w:hint="eastAsia" w:ascii="宋体" w:hAnsi="宋体" w:eastAsia="宋体" w:cs="宋体"/>
          <w:color w:val="auto"/>
          <w:sz w:val="24"/>
          <w:szCs w:val="24"/>
          <w:highlight w:val="none"/>
          <w:u w:val="single"/>
          <w:lang w:val="en-US" w:eastAsia="zh-CN"/>
        </w:rPr>
        <w:t xml:space="preserve">7承包人建造师必须参加每周例会、专题会议和发包人组织召开的需承包人参加的有关会议，因故不能参加的应提前24小时向发包人提出申请，并在获得发包人批准后方可缺席，否则发包人将处10000元/次违约金</w:t>
      </w:r>
      <w:r>
        <w:rPr>
          <w:rFonts w:hint="eastAsia" w:ascii="宋体" w:hAnsi="宋体" w:eastAsia="宋体" w:cs="宋体"/>
          <w:color w:val="auto"/>
          <w:sz w:val="24"/>
          <w:szCs w:val="24"/>
          <w:highlight w:val="none"/>
          <w:u w:val="single"/>
        </w:rPr>
        <w:t xml:space="preserve">。</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21.1</w:t>
      </w:r>
      <w:r>
        <w:rPr>
          <w:rFonts w:hint="eastAsia" w:ascii="宋体" w:hAnsi="宋体" w:eastAsia="宋体" w:cs="宋体"/>
          <w:color w:val="auto"/>
          <w:sz w:val="24"/>
          <w:szCs w:val="24"/>
          <w:highlight w:val="none"/>
          <w:u w:val="single"/>
          <w:lang w:val="en-US" w:eastAsia="zh-CN"/>
        </w:rPr>
        <w:t xml:space="preserve">8</w:t>
      </w:r>
      <w:r>
        <w:rPr>
          <w:rFonts w:hint="eastAsia" w:ascii="宋体" w:hAnsi="宋体" w:eastAsia="宋体" w:cs="宋体"/>
          <w:color w:val="auto"/>
          <w:sz w:val="24"/>
          <w:szCs w:val="24"/>
          <w:highlight w:val="none"/>
          <w:u w:val="single"/>
        </w:rPr>
        <w:t xml:space="preserve">施工期间，承包人不得辱骂、殴打、威胁发包人、监理人等，如若发生将处罚承包人1万元/次，停止支付工程款，并追究其法律责任，直至承包人向发包人保证此类事件不再发生。</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21.1</w:t>
      </w:r>
      <w:r>
        <w:rPr>
          <w:rFonts w:hint="eastAsia" w:ascii="宋体" w:hAnsi="宋体" w:eastAsia="宋体" w:cs="宋体"/>
          <w:color w:val="auto"/>
          <w:sz w:val="24"/>
          <w:szCs w:val="24"/>
          <w:highlight w:val="none"/>
          <w:u w:val="single"/>
          <w:lang w:val="en-US" w:eastAsia="zh-CN"/>
        </w:rPr>
        <w:t xml:space="preserve">8</w:t>
      </w:r>
      <w:r>
        <w:rPr>
          <w:rFonts w:hint="eastAsia" w:ascii="宋体" w:hAnsi="宋体" w:eastAsia="宋体" w:cs="宋体"/>
          <w:color w:val="auto"/>
          <w:sz w:val="24"/>
          <w:szCs w:val="24"/>
          <w:highlight w:val="none"/>
          <w:u w:val="single"/>
        </w:rPr>
        <w:t xml:space="preserve">施工临水、临电、排水、降水、道路等执行招标文件。</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21.1</w:t>
      </w:r>
      <w:r>
        <w:rPr>
          <w:rFonts w:hint="eastAsia" w:ascii="宋体" w:hAnsi="宋体" w:eastAsia="宋体" w:cs="宋体"/>
          <w:color w:val="auto"/>
          <w:sz w:val="24"/>
          <w:szCs w:val="24"/>
          <w:highlight w:val="none"/>
          <w:u w:val="single"/>
          <w:lang w:val="en-US" w:eastAsia="zh-CN"/>
        </w:rPr>
        <w:t xml:space="preserve">9在施工现场土石方挖掘过程中，如若发现各种管线、公共设施、文物、古墓等，承包人应立即停止挖掘工作，并及时报告发包人与有关部门；如未及时报告或已造成损坏的，承包人负责无偿修复并承担赔偿责任</w:t>
      </w:r>
      <w:r>
        <w:rPr>
          <w:rFonts w:hint="eastAsia" w:ascii="宋体" w:hAnsi="宋体" w:eastAsia="宋体" w:cs="宋体"/>
          <w:color w:val="auto"/>
          <w:sz w:val="24"/>
          <w:szCs w:val="24"/>
          <w:highlight w:val="none"/>
          <w:u w:val="single"/>
        </w:rPr>
        <w:t xml:space="preserve">。</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w:t>
      </w:r>
      <w:r>
        <w:rPr>
          <w:rFonts w:hint="eastAsia" w:ascii="宋体" w:hAnsi="宋体" w:eastAsia="宋体" w:cs="宋体"/>
          <w:color w:val="auto"/>
          <w:sz w:val="24"/>
          <w:szCs w:val="24"/>
          <w:highlight w:val="none"/>
          <w:u w:val="single"/>
          <w:lang w:val="en-US" w:eastAsia="zh-CN"/>
        </w:rPr>
        <w:t xml:space="preserve">20本项目不允许分包。承担人违法分包的，承包人应向发包人支付合同金额20%违约金。发包人有权终止合同</w:t>
      </w:r>
      <w:r>
        <w:rPr>
          <w:rFonts w:hint="eastAsia" w:ascii="宋体" w:hAnsi="宋体" w:eastAsia="宋体" w:cs="宋体"/>
          <w:color w:val="auto"/>
          <w:sz w:val="24"/>
          <w:szCs w:val="24"/>
          <w:highlight w:val="none"/>
          <w:u w:val="single"/>
        </w:rPr>
        <w:t xml:space="preserve">。</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w:t>
      </w:r>
      <w:r>
        <w:rPr>
          <w:rFonts w:hint="eastAsia" w:ascii="宋体" w:hAnsi="宋体" w:eastAsia="宋体" w:cs="宋体"/>
          <w:color w:val="auto"/>
          <w:sz w:val="24"/>
          <w:szCs w:val="24"/>
          <w:highlight w:val="none"/>
          <w:u w:val="single"/>
          <w:lang w:val="en-US" w:eastAsia="zh-CN"/>
        </w:rPr>
        <w:t xml:space="preserve">21因承包人原因造成工期延误，承包人除承担违约金外，还应承担因工期延误而产生的其他赔付费用（如有）</w:t>
      </w:r>
      <w:r>
        <w:rPr>
          <w:rFonts w:hint="eastAsia" w:ascii="宋体" w:hAnsi="宋体" w:eastAsia="宋体" w:cs="宋体"/>
          <w:color w:val="auto"/>
          <w:sz w:val="24"/>
          <w:szCs w:val="24"/>
          <w:highlight w:val="none"/>
          <w:u w:val="single"/>
        </w:rPr>
        <w:t xml:space="preserve">。</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w:t>
      </w:r>
      <w:r>
        <w:rPr>
          <w:rFonts w:hint="eastAsia" w:ascii="宋体" w:hAnsi="宋体" w:eastAsia="宋体" w:cs="宋体"/>
          <w:color w:val="auto"/>
          <w:sz w:val="24"/>
          <w:szCs w:val="24"/>
          <w:highlight w:val="none"/>
          <w:u w:val="single"/>
          <w:lang w:val="en-US" w:eastAsia="zh-CN"/>
        </w:rPr>
        <w:t xml:space="preserve">22</w:t>
      </w:r>
      <w:r>
        <w:rPr>
          <w:rFonts w:hint="eastAsia" w:ascii="宋体" w:hAnsi="宋体" w:eastAsia="宋体" w:cs="宋体"/>
          <w:color w:val="auto"/>
          <w:sz w:val="24"/>
          <w:szCs w:val="24"/>
          <w:highlight w:val="none"/>
          <w:u w:val="single"/>
        </w:rPr>
        <w:t xml:space="preserve">本合同履行期间，承包人与第三方产生的债权、债务均由承包人自行解决，与发包人无关。</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未经发包人书面同意，承包人不得向第三人转让本合同的任何权利、义务。</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w:t>
      </w:r>
      <w:r>
        <w:rPr>
          <w:rFonts w:hint="eastAsia" w:ascii="宋体" w:hAnsi="宋体" w:eastAsia="宋体" w:cs="宋体"/>
          <w:color w:val="auto"/>
          <w:sz w:val="24"/>
          <w:szCs w:val="24"/>
          <w:highlight w:val="none"/>
          <w:u w:val="single"/>
          <w:lang w:val="en-US" w:eastAsia="zh-CN"/>
        </w:rPr>
        <w:t xml:space="preserve">23</w:t>
      </w:r>
      <w:r>
        <w:rPr>
          <w:rFonts w:hint="eastAsia" w:ascii="宋体" w:hAnsi="宋体" w:eastAsia="宋体" w:cs="宋体"/>
          <w:color w:val="auto"/>
          <w:sz w:val="24"/>
          <w:szCs w:val="24"/>
          <w:highlight w:val="none"/>
          <w:u w:val="single"/>
        </w:rPr>
        <w:t xml:space="preserve">本工程合同备案手续由承包人办理，发包人配合。</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21.2</w:t>
      </w:r>
      <w:r>
        <w:rPr>
          <w:rFonts w:hint="eastAsia" w:ascii="宋体" w:hAnsi="宋体" w:eastAsia="宋体" w:cs="宋体"/>
          <w:color w:val="auto"/>
          <w:sz w:val="24"/>
          <w:szCs w:val="24"/>
          <w:highlight w:val="none"/>
          <w:u w:val="single"/>
          <w:lang w:val="en-US" w:eastAsia="zh-CN"/>
        </w:rPr>
        <w:t xml:space="preserve">4</w:t>
      </w:r>
      <w:r>
        <w:rPr>
          <w:rFonts w:hint="eastAsia" w:ascii="宋体" w:hAnsi="宋体" w:eastAsia="宋体" w:cs="宋体"/>
          <w:color w:val="auto"/>
          <w:sz w:val="24"/>
          <w:szCs w:val="24"/>
          <w:highlight w:val="none"/>
          <w:u w:val="single"/>
        </w:rPr>
        <w:t xml:space="preserve">本工程材料与设备的材料试验费（含试件试样的取样、制作、封样、送检及检验试验费及取芯检测等）等由承包人在管理费中综合考虑，包干使用，结算时不作调整。进场材料抽检由承包人负责，投标时自行考虑在报价内，发包人不再支付此项费用。</w:t>
      </w:r>
      <w:r/>
    </w:p>
    <w:p>
      <w:pPr>
        <w:ind w:firstLine="48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21.2</w:t>
      </w:r>
      <w:r>
        <w:rPr>
          <w:rFonts w:hint="eastAsia" w:ascii="宋体" w:hAnsi="宋体" w:eastAsia="宋体" w:cs="宋体"/>
          <w:color w:val="auto"/>
          <w:sz w:val="24"/>
          <w:szCs w:val="24"/>
          <w:highlight w:val="none"/>
          <w:u w:val="single"/>
          <w:lang w:val="en-US" w:eastAsia="zh-CN"/>
        </w:rPr>
        <w:t xml:space="preserve">5</w:t>
      </w:r>
      <w:r>
        <w:rPr>
          <w:rFonts w:hint="eastAsia" w:ascii="宋体" w:hAnsi="宋体" w:eastAsia="宋体" w:cs="宋体"/>
          <w:color w:val="auto"/>
          <w:sz w:val="24"/>
          <w:szCs w:val="24"/>
          <w:highlight w:val="none"/>
          <w:u w:val="single"/>
        </w:rPr>
        <w:t xml:space="preserve">地方关系、施工涉及的交通协调费</w:t>
      </w:r>
      <w:r>
        <w:rPr>
          <w:rFonts w:hint="eastAsia" w:ascii="宋体" w:hAnsi="宋体" w:cs="宋体"/>
          <w:color w:val="auto"/>
          <w:sz w:val="24"/>
          <w:szCs w:val="24"/>
          <w:highlight w:val="none"/>
          <w:u w:val="single"/>
          <w:lang w:val="en-US" w:eastAsia="zh-CN"/>
        </w:rPr>
        <w:t xml:space="preserve">承包人</w:t>
      </w:r>
      <w:r>
        <w:rPr>
          <w:rFonts w:hint="eastAsia" w:ascii="宋体" w:hAnsi="宋体" w:eastAsia="宋体" w:cs="宋体"/>
          <w:color w:val="auto"/>
          <w:sz w:val="24"/>
          <w:szCs w:val="24"/>
          <w:highlight w:val="none"/>
          <w:u w:val="single"/>
        </w:rPr>
        <w:t xml:space="preserve">自行综合考虑在</w:t>
      </w:r>
      <w:r>
        <w:rPr>
          <w:rFonts w:hint="eastAsia" w:ascii="宋体" w:hAnsi="宋体" w:cs="宋体"/>
          <w:color w:val="auto"/>
          <w:sz w:val="24"/>
          <w:szCs w:val="24"/>
          <w:highlight w:val="none"/>
          <w:u w:val="single"/>
          <w:lang w:eastAsia="zh-CN"/>
        </w:rPr>
        <w:t xml:space="preserve">响应报价</w:t>
      </w:r>
      <w:r>
        <w:rPr>
          <w:rFonts w:hint="eastAsia" w:ascii="宋体" w:hAnsi="宋体" w:eastAsia="宋体" w:cs="宋体"/>
          <w:color w:val="auto"/>
          <w:sz w:val="24"/>
          <w:szCs w:val="24"/>
          <w:highlight w:val="none"/>
          <w:u w:val="single"/>
        </w:rPr>
        <w:t xml:space="preserve">内，就此项发包人不支付任何费用。</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21.2</w:t>
      </w:r>
      <w:r>
        <w:rPr>
          <w:rFonts w:hint="eastAsia" w:ascii="宋体" w:hAnsi="宋体" w:eastAsia="宋体" w:cs="宋体"/>
          <w:color w:val="auto"/>
          <w:sz w:val="24"/>
          <w:szCs w:val="24"/>
          <w:highlight w:val="none"/>
          <w:u w:val="single"/>
          <w:lang w:val="en-US" w:eastAsia="zh-CN"/>
        </w:rPr>
        <w:t xml:space="preserve">6由于承包</w:t>
      </w:r>
      <w:r>
        <w:rPr>
          <w:rFonts w:hint="eastAsia" w:ascii="宋体" w:hAnsi="宋体" w:cs="宋体"/>
          <w:color w:val="auto"/>
          <w:sz w:val="24"/>
          <w:szCs w:val="24"/>
          <w:highlight w:val="none"/>
          <w:u w:val="single"/>
          <w:lang w:val="en-US" w:eastAsia="zh-CN"/>
        </w:rPr>
        <w:t xml:space="preserve">人</w:t>
      </w:r>
      <w:r>
        <w:rPr>
          <w:rFonts w:hint="eastAsia" w:ascii="宋体" w:hAnsi="宋体" w:eastAsia="宋体" w:cs="宋体"/>
          <w:color w:val="auto"/>
          <w:sz w:val="24"/>
          <w:szCs w:val="24"/>
          <w:highlight w:val="none"/>
          <w:u w:val="single"/>
          <w:lang w:val="en-US" w:eastAsia="zh-CN"/>
        </w:rPr>
        <w:t xml:space="preserve">施工质量原因，出现质量问题，承包</w:t>
      </w:r>
      <w:r>
        <w:rPr>
          <w:rFonts w:hint="eastAsia" w:ascii="宋体" w:hAnsi="宋体" w:cs="宋体"/>
          <w:color w:val="auto"/>
          <w:sz w:val="24"/>
          <w:szCs w:val="24"/>
          <w:highlight w:val="none"/>
          <w:u w:val="single"/>
          <w:lang w:val="en-US" w:eastAsia="zh-CN"/>
        </w:rPr>
        <w:t xml:space="preserve">人</w:t>
      </w:r>
      <w:r>
        <w:rPr>
          <w:rFonts w:hint="eastAsia" w:ascii="宋体" w:hAnsi="宋体" w:eastAsia="宋体" w:cs="宋体"/>
          <w:color w:val="auto"/>
          <w:sz w:val="24"/>
          <w:szCs w:val="24"/>
          <w:highlight w:val="none"/>
          <w:u w:val="single"/>
          <w:lang w:val="en-US" w:eastAsia="zh-CN"/>
        </w:rPr>
        <w:t xml:space="preserve">除按要求进行整改外并承担相应责任外，还应向</w:t>
      </w:r>
      <w:r>
        <w:rPr>
          <w:rFonts w:hint="eastAsia" w:ascii="宋体" w:hAnsi="宋体" w:cs="宋体"/>
          <w:color w:val="auto"/>
          <w:sz w:val="24"/>
          <w:szCs w:val="24"/>
          <w:highlight w:val="none"/>
          <w:u w:val="single"/>
          <w:lang w:val="en-US" w:eastAsia="zh-CN"/>
        </w:rPr>
        <w:t xml:space="preserve">发包人</w:t>
      </w:r>
      <w:r>
        <w:rPr>
          <w:rFonts w:hint="eastAsia" w:ascii="宋体" w:hAnsi="宋体" w:eastAsia="宋体" w:cs="宋体"/>
          <w:color w:val="auto"/>
          <w:sz w:val="24"/>
          <w:szCs w:val="24"/>
          <w:highlight w:val="none"/>
          <w:u w:val="single"/>
          <w:lang w:val="en-US" w:eastAsia="zh-CN"/>
        </w:rPr>
        <w:t xml:space="preserve">支付合同金额的5%/次违约金</w:t>
      </w:r>
      <w:r>
        <w:rPr>
          <w:rFonts w:hint="eastAsia" w:ascii="宋体" w:hAnsi="宋体" w:eastAsia="宋体" w:cs="宋体"/>
          <w:color w:val="auto"/>
          <w:sz w:val="24"/>
          <w:szCs w:val="24"/>
          <w:highlight w:val="none"/>
          <w:u w:val="single"/>
        </w:rPr>
        <w:t xml:space="preserve">；</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21.2</w:t>
      </w:r>
      <w:r>
        <w:rPr>
          <w:rFonts w:hint="eastAsia" w:ascii="宋体" w:hAnsi="宋体" w:eastAsia="宋体" w:cs="宋体"/>
          <w:color w:val="auto"/>
          <w:sz w:val="24"/>
          <w:szCs w:val="24"/>
          <w:highlight w:val="none"/>
          <w:u w:val="single"/>
          <w:lang w:val="en-US" w:eastAsia="zh-CN"/>
        </w:rPr>
        <w:t xml:space="preserve">7</w:t>
      </w:r>
      <w:r>
        <w:rPr>
          <w:rFonts w:hint="eastAsia" w:ascii="宋体" w:hAnsi="宋体" w:eastAsia="宋体" w:cs="宋体"/>
          <w:color w:val="auto"/>
          <w:sz w:val="24"/>
          <w:szCs w:val="24"/>
          <w:highlight w:val="none"/>
          <w:u w:val="single"/>
        </w:rPr>
        <w:t xml:space="preserve">场地障碍物（包括地表、地下及围档增设开口）清除（包含挖填等处理）、场地内的积水处理、施工中为保证施工机械及构件进场和正常施工所发生的换填土、垫路、三边关系、周边关系相应的处理协调及其它的一切相关配合等所产生的费用由承包人承担。</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21.2</w:t>
      </w:r>
      <w:r>
        <w:rPr>
          <w:rFonts w:hint="eastAsia" w:ascii="宋体" w:hAnsi="宋体" w:eastAsia="宋体" w:cs="宋体"/>
          <w:color w:val="auto"/>
          <w:sz w:val="24"/>
          <w:szCs w:val="24"/>
          <w:highlight w:val="none"/>
          <w:u w:val="single"/>
          <w:lang w:val="en-US" w:eastAsia="zh-CN"/>
        </w:rPr>
        <w:t xml:space="preserve">8</w:t>
      </w:r>
      <w:r>
        <w:rPr>
          <w:rFonts w:hint="eastAsia" w:ascii="宋体" w:hAnsi="宋体" w:eastAsia="宋体" w:cs="宋体"/>
          <w:color w:val="auto"/>
          <w:sz w:val="24"/>
          <w:szCs w:val="24"/>
          <w:highlight w:val="none"/>
          <w:u w:val="single"/>
        </w:rPr>
        <w:t xml:space="preserve">甲乙双方管理人员以及相关其他人员在工程施工期间必须严格遵守廉洁从业规定。</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廉洁管理条款：承包人不得对发包人的工作人员有请吃、送礼行为。如有违反此规定除将违纪线索报有关纪检监察部门查处处理外，发包人将按下列标准扣减承包人应得的工程款。工程款竣工结算后被发现的，发包人有权向承包人按下列标准的金额追索违约金，且不受时效限制。</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(a)宴请或以其它方式提供消费的，按5</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000元/次 。</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(b)所送礼品、现金、有价证券等，价值在5</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000元以下的，按50</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000元/次 。</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(c)所送礼品、现金、有价证券等，价值在5</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000元以上的，按标段总造价的5%/次 。</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21.2</w:t>
      </w:r>
      <w:r>
        <w:rPr>
          <w:rFonts w:hint="eastAsia" w:ascii="宋体" w:hAnsi="宋体" w:eastAsia="宋体" w:cs="宋体"/>
          <w:color w:val="auto"/>
          <w:sz w:val="24"/>
          <w:szCs w:val="24"/>
          <w:highlight w:val="none"/>
          <w:u w:val="single"/>
          <w:lang w:val="en-US" w:eastAsia="zh-CN"/>
        </w:rPr>
        <w:t xml:space="preserve">9</w:t>
      </w:r>
      <w:r>
        <w:rPr>
          <w:rFonts w:hint="eastAsia" w:ascii="宋体" w:hAnsi="宋体" w:eastAsia="宋体" w:cs="宋体"/>
          <w:color w:val="auto"/>
          <w:sz w:val="24"/>
          <w:szCs w:val="24"/>
          <w:highlight w:val="none"/>
          <w:u w:val="single"/>
        </w:rPr>
        <w:t xml:space="preserve">必须遵守徐建重办【2019】55号文《徐州市城建重点工程质量抽检实施意见》和《徐州市城建重点工程质量抽检实施细则》。</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w:t>
      </w:r>
      <w:r>
        <w:rPr>
          <w:rFonts w:hint="eastAsia" w:ascii="宋体" w:hAnsi="宋体" w:eastAsia="宋体" w:cs="宋体"/>
          <w:color w:val="auto"/>
          <w:sz w:val="24"/>
          <w:szCs w:val="24"/>
          <w:highlight w:val="none"/>
          <w:u w:val="single"/>
          <w:lang w:val="en-US" w:eastAsia="zh-CN"/>
        </w:rPr>
        <w:t xml:space="preserve">30</w:t>
      </w:r>
      <w:r>
        <w:rPr>
          <w:rFonts w:hint="eastAsia" w:ascii="宋体" w:hAnsi="宋体" w:eastAsia="宋体" w:cs="宋体"/>
          <w:color w:val="auto"/>
          <w:sz w:val="24"/>
          <w:szCs w:val="24"/>
          <w:highlight w:val="none"/>
          <w:u w:val="single"/>
        </w:rPr>
        <w:t xml:space="preserve">本项目措施费支护、排水、降水等投标时自行考虑在报价内，结算时不再调整此项费用。</w:t>
      </w:r>
      <w:r/>
    </w:p>
    <w:p>
      <w:pPr>
        <w:ind w:firstLine="420"/>
        <w:pageBreakBefore w:val="0"/>
        <w:spacing w:line="500" w:lineRule="exact"/>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lang w:val="en-US" w:eastAsia="zh-CN"/>
        </w:rPr>
        <w:t xml:space="preserve">21.31因本项目沟槽挖掘施工线路较长，需分段多次进场修复，</w:t>
      </w:r>
      <w:r>
        <w:rPr>
          <w:rFonts w:hint="eastAsia" w:ascii="宋体" w:hAnsi="宋体" w:cs="宋体"/>
          <w:b/>
          <w:bCs/>
          <w:i w:val="0"/>
          <w:iCs w:val="0"/>
          <w:color w:val="auto"/>
          <w:sz w:val="24"/>
          <w:szCs w:val="24"/>
          <w:highlight w:val="none"/>
          <w:u w:val="none"/>
          <w:lang w:val="en-US" w:eastAsia="zh-CN"/>
        </w:rPr>
        <w:t xml:space="preserve">承包人</w:t>
      </w:r>
      <w:r>
        <w:rPr>
          <w:rFonts w:hint="eastAsia" w:ascii="宋体" w:hAnsi="宋体" w:eastAsia="宋体" w:cs="宋体"/>
          <w:b/>
          <w:bCs/>
          <w:i w:val="0"/>
          <w:iCs w:val="0"/>
          <w:color w:val="auto"/>
          <w:sz w:val="24"/>
          <w:szCs w:val="24"/>
          <w:highlight w:val="none"/>
          <w:u w:val="none"/>
          <w:lang w:val="en-US" w:eastAsia="zh-CN"/>
        </w:rPr>
        <w:t xml:space="preserve">应充分考虑</w:t>
      </w:r>
      <w:r>
        <w:rPr>
          <w:rFonts w:hint="eastAsia" w:ascii="宋体" w:hAnsi="宋体" w:cs="宋体"/>
          <w:b/>
          <w:bCs/>
          <w:i w:val="0"/>
          <w:iCs w:val="0"/>
          <w:color w:val="auto"/>
          <w:sz w:val="24"/>
          <w:szCs w:val="24"/>
          <w:highlight w:val="none"/>
          <w:u w:val="none"/>
          <w:lang w:val="en-US" w:eastAsia="zh-CN"/>
        </w:rPr>
        <w:t xml:space="preserve">重复</w:t>
      </w:r>
      <w:r>
        <w:rPr>
          <w:rFonts w:hint="eastAsia" w:ascii="宋体" w:hAnsi="宋体" w:eastAsia="宋体" w:cs="宋体"/>
          <w:b/>
          <w:bCs/>
          <w:i w:val="0"/>
          <w:iCs w:val="0"/>
          <w:color w:val="auto"/>
          <w:sz w:val="24"/>
          <w:szCs w:val="24"/>
          <w:highlight w:val="none"/>
          <w:u w:val="none"/>
          <w:lang w:val="en-US" w:eastAsia="zh-CN"/>
        </w:rPr>
        <w:t xml:space="preserve">进退场费用且包含在响应报价中，</w:t>
      </w:r>
      <w:r>
        <w:rPr>
          <w:rFonts w:hint="eastAsia" w:ascii="宋体" w:hAnsi="宋体" w:eastAsia="宋体" w:cs="宋体"/>
          <w:b/>
          <w:bCs/>
          <w:i w:val="0"/>
          <w:iCs w:val="0"/>
          <w:color w:val="auto"/>
          <w:sz w:val="24"/>
          <w:szCs w:val="24"/>
          <w:highlight w:val="none"/>
          <w:u w:val="none"/>
        </w:rPr>
        <w:t xml:space="preserve">结算时不再调整此项费用。</w:t>
      </w:r>
      <w:r/>
    </w:p>
    <w:p>
      <w:pPr>
        <w:ind w:firstLine="420"/>
        <w:pageBreakBefore w:val="0"/>
        <w:spacing w:line="500" w:lineRule="exact"/>
        <w:rPr>
          <w:rFonts w:hint="default" w:ascii="宋体" w:hAnsi="宋体" w:eastAsia="宋体" w:cs="宋体"/>
          <w:b/>
          <w:bCs/>
          <w:i w:val="0"/>
          <w:iCs w:val="0"/>
          <w:color w:val="auto"/>
          <w:sz w:val="24"/>
          <w:szCs w:val="24"/>
          <w:highlight w:val="none"/>
          <w:u w:val="none"/>
          <w:lang w:val="en-US" w:eastAsia="zh-CN"/>
        </w:rPr>
      </w:pPr>
      <w:r>
        <w:rPr>
          <w:rFonts w:hint="eastAsia" w:ascii="宋体" w:hAnsi="宋体" w:eastAsia="宋体" w:cs="宋体"/>
          <w:b/>
          <w:bCs/>
          <w:i w:val="0"/>
          <w:iCs w:val="0"/>
          <w:color w:val="auto"/>
          <w:sz w:val="24"/>
          <w:szCs w:val="24"/>
          <w:highlight w:val="none"/>
          <w:u w:val="none"/>
          <w:lang w:val="en-US" w:eastAsia="zh-CN"/>
        </w:rPr>
        <w:t xml:space="preserve">21.32本项目验收按照《江苏省政府采购履约验收管理办法》执行，对履约验收发生的检测（检验）费、验收小组成员中的专业技术人员费用等支出，均由</w:t>
      </w:r>
      <w:r>
        <w:rPr>
          <w:rFonts w:hint="eastAsia" w:ascii="宋体" w:hAnsi="宋体" w:cs="宋体"/>
          <w:b/>
          <w:bCs/>
          <w:i w:val="0"/>
          <w:iCs w:val="0"/>
          <w:color w:val="auto"/>
          <w:sz w:val="24"/>
          <w:szCs w:val="24"/>
          <w:highlight w:val="none"/>
          <w:u w:val="none"/>
          <w:lang w:val="en-US" w:eastAsia="zh-CN"/>
        </w:rPr>
        <w:t xml:space="preserve">承包人</w:t>
      </w:r>
      <w:r>
        <w:rPr>
          <w:rFonts w:hint="eastAsia" w:ascii="宋体" w:hAnsi="宋体" w:eastAsia="宋体" w:cs="宋体"/>
          <w:b/>
          <w:bCs/>
          <w:i w:val="0"/>
          <w:iCs w:val="0"/>
          <w:color w:val="auto"/>
          <w:sz w:val="24"/>
          <w:szCs w:val="24"/>
          <w:highlight w:val="none"/>
          <w:u w:val="none"/>
          <w:lang w:val="en-US" w:eastAsia="zh-CN"/>
        </w:rPr>
        <w:t xml:space="preserve">承担，执行标准参照江苏省政府采购专家评审费，</w:t>
      </w:r>
      <w:r>
        <w:rPr>
          <w:rFonts w:hint="eastAsia" w:ascii="宋体" w:hAnsi="宋体" w:cs="宋体"/>
          <w:b/>
          <w:bCs/>
          <w:i w:val="0"/>
          <w:iCs w:val="0"/>
          <w:color w:val="auto"/>
          <w:sz w:val="24"/>
          <w:szCs w:val="24"/>
          <w:highlight w:val="none"/>
          <w:u w:val="none"/>
          <w:lang w:val="en-US" w:eastAsia="zh-CN"/>
        </w:rPr>
        <w:t xml:space="preserve">发包人</w:t>
      </w:r>
      <w:r>
        <w:rPr>
          <w:rFonts w:hint="eastAsia" w:ascii="宋体" w:hAnsi="宋体" w:eastAsia="宋体" w:cs="宋体"/>
          <w:b/>
          <w:bCs/>
          <w:i w:val="0"/>
          <w:iCs w:val="0"/>
          <w:color w:val="auto"/>
          <w:sz w:val="24"/>
          <w:szCs w:val="24"/>
          <w:highlight w:val="none"/>
          <w:u w:val="none"/>
          <w:lang w:val="en-US" w:eastAsia="zh-CN"/>
        </w:rPr>
        <w:t xml:space="preserve">不再支付其它任何费用。</w:t>
      </w:r>
      <w:r/>
    </w:p>
    <w:p>
      <w:pPr>
        <w:pStyle w:val="10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合同附件：</w:t>
      </w:r>
      <w:r/>
    </w:p>
    <w:p>
      <w:pPr>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附件1：承包人承揽工程项目一览表</w:t>
      </w:r>
      <w:r/>
    </w:p>
    <w:p>
      <w:pPr>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专用合同条款附件：</w:t>
      </w:r>
      <w:r/>
    </w:p>
    <w:p>
      <w:pPr>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附件2：发包人供应材料设备一览表</w:t>
      </w:r>
      <w:r/>
    </w:p>
    <w:p>
      <w:pPr>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附件3：工程质量保修书</w:t>
      </w:r>
      <w:r/>
    </w:p>
    <w:p>
      <w:pPr>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附件4：主要建设工程文件目录</w:t>
      </w:r>
      <w:r/>
    </w:p>
    <w:p>
      <w:pPr>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附件5：承包人用于本工程施工的机械设备表</w:t>
      </w:r>
      <w:r/>
    </w:p>
    <w:p>
      <w:pPr>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附件6：承包人主要施工管理人员表</w:t>
      </w:r>
      <w:r/>
    </w:p>
    <w:p>
      <w:pPr>
        <w:pageBreakBefore w:val="0"/>
        <w:spacing w:line="5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附件7：《</w:t>
      </w:r>
      <w:r>
        <w:rPr>
          <w:rFonts w:hint="eastAsia" w:ascii="宋体" w:hAnsi="宋体" w:eastAsia="宋体" w:cs="宋体"/>
          <w:color w:val="auto"/>
          <w:sz w:val="24"/>
          <w:szCs w:val="24"/>
          <w:highlight w:val="none"/>
          <w:lang w:val="zh-TW" w:eastAsia="zh-TW"/>
        </w:rPr>
        <w:t xml:space="preserve">徐州市城市管理局城建重点工程</w:t>
      </w:r>
      <w:r>
        <w:rPr>
          <w:rFonts w:hint="eastAsia" w:ascii="宋体" w:hAnsi="宋体" w:eastAsia="宋体" w:cs="宋体"/>
          <w:color w:val="auto"/>
          <w:sz w:val="24"/>
          <w:szCs w:val="24"/>
          <w:highlight w:val="none"/>
          <w:lang w:val="zh-TW"/>
        </w:rPr>
        <w:t xml:space="preserve">履约</w:t>
      </w:r>
      <w:r>
        <w:rPr>
          <w:rFonts w:hint="eastAsia" w:ascii="宋体" w:hAnsi="宋体" w:eastAsia="宋体" w:cs="宋体"/>
          <w:color w:val="auto"/>
          <w:sz w:val="24"/>
          <w:szCs w:val="24"/>
          <w:highlight w:val="none"/>
          <w:lang w:val="zh-TW" w:eastAsia="zh-TW"/>
        </w:rPr>
        <w:t xml:space="preserve">考核管理办法</w:t>
      </w:r>
      <w:r>
        <w:rPr>
          <w:rFonts w:hint="eastAsia" w:ascii="宋体" w:hAnsi="宋体" w:eastAsia="宋体" w:cs="宋体"/>
          <w:color w:val="auto"/>
          <w:sz w:val="24"/>
          <w:szCs w:val="24"/>
          <w:highlight w:val="none"/>
          <w:lang w:val="zh-TW" w:eastAsia="zh-CN"/>
        </w:rPr>
        <w:t xml:space="preserve">》</w:t>
      </w:r>
      <w:r/>
    </w:p>
    <w:p>
      <w:pPr>
        <w:pStyle w:val="1008"/>
        <w:rPr>
          <w:rFonts w:hint="eastAsia" w:ascii="宋体" w:hAnsi="宋体" w:eastAsia="宋体" w:cs="宋体"/>
          <w:sz w:val="21"/>
          <w:szCs w:val="21"/>
        </w:rPr>
      </w:pPr>
      <w:r>
        <w:rPr>
          <w:rFonts w:hint="eastAsia" w:ascii="宋体" w:hAnsi="宋体" w:eastAsia="宋体" w:cs="宋体"/>
          <w:sz w:val="21"/>
          <w:szCs w:val="21"/>
        </w:rPr>
      </w:r>
      <w:r/>
    </w:p>
    <w:p>
      <w:pPr>
        <w:pStyle w:val="1003"/>
        <w:rPr>
          <w:rFonts w:hint="eastAsia" w:ascii="宋体" w:hAnsi="宋体" w:eastAsia="宋体" w:cs="宋体"/>
          <w:sz w:val="21"/>
          <w:szCs w:val="21"/>
        </w:rPr>
      </w:pPr>
      <w:r>
        <w:rPr>
          <w:rFonts w:hint="eastAsia" w:ascii="宋体" w:hAnsi="宋体" w:eastAsia="宋体" w:cs="宋体"/>
          <w:sz w:val="21"/>
          <w:szCs w:val="21"/>
        </w:rPr>
      </w:r>
      <w:r/>
    </w:p>
    <w:p>
      <w:pPr>
        <w:pStyle w:val="1004"/>
        <w:rPr>
          <w:rFonts w:hint="eastAsia" w:ascii="宋体" w:hAnsi="宋体" w:eastAsia="宋体" w:cs="宋体"/>
          <w:sz w:val="21"/>
          <w:szCs w:val="21"/>
        </w:rPr>
      </w:pPr>
      <w:r>
        <w:rPr>
          <w:rFonts w:hint="eastAsia" w:ascii="宋体" w:hAnsi="宋体" w:eastAsia="宋体" w:cs="宋体"/>
          <w:sz w:val="21"/>
          <w:szCs w:val="21"/>
        </w:rPr>
      </w:r>
      <w:r/>
    </w:p>
    <w:p>
      <w:pPr>
        <w:pStyle w:val="1008"/>
        <w:rPr>
          <w:rFonts w:hint="eastAsia" w:ascii="宋体" w:hAnsi="宋体" w:eastAsia="宋体" w:cs="宋体"/>
          <w:sz w:val="21"/>
          <w:szCs w:val="21"/>
        </w:rPr>
        <w:sectPr>
          <w:headerReference w:type="default" r:id="rId11"/>
          <w:footerReference w:type="default" r:id="rId14"/>
          <w:footerReference w:type="even" r:id="rId15"/>
          <w:footerReference w:type="first" r:id="rId16"/>
          <w:footnotePr/>
          <w:endnotePr/>
          <w:type w:val="nextPage"/>
          <w:pgSz w:w="11906" w:h="16838" w:orient="portrait"/>
          <w:pgMar w:top="1440" w:right="1080" w:bottom="1440" w:left="1080" w:header="851" w:footer="992" w:gutter="0"/>
          <w:cols w:num="1" w:sep="0" w:space="720" w:equalWidth="1"/>
          <w:docGrid w:linePitch="360"/>
          <w:titlePg/>
        </w:sectPr>
      </w:pPr>
      <w:r>
        <w:rPr>
          <w:rFonts w:hint="eastAsia" w:ascii="宋体" w:hAnsi="宋体" w:eastAsia="宋体" w:cs="宋体"/>
          <w:sz w:val="21"/>
          <w:szCs w:val="21"/>
        </w:rPr>
      </w:r>
      <w:r/>
    </w:p>
    <w:p>
      <w:pPr>
        <w:pStyle w:val="1018"/>
        <w:ind w:left="0" w:firstLine="0"/>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附件1：</w:t>
      </w:r>
      <w:r/>
    </w:p>
    <w:p>
      <w:pPr>
        <w:jc w:val="center"/>
        <w:spacing w:before="156" w:after="156" w:line="440" w:lineRule="exact"/>
        <w:rPr>
          <w:rFonts w:hint="eastAsia" w:ascii="宋体" w:hAnsi="宋体" w:eastAsia="宋体" w:cs="宋体"/>
          <w:sz w:val="28"/>
          <w:szCs w:val="28"/>
        </w:rPr>
      </w:pPr>
      <w:r>
        <w:rPr>
          <w:rFonts w:hint="eastAsia" w:ascii="宋体" w:hAnsi="宋体" w:eastAsia="宋体" w:cs="宋体"/>
          <w:sz w:val="28"/>
          <w:szCs w:val="28"/>
        </w:rPr>
        <w:t xml:space="preserve">承包人承揽工程项目一览表</w:t>
      </w:r>
      <w:r/>
    </w:p>
    <w:tbl>
      <w:tblPr>
        <w:tblStyle w:val="991"/>
        <w:tblW w:w="0" w:type="auto"/>
        <w:tblInd w:w="-39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277"/>
        <w:gridCol w:w="1843"/>
        <w:gridCol w:w="1417"/>
        <w:gridCol w:w="2410"/>
        <w:gridCol w:w="850"/>
        <w:gridCol w:w="1560"/>
        <w:gridCol w:w="2126"/>
        <w:gridCol w:w="1417"/>
        <w:gridCol w:w="851"/>
        <w:gridCol w:w="850"/>
      </w:tblGrid>
      <w:tr>
        <w:trPr/>
        <w:tc>
          <w:tcPr>
            <w:tcBorders>
              <w:top w:val="single" w:color="auto" w:sz="12" w:space="0"/>
              <w:bottom w:val="single" w:color="auto" w:sz="6" w:space="0"/>
            </w:tcBorders>
            <w:tcW w:w="1277" w:type="dxa"/>
            <w:vAlign w:val="center"/>
            <w:textDirection w:val="lrTb"/>
            <w:noWrap w:val="false"/>
          </w:tcPr>
          <w:p>
            <w:pPr>
              <w:pStyle w:val="998"/>
              <w:ind w:left="63" w:right="63"/>
              <w:keepNext/>
              <w:spacing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单位工程名称</w:t>
            </w:r>
            <w:r/>
          </w:p>
        </w:tc>
        <w:tc>
          <w:tcPr>
            <w:tcBorders>
              <w:top w:val="single" w:color="auto" w:sz="12" w:space="0"/>
              <w:bottom w:val="single" w:color="auto" w:sz="6" w:space="0"/>
            </w:tcBorders>
            <w:tcW w:w="1843" w:type="dxa"/>
            <w:vAlign w:val="center"/>
            <w:textDirection w:val="lrTb"/>
            <w:noWrap w:val="false"/>
          </w:tcPr>
          <w:p>
            <w:pPr>
              <w:pStyle w:val="998"/>
              <w:ind w:left="63" w:right="63"/>
              <w:keepNext/>
              <w:spacing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建设规模</w:t>
            </w:r>
            <w:r/>
          </w:p>
        </w:tc>
        <w:tc>
          <w:tcPr>
            <w:tcBorders>
              <w:top w:val="single" w:color="auto" w:sz="12" w:space="0"/>
              <w:bottom w:val="single" w:color="auto" w:sz="6" w:space="0"/>
            </w:tcBorders>
            <w:tcW w:w="1417" w:type="dxa"/>
            <w:vAlign w:val="center"/>
            <w:textDirection w:val="lrTb"/>
            <w:noWrap w:val="false"/>
          </w:tcPr>
          <w:p>
            <w:pPr>
              <w:pStyle w:val="998"/>
              <w:ind w:left="63" w:right="63"/>
              <w:keepNext/>
              <w:spacing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建筑面积(平方米)</w:t>
            </w:r>
            <w:r/>
          </w:p>
        </w:tc>
        <w:tc>
          <w:tcPr>
            <w:tcBorders>
              <w:top w:val="single" w:color="auto" w:sz="12" w:space="0"/>
              <w:bottom w:val="single" w:color="auto" w:sz="6" w:space="0"/>
            </w:tcBorders>
            <w:tcW w:w="2410" w:type="dxa"/>
            <w:vAlign w:val="center"/>
            <w:textDirection w:val="lrTb"/>
            <w:noWrap w:val="false"/>
          </w:tcPr>
          <w:p>
            <w:pPr>
              <w:pStyle w:val="998"/>
              <w:ind w:left="63" w:right="63"/>
              <w:keepNext/>
              <w:spacing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结构形式</w:t>
            </w:r>
            <w:r/>
          </w:p>
        </w:tc>
        <w:tc>
          <w:tcPr>
            <w:tcBorders>
              <w:top w:val="single" w:color="auto" w:sz="12" w:space="0"/>
              <w:bottom w:val="single" w:color="auto" w:sz="6" w:space="0"/>
            </w:tcBorders>
            <w:tcW w:w="850" w:type="dxa"/>
            <w:vAlign w:val="center"/>
            <w:textDirection w:val="lrTb"/>
            <w:noWrap w:val="false"/>
          </w:tcPr>
          <w:p>
            <w:pPr>
              <w:pStyle w:val="998"/>
              <w:ind w:left="63" w:right="63"/>
              <w:keepNext/>
              <w:spacing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层数</w:t>
            </w:r>
            <w:r/>
          </w:p>
        </w:tc>
        <w:tc>
          <w:tcPr>
            <w:tcBorders>
              <w:top w:val="single" w:color="auto" w:sz="12" w:space="0"/>
              <w:bottom w:val="single" w:color="auto" w:sz="6" w:space="0"/>
            </w:tcBorders>
            <w:tcW w:w="1560" w:type="dxa"/>
            <w:vAlign w:val="center"/>
            <w:textDirection w:val="lrTb"/>
            <w:noWrap w:val="false"/>
          </w:tcPr>
          <w:p>
            <w:pPr>
              <w:pStyle w:val="998"/>
              <w:ind w:left="63" w:right="63"/>
              <w:keepNext/>
              <w:spacing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生产能力</w:t>
            </w:r>
            <w:r/>
          </w:p>
        </w:tc>
        <w:tc>
          <w:tcPr>
            <w:tcBorders>
              <w:top w:val="single" w:color="auto" w:sz="12" w:space="0"/>
              <w:bottom w:val="single" w:color="auto" w:sz="6" w:space="0"/>
            </w:tcBorders>
            <w:tcW w:w="2126" w:type="dxa"/>
            <w:vAlign w:val="center"/>
            <w:textDirection w:val="lrTb"/>
            <w:noWrap w:val="false"/>
          </w:tcPr>
          <w:p>
            <w:pPr>
              <w:pStyle w:val="998"/>
              <w:ind w:left="63" w:right="63"/>
              <w:keepNext/>
              <w:spacing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设备安装内容</w:t>
            </w:r>
            <w:r/>
          </w:p>
        </w:tc>
        <w:tc>
          <w:tcPr>
            <w:tcBorders>
              <w:top w:val="single" w:color="auto" w:sz="12" w:space="0"/>
              <w:bottom w:val="single" w:color="auto" w:sz="6" w:space="0"/>
            </w:tcBorders>
            <w:tcW w:w="1417" w:type="dxa"/>
            <w:vAlign w:val="center"/>
            <w:textDirection w:val="lrTb"/>
            <w:noWrap w:val="false"/>
          </w:tcPr>
          <w:p>
            <w:pPr>
              <w:pStyle w:val="998"/>
              <w:ind w:left="63" w:right="63"/>
              <w:keepNext/>
              <w:spacing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合同价格（元）</w:t>
            </w:r>
            <w:r/>
          </w:p>
        </w:tc>
        <w:tc>
          <w:tcPr>
            <w:tcBorders>
              <w:top w:val="single" w:color="auto" w:sz="12" w:space="0"/>
              <w:bottom w:val="single" w:color="auto" w:sz="6" w:space="0"/>
            </w:tcBorders>
            <w:tcW w:w="851" w:type="dxa"/>
            <w:vAlign w:val="center"/>
            <w:textDirection w:val="lrTb"/>
            <w:noWrap w:val="false"/>
          </w:tcPr>
          <w:p>
            <w:pPr>
              <w:pStyle w:val="998"/>
              <w:ind w:left="63" w:right="63"/>
              <w:keepNext/>
              <w:spacing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开工日期</w:t>
            </w:r>
            <w:r/>
          </w:p>
        </w:tc>
        <w:tc>
          <w:tcPr>
            <w:tcBorders>
              <w:top w:val="single" w:color="auto" w:sz="12" w:space="0"/>
              <w:bottom w:val="single" w:color="auto" w:sz="6" w:space="0"/>
            </w:tcBorders>
            <w:tcW w:w="850" w:type="dxa"/>
            <w:vAlign w:val="center"/>
            <w:textDirection w:val="lrTb"/>
            <w:noWrap w:val="false"/>
          </w:tcPr>
          <w:p>
            <w:pPr>
              <w:pStyle w:val="998"/>
              <w:ind w:left="63" w:right="63"/>
              <w:keepNext/>
              <w:spacing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竣工日期</w:t>
            </w:r>
            <w:r/>
          </w:p>
        </w:tc>
      </w:tr>
      <w:tr>
        <w:trPr>
          <w:trHeight w:val="567"/>
        </w:trPr>
        <w:tc>
          <w:tcPr>
            <w:tcBorders>
              <w:top w:val="single" w:color="auto" w:sz="6" w:space="0"/>
              <w:bottom w:val="single" w:color="auto" w:sz="6" w:space="0"/>
            </w:tcBorders>
            <w:tcW w:w="1277" w:type="dxa"/>
            <w:vAlign w:val="center"/>
            <w:textDirection w:val="lrTb"/>
            <w:noWrap w:val="false"/>
          </w:tcPr>
          <w:p>
            <w:pPr>
              <w:pStyle w:val="998"/>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Borders>
              <w:top w:val="single" w:color="auto" w:sz="6" w:space="0"/>
              <w:bottom w:val="single" w:color="auto" w:sz="6" w:space="0"/>
            </w:tcBorders>
            <w:tcW w:w="1843" w:type="dxa"/>
            <w:vAlign w:val="center"/>
            <w:textDirection w:val="lrTb"/>
            <w:noWrap w:val="false"/>
          </w:tcPr>
          <w:p>
            <w:pPr>
              <w:pStyle w:val="998"/>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Borders>
              <w:top w:val="single" w:color="auto" w:sz="6" w:space="0"/>
              <w:bottom w:val="single" w:color="auto" w:sz="6" w:space="0"/>
            </w:tcBorders>
            <w:tcW w:w="1417" w:type="dxa"/>
            <w:vAlign w:val="center"/>
            <w:textDirection w:val="lrTb"/>
            <w:noWrap w:val="false"/>
          </w:tcPr>
          <w:p>
            <w:pPr>
              <w:pStyle w:val="998"/>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Borders>
              <w:top w:val="single" w:color="auto" w:sz="6" w:space="0"/>
              <w:bottom w:val="single" w:color="auto" w:sz="6" w:space="0"/>
            </w:tcBorders>
            <w:tcW w:w="2410" w:type="dxa"/>
            <w:vAlign w:val="center"/>
            <w:textDirection w:val="lrTb"/>
            <w:noWrap w:val="false"/>
          </w:tcPr>
          <w:p>
            <w:pPr>
              <w:pStyle w:val="998"/>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Borders>
              <w:top w:val="single" w:color="auto" w:sz="6" w:space="0"/>
              <w:bottom w:val="single" w:color="auto" w:sz="6" w:space="0"/>
            </w:tcBorders>
            <w:tcW w:w="850" w:type="dxa"/>
            <w:vAlign w:val="center"/>
            <w:textDirection w:val="lrTb"/>
            <w:noWrap w:val="false"/>
          </w:tcPr>
          <w:p>
            <w:pPr>
              <w:pStyle w:val="998"/>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Borders>
              <w:top w:val="single" w:color="auto" w:sz="6" w:space="0"/>
              <w:bottom w:val="single" w:color="auto" w:sz="6" w:space="0"/>
            </w:tcBorders>
            <w:tcW w:w="1560" w:type="dxa"/>
            <w:vAlign w:val="center"/>
            <w:textDirection w:val="lrTb"/>
            <w:noWrap w:val="false"/>
          </w:tcPr>
          <w:p>
            <w:pPr>
              <w:pStyle w:val="998"/>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Borders>
              <w:top w:val="single" w:color="auto" w:sz="6" w:space="0"/>
              <w:bottom w:val="single" w:color="auto" w:sz="6" w:space="0"/>
            </w:tcBorders>
            <w:tcW w:w="2126" w:type="dxa"/>
            <w:vAlign w:val="center"/>
            <w:textDirection w:val="lrTb"/>
            <w:noWrap w:val="false"/>
          </w:tcPr>
          <w:p>
            <w:pPr>
              <w:pStyle w:val="998"/>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Borders>
              <w:top w:val="single" w:color="auto" w:sz="6" w:space="0"/>
              <w:bottom w:val="single" w:color="auto" w:sz="6" w:space="0"/>
            </w:tcBorders>
            <w:tcW w:w="1417" w:type="dxa"/>
            <w:vAlign w:val="center"/>
            <w:textDirection w:val="lrTb"/>
            <w:noWrap w:val="false"/>
          </w:tcPr>
          <w:p>
            <w:pPr>
              <w:pStyle w:val="998"/>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Borders>
              <w:top w:val="single" w:color="auto" w:sz="6" w:space="0"/>
              <w:bottom w:val="single" w:color="auto" w:sz="6" w:space="0"/>
            </w:tcBorders>
            <w:tcW w:w="851" w:type="dxa"/>
            <w:vAlign w:val="center"/>
            <w:textDirection w:val="lrTb"/>
            <w:noWrap w:val="false"/>
          </w:tcPr>
          <w:p>
            <w:pPr>
              <w:pStyle w:val="998"/>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Borders>
              <w:top w:val="single" w:color="auto" w:sz="6" w:space="0"/>
              <w:bottom w:val="single" w:color="auto" w:sz="6" w:space="0"/>
            </w:tcBorders>
            <w:tcW w:w="850" w:type="dxa"/>
            <w:vAlign w:val="center"/>
            <w:textDirection w:val="lrTb"/>
            <w:noWrap w:val="false"/>
          </w:tcPr>
          <w:p>
            <w:pPr>
              <w:pStyle w:val="998"/>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r>
      <w:tr>
        <w:trPr>
          <w:trHeight w:val="567"/>
        </w:trPr>
        <w:tc>
          <w:tcPr>
            <w:tcBorders>
              <w:top w:val="none" w:color="000000" w:sz="4" w:space="0"/>
            </w:tcBorders>
            <w:tcW w:w="1277" w:type="dxa"/>
            <w:vAlign w:val="center"/>
            <w:textDirection w:val="lrTb"/>
            <w:noWrap w:val="false"/>
          </w:tcPr>
          <w:p>
            <w:pPr>
              <w:pStyle w:val="998"/>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Borders>
              <w:top w:val="none" w:color="000000" w:sz="4" w:space="0"/>
            </w:tcBorders>
            <w:tcW w:w="1843" w:type="dxa"/>
            <w:vAlign w:val="center"/>
            <w:textDirection w:val="lrTb"/>
            <w:noWrap w:val="false"/>
          </w:tcPr>
          <w:p>
            <w:pPr>
              <w:pStyle w:val="998"/>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Borders>
              <w:top w:val="none" w:color="000000" w:sz="4" w:space="0"/>
            </w:tcBorders>
            <w:tcW w:w="1417" w:type="dxa"/>
            <w:vAlign w:val="center"/>
            <w:textDirection w:val="lrTb"/>
            <w:noWrap w:val="false"/>
          </w:tcPr>
          <w:p>
            <w:pPr>
              <w:pStyle w:val="998"/>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Borders>
              <w:top w:val="none" w:color="000000" w:sz="4" w:space="0"/>
            </w:tcBorders>
            <w:tcW w:w="2410" w:type="dxa"/>
            <w:vAlign w:val="center"/>
            <w:textDirection w:val="lrTb"/>
            <w:noWrap w:val="false"/>
          </w:tcPr>
          <w:p>
            <w:pPr>
              <w:pStyle w:val="998"/>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Borders>
              <w:top w:val="none" w:color="000000" w:sz="4" w:space="0"/>
            </w:tcBorders>
            <w:tcW w:w="850" w:type="dxa"/>
            <w:vAlign w:val="center"/>
            <w:textDirection w:val="lrTb"/>
            <w:noWrap w:val="false"/>
          </w:tcPr>
          <w:p>
            <w:pPr>
              <w:pStyle w:val="998"/>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Borders>
              <w:top w:val="none" w:color="000000" w:sz="4" w:space="0"/>
            </w:tcBorders>
            <w:tcW w:w="1560" w:type="dxa"/>
            <w:vAlign w:val="center"/>
            <w:textDirection w:val="lrTb"/>
            <w:noWrap w:val="false"/>
          </w:tcPr>
          <w:p>
            <w:pPr>
              <w:pStyle w:val="998"/>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Borders>
              <w:top w:val="none" w:color="000000" w:sz="4" w:space="0"/>
            </w:tcBorders>
            <w:tcW w:w="2126" w:type="dxa"/>
            <w:vAlign w:val="center"/>
            <w:textDirection w:val="lrTb"/>
            <w:noWrap w:val="false"/>
          </w:tcPr>
          <w:p>
            <w:pPr>
              <w:pStyle w:val="998"/>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Borders>
              <w:top w:val="none" w:color="000000" w:sz="4" w:space="0"/>
            </w:tcBorders>
            <w:tcW w:w="1417" w:type="dxa"/>
            <w:vAlign w:val="center"/>
            <w:textDirection w:val="lrTb"/>
            <w:noWrap w:val="false"/>
          </w:tcPr>
          <w:p>
            <w:pPr>
              <w:pStyle w:val="998"/>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Borders>
              <w:top w:val="none" w:color="000000" w:sz="4" w:space="0"/>
            </w:tcBorders>
            <w:tcW w:w="851" w:type="dxa"/>
            <w:vAlign w:val="center"/>
            <w:textDirection w:val="lrTb"/>
            <w:noWrap w:val="false"/>
          </w:tcPr>
          <w:p>
            <w:pPr>
              <w:pStyle w:val="998"/>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Borders>
              <w:top w:val="none" w:color="000000" w:sz="4" w:space="0"/>
            </w:tcBorders>
            <w:tcW w:w="850" w:type="dxa"/>
            <w:vAlign w:val="center"/>
            <w:textDirection w:val="lrTb"/>
            <w:noWrap w:val="false"/>
          </w:tcPr>
          <w:p>
            <w:pPr>
              <w:pStyle w:val="998"/>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r>
      <w:tr>
        <w:trPr>
          <w:trHeight w:val="567"/>
        </w:trPr>
        <w:tc>
          <w:tcPr>
            <w:tcBorders>
              <w:top w:val="none" w:color="000000" w:sz="4" w:space="0"/>
            </w:tcBorders>
            <w:tcW w:w="1277" w:type="dxa"/>
            <w:vAlign w:val="center"/>
            <w:textDirection w:val="lrTb"/>
            <w:noWrap w:val="false"/>
          </w:tcPr>
          <w:p>
            <w:pPr>
              <w:pStyle w:val="998"/>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Borders>
              <w:top w:val="none" w:color="000000" w:sz="4" w:space="0"/>
            </w:tcBorders>
            <w:tcW w:w="1843" w:type="dxa"/>
            <w:vAlign w:val="center"/>
            <w:textDirection w:val="lrTb"/>
            <w:noWrap w:val="false"/>
          </w:tcPr>
          <w:p>
            <w:pPr>
              <w:pStyle w:val="998"/>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Borders>
              <w:top w:val="none" w:color="000000" w:sz="4" w:space="0"/>
            </w:tcBorders>
            <w:tcW w:w="1417" w:type="dxa"/>
            <w:vAlign w:val="center"/>
            <w:textDirection w:val="lrTb"/>
            <w:noWrap w:val="false"/>
          </w:tcPr>
          <w:p>
            <w:pPr>
              <w:pStyle w:val="998"/>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Borders>
              <w:top w:val="none" w:color="000000" w:sz="4" w:space="0"/>
            </w:tcBorders>
            <w:tcW w:w="2410" w:type="dxa"/>
            <w:vAlign w:val="center"/>
            <w:textDirection w:val="lrTb"/>
            <w:noWrap w:val="false"/>
          </w:tcPr>
          <w:p>
            <w:pPr>
              <w:pStyle w:val="998"/>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Borders>
              <w:top w:val="none" w:color="000000" w:sz="4" w:space="0"/>
            </w:tcBorders>
            <w:tcW w:w="850" w:type="dxa"/>
            <w:vAlign w:val="center"/>
            <w:textDirection w:val="lrTb"/>
            <w:noWrap w:val="false"/>
          </w:tcPr>
          <w:p>
            <w:pPr>
              <w:pStyle w:val="998"/>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Borders>
              <w:top w:val="none" w:color="000000" w:sz="4" w:space="0"/>
            </w:tcBorders>
            <w:tcW w:w="1560" w:type="dxa"/>
            <w:vAlign w:val="center"/>
            <w:textDirection w:val="lrTb"/>
            <w:noWrap w:val="false"/>
          </w:tcPr>
          <w:p>
            <w:pPr>
              <w:pStyle w:val="998"/>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Borders>
              <w:top w:val="none" w:color="000000" w:sz="4" w:space="0"/>
            </w:tcBorders>
            <w:tcW w:w="2126" w:type="dxa"/>
            <w:vAlign w:val="center"/>
            <w:textDirection w:val="lrTb"/>
            <w:noWrap w:val="false"/>
          </w:tcPr>
          <w:p>
            <w:pPr>
              <w:pStyle w:val="998"/>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Borders>
              <w:top w:val="none" w:color="000000" w:sz="4" w:space="0"/>
            </w:tcBorders>
            <w:tcW w:w="1417" w:type="dxa"/>
            <w:vAlign w:val="center"/>
            <w:textDirection w:val="lrTb"/>
            <w:noWrap w:val="false"/>
          </w:tcPr>
          <w:p>
            <w:pPr>
              <w:pStyle w:val="998"/>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Borders>
              <w:top w:val="none" w:color="000000" w:sz="4" w:space="0"/>
            </w:tcBorders>
            <w:tcW w:w="851" w:type="dxa"/>
            <w:vAlign w:val="center"/>
            <w:textDirection w:val="lrTb"/>
            <w:noWrap w:val="false"/>
          </w:tcPr>
          <w:p>
            <w:pPr>
              <w:pStyle w:val="998"/>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Borders>
              <w:top w:val="none" w:color="000000" w:sz="4" w:space="0"/>
            </w:tcBorders>
            <w:tcW w:w="850" w:type="dxa"/>
            <w:vAlign w:val="center"/>
            <w:textDirection w:val="lrTb"/>
            <w:noWrap w:val="false"/>
          </w:tcPr>
          <w:p>
            <w:pPr>
              <w:pStyle w:val="998"/>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r>
      <w:tr>
        <w:trPr>
          <w:trHeight w:val="567"/>
        </w:trPr>
        <w:tc>
          <w:tcPr>
            <w:tcW w:w="1277" w:type="dxa"/>
            <w:vAlign w:val="center"/>
            <w:textDirection w:val="lrTb"/>
            <w:noWrap w:val="false"/>
          </w:tcPr>
          <w:p>
            <w:pPr>
              <w:pStyle w:val="998"/>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W w:w="1843" w:type="dxa"/>
            <w:vAlign w:val="center"/>
            <w:textDirection w:val="lrTb"/>
            <w:noWrap w:val="false"/>
          </w:tcPr>
          <w:p>
            <w:pPr>
              <w:pStyle w:val="998"/>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W w:w="1417" w:type="dxa"/>
            <w:vAlign w:val="center"/>
            <w:textDirection w:val="lrTb"/>
            <w:noWrap w:val="false"/>
          </w:tcPr>
          <w:p>
            <w:pPr>
              <w:pStyle w:val="998"/>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W w:w="2410" w:type="dxa"/>
            <w:vAlign w:val="center"/>
            <w:textDirection w:val="lrTb"/>
            <w:noWrap w:val="false"/>
          </w:tcPr>
          <w:p>
            <w:pPr>
              <w:pStyle w:val="998"/>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W w:w="850" w:type="dxa"/>
            <w:vAlign w:val="center"/>
            <w:textDirection w:val="lrTb"/>
            <w:noWrap w:val="false"/>
          </w:tcPr>
          <w:p>
            <w:pPr>
              <w:pStyle w:val="998"/>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W w:w="1560" w:type="dxa"/>
            <w:vAlign w:val="center"/>
            <w:textDirection w:val="lrTb"/>
            <w:noWrap w:val="false"/>
          </w:tcPr>
          <w:p>
            <w:pPr>
              <w:pStyle w:val="998"/>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W w:w="2126" w:type="dxa"/>
            <w:vAlign w:val="center"/>
            <w:textDirection w:val="lrTb"/>
            <w:noWrap w:val="false"/>
          </w:tcPr>
          <w:p>
            <w:pPr>
              <w:pStyle w:val="998"/>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W w:w="1417" w:type="dxa"/>
            <w:vAlign w:val="center"/>
            <w:textDirection w:val="lrTb"/>
            <w:noWrap w:val="false"/>
          </w:tcPr>
          <w:p>
            <w:pPr>
              <w:pStyle w:val="998"/>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W w:w="851" w:type="dxa"/>
            <w:vAlign w:val="center"/>
            <w:textDirection w:val="lrTb"/>
            <w:noWrap w:val="false"/>
          </w:tcPr>
          <w:p>
            <w:pPr>
              <w:pStyle w:val="998"/>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W w:w="850" w:type="dxa"/>
            <w:vAlign w:val="center"/>
            <w:textDirection w:val="lrTb"/>
            <w:noWrap w:val="false"/>
          </w:tcPr>
          <w:p>
            <w:pPr>
              <w:pStyle w:val="998"/>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r>
      <w:tr>
        <w:trPr>
          <w:trHeight w:val="567"/>
        </w:trPr>
        <w:tc>
          <w:tcPr>
            <w:tcBorders>
              <w:top w:val="none" w:color="000000" w:sz="4" w:space="0"/>
            </w:tcBorders>
            <w:tcW w:w="1277" w:type="dxa"/>
            <w:vAlign w:val="center"/>
            <w:textDirection w:val="lrTb"/>
            <w:noWrap w:val="false"/>
          </w:tcPr>
          <w:p>
            <w:pPr>
              <w:pStyle w:val="998"/>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Borders>
              <w:top w:val="none" w:color="000000" w:sz="4" w:space="0"/>
            </w:tcBorders>
            <w:tcW w:w="1843" w:type="dxa"/>
            <w:vAlign w:val="center"/>
            <w:textDirection w:val="lrTb"/>
            <w:noWrap w:val="false"/>
          </w:tcPr>
          <w:p>
            <w:pPr>
              <w:pStyle w:val="998"/>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Borders>
              <w:top w:val="none" w:color="000000" w:sz="4" w:space="0"/>
            </w:tcBorders>
            <w:tcW w:w="1417" w:type="dxa"/>
            <w:vAlign w:val="center"/>
            <w:textDirection w:val="lrTb"/>
            <w:noWrap w:val="false"/>
          </w:tcPr>
          <w:p>
            <w:pPr>
              <w:pStyle w:val="998"/>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Borders>
              <w:top w:val="none" w:color="000000" w:sz="4" w:space="0"/>
            </w:tcBorders>
            <w:tcW w:w="2410" w:type="dxa"/>
            <w:vAlign w:val="center"/>
            <w:textDirection w:val="lrTb"/>
            <w:noWrap w:val="false"/>
          </w:tcPr>
          <w:p>
            <w:pPr>
              <w:pStyle w:val="998"/>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Borders>
              <w:top w:val="none" w:color="000000" w:sz="4" w:space="0"/>
            </w:tcBorders>
            <w:tcW w:w="850" w:type="dxa"/>
            <w:vAlign w:val="center"/>
            <w:textDirection w:val="lrTb"/>
            <w:noWrap w:val="false"/>
          </w:tcPr>
          <w:p>
            <w:pPr>
              <w:pStyle w:val="998"/>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Borders>
              <w:top w:val="none" w:color="000000" w:sz="4" w:space="0"/>
            </w:tcBorders>
            <w:tcW w:w="1560" w:type="dxa"/>
            <w:vAlign w:val="center"/>
            <w:textDirection w:val="lrTb"/>
            <w:noWrap w:val="false"/>
          </w:tcPr>
          <w:p>
            <w:pPr>
              <w:pStyle w:val="998"/>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Borders>
              <w:top w:val="none" w:color="000000" w:sz="4" w:space="0"/>
            </w:tcBorders>
            <w:tcW w:w="2126" w:type="dxa"/>
            <w:vAlign w:val="center"/>
            <w:textDirection w:val="lrTb"/>
            <w:noWrap w:val="false"/>
          </w:tcPr>
          <w:p>
            <w:pPr>
              <w:pStyle w:val="998"/>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Borders>
              <w:top w:val="none" w:color="000000" w:sz="4" w:space="0"/>
            </w:tcBorders>
            <w:tcW w:w="1417" w:type="dxa"/>
            <w:vAlign w:val="center"/>
            <w:textDirection w:val="lrTb"/>
            <w:noWrap w:val="false"/>
          </w:tcPr>
          <w:p>
            <w:pPr>
              <w:pStyle w:val="998"/>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Borders>
              <w:top w:val="none" w:color="000000" w:sz="4" w:space="0"/>
            </w:tcBorders>
            <w:tcW w:w="851" w:type="dxa"/>
            <w:vAlign w:val="center"/>
            <w:textDirection w:val="lrTb"/>
            <w:noWrap w:val="false"/>
          </w:tcPr>
          <w:p>
            <w:pPr>
              <w:pStyle w:val="998"/>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Borders>
              <w:top w:val="none" w:color="000000" w:sz="4" w:space="0"/>
            </w:tcBorders>
            <w:tcW w:w="850" w:type="dxa"/>
            <w:vAlign w:val="center"/>
            <w:textDirection w:val="lrTb"/>
            <w:noWrap w:val="false"/>
          </w:tcPr>
          <w:p>
            <w:pPr>
              <w:pStyle w:val="998"/>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r>
      <w:tr>
        <w:trPr>
          <w:trHeight w:val="567"/>
        </w:trPr>
        <w:tc>
          <w:tcPr>
            <w:tcW w:w="1277" w:type="dxa"/>
            <w:vAlign w:val="center"/>
            <w:textDirection w:val="lrTb"/>
            <w:noWrap w:val="false"/>
          </w:tcPr>
          <w:p>
            <w:pPr>
              <w:pStyle w:val="998"/>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W w:w="1843" w:type="dxa"/>
            <w:vAlign w:val="center"/>
            <w:textDirection w:val="lrTb"/>
            <w:noWrap w:val="false"/>
          </w:tcPr>
          <w:p>
            <w:pPr>
              <w:pStyle w:val="998"/>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W w:w="1417" w:type="dxa"/>
            <w:vAlign w:val="center"/>
            <w:textDirection w:val="lrTb"/>
            <w:noWrap w:val="false"/>
          </w:tcPr>
          <w:p>
            <w:pPr>
              <w:pStyle w:val="998"/>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W w:w="2410" w:type="dxa"/>
            <w:vAlign w:val="center"/>
            <w:textDirection w:val="lrTb"/>
            <w:noWrap w:val="false"/>
          </w:tcPr>
          <w:p>
            <w:pPr>
              <w:pStyle w:val="998"/>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W w:w="850" w:type="dxa"/>
            <w:vAlign w:val="center"/>
            <w:textDirection w:val="lrTb"/>
            <w:noWrap w:val="false"/>
          </w:tcPr>
          <w:p>
            <w:pPr>
              <w:pStyle w:val="998"/>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W w:w="1560" w:type="dxa"/>
            <w:vAlign w:val="center"/>
            <w:textDirection w:val="lrTb"/>
            <w:noWrap w:val="false"/>
          </w:tcPr>
          <w:p>
            <w:pPr>
              <w:pStyle w:val="998"/>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W w:w="2126" w:type="dxa"/>
            <w:vAlign w:val="center"/>
            <w:textDirection w:val="lrTb"/>
            <w:noWrap w:val="false"/>
          </w:tcPr>
          <w:p>
            <w:pPr>
              <w:pStyle w:val="998"/>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W w:w="1417" w:type="dxa"/>
            <w:vAlign w:val="center"/>
            <w:textDirection w:val="lrTb"/>
            <w:noWrap w:val="false"/>
          </w:tcPr>
          <w:p>
            <w:pPr>
              <w:pStyle w:val="998"/>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W w:w="851" w:type="dxa"/>
            <w:vAlign w:val="center"/>
            <w:textDirection w:val="lrTb"/>
            <w:noWrap w:val="false"/>
          </w:tcPr>
          <w:p>
            <w:pPr>
              <w:pStyle w:val="998"/>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W w:w="850" w:type="dxa"/>
            <w:vAlign w:val="center"/>
            <w:textDirection w:val="lrTb"/>
            <w:noWrap w:val="false"/>
          </w:tcPr>
          <w:p>
            <w:pPr>
              <w:pStyle w:val="998"/>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r>
      <w:tr>
        <w:trPr>
          <w:trHeight w:val="567"/>
        </w:trPr>
        <w:tc>
          <w:tcPr>
            <w:tcBorders>
              <w:top w:val="none" w:color="000000" w:sz="4" w:space="0"/>
            </w:tcBorders>
            <w:tcW w:w="1277" w:type="dxa"/>
            <w:vAlign w:val="center"/>
            <w:textDirection w:val="lrTb"/>
            <w:noWrap w:val="false"/>
          </w:tcPr>
          <w:p>
            <w:pPr>
              <w:pStyle w:val="998"/>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Borders>
              <w:top w:val="none" w:color="000000" w:sz="4" w:space="0"/>
            </w:tcBorders>
            <w:tcW w:w="1843" w:type="dxa"/>
            <w:vAlign w:val="center"/>
            <w:textDirection w:val="lrTb"/>
            <w:noWrap w:val="false"/>
          </w:tcPr>
          <w:p>
            <w:pPr>
              <w:pStyle w:val="998"/>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Borders>
              <w:top w:val="none" w:color="000000" w:sz="4" w:space="0"/>
            </w:tcBorders>
            <w:tcW w:w="1417" w:type="dxa"/>
            <w:vAlign w:val="center"/>
            <w:textDirection w:val="lrTb"/>
            <w:noWrap w:val="false"/>
          </w:tcPr>
          <w:p>
            <w:pPr>
              <w:pStyle w:val="998"/>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Borders>
              <w:top w:val="none" w:color="000000" w:sz="4" w:space="0"/>
            </w:tcBorders>
            <w:tcW w:w="2410" w:type="dxa"/>
            <w:vAlign w:val="center"/>
            <w:textDirection w:val="lrTb"/>
            <w:noWrap w:val="false"/>
          </w:tcPr>
          <w:p>
            <w:pPr>
              <w:pStyle w:val="998"/>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Borders>
              <w:top w:val="none" w:color="000000" w:sz="4" w:space="0"/>
            </w:tcBorders>
            <w:tcW w:w="850" w:type="dxa"/>
            <w:vAlign w:val="center"/>
            <w:textDirection w:val="lrTb"/>
            <w:noWrap w:val="false"/>
          </w:tcPr>
          <w:p>
            <w:pPr>
              <w:pStyle w:val="998"/>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Borders>
              <w:top w:val="none" w:color="000000" w:sz="4" w:space="0"/>
            </w:tcBorders>
            <w:tcW w:w="1560" w:type="dxa"/>
            <w:vAlign w:val="center"/>
            <w:textDirection w:val="lrTb"/>
            <w:noWrap w:val="false"/>
          </w:tcPr>
          <w:p>
            <w:pPr>
              <w:pStyle w:val="998"/>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Borders>
              <w:top w:val="none" w:color="000000" w:sz="4" w:space="0"/>
            </w:tcBorders>
            <w:tcW w:w="2126" w:type="dxa"/>
            <w:vAlign w:val="center"/>
            <w:textDirection w:val="lrTb"/>
            <w:noWrap w:val="false"/>
          </w:tcPr>
          <w:p>
            <w:pPr>
              <w:pStyle w:val="998"/>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Borders>
              <w:top w:val="none" w:color="000000" w:sz="4" w:space="0"/>
            </w:tcBorders>
            <w:tcW w:w="1417" w:type="dxa"/>
            <w:vAlign w:val="center"/>
            <w:textDirection w:val="lrTb"/>
            <w:noWrap w:val="false"/>
          </w:tcPr>
          <w:p>
            <w:pPr>
              <w:pStyle w:val="998"/>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Borders>
              <w:top w:val="none" w:color="000000" w:sz="4" w:space="0"/>
            </w:tcBorders>
            <w:tcW w:w="851" w:type="dxa"/>
            <w:vAlign w:val="center"/>
            <w:textDirection w:val="lrTb"/>
            <w:noWrap w:val="false"/>
          </w:tcPr>
          <w:p>
            <w:pPr>
              <w:pStyle w:val="998"/>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Borders>
              <w:top w:val="none" w:color="000000" w:sz="4" w:space="0"/>
            </w:tcBorders>
            <w:tcW w:w="850" w:type="dxa"/>
            <w:vAlign w:val="center"/>
            <w:textDirection w:val="lrTb"/>
            <w:noWrap w:val="false"/>
          </w:tcPr>
          <w:p>
            <w:pPr>
              <w:pStyle w:val="998"/>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r>
      <w:tr>
        <w:trPr>
          <w:trHeight w:val="567"/>
        </w:trPr>
        <w:tc>
          <w:tcPr>
            <w:tcBorders>
              <w:top w:val="none" w:color="000000" w:sz="4" w:space="0"/>
            </w:tcBorders>
            <w:tcW w:w="1277" w:type="dxa"/>
            <w:vAlign w:val="center"/>
            <w:textDirection w:val="lrTb"/>
            <w:noWrap w:val="false"/>
          </w:tcPr>
          <w:p>
            <w:pPr>
              <w:pStyle w:val="998"/>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Borders>
              <w:top w:val="none" w:color="000000" w:sz="4" w:space="0"/>
            </w:tcBorders>
            <w:tcW w:w="1843" w:type="dxa"/>
            <w:vAlign w:val="center"/>
            <w:textDirection w:val="lrTb"/>
            <w:noWrap w:val="false"/>
          </w:tcPr>
          <w:p>
            <w:pPr>
              <w:pStyle w:val="998"/>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Borders>
              <w:top w:val="none" w:color="000000" w:sz="4" w:space="0"/>
            </w:tcBorders>
            <w:tcW w:w="1417" w:type="dxa"/>
            <w:vAlign w:val="center"/>
            <w:textDirection w:val="lrTb"/>
            <w:noWrap w:val="false"/>
          </w:tcPr>
          <w:p>
            <w:pPr>
              <w:pStyle w:val="998"/>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Borders>
              <w:top w:val="none" w:color="000000" w:sz="4" w:space="0"/>
            </w:tcBorders>
            <w:tcW w:w="2410" w:type="dxa"/>
            <w:vAlign w:val="center"/>
            <w:textDirection w:val="lrTb"/>
            <w:noWrap w:val="false"/>
          </w:tcPr>
          <w:p>
            <w:pPr>
              <w:pStyle w:val="998"/>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Borders>
              <w:top w:val="none" w:color="000000" w:sz="4" w:space="0"/>
            </w:tcBorders>
            <w:tcW w:w="850" w:type="dxa"/>
            <w:vAlign w:val="center"/>
            <w:textDirection w:val="lrTb"/>
            <w:noWrap w:val="false"/>
          </w:tcPr>
          <w:p>
            <w:pPr>
              <w:pStyle w:val="998"/>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Borders>
              <w:top w:val="none" w:color="000000" w:sz="4" w:space="0"/>
            </w:tcBorders>
            <w:tcW w:w="1560" w:type="dxa"/>
            <w:vAlign w:val="center"/>
            <w:textDirection w:val="lrTb"/>
            <w:noWrap w:val="false"/>
          </w:tcPr>
          <w:p>
            <w:pPr>
              <w:pStyle w:val="998"/>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Borders>
              <w:top w:val="none" w:color="000000" w:sz="4" w:space="0"/>
            </w:tcBorders>
            <w:tcW w:w="2126" w:type="dxa"/>
            <w:vAlign w:val="center"/>
            <w:textDirection w:val="lrTb"/>
            <w:noWrap w:val="false"/>
          </w:tcPr>
          <w:p>
            <w:pPr>
              <w:pStyle w:val="998"/>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Borders>
              <w:top w:val="none" w:color="000000" w:sz="4" w:space="0"/>
            </w:tcBorders>
            <w:tcW w:w="1417" w:type="dxa"/>
            <w:vAlign w:val="center"/>
            <w:textDirection w:val="lrTb"/>
            <w:noWrap w:val="false"/>
          </w:tcPr>
          <w:p>
            <w:pPr>
              <w:pStyle w:val="998"/>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Borders>
              <w:top w:val="none" w:color="000000" w:sz="4" w:space="0"/>
            </w:tcBorders>
            <w:tcW w:w="851" w:type="dxa"/>
            <w:vAlign w:val="center"/>
            <w:textDirection w:val="lrTb"/>
            <w:noWrap w:val="false"/>
          </w:tcPr>
          <w:p>
            <w:pPr>
              <w:pStyle w:val="998"/>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Borders>
              <w:top w:val="none" w:color="000000" w:sz="4" w:space="0"/>
            </w:tcBorders>
            <w:tcW w:w="850" w:type="dxa"/>
            <w:vAlign w:val="center"/>
            <w:textDirection w:val="lrTb"/>
            <w:noWrap w:val="false"/>
          </w:tcPr>
          <w:p>
            <w:pPr>
              <w:pStyle w:val="998"/>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r>
      <w:tr>
        <w:trPr>
          <w:trHeight w:val="567"/>
        </w:trPr>
        <w:tc>
          <w:tcPr>
            <w:tcW w:w="1277" w:type="dxa"/>
            <w:vAlign w:val="center"/>
            <w:textDirection w:val="lrTb"/>
            <w:noWrap w:val="false"/>
          </w:tcPr>
          <w:p>
            <w:pPr>
              <w:pStyle w:val="998"/>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W w:w="1843" w:type="dxa"/>
            <w:vAlign w:val="center"/>
            <w:textDirection w:val="lrTb"/>
            <w:noWrap w:val="false"/>
          </w:tcPr>
          <w:p>
            <w:pPr>
              <w:pStyle w:val="998"/>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W w:w="1417" w:type="dxa"/>
            <w:vAlign w:val="center"/>
            <w:textDirection w:val="lrTb"/>
            <w:noWrap w:val="false"/>
          </w:tcPr>
          <w:p>
            <w:pPr>
              <w:pStyle w:val="998"/>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W w:w="2410" w:type="dxa"/>
            <w:vAlign w:val="center"/>
            <w:textDirection w:val="lrTb"/>
            <w:noWrap w:val="false"/>
          </w:tcPr>
          <w:p>
            <w:pPr>
              <w:pStyle w:val="998"/>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W w:w="850" w:type="dxa"/>
            <w:vAlign w:val="center"/>
            <w:textDirection w:val="lrTb"/>
            <w:noWrap w:val="false"/>
          </w:tcPr>
          <w:p>
            <w:pPr>
              <w:pStyle w:val="998"/>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W w:w="1560" w:type="dxa"/>
            <w:vAlign w:val="center"/>
            <w:textDirection w:val="lrTb"/>
            <w:noWrap w:val="false"/>
          </w:tcPr>
          <w:p>
            <w:pPr>
              <w:pStyle w:val="998"/>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W w:w="2126" w:type="dxa"/>
            <w:vAlign w:val="center"/>
            <w:textDirection w:val="lrTb"/>
            <w:noWrap w:val="false"/>
          </w:tcPr>
          <w:p>
            <w:pPr>
              <w:pStyle w:val="998"/>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W w:w="1417" w:type="dxa"/>
            <w:vAlign w:val="center"/>
            <w:textDirection w:val="lrTb"/>
            <w:noWrap w:val="false"/>
          </w:tcPr>
          <w:p>
            <w:pPr>
              <w:pStyle w:val="998"/>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W w:w="851" w:type="dxa"/>
            <w:vAlign w:val="center"/>
            <w:textDirection w:val="lrTb"/>
            <w:noWrap w:val="false"/>
          </w:tcPr>
          <w:p>
            <w:pPr>
              <w:pStyle w:val="998"/>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W w:w="850" w:type="dxa"/>
            <w:vAlign w:val="center"/>
            <w:textDirection w:val="lrTb"/>
            <w:noWrap w:val="false"/>
          </w:tcPr>
          <w:p>
            <w:pPr>
              <w:pStyle w:val="998"/>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r>
      <w:tr>
        <w:trPr>
          <w:trHeight w:val="567"/>
        </w:trPr>
        <w:tc>
          <w:tcPr>
            <w:tcBorders>
              <w:top w:val="none" w:color="000000" w:sz="4" w:space="0"/>
            </w:tcBorders>
            <w:tcW w:w="1277" w:type="dxa"/>
            <w:vAlign w:val="center"/>
            <w:textDirection w:val="lrTb"/>
            <w:noWrap w:val="false"/>
          </w:tcPr>
          <w:p>
            <w:pPr>
              <w:pStyle w:val="998"/>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Borders>
              <w:top w:val="none" w:color="000000" w:sz="4" w:space="0"/>
            </w:tcBorders>
            <w:tcW w:w="1843" w:type="dxa"/>
            <w:vAlign w:val="center"/>
            <w:textDirection w:val="lrTb"/>
            <w:noWrap w:val="false"/>
          </w:tcPr>
          <w:p>
            <w:pPr>
              <w:pStyle w:val="998"/>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Borders>
              <w:top w:val="none" w:color="000000" w:sz="4" w:space="0"/>
            </w:tcBorders>
            <w:tcW w:w="1417" w:type="dxa"/>
            <w:vAlign w:val="center"/>
            <w:textDirection w:val="lrTb"/>
            <w:noWrap w:val="false"/>
          </w:tcPr>
          <w:p>
            <w:pPr>
              <w:pStyle w:val="998"/>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Borders>
              <w:top w:val="none" w:color="000000" w:sz="4" w:space="0"/>
            </w:tcBorders>
            <w:tcW w:w="2410" w:type="dxa"/>
            <w:vAlign w:val="center"/>
            <w:textDirection w:val="lrTb"/>
            <w:noWrap w:val="false"/>
          </w:tcPr>
          <w:p>
            <w:pPr>
              <w:pStyle w:val="998"/>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Borders>
              <w:top w:val="none" w:color="000000" w:sz="4" w:space="0"/>
            </w:tcBorders>
            <w:tcW w:w="850" w:type="dxa"/>
            <w:vAlign w:val="center"/>
            <w:textDirection w:val="lrTb"/>
            <w:noWrap w:val="false"/>
          </w:tcPr>
          <w:p>
            <w:pPr>
              <w:pStyle w:val="998"/>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Borders>
              <w:top w:val="none" w:color="000000" w:sz="4" w:space="0"/>
            </w:tcBorders>
            <w:tcW w:w="1560" w:type="dxa"/>
            <w:vAlign w:val="center"/>
            <w:textDirection w:val="lrTb"/>
            <w:noWrap w:val="false"/>
          </w:tcPr>
          <w:p>
            <w:pPr>
              <w:pStyle w:val="998"/>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Borders>
              <w:top w:val="none" w:color="000000" w:sz="4" w:space="0"/>
            </w:tcBorders>
            <w:tcW w:w="2126" w:type="dxa"/>
            <w:vAlign w:val="center"/>
            <w:textDirection w:val="lrTb"/>
            <w:noWrap w:val="false"/>
          </w:tcPr>
          <w:p>
            <w:pPr>
              <w:pStyle w:val="998"/>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Borders>
              <w:top w:val="none" w:color="000000" w:sz="4" w:space="0"/>
            </w:tcBorders>
            <w:tcW w:w="1417" w:type="dxa"/>
            <w:vAlign w:val="center"/>
            <w:textDirection w:val="lrTb"/>
            <w:noWrap w:val="false"/>
          </w:tcPr>
          <w:p>
            <w:pPr>
              <w:pStyle w:val="998"/>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Borders>
              <w:top w:val="none" w:color="000000" w:sz="4" w:space="0"/>
            </w:tcBorders>
            <w:tcW w:w="851" w:type="dxa"/>
            <w:vAlign w:val="center"/>
            <w:textDirection w:val="lrTb"/>
            <w:noWrap w:val="false"/>
          </w:tcPr>
          <w:p>
            <w:pPr>
              <w:pStyle w:val="998"/>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Borders>
              <w:top w:val="none" w:color="000000" w:sz="4" w:space="0"/>
            </w:tcBorders>
            <w:tcW w:w="850" w:type="dxa"/>
            <w:vAlign w:val="center"/>
            <w:textDirection w:val="lrTb"/>
            <w:noWrap w:val="false"/>
          </w:tcPr>
          <w:p>
            <w:pPr>
              <w:pStyle w:val="998"/>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r>
    </w:tbl>
    <w:p>
      <w:pPr>
        <w:pStyle w:val="1003"/>
        <w:rPr>
          <w:rFonts w:hint="eastAsia" w:ascii="宋体" w:hAnsi="宋体" w:eastAsia="宋体" w:cs="宋体"/>
        </w:rPr>
      </w:pPr>
      <w:r>
        <w:rPr>
          <w:rFonts w:hint="eastAsia" w:ascii="宋体" w:hAnsi="宋体" w:eastAsia="宋体" w:cs="宋体"/>
        </w:rPr>
      </w:r>
      <w:r/>
    </w:p>
    <w:p>
      <w:pPr>
        <w:pStyle w:val="1003"/>
        <w:rPr>
          <w:rFonts w:hint="eastAsia" w:ascii="宋体" w:hAnsi="宋体" w:eastAsia="宋体" w:cs="宋体"/>
        </w:rPr>
      </w:pPr>
      <w:r>
        <w:rPr>
          <w:rFonts w:hint="eastAsia" w:ascii="宋体" w:hAnsi="宋体" w:eastAsia="宋体" w:cs="宋体"/>
        </w:rPr>
      </w:r>
      <w:r/>
    </w:p>
    <w:p>
      <w:pPr>
        <w:pStyle w:val="1073"/>
        <w:rPr>
          <w:rFonts w:hint="eastAsia" w:ascii="宋体" w:hAnsi="宋体" w:eastAsia="宋体" w:cs="宋体"/>
          <w:sz w:val="24"/>
        </w:rPr>
      </w:pPr>
      <w:r>
        <w:rPr>
          <w:rFonts w:hint="eastAsia" w:ascii="宋体" w:hAnsi="宋体" w:eastAsia="宋体" w:cs="宋体"/>
          <w:sz w:val="24"/>
        </w:rPr>
      </w:r>
      <w:r/>
    </w:p>
    <w:p>
      <w:pPr>
        <w:pStyle w:val="1073"/>
        <w:rPr>
          <w:rFonts w:hint="eastAsia" w:ascii="宋体" w:hAnsi="宋体" w:eastAsia="宋体" w:cs="宋体"/>
          <w:b/>
          <w:sz w:val="36"/>
          <w:lang w:val="en-US" w:eastAsia="zh-CN"/>
        </w:rPr>
        <w:sectPr>
          <w:footnotePr/>
          <w:endnotePr/>
          <w:type w:val="nextPage"/>
          <w:pgSz w:w="16838" w:h="11906" w:orient="landscape"/>
          <w:pgMar w:top="1080" w:right="1440" w:bottom="1080" w:left="1440" w:header="851" w:footer="992" w:gutter="0"/>
          <w:cols w:num="1" w:sep="0" w:space="720" w:equalWidth="1"/>
          <w:docGrid w:linePitch="360"/>
          <w:titlePg/>
        </w:sectPr>
      </w:pPr>
      <w:r>
        <w:rPr>
          <w:rFonts w:hint="eastAsia" w:ascii="宋体" w:hAnsi="宋体" w:eastAsia="宋体" w:cs="宋体"/>
          <w:b/>
          <w:sz w:val="36"/>
          <w:lang w:val="en-US" w:eastAsia="zh-CN"/>
        </w:rPr>
      </w:r>
      <w:r/>
    </w:p>
    <w:p>
      <w:pPr>
        <w:pStyle w:val="1018"/>
        <w:ind w:left="0" w:firstLine="0"/>
        <w:rPr>
          <w:rFonts w:hint="eastAsia" w:ascii="宋体" w:hAnsi="宋体" w:eastAsia="宋体" w:cs="宋体"/>
          <w:sz w:val="30"/>
          <w:szCs w:val="30"/>
        </w:rPr>
      </w:pPr>
      <w:r>
        <w:rPr>
          <w:rFonts w:hint="eastAsia" w:ascii="宋体" w:hAnsi="宋体" w:eastAsia="宋体" w:cs="宋体"/>
          <w:color w:val="auto"/>
          <w:sz w:val="22"/>
          <w:szCs w:val="22"/>
          <w:highlight w:val="none"/>
          <w:lang w:val="en-US" w:eastAsia="zh-CN" w:bidi="ar-SA"/>
        </w:rPr>
        <w:t xml:space="preserve">附</w:t>
      </w:r>
      <w:bookmarkStart w:id="35" w:name="_Toc296346726"/>
      <w:r/>
      <w:bookmarkStart w:id="36" w:name="_Toc296503225"/>
      <w:r/>
      <w:bookmarkStart w:id="37" w:name="_Toc296347224"/>
      <w:r/>
      <w:bookmarkStart w:id="38" w:name="_Toc267261692"/>
      <w:r/>
      <w:bookmarkStart w:id="39" w:name="_Toc296944564"/>
      <w:r/>
      <w:bookmarkStart w:id="40" w:name="_Toc296891053"/>
      <w:r/>
      <w:bookmarkStart w:id="41" w:name="_Toc296891265"/>
      <w:r>
        <w:rPr>
          <w:rFonts w:hint="eastAsia" w:ascii="宋体" w:hAnsi="宋体" w:eastAsia="宋体" w:cs="宋体"/>
          <w:color w:val="auto"/>
          <w:sz w:val="22"/>
          <w:szCs w:val="22"/>
          <w:highlight w:val="none"/>
          <w:lang w:val="en-US" w:eastAsia="zh-CN" w:bidi="ar-SA"/>
        </w:rPr>
        <w:t xml:space="preserve">件2：</w:t>
      </w:r>
      <w:bookmarkEnd w:id="35"/>
      <w:r/>
      <w:bookmarkEnd w:id="36"/>
      <w:r/>
      <w:bookmarkEnd w:id="37"/>
      <w:r/>
      <w:bookmarkEnd w:id="38"/>
      <w:r/>
      <w:bookmarkEnd w:id="39"/>
      <w:r/>
      <w:bookmarkEnd w:id="40"/>
      <w:r/>
      <w:bookmarkEnd w:id="41"/>
      <w:r/>
      <w:r/>
    </w:p>
    <w:p>
      <w:pPr>
        <w:jc w:val="center"/>
        <w:spacing w:before="120" w:after="120" w:line="440" w:lineRule="exact"/>
        <w:shd w:val="clear" w:color="auto" w:fil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发包人供应材料设备一览表</w:t>
      </w:r>
      <w:r/>
    </w:p>
    <w:tbl>
      <w:tblPr>
        <w:tblStyle w:val="991"/>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51"/>
        <w:gridCol w:w="1276"/>
        <w:gridCol w:w="1418"/>
        <w:gridCol w:w="940"/>
        <w:gridCol w:w="851"/>
        <w:gridCol w:w="1044"/>
        <w:gridCol w:w="992"/>
        <w:gridCol w:w="851"/>
        <w:gridCol w:w="1487"/>
        <w:gridCol w:w="992"/>
      </w:tblGrid>
      <w:tr>
        <w:trPr>
          <w:jc w:val="center"/>
        </w:trPr>
        <w:tc>
          <w:tcPr>
            <w:tcBorders>
              <w:top w:val="single" w:color="auto" w:sz="12" w:space="0"/>
              <w:bottom w:val="single" w:color="auto" w:sz="6" w:space="0"/>
            </w:tcBorders>
            <w:tcW w:w="851" w:type="dxa"/>
            <w:vAlign w:val="center"/>
            <w:textDirection w:val="lrTb"/>
            <w:noWrap w:val="false"/>
          </w:tcPr>
          <w:p>
            <w:pPr>
              <w:pStyle w:val="998"/>
              <w:ind w:left="63" w:right="63"/>
              <w:keepNext/>
              <w:spacing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序号</w:t>
            </w:r>
            <w:r/>
          </w:p>
        </w:tc>
        <w:tc>
          <w:tcPr>
            <w:tcBorders>
              <w:top w:val="single" w:color="auto" w:sz="12" w:space="0"/>
              <w:bottom w:val="single" w:color="auto" w:sz="6" w:space="0"/>
            </w:tcBorders>
            <w:tcW w:w="1276" w:type="dxa"/>
            <w:vAlign w:val="center"/>
            <w:textDirection w:val="lrTb"/>
            <w:noWrap w:val="false"/>
          </w:tcPr>
          <w:p>
            <w:pPr>
              <w:pStyle w:val="998"/>
              <w:ind w:left="63" w:right="63"/>
              <w:keepNext/>
              <w:spacing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材料、</w:t>
            </w:r>
            <w:r/>
          </w:p>
          <w:p>
            <w:pPr>
              <w:pStyle w:val="998"/>
              <w:ind w:right="63"/>
              <w:keepNext/>
              <w:spacing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设备品种</w:t>
            </w:r>
            <w:r/>
          </w:p>
        </w:tc>
        <w:tc>
          <w:tcPr>
            <w:tcBorders>
              <w:top w:val="single" w:color="auto" w:sz="12" w:space="0"/>
              <w:bottom w:val="single" w:color="auto" w:sz="6" w:space="0"/>
            </w:tcBorders>
            <w:tcW w:w="1418" w:type="dxa"/>
            <w:vAlign w:val="center"/>
            <w:textDirection w:val="lrTb"/>
            <w:noWrap w:val="false"/>
          </w:tcPr>
          <w:p>
            <w:pPr>
              <w:pStyle w:val="998"/>
              <w:ind w:left="63" w:right="63"/>
              <w:keepNext/>
              <w:spacing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规格型号</w:t>
            </w:r>
            <w:r/>
          </w:p>
        </w:tc>
        <w:tc>
          <w:tcPr>
            <w:tcBorders>
              <w:top w:val="single" w:color="auto" w:sz="12" w:space="0"/>
              <w:bottom w:val="single" w:color="auto" w:sz="6" w:space="0"/>
            </w:tcBorders>
            <w:tcW w:w="940" w:type="dxa"/>
            <w:vAlign w:val="center"/>
            <w:textDirection w:val="lrTb"/>
            <w:noWrap w:val="false"/>
          </w:tcPr>
          <w:p>
            <w:pPr>
              <w:pStyle w:val="998"/>
              <w:ind w:left="63" w:right="63"/>
              <w:keepNext/>
              <w:spacing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单位</w:t>
            </w:r>
            <w:r/>
          </w:p>
        </w:tc>
        <w:tc>
          <w:tcPr>
            <w:tcBorders>
              <w:top w:val="single" w:color="auto" w:sz="12" w:space="0"/>
              <w:bottom w:val="single" w:color="auto" w:sz="6" w:space="0"/>
            </w:tcBorders>
            <w:tcW w:w="851" w:type="dxa"/>
            <w:vAlign w:val="center"/>
            <w:textDirection w:val="lrTb"/>
            <w:noWrap w:val="false"/>
          </w:tcPr>
          <w:p>
            <w:pPr>
              <w:pStyle w:val="998"/>
              <w:ind w:left="63" w:right="63"/>
              <w:keepNext/>
              <w:spacing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数量</w:t>
            </w:r>
            <w:r/>
          </w:p>
        </w:tc>
        <w:tc>
          <w:tcPr>
            <w:tcBorders>
              <w:top w:val="single" w:color="auto" w:sz="12" w:space="0"/>
              <w:bottom w:val="single" w:color="auto" w:sz="6" w:space="0"/>
            </w:tcBorders>
            <w:tcW w:w="1044" w:type="dxa"/>
            <w:vAlign w:val="center"/>
            <w:textDirection w:val="lrTb"/>
            <w:noWrap w:val="false"/>
          </w:tcPr>
          <w:p>
            <w:pPr>
              <w:pStyle w:val="998"/>
              <w:ind w:left="63" w:right="63"/>
              <w:keepNext/>
              <w:spacing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单价（元）</w:t>
            </w:r>
            <w:r/>
          </w:p>
        </w:tc>
        <w:tc>
          <w:tcPr>
            <w:tcBorders>
              <w:top w:val="single" w:color="auto" w:sz="12" w:space="0"/>
              <w:bottom w:val="single" w:color="auto" w:sz="6" w:space="0"/>
            </w:tcBorders>
            <w:tcW w:w="992" w:type="dxa"/>
            <w:vAlign w:val="center"/>
            <w:textDirection w:val="lrTb"/>
            <w:noWrap w:val="false"/>
          </w:tcPr>
          <w:p>
            <w:pPr>
              <w:pStyle w:val="998"/>
              <w:ind w:left="63" w:right="63"/>
              <w:keepNext/>
              <w:spacing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质量等级</w:t>
            </w:r>
            <w:r/>
          </w:p>
        </w:tc>
        <w:tc>
          <w:tcPr>
            <w:tcBorders>
              <w:top w:val="single" w:color="auto" w:sz="12" w:space="0"/>
              <w:bottom w:val="single" w:color="auto" w:sz="6" w:space="0"/>
            </w:tcBorders>
            <w:tcW w:w="851" w:type="dxa"/>
            <w:vAlign w:val="center"/>
            <w:textDirection w:val="lrTb"/>
            <w:noWrap w:val="false"/>
          </w:tcPr>
          <w:p>
            <w:pPr>
              <w:pStyle w:val="998"/>
              <w:ind w:left="63" w:right="63"/>
              <w:keepNext/>
              <w:spacing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供应时间</w:t>
            </w:r>
            <w:r/>
          </w:p>
        </w:tc>
        <w:tc>
          <w:tcPr>
            <w:tcBorders>
              <w:top w:val="single" w:color="auto" w:sz="12" w:space="0"/>
              <w:bottom w:val="single" w:color="auto" w:sz="6" w:space="0"/>
            </w:tcBorders>
            <w:tcW w:w="1487" w:type="dxa"/>
            <w:vAlign w:val="center"/>
            <w:textDirection w:val="lrTb"/>
            <w:noWrap w:val="false"/>
          </w:tcPr>
          <w:p>
            <w:pPr>
              <w:pStyle w:val="998"/>
              <w:ind w:left="63" w:right="63"/>
              <w:keepNext/>
              <w:spacing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送达地点</w:t>
            </w:r>
            <w:r/>
          </w:p>
        </w:tc>
        <w:tc>
          <w:tcPr>
            <w:tcBorders>
              <w:top w:val="single" w:color="auto" w:sz="12" w:space="0"/>
              <w:bottom w:val="single" w:color="auto" w:sz="6" w:space="0"/>
            </w:tcBorders>
            <w:tcW w:w="992" w:type="dxa"/>
            <w:vAlign w:val="center"/>
            <w:textDirection w:val="lrTb"/>
            <w:noWrap w:val="false"/>
          </w:tcPr>
          <w:p>
            <w:pPr>
              <w:pStyle w:val="998"/>
              <w:ind w:left="63" w:right="63"/>
              <w:keepNext/>
              <w:spacing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备注</w:t>
            </w:r>
            <w:r/>
          </w:p>
        </w:tc>
      </w:tr>
      <w:tr>
        <w:trPr>
          <w:jc w:val="center"/>
          <w:trHeight w:val="567"/>
        </w:trPr>
        <w:tc>
          <w:tcPr>
            <w:tcBorders>
              <w:top w:val="single" w:color="auto" w:sz="6" w:space="0"/>
              <w:bottom w:val="single" w:color="auto" w:sz="6" w:space="0"/>
            </w:tcBorders>
            <w:tcW w:w="851" w:type="dxa"/>
            <w:vAlign w:val="center"/>
            <w:textDirection w:val="lrTb"/>
            <w:noWrap w:val="false"/>
          </w:tcPr>
          <w:p>
            <w:pPr>
              <w:pStyle w:val="998"/>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Borders>
              <w:top w:val="single" w:color="auto" w:sz="6" w:space="0"/>
              <w:bottom w:val="single" w:color="auto" w:sz="6" w:space="0"/>
            </w:tcBorders>
            <w:tcW w:w="1276" w:type="dxa"/>
            <w:vAlign w:val="center"/>
            <w:textDirection w:val="lrTb"/>
            <w:noWrap w:val="false"/>
          </w:tcPr>
          <w:p>
            <w:pPr>
              <w:pStyle w:val="998"/>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Borders>
              <w:top w:val="single" w:color="auto" w:sz="6" w:space="0"/>
              <w:bottom w:val="single" w:color="auto" w:sz="6" w:space="0"/>
            </w:tcBorders>
            <w:tcW w:w="1418" w:type="dxa"/>
            <w:vAlign w:val="center"/>
            <w:textDirection w:val="lrTb"/>
            <w:noWrap w:val="false"/>
          </w:tcPr>
          <w:p>
            <w:pPr>
              <w:pStyle w:val="998"/>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Borders>
              <w:top w:val="single" w:color="auto" w:sz="6" w:space="0"/>
              <w:bottom w:val="single" w:color="auto" w:sz="6" w:space="0"/>
            </w:tcBorders>
            <w:tcW w:w="940" w:type="dxa"/>
            <w:vAlign w:val="center"/>
            <w:textDirection w:val="lrTb"/>
            <w:noWrap w:val="false"/>
          </w:tcPr>
          <w:p>
            <w:pPr>
              <w:pStyle w:val="998"/>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Borders>
              <w:top w:val="single" w:color="auto" w:sz="6" w:space="0"/>
              <w:bottom w:val="single" w:color="auto" w:sz="6" w:space="0"/>
            </w:tcBorders>
            <w:tcW w:w="851" w:type="dxa"/>
            <w:vAlign w:val="center"/>
            <w:textDirection w:val="lrTb"/>
            <w:noWrap w:val="false"/>
          </w:tcPr>
          <w:p>
            <w:pPr>
              <w:pStyle w:val="998"/>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Borders>
              <w:top w:val="single" w:color="auto" w:sz="6" w:space="0"/>
              <w:bottom w:val="single" w:color="auto" w:sz="6" w:space="0"/>
            </w:tcBorders>
            <w:tcW w:w="1044" w:type="dxa"/>
            <w:vAlign w:val="center"/>
            <w:textDirection w:val="lrTb"/>
            <w:noWrap w:val="false"/>
          </w:tcPr>
          <w:p>
            <w:pPr>
              <w:pStyle w:val="998"/>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Borders>
              <w:top w:val="single" w:color="auto" w:sz="6" w:space="0"/>
              <w:bottom w:val="single" w:color="auto" w:sz="6" w:space="0"/>
            </w:tcBorders>
            <w:tcW w:w="992" w:type="dxa"/>
            <w:vAlign w:val="center"/>
            <w:textDirection w:val="lrTb"/>
            <w:noWrap w:val="false"/>
          </w:tcPr>
          <w:p>
            <w:pPr>
              <w:pStyle w:val="998"/>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Borders>
              <w:top w:val="single" w:color="auto" w:sz="6" w:space="0"/>
              <w:bottom w:val="single" w:color="auto" w:sz="6" w:space="0"/>
            </w:tcBorders>
            <w:tcW w:w="851" w:type="dxa"/>
            <w:vAlign w:val="center"/>
            <w:textDirection w:val="lrTb"/>
            <w:noWrap w:val="false"/>
          </w:tcPr>
          <w:p>
            <w:pPr>
              <w:pStyle w:val="998"/>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Borders>
              <w:top w:val="single" w:color="auto" w:sz="6" w:space="0"/>
              <w:bottom w:val="single" w:color="auto" w:sz="6" w:space="0"/>
            </w:tcBorders>
            <w:tcW w:w="1487" w:type="dxa"/>
            <w:vAlign w:val="center"/>
            <w:textDirection w:val="lrTb"/>
            <w:noWrap w:val="false"/>
          </w:tcPr>
          <w:p>
            <w:pPr>
              <w:pStyle w:val="998"/>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Borders>
              <w:top w:val="single" w:color="auto" w:sz="6" w:space="0"/>
              <w:bottom w:val="single" w:color="auto" w:sz="6" w:space="0"/>
            </w:tcBorders>
            <w:tcW w:w="992" w:type="dxa"/>
            <w:vAlign w:val="center"/>
            <w:textDirection w:val="lrTb"/>
            <w:noWrap w:val="false"/>
          </w:tcPr>
          <w:p>
            <w:pPr>
              <w:pStyle w:val="998"/>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r>
      <w:tr>
        <w:trPr>
          <w:jc w:val="center"/>
          <w:trHeight w:val="567"/>
        </w:trPr>
        <w:tc>
          <w:tcPr>
            <w:tcBorders>
              <w:top w:val="none" w:color="000000" w:sz="4" w:space="0"/>
            </w:tcBorders>
            <w:tcW w:w="851" w:type="dxa"/>
            <w:vAlign w:val="center"/>
            <w:textDirection w:val="lrTb"/>
            <w:noWrap w:val="false"/>
          </w:tcPr>
          <w:p>
            <w:pPr>
              <w:pStyle w:val="998"/>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Borders>
              <w:top w:val="none" w:color="000000" w:sz="4" w:space="0"/>
            </w:tcBorders>
            <w:tcW w:w="1276" w:type="dxa"/>
            <w:vAlign w:val="center"/>
            <w:textDirection w:val="lrTb"/>
            <w:noWrap w:val="false"/>
          </w:tcPr>
          <w:p>
            <w:pPr>
              <w:pStyle w:val="998"/>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Borders>
              <w:top w:val="none" w:color="000000" w:sz="4" w:space="0"/>
            </w:tcBorders>
            <w:tcW w:w="1418" w:type="dxa"/>
            <w:vAlign w:val="center"/>
            <w:textDirection w:val="lrTb"/>
            <w:noWrap w:val="false"/>
          </w:tcPr>
          <w:p>
            <w:pPr>
              <w:pStyle w:val="998"/>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Borders>
              <w:top w:val="none" w:color="000000" w:sz="4" w:space="0"/>
            </w:tcBorders>
            <w:tcW w:w="940" w:type="dxa"/>
            <w:vAlign w:val="center"/>
            <w:textDirection w:val="lrTb"/>
            <w:noWrap w:val="false"/>
          </w:tcPr>
          <w:p>
            <w:pPr>
              <w:pStyle w:val="998"/>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Borders>
              <w:top w:val="none" w:color="000000" w:sz="4" w:space="0"/>
            </w:tcBorders>
            <w:tcW w:w="851" w:type="dxa"/>
            <w:vAlign w:val="center"/>
            <w:textDirection w:val="lrTb"/>
            <w:noWrap w:val="false"/>
          </w:tcPr>
          <w:p>
            <w:pPr>
              <w:pStyle w:val="998"/>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Borders>
              <w:top w:val="none" w:color="000000" w:sz="4" w:space="0"/>
            </w:tcBorders>
            <w:tcW w:w="1044" w:type="dxa"/>
            <w:vAlign w:val="center"/>
            <w:textDirection w:val="lrTb"/>
            <w:noWrap w:val="false"/>
          </w:tcPr>
          <w:p>
            <w:pPr>
              <w:pStyle w:val="998"/>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Borders>
              <w:top w:val="none" w:color="000000" w:sz="4" w:space="0"/>
            </w:tcBorders>
            <w:tcW w:w="992" w:type="dxa"/>
            <w:vAlign w:val="center"/>
            <w:textDirection w:val="lrTb"/>
            <w:noWrap w:val="false"/>
          </w:tcPr>
          <w:p>
            <w:pPr>
              <w:pStyle w:val="998"/>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Borders>
              <w:top w:val="none" w:color="000000" w:sz="4" w:space="0"/>
            </w:tcBorders>
            <w:tcW w:w="851" w:type="dxa"/>
            <w:vAlign w:val="center"/>
            <w:textDirection w:val="lrTb"/>
            <w:noWrap w:val="false"/>
          </w:tcPr>
          <w:p>
            <w:pPr>
              <w:pStyle w:val="998"/>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Borders>
              <w:top w:val="none" w:color="000000" w:sz="4" w:space="0"/>
            </w:tcBorders>
            <w:tcW w:w="1487" w:type="dxa"/>
            <w:vAlign w:val="center"/>
            <w:textDirection w:val="lrTb"/>
            <w:noWrap w:val="false"/>
          </w:tcPr>
          <w:p>
            <w:pPr>
              <w:pStyle w:val="998"/>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Borders>
              <w:top w:val="none" w:color="000000" w:sz="4" w:space="0"/>
            </w:tcBorders>
            <w:tcW w:w="992" w:type="dxa"/>
            <w:vAlign w:val="center"/>
            <w:textDirection w:val="lrTb"/>
            <w:noWrap w:val="false"/>
          </w:tcPr>
          <w:p>
            <w:pPr>
              <w:pStyle w:val="998"/>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r>
      <w:tr>
        <w:trPr>
          <w:jc w:val="center"/>
          <w:trHeight w:val="567"/>
        </w:trPr>
        <w:tc>
          <w:tcPr>
            <w:tcW w:w="851" w:type="dxa"/>
            <w:vAlign w:val="center"/>
            <w:textDirection w:val="lrTb"/>
            <w:noWrap w:val="false"/>
          </w:tcPr>
          <w:p>
            <w:pPr>
              <w:pStyle w:val="998"/>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W w:w="1276" w:type="dxa"/>
            <w:vAlign w:val="center"/>
            <w:textDirection w:val="lrTb"/>
            <w:noWrap w:val="false"/>
          </w:tcPr>
          <w:p>
            <w:pPr>
              <w:pStyle w:val="998"/>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W w:w="1418" w:type="dxa"/>
            <w:vAlign w:val="center"/>
            <w:textDirection w:val="lrTb"/>
            <w:noWrap w:val="false"/>
          </w:tcPr>
          <w:p>
            <w:pPr>
              <w:pStyle w:val="998"/>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W w:w="940" w:type="dxa"/>
            <w:vAlign w:val="center"/>
            <w:textDirection w:val="lrTb"/>
            <w:noWrap w:val="false"/>
          </w:tcPr>
          <w:p>
            <w:pPr>
              <w:pStyle w:val="998"/>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W w:w="851" w:type="dxa"/>
            <w:vAlign w:val="center"/>
            <w:textDirection w:val="lrTb"/>
            <w:noWrap w:val="false"/>
          </w:tcPr>
          <w:p>
            <w:pPr>
              <w:pStyle w:val="998"/>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W w:w="1044" w:type="dxa"/>
            <w:vAlign w:val="center"/>
            <w:textDirection w:val="lrTb"/>
            <w:noWrap w:val="false"/>
          </w:tcPr>
          <w:p>
            <w:pPr>
              <w:pStyle w:val="998"/>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W w:w="992" w:type="dxa"/>
            <w:vAlign w:val="center"/>
            <w:textDirection w:val="lrTb"/>
            <w:noWrap w:val="false"/>
          </w:tcPr>
          <w:p>
            <w:pPr>
              <w:pStyle w:val="998"/>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W w:w="851" w:type="dxa"/>
            <w:vAlign w:val="center"/>
            <w:textDirection w:val="lrTb"/>
            <w:noWrap w:val="false"/>
          </w:tcPr>
          <w:p>
            <w:pPr>
              <w:pStyle w:val="998"/>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W w:w="1487" w:type="dxa"/>
            <w:vAlign w:val="center"/>
            <w:textDirection w:val="lrTb"/>
            <w:noWrap w:val="false"/>
          </w:tcPr>
          <w:p>
            <w:pPr>
              <w:pStyle w:val="998"/>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W w:w="992" w:type="dxa"/>
            <w:vAlign w:val="center"/>
            <w:textDirection w:val="lrTb"/>
            <w:noWrap w:val="false"/>
          </w:tcPr>
          <w:p>
            <w:pPr>
              <w:pStyle w:val="998"/>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r>
      <w:tr>
        <w:trPr>
          <w:jc w:val="center"/>
          <w:trHeight w:val="567"/>
        </w:trPr>
        <w:tc>
          <w:tcPr>
            <w:tcW w:w="851" w:type="dxa"/>
            <w:vAlign w:val="center"/>
            <w:textDirection w:val="lrTb"/>
            <w:noWrap w:val="false"/>
          </w:tcPr>
          <w:p>
            <w:pPr>
              <w:pStyle w:val="998"/>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W w:w="1276" w:type="dxa"/>
            <w:vAlign w:val="center"/>
            <w:textDirection w:val="lrTb"/>
            <w:noWrap w:val="false"/>
          </w:tcPr>
          <w:p>
            <w:pPr>
              <w:pStyle w:val="998"/>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W w:w="1418" w:type="dxa"/>
            <w:vAlign w:val="center"/>
            <w:textDirection w:val="lrTb"/>
            <w:noWrap w:val="false"/>
          </w:tcPr>
          <w:p>
            <w:pPr>
              <w:pStyle w:val="998"/>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W w:w="940" w:type="dxa"/>
            <w:vAlign w:val="center"/>
            <w:textDirection w:val="lrTb"/>
            <w:noWrap w:val="false"/>
          </w:tcPr>
          <w:p>
            <w:pPr>
              <w:pStyle w:val="998"/>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W w:w="851" w:type="dxa"/>
            <w:vAlign w:val="center"/>
            <w:textDirection w:val="lrTb"/>
            <w:noWrap w:val="false"/>
          </w:tcPr>
          <w:p>
            <w:pPr>
              <w:pStyle w:val="998"/>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W w:w="1044" w:type="dxa"/>
            <w:vAlign w:val="center"/>
            <w:textDirection w:val="lrTb"/>
            <w:noWrap w:val="false"/>
          </w:tcPr>
          <w:p>
            <w:pPr>
              <w:pStyle w:val="998"/>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W w:w="992" w:type="dxa"/>
            <w:vAlign w:val="center"/>
            <w:textDirection w:val="lrTb"/>
            <w:noWrap w:val="false"/>
          </w:tcPr>
          <w:p>
            <w:pPr>
              <w:pStyle w:val="998"/>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W w:w="851" w:type="dxa"/>
            <w:vAlign w:val="center"/>
            <w:textDirection w:val="lrTb"/>
            <w:noWrap w:val="false"/>
          </w:tcPr>
          <w:p>
            <w:pPr>
              <w:pStyle w:val="998"/>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W w:w="1487" w:type="dxa"/>
            <w:vAlign w:val="center"/>
            <w:textDirection w:val="lrTb"/>
            <w:noWrap w:val="false"/>
          </w:tcPr>
          <w:p>
            <w:pPr>
              <w:pStyle w:val="998"/>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W w:w="992" w:type="dxa"/>
            <w:vAlign w:val="center"/>
            <w:textDirection w:val="lrTb"/>
            <w:noWrap w:val="false"/>
          </w:tcPr>
          <w:p>
            <w:pPr>
              <w:pStyle w:val="998"/>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r>
      <w:tr>
        <w:trPr>
          <w:jc w:val="center"/>
          <w:trHeight w:val="567"/>
        </w:trPr>
        <w:tc>
          <w:tcPr>
            <w:tcW w:w="851" w:type="dxa"/>
            <w:vAlign w:val="center"/>
            <w:textDirection w:val="lrTb"/>
            <w:noWrap w:val="false"/>
          </w:tcPr>
          <w:p>
            <w:pPr>
              <w:pStyle w:val="998"/>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W w:w="1276" w:type="dxa"/>
            <w:vAlign w:val="center"/>
            <w:textDirection w:val="lrTb"/>
            <w:noWrap w:val="false"/>
          </w:tcPr>
          <w:p>
            <w:pPr>
              <w:pStyle w:val="998"/>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W w:w="1418" w:type="dxa"/>
            <w:vAlign w:val="center"/>
            <w:textDirection w:val="lrTb"/>
            <w:noWrap w:val="false"/>
          </w:tcPr>
          <w:p>
            <w:pPr>
              <w:pStyle w:val="998"/>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W w:w="940" w:type="dxa"/>
            <w:vAlign w:val="center"/>
            <w:textDirection w:val="lrTb"/>
            <w:noWrap w:val="false"/>
          </w:tcPr>
          <w:p>
            <w:pPr>
              <w:pStyle w:val="998"/>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W w:w="851" w:type="dxa"/>
            <w:vAlign w:val="center"/>
            <w:textDirection w:val="lrTb"/>
            <w:noWrap w:val="false"/>
          </w:tcPr>
          <w:p>
            <w:pPr>
              <w:pStyle w:val="998"/>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W w:w="1044" w:type="dxa"/>
            <w:vAlign w:val="center"/>
            <w:textDirection w:val="lrTb"/>
            <w:noWrap w:val="false"/>
          </w:tcPr>
          <w:p>
            <w:pPr>
              <w:pStyle w:val="998"/>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W w:w="992" w:type="dxa"/>
            <w:vAlign w:val="center"/>
            <w:textDirection w:val="lrTb"/>
            <w:noWrap w:val="false"/>
          </w:tcPr>
          <w:p>
            <w:pPr>
              <w:pStyle w:val="998"/>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W w:w="851" w:type="dxa"/>
            <w:vAlign w:val="center"/>
            <w:textDirection w:val="lrTb"/>
            <w:noWrap w:val="false"/>
          </w:tcPr>
          <w:p>
            <w:pPr>
              <w:pStyle w:val="998"/>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W w:w="1487" w:type="dxa"/>
            <w:vAlign w:val="center"/>
            <w:textDirection w:val="lrTb"/>
            <w:noWrap w:val="false"/>
          </w:tcPr>
          <w:p>
            <w:pPr>
              <w:pStyle w:val="998"/>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W w:w="992" w:type="dxa"/>
            <w:vAlign w:val="center"/>
            <w:textDirection w:val="lrTb"/>
            <w:noWrap w:val="false"/>
          </w:tcPr>
          <w:p>
            <w:pPr>
              <w:pStyle w:val="998"/>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r>
      <w:tr>
        <w:trPr>
          <w:jc w:val="center"/>
          <w:trHeight w:val="567"/>
        </w:trPr>
        <w:tc>
          <w:tcPr>
            <w:tcW w:w="851" w:type="dxa"/>
            <w:vAlign w:val="center"/>
            <w:textDirection w:val="lrTb"/>
            <w:noWrap w:val="false"/>
          </w:tcPr>
          <w:p>
            <w:pPr>
              <w:pStyle w:val="998"/>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W w:w="1276" w:type="dxa"/>
            <w:vAlign w:val="center"/>
            <w:textDirection w:val="lrTb"/>
            <w:noWrap w:val="false"/>
          </w:tcPr>
          <w:p>
            <w:pPr>
              <w:pStyle w:val="998"/>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W w:w="1418" w:type="dxa"/>
            <w:vAlign w:val="center"/>
            <w:textDirection w:val="lrTb"/>
            <w:noWrap w:val="false"/>
          </w:tcPr>
          <w:p>
            <w:pPr>
              <w:pStyle w:val="998"/>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W w:w="940" w:type="dxa"/>
            <w:vAlign w:val="center"/>
            <w:textDirection w:val="lrTb"/>
            <w:noWrap w:val="false"/>
          </w:tcPr>
          <w:p>
            <w:pPr>
              <w:pStyle w:val="998"/>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W w:w="851" w:type="dxa"/>
            <w:vAlign w:val="center"/>
            <w:textDirection w:val="lrTb"/>
            <w:noWrap w:val="false"/>
          </w:tcPr>
          <w:p>
            <w:pPr>
              <w:pStyle w:val="998"/>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W w:w="1044" w:type="dxa"/>
            <w:vAlign w:val="center"/>
            <w:textDirection w:val="lrTb"/>
            <w:noWrap w:val="false"/>
          </w:tcPr>
          <w:p>
            <w:pPr>
              <w:pStyle w:val="998"/>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W w:w="992" w:type="dxa"/>
            <w:vAlign w:val="center"/>
            <w:textDirection w:val="lrTb"/>
            <w:noWrap w:val="false"/>
          </w:tcPr>
          <w:p>
            <w:pPr>
              <w:pStyle w:val="998"/>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W w:w="851" w:type="dxa"/>
            <w:vAlign w:val="center"/>
            <w:textDirection w:val="lrTb"/>
            <w:noWrap w:val="false"/>
          </w:tcPr>
          <w:p>
            <w:pPr>
              <w:pStyle w:val="998"/>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W w:w="1487" w:type="dxa"/>
            <w:vAlign w:val="center"/>
            <w:textDirection w:val="lrTb"/>
            <w:noWrap w:val="false"/>
          </w:tcPr>
          <w:p>
            <w:pPr>
              <w:pStyle w:val="998"/>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W w:w="992" w:type="dxa"/>
            <w:vAlign w:val="center"/>
            <w:textDirection w:val="lrTb"/>
            <w:noWrap w:val="false"/>
          </w:tcPr>
          <w:p>
            <w:pPr>
              <w:pStyle w:val="998"/>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r>
      <w:tr>
        <w:trPr>
          <w:jc w:val="center"/>
          <w:trHeight w:val="567"/>
        </w:trPr>
        <w:tc>
          <w:tcPr>
            <w:tcW w:w="851" w:type="dxa"/>
            <w:vAlign w:val="center"/>
            <w:textDirection w:val="lrTb"/>
            <w:noWrap w:val="false"/>
          </w:tcPr>
          <w:p>
            <w:pPr>
              <w:pStyle w:val="998"/>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W w:w="1276" w:type="dxa"/>
            <w:vAlign w:val="center"/>
            <w:textDirection w:val="lrTb"/>
            <w:noWrap w:val="false"/>
          </w:tcPr>
          <w:p>
            <w:pPr>
              <w:pStyle w:val="998"/>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W w:w="1418" w:type="dxa"/>
            <w:vAlign w:val="center"/>
            <w:textDirection w:val="lrTb"/>
            <w:noWrap w:val="false"/>
          </w:tcPr>
          <w:p>
            <w:pPr>
              <w:pStyle w:val="998"/>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W w:w="940" w:type="dxa"/>
            <w:vAlign w:val="center"/>
            <w:textDirection w:val="lrTb"/>
            <w:noWrap w:val="false"/>
          </w:tcPr>
          <w:p>
            <w:pPr>
              <w:pStyle w:val="998"/>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W w:w="851" w:type="dxa"/>
            <w:vAlign w:val="center"/>
            <w:textDirection w:val="lrTb"/>
            <w:noWrap w:val="false"/>
          </w:tcPr>
          <w:p>
            <w:pPr>
              <w:pStyle w:val="998"/>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W w:w="1044" w:type="dxa"/>
            <w:vAlign w:val="center"/>
            <w:textDirection w:val="lrTb"/>
            <w:noWrap w:val="false"/>
          </w:tcPr>
          <w:p>
            <w:pPr>
              <w:pStyle w:val="998"/>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W w:w="992" w:type="dxa"/>
            <w:vAlign w:val="center"/>
            <w:textDirection w:val="lrTb"/>
            <w:noWrap w:val="false"/>
          </w:tcPr>
          <w:p>
            <w:pPr>
              <w:pStyle w:val="998"/>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W w:w="851" w:type="dxa"/>
            <w:vAlign w:val="center"/>
            <w:textDirection w:val="lrTb"/>
            <w:noWrap w:val="false"/>
          </w:tcPr>
          <w:p>
            <w:pPr>
              <w:pStyle w:val="998"/>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W w:w="1487" w:type="dxa"/>
            <w:vAlign w:val="center"/>
            <w:textDirection w:val="lrTb"/>
            <w:noWrap w:val="false"/>
          </w:tcPr>
          <w:p>
            <w:pPr>
              <w:pStyle w:val="998"/>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W w:w="992" w:type="dxa"/>
            <w:vAlign w:val="center"/>
            <w:textDirection w:val="lrTb"/>
            <w:noWrap w:val="false"/>
          </w:tcPr>
          <w:p>
            <w:pPr>
              <w:pStyle w:val="998"/>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r>
      <w:tr>
        <w:trPr>
          <w:jc w:val="center"/>
          <w:trHeight w:val="567"/>
        </w:trPr>
        <w:tc>
          <w:tcPr>
            <w:tcW w:w="851" w:type="dxa"/>
            <w:vAlign w:val="center"/>
            <w:textDirection w:val="lrTb"/>
            <w:noWrap w:val="false"/>
          </w:tcPr>
          <w:p>
            <w:pPr>
              <w:pStyle w:val="998"/>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W w:w="1276" w:type="dxa"/>
            <w:vAlign w:val="center"/>
            <w:textDirection w:val="lrTb"/>
            <w:noWrap w:val="false"/>
          </w:tcPr>
          <w:p>
            <w:pPr>
              <w:pStyle w:val="998"/>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W w:w="1418" w:type="dxa"/>
            <w:vAlign w:val="center"/>
            <w:textDirection w:val="lrTb"/>
            <w:noWrap w:val="false"/>
          </w:tcPr>
          <w:p>
            <w:pPr>
              <w:pStyle w:val="998"/>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W w:w="940" w:type="dxa"/>
            <w:vAlign w:val="center"/>
            <w:textDirection w:val="lrTb"/>
            <w:noWrap w:val="false"/>
          </w:tcPr>
          <w:p>
            <w:pPr>
              <w:pStyle w:val="998"/>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W w:w="851" w:type="dxa"/>
            <w:vAlign w:val="center"/>
            <w:textDirection w:val="lrTb"/>
            <w:noWrap w:val="false"/>
          </w:tcPr>
          <w:p>
            <w:pPr>
              <w:pStyle w:val="998"/>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W w:w="1044" w:type="dxa"/>
            <w:vAlign w:val="center"/>
            <w:textDirection w:val="lrTb"/>
            <w:noWrap w:val="false"/>
          </w:tcPr>
          <w:p>
            <w:pPr>
              <w:pStyle w:val="998"/>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W w:w="992" w:type="dxa"/>
            <w:vAlign w:val="center"/>
            <w:textDirection w:val="lrTb"/>
            <w:noWrap w:val="false"/>
          </w:tcPr>
          <w:p>
            <w:pPr>
              <w:pStyle w:val="998"/>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W w:w="851" w:type="dxa"/>
            <w:vAlign w:val="center"/>
            <w:textDirection w:val="lrTb"/>
            <w:noWrap w:val="false"/>
          </w:tcPr>
          <w:p>
            <w:pPr>
              <w:pStyle w:val="998"/>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W w:w="1487" w:type="dxa"/>
            <w:vAlign w:val="center"/>
            <w:textDirection w:val="lrTb"/>
            <w:noWrap w:val="false"/>
          </w:tcPr>
          <w:p>
            <w:pPr>
              <w:pStyle w:val="998"/>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W w:w="992" w:type="dxa"/>
            <w:vAlign w:val="center"/>
            <w:textDirection w:val="lrTb"/>
            <w:noWrap w:val="false"/>
          </w:tcPr>
          <w:p>
            <w:pPr>
              <w:pStyle w:val="998"/>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r>
      <w:tr>
        <w:trPr>
          <w:jc w:val="center"/>
          <w:trHeight w:val="567"/>
        </w:trPr>
        <w:tc>
          <w:tcPr>
            <w:tcW w:w="851"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1276"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1418"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940"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851"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1044"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992"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851"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1487"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992"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r>
      <w:tr>
        <w:trPr>
          <w:jc w:val="center"/>
          <w:trHeight w:val="567"/>
        </w:trPr>
        <w:tc>
          <w:tcPr>
            <w:tcW w:w="851" w:type="dxa"/>
            <w:vAlign w:val="center"/>
            <w:textDirection w:val="lrTb"/>
            <w:noWrap w:val="false"/>
          </w:tcPr>
          <w:p>
            <w:pPr>
              <w:pStyle w:val="998"/>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W w:w="1276" w:type="dxa"/>
            <w:vAlign w:val="center"/>
            <w:textDirection w:val="lrTb"/>
            <w:noWrap w:val="false"/>
          </w:tcPr>
          <w:p>
            <w:pPr>
              <w:pStyle w:val="998"/>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W w:w="1418" w:type="dxa"/>
            <w:vAlign w:val="center"/>
            <w:textDirection w:val="lrTb"/>
            <w:noWrap w:val="false"/>
          </w:tcPr>
          <w:p>
            <w:pPr>
              <w:pStyle w:val="998"/>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W w:w="940" w:type="dxa"/>
            <w:vAlign w:val="center"/>
            <w:textDirection w:val="lrTb"/>
            <w:noWrap w:val="false"/>
          </w:tcPr>
          <w:p>
            <w:pPr>
              <w:pStyle w:val="998"/>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W w:w="851" w:type="dxa"/>
            <w:vAlign w:val="center"/>
            <w:textDirection w:val="lrTb"/>
            <w:noWrap w:val="false"/>
          </w:tcPr>
          <w:p>
            <w:pPr>
              <w:pStyle w:val="998"/>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W w:w="1044" w:type="dxa"/>
            <w:vAlign w:val="center"/>
            <w:textDirection w:val="lrTb"/>
            <w:noWrap w:val="false"/>
          </w:tcPr>
          <w:p>
            <w:pPr>
              <w:pStyle w:val="998"/>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W w:w="992" w:type="dxa"/>
            <w:vAlign w:val="center"/>
            <w:textDirection w:val="lrTb"/>
            <w:noWrap w:val="false"/>
          </w:tcPr>
          <w:p>
            <w:pPr>
              <w:pStyle w:val="998"/>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W w:w="851" w:type="dxa"/>
            <w:vAlign w:val="center"/>
            <w:textDirection w:val="lrTb"/>
            <w:noWrap w:val="false"/>
          </w:tcPr>
          <w:p>
            <w:pPr>
              <w:pStyle w:val="998"/>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W w:w="1487" w:type="dxa"/>
            <w:vAlign w:val="center"/>
            <w:textDirection w:val="lrTb"/>
            <w:noWrap w:val="false"/>
          </w:tcPr>
          <w:p>
            <w:pPr>
              <w:pStyle w:val="998"/>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W w:w="992" w:type="dxa"/>
            <w:vAlign w:val="center"/>
            <w:textDirection w:val="lrTb"/>
            <w:noWrap w:val="false"/>
          </w:tcPr>
          <w:p>
            <w:pPr>
              <w:pStyle w:val="998"/>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r>
      <w:tr>
        <w:trPr>
          <w:jc w:val="center"/>
          <w:trHeight w:val="567"/>
        </w:trPr>
        <w:tc>
          <w:tcPr>
            <w:tcW w:w="851"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1276"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1418"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940"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851"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1044"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992"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851"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1487"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992"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r>
      <w:tr>
        <w:trPr>
          <w:jc w:val="center"/>
          <w:trHeight w:val="567"/>
        </w:trPr>
        <w:tc>
          <w:tcPr>
            <w:tcW w:w="851"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1276"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1418"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940"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851"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1044"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992"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851"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1487"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992"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r>
      <w:tr>
        <w:trPr>
          <w:jc w:val="center"/>
          <w:trHeight w:val="567"/>
        </w:trPr>
        <w:tc>
          <w:tcPr>
            <w:tcW w:w="851"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1276"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1418"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940"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851"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1044"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992"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851"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1487"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992"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r>
      <w:tr>
        <w:trPr>
          <w:jc w:val="center"/>
          <w:trHeight w:val="567"/>
        </w:trPr>
        <w:tc>
          <w:tcPr>
            <w:tcW w:w="851"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1276"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1418"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940"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851"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1044"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992"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851"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1487"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992"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r>
      <w:tr>
        <w:trPr>
          <w:jc w:val="center"/>
          <w:trHeight w:val="567"/>
        </w:trPr>
        <w:tc>
          <w:tcPr>
            <w:tcW w:w="851"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1276"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1418"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940"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851"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1044"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992"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851"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1487"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992"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r>
      <w:tr>
        <w:trPr>
          <w:jc w:val="center"/>
          <w:trHeight w:val="567"/>
        </w:trPr>
        <w:tc>
          <w:tcPr>
            <w:tcW w:w="851"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1276"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1418"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940"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851"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1044"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992"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851"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1487"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992"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r>
      <w:tr>
        <w:trPr>
          <w:jc w:val="center"/>
          <w:trHeight w:val="567"/>
        </w:trPr>
        <w:tc>
          <w:tcPr>
            <w:tcW w:w="851"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1276"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1418"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940"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851"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1044"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992"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851"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1487"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992"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r>
      <w:tr>
        <w:trPr>
          <w:jc w:val="center"/>
          <w:trHeight w:val="567"/>
        </w:trPr>
        <w:tc>
          <w:tcPr>
            <w:tcW w:w="851"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1276"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1418"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940"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851"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1044"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992"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851"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1487"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992"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r>
    </w:tbl>
    <w:p>
      <w:pPr>
        <w:spacing w:line="440" w:lineRule="exact"/>
        <w:shd w:val="clear" w:color="auto" w:fil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spacing w:line="440" w:lineRule="exact"/>
        <w:shd w:val="clear" w:color="auto" w:fil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pStyle w:val="1018"/>
        <w:rPr>
          <w:rFonts w:hint="eastAsia" w:ascii="宋体" w:hAnsi="宋体" w:eastAsia="宋体" w:cs="宋体"/>
        </w:rPr>
      </w:pPr>
      <w:r>
        <w:rPr>
          <w:rFonts w:hint="eastAsia" w:ascii="宋体" w:hAnsi="宋体" w:eastAsia="宋体" w:cs="宋体"/>
        </w:rPr>
      </w:r>
      <w:r/>
    </w:p>
    <w:p>
      <w:pPr>
        <w:spacing w:line="440" w:lineRule="exact"/>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22"/>
          <w:szCs w:val="22"/>
          <w:highlight w:val="none"/>
        </w:rPr>
        <w:t xml:space="preserve">附</w:t>
      </w:r>
      <w:bookmarkStart w:id="42" w:name="_Toc267261693"/>
      <w:r/>
      <w:bookmarkStart w:id="43" w:name="_Toc296346727"/>
      <w:r/>
      <w:bookmarkStart w:id="44" w:name="_Toc296891054"/>
      <w:r/>
      <w:bookmarkStart w:id="45" w:name="_Toc296503226"/>
      <w:r/>
      <w:bookmarkStart w:id="46" w:name="_Toc296891266"/>
      <w:r/>
      <w:bookmarkStart w:id="47" w:name="_Toc296944565"/>
      <w:r/>
      <w:bookmarkStart w:id="48" w:name="_Toc296347225"/>
      <w:r>
        <w:rPr>
          <w:rFonts w:hint="eastAsia" w:ascii="宋体" w:hAnsi="宋体" w:eastAsia="宋体" w:cs="宋体"/>
          <w:color w:val="auto"/>
          <w:sz w:val="22"/>
          <w:szCs w:val="22"/>
          <w:highlight w:val="none"/>
        </w:rPr>
        <w:t xml:space="preserve">件</w:t>
      </w:r>
      <w:r>
        <w:rPr>
          <w:rFonts w:hint="eastAsia" w:ascii="宋体" w:hAnsi="宋体" w:eastAsia="宋体" w:cs="宋体"/>
          <w:color w:val="auto"/>
          <w:sz w:val="22"/>
          <w:szCs w:val="22"/>
          <w:highlight w:val="none"/>
          <w:lang w:val="en-US" w:eastAsia="zh-CN"/>
        </w:rPr>
        <w:t xml:space="preserve">3</w:t>
      </w:r>
      <w:r>
        <w:rPr>
          <w:rFonts w:hint="eastAsia" w:ascii="宋体" w:hAnsi="宋体" w:eastAsia="宋体" w:cs="宋体"/>
          <w:color w:val="auto"/>
          <w:sz w:val="22"/>
          <w:szCs w:val="22"/>
          <w:highlight w:val="none"/>
        </w:rPr>
        <w:t xml:space="preserve">：</w:t>
      </w:r>
      <w:bookmarkEnd w:id="42"/>
      <w:r/>
      <w:bookmarkEnd w:id="43"/>
      <w:r/>
      <w:bookmarkEnd w:id="44"/>
      <w:r/>
      <w:bookmarkEnd w:id="45"/>
      <w:r/>
      <w:bookmarkEnd w:id="46"/>
      <w:r/>
      <w:bookmarkEnd w:id="47"/>
      <w:r/>
      <w:bookmarkEnd w:id="48"/>
      <w:r>
        <w:rPr>
          <w:rFonts w:hint="eastAsia" w:ascii="宋体" w:hAnsi="宋体" w:eastAsia="宋体" w:cs="宋体"/>
          <w:color w:val="auto"/>
          <w:sz w:val="24"/>
          <w:highlight w:val="none"/>
        </w:rPr>
        <w:t xml:space="preserve"> </w:t>
      </w:r>
      <w:r>
        <w:rPr>
          <w:rFonts w:hint="eastAsia" w:ascii="宋体" w:hAnsi="宋体" w:eastAsia="宋体" w:cs="宋体"/>
          <w:color w:val="auto"/>
          <w:sz w:val="30"/>
          <w:szCs w:val="30"/>
          <w:highlight w:val="none"/>
        </w:rPr>
        <w:t xml:space="preserve">   </w:t>
      </w:r>
      <w:r/>
    </w:p>
    <w:p>
      <w:pPr>
        <w:jc w:val="center"/>
        <w:spacing w:before="120" w:after="120" w:line="440" w:lineRule="exact"/>
        <w:shd w:val="clear" w:color="auto" w:fil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工程质量保修书</w:t>
      </w:r>
      <w:r/>
    </w:p>
    <w:p>
      <w:pPr>
        <w:ind w:firstLine="480"/>
        <w:spacing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发包人（全称）：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spacing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承包人（全称）：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jc w:val="left"/>
        <w:keepLines w:val="0"/>
        <w:keepNext w:val="0"/>
        <w:pageBreakBefore w:val="0"/>
        <w:spacing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left"/>
        <w:keepLines w:val="0"/>
        <w:keepNext w:val="0"/>
        <w:pageBreakBefore w:val="0"/>
        <w:spacing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发包人、承包人根据《中华人民共和国建筑法》、《建设工程质量管理条例》和《房屋建筑工程质量保修办法》，经协商一致，就</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eastAsia="zh-CN"/>
        </w:rPr>
        <w:t xml:space="preserve">苏堤北路、凤鸣路、及青年路（故黄河-复兴路）工后道路恢复工程</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rPr>
        <w:t xml:space="preserve">（工程全称）签订工程质量保修书。</w:t>
      </w:r>
      <w:r/>
    </w:p>
    <w:p>
      <w:pPr>
        <w:ind w:firstLine="480"/>
        <w:keepLines w:val="0"/>
        <w:keepNext w:val="0"/>
        <w:pageBreakBefore w:val="0"/>
        <w:spacing w:line="360" w:lineRule="auto"/>
        <w:shd w:val="clear" w:color="auto" w:fill="auto"/>
        <w:widowControl w:val="off"/>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一、工程质量保修范围和内容</w:t>
      </w:r>
      <w:r/>
    </w:p>
    <w:p>
      <w:pPr>
        <w:ind w:firstLine="480"/>
        <w:keepLines w:val="0"/>
        <w:keepNext w:val="0"/>
        <w:pageBreakBefore w:val="0"/>
        <w:spacing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承包人在质量保修期内，按照有关法律规定和合同约定，承担工程质量保修责任。</w:t>
      </w:r>
      <w:r/>
    </w:p>
    <w:p>
      <w:pPr>
        <w:ind w:firstLine="480"/>
        <w:keepLines w:val="0"/>
        <w:keepNext w:val="0"/>
        <w:pageBreakBefore w:val="0"/>
        <w:spacing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具体保修的内容，双方约定如下：</w:t>
      </w:r>
      <w:r/>
    </w:p>
    <w:p>
      <w:pPr>
        <w:ind w:firstLine="480"/>
        <w:keepLines w:val="0"/>
        <w:keepNext w:val="0"/>
        <w:pageBreakBefore w:val="0"/>
        <w:spacing w:line="360" w:lineRule="auto"/>
        <w:shd w:val="clear" w:color="auto" w:fill="auto"/>
        <w:widowControl w:val="off"/>
        <w:rPr>
          <w:rFonts w:hint="eastAsia" w:ascii="宋体" w:hAnsi="宋体" w:eastAsia="宋体" w:cs="宋体"/>
          <w:color w:val="auto"/>
          <w:sz w:val="24"/>
          <w:szCs w:val="24"/>
          <w:highlight w:val="none"/>
          <w:u w:val="single"/>
        </w:rPr>
        <w:outlineLvl w:val="0"/>
      </w:pPr>
      <w:r>
        <w:rPr>
          <w:rFonts w:hint="eastAsia" w:ascii="宋体" w:hAnsi="宋体" w:eastAsia="宋体" w:cs="宋体"/>
          <w:color w:val="auto"/>
          <w:sz w:val="24"/>
          <w:szCs w:val="24"/>
          <w:highlight w:val="none"/>
          <w:u w:val="single"/>
        </w:rPr>
        <w:t xml:space="preserve">承包人实施的全部工程，详见工程量清单所含全部内容。</w:t>
      </w:r>
      <w:r/>
    </w:p>
    <w:p>
      <w:pPr>
        <w:ind w:firstLine="480"/>
        <w:keepLines w:val="0"/>
        <w:keepNext w:val="0"/>
        <w:pageBreakBefore w:val="0"/>
        <w:spacing w:line="360" w:lineRule="auto"/>
        <w:shd w:val="clear" w:color="auto" w:fill="auto"/>
        <w:widowControl w:val="off"/>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二、质量保修期</w:t>
      </w:r>
      <w:r/>
    </w:p>
    <w:p>
      <w:pPr>
        <w:ind w:firstLine="480"/>
        <w:keepLines w:val="0"/>
        <w:keepNext w:val="0"/>
        <w:pageBreakBefore w:val="0"/>
        <w:spacing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根据《建设工程质量管理条例》及有关规定，工程的质量保修期如下：</w:t>
      </w:r>
      <w:r/>
    </w:p>
    <w:p>
      <w:pPr>
        <w:ind w:firstLine="480"/>
        <w:keepLines w:val="0"/>
        <w:keepNext w:val="0"/>
        <w:pageBreakBefore w:val="0"/>
        <w:spacing w:line="360" w:lineRule="auto"/>
        <w:shd w:val="clear" w:color="auto" w:fill="auto"/>
        <w:widowControl w:val="off"/>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u w:val="single"/>
        </w:rPr>
        <w:t xml:space="preserve">本工程保修期为 2 年；质量保修期自竣工验收合格</w:t>
      </w:r>
      <w:r>
        <w:rPr>
          <w:rFonts w:hint="eastAsia" w:ascii="宋体" w:hAnsi="宋体" w:eastAsia="宋体" w:cs="宋体"/>
          <w:color w:val="auto"/>
          <w:sz w:val="24"/>
          <w:szCs w:val="24"/>
          <w:highlight w:val="none"/>
          <w:u w:val="single"/>
          <w:lang w:val="en-US" w:eastAsia="zh-CN"/>
        </w:rPr>
        <w:t xml:space="preserve">且</w:t>
      </w:r>
      <w:r>
        <w:rPr>
          <w:rFonts w:hint="eastAsia" w:ascii="宋体" w:hAnsi="宋体" w:eastAsia="宋体" w:cs="宋体"/>
          <w:color w:val="auto"/>
          <w:sz w:val="24"/>
          <w:szCs w:val="24"/>
          <w:highlight w:val="none"/>
          <w:u w:val="single"/>
        </w:rPr>
        <w:t xml:space="preserve">办理交付使用之日起计算 </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shd w:val="clear" w:color="auto" w:fill="auto"/>
        <w:widowControl w:val="off"/>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三、缺陷责任期</w:t>
      </w:r>
      <w:r/>
    </w:p>
    <w:p>
      <w:pPr>
        <w:ind w:firstLine="480"/>
        <w:keepLines w:val="0"/>
        <w:keepNext w:val="0"/>
        <w:pageBreakBefore w:val="0"/>
        <w:spacing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工程缺陷责任期为</w:t>
      </w:r>
      <w:r>
        <w:rPr>
          <w:rFonts w:hint="eastAsia" w:ascii="宋体" w:hAnsi="宋体" w:eastAsia="宋体" w:cs="宋体"/>
          <w:color w:val="auto"/>
          <w:sz w:val="24"/>
          <w:szCs w:val="24"/>
          <w:highlight w:val="none"/>
          <w:u w:val="single"/>
        </w:rPr>
        <w:t xml:space="preserve">24</w:t>
      </w:r>
      <w:r>
        <w:rPr>
          <w:rFonts w:hint="eastAsia" w:ascii="宋体" w:hAnsi="宋体" w:eastAsia="宋体" w:cs="宋体"/>
          <w:color w:val="auto"/>
          <w:sz w:val="24"/>
          <w:szCs w:val="24"/>
          <w:highlight w:val="none"/>
        </w:rPr>
        <w:t xml:space="preserve">个月，缺陷责任期自工程通过竣工验收之日起计算。单位工程先于全部工程进行验收，单位工程缺陷责任期自单位工程验收合格之日起算。</w:t>
      </w:r>
      <w:r/>
    </w:p>
    <w:p>
      <w:pPr>
        <w:ind w:firstLine="480"/>
        <w:keepLines w:val="0"/>
        <w:keepNext w:val="0"/>
        <w:pageBreakBefore w:val="0"/>
        <w:spacing w:line="360" w:lineRule="auto"/>
        <w:shd w:val="clear" w:color="auto" w:fill="auto"/>
        <w:widowControl w:val="off"/>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四、质量保修责任</w:t>
      </w:r>
      <w:r/>
    </w:p>
    <w:p>
      <w:pPr>
        <w:ind w:firstLine="480"/>
        <w:keepLines w:val="0"/>
        <w:keepNext w:val="0"/>
        <w:pageBreakBefore w:val="0"/>
        <w:spacing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属于保修范围、内容的项目，承包人应当在接到保修通知之日起7天内派人保修。承包人不在约定期限内派人保修的，发包人可以委托他人修理。</w:t>
      </w:r>
      <w:r/>
    </w:p>
    <w:p>
      <w:pPr>
        <w:ind w:firstLine="480"/>
        <w:keepLines w:val="0"/>
        <w:keepNext w:val="0"/>
        <w:pageBreakBefore w:val="0"/>
        <w:spacing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发生紧急事故需抢修的，承包人在接到事故通知后，应当立即到达事故现场抢修。</w:t>
      </w:r>
      <w:r/>
    </w:p>
    <w:p>
      <w:pPr>
        <w:ind w:firstLine="480"/>
        <w:keepLines w:val="0"/>
        <w:keepNext w:val="0"/>
        <w:pageBreakBefore w:val="0"/>
        <w:spacing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80"/>
        <w:keepLines w:val="0"/>
        <w:keepNext w:val="0"/>
        <w:pageBreakBefore w:val="0"/>
        <w:spacing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质量保修完成后，由发包人组织验收。</w:t>
      </w:r>
      <w:r/>
    </w:p>
    <w:p>
      <w:pPr>
        <w:ind w:firstLine="480"/>
        <w:keepLines w:val="0"/>
        <w:keepNext w:val="0"/>
        <w:pageBreakBefore w:val="0"/>
        <w:spacing w:line="360" w:lineRule="auto"/>
        <w:shd w:val="clear" w:color="auto" w:fill="auto"/>
        <w:widowControl w:val="off"/>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五、保修费用</w:t>
      </w:r>
      <w:r/>
    </w:p>
    <w:p>
      <w:pPr>
        <w:ind w:firstLine="480"/>
        <w:keepLines w:val="0"/>
        <w:keepNext w:val="0"/>
        <w:pageBreakBefore w:val="0"/>
        <w:spacing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保修费用由造成质量缺陷的责任方承担。</w:t>
      </w:r>
      <w:r/>
    </w:p>
    <w:p>
      <w:pPr>
        <w:numPr>
          <w:ilvl w:val="0"/>
          <w:numId w:val="0"/>
        </w:numPr>
        <w:ind w:firstLine="480"/>
        <w:jc w:val="left"/>
        <w:keepLines w:val="0"/>
        <w:keepNext w:val="0"/>
        <w:pageBreakBefore w:val="0"/>
        <w:spacing w:line="360" w:lineRule="auto"/>
        <w:shd w:val="clear" w:color="auto" w:fill="auto"/>
        <w:widowControl w:val="off"/>
        <w:rPr>
          <w:rFonts w:hint="eastAsia" w:ascii="宋体" w:hAnsi="宋体" w:eastAsia="宋体" w:cs="宋体"/>
          <w:color w:val="auto"/>
          <w:sz w:val="24"/>
          <w:szCs w:val="24"/>
          <w:highlight w:val="none"/>
        </w:rPr>
        <w:outlineLvl w:val="0"/>
      </w:pPr>
      <w:r>
        <w:rPr>
          <w:rFonts w:hint="eastAsia" w:ascii="宋体" w:hAnsi="宋体" w:eastAsia="宋体" w:cs="宋体"/>
          <w:b w:val="0"/>
          <w:bCs/>
          <w:color w:val="auto"/>
          <w:sz w:val="24"/>
          <w:szCs w:val="24"/>
          <w:highlight w:val="none"/>
          <w:lang w:val="en-US" w:eastAsia="zh-CN"/>
        </w:rPr>
        <w:t xml:space="preserve">六、</w:t>
      </w:r>
      <w:r>
        <w:rPr>
          <w:rFonts w:hint="eastAsia" w:ascii="宋体" w:hAnsi="宋体" w:eastAsia="宋体" w:cs="宋体"/>
          <w:b w:val="0"/>
          <w:bCs/>
          <w:color w:val="auto"/>
          <w:sz w:val="24"/>
          <w:szCs w:val="24"/>
          <w:highlight w:val="none"/>
        </w:rPr>
        <w:t xml:space="preserve">双</w:t>
      </w:r>
      <w:r>
        <w:rPr>
          <w:rFonts w:hint="eastAsia" w:ascii="宋体" w:hAnsi="宋体" w:eastAsia="宋体" w:cs="宋体"/>
          <w:color w:val="auto"/>
          <w:sz w:val="24"/>
          <w:szCs w:val="24"/>
          <w:highlight w:val="none"/>
        </w:rPr>
        <w:t xml:space="preserve">方约定的其他工程质量保修事项：</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承包人在竣工交付后落实专人负责向发包人办理交付手续，在保修期内承包人明确专人服务。承包人在竣工交付的同时以公函形式明确人员、联系方法、通讯地址，在保修期内如有变化，承包人应以公函形式告知发包人，联系不上、保修函被退回的情况均视为已通知到承包人。</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（2）如因承包人的责任，造成直接或间接损失，由承包人负责赔偿。 </w:t>
      </w:r>
      <w:r/>
    </w:p>
    <w:p>
      <w:pPr>
        <w:ind w:firstLine="480"/>
        <w:keepLines w:val="0"/>
        <w:keepNext w:val="0"/>
        <w:pageBreakBefore w:val="0"/>
        <w:spacing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工程质量保修书由发包人、承包人在工程竣工验收前共同签署，作为施工合同附件，其有效期限至保修期满。</w:t>
      </w:r>
      <w:r/>
    </w:p>
    <w:p>
      <w:pPr>
        <w:ind w:firstLine="420"/>
        <w:spacing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发包人(公章)：</w:t>
      </w:r>
      <w:r>
        <w:rPr>
          <w:rFonts w:hint="eastAsia" w:ascii="宋体" w:hAnsi="宋体" w:eastAsia="宋体" w:cs="宋体"/>
          <w:color w:val="auto"/>
          <w:sz w:val="24"/>
          <w:szCs w:val="24"/>
          <w:highlight w:val="none"/>
          <w:u w:val="none"/>
        </w:rPr>
        <w:t xml:space="preserve">             </w:t>
      </w:r>
      <w:r>
        <w:rPr>
          <w:rFonts w:hint="eastAsia" w:ascii="宋体" w:hAnsi="宋体" w:eastAsia="宋体" w:cs="宋体"/>
          <w:color w:val="auto"/>
          <w:sz w:val="24"/>
          <w:szCs w:val="24"/>
          <w:highlight w:val="none"/>
        </w:rPr>
        <w:t xml:space="preserve">          承包人(公章)： </w:t>
      </w:r>
      <w:r>
        <w:rPr>
          <w:rFonts w:hint="eastAsia" w:ascii="宋体" w:hAnsi="宋体" w:eastAsia="宋体" w:cs="宋体"/>
          <w:color w:val="auto"/>
          <w:sz w:val="24"/>
          <w:szCs w:val="24"/>
          <w:highlight w:val="none"/>
          <w:u w:val="single"/>
        </w:rPr>
        <w:t xml:space="preserve">             </w:t>
      </w:r>
      <w:r/>
    </w:p>
    <w:p>
      <w:pPr>
        <w:ind w:firstLine="480"/>
        <w:spacing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w:t>
      </w:r>
      <w:r>
        <w:rPr>
          <w:rFonts w:hint="eastAsia" w:ascii="宋体" w:hAnsi="宋体" w:eastAsia="宋体" w:cs="宋体"/>
          <w:color w:val="auto"/>
          <w:sz w:val="24"/>
          <w:szCs w:val="24"/>
          <w:highlight w:val="none"/>
          <w:u w:val="none"/>
        </w:rPr>
        <w:t xml:space="preserve">               </w:t>
      </w:r>
      <w:r>
        <w:rPr>
          <w:rFonts w:hint="eastAsia" w:ascii="宋体" w:hAnsi="宋体" w:eastAsia="宋体" w:cs="宋体"/>
          <w:color w:val="auto"/>
          <w:sz w:val="24"/>
          <w:szCs w:val="24"/>
          <w:highlight w:val="none"/>
          <w:u w:val="none"/>
        </w:rPr>
        <w:t xml:space="preserve">    </w:t>
      </w:r>
      <w:r>
        <w:rPr>
          <w:rFonts w:hint="eastAsia" w:ascii="宋体" w:hAnsi="宋体" w:eastAsia="宋体" w:cs="宋体"/>
          <w:color w:val="auto"/>
          <w:sz w:val="24"/>
          <w:szCs w:val="24"/>
          <w:highlight w:val="none"/>
        </w:rPr>
        <w:t xml:space="preserve">          地  址：</w:t>
      </w:r>
      <w:r>
        <w:rPr>
          <w:rFonts w:hint="eastAsia" w:ascii="宋体" w:hAnsi="宋体" w:eastAsia="宋体" w:cs="宋体"/>
          <w:color w:val="auto"/>
          <w:sz w:val="24"/>
          <w:szCs w:val="24"/>
          <w:highlight w:val="none"/>
          <w:u w:val="single"/>
        </w:rPr>
        <w:t xml:space="preserve">      </w:t>
      </w:r>
      <w:r/>
    </w:p>
    <w:p>
      <w:pPr>
        <w:ind w:firstLine="480"/>
        <w:spacing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法定代表人(签字)：</w:t>
      </w:r>
      <w:r>
        <w:rPr>
          <w:rFonts w:hint="eastAsia" w:ascii="宋体" w:hAnsi="宋体" w:eastAsia="宋体" w:cs="宋体"/>
          <w:color w:val="auto"/>
          <w:sz w:val="24"/>
          <w:szCs w:val="24"/>
          <w:highlight w:val="none"/>
          <w:u w:val="none"/>
        </w:rPr>
        <w:t xml:space="preserve">         </w:t>
      </w:r>
      <w:r>
        <w:rPr>
          <w:rFonts w:hint="eastAsia" w:ascii="宋体" w:hAnsi="宋体" w:eastAsia="宋体" w:cs="宋体"/>
          <w:color w:val="auto"/>
          <w:sz w:val="24"/>
          <w:szCs w:val="24"/>
          <w:highlight w:val="none"/>
        </w:rPr>
        <w:t xml:space="preserve">          法定代表人(签字)：</w:t>
      </w:r>
      <w:r>
        <w:rPr>
          <w:rFonts w:hint="eastAsia" w:ascii="宋体" w:hAnsi="宋体" w:eastAsia="宋体" w:cs="宋体"/>
          <w:color w:val="auto"/>
          <w:sz w:val="24"/>
          <w:szCs w:val="24"/>
          <w:highlight w:val="none"/>
          <w:u w:val="single"/>
        </w:rPr>
        <w:t xml:space="preserve">               </w:t>
      </w:r>
      <w:r/>
    </w:p>
    <w:p>
      <w:pPr>
        <w:ind w:firstLine="480"/>
        <w:spacing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委托代理人(签字)：</w:t>
      </w:r>
      <w:r>
        <w:rPr>
          <w:rFonts w:hint="eastAsia" w:ascii="宋体" w:hAnsi="宋体" w:eastAsia="宋体" w:cs="宋体"/>
          <w:color w:val="auto"/>
          <w:sz w:val="24"/>
          <w:szCs w:val="24"/>
          <w:highlight w:val="none"/>
          <w:u w:val="none"/>
        </w:rPr>
        <w:t xml:space="preserve">         </w:t>
      </w:r>
      <w:r>
        <w:rPr>
          <w:rFonts w:hint="eastAsia" w:ascii="宋体" w:hAnsi="宋体" w:eastAsia="宋体" w:cs="宋体"/>
          <w:color w:val="auto"/>
          <w:sz w:val="24"/>
          <w:szCs w:val="24"/>
          <w:highlight w:val="none"/>
        </w:rPr>
        <w:t xml:space="preserve">          委托代理人(签字)：</w:t>
      </w:r>
      <w:r>
        <w:rPr>
          <w:rFonts w:hint="eastAsia" w:ascii="宋体" w:hAnsi="宋体" w:eastAsia="宋体" w:cs="宋体"/>
          <w:color w:val="auto"/>
          <w:sz w:val="24"/>
          <w:szCs w:val="24"/>
          <w:highlight w:val="none"/>
          <w:u w:val="single"/>
        </w:rPr>
        <w:t xml:space="preserve">       </w:t>
      </w:r>
      <w:r/>
    </w:p>
    <w:p>
      <w:pPr>
        <w:ind w:firstLine="480"/>
        <w:spacing w:line="360" w:lineRule="auto"/>
        <w:shd w:val="clear" w:color="auto" w:fill="auto"/>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电  话：</w:t>
      </w:r>
      <w:r>
        <w:rPr>
          <w:rFonts w:hint="eastAsia" w:ascii="宋体" w:hAnsi="宋体" w:eastAsia="宋体" w:cs="宋体"/>
          <w:color w:val="auto"/>
          <w:sz w:val="24"/>
          <w:szCs w:val="24"/>
          <w:highlight w:val="none"/>
          <w:u w:val="none"/>
        </w:rPr>
        <w:t xml:space="preserve">            </w:t>
      </w:r>
      <w:r>
        <w:rPr>
          <w:rFonts w:hint="eastAsia" w:ascii="宋体" w:hAnsi="宋体" w:eastAsia="宋体" w:cs="宋体"/>
          <w:color w:val="auto"/>
          <w:sz w:val="24"/>
          <w:szCs w:val="24"/>
          <w:highlight w:val="none"/>
          <w:u w:val="none"/>
        </w:rPr>
        <w:t xml:space="preserve">       </w:t>
      </w:r>
      <w:r>
        <w:rPr>
          <w:rFonts w:hint="eastAsia" w:ascii="宋体" w:hAnsi="宋体" w:eastAsia="宋体" w:cs="宋体"/>
          <w:color w:val="auto"/>
          <w:sz w:val="24"/>
          <w:szCs w:val="24"/>
          <w:highlight w:val="none"/>
          <w:u w:val="none"/>
        </w:rPr>
        <w:t xml:space="preserve">          电  话：</w:t>
      </w:r>
      <w:r>
        <w:rPr>
          <w:rFonts w:hint="eastAsia" w:ascii="宋体" w:hAnsi="宋体" w:eastAsia="宋体" w:cs="宋体"/>
          <w:color w:val="auto"/>
          <w:sz w:val="24"/>
          <w:szCs w:val="24"/>
          <w:highlight w:val="none"/>
          <w:u w:val="none"/>
        </w:rPr>
        <w:t xml:space="preserve">     </w:t>
      </w:r>
      <w:r>
        <w:rPr>
          <w:u w:val="none"/>
        </w:rPr>
      </w:r>
    </w:p>
    <w:p>
      <w:pPr>
        <w:ind w:firstLine="480"/>
        <w:spacing w:line="360" w:lineRule="auto"/>
        <w:shd w:val="clear" w:color="auto" w:fill="auto"/>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传  真：</w:t>
      </w:r>
      <w:r>
        <w:rPr>
          <w:rFonts w:hint="eastAsia" w:ascii="宋体" w:hAnsi="宋体" w:eastAsia="宋体" w:cs="宋体"/>
          <w:color w:val="auto"/>
          <w:sz w:val="24"/>
          <w:szCs w:val="24"/>
          <w:highlight w:val="none"/>
          <w:u w:val="none"/>
        </w:rPr>
        <w:t xml:space="preserve">            </w:t>
      </w:r>
      <w:r>
        <w:rPr>
          <w:rFonts w:hint="eastAsia" w:ascii="宋体" w:hAnsi="宋体" w:eastAsia="宋体" w:cs="宋体"/>
          <w:color w:val="auto"/>
          <w:sz w:val="24"/>
          <w:szCs w:val="24"/>
          <w:highlight w:val="none"/>
          <w:u w:val="none"/>
        </w:rPr>
        <w:t xml:space="preserve">       </w:t>
      </w:r>
      <w:r>
        <w:rPr>
          <w:rFonts w:hint="eastAsia" w:ascii="宋体" w:hAnsi="宋体" w:eastAsia="宋体" w:cs="宋体"/>
          <w:color w:val="auto"/>
          <w:sz w:val="24"/>
          <w:szCs w:val="24"/>
          <w:highlight w:val="none"/>
          <w:u w:val="none"/>
        </w:rPr>
        <w:t xml:space="preserve">          传  真：</w:t>
      </w:r>
      <w:r>
        <w:rPr>
          <w:rFonts w:hint="eastAsia" w:ascii="宋体" w:hAnsi="宋体" w:eastAsia="宋体" w:cs="宋体"/>
          <w:color w:val="auto"/>
          <w:sz w:val="24"/>
          <w:szCs w:val="24"/>
          <w:highlight w:val="none"/>
          <w:u w:val="none"/>
        </w:rPr>
        <w:t xml:space="preserve">   </w:t>
      </w:r>
      <w:r>
        <w:rPr>
          <w:u w:val="none"/>
        </w:rPr>
      </w:r>
    </w:p>
    <w:p>
      <w:pPr>
        <w:ind w:firstLine="480"/>
        <w:spacing w:line="360" w:lineRule="auto"/>
        <w:shd w:val="clear" w:color="auto" w:fill="auto"/>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开户银行：</w:t>
      </w:r>
      <w:r>
        <w:rPr>
          <w:rFonts w:hint="eastAsia" w:ascii="宋体" w:hAnsi="宋体" w:eastAsia="宋体" w:cs="宋体"/>
          <w:color w:val="auto"/>
          <w:sz w:val="24"/>
          <w:szCs w:val="24"/>
          <w:highlight w:val="none"/>
          <w:u w:val="none"/>
        </w:rPr>
        <w:t xml:space="preserve">            </w:t>
      </w:r>
      <w:r>
        <w:rPr>
          <w:rFonts w:hint="eastAsia" w:ascii="宋体" w:hAnsi="宋体" w:eastAsia="宋体" w:cs="宋体"/>
          <w:color w:val="auto"/>
          <w:sz w:val="24"/>
          <w:szCs w:val="24"/>
          <w:highlight w:val="none"/>
          <w:u w:val="none"/>
        </w:rPr>
        <w:t xml:space="preserve">     </w:t>
      </w:r>
      <w:r>
        <w:rPr>
          <w:rFonts w:hint="eastAsia" w:ascii="宋体" w:hAnsi="宋体" w:eastAsia="宋体" w:cs="宋体"/>
          <w:color w:val="auto"/>
          <w:sz w:val="24"/>
          <w:szCs w:val="24"/>
          <w:highlight w:val="none"/>
          <w:u w:val="none"/>
        </w:rPr>
        <w:t xml:space="preserve">          开户银行：</w:t>
      </w:r>
      <w:r>
        <w:rPr>
          <w:rFonts w:hint="eastAsia" w:ascii="宋体" w:hAnsi="宋体" w:eastAsia="宋体" w:cs="宋体"/>
          <w:color w:val="auto"/>
          <w:sz w:val="24"/>
          <w:szCs w:val="24"/>
          <w:highlight w:val="none"/>
          <w:u w:val="none"/>
        </w:rPr>
        <w:t xml:space="preserve">   </w:t>
      </w:r>
      <w:r>
        <w:rPr>
          <w:u w:val="none"/>
        </w:rPr>
      </w:r>
    </w:p>
    <w:p>
      <w:pPr>
        <w:ind w:firstLine="480"/>
        <w:spacing w:line="360" w:lineRule="auto"/>
        <w:shd w:val="clear" w:color="auto" w:fill="auto"/>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账  号：</w:t>
      </w:r>
      <w:r>
        <w:rPr>
          <w:rFonts w:hint="eastAsia" w:ascii="宋体" w:hAnsi="宋体" w:eastAsia="宋体" w:cs="宋体"/>
          <w:color w:val="auto"/>
          <w:sz w:val="24"/>
          <w:szCs w:val="24"/>
          <w:highlight w:val="none"/>
          <w:u w:val="none"/>
        </w:rPr>
        <w:t xml:space="preserve">            </w:t>
      </w:r>
      <w:r>
        <w:rPr>
          <w:rFonts w:hint="eastAsia" w:ascii="宋体" w:hAnsi="宋体" w:eastAsia="宋体" w:cs="宋体"/>
          <w:color w:val="auto"/>
          <w:sz w:val="24"/>
          <w:szCs w:val="24"/>
          <w:highlight w:val="none"/>
          <w:u w:val="none"/>
        </w:rPr>
        <w:t xml:space="preserve">       </w:t>
      </w:r>
      <w:r>
        <w:rPr>
          <w:rFonts w:hint="eastAsia" w:ascii="宋体" w:hAnsi="宋体" w:eastAsia="宋体" w:cs="宋体"/>
          <w:color w:val="auto"/>
          <w:sz w:val="24"/>
          <w:szCs w:val="24"/>
          <w:highlight w:val="none"/>
          <w:u w:val="none"/>
        </w:rPr>
        <w:t xml:space="preserve">          账  号：</w:t>
      </w:r>
      <w:r>
        <w:rPr>
          <w:rFonts w:hint="eastAsia" w:ascii="宋体" w:hAnsi="宋体" w:eastAsia="宋体" w:cs="宋体"/>
          <w:color w:val="auto"/>
          <w:sz w:val="24"/>
          <w:szCs w:val="24"/>
          <w:highlight w:val="none"/>
          <w:u w:val="none"/>
        </w:rPr>
        <w:t xml:space="preserve">     </w:t>
      </w:r>
      <w:r>
        <w:rPr>
          <w:u w:val="none"/>
        </w:rPr>
      </w:r>
    </w:p>
    <w:p>
      <w:pPr>
        <w:ind w:firstLine="480"/>
        <w:spacing w:line="360" w:lineRule="auto"/>
        <w:shd w:val="clear" w:color="auto" w:fill="auto"/>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邮政编码：</w:t>
      </w:r>
      <w:r>
        <w:rPr>
          <w:rFonts w:hint="eastAsia" w:ascii="宋体" w:hAnsi="宋体" w:eastAsia="宋体" w:cs="宋体"/>
          <w:color w:val="auto"/>
          <w:sz w:val="24"/>
          <w:szCs w:val="24"/>
          <w:highlight w:val="none"/>
          <w:u w:val="none"/>
        </w:rPr>
        <w:t xml:space="preserve">            </w:t>
      </w:r>
      <w:r>
        <w:rPr>
          <w:rFonts w:hint="eastAsia" w:ascii="宋体" w:hAnsi="宋体" w:eastAsia="宋体" w:cs="宋体"/>
          <w:color w:val="auto"/>
          <w:sz w:val="24"/>
          <w:szCs w:val="24"/>
          <w:highlight w:val="none"/>
          <w:u w:val="none"/>
        </w:rPr>
        <w:t xml:space="preserve">     </w:t>
      </w:r>
      <w:r>
        <w:rPr>
          <w:rFonts w:hint="eastAsia" w:ascii="宋体" w:hAnsi="宋体" w:eastAsia="宋体" w:cs="宋体"/>
          <w:color w:val="auto"/>
          <w:sz w:val="24"/>
          <w:szCs w:val="24"/>
          <w:highlight w:val="none"/>
          <w:u w:val="none"/>
        </w:rPr>
        <w:t xml:space="preserve">          邮政编码：</w:t>
      </w:r>
      <w:r>
        <w:rPr>
          <w:rFonts w:hint="eastAsia" w:ascii="宋体" w:hAnsi="宋体" w:eastAsia="宋体" w:cs="宋体"/>
          <w:color w:val="auto"/>
          <w:sz w:val="24"/>
          <w:szCs w:val="24"/>
          <w:highlight w:val="none"/>
          <w:u w:val="none"/>
        </w:rPr>
        <w:t xml:space="preserve">   </w:t>
      </w:r>
      <w:r>
        <w:rPr>
          <w:u w:val="none"/>
        </w:rPr>
      </w:r>
    </w:p>
    <w:p>
      <w:pPr>
        <w:spacing w:line="440" w:lineRule="exact"/>
        <w:rPr>
          <w:rFonts w:hint="eastAsia" w:ascii="宋体" w:hAnsi="宋体" w:eastAsia="宋体" w:cs="宋体"/>
          <w:sz w:val="30"/>
          <w:szCs w:val="30"/>
        </w:rPr>
      </w:pPr>
      <w:r>
        <w:rPr>
          <w:rFonts w:hint="eastAsia" w:ascii="宋体" w:hAnsi="宋体" w:eastAsia="宋体" w:cs="宋体"/>
          <w:sz w:val="30"/>
          <w:szCs w:val="30"/>
        </w:rPr>
      </w:r>
      <w:r/>
    </w:p>
    <w:p>
      <w:pPr>
        <w:pStyle w:val="1018"/>
        <w:rPr>
          <w:rFonts w:hint="eastAsia" w:ascii="宋体" w:hAnsi="宋体" w:eastAsia="宋体" w:cs="宋体"/>
        </w:rPr>
      </w:pPr>
      <w:r>
        <w:rPr>
          <w:rFonts w:hint="eastAsia" w:ascii="宋体" w:hAnsi="宋体" w:eastAsia="宋体" w:cs="宋体"/>
        </w:rPr>
      </w:r>
      <w:r/>
    </w:p>
    <w:p>
      <w:pPr>
        <w:spacing w:line="440" w:lineRule="exact"/>
        <w:shd w:val="clear" w:color="auto" w:fill="auto"/>
        <w:rPr>
          <w:rFonts w:hint="eastAsia" w:ascii="宋体" w:hAnsi="宋体" w:eastAsia="宋体" w:cs="宋体"/>
          <w:color w:val="auto"/>
          <w:szCs w:val="21"/>
          <w:highlight w:val="none"/>
        </w:rPr>
        <w:sectPr>
          <w:footnotePr/>
          <w:endnotePr/>
          <w:type w:val="nextPage"/>
          <w:pgSz w:w="11907" w:h="16840" w:orient="portrait"/>
          <w:pgMar w:top="1440" w:right="1559" w:bottom="1440" w:left="1560" w:header="851" w:footer="851" w:gutter="0"/>
          <w:cols w:num="1" w:sep="0" w:space="720" w:equalWidth="1"/>
          <w:docGrid w:linePitch="360"/>
        </w:sectPr>
      </w:pPr>
      <w:r>
        <w:rPr>
          <w:rFonts w:hint="eastAsia" w:ascii="宋体" w:hAnsi="宋体" w:eastAsia="宋体" w:cs="宋体"/>
          <w:color w:val="auto"/>
          <w:szCs w:val="21"/>
          <w:highlight w:val="none"/>
        </w:rPr>
      </w:r>
      <w:r/>
    </w:p>
    <w:p>
      <w:pPr>
        <w:spacing w:line="440" w:lineRule="exact"/>
        <w:shd w:val="clear" w:color="auto" w:fil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附件4：</w:t>
      </w:r>
      <w:r/>
    </w:p>
    <w:p>
      <w:pPr>
        <w:jc w:val="center"/>
        <w:spacing w:before="120" w:after="120" w:line="440" w:lineRule="exact"/>
        <w:shd w:val="clear" w:color="auto" w:fil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主要建设工程文件目录</w:t>
      </w:r>
      <w:r/>
    </w:p>
    <w:tbl>
      <w:tblPr>
        <w:tblStyle w:val="991"/>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953"/>
        <w:gridCol w:w="1276"/>
        <w:gridCol w:w="1450"/>
        <w:gridCol w:w="1243"/>
        <w:gridCol w:w="1450"/>
        <w:gridCol w:w="1667"/>
      </w:tblGrid>
      <w:tr>
        <w:trPr>
          <w:jc w:val="center"/>
        </w:trPr>
        <w:tc>
          <w:tcPr>
            <w:tcBorders>
              <w:top w:val="single" w:color="auto" w:sz="12" w:space="0"/>
              <w:bottom w:val="single" w:color="auto" w:sz="6" w:space="0"/>
            </w:tcBorders>
            <w:tcW w:w="1953" w:type="dxa"/>
            <w:vAlign w:val="center"/>
            <w:textDirection w:val="lrTb"/>
            <w:noWrap w:val="false"/>
          </w:tcPr>
          <w:p>
            <w:pPr>
              <w:pStyle w:val="998"/>
              <w:ind w:left="63" w:right="63"/>
              <w:keepNext/>
              <w:spacing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文件名称</w:t>
            </w:r>
            <w:r/>
          </w:p>
        </w:tc>
        <w:tc>
          <w:tcPr>
            <w:tcBorders>
              <w:top w:val="single" w:color="auto" w:sz="12" w:space="0"/>
              <w:bottom w:val="single" w:color="auto" w:sz="6" w:space="0"/>
            </w:tcBorders>
            <w:tcW w:w="1276" w:type="dxa"/>
            <w:vAlign w:val="center"/>
            <w:textDirection w:val="lrTb"/>
            <w:noWrap w:val="false"/>
          </w:tcPr>
          <w:p>
            <w:pPr>
              <w:pStyle w:val="998"/>
              <w:ind w:left="63" w:right="63"/>
              <w:keepNext/>
              <w:spacing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套数</w:t>
            </w:r>
            <w:r/>
          </w:p>
        </w:tc>
        <w:tc>
          <w:tcPr>
            <w:tcBorders>
              <w:top w:val="single" w:color="auto" w:sz="12" w:space="0"/>
              <w:bottom w:val="single" w:color="auto" w:sz="6" w:space="0"/>
            </w:tcBorders>
            <w:tcW w:w="1450" w:type="dxa"/>
            <w:vAlign w:val="center"/>
            <w:textDirection w:val="lrTb"/>
            <w:noWrap w:val="false"/>
          </w:tcPr>
          <w:p>
            <w:pPr>
              <w:pStyle w:val="998"/>
              <w:ind w:left="63" w:right="63"/>
              <w:keepNext/>
              <w:spacing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费用（元）</w:t>
            </w:r>
            <w:r/>
          </w:p>
        </w:tc>
        <w:tc>
          <w:tcPr>
            <w:tcBorders>
              <w:top w:val="single" w:color="auto" w:sz="12" w:space="0"/>
              <w:bottom w:val="single" w:color="auto" w:sz="6" w:space="0"/>
            </w:tcBorders>
            <w:tcW w:w="1243" w:type="dxa"/>
            <w:vAlign w:val="center"/>
            <w:textDirection w:val="lrTb"/>
            <w:noWrap w:val="false"/>
          </w:tcPr>
          <w:p>
            <w:pPr>
              <w:pStyle w:val="998"/>
              <w:ind w:left="63" w:right="63"/>
              <w:keepNext/>
              <w:spacing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质量</w:t>
            </w:r>
            <w:r/>
          </w:p>
        </w:tc>
        <w:tc>
          <w:tcPr>
            <w:tcBorders>
              <w:top w:val="single" w:color="auto" w:sz="12" w:space="0"/>
              <w:bottom w:val="single" w:color="auto" w:sz="6" w:space="0"/>
            </w:tcBorders>
            <w:tcW w:w="1450" w:type="dxa"/>
            <w:vAlign w:val="top"/>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移交时间</w:t>
            </w:r>
            <w:r/>
          </w:p>
        </w:tc>
        <w:tc>
          <w:tcPr>
            <w:tcBorders>
              <w:top w:val="single" w:color="auto" w:sz="12" w:space="0"/>
              <w:bottom w:val="single" w:color="auto" w:sz="6" w:space="0"/>
            </w:tcBorders>
            <w:tcW w:w="1667" w:type="dxa"/>
            <w:vAlign w:val="top"/>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责任人</w:t>
            </w:r>
            <w:r/>
          </w:p>
        </w:tc>
      </w:tr>
      <w:tr>
        <w:trPr>
          <w:jc w:val="center"/>
          <w:trHeight w:val="567"/>
        </w:trPr>
        <w:tc>
          <w:tcPr>
            <w:tcBorders>
              <w:top w:val="single" w:color="auto" w:sz="6" w:space="0"/>
              <w:bottom w:val="single" w:color="auto" w:sz="6" w:space="0"/>
            </w:tcBorders>
            <w:tcW w:w="1953" w:type="dxa"/>
            <w:vAlign w:val="center"/>
            <w:textDirection w:val="lrTb"/>
            <w:noWrap w:val="false"/>
          </w:tcPr>
          <w:p>
            <w:pPr>
              <w:pStyle w:val="998"/>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Borders>
              <w:top w:val="single" w:color="auto" w:sz="6" w:space="0"/>
              <w:bottom w:val="single" w:color="auto" w:sz="6" w:space="0"/>
            </w:tcBorders>
            <w:tcW w:w="1276" w:type="dxa"/>
            <w:vAlign w:val="center"/>
            <w:textDirection w:val="lrTb"/>
            <w:noWrap w:val="false"/>
          </w:tcPr>
          <w:p>
            <w:pPr>
              <w:pStyle w:val="998"/>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Borders>
              <w:top w:val="single" w:color="auto" w:sz="6" w:space="0"/>
              <w:bottom w:val="single" w:color="auto" w:sz="6" w:space="0"/>
            </w:tcBorders>
            <w:tcW w:w="1450" w:type="dxa"/>
            <w:vAlign w:val="center"/>
            <w:textDirection w:val="lrTb"/>
            <w:noWrap w:val="false"/>
          </w:tcPr>
          <w:p>
            <w:pPr>
              <w:pStyle w:val="998"/>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Borders>
              <w:top w:val="single" w:color="auto" w:sz="6" w:space="0"/>
              <w:bottom w:val="single" w:color="auto" w:sz="6" w:space="0"/>
            </w:tcBorders>
            <w:tcW w:w="1243" w:type="dxa"/>
            <w:vAlign w:val="center"/>
            <w:textDirection w:val="lrTb"/>
            <w:noWrap w:val="false"/>
          </w:tcPr>
          <w:p>
            <w:pPr>
              <w:pStyle w:val="998"/>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Borders>
              <w:top w:val="single" w:color="auto" w:sz="6" w:space="0"/>
              <w:bottom w:val="single" w:color="auto" w:sz="6" w:space="0"/>
            </w:tcBorders>
            <w:tcW w:w="1450" w:type="dxa"/>
            <w:vAlign w:val="center"/>
            <w:textDirection w:val="lrTb"/>
            <w:noWrap w:val="false"/>
          </w:tcPr>
          <w:p>
            <w:pPr>
              <w:pStyle w:val="998"/>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Borders>
              <w:top w:val="single" w:color="auto" w:sz="6" w:space="0"/>
              <w:bottom w:val="single" w:color="auto" w:sz="6" w:space="0"/>
            </w:tcBorders>
            <w:tcW w:w="1667" w:type="dxa"/>
            <w:vAlign w:val="center"/>
            <w:textDirection w:val="lrTb"/>
            <w:noWrap w:val="false"/>
          </w:tcPr>
          <w:p>
            <w:pPr>
              <w:pStyle w:val="998"/>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r>
      <w:tr>
        <w:trPr>
          <w:jc w:val="center"/>
          <w:trHeight w:val="567"/>
        </w:trPr>
        <w:tc>
          <w:tcPr>
            <w:tcBorders>
              <w:top w:val="none" w:color="000000" w:sz="4" w:space="0"/>
            </w:tcBorders>
            <w:tcW w:w="1953" w:type="dxa"/>
            <w:vAlign w:val="center"/>
            <w:textDirection w:val="lrTb"/>
            <w:noWrap w:val="false"/>
          </w:tcPr>
          <w:p>
            <w:pPr>
              <w:pStyle w:val="998"/>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Borders>
              <w:top w:val="none" w:color="000000" w:sz="4" w:space="0"/>
            </w:tcBorders>
            <w:tcW w:w="1276" w:type="dxa"/>
            <w:vAlign w:val="center"/>
            <w:textDirection w:val="lrTb"/>
            <w:noWrap w:val="false"/>
          </w:tcPr>
          <w:p>
            <w:pPr>
              <w:pStyle w:val="998"/>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Borders>
              <w:top w:val="none" w:color="000000" w:sz="4" w:space="0"/>
            </w:tcBorders>
            <w:tcW w:w="1450" w:type="dxa"/>
            <w:vAlign w:val="center"/>
            <w:textDirection w:val="lrTb"/>
            <w:noWrap w:val="false"/>
          </w:tcPr>
          <w:p>
            <w:pPr>
              <w:pStyle w:val="998"/>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Borders>
              <w:top w:val="none" w:color="000000" w:sz="4" w:space="0"/>
            </w:tcBorders>
            <w:tcW w:w="1243" w:type="dxa"/>
            <w:vAlign w:val="center"/>
            <w:textDirection w:val="lrTb"/>
            <w:noWrap w:val="false"/>
          </w:tcPr>
          <w:p>
            <w:pPr>
              <w:pStyle w:val="998"/>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Borders>
              <w:top w:val="none" w:color="000000" w:sz="4" w:space="0"/>
            </w:tcBorders>
            <w:tcW w:w="1450" w:type="dxa"/>
            <w:vAlign w:val="center"/>
            <w:textDirection w:val="lrTb"/>
            <w:noWrap w:val="false"/>
          </w:tcPr>
          <w:p>
            <w:pPr>
              <w:pStyle w:val="998"/>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Borders>
              <w:top w:val="none" w:color="000000" w:sz="4" w:space="0"/>
            </w:tcBorders>
            <w:tcW w:w="1667" w:type="dxa"/>
            <w:vAlign w:val="center"/>
            <w:textDirection w:val="lrTb"/>
            <w:noWrap w:val="false"/>
          </w:tcPr>
          <w:p>
            <w:pPr>
              <w:pStyle w:val="998"/>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r>
      <w:tr>
        <w:trPr>
          <w:jc w:val="center"/>
          <w:trHeight w:val="567"/>
        </w:trPr>
        <w:tc>
          <w:tcPr>
            <w:tcW w:w="1953" w:type="dxa"/>
            <w:vAlign w:val="center"/>
            <w:textDirection w:val="lrTb"/>
            <w:noWrap w:val="false"/>
          </w:tcPr>
          <w:p>
            <w:pPr>
              <w:pStyle w:val="998"/>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W w:w="1276" w:type="dxa"/>
            <w:vAlign w:val="center"/>
            <w:textDirection w:val="lrTb"/>
            <w:noWrap w:val="false"/>
          </w:tcPr>
          <w:p>
            <w:pPr>
              <w:pStyle w:val="998"/>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W w:w="1450" w:type="dxa"/>
            <w:vAlign w:val="center"/>
            <w:textDirection w:val="lrTb"/>
            <w:noWrap w:val="false"/>
          </w:tcPr>
          <w:p>
            <w:pPr>
              <w:pStyle w:val="998"/>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W w:w="1243" w:type="dxa"/>
            <w:vAlign w:val="center"/>
            <w:textDirection w:val="lrTb"/>
            <w:noWrap w:val="false"/>
          </w:tcPr>
          <w:p>
            <w:pPr>
              <w:pStyle w:val="998"/>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W w:w="1450" w:type="dxa"/>
            <w:vAlign w:val="center"/>
            <w:textDirection w:val="lrTb"/>
            <w:noWrap w:val="false"/>
          </w:tcPr>
          <w:p>
            <w:pPr>
              <w:pStyle w:val="998"/>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W w:w="1667" w:type="dxa"/>
            <w:vAlign w:val="center"/>
            <w:textDirection w:val="lrTb"/>
            <w:noWrap w:val="false"/>
          </w:tcPr>
          <w:p>
            <w:pPr>
              <w:pStyle w:val="998"/>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r>
      <w:tr>
        <w:trPr>
          <w:jc w:val="center"/>
          <w:trHeight w:val="567"/>
        </w:trPr>
        <w:tc>
          <w:tcPr>
            <w:tcW w:w="1953" w:type="dxa"/>
            <w:vAlign w:val="center"/>
            <w:textDirection w:val="lrTb"/>
            <w:noWrap w:val="false"/>
          </w:tcPr>
          <w:p>
            <w:pPr>
              <w:pStyle w:val="998"/>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W w:w="1276" w:type="dxa"/>
            <w:vAlign w:val="center"/>
            <w:textDirection w:val="lrTb"/>
            <w:noWrap w:val="false"/>
          </w:tcPr>
          <w:p>
            <w:pPr>
              <w:pStyle w:val="998"/>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W w:w="1450" w:type="dxa"/>
            <w:vAlign w:val="center"/>
            <w:textDirection w:val="lrTb"/>
            <w:noWrap w:val="false"/>
          </w:tcPr>
          <w:p>
            <w:pPr>
              <w:pStyle w:val="998"/>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W w:w="1243" w:type="dxa"/>
            <w:vAlign w:val="center"/>
            <w:textDirection w:val="lrTb"/>
            <w:noWrap w:val="false"/>
          </w:tcPr>
          <w:p>
            <w:pPr>
              <w:pStyle w:val="998"/>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W w:w="1450" w:type="dxa"/>
            <w:vAlign w:val="center"/>
            <w:textDirection w:val="lrTb"/>
            <w:noWrap w:val="false"/>
          </w:tcPr>
          <w:p>
            <w:pPr>
              <w:pStyle w:val="998"/>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W w:w="1667" w:type="dxa"/>
            <w:vAlign w:val="center"/>
            <w:textDirection w:val="lrTb"/>
            <w:noWrap w:val="false"/>
          </w:tcPr>
          <w:p>
            <w:pPr>
              <w:pStyle w:val="998"/>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r>
      <w:tr>
        <w:trPr>
          <w:jc w:val="center"/>
          <w:trHeight w:val="567"/>
        </w:trPr>
        <w:tc>
          <w:tcPr>
            <w:tcW w:w="1953" w:type="dxa"/>
            <w:vAlign w:val="center"/>
            <w:textDirection w:val="lrTb"/>
            <w:noWrap w:val="false"/>
          </w:tcPr>
          <w:p>
            <w:pPr>
              <w:pStyle w:val="998"/>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W w:w="1276" w:type="dxa"/>
            <w:vAlign w:val="center"/>
            <w:textDirection w:val="lrTb"/>
            <w:noWrap w:val="false"/>
          </w:tcPr>
          <w:p>
            <w:pPr>
              <w:pStyle w:val="998"/>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W w:w="1450" w:type="dxa"/>
            <w:vAlign w:val="center"/>
            <w:textDirection w:val="lrTb"/>
            <w:noWrap w:val="false"/>
          </w:tcPr>
          <w:p>
            <w:pPr>
              <w:pStyle w:val="998"/>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W w:w="1243" w:type="dxa"/>
            <w:vAlign w:val="center"/>
            <w:textDirection w:val="lrTb"/>
            <w:noWrap w:val="false"/>
          </w:tcPr>
          <w:p>
            <w:pPr>
              <w:pStyle w:val="998"/>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W w:w="1450" w:type="dxa"/>
            <w:vAlign w:val="center"/>
            <w:textDirection w:val="lrTb"/>
            <w:noWrap w:val="false"/>
          </w:tcPr>
          <w:p>
            <w:pPr>
              <w:pStyle w:val="998"/>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W w:w="1667" w:type="dxa"/>
            <w:vAlign w:val="center"/>
            <w:textDirection w:val="lrTb"/>
            <w:noWrap w:val="false"/>
          </w:tcPr>
          <w:p>
            <w:pPr>
              <w:pStyle w:val="998"/>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r>
      <w:tr>
        <w:trPr>
          <w:jc w:val="center"/>
          <w:trHeight w:val="567"/>
        </w:trPr>
        <w:tc>
          <w:tcPr>
            <w:tcW w:w="1953" w:type="dxa"/>
            <w:vAlign w:val="center"/>
            <w:textDirection w:val="lrTb"/>
            <w:noWrap w:val="false"/>
          </w:tcPr>
          <w:p>
            <w:pPr>
              <w:pStyle w:val="998"/>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W w:w="1276" w:type="dxa"/>
            <w:vAlign w:val="center"/>
            <w:textDirection w:val="lrTb"/>
            <w:noWrap w:val="false"/>
          </w:tcPr>
          <w:p>
            <w:pPr>
              <w:pStyle w:val="998"/>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W w:w="1450" w:type="dxa"/>
            <w:vAlign w:val="center"/>
            <w:textDirection w:val="lrTb"/>
            <w:noWrap w:val="false"/>
          </w:tcPr>
          <w:p>
            <w:pPr>
              <w:pStyle w:val="998"/>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W w:w="1243" w:type="dxa"/>
            <w:vAlign w:val="center"/>
            <w:textDirection w:val="lrTb"/>
            <w:noWrap w:val="false"/>
          </w:tcPr>
          <w:p>
            <w:pPr>
              <w:pStyle w:val="998"/>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W w:w="1450" w:type="dxa"/>
            <w:vAlign w:val="center"/>
            <w:textDirection w:val="lrTb"/>
            <w:noWrap w:val="false"/>
          </w:tcPr>
          <w:p>
            <w:pPr>
              <w:pStyle w:val="998"/>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W w:w="1667" w:type="dxa"/>
            <w:vAlign w:val="center"/>
            <w:textDirection w:val="lrTb"/>
            <w:noWrap w:val="false"/>
          </w:tcPr>
          <w:p>
            <w:pPr>
              <w:pStyle w:val="998"/>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r>
      <w:tr>
        <w:trPr>
          <w:jc w:val="center"/>
          <w:trHeight w:val="567"/>
        </w:trPr>
        <w:tc>
          <w:tcPr>
            <w:tcW w:w="1953" w:type="dxa"/>
            <w:vAlign w:val="center"/>
            <w:textDirection w:val="lrTb"/>
            <w:noWrap w:val="false"/>
          </w:tcPr>
          <w:p>
            <w:pPr>
              <w:pStyle w:val="998"/>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W w:w="1276" w:type="dxa"/>
            <w:vAlign w:val="center"/>
            <w:textDirection w:val="lrTb"/>
            <w:noWrap w:val="false"/>
          </w:tcPr>
          <w:p>
            <w:pPr>
              <w:pStyle w:val="998"/>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W w:w="1450" w:type="dxa"/>
            <w:vAlign w:val="center"/>
            <w:textDirection w:val="lrTb"/>
            <w:noWrap w:val="false"/>
          </w:tcPr>
          <w:p>
            <w:pPr>
              <w:pStyle w:val="998"/>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W w:w="1243" w:type="dxa"/>
            <w:vAlign w:val="center"/>
            <w:textDirection w:val="lrTb"/>
            <w:noWrap w:val="false"/>
          </w:tcPr>
          <w:p>
            <w:pPr>
              <w:pStyle w:val="998"/>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W w:w="1450" w:type="dxa"/>
            <w:vAlign w:val="center"/>
            <w:textDirection w:val="lrTb"/>
            <w:noWrap w:val="false"/>
          </w:tcPr>
          <w:p>
            <w:pPr>
              <w:pStyle w:val="998"/>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W w:w="1667" w:type="dxa"/>
            <w:vAlign w:val="center"/>
            <w:textDirection w:val="lrTb"/>
            <w:noWrap w:val="false"/>
          </w:tcPr>
          <w:p>
            <w:pPr>
              <w:pStyle w:val="998"/>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r>
      <w:tr>
        <w:trPr>
          <w:jc w:val="center"/>
          <w:trHeight w:val="567"/>
        </w:trPr>
        <w:tc>
          <w:tcPr>
            <w:tcW w:w="1953" w:type="dxa"/>
            <w:vAlign w:val="center"/>
            <w:textDirection w:val="lrTb"/>
            <w:noWrap w:val="false"/>
          </w:tcPr>
          <w:p>
            <w:pPr>
              <w:pStyle w:val="998"/>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W w:w="1276" w:type="dxa"/>
            <w:vAlign w:val="center"/>
            <w:textDirection w:val="lrTb"/>
            <w:noWrap w:val="false"/>
          </w:tcPr>
          <w:p>
            <w:pPr>
              <w:pStyle w:val="998"/>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W w:w="1450" w:type="dxa"/>
            <w:vAlign w:val="center"/>
            <w:textDirection w:val="lrTb"/>
            <w:noWrap w:val="false"/>
          </w:tcPr>
          <w:p>
            <w:pPr>
              <w:pStyle w:val="998"/>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W w:w="1243" w:type="dxa"/>
            <w:vAlign w:val="center"/>
            <w:textDirection w:val="lrTb"/>
            <w:noWrap w:val="false"/>
          </w:tcPr>
          <w:p>
            <w:pPr>
              <w:pStyle w:val="998"/>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W w:w="1450" w:type="dxa"/>
            <w:vAlign w:val="center"/>
            <w:textDirection w:val="lrTb"/>
            <w:noWrap w:val="false"/>
          </w:tcPr>
          <w:p>
            <w:pPr>
              <w:pStyle w:val="998"/>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W w:w="1667" w:type="dxa"/>
            <w:vAlign w:val="center"/>
            <w:textDirection w:val="lrTb"/>
            <w:noWrap w:val="false"/>
          </w:tcPr>
          <w:p>
            <w:pPr>
              <w:pStyle w:val="998"/>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r>
      <w:tr>
        <w:trPr>
          <w:jc w:val="center"/>
          <w:trHeight w:val="567"/>
        </w:trPr>
        <w:tc>
          <w:tcPr>
            <w:tcW w:w="1953"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c>
          <w:tcPr>
            <w:tcW w:w="1276"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c>
          <w:tcPr>
            <w:tcW w:w="1450"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c>
          <w:tcPr>
            <w:tcW w:w="1243"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c>
          <w:tcPr>
            <w:tcW w:w="1450"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c>
          <w:tcPr>
            <w:tcW w:w="1667"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r>
      <w:tr>
        <w:trPr>
          <w:jc w:val="center"/>
          <w:trHeight w:val="567"/>
        </w:trPr>
        <w:tc>
          <w:tcPr>
            <w:tcW w:w="1953" w:type="dxa"/>
            <w:vAlign w:val="center"/>
            <w:textDirection w:val="lrTb"/>
            <w:noWrap w:val="false"/>
          </w:tcPr>
          <w:p>
            <w:pPr>
              <w:pStyle w:val="998"/>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W w:w="1276" w:type="dxa"/>
            <w:vAlign w:val="center"/>
            <w:textDirection w:val="lrTb"/>
            <w:noWrap w:val="false"/>
          </w:tcPr>
          <w:p>
            <w:pPr>
              <w:pStyle w:val="998"/>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W w:w="1450" w:type="dxa"/>
            <w:vAlign w:val="center"/>
            <w:textDirection w:val="lrTb"/>
            <w:noWrap w:val="false"/>
          </w:tcPr>
          <w:p>
            <w:pPr>
              <w:pStyle w:val="998"/>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W w:w="1243" w:type="dxa"/>
            <w:vAlign w:val="center"/>
            <w:textDirection w:val="lrTb"/>
            <w:noWrap w:val="false"/>
          </w:tcPr>
          <w:p>
            <w:pPr>
              <w:pStyle w:val="998"/>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W w:w="1450" w:type="dxa"/>
            <w:vAlign w:val="center"/>
            <w:textDirection w:val="lrTb"/>
            <w:noWrap w:val="false"/>
          </w:tcPr>
          <w:p>
            <w:pPr>
              <w:pStyle w:val="998"/>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c>
          <w:tcPr>
            <w:tcW w:w="1667" w:type="dxa"/>
            <w:vAlign w:val="center"/>
            <w:textDirection w:val="lrTb"/>
            <w:noWrap w:val="false"/>
          </w:tcPr>
          <w:p>
            <w:pPr>
              <w:pStyle w:val="998"/>
              <w:ind w:left="63" w:right="63"/>
              <w:keepNext/>
              <w:spacing w:line="440" w:lineRule="exact"/>
              <w:rPr>
                <w:rFonts w:hint="eastAsia" w:ascii="宋体" w:hAnsi="宋体" w:eastAsia="宋体" w:cs="宋体"/>
                <w:szCs w:val="30"/>
                <w:lang w:val="en-US" w:eastAsia="zh-CN"/>
              </w:rPr>
            </w:pPr>
            <w:r>
              <w:rPr>
                <w:rFonts w:hint="eastAsia" w:ascii="宋体" w:hAnsi="宋体" w:eastAsia="宋体" w:cs="宋体"/>
                <w:szCs w:val="30"/>
                <w:lang w:val="en-US" w:eastAsia="zh-CN"/>
              </w:rPr>
            </w:r>
            <w:r/>
          </w:p>
        </w:tc>
      </w:tr>
      <w:tr>
        <w:trPr>
          <w:jc w:val="center"/>
          <w:trHeight w:val="567"/>
        </w:trPr>
        <w:tc>
          <w:tcPr>
            <w:tcW w:w="1953"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c>
          <w:tcPr>
            <w:tcW w:w="1276"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c>
          <w:tcPr>
            <w:tcW w:w="1450"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c>
          <w:tcPr>
            <w:tcW w:w="1243"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c>
          <w:tcPr>
            <w:tcW w:w="1450"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c>
          <w:tcPr>
            <w:tcW w:w="1667"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r>
      <w:tr>
        <w:trPr>
          <w:jc w:val="center"/>
          <w:trHeight w:val="567"/>
        </w:trPr>
        <w:tc>
          <w:tcPr>
            <w:tcW w:w="1953"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c>
          <w:tcPr>
            <w:tcW w:w="1276"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c>
          <w:tcPr>
            <w:tcW w:w="1450"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c>
          <w:tcPr>
            <w:tcW w:w="1243"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c>
          <w:tcPr>
            <w:tcW w:w="1450"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c>
          <w:tcPr>
            <w:tcW w:w="1667"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r>
      <w:tr>
        <w:trPr>
          <w:jc w:val="center"/>
          <w:trHeight w:val="567"/>
        </w:trPr>
        <w:tc>
          <w:tcPr>
            <w:tcW w:w="1953"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c>
          <w:tcPr>
            <w:tcW w:w="1276"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c>
          <w:tcPr>
            <w:tcW w:w="1450"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c>
          <w:tcPr>
            <w:tcW w:w="1243"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c>
          <w:tcPr>
            <w:tcW w:w="1450"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c>
          <w:tcPr>
            <w:tcW w:w="1667"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r>
      <w:tr>
        <w:trPr>
          <w:jc w:val="center"/>
          <w:trHeight w:val="567"/>
        </w:trPr>
        <w:tc>
          <w:tcPr>
            <w:tcW w:w="1953"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c>
          <w:tcPr>
            <w:tcW w:w="1276"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c>
          <w:tcPr>
            <w:tcW w:w="1450"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c>
          <w:tcPr>
            <w:tcW w:w="1243"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c>
          <w:tcPr>
            <w:tcW w:w="1450"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c>
          <w:tcPr>
            <w:tcW w:w="1667"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r>
      <w:tr>
        <w:trPr>
          <w:jc w:val="center"/>
          <w:trHeight w:val="567"/>
        </w:trPr>
        <w:tc>
          <w:tcPr>
            <w:tcW w:w="1953"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c>
          <w:tcPr>
            <w:tcW w:w="1276"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c>
          <w:tcPr>
            <w:tcW w:w="1450"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c>
          <w:tcPr>
            <w:tcW w:w="1243"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c>
          <w:tcPr>
            <w:tcW w:w="1450"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c>
          <w:tcPr>
            <w:tcW w:w="1667"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r>
      <w:tr>
        <w:trPr>
          <w:jc w:val="center"/>
          <w:trHeight w:val="567"/>
        </w:trPr>
        <w:tc>
          <w:tcPr>
            <w:tcW w:w="1953"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c>
          <w:tcPr>
            <w:tcW w:w="1276"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c>
          <w:tcPr>
            <w:tcW w:w="1450"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c>
          <w:tcPr>
            <w:tcW w:w="1243"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c>
          <w:tcPr>
            <w:tcW w:w="1450"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c>
          <w:tcPr>
            <w:tcW w:w="1667"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r>
      <w:tr>
        <w:trPr>
          <w:jc w:val="center"/>
          <w:trHeight w:val="567"/>
        </w:trPr>
        <w:tc>
          <w:tcPr>
            <w:tcW w:w="1953"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c>
          <w:tcPr>
            <w:tcW w:w="1276"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c>
          <w:tcPr>
            <w:tcW w:w="1450"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c>
          <w:tcPr>
            <w:tcW w:w="1243"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c>
          <w:tcPr>
            <w:tcW w:w="1450"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c>
          <w:tcPr>
            <w:tcW w:w="1667"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r>
      <w:tr>
        <w:trPr>
          <w:jc w:val="center"/>
          <w:trHeight w:val="567"/>
        </w:trPr>
        <w:tc>
          <w:tcPr>
            <w:tcW w:w="1953"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c>
          <w:tcPr>
            <w:tcW w:w="1276"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c>
          <w:tcPr>
            <w:tcW w:w="1450"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c>
          <w:tcPr>
            <w:tcW w:w="1243"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c>
          <w:tcPr>
            <w:tcW w:w="1450"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c>
          <w:tcPr>
            <w:tcW w:w="1667"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r>
      <w:tr>
        <w:trPr>
          <w:jc w:val="center"/>
          <w:trHeight w:val="567"/>
        </w:trPr>
        <w:tc>
          <w:tcPr>
            <w:tcW w:w="1953"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c>
          <w:tcPr>
            <w:tcW w:w="1276"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c>
          <w:tcPr>
            <w:tcW w:w="1450"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c>
          <w:tcPr>
            <w:tcW w:w="1243"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c>
          <w:tcPr>
            <w:tcW w:w="1450"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c>
          <w:tcPr>
            <w:tcW w:w="1667"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r>
    </w:tbl>
    <w:p>
      <w:pPr>
        <w:spacing w:line="440" w:lineRule="exact"/>
        <w:shd w:val="clear" w:color="auto" w:fil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pStyle w:val="998"/>
        <w:rPr>
          <w:rFonts w:hint="eastAsia"/>
        </w:rPr>
      </w:pPr>
      <w:r>
        <w:rPr>
          <w:rFonts w:hint="eastAsia"/>
        </w:rPr>
      </w:r>
      <w:r/>
    </w:p>
    <w:p>
      <w:pPr>
        <w:spacing w:line="440" w:lineRule="exact"/>
        <w:shd w:val="clear" w:color="auto" w:fil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附</w:t>
      </w:r>
      <w:bookmarkStart w:id="49" w:name="_Toc296346728"/>
      <w:r/>
      <w:bookmarkStart w:id="50" w:name="_Toc296891267"/>
      <w:r/>
      <w:bookmarkStart w:id="51" w:name="_Toc267261698"/>
      <w:r/>
      <w:bookmarkStart w:id="52" w:name="_Toc296347226"/>
      <w:r/>
      <w:bookmarkStart w:id="53" w:name="_Toc296503227"/>
      <w:r/>
      <w:bookmarkStart w:id="54" w:name="_Toc296944566"/>
      <w:r/>
      <w:bookmarkStart w:id="55" w:name="_Toc296891055"/>
      <w:r>
        <w:rPr>
          <w:rFonts w:hint="eastAsia" w:ascii="宋体" w:hAnsi="宋体" w:eastAsia="宋体" w:cs="宋体"/>
          <w:color w:val="auto"/>
          <w:sz w:val="22"/>
          <w:szCs w:val="22"/>
          <w:highlight w:val="none"/>
        </w:rPr>
        <w:t xml:space="preserve">件</w:t>
      </w:r>
      <w:r>
        <w:rPr>
          <w:rFonts w:hint="eastAsia" w:ascii="宋体" w:hAnsi="宋体" w:eastAsia="宋体" w:cs="宋体"/>
          <w:color w:val="auto"/>
          <w:sz w:val="22"/>
          <w:szCs w:val="22"/>
          <w:highlight w:val="none"/>
          <w:lang w:val="en-US" w:eastAsia="zh-CN"/>
        </w:rPr>
        <w:t xml:space="preserve">5</w:t>
      </w:r>
      <w:r>
        <w:rPr>
          <w:rFonts w:hint="eastAsia" w:ascii="宋体" w:hAnsi="宋体" w:eastAsia="宋体" w:cs="宋体"/>
          <w:color w:val="auto"/>
          <w:sz w:val="22"/>
          <w:szCs w:val="22"/>
          <w:highlight w:val="none"/>
        </w:rPr>
        <w:t xml:space="preserve">：</w:t>
      </w:r>
      <w:bookmarkEnd w:id="49"/>
      <w:r/>
      <w:bookmarkEnd w:id="50"/>
      <w:r/>
      <w:bookmarkEnd w:id="51"/>
      <w:r/>
      <w:bookmarkEnd w:id="52"/>
      <w:r/>
      <w:bookmarkEnd w:id="53"/>
      <w:r/>
      <w:bookmarkEnd w:id="54"/>
      <w:r/>
      <w:bookmarkEnd w:id="55"/>
      <w:r/>
      <w:r/>
    </w:p>
    <w:p>
      <w:pPr>
        <w:jc w:val="center"/>
        <w:spacing w:before="120" w:after="120" w:line="440" w:lineRule="exact"/>
        <w:shd w:val="clear" w:color="auto" w:fil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承包人用于本工程施工的机械设备表</w:t>
      </w:r>
      <w:r/>
    </w:p>
    <w:tbl>
      <w:tblPr>
        <w:tblStyle w:val="991"/>
        <w:tblW w:w="980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162"/>
        <w:gridCol w:w="1418"/>
        <w:gridCol w:w="850"/>
        <w:gridCol w:w="1058"/>
        <w:gridCol w:w="880"/>
        <w:gridCol w:w="1020"/>
        <w:gridCol w:w="1480"/>
        <w:gridCol w:w="1020"/>
        <w:gridCol w:w="921"/>
      </w:tblGrid>
      <w:tr>
        <w:trPr>
          <w:jc w:val="center"/>
        </w:trPr>
        <w:tc>
          <w:tcPr>
            <w:tcBorders>
              <w:top w:val="single" w:color="auto" w:sz="12" w:space="0"/>
              <w:bottom w:val="single" w:color="auto" w:sz="6" w:space="0"/>
            </w:tcBorders>
            <w:tcW w:w="1162" w:type="dxa"/>
            <w:vAlign w:val="center"/>
            <w:textDirection w:val="lrTb"/>
            <w:noWrap w:val="false"/>
          </w:tcPr>
          <w:p>
            <w:pPr>
              <w:pStyle w:val="998"/>
              <w:ind w:left="63" w:right="63"/>
              <w:keepNext/>
              <w:spacing w:after="0" w:line="440" w:lineRule="exact"/>
              <w:shd w:val="clear" w:color="auto" w:fil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序号</w:t>
            </w:r>
            <w:r/>
          </w:p>
        </w:tc>
        <w:tc>
          <w:tcPr>
            <w:tcBorders>
              <w:top w:val="single" w:color="auto" w:sz="12" w:space="0"/>
              <w:bottom w:val="single" w:color="auto" w:sz="6" w:space="0"/>
            </w:tcBorders>
            <w:tcW w:w="1418" w:type="dxa"/>
            <w:vAlign w:val="center"/>
            <w:textDirection w:val="lrTb"/>
            <w:noWrap w:val="false"/>
          </w:tcPr>
          <w:p>
            <w:pPr>
              <w:pStyle w:val="998"/>
              <w:ind w:left="63" w:right="63"/>
              <w:keepNext/>
              <w:spacing w:after="0" w:line="440" w:lineRule="exact"/>
              <w:shd w:val="clear" w:color="auto" w:fil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机械或设备名称</w:t>
            </w:r>
            <w:r/>
          </w:p>
        </w:tc>
        <w:tc>
          <w:tcPr>
            <w:tcBorders>
              <w:top w:val="single" w:color="auto" w:sz="12" w:space="0"/>
              <w:bottom w:val="single" w:color="auto" w:sz="6" w:space="0"/>
            </w:tcBorders>
            <w:tcW w:w="850" w:type="dxa"/>
            <w:vAlign w:val="center"/>
            <w:textDirection w:val="lrTb"/>
            <w:noWrap w:val="false"/>
          </w:tcPr>
          <w:p>
            <w:pPr>
              <w:pStyle w:val="998"/>
              <w:ind w:left="63" w:right="63"/>
              <w:keepNext/>
              <w:spacing w:after="0" w:line="440" w:lineRule="exact"/>
              <w:shd w:val="clear" w:color="auto" w:fil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规格型号</w:t>
            </w:r>
            <w:r/>
          </w:p>
        </w:tc>
        <w:tc>
          <w:tcPr>
            <w:tcBorders>
              <w:top w:val="single" w:color="auto" w:sz="12" w:space="0"/>
              <w:bottom w:val="single" w:color="auto" w:sz="6" w:space="0"/>
            </w:tcBorders>
            <w:tcW w:w="1058" w:type="dxa"/>
            <w:vAlign w:val="center"/>
            <w:textDirection w:val="lrTb"/>
            <w:noWrap w:val="false"/>
          </w:tcPr>
          <w:p>
            <w:pPr>
              <w:pStyle w:val="998"/>
              <w:ind w:left="63" w:right="63"/>
              <w:keepNext/>
              <w:spacing w:after="0" w:line="440" w:lineRule="exact"/>
              <w:shd w:val="clear" w:color="auto" w:fil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数量</w:t>
            </w:r>
            <w:r/>
          </w:p>
        </w:tc>
        <w:tc>
          <w:tcPr>
            <w:tcBorders>
              <w:top w:val="single" w:color="auto" w:sz="12" w:space="0"/>
              <w:bottom w:val="single" w:color="auto" w:sz="6" w:space="0"/>
            </w:tcBorders>
            <w:tcW w:w="880" w:type="dxa"/>
            <w:vAlign w:val="center"/>
            <w:textDirection w:val="lrTb"/>
            <w:noWrap w:val="false"/>
          </w:tcPr>
          <w:p>
            <w:pPr>
              <w:pStyle w:val="998"/>
              <w:ind w:left="63" w:right="63"/>
              <w:keepNext/>
              <w:spacing w:after="0" w:line="440" w:lineRule="exact"/>
              <w:shd w:val="clear" w:color="auto" w:fil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产地</w:t>
            </w:r>
            <w:r/>
          </w:p>
        </w:tc>
        <w:tc>
          <w:tcPr>
            <w:tcBorders>
              <w:top w:val="single" w:color="auto" w:sz="12" w:space="0"/>
              <w:bottom w:val="single" w:color="auto" w:sz="6" w:space="0"/>
            </w:tcBorders>
            <w:tcW w:w="1020" w:type="dxa"/>
            <w:vAlign w:val="center"/>
            <w:textDirection w:val="lrTb"/>
            <w:noWrap w:val="false"/>
          </w:tcPr>
          <w:p>
            <w:pPr>
              <w:pStyle w:val="998"/>
              <w:ind w:left="63" w:right="63"/>
              <w:keepNext/>
              <w:spacing w:after="0" w:line="440" w:lineRule="exact"/>
              <w:shd w:val="clear" w:color="auto" w:fil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制造年份</w:t>
            </w:r>
            <w:r/>
          </w:p>
        </w:tc>
        <w:tc>
          <w:tcPr>
            <w:tcBorders>
              <w:top w:val="single" w:color="auto" w:sz="12" w:space="0"/>
              <w:bottom w:val="single" w:color="auto" w:sz="6" w:space="0"/>
            </w:tcBorders>
            <w:tcW w:w="1480" w:type="dxa"/>
            <w:vAlign w:val="center"/>
            <w:textDirection w:val="lrTb"/>
            <w:noWrap w:val="false"/>
          </w:tcPr>
          <w:p>
            <w:pPr>
              <w:pStyle w:val="998"/>
              <w:ind w:left="63" w:right="63"/>
              <w:keepNext/>
              <w:spacing w:after="0" w:line="440" w:lineRule="exact"/>
              <w:shd w:val="clear" w:color="auto" w:fil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额定功率(kW)</w:t>
            </w:r>
            <w:r/>
          </w:p>
        </w:tc>
        <w:tc>
          <w:tcPr>
            <w:tcBorders>
              <w:top w:val="single" w:color="auto" w:sz="12" w:space="0"/>
              <w:bottom w:val="single" w:color="auto" w:sz="6" w:space="0"/>
            </w:tcBorders>
            <w:tcW w:w="1020" w:type="dxa"/>
            <w:vAlign w:val="center"/>
            <w:textDirection w:val="lrTb"/>
            <w:noWrap w:val="false"/>
          </w:tcPr>
          <w:p>
            <w:pPr>
              <w:pStyle w:val="998"/>
              <w:ind w:left="63" w:right="63"/>
              <w:keepNext/>
              <w:spacing w:after="0" w:line="440" w:lineRule="exact"/>
              <w:shd w:val="clear" w:color="auto" w:fil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生产能力</w:t>
            </w:r>
            <w:r/>
          </w:p>
        </w:tc>
        <w:tc>
          <w:tcPr>
            <w:tcBorders>
              <w:top w:val="single" w:color="auto" w:sz="12" w:space="0"/>
              <w:bottom w:val="single" w:color="auto" w:sz="6" w:space="0"/>
            </w:tcBorders>
            <w:tcW w:w="921" w:type="dxa"/>
            <w:vAlign w:val="center"/>
            <w:textDirection w:val="lrTb"/>
            <w:noWrap w:val="false"/>
          </w:tcPr>
          <w:p>
            <w:pPr>
              <w:pStyle w:val="998"/>
              <w:ind w:left="63" w:right="63"/>
              <w:keepNext/>
              <w:spacing w:after="0" w:line="440" w:lineRule="exact"/>
              <w:shd w:val="clear" w:color="auto" w:fil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备注</w:t>
            </w:r>
            <w:r/>
          </w:p>
        </w:tc>
      </w:tr>
      <w:tr>
        <w:trPr>
          <w:jc w:val="center"/>
          <w:trHeight w:val="567"/>
        </w:trPr>
        <w:tc>
          <w:tcPr>
            <w:tcBorders>
              <w:top w:val="single" w:color="auto" w:sz="6" w:space="0"/>
              <w:bottom w:val="single" w:color="auto" w:sz="6" w:space="0"/>
            </w:tcBorders>
            <w:tcW w:w="1162" w:type="dxa"/>
            <w:vAlign w:val="center"/>
            <w:textDirection w:val="lrTb"/>
            <w:noWrap w:val="false"/>
          </w:tcPr>
          <w:p>
            <w:pPr>
              <w:pStyle w:val="998"/>
              <w:ind w:left="63" w:right="63"/>
              <w:keepNext/>
              <w:spacing w:after="0" w:line="440" w:lineRule="exact"/>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Borders>
              <w:top w:val="single" w:color="auto" w:sz="6" w:space="0"/>
              <w:bottom w:val="single" w:color="auto" w:sz="6" w:space="0"/>
            </w:tcBorders>
            <w:tcW w:w="1418" w:type="dxa"/>
            <w:vAlign w:val="center"/>
            <w:textDirection w:val="lrTb"/>
            <w:noWrap w:val="false"/>
          </w:tcPr>
          <w:p>
            <w:pPr>
              <w:pStyle w:val="998"/>
              <w:ind w:left="63" w:right="63"/>
              <w:keepNext/>
              <w:spacing w:after="0" w:line="440" w:lineRule="exact"/>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Borders>
              <w:top w:val="single" w:color="auto" w:sz="6" w:space="0"/>
              <w:bottom w:val="single" w:color="auto" w:sz="6" w:space="0"/>
            </w:tcBorders>
            <w:tcW w:w="850" w:type="dxa"/>
            <w:vAlign w:val="center"/>
            <w:textDirection w:val="lrTb"/>
            <w:noWrap w:val="false"/>
          </w:tcPr>
          <w:p>
            <w:pPr>
              <w:pStyle w:val="998"/>
              <w:ind w:left="63" w:right="63"/>
              <w:keepNext/>
              <w:spacing w:after="0" w:line="440" w:lineRule="exact"/>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Borders>
              <w:top w:val="single" w:color="auto" w:sz="6" w:space="0"/>
              <w:bottom w:val="single" w:color="auto" w:sz="6" w:space="0"/>
            </w:tcBorders>
            <w:tcW w:w="1058" w:type="dxa"/>
            <w:vAlign w:val="center"/>
            <w:textDirection w:val="lrTb"/>
            <w:noWrap w:val="false"/>
          </w:tcPr>
          <w:p>
            <w:pPr>
              <w:pStyle w:val="998"/>
              <w:ind w:left="63" w:right="63"/>
              <w:keepNext/>
              <w:spacing w:after="0" w:line="440" w:lineRule="exact"/>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Borders>
              <w:top w:val="single" w:color="auto" w:sz="6" w:space="0"/>
              <w:bottom w:val="single" w:color="auto" w:sz="6" w:space="0"/>
            </w:tcBorders>
            <w:tcW w:w="880" w:type="dxa"/>
            <w:vAlign w:val="center"/>
            <w:textDirection w:val="lrTb"/>
            <w:noWrap w:val="false"/>
          </w:tcPr>
          <w:p>
            <w:pPr>
              <w:pStyle w:val="998"/>
              <w:ind w:left="63" w:right="63"/>
              <w:keepNext/>
              <w:spacing w:after="0" w:line="440" w:lineRule="exact"/>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Borders>
              <w:top w:val="single" w:color="auto" w:sz="6" w:space="0"/>
              <w:bottom w:val="single" w:color="auto" w:sz="6" w:space="0"/>
            </w:tcBorders>
            <w:tcW w:w="1020" w:type="dxa"/>
            <w:vAlign w:val="center"/>
            <w:textDirection w:val="lrTb"/>
            <w:noWrap w:val="false"/>
          </w:tcPr>
          <w:p>
            <w:pPr>
              <w:pStyle w:val="998"/>
              <w:ind w:left="63" w:right="63"/>
              <w:keepNext/>
              <w:spacing w:after="0" w:line="440" w:lineRule="exact"/>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Borders>
              <w:top w:val="single" w:color="auto" w:sz="6" w:space="0"/>
              <w:bottom w:val="single" w:color="auto" w:sz="6" w:space="0"/>
            </w:tcBorders>
            <w:tcW w:w="1480" w:type="dxa"/>
            <w:vAlign w:val="center"/>
            <w:textDirection w:val="lrTb"/>
            <w:noWrap w:val="false"/>
          </w:tcPr>
          <w:p>
            <w:pPr>
              <w:pStyle w:val="998"/>
              <w:ind w:left="63" w:right="63"/>
              <w:keepNext/>
              <w:spacing w:after="0" w:line="440" w:lineRule="exact"/>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Borders>
              <w:top w:val="single" w:color="auto" w:sz="6" w:space="0"/>
              <w:bottom w:val="single" w:color="auto" w:sz="6" w:space="0"/>
            </w:tcBorders>
            <w:tcW w:w="1020" w:type="dxa"/>
            <w:vAlign w:val="center"/>
            <w:textDirection w:val="lrTb"/>
            <w:noWrap w:val="false"/>
          </w:tcPr>
          <w:p>
            <w:pPr>
              <w:pStyle w:val="998"/>
              <w:ind w:left="63" w:right="63"/>
              <w:keepNext/>
              <w:spacing w:after="0" w:line="440" w:lineRule="exact"/>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Borders>
              <w:top w:val="single" w:color="auto" w:sz="6" w:space="0"/>
              <w:bottom w:val="single" w:color="auto" w:sz="6" w:space="0"/>
            </w:tcBorders>
            <w:tcW w:w="921" w:type="dxa"/>
            <w:vAlign w:val="center"/>
            <w:textDirection w:val="lrTb"/>
            <w:noWrap w:val="false"/>
          </w:tcPr>
          <w:p>
            <w:pPr>
              <w:pStyle w:val="998"/>
              <w:ind w:left="63" w:right="63"/>
              <w:keepNext/>
              <w:spacing w:after="0" w:line="440" w:lineRule="exact"/>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r>
      <w:tr>
        <w:trPr>
          <w:jc w:val="center"/>
          <w:trHeight w:val="567"/>
        </w:trPr>
        <w:tc>
          <w:tcPr>
            <w:tcBorders>
              <w:top w:val="none" w:color="000000" w:sz="4" w:space="0"/>
            </w:tcBorders>
            <w:tcW w:w="1162" w:type="dxa"/>
            <w:vAlign w:val="center"/>
            <w:textDirection w:val="lrTb"/>
            <w:noWrap w:val="false"/>
          </w:tcPr>
          <w:p>
            <w:pPr>
              <w:pStyle w:val="998"/>
              <w:ind w:left="63" w:right="63"/>
              <w:keepNext/>
              <w:spacing w:after="0" w:line="440" w:lineRule="exact"/>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Borders>
              <w:top w:val="none" w:color="000000" w:sz="4" w:space="0"/>
            </w:tcBorders>
            <w:tcW w:w="1418" w:type="dxa"/>
            <w:vAlign w:val="center"/>
            <w:textDirection w:val="lrTb"/>
            <w:noWrap w:val="false"/>
          </w:tcPr>
          <w:p>
            <w:pPr>
              <w:pStyle w:val="998"/>
              <w:ind w:left="63" w:right="63"/>
              <w:keepNext/>
              <w:spacing w:after="0" w:line="440" w:lineRule="exact"/>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Borders>
              <w:top w:val="none" w:color="000000" w:sz="4" w:space="0"/>
            </w:tcBorders>
            <w:tcW w:w="850" w:type="dxa"/>
            <w:vAlign w:val="center"/>
            <w:textDirection w:val="lrTb"/>
            <w:noWrap w:val="false"/>
          </w:tcPr>
          <w:p>
            <w:pPr>
              <w:pStyle w:val="998"/>
              <w:ind w:left="63" w:right="63"/>
              <w:keepNext/>
              <w:spacing w:after="0" w:line="440" w:lineRule="exact"/>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Borders>
              <w:top w:val="none" w:color="000000" w:sz="4" w:space="0"/>
            </w:tcBorders>
            <w:tcW w:w="1058" w:type="dxa"/>
            <w:vAlign w:val="center"/>
            <w:textDirection w:val="lrTb"/>
            <w:noWrap w:val="false"/>
          </w:tcPr>
          <w:p>
            <w:pPr>
              <w:pStyle w:val="998"/>
              <w:ind w:left="63" w:right="63"/>
              <w:keepNext/>
              <w:spacing w:after="0" w:line="440" w:lineRule="exact"/>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Borders>
              <w:top w:val="none" w:color="000000" w:sz="4" w:space="0"/>
            </w:tcBorders>
            <w:tcW w:w="880" w:type="dxa"/>
            <w:vAlign w:val="center"/>
            <w:textDirection w:val="lrTb"/>
            <w:noWrap w:val="false"/>
          </w:tcPr>
          <w:p>
            <w:pPr>
              <w:pStyle w:val="998"/>
              <w:ind w:left="63" w:right="63"/>
              <w:keepNext/>
              <w:spacing w:after="0" w:line="440" w:lineRule="exact"/>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Borders>
              <w:top w:val="none" w:color="000000" w:sz="4" w:space="0"/>
            </w:tcBorders>
            <w:tcW w:w="1020" w:type="dxa"/>
            <w:vAlign w:val="center"/>
            <w:textDirection w:val="lrTb"/>
            <w:noWrap w:val="false"/>
          </w:tcPr>
          <w:p>
            <w:pPr>
              <w:pStyle w:val="998"/>
              <w:ind w:left="63" w:right="63"/>
              <w:keepNext/>
              <w:spacing w:after="0" w:line="440" w:lineRule="exact"/>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Borders>
              <w:top w:val="none" w:color="000000" w:sz="4" w:space="0"/>
            </w:tcBorders>
            <w:tcW w:w="1480" w:type="dxa"/>
            <w:vAlign w:val="center"/>
            <w:textDirection w:val="lrTb"/>
            <w:noWrap w:val="false"/>
          </w:tcPr>
          <w:p>
            <w:pPr>
              <w:pStyle w:val="998"/>
              <w:ind w:left="63" w:right="63"/>
              <w:keepNext/>
              <w:spacing w:after="0" w:line="440" w:lineRule="exact"/>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Borders>
              <w:top w:val="none" w:color="000000" w:sz="4" w:space="0"/>
            </w:tcBorders>
            <w:tcW w:w="1020" w:type="dxa"/>
            <w:vAlign w:val="center"/>
            <w:textDirection w:val="lrTb"/>
            <w:noWrap w:val="false"/>
          </w:tcPr>
          <w:p>
            <w:pPr>
              <w:pStyle w:val="998"/>
              <w:ind w:left="63" w:right="63"/>
              <w:keepNext/>
              <w:spacing w:after="0" w:line="440" w:lineRule="exact"/>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Borders>
              <w:top w:val="none" w:color="000000" w:sz="4" w:space="0"/>
            </w:tcBorders>
            <w:tcW w:w="921" w:type="dxa"/>
            <w:vAlign w:val="center"/>
            <w:textDirection w:val="lrTb"/>
            <w:noWrap w:val="false"/>
          </w:tcPr>
          <w:p>
            <w:pPr>
              <w:pStyle w:val="998"/>
              <w:ind w:left="63" w:right="63"/>
              <w:keepNext/>
              <w:spacing w:after="0" w:line="440" w:lineRule="exact"/>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r>
      <w:tr>
        <w:trPr>
          <w:jc w:val="center"/>
          <w:trHeight w:val="567"/>
        </w:trPr>
        <w:tc>
          <w:tcPr>
            <w:tcW w:w="1162" w:type="dxa"/>
            <w:vAlign w:val="center"/>
            <w:textDirection w:val="lrTb"/>
            <w:noWrap w:val="false"/>
          </w:tcPr>
          <w:p>
            <w:pPr>
              <w:pStyle w:val="998"/>
              <w:ind w:left="63" w:right="63"/>
              <w:keepNext/>
              <w:spacing w:after="0" w:line="440" w:lineRule="exact"/>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418" w:type="dxa"/>
            <w:vAlign w:val="center"/>
            <w:textDirection w:val="lrTb"/>
            <w:noWrap w:val="false"/>
          </w:tcPr>
          <w:p>
            <w:pPr>
              <w:pStyle w:val="998"/>
              <w:ind w:left="63" w:right="63"/>
              <w:keepNext/>
              <w:spacing w:after="0" w:line="440" w:lineRule="exact"/>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850" w:type="dxa"/>
            <w:vAlign w:val="center"/>
            <w:textDirection w:val="lrTb"/>
            <w:noWrap w:val="false"/>
          </w:tcPr>
          <w:p>
            <w:pPr>
              <w:pStyle w:val="998"/>
              <w:ind w:left="63" w:right="63"/>
              <w:keepNext/>
              <w:spacing w:after="0" w:line="440" w:lineRule="exact"/>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058" w:type="dxa"/>
            <w:vAlign w:val="center"/>
            <w:textDirection w:val="lrTb"/>
            <w:noWrap w:val="false"/>
          </w:tcPr>
          <w:p>
            <w:pPr>
              <w:pStyle w:val="998"/>
              <w:ind w:left="63" w:right="63"/>
              <w:keepNext/>
              <w:spacing w:after="0" w:line="440" w:lineRule="exact"/>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880" w:type="dxa"/>
            <w:vAlign w:val="center"/>
            <w:textDirection w:val="lrTb"/>
            <w:noWrap w:val="false"/>
          </w:tcPr>
          <w:p>
            <w:pPr>
              <w:pStyle w:val="998"/>
              <w:ind w:left="63" w:right="63"/>
              <w:keepNext/>
              <w:spacing w:after="0" w:line="440" w:lineRule="exact"/>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020" w:type="dxa"/>
            <w:vAlign w:val="center"/>
            <w:textDirection w:val="lrTb"/>
            <w:noWrap w:val="false"/>
          </w:tcPr>
          <w:p>
            <w:pPr>
              <w:pStyle w:val="998"/>
              <w:ind w:left="63" w:right="63"/>
              <w:keepNext/>
              <w:spacing w:after="0" w:line="440" w:lineRule="exact"/>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480" w:type="dxa"/>
            <w:vAlign w:val="center"/>
            <w:textDirection w:val="lrTb"/>
            <w:noWrap w:val="false"/>
          </w:tcPr>
          <w:p>
            <w:pPr>
              <w:pStyle w:val="998"/>
              <w:ind w:left="63" w:right="63"/>
              <w:keepNext/>
              <w:spacing w:after="0" w:line="440" w:lineRule="exact"/>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020" w:type="dxa"/>
            <w:vAlign w:val="center"/>
            <w:textDirection w:val="lrTb"/>
            <w:noWrap w:val="false"/>
          </w:tcPr>
          <w:p>
            <w:pPr>
              <w:pStyle w:val="998"/>
              <w:ind w:left="63" w:right="63"/>
              <w:keepNext/>
              <w:spacing w:after="0" w:line="440" w:lineRule="exact"/>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921" w:type="dxa"/>
            <w:vAlign w:val="center"/>
            <w:textDirection w:val="lrTb"/>
            <w:noWrap w:val="false"/>
          </w:tcPr>
          <w:p>
            <w:pPr>
              <w:pStyle w:val="998"/>
              <w:ind w:left="63" w:right="63"/>
              <w:keepNext/>
              <w:spacing w:after="0" w:line="440" w:lineRule="exact"/>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r>
      <w:tr>
        <w:trPr>
          <w:jc w:val="center"/>
          <w:trHeight w:val="567"/>
        </w:trPr>
        <w:tc>
          <w:tcPr>
            <w:tcW w:w="1162" w:type="dxa"/>
            <w:vAlign w:val="center"/>
            <w:textDirection w:val="lrTb"/>
            <w:noWrap w:val="false"/>
          </w:tcPr>
          <w:p>
            <w:pPr>
              <w:pStyle w:val="998"/>
              <w:ind w:left="63" w:right="63"/>
              <w:keepNext/>
              <w:spacing w:after="0" w:line="440" w:lineRule="exact"/>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418" w:type="dxa"/>
            <w:vAlign w:val="center"/>
            <w:textDirection w:val="lrTb"/>
            <w:noWrap w:val="false"/>
          </w:tcPr>
          <w:p>
            <w:pPr>
              <w:pStyle w:val="998"/>
              <w:ind w:left="63" w:right="63"/>
              <w:keepNext/>
              <w:spacing w:after="0" w:line="440" w:lineRule="exact"/>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850" w:type="dxa"/>
            <w:vAlign w:val="center"/>
            <w:textDirection w:val="lrTb"/>
            <w:noWrap w:val="false"/>
          </w:tcPr>
          <w:p>
            <w:pPr>
              <w:pStyle w:val="998"/>
              <w:ind w:left="63" w:right="63"/>
              <w:keepNext/>
              <w:spacing w:after="0" w:line="440" w:lineRule="exact"/>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058" w:type="dxa"/>
            <w:vAlign w:val="center"/>
            <w:textDirection w:val="lrTb"/>
            <w:noWrap w:val="false"/>
          </w:tcPr>
          <w:p>
            <w:pPr>
              <w:pStyle w:val="998"/>
              <w:ind w:left="63" w:right="63"/>
              <w:keepNext/>
              <w:spacing w:after="0" w:line="440" w:lineRule="exact"/>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880" w:type="dxa"/>
            <w:vAlign w:val="center"/>
            <w:textDirection w:val="lrTb"/>
            <w:noWrap w:val="false"/>
          </w:tcPr>
          <w:p>
            <w:pPr>
              <w:pStyle w:val="998"/>
              <w:ind w:left="63" w:right="63"/>
              <w:keepNext/>
              <w:spacing w:after="0" w:line="440" w:lineRule="exact"/>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020" w:type="dxa"/>
            <w:vAlign w:val="center"/>
            <w:textDirection w:val="lrTb"/>
            <w:noWrap w:val="false"/>
          </w:tcPr>
          <w:p>
            <w:pPr>
              <w:pStyle w:val="998"/>
              <w:ind w:left="63" w:right="63"/>
              <w:keepNext/>
              <w:spacing w:after="0" w:line="440" w:lineRule="exact"/>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480" w:type="dxa"/>
            <w:vAlign w:val="center"/>
            <w:textDirection w:val="lrTb"/>
            <w:noWrap w:val="false"/>
          </w:tcPr>
          <w:p>
            <w:pPr>
              <w:pStyle w:val="998"/>
              <w:ind w:left="63" w:right="63"/>
              <w:keepNext/>
              <w:spacing w:after="0" w:line="440" w:lineRule="exact"/>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020" w:type="dxa"/>
            <w:vAlign w:val="center"/>
            <w:textDirection w:val="lrTb"/>
            <w:noWrap w:val="false"/>
          </w:tcPr>
          <w:p>
            <w:pPr>
              <w:pStyle w:val="998"/>
              <w:ind w:left="63" w:right="63"/>
              <w:keepNext/>
              <w:spacing w:after="0" w:line="440" w:lineRule="exact"/>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921" w:type="dxa"/>
            <w:vAlign w:val="center"/>
            <w:textDirection w:val="lrTb"/>
            <w:noWrap w:val="false"/>
          </w:tcPr>
          <w:p>
            <w:pPr>
              <w:pStyle w:val="998"/>
              <w:ind w:left="63" w:right="63"/>
              <w:keepNext/>
              <w:spacing w:after="0" w:line="440" w:lineRule="exact"/>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r>
      <w:tr>
        <w:trPr>
          <w:jc w:val="center"/>
          <w:trHeight w:val="567"/>
        </w:trPr>
        <w:tc>
          <w:tcPr>
            <w:tcW w:w="1162" w:type="dxa"/>
            <w:vAlign w:val="center"/>
            <w:textDirection w:val="lrTb"/>
            <w:noWrap w:val="false"/>
          </w:tcPr>
          <w:p>
            <w:pPr>
              <w:pStyle w:val="998"/>
              <w:ind w:left="63" w:right="63"/>
              <w:keepNext/>
              <w:spacing w:after="0" w:line="440" w:lineRule="exact"/>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418" w:type="dxa"/>
            <w:vAlign w:val="center"/>
            <w:textDirection w:val="lrTb"/>
            <w:noWrap w:val="false"/>
          </w:tcPr>
          <w:p>
            <w:pPr>
              <w:pStyle w:val="998"/>
              <w:ind w:left="63" w:right="63"/>
              <w:keepNext/>
              <w:spacing w:after="0" w:line="440" w:lineRule="exact"/>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850" w:type="dxa"/>
            <w:vAlign w:val="center"/>
            <w:textDirection w:val="lrTb"/>
            <w:noWrap w:val="false"/>
          </w:tcPr>
          <w:p>
            <w:pPr>
              <w:pStyle w:val="998"/>
              <w:ind w:left="63" w:right="63"/>
              <w:keepNext/>
              <w:spacing w:after="0" w:line="440" w:lineRule="exact"/>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058" w:type="dxa"/>
            <w:vAlign w:val="center"/>
            <w:textDirection w:val="lrTb"/>
            <w:noWrap w:val="false"/>
          </w:tcPr>
          <w:p>
            <w:pPr>
              <w:pStyle w:val="998"/>
              <w:ind w:left="63" w:right="63"/>
              <w:keepNext/>
              <w:spacing w:after="0" w:line="440" w:lineRule="exact"/>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880" w:type="dxa"/>
            <w:vAlign w:val="center"/>
            <w:textDirection w:val="lrTb"/>
            <w:noWrap w:val="false"/>
          </w:tcPr>
          <w:p>
            <w:pPr>
              <w:pStyle w:val="998"/>
              <w:ind w:left="63" w:right="63"/>
              <w:keepNext/>
              <w:spacing w:after="0" w:line="440" w:lineRule="exact"/>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020" w:type="dxa"/>
            <w:vAlign w:val="center"/>
            <w:textDirection w:val="lrTb"/>
            <w:noWrap w:val="false"/>
          </w:tcPr>
          <w:p>
            <w:pPr>
              <w:pStyle w:val="998"/>
              <w:ind w:left="63" w:right="63"/>
              <w:keepNext/>
              <w:spacing w:after="0" w:line="440" w:lineRule="exact"/>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480" w:type="dxa"/>
            <w:vAlign w:val="center"/>
            <w:textDirection w:val="lrTb"/>
            <w:noWrap w:val="false"/>
          </w:tcPr>
          <w:p>
            <w:pPr>
              <w:pStyle w:val="998"/>
              <w:ind w:left="63" w:right="63"/>
              <w:keepNext/>
              <w:spacing w:after="0" w:line="440" w:lineRule="exact"/>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020" w:type="dxa"/>
            <w:vAlign w:val="center"/>
            <w:textDirection w:val="lrTb"/>
            <w:noWrap w:val="false"/>
          </w:tcPr>
          <w:p>
            <w:pPr>
              <w:pStyle w:val="998"/>
              <w:ind w:left="63" w:right="63"/>
              <w:keepNext/>
              <w:spacing w:after="0" w:line="440" w:lineRule="exact"/>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921" w:type="dxa"/>
            <w:vAlign w:val="center"/>
            <w:textDirection w:val="lrTb"/>
            <w:noWrap w:val="false"/>
          </w:tcPr>
          <w:p>
            <w:pPr>
              <w:pStyle w:val="998"/>
              <w:ind w:left="63" w:right="63"/>
              <w:keepNext/>
              <w:spacing w:after="0" w:line="440" w:lineRule="exact"/>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r>
      <w:tr>
        <w:trPr>
          <w:jc w:val="center"/>
          <w:trHeight w:val="567"/>
        </w:trPr>
        <w:tc>
          <w:tcPr>
            <w:tcW w:w="1162" w:type="dxa"/>
            <w:vAlign w:val="center"/>
            <w:textDirection w:val="lrTb"/>
            <w:noWrap w:val="false"/>
          </w:tcPr>
          <w:p>
            <w:pPr>
              <w:pStyle w:val="998"/>
              <w:ind w:left="63" w:right="63"/>
              <w:keepNext/>
              <w:spacing w:after="0" w:line="440" w:lineRule="exact"/>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418" w:type="dxa"/>
            <w:vAlign w:val="center"/>
            <w:textDirection w:val="lrTb"/>
            <w:noWrap w:val="false"/>
          </w:tcPr>
          <w:p>
            <w:pPr>
              <w:pStyle w:val="998"/>
              <w:ind w:left="63" w:right="63"/>
              <w:keepNext/>
              <w:spacing w:after="0" w:line="440" w:lineRule="exact"/>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850" w:type="dxa"/>
            <w:vAlign w:val="center"/>
            <w:textDirection w:val="lrTb"/>
            <w:noWrap w:val="false"/>
          </w:tcPr>
          <w:p>
            <w:pPr>
              <w:pStyle w:val="998"/>
              <w:ind w:left="63" w:right="63"/>
              <w:keepNext/>
              <w:spacing w:after="0" w:line="440" w:lineRule="exact"/>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058" w:type="dxa"/>
            <w:vAlign w:val="center"/>
            <w:textDirection w:val="lrTb"/>
            <w:noWrap w:val="false"/>
          </w:tcPr>
          <w:p>
            <w:pPr>
              <w:pStyle w:val="998"/>
              <w:ind w:left="63" w:right="63"/>
              <w:keepNext/>
              <w:spacing w:after="0" w:line="440" w:lineRule="exact"/>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880" w:type="dxa"/>
            <w:vAlign w:val="center"/>
            <w:textDirection w:val="lrTb"/>
            <w:noWrap w:val="false"/>
          </w:tcPr>
          <w:p>
            <w:pPr>
              <w:pStyle w:val="998"/>
              <w:ind w:left="63" w:right="63"/>
              <w:keepNext/>
              <w:spacing w:after="0" w:line="440" w:lineRule="exact"/>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020" w:type="dxa"/>
            <w:vAlign w:val="center"/>
            <w:textDirection w:val="lrTb"/>
            <w:noWrap w:val="false"/>
          </w:tcPr>
          <w:p>
            <w:pPr>
              <w:pStyle w:val="998"/>
              <w:ind w:left="63" w:right="63"/>
              <w:keepNext/>
              <w:spacing w:after="0" w:line="440" w:lineRule="exact"/>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480" w:type="dxa"/>
            <w:vAlign w:val="center"/>
            <w:textDirection w:val="lrTb"/>
            <w:noWrap w:val="false"/>
          </w:tcPr>
          <w:p>
            <w:pPr>
              <w:pStyle w:val="998"/>
              <w:ind w:left="63" w:right="63"/>
              <w:keepNext/>
              <w:spacing w:after="0" w:line="440" w:lineRule="exact"/>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020" w:type="dxa"/>
            <w:vAlign w:val="center"/>
            <w:textDirection w:val="lrTb"/>
            <w:noWrap w:val="false"/>
          </w:tcPr>
          <w:p>
            <w:pPr>
              <w:pStyle w:val="998"/>
              <w:ind w:left="63" w:right="63"/>
              <w:keepNext/>
              <w:spacing w:after="0" w:line="440" w:lineRule="exact"/>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921" w:type="dxa"/>
            <w:vAlign w:val="center"/>
            <w:textDirection w:val="lrTb"/>
            <w:noWrap w:val="false"/>
          </w:tcPr>
          <w:p>
            <w:pPr>
              <w:pStyle w:val="998"/>
              <w:ind w:left="63" w:right="63"/>
              <w:keepNext/>
              <w:spacing w:after="0" w:line="440" w:lineRule="exact"/>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r>
      <w:tr>
        <w:trPr>
          <w:jc w:val="center"/>
          <w:trHeight w:val="567"/>
        </w:trPr>
        <w:tc>
          <w:tcPr>
            <w:tcW w:w="1162" w:type="dxa"/>
            <w:vAlign w:val="center"/>
            <w:textDirection w:val="lrTb"/>
            <w:noWrap w:val="false"/>
          </w:tcPr>
          <w:p>
            <w:pPr>
              <w:pStyle w:val="998"/>
              <w:ind w:left="63" w:right="63"/>
              <w:keepNext/>
              <w:spacing w:after="0" w:line="440" w:lineRule="exact"/>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418" w:type="dxa"/>
            <w:vAlign w:val="center"/>
            <w:textDirection w:val="lrTb"/>
            <w:noWrap w:val="false"/>
          </w:tcPr>
          <w:p>
            <w:pPr>
              <w:pStyle w:val="998"/>
              <w:ind w:left="63" w:right="63"/>
              <w:keepNext/>
              <w:spacing w:after="0" w:line="440" w:lineRule="exact"/>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850" w:type="dxa"/>
            <w:vAlign w:val="center"/>
            <w:textDirection w:val="lrTb"/>
            <w:noWrap w:val="false"/>
          </w:tcPr>
          <w:p>
            <w:pPr>
              <w:pStyle w:val="998"/>
              <w:ind w:left="63" w:right="63"/>
              <w:keepNext/>
              <w:spacing w:after="0" w:line="440" w:lineRule="exact"/>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058" w:type="dxa"/>
            <w:vAlign w:val="center"/>
            <w:textDirection w:val="lrTb"/>
            <w:noWrap w:val="false"/>
          </w:tcPr>
          <w:p>
            <w:pPr>
              <w:pStyle w:val="998"/>
              <w:ind w:left="63" w:right="63"/>
              <w:keepNext/>
              <w:spacing w:after="0" w:line="440" w:lineRule="exact"/>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880" w:type="dxa"/>
            <w:vAlign w:val="center"/>
            <w:textDirection w:val="lrTb"/>
            <w:noWrap w:val="false"/>
          </w:tcPr>
          <w:p>
            <w:pPr>
              <w:pStyle w:val="998"/>
              <w:ind w:left="63" w:right="63"/>
              <w:keepNext/>
              <w:spacing w:after="0" w:line="440" w:lineRule="exact"/>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020" w:type="dxa"/>
            <w:vAlign w:val="center"/>
            <w:textDirection w:val="lrTb"/>
            <w:noWrap w:val="false"/>
          </w:tcPr>
          <w:p>
            <w:pPr>
              <w:pStyle w:val="998"/>
              <w:ind w:left="63" w:right="63"/>
              <w:keepNext/>
              <w:spacing w:after="0" w:line="440" w:lineRule="exact"/>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480" w:type="dxa"/>
            <w:vAlign w:val="center"/>
            <w:textDirection w:val="lrTb"/>
            <w:noWrap w:val="false"/>
          </w:tcPr>
          <w:p>
            <w:pPr>
              <w:pStyle w:val="998"/>
              <w:ind w:left="63" w:right="63"/>
              <w:keepNext/>
              <w:spacing w:after="0" w:line="440" w:lineRule="exact"/>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020" w:type="dxa"/>
            <w:vAlign w:val="center"/>
            <w:textDirection w:val="lrTb"/>
            <w:noWrap w:val="false"/>
          </w:tcPr>
          <w:p>
            <w:pPr>
              <w:pStyle w:val="998"/>
              <w:ind w:left="63" w:right="63"/>
              <w:keepNext/>
              <w:spacing w:after="0" w:line="440" w:lineRule="exact"/>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921" w:type="dxa"/>
            <w:vAlign w:val="center"/>
            <w:textDirection w:val="lrTb"/>
            <w:noWrap w:val="false"/>
          </w:tcPr>
          <w:p>
            <w:pPr>
              <w:pStyle w:val="998"/>
              <w:ind w:left="63" w:right="63"/>
              <w:keepNext/>
              <w:spacing w:after="0" w:line="440" w:lineRule="exact"/>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r>
      <w:tr>
        <w:trPr>
          <w:jc w:val="center"/>
          <w:trHeight w:val="567"/>
        </w:trPr>
        <w:tc>
          <w:tcPr>
            <w:tcW w:w="1162" w:type="dxa"/>
            <w:vAlign w:val="center"/>
            <w:textDirection w:val="lrTb"/>
            <w:noWrap w:val="false"/>
          </w:tcPr>
          <w:p>
            <w:pPr>
              <w:pStyle w:val="998"/>
              <w:ind w:left="63" w:right="63"/>
              <w:keepNext/>
              <w:spacing w:after="0" w:line="440" w:lineRule="exact"/>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418" w:type="dxa"/>
            <w:vAlign w:val="center"/>
            <w:textDirection w:val="lrTb"/>
            <w:noWrap w:val="false"/>
          </w:tcPr>
          <w:p>
            <w:pPr>
              <w:pStyle w:val="998"/>
              <w:ind w:left="63" w:right="63"/>
              <w:keepNext/>
              <w:spacing w:after="0" w:line="440" w:lineRule="exact"/>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850" w:type="dxa"/>
            <w:vAlign w:val="center"/>
            <w:textDirection w:val="lrTb"/>
            <w:noWrap w:val="false"/>
          </w:tcPr>
          <w:p>
            <w:pPr>
              <w:pStyle w:val="998"/>
              <w:ind w:left="63" w:right="63"/>
              <w:keepNext/>
              <w:spacing w:after="0" w:line="440" w:lineRule="exact"/>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058" w:type="dxa"/>
            <w:vAlign w:val="center"/>
            <w:textDirection w:val="lrTb"/>
            <w:noWrap w:val="false"/>
          </w:tcPr>
          <w:p>
            <w:pPr>
              <w:pStyle w:val="998"/>
              <w:ind w:left="63" w:right="63"/>
              <w:keepNext/>
              <w:spacing w:after="0" w:line="440" w:lineRule="exact"/>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880" w:type="dxa"/>
            <w:vAlign w:val="center"/>
            <w:textDirection w:val="lrTb"/>
            <w:noWrap w:val="false"/>
          </w:tcPr>
          <w:p>
            <w:pPr>
              <w:pStyle w:val="998"/>
              <w:ind w:left="63" w:right="63"/>
              <w:keepNext/>
              <w:spacing w:after="0" w:line="440" w:lineRule="exact"/>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020" w:type="dxa"/>
            <w:vAlign w:val="center"/>
            <w:textDirection w:val="lrTb"/>
            <w:noWrap w:val="false"/>
          </w:tcPr>
          <w:p>
            <w:pPr>
              <w:pStyle w:val="998"/>
              <w:ind w:left="63" w:right="63"/>
              <w:keepNext/>
              <w:spacing w:after="0" w:line="440" w:lineRule="exact"/>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480" w:type="dxa"/>
            <w:vAlign w:val="center"/>
            <w:textDirection w:val="lrTb"/>
            <w:noWrap w:val="false"/>
          </w:tcPr>
          <w:p>
            <w:pPr>
              <w:pStyle w:val="998"/>
              <w:ind w:left="63" w:right="63"/>
              <w:keepNext/>
              <w:spacing w:after="0" w:line="440" w:lineRule="exact"/>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020" w:type="dxa"/>
            <w:vAlign w:val="center"/>
            <w:textDirection w:val="lrTb"/>
            <w:noWrap w:val="false"/>
          </w:tcPr>
          <w:p>
            <w:pPr>
              <w:pStyle w:val="998"/>
              <w:ind w:left="63" w:right="63"/>
              <w:keepNext/>
              <w:spacing w:after="0" w:line="440" w:lineRule="exact"/>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921" w:type="dxa"/>
            <w:vAlign w:val="center"/>
            <w:textDirection w:val="lrTb"/>
            <w:noWrap w:val="false"/>
          </w:tcPr>
          <w:p>
            <w:pPr>
              <w:pStyle w:val="998"/>
              <w:ind w:left="63" w:right="63"/>
              <w:keepNext/>
              <w:spacing w:after="0" w:line="440" w:lineRule="exact"/>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r>
      <w:tr>
        <w:trPr>
          <w:jc w:val="center"/>
          <w:trHeight w:val="567"/>
        </w:trPr>
        <w:tc>
          <w:tcPr>
            <w:tcW w:w="1162" w:type="dxa"/>
            <w:vAlign w:val="top"/>
            <w:textDirection w:val="lrTb"/>
            <w:noWrap w:val="false"/>
          </w:tcPr>
          <w:p>
            <w:pPr>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418" w:type="dxa"/>
            <w:vAlign w:val="top"/>
            <w:textDirection w:val="lrTb"/>
            <w:noWrap w:val="false"/>
          </w:tcPr>
          <w:p>
            <w:pPr>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850" w:type="dxa"/>
            <w:vAlign w:val="top"/>
            <w:textDirection w:val="lrTb"/>
            <w:noWrap w:val="false"/>
          </w:tcPr>
          <w:p>
            <w:pPr>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058" w:type="dxa"/>
            <w:vAlign w:val="top"/>
            <w:textDirection w:val="lrTb"/>
            <w:noWrap w:val="false"/>
          </w:tcPr>
          <w:p>
            <w:pPr>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880" w:type="dxa"/>
            <w:vAlign w:val="top"/>
            <w:textDirection w:val="lrTb"/>
            <w:noWrap w:val="false"/>
          </w:tcPr>
          <w:p>
            <w:pPr>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020" w:type="dxa"/>
            <w:vAlign w:val="top"/>
            <w:textDirection w:val="lrTb"/>
            <w:noWrap w:val="false"/>
          </w:tcPr>
          <w:p>
            <w:pPr>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480" w:type="dxa"/>
            <w:vAlign w:val="top"/>
            <w:textDirection w:val="lrTb"/>
            <w:noWrap w:val="false"/>
          </w:tcPr>
          <w:p>
            <w:pPr>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020" w:type="dxa"/>
            <w:vAlign w:val="top"/>
            <w:textDirection w:val="lrTb"/>
            <w:noWrap w:val="false"/>
          </w:tcPr>
          <w:p>
            <w:pPr>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921" w:type="dxa"/>
            <w:vAlign w:val="top"/>
            <w:textDirection w:val="lrTb"/>
            <w:noWrap w:val="false"/>
          </w:tcPr>
          <w:p>
            <w:pPr>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r>
      <w:tr>
        <w:trPr>
          <w:jc w:val="center"/>
          <w:trHeight w:val="567"/>
        </w:trPr>
        <w:tc>
          <w:tcPr>
            <w:tcW w:w="1162" w:type="dxa"/>
            <w:vAlign w:val="center"/>
            <w:textDirection w:val="lrTb"/>
            <w:noWrap w:val="false"/>
          </w:tcPr>
          <w:p>
            <w:pPr>
              <w:pStyle w:val="998"/>
              <w:ind w:left="63" w:right="63"/>
              <w:keepNext/>
              <w:spacing w:after="0" w:line="440" w:lineRule="exact"/>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418" w:type="dxa"/>
            <w:vAlign w:val="center"/>
            <w:textDirection w:val="lrTb"/>
            <w:noWrap w:val="false"/>
          </w:tcPr>
          <w:p>
            <w:pPr>
              <w:pStyle w:val="998"/>
              <w:ind w:left="63" w:right="63"/>
              <w:keepNext/>
              <w:spacing w:after="0" w:line="440" w:lineRule="exact"/>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850" w:type="dxa"/>
            <w:vAlign w:val="center"/>
            <w:textDirection w:val="lrTb"/>
            <w:noWrap w:val="false"/>
          </w:tcPr>
          <w:p>
            <w:pPr>
              <w:pStyle w:val="998"/>
              <w:ind w:left="63" w:right="63"/>
              <w:keepNext/>
              <w:spacing w:after="0" w:line="440" w:lineRule="exact"/>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058" w:type="dxa"/>
            <w:vAlign w:val="center"/>
            <w:textDirection w:val="lrTb"/>
            <w:noWrap w:val="false"/>
          </w:tcPr>
          <w:p>
            <w:pPr>
              <w:pStyle w:val="998"/>
              <w:ind w:left="63" w:right="63"/>
              <w:keepNext/>
              <w:spacing w:after="0" w:line="440" w:lineRule="exact"/>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880" w:type="dxa"/>
            <w:vAlign w:val="center"/>
            <w:textDirection w:val="lrTb"/>
            <w:noWrap w:val="false"/>
          </w:tcPr>
          <w:p>
            <w:pPr>
              <w:pStyle w:val="998"/>
              <w:ind w:left="63" w:right="63"/>
              <w:keepNext/>
              <w:spacing w:after="0" w:line="440" w:lineRule="exact"/>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020" w:type="dxa"/>
            <w:vAlign w:val="center"/>
            <w:textDirection w:val="lrTb"/>
            <w:noWrap w:val="false"/>
          </w:tcPr>
          <w:p>
            <w:pPr>
              <w:pStyle w:val="998"/>
              <w:ind w:left="63" w:right="63"/>
              <w:keepNext/>
              <w:spacing w:after="0" w:line="440" w:lineRule="exact"/>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480" w:type="dxa"/>
            <w:vAlign w:val="center"/>
            <w:textDirection w:val="lrTb"/>
            <w:noWrap w:val="false"/>
          </w:tcPr>
          <w:p>
            <w:pPr>
              <w:pStyle w:val="998"/>
              <w:ind w:left="63" w:right="63"/>
              <w:keepNext/>
              <w:spacing w:after="0" w:line="440" w:lineRule="exact"/>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020" w:type="dxa"/>
            <w:vAlign w:val="center"/>
            <w:textDirection w:val="lrTb"/>
            <w:noWrap w:val="false"/>
          </w:tcPr>
          <w:p>
            <w:pPr>
              <w:pStyle w:val="998"/>
              <w:ind w:left="63" w:right="63"/>
              <w:keepNext/>
              <w:spacing w:after="0" w:line="440" w:lineRule="exact"/>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921" w:type="dxa"/>
            <w:vAlign w:val="center"/>
            <w:textDirection w:val="lrTb"/>
            <w:noWrap w:val="false"/>
          </w:tcPr>
          <w:p>
            <w:pPr>
              <w:pStyle w:val="998"/>
              <w:ind w:left="63" w:right="63"/>
              <w:keepNext/>
              <w:spacing w:after="0" w:line="440" w:lineRule="exact"/>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r>
      <w:tr>
        <w:trPr>
          <w:jc w:val="center"/>
          <w:trHeight w:val="567"/>
        </w:trPr>
        <w:tc>
          <w:tcPr>
            <w:tcW w:w="1162" w:type="dxa"/>
            <w:vAlign w:val="top"/>
            <w:textDirection w:val="lrTb"/>
            <w:noWrap w:val="false"/>
          </w:tcPr>
          <w:p>
            <w:pPr>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418" w:type="dxa"/>
            <w:vAlign w:val="top"/>
            <w:textDirection w:val="lrTb"/>
            <w:noWrap w:val="false"/>
          </w:tcPr>
          <w:p>
            <w:pPr>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850" w:type="dxa"/>
            <w:vAlign w:val="top"/>
            <w:textDirection w:val="lrTb"/>
            <w:noWrap w:val="false"/>
          </w:tcPr>
          <w:p>
            <w:pPr>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058" w:type="dxa"/>
            <w:vAlign w:val="top"/>
            <w:textDirection w:val="lrTb"/>
            <w:noWrap w:val="false"/>
          </w:tcPr>
          <w:p>
            <w:pPr>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880" w:type="dxa"/>
            <w:vAlign w:val="top"/>
            <w:textDirection w:val="lrTb"/>
            <w:noWrap w:val="false"/>
          </w:tcPr>
          <w:p>
            <w:pPr>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020" w:type="dxa"/>
            <w:vAlign w:val="top"/>
            <w:textDirection w:val="lrTb"/>
            <w:noWrap w:val="false"/>
          </w:tcPr>
          <w:p>
            <w:pPr>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480" w:type="dxa"/>
            <w:vAlign w:val="top"/>
            <w:textDirection w:val="lrTb"/>
            <w:noWrap w:val="false"/>
          </w:tcPr>
          <w:p>
            <w:pPr>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020" w:type="dxa"/>
            <w:vAlign w:val="top"/>
            <w:textDirection w:val="lrTb"/>
            <w:noWrap w:val="false"/>
          </w:tcPr>
          <w:p>
            <w:pPr>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921" w:type="dxa"/>
            <w:vAlign w:val="top"/>
            <w:textDirection w:val="lrTb"/>
            <w:noWrap w:val="false"/>
          </w:tcPr>
          <w:p>
            <w:pPr>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r>
      <w:tr>
        <w:trPr>
          <w:jc w:val="center"/>
          <w:trHeight w:val="567"/>
        </w:trPr>
        <w:tc>
          <w:tcPr>
            <w:tcW w:w="1162" w:type="dxa"/>
            <w:vAlign w:val="top"/>
            <w:textDirection w:val="lrTb"/>
            <w:noWrap w:val="false"/>
          </w:tcPr>
          <w:p>
            <w:pPr>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418" w:type="dxa"/>
            <w:vAlign w:val="top"/>
            <w:textDirection w:val="lrTb"/>
            <w:noWrap w:val="false"/>
          </w:tcPr>
          <w:p>
            <w:pPr>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850" w:type="dxa"/>
            <w:vAlign w:val="top"/>
            <w:textDirection w:val="lrTb"/>
            <w:noWrap w:val="false"/>
          </w:tcPr>
          <w:p>
            <w:pPr>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058" w:type="dxa"/>
            <w:vAlign w:val="top"/>
            <w:textDirection w:val="lrTb"/>
            <w:noWrap w:val="false"/>
          </w:tcPr>
          <w:p>
            <w:pPr>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880" w:type="dxa"/>
            <w:vAlign w:val="top"/>
            <w:textDirection w:val="lrTb"/>
            <w:noWrap w:val="false"/>
          </w:tcPr>
          <w:p>
            <w:pPr>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020" w:type="dxa"/>
            <w:vAlign w:val="top"/>
            <w:textDirection w:val="lrTb"/>
            <w:noWrap w:val="false"/>
          </w:tcPr>
          <w:p>
            <w:pPr>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480" w:type="dxa"/>
            <w:vAlign w:val="top"/>
            <w:textDirection w:val="lrTb"/>
            <w:noWrap w:val="false"/>
          </w:tcPr>
          <w:p>
            <w:pPr>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020" w:type="dxa"/>
            <w:vAlign w:val="top"/>
            <w:textDirection w:val="lrTb"/>
            <w:noWrap w:val="false"/>
          </w:tcPr>
          <w:p>
            <w:pPr>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921" w:type="dxa"/>
            <w:vAlign w:val="top"/>
            <w:textDirection w:val="lrTb"/>
            <w:noWrap w:val="false"/>
          </w:tcPr>
          <w:p>
            <w:pPr>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r>
      <w:tr>
        <w:trPr>
          <w:jc w:val="center"/>
          <w:trHeight w:val="567"/>
        </w:trPr>
        <w:tc>
          <w:tcPr>
            <w:tcW w:w="1162" w:type="dxa"/>
            <w:vAlign w:val="top"/>
            <w:textDirection w:val="lrTb"/>
            <w:noWrap w:val="false"/>
          </w:tcPr>
          <w:p>
            <w:pPr>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418" w:type="dxa"/>
            <w:vAlign w:val="top"/>
            <w:textDirection w:val="lrTb"/>
            <w:noWrap w:val="false"/>
          </w:tcPr>
          <w:p>
            <w:pPr>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850" w:type="dxa"/>
            <w:vAlign w:val="top"/>
            <w:textDirection w:val="lrTb"/>
            <w:noWrap w:val="false"/>
          </w:tcPr>
          <w:p>
            <w:pPr>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058" w:type="dxa"/>
            <w:vAlign w:val="top"/>
            <w:textDirection w:val="lrTb"/>
            <w:noWrap w:val="false"/>
          </w:tcPr>
          <w:p>
            <w:pPr>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880" w:type="dxa"/>
            <w:vAlign w:val="top"/>
            <w:textDirection w:val="lrTb"/>
            <w:noWrap w:val="false"/>
          </w:tcPr>
          <w:p>
            <w:pPr>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020" w:type="dxa"/>
            <w:vAlign w:val="top"/>
            <w:textDirection w:val="lrTb"/>
            <w:noWrap w:val="false"/>
          </w:tcPr>
          <w:p>
            <w:pPr>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480" w:type="dxa"/>
            <w:vAlign w:val="top"/>
            <w:textDirection w:val="lrTb"/>
            <w:noWrap w:val="false"/>
          </w:tcPr>
          <w:p>
            <w:pPr>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020" w:type="dxa"/>
            <w:vAlign w:val="top"/>
            <w:textDirection w:val="lrTb"/>
            <w:noWrap w:val="false"/>
          </w:tcPr>
          <w:p>
            <w:pPr>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921" w:type="dxa"/>
            <w:vAlign w:val="top"/>
            <w:textDirection w:val="lrTb"/>
            <w:noWrap w:val="false"/>
          </w:tcPr>
          <w:p>
            <w:pPr>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r>
      <w:tr>
        <w:trPr>
          <w:jc w:val="center"/>
          <w:trHeight w:val="567"/>
        </w:trPr>
        <w:tc>
          <w:tcPr>
            <w:tcW w:w="1162" w:type="dxa"/>
            <w:vAlign w:val="top"/>
            <w:textDirection w:val="lrTb"/>
            <w:noWrap w:val="false"/>
          </w:tcPr>
          <w:p>
            <w:pPr>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418" w:type="dxa"/>
            <w:vAlign w:val="top"/>
            <w:textDirection w:val="lrTb"/>
            <w:noWrap w:val="false"/>
          </w:tcPr>
          <w:p>
            <w:pPr>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850" w:type="dxa"/>
            <w:vAlign w:val="top"/>
            <w:textDirection w:val="lrTb"/>
            <w:noWrap w:val="false"/>
          </w:tcPr>
          <w:p>
            <w:pPr>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058" w:type="dxa"/>
            <w:vAlign w:val="top"/>
            <w:textDirection w:val="lrTb"/>
            <w:noWrap w:val="false"/>
          </w:tcPr>
          <w:p>
            <w:pPr>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880" w:type="dxa"/>
            <w:vAlign w:val="top"/>
            <w:textDirection w:val="lrTb"/>
            <w:noWrap w:val="false"/>
          </w:tcPr>
          <w:p>
            <w:pPr>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020" w:type="dxa"/>
            <w:vAlign w:val="top"/>
            <w:textDirection w:val="lrTb"/>
            <w:noWrap w:val="false"/>
          </w:tcPr>
          <w:p>
            <w:pPr>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480" w:type="dxa"/>
            <w:vAlign w:val="top"/>
            <w:textDirection w:val="lrTb"/>
            <w:noWrap w:val="false"/>
          </w:tcPr>
          <w:p>
            <w:pPr>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020" w:type="dxa"/>
            <w:vAlign w:val="top"/>
            <w:textDirection w:val="lrTb"/>
            <w:noWrap w:val="false"/>
          </w:tcPr>
          <w:p>
            <w:pPr>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921" w:type="dxa"/>
            <w:vAlign w:val="top"/>
            <w:textDirection w:val="lrTb"/>
            <w:noWrap w:val="false"/>
          </w:tcPr>
          <w:p>
            <w:pPr>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r>
      <w:tr>
        <w:trPr>
          <w:jc w:val="center"/>
          <w:trHeight w:val="567"/>
        </w:trPr>
        <w:tc>
          <w:tcPr>
            <w:tcW w:w="1162" w:type="dxa"/>
            <w:vAlign w:val="top"/>
            <w:textDirection w:val="lrTb"/>
            <w:noWrap w:val="false"/>
          </w:tcPr>
          <w:p>
            <w:pPr>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418" w:type="dxa"/>
            <w:vAlign w:val="top"/>
            <w:textDirection w:val="lrTb"/>
            <w:noWrap w:val="false"/>
          </w:tcPr>
          <w:p>
            <w:pPr>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850" w:type="dxa"/>
            <w:vAlign w:val="top"/>
            <w:textDirection w:val="lrTb"/>
            <w:noWrap w:val="false"/>
          </w:tcPr>
          <w:p>
            <w:pPr>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058" w:type="dxa"/>
            <w:vAlign w:val="top"/>
            <w:textDirection w:val="lrTb"/>
            <w:noWrap w:val="false"/>
          </w:tcPr>
          <w:p>
            <w:pPr>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880" w:type="dxa"/>
            <w:vAlign w:val="top"/>
            <w:textDirection w:val="lrTb"/>
            <w:noWrap w:val="false"/>
          </w:tcPr>
          <w:p>
            <w:pPr>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020" w:type="dxa"/>
            <w:vAlign w:val="top"/>
            <w:textDirection w:val="lrTb"/>
            <w:noWrap w:val="false"/>
          </w:tcPr>
          <w:p>
            <w:pPr>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480" w:type="dxa"/>
            <w:vAlign w:val="top"/>
            <w:textDirection w:val="lrTb"/>
            <w:noWrap w:val="false"/>
          </w:tcPr>
          <w:p>
            <w:pPr>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020" w:type="dxa"/>
            <w:vAlign w:val="top"/>
            <w:textDirection w:val="lrTb"/>
            <w:noWrap w:val="false"/>
          </w:tcPr>
          <w:p>
            <w:pPr>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921" w:type="dxa"/>
            <w:vAlign w:val="top"/>
            <w:textDirection w:val="lrTb"/>
            <w:noWrap w:val="false"/>
          </w:tcPr>
          <w:p>
            <w:pPr>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r>
      <w:tr>
        <w:trPr>
          <w:jc w:val="center"/>
          <w:trHeight w:val="567"/>
        </w:trPr>
        <w:tc>
          <w:tcPr>
            <w:tcW w:w="1162" w:type="dxa"/>
            <w:vAlign w:val="top"/>
            <w:textDirection w:val="lrTb"/>
            <w:noWrap w:val="false"/>
          </w:tcPr>
          <w:p>
            <w:pPr>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418" w:type="dxa"/>
            <w:vAlign w:val="top"/>
            <w:textDirection w:val="lrTb"/>
            <w:noWrap w:val="false"/>
          </w:tcPr>
          <w:p>
            <w:pPr>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850" w:type="dxa"/>
            <w:vAlign w:val="top"/>
            <w:textDirection w:val="lrTb"/>
            <w:noWrap w:val="false"/>
          </w:tcPr>
          <w:p>
            <w:pPr>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058" w:type="dxa"/>
            <w:vAlign w:val="top"/>
            <w:textDirection w:val="lrTb"/>
            <w:noWrap w:val="false"/>
          </w:tcPr>
          <w:p>
            <w:pPr>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880" w:type="dxa"/>
            <w:vAlign w:val="top"/>
            <w:textDirection w:val="lrTb"/>
            <w:noWrap w:val="false"/>
          </w:tcPr>
          <w:p>
            <w:pPr>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020" w:type="dxa"/>
            <w:vAlign w:val="top"/>
            <w:textDirection w:val="lrTb"/>
            <w:noWrap w:val="false"/>
          </w:tcPr>
          <w:p>
            <w:pPr>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480" w:type="dxa"/>
            <w:vAlign w:val="top"/>
            <w:textDirection w:val="lrTb"/>
            <w:noWrap w:val="false"/>
          </w:tcPr>
          <w:p>
            <w:pPr>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020" w:type="dxa"/>
            <w:vAlign w:val="top"/>
            <w:textDirection w:val="lrTb"/>
            <w:noWrap w:val="false"/>
          </w:tcPr>
          <w:p>
            <w:pPr>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921" w:type="dxa"/>
            <w:vAlign w:val="top"/>
            <w:textDirection w:val="lrTb"/>
            <w:noWrap w:val="false"/>
          </w:tcPr>
          <w:p>
            <w:pPr>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r>
      <w:tr>
        <w:trPr>
          <w:jc w:val="center"/>
          <w:trHeight w:val="567"/>
        </w:trPr>
        <w:tc>
          <w:tcPr>
            <w:tcW w:w="1162" w:type="dxa"/>
            <w:vAlign w:val="top"/>
            <w:textDirection w:val="lrTb"/>
            <w:noWrap w:val="false"/>
          </w:tcPr>
          <w:p>
            <w:pPr>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418" w:type="dxa"/>
            <w:vAlign w:val="top"/>
            <w:textDirection w:val="lrTb"/>
            <w:noWrap w:val="false"/>
          </w:tcPr>
          <w:p>
            <w:pPr>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850" w:type="dxa"/>
            <w:vAlign w:val="top"/>
            <w:textDirection w:val="lrTb"/>
            <w:noWrap w:val="false"/>
          </w:tcPr>
          <w:p>
            <w:pPr>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058" w:type="dxa"/>
            <w:vAlign w:val="top"/>
            <w:textDirection w:val="lrTb"/>
            <w:noWrap w:val="false"/>
          </w:tcPr>
          <w:p>
            <w:pPr>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880" w:type="dxa"/>
            <w:vAlign w:val="top"/>
            <w:textDirection w:val="lrTb"/>
            <w:noWrap w:val="false"/>
          </w:tcPr>
          <w:p>
            <w:pPr>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020" w:type="dxa"/>
            <w:vAlign w:val="top"/>
            <w:textDirection w:val="lrTb"/>
            <w:noWrap w:val="false"/>
          </w:tcPr>
          <w:p>
            <w:pPr>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480" w:type="dxa"/>
            <w:vAlign w:val="top"/>
            <w:textDirection w:val="lrTb"/>
            <w:noWrap w:val="false"/>
          </w:tcPr>
          <w:p>
            <w:pPr>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020" w:type="dxa"/>
            <w:vAlign w:val="top"/>
            <w:textDirection w:val="lrTb"/>
            <w:noWrap w:val="false"/>
          </w:tcPr>
          <w:p>
            <w:pPr>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921" w:type="dxa"/>
            <w:vAlign w:val="top"/>
            <w:textDirection w:val="lrTb"/>
            <w:noWrap w:val="false"/>
          </w:tcPr>
          <w:p>
            <w:pPr>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r>
    </w:tbl>
    <w:p>
      <w:pPr>
        <w:spacing w:line="440" w:lineRule="exact"/>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998"/>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999"/>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1001"/>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1041"/>
        <w:ind w:left="0" w:firstLine="0"/>
        <w:rPr>
          <w:rFonts w:hint="eastAsia"/>
        </w:rPr>
      </w:pPr>
      <w:r>
        <w:rPr>
          <w:rFonts w:hint="eastAsia"/>
        </w:rPr>
      </w:r>
      <w:r/>
    </w:p>
    <w:p>
      <w:pPr>
        <w:spacing w:line="440" w:lineRule="exact"/>
        <w:shd w:val="clear" w:color="auto" w:fil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附</w:t>
      </w:r>
      <w:bookmarkStart w:id="56" w:name="_Toc296944567"/>
      <w:r/>
      <w:bookmarkStart w:id="57" w:name="_Toc267261699"/>
      <w:r/>
      <w:bookmarkStart w:id="58" w:name="_Toc296347227"/>
      <w:r/>
      <w:bookmarkStart w:id="59" w:name="_Toc296891268"/>
      <w:r/>
      <w:bookmarkStart w:id="60" w:name="_Toc296503228"/>
      <w:r/>
      <w:bookmarkStart w:id="61" w:name="_Toc296891056"/>
      <w:r/>
      <w:bookmarkStart w:id="62" w:name="_Toc296346729"/>
      <w:r>
        <w:rPr>
          <w:rFonts w:hint="eastAsia" w:ascii="宋体" w:hAnsi="宋体" w:eastAsia="宋体" w:cs="宋体"/>
          <w:color w:val="auto"/>
          <w:szCs w:val="21"/>
          <w:highlight w:val="none"/>
        </w:rPr>
        <w:t xml:space="preserve">件</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w:t>
      </w:r>
      <w:bookmarkEnd w:id="56"/>
      <w:r/>
      <w:bookmarkEnd w:id="57"/>
      <w:r/>
      <w:bookmarkEnd w:id="58"/>
      <w:r/>
      <w:bookmarkEnd w:id="59"/>
      <w:r/>
      <w:bookmarkEnd w:id="60"/>
      <w:r/>
      <w:bookmarkEnd w:id="61"/>
      <w:r/>
      <w:bookmarkEnd w:id="62"/>
      <w:r/>
      <w:r/>
    </w:p>
    <w:p>
      <w:pPr>
        <w:jc w:val="center"/>
        <w:spacing w:before="120" w:after="120" w:line="440" w:lineRule="exact"/>
        <w:shd w:val="clear" w:color="auto" w:fil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承包人主要施工管理人员表</w:t>
      </w:r>
      <w:r/>
    </w:p>
    <w:tbl>
      <w:tblPr>
        <w:tblStyle w:val="991"/>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Pr>
        <w:tc>
          <w:tcPr>
            <w:tcBorders>
              <w:top w:val="single" w:color="auto" w:sz="12" w:space="0"/>
              <w:bottom w:val="single" w:color="auto" w:sz="6" w:space="0"/>
            </w:tcBorders>
            <w:tcW w:w="1871" w:type="dxa"/>
            <w:vAlign w:val="center"/>
            <w:textDirection w:val="lrTb"/>
            <w:noWrap w:val="false"/>
          </w:tcPr>
          <w:p>
            <w:pPr>
              <w:pStyle w:val="998"/>
              <w:ind w:left="63" w:right="63"/>
              <w:keepNext/>
              <w:spacing w:after="0" w:line="440" w:lineRule="exac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    称</w:t>
            </w:r>
            <w:r/>
          </w:p>
        </w:tc>
        <w:tc>
          <w:tcPr>
            <w:tcBorders>
              <w:top w:val="single" w:color="auto" w:sz="12" w:space="0"/>
              <w:bottom w:val="single" w:color="auto" w:sz="6" w:space="0"/>
            </w:tcBorders>
            <w:tcW w:w="1418" w:type="dxa"/>
            <w:vAlign w:val="center"/>
            <w:textDirection w:val="lrTb"/>
            <w:noWrap w:val="false"/>
          </w:tcPr>
          <w:p>
            <w:pPr>
              <w:pStyle w:val="998"/>
              <w:ind w:left="63" w:right="63"/>
              <w:keepNext/>
              <w:spacing w:after="0" w:line="440" w:lineRule="exac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姓名</w:t>
            </w:r>
            <w:r/>
          </w:p>
        </w:tc>
        <w:tc>
          <w:tcPr>
            <w:tcBorders>
              <w:top w:val="single" w:color="auto" w:sz="12" w:space="0"/>
              <w:bottom w:val="single" w:color="auto" w:sz="6" w:space="0"/>
            </w:tcBorders>
            <w:tcW w:w="1134" w:type="dxa"/>
            <w:vAlign w:val="center"/>
            <w:textDirection w:val="lrTb"/>
            <w:noWrap w:val="false"/>
          </w:tcPr>
          <w:p>
            <w:pPr>
              <w:pStyle w:val="998"/>
              <w:ind w:left="63" w:right="63"/>
              <w:keepNext/>
              <w:spacing w:after="0" w:line="440" w:lineRule="exac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职务</w:t>
            </w:r>
            <w:r/>
          </w:p>
        </w:tc>
        <w:tc>
          <w:tcPr>
            <w:tcBorders>
              <w:top w:val="single" w:color="auto" w:sz="12" w:space="0"/>
              <w:bottom w:val="single" w:color="auto" w:sz="6" w:space="0"/>
            </w:tcBorders>
            <w:tcW w:w="1134" w:type="dxa"/>
            <w:vAlign w:val="center"/>
            <w:textDirection w:val="lrTb"/>
            <w:noWrap w:val="false"/>
          </w:tcPr>
          <w:p>
            <w:pPr>
              <w:pStyle w:val="998"/>
              <w:ind w:left="63" w:right="63"/>
              <w:keepNext/>
              <w:spacing w:after="0" w:line="440" w:lineRule="exac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职称</w:t>
            </w:r>
            <w:r/>
          </w:p>
        </w:tc>
        <w:tc>
          <w:tcPr>
            <w:tcBorders>
              <w:top w:val="single" w:color="auto" w:sz="12" w:space="0"/>
              <w:bottom w:val="single" w:color="auto" w:sz="6" w:space="0"/>
            </w:tcBorders>
            <w:tcW w:w="4252" w:type="dxa"/>
            <w:vAlign w:val="center"/>
            <w:textDirection w:val="lrTb"/>
            <w:noWrap w:val="false"/>
          </w:tcPr>
          <w:p>
            <w:pPr>
              <w:pStyle w:val="998"/>
              <w:ind w:left="63" w:right="63"/>
              <w:keepNext/>
              <w:spacing w:after="0" w:line="440" w:lineRule="exac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主要资历、经验及承担过的项目</w:t>
            </w:r>
            <w:r/>
          </w:p>
        </w:tc>
      </w:tr>
      <w:tr>
        <w:trPr>
          <w:jc w:val="center"/>
        </w:trPr>
        <w:tc>
          <w:tcPr>
            <w:gridSpan w:val="5"/>
            <w:tcBorders>
              <w:top w:val="single" w:color="auto" w:sz="6" w:space="0"/>
              <w:bottom w:val="single" w:color="auto" w:sz="6" w:space="0"/>
            </w:tcBorders>
            <w:tcW w:w="9809" w:type="dxa"/>
            <w:vAlign w:val="center"/>
            <w:textDirection w:val="lrTb"/>
            <w:noWrap w:val="false"/>
          </w:tcPr>
          <w:p>
            <w:pPr>
              <w:pStyle w:val="998"/>
              <w:ind w:left="63" w:right="63"/>
              <w:keepNext/>
              <w:spacing w:after="0" w:line="440" w:lineRule="exact"/>
              <w:shd w:val="clear" w:color="auto" w:fil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一、总部人员</w:t>
            </w:r>
            <w:r/>
          </w:p>
        </w:tc>
      </w:tr>
      <w:tr>
        <w:trPr>
          <w:jc w:val="center"/>
        </w:trPr>
        <w:tc>
          <w:tcPr>
            <w:tcBorders>
              <w:top w:val="none" w:color="000000" w:sz="4" w:space="0"/>
              <w:bottom w:val="none" w:color="000000" w:sz="4" w:space="0"/>
            </w:tcBorders>
            <w:tcW w:w="1871" w:type="dxa"/>
            <w:vAlign w:val="center"/>
            <w:textDirection w:val="lrTb"/>
            <w:noWrap w:val="false"/>
          </w:tcPr>
          <w:p>
            <w:pPr>
              <w:pStyle w:val="998"/>
              <w:ind w:left="63" w:right="63"/>
              <w:keepNext/>
              <w:spacing w:after="0" w:line="440" w:lineRule="exact"/>
              <w:shd w:val="clear" w:color="auto" w:fil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项目主管</w:t>
            </w:r>
            <w:r/>
          </w:p>
        </w:tc>
        <w:tc>
          <w:tcPr>
            <w:tcBorders>
              <w:top w:val="none" w:color="000000" w:sz="4" w:space="0"/>
            </w:tcBorders>
            <w:tcW w:w="1418" w:type="dxa"/>
            <w:vAlign w:val="center"/>
            <w:textDirection w:val="lrTb"/>
            <w:noWrap w:val="false"/>
          </w:tcPr>
          <w:p>
            <w:pPr>
              <w:pStyle w:val="998"/>
              <w:ind w:left="63" w:right="63"/>
              <w:keepNext/>
              <w:spacing w:after="0" w:line="440" w:lineRule="exac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tcBorders>
            <w:tcW w:w="1134" w:type="dxa"/>
            <w:vAlign w:val="center"/>
            <w:textDirection w:val="lrTb"/>
            <w:noWrap w:val="false"/>
          </w:tcPr>
          <w:p>
            <w:pPr>
              <w:pStyle w:val="998"/>
              <w:ind w:left="63" w:right="63"/>
              <w:keepNext/>
              <w:spacing w:after="0" w:line="440" w:lineRule="exac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tcBorders>
            <w:tcW w:w="1134" w:type="dxa"/>
            <w:vAlign w:val="center"/>
            <w:textDirection w:val="lrTb"/>
            <w:noWrap w:val="false"/>
          </w:tcPr>
          <w:p>
            <w:pPr>
              <w:pStyle w:val="998"/>
              <w:ind w:left="63" w:right="63"/>
              <w:keepNext/>
              <w:spacing w:after="0" w:line="440" w:lineRule="exac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tcBorders>
            <w:tcW w:w="4252" w:type="dxa"/>
            <w:vAlign w:val="center"/>
            <w:textDirection w:val="lrTb"/>
            <w:noWrap w:val="false"/>
          </w:tcPr>
          <w:p>
            <w:pPr>
              <w:pStyle w:val="998"/>
              <w:ind w:left="63" w:right="63"/>
              <w:keepNext/>
              <w:spacing w:after="0" w:line="440" w:lineRule="exac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Borders>
              <w:top w:val="single" w:color="auto" w:sz="6" w:space="0"/>
              <w:bottom w:val="none" w:color="000000" w:sz="4" w:space="0"/>
            </w:tcBorders>
            <w:tcW w:w="1871" w:type="dxa"/>
            <w:vAlign w:val="center"/>
            <w:textDirection w:val="lrTb"/>
            <w:noWrap w:val="false"/>
          </w:tcPr>
          <w:p>
            <w:pPr>
              <w:pStyle w:val="998"/>
              <w:ind w:left="63" w:right="63"/>
              <w:keepNext/>
              <w:spacing w:after="0" w:line="440" w:lineRule="exact"/>
              <w:shd w:val="clear" w:color="auto" w:fil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18" w:type="dxa"/>
            <w:vAlign w:val="center"/>
            <w:textDirection w:val="lrTb"/>
            <w:noWrap w:val="false"/>
          </w:tcPr>
          <w:p>
            <w:pPr>
              <w:pStyle w:val="998"/>
              <w:ind w:left="63" w:right="63"/>
              <w:keepNext/>
              <w:spacing w:after="0" w:line="440" w:lineRule="exac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vAlign w:val="center"/>
            <w:textDirection w:val="lrTb"/>
            <w:noWrap w:val="false"/>
          </w:tcPr>
          <w:p>
            <w:pPr>
              <w:pStyle w:val="998"/>
              <w:ind w:left="63" w:right="63"/>
              <w:keepNext/>
              <w:spacing w:after="0" w:line="440" w:lineRule="exac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vAlign w:val="center"/>
            <w:textDirection w:val="lrTb"/>
            <w:noWrap w:val="false"/>
          </w:tcPr>
          <w:p>
            <w:pPr>
              <w:pStyle w:val="998"/>
              <w:ind w:left="63" w:right="63"/>
              <w:keepNext/>
              <w:spacing w:after="0" w:line="440" w:lineRule="exac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252" w:type="dxa"/>
            <w:vAlign w:val="center"/>
            <w:textDirection w:val="lrTb"/>
            <w:noWrap w:val="false"/>
          </w:tcPr>
          <w:p>
            <w:pPr>
              <w:pStyle w:val="998"/>
              <w:ind w:left="63" w:right="63"/>
              <w:keepNext/>
              <w:spacing w:after="0" w:line="440" w:lineRule="exac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Borders>
              <w:top w:val="none" w:color="000000" w:sz="4" w:space="0"/>
              <w:bottom w:val="none" w:color="000000" w:sz="4" w:space="0"/>
            </w:tcBorders>
            <w:tcW w:w="1871" w:type="dxa"/>
            <w:vAlign w:val="center"/>
            <w:textDirection w:val="lrTb"/>
            <w:noWrap w:val="false"/>
          </w:tcPr>
          <w:p>
            <w:pPr>
              <w:pStyle w:val="998"/>
              <w:ind w:left="63" w:right="63"/>
              <w:keepNext/>
              <w:spacing w:after="0" w:line="440" w:lineRule="exact"/>
              <w:shd w:val="clear" w:color="auto" w:fil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其他人员</w:t>
            </w:r>
            <w:r/>
          </w:p>
        </w:tc>
        <w:tc>
          <w:tcPr>
            <w:tcW w:w="1418" w:type="dxa"/>
            <w:vAlign w:val="center"/>
            <w:textDirection w:val="lrTb"/>
            <w:noWrap w:val="false"/>
          </w:tcPr>
          <w:p>
            <w:pPr>
              <w:pStyle w:val="998"/>
              <w:ind w:left="63" w:right="63"/>
              <w:keepNext/>
              <w:spacing w:after="0" w:line="440" w:lineRule="exac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vAlign w:val="center"/>
            <w:textDirection w:val="lrTb"/>
            <w:noWrap w:val="false"/>
          </w:tcPr>
          <w:p>
            <w:pPr>
              <w:pStyle w:val="998"/>
              <w:ind w:left="63" w:right="63"/>
              <w:keepNext/>
              <w:spacing w:after="0" w:line="440" w:lineRule="exac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vAlign w:val="center"/>
            <w:textDirection w:val="lrTb"/>
            <w:noWrap w:val="false"/>
          </w:tcPr>
          <w:p>
            <w:pPr>
              <w:pStyle w:val="998"/>
              <w:ind w:left="63" w:right="63"/>
              <w:keepNext/>
              <w:spacing w:after="0" w:line="440" w:lineRule="exac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252" w:type="dxa"/>
            <w:vAlign w:val="center"/>
            <w:textDirection w:val="lrTb"/>
            <w:noWrap w:val="false"/>
          </w:tcPr>
          <w:p>
            <w:pPr>
              <w:pStyle w:val="998"/>
              <w:ind w:left="63" w:right="63"/>
              <w:keepNext/>
              <w:spacing w:after="0" w:line="440" w:lineRule="exac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Borders>
              <w:top w:val="none" w:color="000000" w:sz="4" w:space="0"/>
              <w:bottom w:val="none" w:color="000000" w:sz="4" w:space="0"/>
            </w:tcBorders>
            <w:tcW w:w="1871" w:type="dxa"/>
            <w:vAlign w:val="center"/>
            <w:textDirection w:val="lrTb"/>
            <w:noWrap w:val="false"/>
          </w:tcPr>
          <w:p>
            <w:pPr>
              <w:pStyle w:val="998"/>
              <w:ind w:left="63" w:right="63"/>
              <w:keepNext/>
              <w:spacing w:after="0" w:line="440" w:lineRule="exact"/>
              <w:shd w:val="clear" w:color="auto" w:fil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18" w:type="dxa"/>
            <w:vAlign w:val="center"/>
            <w:textDirection w:val="lrTb"/>
            <w:noWrap w:val="false"/>
          </w:tcPr>
          <w:p>
            <w:pPr>
              <w:pStyle w:val="998"/>
              <w:ind w:left="63" w:right="63"/>
              <w:keepNext/>
              <w:spacing w:after="0" w:line="440" w:lineRule="exac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vAlign w:val="center"/>
            <w:textDirection w:val="lrTb"/>
            <w:noWrap w:val="false"/>
          </w:tcPr>
          <w:p>
            <w:pPr>
              <w:pStyle w:val="998"/>
              <w:ind w:left="63" w:right="63"/>
              <w:keepNext/>
              <w:spacing w:after="0" w:line="440" w:lineRule="exac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vAlign w:val="center"/>
            <w:textDirection w:val="lrTb"/>
            <w:noWrap w:val="false"/>
          </w:tcPr>
          <w:p>
            <w:pPr>
              <w:pStyle w:val="998"/>
              <w:ind w:left="63" w:right="63"/>
              <w:keepNext/>
              <w:spacing w:after="0" w:line="440" w:lineRule="exac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252" w:type="dxa"/>
            <w:vAlign w:val="center"/>
            <w:textDirection w:val="lrTb"/>
            <w:noWrap w:val="false"/>
          </w:tcPr>
          <w:p>
            <w:pPr>
              <w:pStyle w:val="998"/>
              <w:ind w:left="63" w:right="63"/>
              <w:keepNext/>
              <w:spacing w:after="0" w:line="440" w:lineRule="exac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gridSpan w:val="5"/>
            <w:tcBorders>
              <w:top w:val="single" w:color="auto" w:sz="6" w:space="0"/>
              <w:bottom w:val="single" w:color="auto" w:sz="6" w:space="0"/>
            </w:tcBorders>
            <w:tcW w:w="9809" w:type="dxa"/>
            <w:vAlign w:val="center"/>
            <w:textDirection w:val="lrTb"/>
            <w:noWrap w:val="false"/>
          </w:tcPr>
          <w:p>
            <w:pPr>
              <w:pStyle w:val="998"/>
              <w:ind w:left="63" w:right="63"/>
              <w:keepNext/>
              <w:spacing w:after="0" w:line="440" w:lineRule="exact"/>
              <w:shd w:val="clear" w:color="auto" w:fil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二、现场人员</w:t>
            </w:r>
            <w:r/>
          </w:p>
        </w:tc>
      </w:tr>
      <w:tr>
        <w:trPr>
          <w:jc w:val="center"/>
        </w:trPr>
        <w:tc>
          <w:tcPr>
            <w:tcBorders>
              <w:top w:val="single" w:color="auto" w:sz="6" w:space="0"/>
              <w:bottom w:val="single" w:color="auto" w:sz="6" w:space="0"/>
            </w:tcBorders>
            <w:tcW w:w="1871" w:type="dxa"/>
            <w:vAlign w:val="center"/>
            <w:textDirection w:val="lrTb"/>
            <w:noWrap w:val="false"/>
          </w:tcPr>
          <w:p>
            <w:pPr>
              <w:pStyle w:val="998"/>
              <w:ind w:left="63" w:right="63"/>
              <w:keepNext/>
              <w:spacing w:after="0" w:line="440" w:lineRule="exact"/>
              <w:shd w:val="clear" w:color="auto" w:fil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项目经理</w:t>
            </w:r>
            <w:r/>
          </w:p>
        </w:tc>
        <w:tc>
          <w:tcPr>
            <w:tcW w:w="1418" w:type="dxa"/>
            <w:vAlign w:val="center"/>
            <w:textDirection w:val="lrTb"/>
            <w:noWrap w:val="false"/>
          </w:tcPr>
          <w:p>
            <w:pPr>
              <w:pStyle w:val="998"/>
              <w:ind w:left="63" w:right="63"/>
              <w:keepNext/>
              <w:spacing w:after="0" w:line="440" w:lineRule="exac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vAlign w:val="center"/>
            <w:textDirection w:val="lrTb"/>
            <w:noWrap w:val="false"/>
          </w:tcPr>
          <w:p>
            <w:pPr>
              <w:pStyle w:val="998"/>
              <w:ind w:left="63" w:right="63"/>
              <w:keepNext/>
              <w:spacing w:after="0" w:line="440" w:lineRule="exac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vAlign w:val="center"/>
            <w:textDirection w:val="lrTb"/>
            <w:noWrap w:val="false"/>
          </w:tcPr>
          <w:p>
            <w:pPr>
              <w:pStyle w:val="998"/>
              <w:ind w:left="63" w:right="63"/>
              <w:keepNext/>
              <w:spacing w:after="0" w:line="440" w:lineRule="exac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252" w:type="dxa"/>
            <w:vAlign w:val="center"/>
            <w:textDirection w:val="lrTb"/>
            <w:noWrap w:val="false"/>
          </w:tcPr>
          <w:p>
            <w:pPr>
              <w:pStyle w:val="998"/>
              <w:ind w:left="63" w:right="63"/>
              <w:keepNext/>
              <w:spacing w:after="0" w:line="440" w:lineRule="exac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Borders>
              <w:top w:val="single" w:color="auto" w:sz="6" w:space="0"/>
              <w:bottom w:val="single" w:color="auto" w:sz="6" w:space="0"/>
            </w:tcBorders>
            <w:tcW w:w="1871" w:type="dxa"/>
            <w:vAlign w:val="center"/>
            <w:textDirection w:val="lrTb"/>
            <w:noWrap w:val="false"/>
          </w:tcPr>
          <w:p>
            <w:pPr>
              <w:pStyle w:val="998"/>
              <w:ind w:left="63" w:right="63"/>
              <w:keepNext/>
              <w:spacing w:after="0" w:line="440" w:lineRule="exact"/>
              <w:shd w:val="clear" w:color="auto" w:fil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项目副经理</w:t>
            </w:r>
            <w:r/>
          </w:p>
        </w:tc>
        <w:tc>
          <w:tcPr>
            <w:tcW w:w="1418" w:type="dxa"/>
            <w:vAlign w:val="center"/>
            <w:textDirection w:val="lrTb"/>
            <w:noWrap w:val="false"/>
          </w:tcPr>
          <w:p>
            <w:pPr>
              <w:pStyle w:val="998"/>
              <w:ind w:left="63" w:right="63"/>
              <w:keepNext/>
              <w:spacing w:after="0" w:line="440" w:lineRule="exac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vAlign w:val="center"/>
            <w:textDirection w:val="lrTb"/>
            <w:noWrap w:val="false"/>
          </w:tcPr>
          <w:p>
            <w:pPr>
              <w:pStyle w:val="998"/>
              <w:ind w:left="63" w:right="63"/>
              <w:keepNext/>
              <w:spacing w:after="0" w:line="440" w:lineRule="exac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vAlign w:val="center"/>
            <w:textDirection w:val="lrTb"/>
            <w:noWrap w:val="false"/>
          </w:tcPr>
          <w:p>
            <w:pPr>
              <w:pStyle w:val="998"/>
              <w:ind w:left="63" w:right="63"/>
              <w:keepNext/>
              <w:spacing w:after="0" w:line="440" w:lineRule="exac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252" w:type="dxa"/>
            <w:vAlign w:val="center"/>
            <w:textDirection w:val="lrTb"/>
            <w:noWrap w:val="false"/>
          </w:tcPr>
          <w:p>
            <w:pPr>
              <w:pStyle w:val="998"/>
              <w:ind w:left="63" w:right="63"/>
              <w:keepNext/>
              <w:spacing w:after="0" w:line="440" w:lineRule="exac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Borders>
              <w:top w:val="single" w:color="auto" w:sz="6" w:space="0"/>
              <w:bottom w:val="single" w:color="auto" w:sz="6" w:space="0"/>
            </w:tcBorders>
            <w:tcW w:w="1871" w:type="dxa"/>
            <w:vAlign w:val="center"/>
            <w:textDirection w:val="lrTb"/>
            <w:noWrap w:val="false"/>
          </w:tcPr>
          <w:p>
            <w:pPr>
              <w:pStyle w:val="998"/>
              <w:ind w:left="63" w:right="63"/>
              <w:keepNext/>
              <w:spacing w:after="0" w:line="440" w:lineRule="exact"/>
              <w:shd w:val="clear" w:color="auto" w:fil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技术负责人</w:t>
            </w:r>
            <w:r/>
          </w:p>
        </w:tc>
        <w:tc>
          <w:tcPr>
            <w:tcW w:w="1418" w:type="dxa"/>
            <w:vAlign w:val="center"/>
            <w:textDirection w:val="lrTb"/>
            <w:noWrap w:val="false"/>
          </w:tcPr>
          <w:p>
            <w:pPr>
              <w:pStyle w:val="998"/>
              <w:ind w:left="63" w:right="63"/>
              <w:keepNext/>
              <w:spacing w:after="0" w:line="440" w:lineRule="exac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vAlign w:val="center"/>
            <w:textDirection w:val="lrTb"/>
            <w:noWrap w:val="false"/>
          </w:tcPr>
          <w:p>
            <w:pPr>
              <w:pStyle w:val="998"/>
              <w:ind w:left="63" w:right="63"/>
              <w:keepNext/>
              <w:spacing w:after="0" w:line="440" w:lineRule="exac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vAlign w:val="center"/>
            <w:textDirection w:val="lrTb"/>
            <w:noWrap w:val="false"/>
          </w:tcPr>
          <w:p>
            <w:pPr>
              <w:pStyle w:val="998"/>
              <w:ind w:left="63" w:right="63"/>
              <w:keepNext/>
              <w:spacing w:after="0" w:line="440" w:lineRule="exac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252" w:type="dxa"/>
            <w:vAlign w:val="center"/>
            <w:textDirection w:val="lrTb"/>
            <w:noWrap w:val="false"/>
          </w:tcPr>
          <w:p>
            <w:pPr>
              <w:pStyle w:val="998"/>
              <w:ind w:left="63" w:right="63"/>
              <w:keepNext/>
              <w:spacing w:after="0" w:line="440" w:lineRule="exac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Borders>
              <w:top w:val="single" w:color="auto" w:sz="6" w:space="0"/>
              <w:bottom w:val="single" w:color="auto" w:sz="6" w:space="0"/>
            </w:tcBorders>
            <w:tcW w:w="1871" w:type="dxa"/>
            <w:vAlign w:val="center"/>
            <w:textDirection w:val="lrTb"/>
            <w:noWrap w:val="false"/>
          </w:tcPr>
          <w:p>
            <w:pPr>
              <w:pStyle w:val="998"/>
              <w:ind w:left="63" w:right="63"/>
              <w:keepNext/>
              <w:spacing w:after="0" w:line="440" w:lineRule="exact"/>
              <w:shd w:val="clear" w:color="auto" w:fil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造价管理</w:t>
            </w:r>
            <w:r/>
          </w:p>
        </w:tc>
        <w:tc>
          <w:tcPr>
            <w:tcW w:w="1418" w:type="dxa"/>
            <w:vAlign w:val="center"/>
            <w:textDirection w:val="lrTb"/>
            <w:noWrap w:val="false"/>
          </w:tcPr>
          <w:p>
            <w:pPr>
              <w:pStyle w:val="998"/>
              <w:ind w:left="63" w:right="63"/>
              <w:keepNext/>
              <w:spacing w:after="0" w:line="440" w:lineRule="exac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vAlign w:val="center"/>
            <w:textDirection w:val="lrTb"/>
            <w:noWrap w:val="false"/>
          </w:tcPr>
          <w:p>
            <w:pPr>
              <w:pStyle w:val="998"/>
              <w:ind w:left="63" w:right="63"/>
              <w:keepNext/>
              <w:spacing w:after="0" w:line="440" w:lineRule="exac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vAlign w:val="center"/>
            <w:textDirection w:val="lrTb"/>
            <w:noWrap w:val="false"/>
          </w:tcPr>
          <w:p>
            <w:pPr>
              <w:pStyle w:val="998"/>
              <w:ind w:left="63" w:right="63"/>
              <w:keepNext/>
              <w:spacing w:after="0" w:line="440" w:lineRule="exac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252" w:type="dxa"/>
            <w:vAlign w:val="center"/>
            <w:textDirection w:val="lrTb"/>
            <w:noWrap w:val="false"/>
          </w:tcPr>
          <w:p>
            <w:pPr>
              <w:pStyle w:val="998"/>
              <w:ind w:left="63" w:right="63"/>
              <w:keepNext/>
              <w:spacing w:after="0" w:line="440" w:lineRule="exac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Borders>
              <w:top w:val="single" w:color="auto" w:sz="6" w:space="0"/>
              <w:bottom w:val="single" w:color="auto" w:sz="6" w:space="0"/>
            </w:tcBorders>
            <w:tcW w:w="1871" w:type="dxa"/>
            <w:vAlign w:val="center"/>
            <w:textDirection w:val="lrTb"/>
            <w:noWrap w:val="false"/>
          </w:tcPr>
          <w:p>
            <w:pPr>
              <w:pStyle w:val="998"/>
              <w:ind w:left="63" w:right="63"/>
              <w:keepNext/>
              <w:spacing w:after="0" w:line="440" w:lineRule="exact"/>
              <w:shd w:val="clear" w:color="auto" w:fil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质量管理</w:t>
            </w:r>
            <w:r/>
          </w:p>
        </w:tc>
        <w:tc>
          <w:tcPr>
            <w:tcW w:w="1418" w:type="dxa"/>
            <w:vAlign w:val="center"/>
            <w:textDirection w:val="lrTb"/>
            <w:noWrap w:val="false"/>
          </w:tcPr>
          <w:p>
            <w:pPr>
              <w:pStyle w:val="998"/>
              <w:ind w:left="63" w:right="63"/>
              <w:keepNext/>
              <w:spacing w:after="0" w:line="440" w:lineRule="exac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vAlign w:val="center"/>
            <w:textDirection w:val="lrTb"/>
            <w:noWrap w:val="false"/>
          </w:tcPr>
          <w:p>
            <w:pPr>
              <w:pStyle w:val="998"/>
              <w:ind w:left="63" w:right="63"/>
              <w:keepNext/>
              <w:spacing w:after="0" w:line="440" w:lineRule="exac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vAlign w:val="center"/>
            <w:textDirection w:val="lrTb"/>
            <w:noWrap w:val="false"/>
          </w:tcPr>
          <w:p>
            <w:pPr>
              <w:pStyle w:val="998"/>
              <w:ind w:left="63" w:right="63"/>
              <w:keepNext/>
              <w:spacing w:after="0" w:line="440" w:lineRule="exac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252" w:type="dxa"/>
            <w:vAlign w:val="center"/>
            <w:textDirection w:val="lrTb"/>
            <w:noWrap w:val="false"/>
          </w:tcPr>
          <w:p>
            <w:pPr>
              <w:pStyle w:val="998"/>
              <w:ind w:left="63" w:right="63"/>
              <w:keepNext/>
              <w:spacing w:after="0" w:line="440" w:lineRule="exac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Borders>
              <w:top w:val="single" w:color="auto" w:sz="6" w:space="0"/>
              <w:bottom w:val="single" w:color="auto" w:sz="6" w:space="0"/>
            </w:tcBorders>
            <w:tcW w:w="1871" w:type="dxa"/>
            <w:vAlign w:val="center"/>
            <w:textDirection w:val="lrTb"/>
            <w:noWrap w:val="false"/>
          </w:tcPr>
          <w:p>
            <w:pPr>
              <w:pStyle w:val="998"/>
              <w:ind w:left="63" w:right="63"/>
              <w:keepNext/>
              <w:spacing w:after="0" w:line="440" w:lineRule="exact"/>
              <w:shd w:val="clear" w:color="auto" w:fil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材料管理</w:t>
            </w:r>
            <w:r/>
          </w:p>
        </w:tc>
        <w:tc>
          <w:tcPr>
            <w:tcW w:w="1418" w:type="dxa"/>
            <w:vAlign w:val="center"/>
            <w:textDirection w:val="lrTb"/>
            <w:noWrap w:val="false"/>
          </w:tcPr>
          <w:p>
            <w:pPr>
              <w:pStyle w:val="998"/>
              <w:ind w:left="63" w:right="63"/>
              <w:keepNext/>
              <w:spacing w:after="0" w:line="440" w:lineRule="exac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vAlign w:val="center"/>
            <w:textDirection w:val="lrTb"/>
            <w:noWrap w:val="false"/>
          </w:tcPr>
          <w:p>
            <w:pPr>
              <w:pStyle w:val="998"/>
              <w:ind w:left="63" w:right="63"/>
              <w:keepNext/>
              <w:spacing w:after="0" w:line="440" w:lineRule="exac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vAlign w:val="center"/>
            <w:textDirection w:val="lrTb"/>
            <w:noWrap w:val="false"/>
          </w:tcPr>
          <w:p>
            <w:pPr>
              <w:pStyle w:val="998"/>
              <w:ind w:left="63" w:right="63"/>
              <w:keepNext/>
              <w:spacing w:after="0" w:line="440" w:lineRule="exac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252" w:type="dxa"/>
            <w:vAlign w:val="center"/>
            <w:textDirection w:val="lrTb"/>
            <w:noWrap w:val="false"/>
          </w:tcPr>
          <w:p>
            <w:pPr>
              <w:pStyle w:val="998"/>
              <w:ind w:left="63" w:right="63"/>
              <w:keepNext/>
              <w:spacing w:after="0" w:line="440" w:lineRule="exac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Borders>
              <w:top w:val="single" w:color="auto" w:sz="6" w:space="0"/>
              <w:bottom w:val="single" w:color="auto" w:sz="6" w:space="0"/>
            </w:tcBorders>
            <w:tcW w:w="1871" w:type="dxa"/>
            <w:vAlign w:val="center"/>
            <w:textDirection w:val="lrTb"/>
            <w:noWrap w:val="false"/>
          </w:tcPr>
          <w:p>
            <w:pPr>
              <w:pStyle w:val="998"/>
              <w:ind w:left="63" w:right="63"/>
              <w:keepNext/>
              <w:spacing w:after="0" w:line="440" w:lineRule="exact"/>
              <w:shd w:val="clear" w:color="auto" w:fil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计划管理</w:t>
            </w:r>
            <w:r/>
          </w:p>
        </w:tc>
        <w:tc>
          <w:tcPr>
            <w:tcW w:w="1418" w:type="dxa"/>
            <w:vAlign w:val="center"/>
            <w:textDirection w:val="lrTb"/>
            <w:noWrap w:val="false"/>
          </w:tcPr>
          <w:p>
            <w:pPr>
              <w:pStyle w:val="998"/>
              <w:ind w:left="63" w:right="63"/>
              <w:keepNext/>
              <w:spacing w:after="0" w:line="440" w:lineRule="exac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vAlign w:val="center"/>
            <w:textDirection w:val="lrTb"/>
            <w:noWrap w:val="false"/>
          </w:tcPr>
          <w:p>
            <w:pPr>
              <w:pStyle w:val="998"/>
              <w:ind w:left="63" w:right="63"/>
              <w:keepNext/>
              <w:spacing w:after="0" w:line="440" w:lineRule="exac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vAlign w:val="center"/>
            <w:textDirection w:val="lrTb"/>
            <w:noWrap w:val="false"/>
          </w:tcPr>
          <w:p>
            <w:pPr>
              <w:pStyle w:val="998"/>
              <w:ind w:left="63" w:right="63"/>
              <w:keepNext/>
              <w:spacing w:after="0" w:line="440" w:lineRule="exac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252" w:type="dxa"/>
            <w:vAlign w:val="center"/>
            <w:textDirection w:val="lrTb"/>
            <w:noWrap w:val="false"/>
          </w:tcPr>
          <w:p>
            <w:pPr>
              <w:pStyle w:val="998"/>
              <w:ind w:left="63" w:right="63"/>
              <w:keepNext/>
              <w:spacing w:after="0" w:line="440" w:lineRule="exac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Borders>
              <w:top w:val="single" w:color="auto" w:sz="6" w:space="0"/>
              <w:bottom w:val="single" w:color="auto" w:sz="6" w:space="0"/>
            </w:tcBorders>
            <w:tcW w:w="1871" w:type="dxa"/>
            <w:vAlign w:val="center"/>
            <w:textDirection w:val="lrTb"/>
            <w:noWrap w:val="false"/>
          </w:tcPr>
          <w:p>
            <w:pPr>
              <w:pStyle w:val="998"/>
              <w:ind w:left="63" w:right="63"/>
              <w:keepNext/>
              <w:spacing w:after="0" w:line="440" w:lineRule="exact"/>
              <w:shd w:val="clear" w:color="auto" w:fil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安全管理</w:t>
            </w:r>
            <w:r/>
          </w:p>
        </w:tc>
        <w:tc>
          <w:tcPr>
            <w:tcW w:w="1418" w:type="dxa"/>
            <w:vAlign w:val="center"/>
            <w:textDirection w:val="lrTb"/>
            <w:noWrap w:val="false"/>
          </w:tcPr>
          <w:p>
            <w:pPr>
              <w:pStyle w:val="998"/>
              <w:ind w:left="63" w:right="63"/>
              <w:keepNext/>
              <w:spacing w:after="0" w:line="440" w:lineRule="exac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vAlign w:val="center"/>
            <w:textDirection w:val="lrTb"/>
            <w:noWrap w:val="false"/>
          </w:tcPr>
          <w:p>
            <w:pPr>
              <w:pStyle w:val="998"/>
              <w:ind w:left="63" w:right="63"/>
              <w:keepNext/>
              <w:spacing w:after="0" w:line="440" w:lineRule="exac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vAlign w:val="center"/>
            <w:textDirection w:val="lrTb"/>
            <w:noWrap w:val="false"/>
          </w:tcPr>
          <w:p>
            <w:pPr>
              <w:pStyle w:val="998"/>
              <w:ind w:left="63" w:right="63"/>
              <w:keepNext/>
              <w:spacing w:after="0" w:line="440" w:lineRule="exac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252" w:type="dxa"/>
            <w:vAlign w:val="center"/>
            <w:textDirection w:val="lrTb"/>
            <w:noWrap w:val="false"/>
          </w:tcPr>
          <w:p>
            <w:pPr>
              <w:pStyle w:val="998"/>
              <w:ind w:left="63" w:right="63"/>
              <w:keepNext/>
              <w:spacing w:after="0" w:line="440" w:lineRule="exac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Borders>
              <w:top w:val="single" w:color="auto" w:sz="6" w:space="0"/>
            </w:tcBorders>
            <w:tcW w:w="1871" w:type="dxa"/>
            <w:vAlign w:val="center"/>
            <w:vMerge w:val="restart"/>
            <w:textDirection w:val="lrTb"/>
            <w:noWrap w:val="false"/>
          </w:tcPr>
          <w:p>
            <w:pPr>
              <w:pStyle w:val="998"/>
              <w:ind w:left="63" w:right="63"/>
              <w:keepNext/>
              <w:spacing w:after="0" w:line="440" w:lineRule="exact"/>
              <w:shd w:val="clear" w:color="auto" w:fil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其他人员</w:t>
            </w:r>
            <w:r/>
          </w:p>
        </w:tc>
        <w:tc>
          <w:tcPr>
            <w:tcW w:w="1418" w:type="dxa"/>
            <w:vAlign w:val="center"/>
            <w:textDirection w:val="lrTb"/>
            <w:noWrap w:val="false"/>
          </w:tcPr>
          <w:p>
            <w:pPr>
              <w:pStyle w:val="998"/>
              <w:ind w:left="63" w:right="63"/>
              <w:keepNext/>
              <w:spacing w:after="0" w:line="440" w:lineRule="exac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vAlign w:val="center"/>
            <w:textDirection w:val="lrTb"/>
            <w:noWrap w:val="false"/>
          </w:tcPr>
          <w:p>
            <w:pPr>
              <w:pStyle w:val="998"/>
              <w:ind w:left="63" w:right="63"/>
              <w:keepNext/>
              <w:spacing w:after="0" w:line="440" w:lineRule="exac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vAlign w:val="center"/>
            <w:textDirection w:val="lrTb"/>
            <w:noWrap w:val="false"/>
          </w:tcPr>
          <w:p>
            <w:pPr>
              <w:pStyle w:val="998"/>
              <w:ind w:left="63" w:right="63"/>
              <w:keepNext/>
              <w:spacing w:after="0" w:line="440" w:lineRule="exac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252" w:type="dxa"/>
            <w:vAlign w:val="center"/>
            <w:textDirection w:val="lrTb"/>
            <w:noWrap w:val="false"/>
          </w:tcPr>
          <w:p>
            <w:pPr>
              <w:pStyle w:val="998"/>
              <w:ind w:left="63" w:right="63"/>
              <w:keepNext/>
              <w:spacing w:after="0" w:line="440" w:lineRule="exac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871" w:type="dxa"/>
            <w:vAlign w:val="center"/>
            <w:vMerge w:val="continue"/>
            <w:textDirection w:val="lrTb"/>
            <w:noWrap w:val="false"/>
          </w:tcPr>
          <w:p>
            <w:pPr>
              <w:pStyle w:val="998"/>
              <w:ind w:left="63" w:right="63"/>
              <w:keepNext/>
              <w:spacing w:after="0" w:line="440" w:lineRule="exac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bottom w:val="none" w:color="000000" w:sz="4" w:space="0"/>
            </w:tcBorders>
            <w:tcW w:w="1418" w:type="dxa"/>
            <w:vAlign w:val="center"/>
            <w:textDirection w:val="lrTb"/>
            <w:noWrap w:val="false"/>
          </w:tcPr>
          <w:p>
            <w:pPr>
              <w:pStyle w:val="998"/>
              <w:ind w:left="63" w:right="63"/>
              <w:keepNext/>
              <w:spacing w:after="0" w:line="440" w:lineRule="exac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bottom w:val="none" w:color="000000" w:sz="4" w:space="0"/>
            </w:tcBorders>
            <w:tcW w:w="1134" w:type="dxa"/>
            <w:vAlign w:val="center"/>
            <w:textDirection w:val="lrTb"/>
            <w:noWrap w:val="false"/>
          </w:tcPr>
          <w:p>
            <w:pPr>
              <w:pStyle w:val="998"/>
              <w:ind w:left="63" w:right="63"/>
              <w:keepNext/>
              <w:spacing w:after="0" w:line="440" w:lineRule="exac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bottom w:val="none" w:color="000000" w:sz="4" w:space="0"/>
            </w:tcBorders>
            <w:tcW w:w="1134" w:type="dxa"/>
            <w:vAlign w:val="center"/>
            <w:textDirection w:val="lrTb"/>
            <w:noWrap w:val="false"/>
          </w:tcPr>
          <w:p>
            <w:pPr>
              <w:pStyle w:val="998"/>
              <w:ind w:left="63" w:right="63"/>
              <w:keepNext/>
              <w:spacing w:after="0" w:line="440" w:lineRule="exac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bottom w:val="none" w:color="000000" w:sz="4" w:space="0"/>
            </w:tcBorders>
            <w:tcW w:w="4252" w:type="dxa"/>
            <w:vAlign w:val="center"/>
            <w:textDirection w:val="lrTb"/>
            <w:noWrap w:val="false"/>
          </w:tcPr>
          <w:p>
            <w:pPr>
              <w:pStyle w:val="998"/>
              <w:ind w:left="63" w:right="63"/>
              <w:keepNext/>
              <w:spacing w:after="0" w:line="440" w:lineRule="exac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871" w:type="dxa"/>
            <w:vAlign w:val="center"/>
            <w:vMerge w:val="continue"/>
            <w:textDirection w:val="lrTb"/>
            <w:noWrap w:val="false"/>
          </w:tcPr>
          <w:p>
            <w:pPr>
              <w:pStyle w:val="998"/>
              <w:ind w:left="63" w:right="63"/>
              <w:keepNext/>
              <w:spacing w:after="0" w:line="440" w:lineRule="exac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18" w:type="dxa"/>
            <w:vAlign w:val="center"/>
            <w:textDirection w:val="lrTb"/>
            <w:noWrap w:val="false"/>
          </w:tcPr>
          <w:p>
            <w:pPr>
              <w:pStyle w:val="998"/>
              <w:ind w:left="63" w:right="63"/>
              <w:keepNext/>
              <w:spacing w:after="0" w:line="440" w:lineRule="exac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vAlign w:val="center"/>
            <w:textDirection w:val="lrTb"/>
            <w:noWrap w:val="false"/>
          </w:tcPr>
          <w:p>
            <w:pPr>
              <w:pStyle w:val="998"/>
              <w:ind w:left="63" w:right="63"/>
              <w:keepNext/>
              <w:spacing w:after="0" w:line="440" w:lineRule="exac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vAlign w:val="center"/>
            <w:textDirection w:val="lrTb"/>
            <w:noWrap w:val="false"/>
          </w:tcPr>
          <w:p>
            <w:pPr>
              <w:pStyle w:val="998"/>
              <w:ind w:left="63" w:right="63"/>
              <w:keepNext/>
              <w:spacing w:after="0" w:line="440" w:lineRule="exac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252" w:type="dxa"/>
            <w:vAlign w:val="center"/>
            <w:textDirection w:val="lrTb"/>
            <w:noWrap w:val="false"/>
          </w:tcPr>
          <w:p>
            <w:pPr>
              <w:pStyle w:val="998"/>
              <w:ind w:left="63" w:right="63"/>
              <w:keepNext/>
              <w:spacing w:after="0" w:line="440" w:lineRule="exac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871" w:type="dxa"/>
            <w:vAlign w:val="center"/>
            <w:vMerge w:val="continue"/>
            <w:textDirection w:val="lrTb"/>
            <w:noWrap w:val="false"/>
          </w:tcPr>
          <w:p>
            <w:pPr>
              <w:pStyle w:val="998"/>
              <w:ind w:left="63" w:right="63"/>
              <w:keepNext/>
              <w:spacing w:after="0" w:line="440" w:lineRule="exac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18" w:type="dxa"/>
            <w:vAlign w:val="center"/>
            <w:textDirection w:val="lrTb"/>
            <w:noWrap w:val="false"/>
          </w:tcPr>
          <w:p>
            <w:pPr>
              <w:pStyle w:val="998"/>
              <w:ind w:left="63" w:right="63"/>
              <w:keepNext/>
              <w:spacing w:after="0" w:line="440" w:lineRule="exac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vAlign w:val="center"/>
            <w:textDirection w:val="lrTb"/>
            <w:noWrap w:val="false"/>
          </w:tcPr>
          <w:p>
            <w:pPr>
              <w:pStyle w:val="998"/>
              <w:ind w:left="63" w:right="63"/>
              <w:keepNext/>
              <w:spacing w:after="0" w:line="440" w:lineRule="exac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vAlign w:val="center"/>
            <w:textDirection w:val="lrTb"/>
            <w:noWrap w:val="false"/>
          </w:tcPr>
          <w:p>
            <w:pPr>
              <w:pStyle w:val="998"/>
              <w:ind w:left="63" w:right="63"/>
              <w:keepNext/>
              <w:spacing w:after="0" w:line="440" w:lineRule="exac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252" w:type="dxa"/>
            <w:vAlign w:val="center"/>
            <w:textDirection w:val="lrTb"/>
            <w:noWrap w:val="false"/>
          </w:tcPr>
          <w:p>
            <w:pPr>
              <w:pStyle w:val="998"/>
              <w:ind w:left="63" w:right="63"/>
              <w:keepNext/>
              <w:spacing w:after="0" w:line="440" w:lineRule="exac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871" w:type="dxa"/>
            <w:vAlign w:val="center"/>
            <w:vMerge w:val="continue"/>
            <w:textDirection w:val="lrTb"/>
            <w:noWrap w:val="false"/>
          </w:tcPr>
          <w:p>
            <w:pPr>
              <w:pStyle w:val="998"/>
              <w:ind w:left="63" w:right="63"/>
              <w:keepNext/>
              <w:spacing w:after="0" w:line="440" w:lineRule="exac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18" w:type="dxa"/>
            <w:vAlign w:val="center"/>
            <w:textDirection w:val="lrTb"/>
            <w:noWrap w:val="false"/>
          </w:tcPr>
          <w:p>
            <w:pPr>
              <w:pStyle w:val="998"/>
              <w:ind w:left="63" w:right="63"/>
              <w:keepNext/>
              <w:spacing w:after="0" w:line="440" w:lineRule="exac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vAlign w:val="center"/>
            <w:textDirection w:val="lrTb"/>
            <w:noWrap w:val="false"/>
          </w:tcPr>
          <w:p>
            <w:pPr>
              <w:pStyle w:val="998"/>
              <w:ind w:left="63" w:right="63"/>
              <w:keepNext/>
              <w:spacing w:after="0" w:line="440" w:lineRule="exac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vAlign w:val="center"/>
            <w:textDirection w:val="lrTb"/>
            <w:noWrap w:val="false"/>
          </w:tcPr>
          <w:p>
            <w:pPr>
              <w:pStyle w:val="998"/>
              <w:ind w:left="63" w:right="63"/>
              <w:keepNext/>
              <w:spacing w:after="0" w:line="440" w:lineRule="exac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252" w:type="dxa"/>
            <w:vAlign w:val="center"/>
            <w:textDirection w:val="lrTb"/>
            <w:noWrap w:val="false"/>
          </w:tcPr>
          <w:p>
            <w:pPr>
              <w:pStyle w:val="998"/>
              <w:ind w:left="63" w:right="63"/>
              <w:keepNext/>
              <w:spacing w:after="0" w:line="440" w:lineRule="exac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Borders>
              <w:bottom w:val="single" w:color="auto" w:sz="12" w:space="0"/>
            </w:tcBorders>
            <w:tcW w:w="1871" w:type="dxa"/>
            <w:vAlign w:val="center"/>
            <w:vMerge w:val="continue"/>
            <w:textDirection w:val="lrTb"/>
            <w:noWrap w:val="false"/>
          </w:tcPr>
          <w:p>
            <w:pPr>
              <w:pStyle w:val="998"/>
              <w:ind w:left="63" w:right="63"/>
              <w:keepNext/>
              <w:spacing w:after="0" w:line="440" w:lineRule="exac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bottom w:val="single" w:color="auto" w:sz="12" w:space="0"/>
            </w:tcBorders>
            <w:tcW w:w="1418" w:type="dxa"/>
            <w:vAlign w:val="center"/>
            <w:textDirection w:val="lrTb"/>
            <w:noWrap w:val="false"/>
          </w:tcPr>
          <w:p>
            <w:pPr>
              <w:pStyle w:val="998"/>
              <w:ind w:left="63" w:right="63"/>
              <w:keepNext/>
              <w:spacing w:after="0" w:line="440" w:lineRule="exac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bottom w:val="single" w:color="auto" w:sz="12" w:space="0"/>
            </w:tcBorders>
            <w:tcW w:w="1134" w:type="dxa"/>
            <w:vAlign w:val="center"/>
            <w:textDirection w:val="lrTb"/>
            <w:noWrap w:val="false"/>
          </w:tcPr>
          <w:p>
            <w:pPr>
              <w:pStyle w:val="998"/>
              <w:ind w:left="63" w:right="63"/>
              <w:keepNext/>
              <w:spacing w:after="0" w:line="440" w:lineRule="exac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bottom w:val="single" w:color="auto" w:sz="12" w:space="0"/>
            </w:tcBorders>
            <w:tcW w:w="1134" w:type="dxa"/>
            <w:vAlign w:val="center"/>
            <w:textDirection w:val="lrTb"/>
            <w:noWrap w:val="false"/>
          </w:tcPr>
          <w:p>
            <w:pPr>
              <w:pStyle w:val="998"/>
              <w:ind w:left="63" w:right="63"/>
              <w:keepNext/>
              <w:spacing w:after="0" w:line="440" w:lineRule="exac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bottom w:val="single" w:color="auto" w:sz="12" w:space="0"/>
            </w:tcBorders>
            <w:tcW w:w="4252" w:type="dxa"/>
            <w:vAlign w:val="center"/>
            <w:textDirection w:val="lrTb"/>
            <w:noWrap w:val="false"/>
          </w:tcPr>
          <w:p>
            <w:pPr>
              <w:pStyle w:val="998"/>
              <w:ind w:left="63" w:right="63"/>
              <w:keepNext/>
              <w:spacing w:after="0" w:line="440" w:lineRule="exac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shd w:val="clear" w:color="auto" w:fill="auto"/>
        <w:rPr>
          <w:rFonts w:hint="eastAsia" w:ascii="宋体" w:hAnsi="宋体" w:eastAsia="宋体" w:cs="宋体"/>
          <w:color w:val="auto"/>
          <w:highlight w:val="none"/>
        </w:rPr>
      </w:pPr>
      <w:r>
        <w:rPr>
          <w:rFonts w:hint="eastAsia" w:ascii="宋体" w:hAnsi="宋体" w:eastAsia="宋体" w:cs="宋体"/>
          <w:color w:val="auto"/>
          <w:highlight w:val="none"/>
        </w:rPr>
      </w:r>
      <w:r/>
    </w:p>
    <w:p>
      <w:pPr>
        <w:shd w:val="clear" w:color="auto" w:fill="auto"/>
        <w:rPr>
          <w:rFonts w:hint="eastAsia" w:ascii="宋体" w:hAnsi="宋体" w:eastAsia="宋体" w:cs="宋体"/>
          <w:color w:val="auto"/>
          <w:highlight w:val="none"/>
        </w:rPr>
      </w:pPr>
      <w:r>
        <w:rPr>
          <w:rFonts w:hint="eastAsia" w:ascii="宋体" w:hAnsi="宋体" w:eastAsia="宋体" w:cs="宋体"/>
          <w:color w:val="auto"/>
          <w:highlight w:val="none"/>
        </w:rPr>
      </w:r>
      <w:r/>
    </w:p>
    <w:p>
      <w:pPr>
        <w:shd w:val="clear" w:color="auto" w:fill="auto"/>
        <w:rPr>
          <w:rFonts w:hint="eastAsia" w:ascii="宋体" w:hAnsi="宋体" w:eastAsia="宋体" w:cs="宋体"/>
          <w:color w:val="auto"/>
          <w:highlight w:val="none"/>
        </w:rPr>
      </w:pPr>
      <w:r>
        <w:rPr>
          <w:rFonts w:hint="eastAsia" w:ascii="宋体" w:hAnsi="宋体" w:eastAsia="宋体" w:cs="宋体"/>
          <w:color w:val="auto"/>
          <w:highlight w:val="none"/>
        </w:rPr>
      </w:r>
      <w:r/>
    </w:p>
    <w:p>
      <w:pPr>
        <w:shd w:val="clear" w:color="auto" w:fill="auto"/>
        <w:rPr>
          <w:rFonts w:hint="eastAsia" w:ascii="宋体" w:hAnsi="宋体" w:eastAsia="宋体" w:cs="宋体"/>
          <w:color w:val="auto"/>
          <w:highlight w:val="none"/>
        </w:rPr>
      </w:pPr>
      <w:r>
        <w:rPr>
          <w:rFonts w:hint="eastAsia" w:ascii="宋体" w:hAnsi="宋体" w:eastAsia="宋体" w:cs="宋体"/>
          <w:color w:val="auto"/>
          <w:highlight w:val="none"/>
        </w:rPr>
      </w:r>
      <w:r/>
    </w:p>
    <w:p>
      <w:pPr>
        <w:shd w:val="clear" w:color="auto" w:fill="auto"/>
        <w:rPr>
          <w:rFonts w:hint="eastAsia" w:ascii="宋体" w:hAnsi="宋体" w:eastAsia="宋体" w:cs="宋体"/>
          <w:color w:val="auto"/>
          <w:highlight w:val="none"/>
        </w:rPr>
      </w:pPr>
      <w:r>
        <w:rPr>
          <w:rFonts w:hint="eastAsia" w:ascii="宋体" w:hAnsi="宋体" w:eastAsia="宋体" w:cs="宋体"/>
          <w:color w:val="auto"/>
          <w:highlight w:val="none"/>
        </w:rPr>
      </w:r>
      <w:r/>
    </w:p>
    <w:p>
      <w:pPr>
        <w:shd w:val="clear" w:color="auto" w:fill="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41"/>
        <w:tabs>
          <w:tab w:val="left" w:pos="7348" w:leader="none"/>
        </w:tabs>
        <w:rPr>
          <w:rFonts w:hint="eastAsia" w:ascii="宋体" w:hAnsi="宋体" w:cs="宋体"/>
          <w:color w:val="auto"/>
          <w:highlight w:val="none"/>
          <w:lang w:eastAsia="zh-CN"/>
        </w:rPr>
      </w:pPr>
      <w:r>
        <w:rPr>
          <w:rFonts w:hint="eastAsia" w:ascii="宋体" w:hAnsi="宋体" w:cs="宋体"/>
          <w:color w:val="auto"/>
          <w:highlight w:val="none"/>
          <w:lang w:eastAsia="zh-CN"/>
        </w:rPr>
        <w:tab/>
      </w:r>
      <w:r/>
    </w:p>
    <w:p>
      <w:pPr>
        <w:rPr>
          <w:rFonts w:hint="eastAsia" w:ascii="宋体" w:hAnsi="宋体" w:cs="宋体"/>
          <w:color w:val="auto"/>
          <w:highlight w:val="none"/>
          <w:lang w:eastAsia="zh-CN"/>
        </w:rPr>
      </w:pPr>
      <w:r>
        <w:rPr>
          <w:rFonts w:hint="eastAsia" w:ascii="宋体" w:hAnsi="宋体" w:cs="宋体"/>
          <w:color w:val="auto"/>
          <w:highlight w:val="none"/>
          <w:lang w:eastAsia="zh-CN"/>
        </w:rPr>
        <w:br w:type="page" w:clear="all"/>
      </w:r>
      <w:r/>
    </w:p>
    <w:p>
      <w:pPr>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w:t>
      </w:r>
      <w:bookmarkStart w:id="63" w:name="_Toc296347228"/>
      <w:r/>
      <w:bookmarkStart w:id="64" w:name="_Toc296891269"/>
      <w:r/>
      <w:bookmarkStart w:id="65" w:name="_Toc296503229"/>
      <w:r/>
      <w:bookmarkStart w:id="66" w:name="_Toc296944568"/>
      <w:r/>
      <w:bookmarkStart w:id="67" w:name="_Toc296891057"/>
      <w:r/>
      <w:bookmarkStart w:id="68" w:name="_Toc296346730"/>
      <w:r>
        <w:rPr>
          <w:rFonts w:hint="eastAsia" w:ascii="宋体" w:hAnsi="宋体" w:eastAsia="宋体" w:cs="宋体"/>
          <w:color w:val="auto"/>
          <w:sz w:val="24"/>
          <w:szCs w:val="24"/>
          <w:highlight w:val="none"/>
        </w:rPr>
        <w:t xml:space="preserve">件</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w:t>
      </w:r>
      <w:bookmarkEnd w:id="63"/>
      <w:r/>
      <w:bookmarkEnd w:id="64"/>
      <w:r/>
      <w:bookmarkEnd w:id="65"/>
      <w:r/>
      <w:bookmarkEnd w:id="66"/>
      <w:r/>
      <w:bookmarkEnd w:id="67"/>
      <w:r/>
      <w:bookmarkEnd w:id="68"/>
      <w:r>
        <w:rPr>
          <w:rFonts w:hint="eastAsia" w:ascii="宋体" w:hAnsi="宋体" w:eastAsia="宋体" w:cs="宋体"/>
          <w:bCs/>
          <w:color w:val="auto"/>
          <w:sz w:val="24"/>
          <w:szCs w:val="24"/>
          <w:highlight w:val="none"/>
          <w:lang w:val="zh-TW" w:eastAsia="zh-TW"/>
        </w:rPr>
        <w:t xml:space="preserve">徐州市城市管理局城建重点工程</w:t>
      </w:r>
      <w:r>
        <w:rPr>
          <w:rFonts w:hint="eastAsia" w:ascii="宋体" w:hAnsi="宋体" w:eastAsia="宋体" w:cs="宋体"/>
          <w:bCs/>
          <w:color w:val="auto"/>
          <w:sz w:val="24"/>
          <w:szCs w:val="24"/>
          <w:highlight w:val="none"/>
          <w:lang w:val="zh-TW"/>
        </w:rPr>
        <w:t xml:space="preserve">履约</w:t>
      </w:r>
      <w:r>
        <w:rPr>
          <w:rFonts w:hint="eastAsia" w:ascii="宋体" w:hAnsi="宋体" w:eastAsia="宋体" w:cs="宋体"/>
          <w:bCs/>
          <w:color w:val="auto"/>
          <w:sz w:val="24"/>
          <w:szCs w:val="24"/>
          <w:highlight w:val="none"/>
          <w:lang w:val="zh-TW" w:eastAsia="zh-TW"/>
        </w:rPr>
        <w:t xml:space="preserve">考核管理办法</w:t>
      </w:r>
      <w:r/>
    </w:p>
    <w:p>
      <w:pPr>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eastAsia="zh-TW"/>
        </w:rPr>
        <w:t xml:space="preserve">第一章</w:t>
      </w:r>
      <w:r>
        <w:rPr>
          <w:rFonts w:hint="eastAsia" w:ascii="宋体" w:hAnsi="宋体" w:eastAsia="宋体" w:cs="宋体"/>
          <w:b/>
          <w:bCs/>
          <w:color w:val="auto"/>
          <w:sz w:val="24"/>
          <w:szCs w:val="24"/>
          <w:highlight w:val="none"/>
        </w:rPr>
        <w:t xml:space="preserve"> </w:t>
      </w:r>
      <w:r>
        <w:rPr>
          <w:rFonts w:hint="eastAsia" w:ascii="宋体" w:hAnsi="宋体" w:eastAsia="宋体" w:cs="宋体"/>
          <w:b/>
          <w:bCs/>
          <w:color w:val="auto"/>
          <w:sz w:val="24"/>
          <w:szCs w:val="24"/>
          <w:highlight w:val="none"/>
          <w:lang w:eastAsia="zh-TW"/>
        </w:rPr>
        <w:t xml:space="preserve">总</w:t>
      </w:r>
      <w:r>
        <w:rPr>
          <w:rFonts w:hint="eastAsia" w:ascii="宋体" w:hAnsi="宋体" w:eastAsia="宋体" w:cs="宋体"/>
          <w:b/>
          <w:bCs/>
          <w:color w:val="auto"/>
          <w:sz w:val="24"/>
          <w:szCs w:val="24"/>
          <w:highlight w:val="none"/>
        </w:rPr>
        <w:t xml:space="preserve"> </w:t>
      </w:r>
      <w:r>
        <w:rPr>
          <w:rFonts w:hint="eastAsia" w:ascii="宋体" w:hAnsi="宋体" w:eastAsia="宋体" w:cs="宋体"/>
          <w:b/>
          <w:bCs/>
          <w:color w:val="auto"/>
          <w:sz w:val="24"/>
          <w:szCs w:val="24"/>
          <w:highlight w:val="none"/>
          <w:lang w:eastAsia="zh-TW"/>
        </w:rPr>
        <w:t xml:space="preserve">则</w:t>
      </w:r>
      <w:r/>
    </w:p>
    <w:p>
      <w:pPr>
        <w:ind w:firstLine="482"/>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eastAsia="zh-TW"/>
        </w:rPr>
        <w:t xml:space="preserve">第一条 </w:t>
      </w:r>
      <w:r>
        <w:rPr>
          <w:rFonts w:hint="eastAsia" w:ascii="宋体" w:hAnsi="宋体" w:eastAsia="宋体" w:cs="宋体"/>
          <w:color w:val="auto"/>
          <w:sz w:val="24"/>
          <w:szCs w:val="24"/>
          <w:highlight w:val="none"/>
          <w:lang w:eastAsia="zh-TW"/>
        </w:rPr>
        <w:t xml:space="preserve">为</w:t>
      </w:r>
      <w:r>
        <w:rPr>
          <w:rFonts w:hint="eastAsia" w:ascii="宋体" w:hAnsi="宋体" w:eastAsia="宋体" w:cs="宋体"/>
          <w:color w:val="auto"/>
          <w:sz w:val="24"/>
          <w:szCs w:val="24"/>
          <w:highlight w:val="none"/>
        </w:rPr>
        <w:t xml:space="preserve">保证</w:t>
      </w:r>
      <w:r>
        <w:rPr>
          <w:rFonts w:hint="eastAsia" w:ascii="宋体" w:hAnsi="宋体" w:eastAsia="宋体" w:cs="宋体"/>
          <w:color w:val="auto"/>
          <w:sz w:val="24"/>
          <w:szCs w:val="24"/>
          <w:highlight w:val="none"/>
          <w:lang w:eastAsia="zh-TW"/>
        </w:rPr>
        <w:t xml:space="preserve">徐州市城市管理局负责实施的城建重点工程项目</w:t>
      </w:r>
      <w:r>
        <w:rPr>
          <w:rFonts w:hint="eastAsia" w:ascii="宋体" w:hAnsi="宋体" w:eastAsia="宋体" w:cs="宋体"/>
          <w:color w:val="auto"/>
          <w:sz w:val="24"/>
          <w:szCs w:val="24"/>
          <w:highlight w:val="none"/>
        </w:rPr>
        <w:t xml:space="preserve">顺利实施</w:t>
      </w:r>
      <w:r>
        <w:rPr>
          <w:rFonts w:hint="eastAsia" w:ascii="宋体" w:hAnsi="宋体" w:eastAsia="宋体" w:cs="宋体"/>
          <w:color w:val="auto"/>
          <w:sz w:val="24"/>
          <w:szCs w:val="24"/>
          <w:highlight w:val="none"/>
          <w:lang w:eastAsia="zh-TW"/>
        </w:rPr>
        <w:t xml:space="preserve">，</w:t>
      </w:r>
      <w:r>
        <w:rPr>
          <w:rFonts w:hint="eastAsia" w:ascii="宋体" w:hAnsi="宋体" w:eastAsia="宋体" w:cs="宋体"/>
          <w:color w:val="auto"/>
          <w:sz w:val="24"/>
          <w:szCs w:val="24"/>
          <w:highlight w:val="none"/>
        </w:rPr>
        <w:t xml:space="preserve">保证工程</w:t>
      </w:r>
      <w:r>
        <w:rPr>
          <w:rFonts w:hint="eastAsia" w:ascii="宋体" w:hAnsi="宋体" w:eastAsia="宋体" w:cs="宋体"/>
          <w:color w:val="auto"/>
          <w:sz w:val="24"/>
          <w:szCs w:val="24"/>
          <w:highlight w:val="none"/>
          <w:lang w:eastAsia="zh-TW"/>
        </w:rPr>
        <w:t xml:space="preserve">建设质量</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TW"/>
        </w:rPr>
        <w:t xml:space="preserve">工期，建立安全文明施工的长效机制，</w:t>
      </w:r>
      <w:r>
        <w:rPr>
          <w:rFonts w:hint="eastAsia" w:ascii="宋体" w:hAnsi="宋体" w:eastAsia="宋体" w:cs="宋体"/>
          <w:color w:val="auto"/>
          <w:sz w:val="24"/>
          <w:szCs w:val="24"/>
          <w:highlight w:val="none"/>
        </w:rPr>
        <w:t xml:space="preserve">强化项目承包单位的守信意识，推进社会信用体系建设，</w:t>
      </w:r>
      <w:r>
        <w:rPr>
          <w:rFonts w:hint="eastAsia" w:ascii="宋体" w:hAnsi="宋体" w:eastAsia="宋体" w:cs="宋体"/>
          <w:color w:val="auto"/>
          <w:sz w:val="24"/>
          <w:szCs w:val="24"/>
          <w:highlight w:val="none"/>
          <w:lang w:eastAsia="zh-TW"/>
        </w:rPr>
        <w:t xml:space="preserve">根据《</w:t>
      </w:r>
      <w:r>
        <w:rPr>
          <w:rFonts w:hint="eastAsia" w:ascii="宋体" w:hAnsi="宋体" w:eastAsia="宋体" w:cs="宋体"/>
          <w:color w:val="auto"/>
          <w:sz w:val="24"/>
          <w:szCs w:val="24"/>
          <w:highlight w:val="none"/>
        </w:rPr>
        <w:t xml:space="preserve">中华人民共和国民法典</w:t>
      </w:r>
      <w:r>
        <w:rPr>
          <w:rFonts w:hint="eastAsia" w:ascii="宋体" w:hAnsi="宋体" w:eastAsia="宋体" w:cs="宋体"/>
          <w:color w:val="auto"/>
          <w:sz w:val="24"/>
          <w:szCs w:val="24"/>
          <w:highlight w:val="none"/>
          <w:lang w:eastAsia="zh-TW"/>
        </w:rPr>
        <w:t xml:space="preserve">》、《中华人民共和国建筑法》、《建设工程质量管理条例》、《建设工程安全生产管理条例》</w:t>
      </w:r>
      <w:r>
        <w:rPr>
          <w:rFonts w:hint="eastAsia" w:ascii="宋体" w:hAnsi="宋体" w:eastAsia="宋体" w:cs="宋体"/>
          <w:color w:val="auto"/>
          <w:sz w:val="24"/>
          <w:szCs w:val="24"/>
          <w:highlight w:val="none"/>
        </w:rPr>
        <w:t xml:space="preserve">等有关法律法规及相关规定</w:t>
      </w:r>
      <w:r>
        <w:rPr>
          <w:rFonts w:hint="eastAsia" w:ascii="宋体" w:hAnsi="宋体" w:eastAsia="宋体" w:cs="宋体"/>
          <w:color w:val="auto"/>
          <w:sz w:val="24"/>
          <w:szCs w:val="24"/>
          <w:highlight w:val="none"/>
          <w:lang w:eastAsia="zh-TW"/>
        </w:rPr>
        <w:t xml:space="preserve">，特制定本办法。</w:t>
      </w:r>
      <w:r/>
    </w:p>
    <w:p>
      <w:pPr>
        <w:ind w:firstLine="482"/>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eastAsia="zh-TW"/>
        </w:rPr>
        <w:t xml:space="preserve">第二条 </w:t>
      </w:r>
      <w:r>
        <w:rPr>
          <w:rFonts w:hint="eastAsia" w:ascii="宋体" w:hAnsi="宋体" w:eastAsia="宋体" w:cs="宋体"/>
          <w:color w:val="auto"/>
          <w:sz w:val="24"/>
          <w:szCs w:val="24"/>
          <w:highlight w:val="none"/>
          <w:lang w:eastAsia="zh-TW"/>
        </w:rPr>
        <w:t xml:space="preserve">本办法考核范围为本局负责实施的道路、管线、桥梁、环卫、数字城管等列入年度城建重点工程建设计划的</w:t>
      </w:r>
      <w:r>
        <w:rPr>
          <w:rFonts w:hint="eastAsia" w:ascii="宋体" w:hAnsi="宋体" w:eastAsia="宋体" w:cs="宋体"/>
          <w:color w:val="auto"/>
          <w:sz w:val="24"/>
          <w:szCs w:val="24"/>
          <w:highlight w:val="none"/>
        </w:rPr>
        <w:t xml:space="preserve">项目。</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TW"/>
        </w:rPr>
        <w:t xml:space="preserve">考核对象为</w:t>
      </w:r>
      <w:r>
        <w:rPr>
          <w:rFonts w:hint="eastAsia" w:ascii="宋体" w:hAnsi="宋体" w:eastAsia="宋体" w:cs="宋体"/>
          <w:color w:val="auto"/>
          <w:sz w:val="24"/>
          <w:szCs w:val="24"/>
          <w:highlight w:val="none"/>
        </w:rPr>
        <w:t xml:space="preserve">上述</w:t>
      </w:r>
      <w:r>
        <w:rPr>
          <w:rFonts w:hint="eastAsia" w:ascii="宋体" w:hAnsi="宋体" w:eastAsia="宋体" w:cs="宋体"/>
          <w:color w:val="auto"/>
          <w:sz w:val="24"/>
          <w:szCs w:val="24"/>
          <w:highlight w:val="none"/>
          <w:lang w:eastAsia="zh-TW"/>
        </w:rPr>
        <w:t xml:space="preserve">建设</w:t>
      </w:r>
      <w:r>
        <w:rPr>
          <w:rFonts w:hint="eastAsia" w:ascii="宋体" w:hAnsi="宋体" w:eastAsia="宋体" w:cs="宋体"/>
          <w:color w:val="auto"/>
          <w:sz w:val="24"/>
          <w:szCs w:val="24"/>
          <w:highlight w:val="none"/>
        </w:rPr>
        <w:t xml:space="preserve">项目</w:t>
      </w:r>
      <w:r>
        <w:rPr>
          <w:rFonts w:hint="eastAsia" w:ascii="宋体" w:hAnsi="宋体" w:eastAsia="宋体" w:cs="宋体"/>
          <w:color w:val="auto"/>
          <w:sz w:val="24"/>
          <w:szCs w:val="24"/>
          <w:highlight w:val="none"/>
          <w:lang w:eastAsia="zh-TW"/>
        </w:rPr>
        <w:t xml:space="preserve">的施工承包人项目部、</w:t>
      </w:r>
      <w:r>
        <w:rPr>
          <w:rFonts w:hint="eastAsia" w:ascii="宋体" w:hAnsi="宋体" w:eastAsia="宋体" w:cs="宋体"/>
          <w:color w:val="auto"/>
          <w:sz w:val="24"/>
          <w:szCs w:val="24"/>
          <w:highlight w:val="none"/>
        </w:rPr>
        <w:t xml:space="preserve">监理人总监办。</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TW"/>
        </w:rPr>
        <w:t xml:space="preserve">勘察</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TW"/>
        </w:rPr>
        <w:t xml:space="preserve">设计</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TW"/>
        </w:rPr>
        <w:t xml:space="preserve">咨询</w:t>
      </w:r>
      <w:r>
        <w:rPr>
          <w:rFonts w:hint="eastAsia" w:ascii="宋体" w:hAnsi="宋体" w:eastAsia="宋体" w:cs="宋体"/>
          <w:color w:val="auto"/>
          <w:sz w:val="24"/>
          <w:szCs w:val="24"/>
          <w:highlight w:val="none"/>
        </w:rPr>
        <w:t xml:space="preserve">、代理</w:t>
      </w:r>
      <w:r>
        <w:rPr>
          <w:rFonts w:hint="eastAsia" w:ascii="宋体" w:hAnsi="宋体" w:eastAsia="宋体" w:cs="宋体"/>
          <w:color w:val="auto"/>
          <w:sz w:val="24"/>
          <w:szCs w:val="24"/>
          <w:highlight w:val="none"/>
          <w:lang w:eastAsia="zh-TW"/>
        </w:rPr>
        <w:t xml:space="preserve">等单位参照执行。</w:t>
      </w:r>
      <w:r/>
    </w:p>
    <w:p>
      <w:pPr>
        <w:ind w:firstLine="482"/>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eastAsia="zh-TW"/>
        </w:rPr>
        <w:t xml:space="preserve">第三条</w:t>
      </w:r>
      <w:r>
        <w:rPr>
          <w:rFonts w:hint="eastAsia" w:ascii="宋体" w:hAnsi="宋体" w:eastAsia="宋体" w:cs="宋体"/>
          <w:b/>
          <w:bCs/>
          <w:color w:val="auto"/>
          <w:sz w:val="24"/>
          <w:szCs w:val="24"/>
          <w:highlight w:val="none"/>
        </w:rPr>
        <w:t xml:space="preserve"> </w:t>
      </w:r>
      <w:r>
        <w:rPr>
          <w:rFonts w:hint="eastAsia" w:ascii="宋体" w:hAnsi="宋体" w:eastAsia="宋体" w:cs="宋体"/>
          <w:color w:val="auto"/>
          <w:sz w:val="24"/>
          <w:szCs w:val="24"/>
          <w:highlight w:val="none"/>
          <w:lang w:eastAsia="zh-TW"/>
        </w:rPr>
        <w:t xml:space="preserve">城建重点工程建设实行全过程</w:t>
      </w:r>
      <w:r>
        <w:rPr>
          <w:rFonts w:hint="eastAsia" w:ascii="宋体" w:hAnsi="宋体" w:eastAsia="宋体" w:cs="宋体"/>
          <w:color w:val="auto"/>
          <w:sz w:val="24"/>
          <w:szCs w:val="24"/>
          <w:highlight w:val="none"/>
        </w:rPr>
        <w:t xml:space="preserve">履约</w:t>
      </w:r>
      <w:r>
        <w:rPr>
          <w:rFonts w:hint="eastAsia" w:ascii="宋体" w:hAnsi="宋体" w:eastAsia="宋体" w:cs="宋体"/>
          <w:color w:val="auto"/>
          <w:sz w:val="24"/>
          <w:szCs w:val="24"/>
          <w:highlight w:val="none"/>
          <w:lang w:eastAsia="zh-TW"/>
        </w:rPr>
        <w:t xml:space="preserve">考核，徐州市城市管理局对参与重点工程建设的单位合同履行情况进行动态记录，定期综合评价</w:t>
      </w:r>
      <w:r>
        <w:rPr>
          <w:rFonts w:hint="eastAsia" w:ascii="宋体" w:hAnsi="宋体" w:eastAsia="宋体" w:cs="宋体"/>
          <w:color w:val="auto"/>
          <w:sz w:val="24"/>
          <w:szCs w:val="24"/>
          <w:highlight w:val="none"/>
        </w:rPr>
        <w:t xml:space="preserve">，并将评价结果报市建设主管部门。</w:t>
      </w:r>
      <w:r/>
    </w:p>
    <w:p>
      <w:pPr>
        <w:ind w:firstLine="482"/>
        <w:jc w:val="cente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eastAsia="zh-TW"/>
        </w:rPr>
        <w:t xml:space="preserve">第二章 </w:t>
      </w:r>
      <w:r>
        <w:rPr>
          <w:rFonts w:hint="eastAsia" w:ascii="宋体" w:hAnsi="宋体" w:eastAsia="宋体" w:cs="宋体"/>
          <w:b/>
          <w:bCs/>
          <w:color w:val="auto"/>
          <w:sz w:val="24"/>
          <w:szCs w:val="24"/>
          <w:highlight w:val="none"/>
        </w:rPr>
        <w:t xml:space="preserve">履约</w:t>
      </w:r>
      <w:r>
        <w:rPr>
          <w:rFonts w:hint="eastAsia" w:ascii="宋体" w:hAnsi="宋体" w:eastAsia="宋体" w:cs="宋体"/>
          <w:b/>
          <w:bCs/>
          <w:color w:val="auto"/>
          <w:sz w:val="24"/>
          <w:szCs w:val="24"/>
          <w:highlight w:val="none"/>
          <w:lang w:eastAsia="zh-TW"/>
        </w:rPr>
        <w:t xml:space="preserve">考核</w:t>
      </w:r>
      <w:r>
        <w:rPr>
          <w:rFonts w:hint="eastAsia" w:ascii="宋体" w:hAnsi="宋体" w:eastAsia="宋体" w:cs="宋体"/>
          <w:b/>
          <w:bCs/>
          <w:color w:val="auto"/>
          <w:sz w:val="24"/>
          <w:szCs w:val="24"/>
          <w:highlight w:val="none"/>
        </w:rPr>
        <w:t xml:space="preserve">组织实施</w:t>
      </w:r>
      <w:r/>
    </w:p>
    <w:p>
      <w:pPr>
        <w:ind w:firstLine="482"/>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eastAsia="zh-TW"/>
        </w:rPr>
        <w:t xml:space="preserve">第四条</w:t>
      </w:r>
      <w:r>
        <w:rPr>
          <w:rFonts w:hint="eastAsia" w:ascii="宋体" w:hAnsi="宋体" w:eastAsia="宋体" w:cs="宋体"/>
          <w:b/>
          <w:bCs/>
          <w:color w:val="auto"/>
          <w:sz w:val="24"/>
          <w:szCs w:val="24"/>
          <w:highlight w:val="none"/>
        </w:rPr>
        <w:t xml:space="preserve"> </w:t>
      </w:r>
      <w:r>
        <w:rPr>
          <w:rFonts w:hint="eastAsia" w:ascii="宋体" w:hAnsi="宋体" w:eastAsia="宋体" w:cs="宋体"/>
          <w:color w:val="auto"/>
          <w:sz w:val="24"/>
          <w:szCs w:val="24"/>
          <w:highlight w:val="none"/>
          <w:lang w:eastAsia="zh-TW"/>
        </w:rPr>
        <w:t xml:space="preserve">徐州市城市管理局城建重点工程</w:t>
      </w:r>
      <w:r>
        <w:rPr>
          <w:rFonts w:hint="eastAsia" w:ascii="宋体" w:hAnsi="宋体" w:eastAsia="宋体" w:cs="宋体"/>
          <w:color w:val="auto"/>
          <w:sz w:val="24"/>
          <w:szCs w:val="24"/>
          <w:highlight w:val="none"/>
        </w:rPr>
        <w:t xml:space="preserve">领导</w:t>
      </w:r>
      <w:r>
        <w:rPr>
          <w:rFonts w:hint="eastAsia" w:ascii="宋体" w:hAnsi="宋体" w:eastAsia="宋体" w:cs="宋体"/>
          <w:color w:val="auto"/>
          <w:sz w:val="24"/>
          <w:szCs w:val="24"/>
          <w:highlight w:val="none"/>
          <w:lang w:eastAsia="zh-TW"/>
        </w:rPr>
        <w:t xml:space="preserve">小组</w:t>
      </w:r>
      <w:r>
        <w:rPr>
          <w:rFonts w:hint="eastAsia" w:ascii="宋体" w:hAnsi="宋体" w:eastAsia="宋体" w:cs="宋体"/>
          <w:color w:val="auto"/>
          <w:sz w:val="24"/>
          <w:szCs w:val="24"/>
          <w:highlight w:val="none"/>
        </w:rPr>
        <w:t xml:space="preserve">为信用考核的领导机构</w:t>
      </w:r>
      <w:r>
        <w:rPr>
          <w:rFonts w:hint="eastAsia" w:ascii="宋体" w:hAnsi="宋体" w:eastAsia="宋体" w:cs="宋体"/>
          <w:color w:val="auto"/>
          <w:sz w:val="24"/>
          <w:szCs w:val="24"/>
          <w:highlight w:val="none"/>
          <w:lang w:eastAsia="zh-TW"/>
        </w:rPr>
        <w:t xml:space="preserve">，局</w:t>
      </w:r>
      <w:r>
        <w:rPr>
          <w:rFonts w:hint="eastAsia" w:ascii="宋体" w:hAnsi="宋体" w:eastAsia="宋体" w:cs="宋体"/>
          <w:color w:val="auto"/>
          <w:sz w:val="24"/>
          <w:szCs w:val="24"/>
          <w:highlight w:val="none"/>
        </w:rPr>
        <w:t xml:space="preserve">相关部门和单位参与考核工作。</w:t>
      </w:r>
      <w:r/>
    </w:p>
    <w:p>
      <w:pPr>
        <w:ind w:firstLine="482"/>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eastAsia="zh-TW"/>
        </w:rPr>
        <w:t xml:space="preserve">第五条 </w:t>
      </w:r>
      <w:r>
        <w:rPr>
          <w:rFonts w:hint="eastAsia" w:ascii="宋体" w:hAnsi="宋体" w:eastAsia="宋体" w:cs="宋体"/>
          <w:color w:val="auto"/>
          <w:sz w:val="24"/>
          <w:szCs w:val="24"/>
          <w:highlight w:val="none"/>
          <w:lang w:eastAsia="zh-TW"/>
        </w:rPr>
        <w:t xml:space="preserve">考核工作由</w:t>
      </w:r>
      <w:r>
        <w:rPr>
          <w:rFonts w:hint="eastAsia" w:ascii="宋体" w:hAnsi="宋体" w:eastAsia="宋体" w:cs="宋体"/>
          <w:color w:val="auto"/>
          <w:sz w:val="24"/>
          <w:szCs w:val="24"/>
          <w:highlight w:val="none"/>
        </w:rPr>
        <w:t xml:space="preserve">市城管</w:t>
      </w:r>
      <w:r>
        <w:rPr>
          <w:rFonts w:hint="eastAsia" w:ascii="宋体" w:hAnsi="宋体" w:eastAsia="宋体" w:cs="宋体"/>
          <w:color w:val="auto"/>
          <w:sz w:val="24"/>
          <w:szCs w:val="24"/>
          <w:highlight w:val="none"/>
          <w:lang w:eastAsia="zh-TW"/>
        </w:rPr>
        <w:t xml:space="preserve">局重点办</w:t>
      </w:r>
      <w:r>
        <w:rPr>
          <w:rFonts w:hint="eastAsia" w:ascii="宋体" w:hAnsi="宋体" w:eastAsia="宋体" w:cs="宋体"/>
          <w:color w:val="auto"/>
          <w:sz w:val="24"/>
          <w:szCs w:val="24"/>
          <w:highlight w:val="none"/>
        </w:rPr>
        <w:t xml:space="preserve">具体执行。</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TW"/>
        </w:rPr>
        <w:t xml:space="preserve">局重点办综合处负责考核评分的组织</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TW"/>
        </w:rPr>
        <w:t xml:space="preserve">考核资料准备</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TW"/>
        </w:rPr>
        <w:t xml:space="preserve">评分记录汇总</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TW"/>
        </w:rPr>
        <w:t xml:space="preserve">转化等级</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TW"/>
        </w:rPr>
        <w:t xml:space="preserve">考核结果上报和告知等组织工作</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TW"/>
        </w:rPr>
        <w:t xml:space="preserve">计划处负责提供勘察</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TW"/>
        </w:rPr>
        <w:t xml:space="preserve">设计</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TW"/>
        </w:rPr>
        <w:t xml:space="preserve">咨询</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TW"/>
        </w:rPr>
        <w:t xml:space="preserve">代理单位的合同履行</w:t>
      </w:r>
      <w:r>
        <w:rPr>
          <w:rFonts w:hint="eastAsia" w:ascii="宋体" w:hAnsi="宋体" w:eastAsia="宋体" w:cs="宋体"/>
          <w:color w:val="auto"/>
          <w:sz w:val="24"/>
          <w:szCs w:val="24"/>
          <w:highlight w:val="none"/>
        </w:rPr>
        <w:t xml:space="preserve">相关资料；</w:t>
      </w:r>
      <w:r>
        <w:rPr>
          <w:rFonts w:hint="eastAsia" w:ascii="宋体" w:hAnsi="宋体" w:eastAsia="宋体" w:cs="宋体"/>
          <w:color w:val="auto"/>
          <w:sz w:val="24"/>
          <w:szCs w:val="24"/>
          <w:highlight w:val="none"/>
          <w:lang w:eastAsia="zh-TW"/>
        </w:rPr>
        <w:t xml:space="preserve">工程处负责提供工程施工</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TW"/>
        </w:rPr>
        <w:t xml:space="preserve">监理单位的合同履行</w:t>
      </w:r>
      <w:r>
        <w:rPr>
          <w:rFonts w:hint="eastAsia" w:ascii="宋体" w:hAnsi="宋体" w:eastAsia="宋体" w:cs="宋体"/>
          <w:color w:val="auto"/>
          <w:sz w:val="24"/>
          <w:szCs w:val="24"/>
          <w:highlight w:val="none"/>
        </w:rPr>
        <w:t xml:space="preserve">相关资料</w:t>
      </w:r>
      <w:r>
        <w:rPr>
          <w:rFonts w:hint="eastAsia" w:ascii="宋体" w:hAnsi="宋体" w:eastAsia="宋体" w:cs="宋体"/>
          <w:color w:val="auto"/>
          <w:sz w:val="24"/>
          <w:szCs w:val="24"/>
          <w:highlight w:val="none"/>
          <w:lang w:eastAsia="zh-TW"/>
        </w:rPr>
        <w:t xml:space="preserve">。其他相关部门负责安排专人参加考核。</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TW"/>
        </w:rPr>
        <w:t xml:space="preserve">各项目总监办负责协助工程处提供施工单位的合同履行情况，并参与对其进行的考核评分</w:t>
      </w:r>
      <w:r>
        <w:rPr>
          <w:rFonts w:hint="eastAsia" w:ascii="宋体" w:hAnsi="宋体" w:eastAsia="宋体" w:cs="宋体"/>
          <w:color w:val="auto"/>
          <w:sz w:val="24"/>
          <w:szCs w:val="24"/>
          <w:highlight w:val="none"/>
        </w:rPr>
        <w:t xml:space="preserve">。</w:t>
      </w:r>
      <w:r/>
    </w:p>
    <w:p>
      <w:pPr>
        <w:ind w:firstLine="482"/>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eastAsia="zh-TW"/>
        </w:rPr>
        <w:t xml:space="preserve">第六条 </w:t>
      </w:r>
      <w:r>
        <w:rPr>
          <w:rFonts w:hint="eastAsia" w:ascii="宋体" w:hAnsi="宋体" w:eastAsia="宋体" w:cs="宋体"/>
          <w:color w:val="auto"/>
          <w:sz w:val="24"/>
          <w:szCs w:val="24"/>
          <w:highlight w:val="none"/>
        </w:rPr>
        <w:t xml:space="preserve">施工单位的履约考核主要根据现场管理、工程质量、工程进度、安全文明施工、档案资料及所履行合同的其他各主要事项；监理单位的履约考核主要根据监理组织机构、监理人员现场工作质量、档案资料及其他情况等方面。</w:t>
      </w:r>
      <w:r/>
    </w:p>
    <w:p>
      <w:pPr>
        <w:ind w:firstLine="482"/>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eastAsia="zh-TW"/>
        </w:rPr>
        <w:t xml:space="preserve">第七条 </w:t>
      </w:r>
      <w:r>
        <w:rPr>
          <w:rFonts w:hint="eastAsia" w:ascii="宋体" w:hAnsi="宋体" w:eastAsia="宋体" w:cs="宋体"/>
          <w:color w:val="auto"/>
          <w:sz w:val="24"/>
          <w:szCs w:val="24"/>
          <w:highlight w:val="none"/>
        </w:rPr>
        <w:t xml:space="preserve">履约考核将按以下程序进行：</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TW"/>
        </w:rPr>
        <w:t xml:space="preserve">1</w:t>
      </w:r>
      <w:r>
        <w:rPr>
          <w:rFonts w:hint="eastAsia" w:ascii="宋体" w:hAnsi="宋体" w:eastAsia="宋体" w:cs="宋体"/>
          <w:color w:val="auto"/>
          <w:sz w:val="24"/>
          <w:szCs w:val="24"/>
          <w:highlight w:val="none"/>
        </w:rPr>
        <w:t xml:space="preserve">、听取被考核单位工作情况汇报；</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TW"/>
        </w:rPr>
        <w:t xml:space="preserve">2</w:t>
      </w:r>
      <w:r>
        <w:rPr>
          <w:rFonts w:hint="eastAsia" w:ascii="宋体" w:hAnsi="宋体" w:eastAsia="宋体" w:cs="宋体"/>
          <w:color w:val="auto"/>
          <w:sz w:val="24"/>
          <w:szCs w:val="24"/>
          <w:highlight w:val="none"/>
        </w:rPr>
        <w:t xml:space="preserve">、查阅相关文件、档案资料；</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TW"/>
        </w:rPr>
        <w:t xml:space="preserve">3</w:t>
      </w:r>
      <w:r>
        <w:rPr>
          <w:rFonts w:hint="eastAsia" w:ascii="宋体" w:hAnsi="宋体" w:eastAsia="宋体" w:cs="宋体"/>
          <w:color w:val="auto"/>
          <w:sz w:val="24"/>
          <w:szCs w:val="24"/>
          <w:highlight w:val="none"/>
        </w:rPr>
        <w:t xml:space="preserve">、查看工程现场；</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TW"/>
        </w:rPr>
        <w:t xml:space="preserve">4</w:t>
      </w:r>
      <w:r>
        <w:rPr>
          <w:rFonts w:hint="eastAsia" w:ascii="宋体" w:hAnsi="宋体" w:eastAsia="宋体" w:cs="宋体"/>
          <w:color w:val="auto"/>
          <w:sz w:val="24"/>
          <w:szCs w:val="24"/>
          <w:highlight w:val="none"/>
        </w:rPr>
        <w:t xml:space="preserve">、与相关单位座谈，听取有关单位意见；</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TW"/>
        </w:rPr>
        <w:t xml:space="preserve">5</w:t>
      </w:r>
      <w:r>
        <w:rPr>
          <w:rFonts w:hint="eastAsia" w:ascii="宋体" w:hAnsi="宋体" w:eastAsia="宋体" w:cs="宋体"/>
          <w:color w:val="auto"/>
          <w:sz w:val="24"/>
          <w:szCs w:val="24"/>
          <w:highlight w:val="none"/>
        </w:rPr>
        <w:t xml:space="preserve">、与被考核单位交换意见；</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TW"/>
        </w:rPr>
        <w:t xml:space="preserve">6</w:t>
      </w:r>
      <w:r>
        <w:rPr>
          <w:rFonts w:hint="eastAsia" w:ascii="宋体" w:hAnsi="宋体" w:eastAsia="宋体" w:cs="宋体"/>
          <w:color w:val="auto"/>
          <w:sz w:val="24"/>
          <w:szCs w:val="24"/>
          <w:highlight w:val="none"/>
        </w:rPr>
        <w:t xml:space="preserve">、考核评分。</w:t>
      </w:r>
      <w:r/>
    </w:p>
    <w:p>
      <w:pPr>
        <w:ind w:firstLine="482"/>
        <w:jc w:val="cente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eastAsia="zh-TW"/>
        </w:rPr>
        <w:t xml:space="preserve">第三章 考核</w:t>
      </w:r>
      <w:r>
        <w:rPr>
          <w:rFonts w:hint="eastAsia" w:ascii="宋体" w:hAnsi="宋体" w:eastAsia="宋体" w:cs="宋体"/>
          <w:b/>
          <w:bCs/>
          <w:color w:val="auto"/>
          <w:sz w:val="24"/>
          <w:szCs w:val="24"/>
          <w:highlight w:val="none"/>
        </w:rPr>
        <w:t xml:space="preserve">措施</w:t>
      </w:r>
      <w:r/>
    </w:p>
    <w:p>
      <w:pPr>
        <w:ind w:firstLine="482"/>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第八条</w:t>
      </w:r>
      <w:r>
        <w:rPr>
          <w:rFonts w:hint="eastAsia" w:ascii="宋体" w:hAnsi="宋体" w:eastAsia="宋体" w:cs="宋体"/>
          <w:b/>
          <w:bCs/>
          <w:color w:val="auto"/>
          <w:sz w:val="24"/>
          <w:szCs w:val="24"/>
          <w:highlight w:val="none"/>
          <w:lang w:eastAsia="zh-TW"/>
        </w:rPr>
        <w:t xml:space="preserve"> </w:t>
      </w:r>
      <w:r>
        <w:rPr>
          <w:rFonts w:hint="eastAsia" w:ascii="宋体" w:hAnsi="宋体" w:eastAsia="宋体" w:cs="宋体"/>
          <w:color w:val="auto"/>
          <w:sz w:val="24"/>
          <w:szCs w:val="24"/>
          <w:highlight w:val="none"/>
        </w:rPr>
        <w:t xml:space="preserve">每</w:t>
      </w:r>
      <w:r>
        <w:rPr>
          <w:rFonts w:hint="eastAsia" w:ascii="宋体" w:hAnsi="宋体" w:eastAsia="宋体" w:cs="宋体"/>
          <w:color w:val="auto"/>
          <w:sz w:val="24"/>
          <w:szCs w:val="24"/>
          <w:highlight w:val="none"/>
          <w:lang w:eastAsia="zh-TW"/>
        </w:rPr>
        <w:t xml:space="preserve">月</w:t>
      </w:r>
      <w:r>
        <w:rPr>
          <w:rFonts w:hint="eastAsia" w:ascii="宋体" w:hAnsi="宋体" w:eastAsia="宋体" w:cs="宋体"/>
          <w:color w:val="auto"/>
          <w:sz w:val="24"/>
          <w:szCs w:val="24"/>
          <w:highlight w:val="none"/>
        </w:rPr>
        <w:t xml:space="preserve">考核一次，每</w:t>
      </w:r>
      <w:r>
        <w:rPr>
          <w:rFonts w:hint="eastAsia" w:ascii="宋体" w:hAnsi="宋体" w:eastAsia="宋体" w:cs="宋体"/>
          <w:color w:val="auto"/>
          <w:sz w:val="24"/>
          <w:szCs w:val="24"/>
          <w:highlight w:val="none"/>
          <w:lang w:eastAsia="zh-TW"/>
        </w:rPr>
        <w:t xml:space="preserve">季度</w:t>
      </w:r>
      <w:r>
        <w:rPr>
          <w:rFonts w:hint="eastAsia" w:ascii="宋体" w:hAnsi="宋体" w:eastAsia="宋体" w:cs="宋体"/>
          <w:color w:val="auto"/>
          <w:sz w:val="24"/>
          <w:szCs w:val="24"/>
          <w:highlight w:val="none"/>
        </w:rPr>
        <w:t xml:space="preserve">评定一次。</w:t>
      </w:r>
      <w:r/>
    </w:p>
    <w:p>
      <w:pPr>
        <w:ind w:firstLine="482"/>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eastAsia="zh-TW"/>
        </w:rPr>
        <w:t xml:space="preserve">第九条 </w:t>
      </w:r>
      <w:r>
        <w:rPr>
          <w:rFonts w:hint="eastAsia" w:ascii="宋体" w:hAnsi="宋体" w:eastAsia="宋体" w:cs="宋体"/>
          <w:color w:val="auto"/>
          <w:sz w:val="24"/>
          <w:szCs w:val="24"/>
          <w:highlight w:val="none"/>
          <w:lang w:eastAsia="zh-TW"/>
        </w:rPr>
        <w:t xml:space="preserve">月度考核小组由局领导、局重点办（含发包人现场工程师）、局市政质检站、局相关处室、监理机构等组成，每月组织对在建工程现场管理、质量、进度、安全等进行检查。采取听汇报、看现场、查资料、打分的办法进行，采用百分制打分，去掉一个最高和一个最低分后计算平均得分。检查评比结果以适当形式通报（相关评分表格附后）。</w:t>
      </w:r>
      <w:r/>
    </w:p>
    <w:p>
      <w:pPr>
        <w:ind w:firstLine="482"/>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第十条 </w:t>
      </w:r>
      <w:r>
        <w:rPr>
          <w:rFonts w:hint="eastAsia" w:ascii="宋体" w:hAnsi="宋体" w:eastAsia="宋体" w:cs="宋体"/>
          <w:color w:val="auto"/>
          <w:sz w:val="24"/>
          <w:szCs w:val="24"/>
          <w:highlight w:val="none"/>
          <w:lang w:eastAsia="zh-TW"/>
        </w:rPr>
        <w:t xml:space="preserve">奖</w:t>
      </w:r>
      <w:r>
        <w:rPr>
          <w:rFonts w:hint="eastAsia" w:ascii="宋体" w:hAnsi="宋体" w:eastAsia="宋体" w:cs="宋体"/>
          <w:color w:val="auto"/>
          <w:sz w:val="24"/>
          <w:szCs w:val="24"/>
          <w:highlight w:val="none"/>
        </w:rPr>
        <w:t xml:space="preserve">惩</w:t>
      </w:r>
      <w:r>
        <w:rPr>
          <w:rFonts w:hint="eastAsia" w:ascii="宋体" w:hAnsi="宋体" w:eastAsia="宋体" w:cs="宋体"/>
          <w:color w:val="auto"/>
          <w:sz w:val="24"/>
          <w:szCs w:val="24"/>
          <w:highlight w:val="none"/>
          <w:lang w:eastAsia="zh-TW"/>
        </w:rPr>
        <w:t xml:space="preserve">机制</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TW"/>
        </w:rPr>
        <w:t xml:space="preserve">季度综合</w:t>
      </w:r>
      <w:r>
        <w:rPr>
          <w:rFonts w:hint="eastAsia" w:ascii="宋体" w:hAnsi="宋体" w:eastAsia="宋体" w:cs="宋体"/>
          <w:color w:val="auto"/>
          <w:sz w:val="24"/>
          <w:szCs w:val="24"/>
          <w:highlight w:val="none"/>
        </w:rPr>
        <w:t xml:space="preserve">评定</w:t>
      </w:r>
      <w:r>
        <w:rPr>
          <w:rFonts w:hint="eastAsia" w:ascii="宋体" w:hAnsi="宋体" w:eastAsia="宋体" w:cs="宋体"/>
          <w:color w:val="auto"/>
          <w:sz w:val="24"/>
          <w:szCs w:val="24"/>
          <w:highlight w:val="none"/>
          <w:lang w:eastAsia="zh-TW"/>
        </w:rPr>
        <w:t xml:space="preserve">得分以月</w:t>
      </w:r>
      <w:r>
        <w:rPr>
          <w:rFonts w:hint="eastAsia" w:ascii="宋体" w:hAnsi="宋体" w:eastAsia="宋体" w:cs="宋体"/>
          <w:color w:val="auto"/>
          <w:sz w:val="24"/>
          <w:szCs w:val="24"/>
          <w:highlight w:val="none"/>
        </w:rPr>
        <w:t xml:space="preserve">考核</w:t>
      </w:r>
      <w:r>
        <w:rPr>
          <w:rFonts w:hint="eastAsia" w:ascii="宋体" w:hAnsi="宋体" w:eastAsia="宋体" w:cs="宋体"/>
          <w:color w:val="auto"/>
          <w:sz w:val="24"/>
          <w:szCs w:val="24"/>
          <w:highlight w:val="none"/>
          <w:lang w:eastAsia="zh-TW"/>
        </w:rPr>
        <w:t xml:space="preserve">得分取平均数，并按如下档级、</w:t>
      </w:r>
      <w:r>
        <w:rPr>
          <w:rFonts w:hint="eastAsia" w:ascii="宋体" w:hAnsi="宋体" w:eastAsia="宋体" w:cs="宋体"/>
          <w:color w:val="auto"/>
          <w:sz w:val="24"/>
          <w:szCs w:val="24"/>
          <w:highlight w:val="none"/>
        </w:rPr>
        <w:t xml:space="preserve">得分</w:t>
      </w:r>
      <w:r>
        <w:rPr>
          <w:rFonts w:hint="eastAsia" w:ascii="宋体" w:hAnsi="宋体" w:eastAsia="宋体" w:cs="宋体"/>
          <w:color w:val="auto"/>
          <w:sz w:val="24"/>
          <w:szCs w:val="24"/>
          <w:highlight w:val="none"/>
          <w:lang w:eastAsia="zh-TW"/>
        </w:rPr>
        <w:t xml:space="preserve">进行</w:t>
      </w:r>
      <w:r>
        <w:rPr>
          <w:rFonts w:hint="eastAsia" w:ascii="宋体" w:hAnsi="宋体" w:eastAsia="宋体" w:cs="宋体"/>
          <w:color w:val="auto"/>
          <w:sz w:val="24"/>
          <w:szCs w:val="24"/>
          <w:highlight w:val="none"/>
        </w:rPr>
        <w:t xml:space="preserve">评定</w:t>
      </w:r>
      <w:r>
        <w:rPr>
          <w:rFonts w:hint="eastAsia" w:ascii="宋体" w:hAnsi="宋体" w:eastAsia="宋体" w:cs="宋体"/>
          <w:color w:val="auto"/>
          <w:sz w:val="24"/>
          <w:szCs w:val="24"/>
          <w:highlight w:val="none"/>
          <w:lang w:eastAsia="zh-TW"/>
        </w:rPr>
        <w:t xml:space="preserve">：</w:t>
      </w:r>
      <w:r/>
    </w:p>
    <w:tbl>
      <w:tblPr>
        <w:tblStyle w:val="991"/>
        <w:tblW w:w="6907"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Layout w:type="fixed"/>
        <w:tblCellMar>
          <w:left w:w="108" w:type="dxa"/>
          <w:top w:w="0" w:type="dxa"/>
          <w:right w:w="108" w:type="dxa"/>
          <w:bottom w:w="0" w:type="dxa"/>
        </w:tblCellMar>
        <w:tblLook w:val="04A0" w:firstRow="1" w:lastRow="0" w:firstColumn="1" w:lastColumn="0" w:noHBand="0" w:noVBand="1"/>
      </w:tblPr>
      <w:tblGrid>
        <w:gridCol w:w="4431"/>
        <w:gridCol w:w="2476"/>
      </w:tblGrid>
      <w:tr>
        <w:trPr>
          <w:jc w:val="center"/>
          <w:trHeight w:val="342"/>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4431" w:type="dxa"/>
            <w:vAlign w:val="top"/>
            <w:textDirection w:val="lrTb"/>
            <w:noWrap w:val="false"/>
          </w:tcPr>
          <w:p>
            <w:pPr>
              <w:ind w:firstLine="480"/>
              <w:jc w:val="cente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eastAsia="zh-TW"/>
              </w:rPr>
              <w:t xml:space="preserve">考核得分</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476" w:type="dxa"/>
            <w:vAlign w:val="top"/>
            <w:textDirection w:val="lrTb"/>
            <w:noWrap w:val="false"/>
          </w:tcPr>
          <w:p>
            <w:pPr>
              <w:ind w:firstLine="482"/>
              <w:jc w:val="cente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评定</w:t>
            </w:r>
            <w:r>
              <w:rPr>
                <w:rFonts w:hint="eastAsia" w:ascii="宋体" w:hAnsi="宋体" w:eastAsia="宋体" w:cs="宋体"/>
                <w:b/>
                <w:bCs/>
                <w:color w:val="auto"/>
                <w:sz w:val="24"/>
                <w:szCs w:val="24"/>
                <w:highlight w:val="none"/>
                <w:lang w:eastAsia="zh-TW"/>
              </w:rPr>
              <w:t xml:space="preserve">等</w:t>
            </w:r>
            <w:r>
              <w:rPr>
                <w:rFonts w:hint="eastAsia" w:ascii="宋体" w:hAnsi="宋体" w:eastAsia="宋体" w:cs="宋体"/>
                <w:b/>
                <w:bCs/>
                <w:color w:val="auto"/>
                <w:sz w:val="24"/>
                <w:szCs w:val="24"/>
                <w:highlight w:val="none"/>
              </w:rPr>
              <w:t xml:space="preserve">次</w:t>
            </w:r>
            <w:r/>
          </w:p>
        </w:tc>
      </w:tr>
      <w:tr>
        <w:trPr>
          <w:jc w:val="center"/>
          <w:trHeight w:val="342"/>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4431" w:type="dxa"/>
            <w:vAlign w:val="top"/>
            <w:textDirection w:val="lrTb"/>
            <w:noWrap w:val="false"/>
          </w:tcPr>
          <w:p>
            <w:pPr>
              <w:ind w:firstLine="480"/>
              <w:jc w:val="cente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90</w:t>
            </w:r>
            <w:r>
              <w:rPr>
                <w:rFonts w:hint="eastAsia" w:ascii="宋体" w:hAnsi="宋体" w:eastAsia="宋体" w:cs="宋体"/>
                <w:color w:val="auto"/>
                <w:sz w:val="24"/>
                <w:szCs w:val="24"/>
                <w:highlight w:val="none"/>
                <w:lang w:eastAsia="zh-TW"/>
              </w:rPr>
              <w:t xml:space="preserve">分以上</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476" w:type="dxa"/>
            <w:vAlign w:val="top"/>
            <w:textDirection w:val="lrTb"/>
            <w:noWrap w:val="false"/>
          </w:tcPr>
          <w:p>
            <w:pPr>
              <w:ind w:firstLine="480"/>
              <w:jc w:val="cente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TW"/>
              </w:rPr>
              <w:t xml:space="preserve">优</w:t>
            </w:r>
            <w:r/>
          </w:p>
        </w:tc>
      </w:tr>
      <w:tr>
        <w:trPr>
          <w:jc w:val="center"/>
          <w:trHeight w:val="342"/>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4431" w:type="dxa"/>
            <w:vAlign w:val="top"/>
            <w:textDirection w:val="lrTb"/>
            <w:noWrap w:val="false"/>
          </w:tcPr>
          <w:p>
            <w:pPr>
              <w:ind w:firstLine="480"/>
              <w:jc w:val="cente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80-90</w:t>
            </w:r>
            <w:r>
              <w:rPr>
                <w:rFonts w:hint="eastAsia" w:ascii="宋体" w:hAnsi="宋体" w:eastAsia="宋体" w:cs="宋体"/>
                <w:color w:val="auto"/>
                <w:sz w:val="24"/>
                <w:szCs w:val="24"/>
                <w:highlight w:val="none"/>
                <w:lang w:eastAsia="zh-TW"/>
              </w:rPr>
              <w:t xml:space="preserve">分</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476" w:type="dxa"/>
            <w:vAlign w:val="top"/>
            <w:textDirection w:val="lrTb"/>
            <w:noWrap w:val="false"/>
          </w:tcPr>
          <w:p>
            <w:pPr>
              <w:ind w:firstLine="480"/>
              <w:jc w:val="cente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TW"/>
              </w:rPr>
              <w:t xml:space="preserve">良</w:t>
            </w:r>
            <w:r/>
          </w:p>
        </w:tc>
      </w:tr>
      <w:tr>
        <w:trPr>
          <w:jc w:val="center"/>
          <w:trHeight w:val="342"/>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4431" w:type="dxa"/>
            <w:vAlign w:val="top"/>
            <w:textDirection w:val="lrTb"/>
            <w:noWrap w:val="false"/>
          </w:tcPr>
          <w:p>
            <w:pPr>
              <w:ind w:firstLine="480"/>
              <w:jc w:val="cente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70-80</w:t>
            </w:r>
            <w:r>
              <w:rPr>
                <w:rFonts w:hint="eastAsia" w:ascii="宋体" w:hAnsi="宋体" w:eastAsia="宋体" w:cs="宋体"/>
                <w:color w:val="auto"/>
                <w:sz w:val="24"/>
                <w:szCs w:val="24"/>
                <w:highlight w:val="none"/>
                <w:lang w:eastAsia="zh-TW"/>
              </w:rPr>
              <w:t xml:space="preserve">分</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476" w:type="dxa"/>
            <w:vAlign w:val="top"/>
            <w:textDirection w:val="lrTb"/>
            <w:noWrap w:val="false"/>
          </w:tcPr>
          <w:p>
            <w:pPr>
              <w:ind w:firstLine="480"/>
              <w:jc w:val="cente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TW"/>
              </w:rPr>
              <w:t xml:space="preserve">中</w:t>
            </w:r>
            <w:r/>
          </w:p>
        </w:tc>
      </w:tr>
      <w:tr>
        <w:trPr>
          <w:jc w:val="center"/>
          <w:trHeight w:val="15"/>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4431" w:type="dxa"/>
            <w:vAlign w:val="top"/>
            <w:textDirection w:val="lrTb"/>
            <w:noWrap w:val="false"/>
          </w:tcPr>
          <w:p>
            <w:pPr>
              <w:ind w:firstLine="480"/>
              <w:jc w:val="cente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TW"/>
              </w:rPr>
              <w:t xml:space="preserve">小于</w:t>
            </w:r>
            <w:r>
              <w:rPr>
                <w:rFonts w:hint="eastAsia" w:ascii="宋体" w:hAnsi="宋体" w:eastAsia="宋体" w:cs="宋体"/>
                <w:color w:val="auto"/>
                <w:sz w:val="24"/>
                <w:szCs w:val="24"/>
                <w:highlight w:val="none"/>
              </w:rPr>
              <w:t xml:space="preserve">70</w:t>
            </w:r>
            <w:r>
              <w:rPr>
                <w:rFonts w:hint="eastAsia" w:ascii="宋体" w:hAnsi="宋体" w:eastAsia="宋体" w:cs="宋体"/>
                <w:color w:val="auto"/>
                <w:sz w:val="24"/>
                <w:szCs w:val="24"/>
                <w:highlight w:val="none"/>
                <w:lang w:eastAsia="zh-TW"/>
              </w:rPr>
              <w:t xml:space="preserve">分</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476" w:type="dxa"/>
            <w:vAlign w:val="top"/>
            <w:textDirection w:val="lrTb"/>
            <w:noWrap w:val="false"/>
          </w:tcPr>
          <w:p>
            <w:pPr>
              <w:ind w:firstLine="480"/>
              <w:jc w:val="cente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TW"/>
              </w:rPr>
              <w:t xml:space="preserve">差</w:t>
            </w:r>
            <w:r/>
          </w:p>
        </w:tc>
      </w:tr>
    </w:tbl>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对于一次评定为“差”或连续两次评定为“中”等次的项目部（总监办），市城管局将</w:t>
      </w:r>
      <w:r>
        <w:rPr>
          <w:rFonts w:hint="eastAsia" w:ascii="宋体" w:hAnsi="宋体" w:eastAsia="宋体" w:cs="宋体"/>
          <w:color w:val="auto"/>
          <w:sz w:val="24"/>
          <w:szCs w:val="24"/>
          <w:highlight w:val="none"/>
          <w:lang w:eastAsia="zh-TW"/>
        </w:rPr>
        <w:t xml:space="preserve">书面</w:t>
      </w:r>
      <w:r>
        <w:rPr>
          <w:rFonts w:hint="eastAsia" w:ascii="宋体" w:hAnsi="宋体" w:eastAsia="宋体" w:cs="宋体"/>
          <w:color w:val="auto"/>
          <w:sz w:val="24"/>
          <w:szCs w:val="24"/>
          <w:highlight w:val="none"/>
        </w:rPr>
        <w:t xml:space="preserve">要求</w:t>
      </w:r>
      <w:r>
        <w:rPr>
          <w:rFonts w:hint="eastAsia" w:ascii="宋体" w:hAnsi="宋体" w:eastAsia="宋体" w:cs="宋体"/>
          <w:color w:val="auto"/>
          <w:sz w:val="24"/>
          <w:szCs w:val="24"/>
          <w:highlight w:val="none"/>
          <w:lang w:eastAsia="zh-TW"/>
        </w:rPr>
        <w:t xml:space="preserve">承包</w:t>
      </w:r>
      <w:r>
        <w:rPr>
          <w:rFonts w:hint="eastAsia" w:ascii="宋体" w:hAnsi="宋体" w:eastAsia="宋体" w:cs="宋体"/>
          <w:color w:val="auto"/>
          <w:sz w:val="24"/>
          <w:szCs w:val="24"/>
          <w:highlight w:val="none"/>
        </w:rPr>
        <w:t xml:space="preserve">人派驻工作组，帮助</w:t>
      </w:r>
      <w:r>
        <w:rPr>
          <w:rFonts w:hint="eastAsia" w:ascii="宋体" w:hAnsi="宋体" w:eastAsia="宋体" w:cs="宋体"/>
          <w:color w:val="auto"/>
          <w:sz w:val="24"/>
          <w:szCs w:val="24"/>
          <w:highlight w:val="none"/>
          <w:lang w:eastAsia="zh-TW"/>
        </w:rPr>
        <w:t xml:space="preserve">整改。连续两次评比为差、整改仍不达标的，</w:t>
      </w:r>
      <w:r>
        <w:rPr>
          <w:rFonts w:hint="eastAsia" w:ascii="宋体" w:hAnsi="宋体" w:eastAsia="宋体" w:cs="宋体"/>
          <w:color w:val="auto"/>
          <w:sz w:val="24"/>
          <w:szCs w:val="24"/>
          <w:highlight w:val="none"/>
        </w:rPr>
        <w:t xml:space="preserve">市城管局</w:t>
      </w:r>
      <w:r>
        <w:rPr>
          <w:rFonts w:hint="eastAsia" w:ascii="宋体" w:hAnsi="宋体" w:eastAsia="宋体" w:cs="宋体"/>
          <w:color w:val="auto"/>
          <w:sz w:val="24"/>
          <w:szCs w:val="24"/>
          <w:highlight w:val="none"/>
          <w:lang w:eastAsia="zh-TW"/>
        </w:rPr>
        <w:t xml:space="preserve">将通知承包人解除承包（服务）合同，承包人按合同约定承担给</w:t>
      </w:r>
      <w:r>
        <w:rPr>
          <w:rFonts w:hint="eastAsia" w:ascii="宋体" w:hAnsi="宋体" w:eastAsia="宋体" w:cs="宋体"/>
          <w:color w:val="auto"/>
          <w:sz w:val="24"/>
          <w:szCs w:val="24"/>
          <w:highlight w:val="none"/>
        </w:rPr>
        <w:t xml:space="preserve">市城管局</w:t>
      </w:r>
      <w:r>
        <w:rPr>
          <w:rFonts w:hint="eastAsia" w:ascii="宋体" w:hAnsi="宋体" w:eastAsia="宋体" w:cs="宋体"/>
          <w:color w:val="auto"/>
          <w:sz w:val="24"/>
          <w:szCs w:val="24"/>
          <w:highlight w:val="none"/>
          <w:lang w:eastAsia="zh-TW"/>
        </w:rPr>
        <w:t xml:space="preserve">造成的损失。</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如项目部评定等级为差，则该项目总监办评定等级不得为优。</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TW"/>
        </w:rPr>
        <w:t xml:space="preserve">每年底对全年工作进行总结评定，评选优秀项目经理部、优秀</w:t>
      </w:r>
      <w:r>
        <w:rPr>
          <w:rFonts w:hint="eastAsia" w:ascii="宋体" w:hAnsi="宋体" w:eastAsia="宋体" w:cs="宋体"/>
          <w:color w:val="auto"/>
          <w:sz w:val="24"/>
          <w:szCs w:val="24"/>
          <w:highlight w:val="none"/>
        </w:rPr>
        <w:t xml:space="preserve">总监办</w:t>
      </w:r>
      <w:r>
        <w:rPr>
          <w:rFonts w:hint="eastAsia" w:ascii="宋体" w:hAnsi="宋体" w:eastAsia="宋体" w:cs="宋体"/>
          <w:color w:val="auto"/>
          <w:sz w:val="24"/>
          <w:szCs w:val="24"/>
          <w:highlight w:val="none"/>
          <w:lang w:eastAsia="zh-TW"/>
        </w:rPr>
        <w:t xml:space="preserve">、优秀设计组</w:t>
      </w:r>
      <w:r>
        <w:rPr>
          <w:rFonts w:hint="eastAsia" w:ascii="宋体" w:hAnsi="宋体" w:eastAsia="宋体" w:cs="宋体"/>
          <w:color w:val="auto"/>
          <w:sz w:val="24"/>
          <w:szCs w:val="24"/>
          <w:highlight w:val="none"/>
        </w:rPr>
        <w:t xml:space="preserve">等</w:t>
      </w:r>
      <w:r>
        <w:rPr>
          <w:rFonts w:hint="eastAsia" w:ascii="宋体" w:hAnsi="宋体" w:eastAsia="宋体" w:cs="宋体"/>
          <w:color w:val="auto"/>
          <w:sz w:val="24"/>
          <w:szCs w:val="24"/>
          <w:highlight w:val="none"/>
          <w:lang w:eastAsia="zh-TW"/>
        </w:rPr>
        <w:t xml:space="preserve">。评选</w:t>
      </w:r>
      <w:r>
        <w:rPr>
          <w:rFonts w:hint="eastAsia" w:ascii="宋体" w:hAnsi="宋体" w:eastAsia="宋体" w:cs="宋体"/>
          <w:color w:val="auto"/>
          <w:sz w:val="24"/>
          <w:szCs w:val="24"/>
          <w:highlight w:val="none"/>
        </w:rPr>
        <w:t xml:space="preserve">最低</w:t>
      </w:r>
      <w:r>
        <w:rPr>
          <w:rFonts w:hint="eastAsia" w:ascii="宋体" w:hAnsi="宋体" w:eastAsia="宋体" w:cs="宋体"/>
          <w:color w:val="auto"/>
          <w:sz w:val="24"/>
          <w:szCs w:val="24"/>
          <w:highlight w:val="none"/>
          <w:lang w:eastAsia="zh-TW"/>
        </w:rPr>
        <w:t xml:space="preserve">条件为</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TW"/>
        </w:rPr>
        <w:t xml:space="preserve">季</w:t>
      </w:r>
      <w:r>
        <w:rPr>
          <w:rFonts w:hint="eastAsia" w:ascii="宋体" w:hAnsi="宋体" w:eastAsia="宋体" w:cs="宋体"/>
          <w:color w:val="auto"/>
          <w:sz w:val="24"/>
          <w:szCs w:val="24"/>
          <w:highlight w:val="none"/>
        </w:rPr>
        <w:t xml:space="preserve">度</w:t>
      </w:r>
      <w:r>
        <w:rPr>
          <w:rFonts w:hint="eastAsia" w:ascii="宋体" w:hAnsi="宋体" w:eastAsia="宋体" w:cs="宋体"/>
          <w:color w:val="auto"/>
          <w:sz w:val="24"/>
          <w:szCs w:val="24"/>
          <w:highlight w:val="none"/>
          <w:lang w:eastAsia="zh-TW"/>
        </w:rPr>
        <w:t xml:space="preserve">考核中</w:t>
      </w:r>
      <w:r>
        <w:rPr>
          <w:rFonts w:hint="eastAsia" w:ascii="宋体" w:hAnsi="宋体" w:eastAsia="宋体" w:cs="宋体"/>
          <w:color w:val="auto"/>
          <w:sz w:val="24"/>
          <w:szCs w:val="24"/>
          <w:highlight w:val="none"/>
        </w:rPr>
        <w:t xml:space="preserve">至少两</w:t>
      </w:r>
      <w:r>
        <w:rPr>
          <w:rFonts w:hint="eastAsia" w:ascii="宋体" w:hAnsi="宋体" w:eastAsia="宋体" w:cs="宋体"/>
          <w:color w:val="auto"/>
          <w:sz w:val="24"/>
          <w:szCs w:val="24"/>
          <w:highlight w:val="none"/>
          <w:lang w:eastAsia="zh-TW"/>
        </w:rPr>
        <w:t xml:space="preserve">次为</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TW"/>
        </w:rPr>
        <w:t xml:space="preserve">优</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TW"/>
        </w:rPr>
        <w:t xml:space="preserve">，</w:t>
      </w:r>
      <w:r>
        <w:rPr>
          <w:rFonts w:hint="eastAsia" w:ascii="宋体" w:hAnsi="宋体" w:eastAsia="宋体" w:cs="宋体"/>
          <w:color w:val="auto"/>
          <w:sz w:val="24"/>
          <w:szCs w:val="24"/>
          <w:highlight w:val="none"/>
        </w:rPr>
        <w:t xml:space="preserve">且</w:t>
      </w:r>
      <w:r>
        <w:rPr>
          <w:rFonts w:hint="eastAsia" w:ascii="宋体" w:hAnsi="宋体" w:eastAsia="宋体" w:cs="宋体"/>
          <w:color w:val="auto"/>
          <w:sz w:val="24"/>
          <w:szCs w:val="24"/>
          <w:highlight w:val="none"/>
          <w:lang w:eastAsia="zh-TW"/>
        </w:rPr>
        <w:t xml:space="preserve">全年考核</w:t>
      </w:r>
      <w:r>
        <w:rPr>
          <w:rFonts w:hint="eastAsia" w:ascii="宋体" w:hAnsi="宋体" w:eastAsia="宋体" w:cs="宋体"/>
          <w:color w:val="auto"/>
          <w:sz w:val="24"/>
          <w:szCs w:val="24"/>
          <w:highlight w:val="none"/>
        </w:rPr>
        <w:t xml:space="preserve">最多有一个“中”等次；项目工期少于两个季度的，考核应全为优。</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TW"/>
        </w:rPr>
        <w:t xml:space="preserve">考核</w:t>
      </w:r>
      <w:r>
        <w:rPr>
          <w:rFonts w:hint="eastAsia" w:ascii="宋体" w:hAnsi="宋体" w:eastAsia="宋体" w:cs="宋体"/>
          <w:color w:val="auto"/>
          <w:sz w:val="24"/>
          <w:szCs w:val="24"/>
          <w:highlight w:val="none"/>
        </w:rPr>
        <w:t xml:space="preserve">评定</w:t>
      </w:r>
      <w:r>
        <w:rPr>
          <w:rFonts w:hint="eastAsia" w:ascii="宋体" w:hAnsi="宋体" w:eastAsia="宋体" w:cs="宋体"/>
          <w:color w:val="auto"/>
          <w:sz w:val="24"/>
          <w:szCs w:val="24"/>
          <w:highlight w:val="none"/>
          <w:lang w:eastAsia="zh-TW"/>
        </w:rPr>
        <w:t xml:space="preserve">结果</w:t>
      </w:r>
      <w:r>
        <w:rPr>
          <w:rFonts w:hint="eastAsia" w:ascii="宋体" w:hAnsi="宋体" w:eastAsia="宋体" w:cs="宋体"/>
          <w:color w:val="auto"/>
          <w:sz w:val="24"/>
          <w:szCs w:val="24"/>
          <w:highlight w:val="none"/>
        </w:rPr>
        <w:t xml:space="preserve">由局重点办汇总上</w:t>
      </w:r>
      <w:r>
        <w:rPr>
          <w:rFonts w:hint="eastAsia" w:ascii="宋体" w:hAnsi="宋体" w:eastAsia="宋体" w:cs="宋体"/>
          <w:color w:val="auto"/>
          <w:sz w:val="24"/>
          <w:szCs w:val="24"/>
          <w:highlight w:val="none"/>
          <w:lang w:eastAsia="zh-TW"/>
        </w:rPr>
        <w:t xml:space="preserve">报</w:t>
      </w:r>
      <w:r>
        <w:rPr>
          <w:rFonts w:hint="eastAsia" w:ascii="宋体" w:hAnsi="宋体" w:eastAsia="宋体" w:cs="宋体"/>
          <w:color w:val="auto"/>
          <w:sz w:val="24"/>
          <w:szCs w:val="24"/>
          <w:highlight w:val="none"/>
        </w:rPr>
        <w:t xml:space="preserve">局领导及市</w:t>
      </w:r>
      <w:r>
        <w:rPr>
          <w:rFonts w:hint="eastAsia" w:ascii="宋体" w:hAnsi="宋体" w:eastAsia="宋体" w:cs="宋体"/>
          <w:color w:val="auto"/>
          <w:sz w:val="24"/>
          <w:szCs w:val="24"/>
          <w:highlight w:val="none"/>
          <w:lang w:eastAsia="zh-TW"/>
        </w:rPr>
        <w:t xml:space="preserve">建设行政主管部门，</w:t>
      </w:r>
      <w:r>
        <w:rPr>
          <w:rFonts w:hint="eastAsia" w:ascii="宋体" w:hAnsi="宋体" w:eastAsia="宋体" w:cs="宋体"/>
          <w:color w:val="auto"/>
          <w:sz w:val="24"/>
          <w:szCs w:val="24"/>
          <w:highlight w:val="none"/>
        </w:rPr>
        <w:t xml:space="preserve">并</w:t>
      </w:r>
      <w:r>
        <w:rPr>
          <w:rFonts w:hint="eastAsia" w:ascii="宋体" w:hAnsi="宋体" w:eastAsia="宋体" w:cs="宋体"/>
          <w:color w:val="auto"/>
          <w:sz w:val="24"/>
          <w:szCs w:val="24"/>
          <w:highlight w:val="none"/>
          <w:lang w:eastAsia="zh-TW"/>
        </w:rPr>
        <w:t xml:space="preserve">将其记入相关单位信用记录。</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TW"/>
        </w:rPr>
        <w:t xml:space="preserve">4</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TW"/>
        </w:rPr>
        <w:t xml:space="preserve">对</w:t>
      </w:r>
      <w:r>
        <w:rPr>
          <w:rFonts w:hint="eastAsia" w:ascii="宋体" w:hAnsi="宋体" w:eastAsia="宋体" w:cs="宋体"/>
          <w:color w:val="auto"/>
          <w:sz w:val="24"/>
          <w:szCs w:val="24"/>
          <w:highlight w:val="none"/>
        </w:rPr>
        <w:t xml:space="preserve">获得</w:t>
      </w:r>
      <w:r>
        <w:rPr>
          <w:rFonts w:hint="eastAsia" w:ascii="宋体" w:hAnsi="宋体" w:eastAsia="宋体" w:cs="宋体"/>
          <w:color w:val="auto"/>
          <w:sz w:val="24"/>
          <w:szCs w:val="24"/>
          <w:highlight w:val="none"/>
          <w:lang w:eastAsia="zh-TW"/>
        </w:rPr>
        <w:t xml:space="preserve">优秀项目经理部、优秀项目</w:t>
      </w:r>
      <w:r>
        <w:rPr>
          <w:rFonts w:hint="eastAsia" w:ascii="宋体" w:hAnsi="宋体" w:eastAsia="宋体" w:cs="宋体"/>
          <w:color w:val="auto"/>
          <w:sz w:val="24"/>
          <w:szCs w:val="24"/>
          <w:highlight w:val="none"/>
        </w:rPr>
        <w:t xml:space="preserve">总监办</w:t>
      </w:r>
      <w:r>
        <w:rPr>
          <w:rFonts w:hint="eastAsia" w:ascii="宋体" w:hAnsi="宋体" w:eastAsia="宋体" w:cs="宋体"/>
          <w:color w:val="auto"/>
          <w:sz w:val="24"/>
          <w:szCs w:val="24"/>
          <w:highlight w:val="none"/>
          <w:lang w:eastAsia="zh-TW"/>
        </w:rPr>
        <w:t xml:space="preserve">、优秀设计组</w:t>
      </w:r>
      <w:r>
        <w:rPr>
          <w:rFonts w:hint="eastAsia" w:ascii="宋体" w:hAnsi="宋体" w:eastAsia="宋体" w:cs="宋体"/>
          <w:color w:val="auto"/>
          <w:sz w:val="24"/>
          <w:szCs w:val="24"/>
          <w:highlight w:val="none"/>
        </w:rPr>
        <w:t xml:space="preserve">等表彰的单位，将</w:t>
      </w:r>
      <w:r>
        <w:rPr>
          <w:rFonts w:hint="eastAsia" w:ascii="宋体" w:hAnsi="宋体" w:eastAsia="宋体" w:cs="宋体"/>
          <w:color w:val="auto"/>
          <w:sz w:val="24"/>
          <w:szCs w:val="24"/>
          <w:highlight w:val="none"/>
          <w:lang w:eastAsia="zh-TW"/>
        </w:rPr>
        <w:t xml:space="preserve">在重点工程招标</w:t>
      </w:r>
      <w:r>
        <w:rPr>
          <w:rFonts w:hint="eastAsia" w:ascii="宋体" w:hAnsi="宋体" w:eastAsia="宋体" w:cs="宋体"/>
          <w:color w:val="auto"/>
          <w:sz w:val="24"/>
          <w:szCs w:val="24"/>
          <w:highlight w:val="none"/>
        </w:rPr>
        <w:t xml:space="preserve">或委托</w:t>
      </w:r>
      <w:r>
        <w:rPr>
          <w:rFonts w:hint="eastAsia" w:ascii="宋体" w:hAnsi="宋体" w:eastAsia="宋体" w:cs="宋体"/>
          <w:color w:val="auto"/>
          <w:sz w:val="24"/>
          <w:szCs w:val="24"/>
          <w:highlight w:val="none"/>
          <w:lang w:eastAsia="zh-TW"/>
        </w:rPr>
        <w:t xml:space="preserve">时</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TW"/>
        </w:rPr>
        <w:t xml:space="preserve">同等条件下优先选择。</w:t>
      </w:r>
      <w:r/>
    </w:p>
    <w:p>
      <w:pPr>
        <w:ind w:firstLine="482"/>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eastAsia="zh-TW"/>
        </w:rPr>
        <w:t xml:space="preserve">第</w:t>
      </w:r>
      <w:r>
        <w:rPr>
          <w:rFonts w:hint="eastAsia" w:ascii="宋体" w:hAnsi="宋体" w:eastAsia="宋体" w:cs="宋体"/>
          <w:b/>
          <w:bCs/>
          <w:color w:val="auto"/>
          <w:sz w:val="24"/>
          <w:szCs w:val="24"/>
          <w:highlight w:val="none"/>
        </w:rPr>
        <w:t xml:space="preserve">十一</w:t>
      </w:r>
      <w:r>
        <w:rPr>
          <w:rFonts w:hint="eastAsia" w:ascii="宋体" w:hAnsi="宋体" w:eastAsia="宋体" w:cs="宋体"/>
          <w:b/>
          <w:bCs/>
          <w:color w:val="auto"/>
          <w:sz w:val="24"/>
          <w:szCs w:val="24"/>
          <w:highlight w:val="none"/>
          <w:lang w:eastAsia="zh-TW"/>
        </w:rPr>
        <w:t xml:space="preserve">条 </w:t>
      </w:r>
      <w:r>
        <w:rPr>
          <w:rFonts w:hint="eastAsia" w:ascii="宋体" w:hAnsi="宋体" w:eastAsia="宋体" w:cs="宋体"/>
          <w:color w:val="auto"/>
          <w:sz w:val="24"/>
          <w:szCs w:val="24"/>
          <w:highlight w:val="none"/>
        </w:rPr>
        <w:t xml:space="preserve">市城管局</w:t>
      </w:r>
      <w:r>
        <w:rPr>
          <w:rFonts w:hint="eastAsia" w:ascii="宋体" w:hAnsi="宋体" w:eastAsia="宋体" w:cs="宋体"/>
          <w:color w:val="auto"/>
          <w:sz w:val="24"/>
          <w:szCs w:val="24"/>
          <w:highlight w:val="none"/>
          <w:lang w:eastAsia="zh-TW"/>
        </w:rPr>
        <w:t xml:space="preserve">重点办建立工程</w:t>
      </w:r>
      <w:r>
        <w:rPr>
          <w:rFonts w:hint="eastAsia" w:ascii="宋体" w:hAnsi="宋体" w:eastAsia="宋体" w:cs="宋体"/>
          <w:color w:val="auto"/>
          <w:sz w:val="24"/>
          <w:szCs w:val="24"/>
          <w:highlight w:val="none"/>
        </w:rPr>
        <w:t xml:space="preserve">月度计划和完成情况</w:t>
      </w:r>
      <w:r>
        <w:rPr>
          <w:rFonts w:hint="eastAsia" w:ascii="宋体" w:hAnsi="宋体" w:eastAsia="宋体" w:cs="宋体"/>
          <w:color w:val="auto"/>
          <w:sz w:val="24"/>
          <w:szCs w:val="24"/>
          <w:highlight w:val="none"/>
          <w:lang w:eastAsia="zh-TW"/>
        </w:rPr>
        <w:t xml:space="preserve">统计上报制度。各工程建设责任部门要按要求及时报告工程建设进展情况。</w:t>
      </w:r>
      <w:r/>
    </w:p>
    <w:p>
      <w:pPr>
        <w:ind w:firstLine="482"/>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eastAsia="zh-TW"/>
        </w:rPr>
        <w:t xml:space="preserve">第</w:t>
      </w:r>
      <w:r>
        <w:rPr>
          <w:rFonts w:hint="eastAsia" w:ascii="宋体" w:hAnsi="宋体" w:eastAsia="宋体" w:cs="宋体"/>
          <w:b/>
          <w:bCs/>
          <w:color w:val="auto"/>
          <w:sz w:val="24"/>
          <w:szCs w:val="24"/>
          <w:highlight w:val="none"/>
        </w:rPr>
        <w:t xml:space="preserve">十二</w:t>
      </w:r>
      <w:r>
        <w:rPr>
          <w:rFonts w:hint="eastAsia" w:ascii="宋体" w:hAnsi="宋体" w:eastAsia="宋体" w:cs="宋体"/>
          <w:b/>
          <w:bCs/>
          <w:color w:val="auto"/>
          <w:sz w:val="24"/>
          <w:szCs w:val="24"/>
          <w:highlight w:val="none"/>
          <w:lang w:eastAsia="zh-TW"/>
        </w:rPr>
        <w:t xml:space="preserve">条 </w:t>
      </w:r>
      <w:r>
        <w:rPr>
          <w:rFonts w:hint="eastAsia" w:ascii="宋体" w:hAnsi="宋体" w:eastAsia="宋体" w:cs="宋体"/>
          <w:color w:val="auto"/>
          <w:sz w:val="24"/>
          <w:szCs w:val="24"/>
          <w:highlight w:val="none"/>
          <w:lang w:eastAsia="zh-TW"/>
        </w:rPr>
        <w:t xml:space="preserve">市</w:t>
      </w:r>
      <w:r>
        <w:rPr>
          <w:rFonts w:hint="eastAsia" w:ascii="宋体" w:hAnsi="宋体" w:eastAsia="宋体" w:cs="宋体"/>
          <w:color w:val="auto"/>
          <w:sz w:val="24"/>
          <w:szCs w:val="24"/>
          <w:highlight w:val="none"/>
        </w:rPr>
        <w:t xml:space="preserve">城管局纪检部门和局</w:t>
      </w:r>
      <w:r>
        <w:rPr>
          <w:rFonts w:hint="eastAsia" w:ascii="宋体" w:hAnsi="宋体" w:eastAsia="宋体" w:cs="宋体"/>
          <w:color w:val="auto"/>
          <w:sz w:val="24"/>
          <w:szCs w:val="24"/>
          <w:highlight w:val="none"/>
          <w:lang w:eastAsia="zh-TW"/>
        </w:rPr>
        <w:t xml:space="preserve">重点办要严格按照相关规定</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TW"/>
        </w:rPr>
        <w:t xml:space="preserve">严厉查处重点工程建设中各类违法违规行为。</w:t>
      </w:r>
      <w:r/>
    </w:p>
    <w:p>
      <w:pPr>
        <w:ind w:firstLine="482"/>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eastAsia="zh-TW"/>
        </w:rPr>
        <w:t xml:space="preserve">第</w:t>
      </w:r>
      <w:r>
        <w:rPr>
          <w:rFonts w:hint="eastAsia" w:ascii="宋体" w:hAnsi="宋体" w:eastAsia="宋体" w:cs="宋体"/>
          <w:b/>
          <w:bCs/>
          <w:color w:val="auto"/>
          <w:sz w:val="24"/>
          <w:szCs w:val="24"/>
          <w:highlight w:val="none"/>
        </w:rPr>
        <w:t xml:space="preserve">十三</w:t>
      </w:r>
      <w:r>
        <w:rPr>
          <w:rFonts w:hint="eastAsia" w:ascii="宋体" w:hAnsi="宋体" w:eastAsia="宋体" w:cs="宋体"/>
          <w:b/>
          <w:bCs/>
          <w:color w:val="auto"/>
          <w:sz w:val="24"/>
          <w:szCs w:val="24"/>
          <w:highlight w:val="none"/>
          <w:lang w:eastAsia="zh-TW"/>
        </w:rPr>
        <w:t xml:space="preserve">条 </w:t>
      </w:r>
      <w:r>
        <w:rPr>
          <w:rFonts w:hint="eastAsia" w:ascii="宋体" w:hAnsi="宋体" w:eastAsia="宋体" w:cs="宋体"/>
          <w:color w:val="auto"/>
          <w:sz w:val="24"/>
          <w:szCs w:val="24"/>
          <w:highlight w:val="none"/>
          <w:lang w:eastAsia="zh-TW"/>
        </w:rPr>
        <w:t xml:space="preserve">对检查中发现的</w:t>
      </w:r>
      <w:r>
        <w:rPr>
          <w:rFonts w:hint="eastAsia" w:ascii="宋体" w:hAnsi="宋体" w:eastAsia="宋体" w:cs="宋体"/>
          <w:color w:val="auto"/>
          <w:sz w:val="24"/>
          <w:szCs w:val="24"/>
          <w:highlight w:val="none"/>
        </w:rPr>
        <w:t xml:space="preserve">严重违规</w:t>
      </w:r>
      <w:r>
        <w:rPr>
          <w:rFonts w:hint="eastAsia" w:ascii="宋体" w:hAnsi="宋体" w:eastAsia="宋体" w:cs="宋体"/>
          <w:color w:val="auto"/>
          <w:sz w:val="24"/>
          <w:szCs w:val="24"/>
          <w:highlight w:val="none"/>
          <w:lang w:eastAsia="zh-TW"/>
        </w:rPr>
        <w:t xml:space="preserve">问题</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TW"/>
        </w:rPr>
        <w:t xml:space="preserve">由</w:t>
      </w:r>
      <w:r>
        <w:rPr>
          <w:rFonts w:hint="eastAsia" w:ascii="宋体" w:hAnsi="宋体" w:eastAsia="宋体" w:cs="宋体"/>
          <w:color w:val="auto"/>
          <w:sz w:val="24"/>
          <w:szCs w:val="24"/>
          <w:highlight w:val="none"/>
        </w:rPr>
        <w:t xml:space="preserve">局</w:t>
      </w:r>
      <w:r>
        <w:rPr>
          <w:rFonts w:hint="eastAsia" w:ascii="宋体" w:hAnsi="宋体" w:eastAsia="宋体" w:cs="宋体"/>
          <w:color w:val="auto"/>
          <w:sz w:val="24"/>
          <w:szCs w:val="24"/>
          <w:highlight w:val="none"/>
          <w:lang w:eastAsia="zh-TW"/>
        </w:rPr>
        <w:t xml:space="preserve">重点办责令责任单位限期整改并对其进行处罚</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TW"/>
        </w:rPr>
        <w:t xml:space="preserve">同时</w:t>
      </w:r>
      <w:r>
        <w:rPr>
          <w:rFonts w:hint="eastAsia" w:ascii="宋体" w:hAnsi="宋体" w:eastAsia="宋体" w:cs="宋体"/>
          <w:color w:val="auto"/>
          <w:sz w:val="24"/>
          <w:szCs w:val="24"/>
          <w:highlight w:val="none"/>
        </w:rPr>
        <w:t xml:space="preserve">上报</w:t>
      </w:r>
      <w:r>
        <w:rPr>
          <w:rFonts w:hint="eastAsia" w:ascii="宋体" w:hAnsi="宋体" w:eastAsia="宋体" w:cs="宋体"/>
          <w:color w:val="auto"/>
          <w:sz w:val="24"/>
          <w:szCs w:val="24"/>
          <w:highlight w:val="none"/>
          <w:lang w:eastAsia="zh-TW"/>
        </w:rPr>
        <w:t xml:space="preserve">市建设</w:t>
      </w:r>
      <w:r>
        <w:rPr>
          <w:rFonts w:hint="eastAsia" w:ascii="宋体" w:hAnsi="宋体" w:eastAsia="宋体" w:cs="宋体"/>
          <w:color w:val="auto"/>
          <w:sz w:val="24"/>
          <w:szCs w:val="24"/>
          <w:highlight w:val="none"/>
        </w:rPr>
        <w:t xml:space="preserve">行政主管部门</w:t>
      </w:r>
      <w:r>
        <w:rPr>
          <w:rFonts w:hint="eastAsia" w:ascii="宋体" w:hAnsi="宋体" w:eastAsia="宋体" w:cs="宋体"/>
          <w:color w:val="auto"/>
          <w:sz w:val="24"/>
          <w:szCs w:val="24"/>
          <w:highlight w:val="none"/>
          <w:lang w:eastAsia="zh-TW"/>
        </w:rPr>
        <w:t xml:space="preserve">将其记入相关单位信用记录。 </w:t>
      </w:r>
      <w:r/>
    </w:p>
    <w:p>
      <w:pPr>
        <w:ind w:firstLine="482"/>
        <w:jc w:val="center"/>
        <w:keepLines w:val="0"/>
        <w:keepNext w:val="0"/>
        <w:pageBreakBefore w:val="0"/>
        <w:spacing w:line="500" w:lineRule="exact"/>
        <w:widowControl w:val="off"/>
        <w:rPr>
          <w:rFonts w:hint="eastAsia" w:ascii="宋体" w:hAnsi="宋体" w:eastAsia="宋体" w:cs="宋体"/>
          <w:b/>
          <w:bCs/>
          <w:color w:val="auto"/>
          <w:sz w:val="24"/>
          <w:szCs w:val="24"/>
          <w:highlight w:val="none"/>
          <w:lang w:eastAsia="zh-TW"/>
        </w:rPr>
      </w:pPr>
      <w:r>
        <w:rPr>
          <w:rFonts w:hint="eastAsia" w:ascii="宋体" w:hAnsi="宋体" w:eastAsia="宋体" w:cs="宋体"/>
          <w:b/>
          <w:bCs/>
          <w:color w:val="auto"/>
          <w:sz w:val="24"/>
          <w:szCs w:val="24"/>
          <w:highlight w:val="none"/>
          <w:lang w:eastAsia="zh-TW"/>
        </w:rPr>
      </w:r>
      <w:r/>
    </w:p>
    <w:p>
      <w:pPr>
        <w:ind w:firstLine="482"/>
        <w:jc w:val="center"/>
        <w:keepLines w:val="0"/>
        <w:keepNext w:val="0"/>
        <w:pageBreakBefore w:val="0"/>
        <w:spacing w:line="500" w:lineRule="exact"/>
        <w:widowControl w:val="off"/>
        <w:rPr>
          <w:rFonts w:hint="eastAsia" w:ascii="宋体" w:hAnsi="宋体" w:eastAsia="宋体" w:cs="宋体"/>
          <w:b/>
          <w:bCs/>
          <w:color w:val="auto"/>
          <w:sz w:val="24"/>
          <w:szCs w:val="24"/>
          <w:highlight w:val="none"/>
          <w:lang w:eastAsia="zh-TW"/>
        </w:rPr>
      </w:pPr>
      <w:r>
        <w:rPr>
          <w:rFonts w:hint="eastAsia" w:ascii="宋体" w:hAnsi="宋体" w:eastAsia="宋体" w:cs="宋体"/>
          <w:b/>
          <w:bCs/>
          <w:color w:val="auto"/>
          <w:sz w:val="24"/>
          <w:szCs w:val="24"/>
          <w:highlight w:val="none"/>
          <w:lang w:eastAsia="zh-TW"/>
        </w:rPr>
      </w:r>
      <w:r/>
    </w:p>
    <w:p>
      <w:pPr>
        <w:ind w:firstLine="482"/>
        <w:jc w:val="cente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eastAsia="zh-TW"/>
        </w:rPr>
        <w:t xml:space="preserve">第</w:t>
      </w:r>
      <w:r>
        <w:rPr>
          <w:rFonts w:hint="eastAsia" w:ascii="宋体" w:hAnsi="宋体" w:eastAsia="宋体" w:cs="宋体"/>
          <w:b/>
          <w:bCs/>
          <w:color w:val="auto"/>
          <w:sz w:val="24"/>
          <w:szCs w:val="24"/>
          <w:highlight w:val="none"/>
        </w:rPr>
        <w:t xml:space="preserve">四</w:t>
      </w:r>
      <w:r>
        <w:rPr>
          <w:rFonts w:hint="eastAsia" w:ascii="宋体" w:hAnsi="宋体" w:eastAsia="宋体" w:cs="宋体"/>
          <w:b/>
          <w:bCs/>
          <w:color w:val="auto"/>
          <w:sz w:val="24"/>
          <w:szCs w:val="24"/>
          <w:highlight w:val="none"/>
          <w:lang w:eastAsia="zh-TW"/>
        </w:rPr>
        <w:t xml:space="preserve">章</w:t>
      </w:r>
      <w:r>
        <w:rPr>
          <w:rFonts w:hint="eastAsia" w:ascii="宋体" w:hAnsi="宋体" w:eastAsia="宋体" w:cs="宋体"/>
          <w:b/>
          <w:bCs/>
          <w:color w:val="auto"/>
          <w:sz w:val="24"/>
          <w:szCs w:val="24"/>
          <w:highlight w:val="none"/>
        </w:rPr>
        <w:t xml:space="preserve"> </w:t>
      </w:r>
      <w:r>
        <w:rPr>
          <w:rFonts w:hint="eastAsia" w:ascii="宋体" w:hAnsi="宋体" w:eastAsia="宋体" w:cs="宋体"/>
          <w:b/>
          <w:bCs/>
          <w:color w:val="auto"/>
          <w:sz w:val="24"/>
          <w:szCs w:val="24"/>
          <w:highlight w:val="none"/>
          <w:lang w:eastAsia="zh-TW"/>
        </w:rPr>
        <w:t xml:space="preserve">附</w:t>
      </w:r>
      <w:r>
        <w:rPr>
          <w:rFonts w:hint="eastAsia" w:ascii="宋体" w:hAnsi="宋体" w:eastAsia="宋体" w:cs="宋体"/>
          <w:b/>
          <w:bCs/>
          <w:color w:val="auto"/>
          <w:sz w:val="24"/>
          <w:szCs w:val="24"/>
          <w:highlight w:val="none"/>
        </w:rPr>
        <w:t xml:space="preserve"> </w:t>
      </w:r>
      <w:r>
        <w:rPr>
          <w:rFonts w:hint="eastAsia" w:ascii="宋体" w:hAnsi="宋体" w:eastAsia="宋体" w:cs="宋体"/>
          <w:b/>
          <w:bCs/>
          <w:color w:val="auto"/>
          <w:sz w:val="24"/>
          <w:szCs w:val="24"/>
          <w:highlight w:val="none"/>
          <w:lang w:eastAsia="zh-TW"/>
        </w:rPr>
        <w:t xml:space="preserve">则</w:t>
      </w:r>
      <w:r/>
    </w:p>
    <w:p>
      <w:pPr>
        <w:ind w:firstLine="482"/>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eastAsia="zh-TW"/>
        </w:rPr>
        <w:t xml:space="preserve">第十</w:t>
      </w:r>
      <w:r>
        <w:rPr>
          <w:rFonts w:hint="eastAsia" w:ascii="宋体" w:hAnsi="宋体" w:eastAsia="宋体" w:cs="宋体"/>
          <w:b/>
          <w:bCs/>
          <w:color w:val="auto"/>
          <w:sz w:val="24"/>
          <w:szCs w:val="24"/>
          <w:highlight w:val="none"/>
        </w:rPr>
        <w:t xml:space="preserve">四</w:t>
      </w:r>
      <w:r>
        <w:rPr>
          <w:rFonts w:hint="eastAsia" w:ascii="宋体" w:hAnsi="宋体" w:eastAsia="宋体" w:cs="宋体"/>
          <w:b/>
          <w:bCs/>
          <w:color w:val="auto"/>
          <w:sz w:val="24"/>
          <w:szCs w:val="24"/>
          <w:highlight w:val="none"/>
          <w:lang w:eastAsia="zh-TW"/>
        </w:rPr>
        <w:t xml:space="preserve">条</w:t>
      </w:r>
      <w:r>
        <w:rPr>
          <w:rFonts w:hint="eastAsia" w:ascii="宋体" w:hAnsi="宋体" w:eastAsia="宋体" w:cs="宋体"/>
          <w:b/>
          <w:bCs/>
          <w:color w:val="auto"/>
          <w:sz w:val="24"/>
          <w:szCs w:val="24"/>
          <w:highlight w:val="none"/>
          <w:lang w:val="zh-TW" w:eastAsia="zh-TW"/>
        </w:rPr>
        <w:t xml:space="preserve"> </w:t>
      </w:r>
      <w:r>
        <w:rPr>
          <w:rFonts w:hint="eastAsia" w:ascii="宋体" w:hAnsi="宋体" w:eastAsia="宋体" w:cs="宋体"/>
          <w:color w:val="auto"/>
          <w:sz w:val="24"/>
          <w:szCs w:val="24"/>
          <w:highlight w:val="none"/>
          <w:lang w:eastAsia="zh-TW"/>
        </w:rPr>
        <w:t xml:space="preserve">本办法由徐州市城市管理局负责解释。</w:t>
      </w:r>
      <w:r>
        <w:rPr>
          <w:rFonts w:hint="eastAsia" w:ascii="宋体" w:hAnsi="宋体" w:eastAsia="宋体" w:cs="宋体"/>
          <w:color w:val="auto"/>
          <w:sz w:val="24"/>
          <w:szCs w:val="24"/>
          <w:highlight w:val="none"/>
        </w:rPr>
        <w:t xml:space="preserve">根据</w:t>
      </w:r>
      <w:r>
        <w:rPr>
          <w:rFonts w:hint="eastAsia" w:ascii="宋体" w:hAnsi="宋体" w:eastAsia="宋体" w:cs="宋体"/>
          <w:color w:val="auto"/>
          <w:sz w:val="24"/>
          <w:szCs w:val="24"/>
          <w:highlight w:val="none"/>
          <w:lang w:eastAsia="zh-TW"/>
        </w:rPr>
        <w:t xml:space="preserve">重点工程的</w:t>
      </w:r>
      <w:r>
        <w:rPr>
          <w:rFonts w:hint="eastAsia" w:ascii="宋体" w:hAnsi="宋体" w:eastAsia="宋体" w:cs="宋体"/>
          <w:color w:val="auto"/>
          <w:sz w:val="24"/>
          <w:szCs w:val="24"/>
          <w:highlight w:val="none"/>
        </w:rPr>
        <w:t xml:space="preserve">实施情况可</w:t>
      </w:r>
      <w:r>
        <w:rPr>
          <w:rFonts w:hint="eastAsia" w:ascii="宋体" w:hAnsi="宋体" w:eastAsia="宋体" w:cs="宋体"/>
          <w:color w:val="auto"/>
          <w:sz w:val="24"/>
          <w:szCs w:val="24"/>
          <w:highlight w:val="none"/>
          <w:lang w:eastAsia="zh-TW"/>
        </w:rPr>
        <w:t xml:space="preserve">制订</w:t>
      </w:r>
      <w:r>
        <w:rPr>
          <w:rFonts w:hint="eastAsia" w:ascii="宋体" w:hAnsi="宋体" w:eastAsia="宋体" w:cs="宋体"/>
          <w:color w:val="auto"/>
          <w:sz w:val="24"/>
          <w:szCs w:val="24"/>
          <w:highlight w:val="none"/>
        </w:rPr>
        <w:t xml:space="preserve">相应</w:t>
      </w:r>
      <w:r>
        <w:rPr>
          <w:rFonts w:hint="eastAsia" w:ascii="宋体" w:hAnsi="宋体" w:eastAsia="宋体" w:cs="宋体"/>
          <w:color w:val="auto"/>
          <w:sz w:val="24"/>
          <w:szCs w:val="24"/>
          <w:highlight w:val="none"/>
          <w:lang w:eastAsia="zh-TW"/>
        </w:rPr>
        <w:t xml:space="preserve">的专项细则。</w:t>
      </w:r>
      <w:r/>
    </w:p>
    <w:p>
      <w:pPr>
        <w:ind w:firstLine="482"/>
        <w:keepLines w:val="0"/>
        <w:keepNext w:val="0"/>
        <w:pageBreakBefore w:val="0"/>
        <w:spacing w:line="500" w:lineRule="exact"/>
        <w:widowControl w:val="off"/>
        <w:rPr>
          <w:rFonts w:hint="eastAsia" w:ascii="宋体" w:hAnsi="宋体" w:eastAsia="宋体" w:cs="宋体"/>
          <w:color w:val="auto"/>
          <w:sz w:val="24"/>
          <w:szCs w:val="24"/>
          <w:highlight w:val="none"/>
          <w:lang w:eastAsia="zh-TW"/>
        </w:rPr>
      </w:pPr>
      <w:r>
        <w:rPr>
          <w:rFonts w:hint="eastAsia" w:ascii="宋体" w:hAnsi="宋体" w:eastAsia="宋体" w:cs="宋体"/>
          <w:b/>
          <w:bCs/>
          <w:color w:val="auto"/>
          <w:sz w:val="24"/>
          <w:szCs w:val="24"/>
          <w:highlight w:val="none"/>
          <w:lang w:eastAsia="zh-TW"/>
        </w:rPr>
        <w:t xml:space="preserve">第</w:t>
      </w:r>
      <w:r>
        <w:rPr>
          <w:rFonts w:hint="eastAsia" w:ascii="宋体" w:hAnsi="宋体" w:eastAsia="宋体" w:cs="宋体"/>
          <w:b/>
          <w:bCs/>
          <w:color w:val="auto"/>
          <w:sz w:val="24"/>
          <w:szCs w:val="24"/>
          <w:highlight w:val="none"/>
        </w:rPr>
        <w:t xml:space="preserve">十五</w:t>
      </w:r>
      <w:r>
        <w:rPr>
          <w:rFonts w:hint="eastAsia" w:ascii="宋体" w:hAnsi="宋体" w:eastAsia="宋体" w:cs="宋体"/>
          <w:b/>
          <w:bCs/>
          <w:color w:val="auto"/>
          <w:sz w:val="24"/>
          <w:szCs w:val="24"/>
          <w:highlight w:val="none"/>
          <w:lang w:eastAsia="zh-TW"/>
        </w:rPr>
        <w:t xml:space="preserve">条</w:t>
      </w:r>
      <w:r>
        <w:rPr>
          <w:rFonts w:hint="eastAsia" w:ascii="宋体" w:hAnsi="宋体" w:eastAsia="宋体" w:cs="宋体"/>
          <w:b/>
          <w:bCs/>
          <w:color w:val="auto"/>
          <w:sz w:val="24"/>
          <w:szCs w:val="24"/>
          <w:highlight w:val="none"/>
        </w:rPr>
        <w:t xml:space="preserve"> </w:t>
      </w:r>
      <w:r>
        <w:rPr>
          <w:rFonts w:hint="eastAsia" w:ascii="宋体" w:hAnsi="宋体" w:eastAsia="宋体" w:cs="宋体"/>
          <w:color w:val="auto"/>
          <w:sz w:val="24"/>
          <w:szCs w:val="24"/>
          <w:highlight w:val="none"/>
          <w:lang w:eastAsia="zh-TW"/>
        </w:rPr>
        <w:t xml:space="preserve">本</w:t>
      </w:r>
      <w:r>
        <w:rPr>
          <w:rFonts w:hint="eastAsia" w:ascii="宋体" w:hAnsi="宋体" w:eastAsia="宋体" w:cs="宋体"/>
          <w:color w:val="auto"/>
          <w:sz w:val="24"/>
          <w:szCs w:val="24"/>
          <w:highlight w:val="none"/>
        </w:rPr>
        <w:t xml:space="preserve">办法</w:t>
      </w:r>
      <w:r>
        <w:rPr>
          <w:rFonts w:hint="eastAsia" w:ascii="宋体" w:hAnsi="宋体" w:eastAsia="宋体" w:cs="宋体"/>
          <w:color w:val="auto"/>
          <w:sz w:val="24"/>
          <w:szCs w:val="24"/>
          <w:highlight w:val="none"/>
          <w:lang w:eastAsia="zh-TW"/>
        </w:rPr>
        <w:t xml:space="preserve">自</w:t>
      </w:r>
      <w:r>
        <w:rPr>
          <w:rFonts w:hint="eastAsia" w:ascii="宋体" w:hAnsi="宋体" w:eastAsia="宋体" w:cs="宋体"/>
          <w:color w:val="auto"/>
          <w:sz w:val="24"/>
          <w:szCs w:val="24"/>
          <w:highlight w:val="none"/>
        </w:rPr>
        <w:t xml:space="preserve">印发之日</w:t>
      </w:r>
      <w:r>
        <w:rPr>
          <w:rFonts w:hint="eastAsia" w:ascii="宋体" w:hAnsi="宋体" w:eastAsia="宋体" w:cs="宋体"/>
          <w:color w:val="auto"/>
          <w:sz w:val="24"/>
          <w:szCs w:val="24"/>
          <w:highlight w:val="none"/>
          <w:lang w:eastAsia="zh-TW"/>
        </w:rPr>
        <w:t xml:space="preserve">起施行。</w:t>
      </w:r>
      <w:r/>
    </w:p>
    <w:p>
      <w:pPr>
        <w:ind w:firstLine="480"/>
        <w:jc w:val="center"/>
        <w:keepLines w:val="0"/>
        <w:keepNext w:val="0"/>
        <w:pageBreakBefore w:val="0"/>
        <w:spacing w:line="500" w:lineRule="exact"/>
        <w:widowControl w:val="off"/>
        <w:rPr>
          <w:rFonts w:hint="eastAsia" w:ascii="宋体" w:hAnsi="宋体" w:eastAsia="宋体" w:cs="宋体"/>
          <w:color w:val="auto"/>
          <w:sz w:val="24"/>
          <w:szCs w:val="24"/>
          <w:highlight w:val="none"/>
          <w:lang w:eastAsia="zh-TW"/>
        </w:rPr>
      </w:pPr>
      <w:r>
        <w:rPr>
          <w:rFonts w:hint="eastAsia" w:ascii="宋体" w:hAnsi="宋体" w:eastAsia="宋体" w:cs="宋体"/>
          <w:color w:val="auto"/>
          <w:sz w:val="24"/>
          <w:szCs w:val="24"/>
          <w:highlight w:val="none"/>
          <w:lang w:eastAsia="zh-TW"/>
        </w:rPr>
      </w:r>
      <w:r/>
    </w:p>
    <w:p>
      <w:pPr>
        <w:pageBreakBefore w:val="0"/>
        <w:spacing w:line="500" w:lineRule="exact"/>
        <w:rPr>
          <w:rFonts w:hint="eastAsia" w:ascii="宋体" w:hAnsi="宋体" w:eastAsia="宋体" w:cs="宋体"/>
          <w:color w:val="auto"/>
          <w:sz w:val="24"/>
          <w:szCs w:val="24"/>
          <w:highlight w:val="none"/>
          <w:lang w:eastAsia="zh-TW"/>
        </w:rPr>
      </w:pPr>
      <w:r>
        <w:rPr>
          <w:rFonts w:hint="eastAsia" w:ascii="宋体" w:hAnsi="宋体" w:eastAsia="宋体" w:cs="宋体"/>
          <w:color w:val="auto"/>
          <w:sz w:val="24"/>
          <w:szCs w:val="24"/>
          <w:highlight w:val="none"/>
          <w:lang w:eastAsia="zh-TW"/>
        </w:rPr>
        <w:br w:type="page" w:clear="all"/>
      </w:r>
      <w:r/>
    </w:p>
    <w:p>
      <w:pPr>
        <w:jc w:val="center"/>
        <w:pageBreakBefore w:val="0"/>
        <w:spacing w:line="500" w:lineRule="exact"/>
        <w:rPr>
          <w:rFonts w:hint="eastAsia" w:ascii="宋体" w:hAnsi="宋体" w:eastAsia="宋体" w:cs="宋体"/>
          <w:bCs/>
          <w:color w:val="auto"/>
          <w:sz w:val="24"/>
          <w:szCs w:val="24"/>
          <w:highlight w:val="none"/>
          <w:lang w:val="zh-TW" w:eastAsia="zh-TW"/>
        </w:rPr>
      </w:pPr>
      <w:r>
        <w:rPr>
          <w:rFonts w:hint="eastAsia" w:ascii="宋体" w:hAnsi="宋体" w:eastAsia="宋体" w:cs="宋体"/>
          <w:color w:val="auto"/>
          <w:sz w:val="24"/>
          <w:szCs w:val="24"/>
          <w:highlight w:val="none"/>
          <w:lang w:eastAsia="zh-TW"/>
        </w:rPr>
        <w:t xml:space="preserve">徐州市城市管理局</w:t>
      </w:r>
      <w:r>
        <w:rPr>
          <w:rFonts w:hint="eastAsia" w:ascii="宋体" w:hAnsi="宋体" w:eastAsia="宋体" w:cs="宋体"/>
          <w:bCs/>
          <w:color w:val="auto"/>
          <w:sz w:val="24"/>
          <w:szCs w:val="24"/>
          <w:highlight w:val="none"/>
          <w:lang w:val="zh-TW" w:eastAsia="zh-TW"/>
        </w:rPr>
        <w:t xml:space="preserve">月度检查考核表（施工单位）</w:t>
      </w:r>
      <w:r/>
    </w:p>
    <w:p>
      <w:pPr>
        <w:pageBreakBefore w:val="0"/>
        <w:spacing w:line="500" w:lineRule="exact"/>
        <w:rPr>
          <w:rFonts w:hint="eastAsia" w:ascii="宋体" w:hAnsi="宋体" w:eastAsia="宋体" w:cs="宋体"/>
          <w:bCs/>
          <w:color w:val="auto"/>
          <w:sz w:val="24"/>
          <w:szCs w:val="24"/>
          <w:highlight w:val="none"/>
          <w:lang w:val="zh-TW"/>
        </w:rPr>
      </w:pPr>
      <w:r>
        <w:rPr>
          <w:rFonts w:hint="eastAsia" w:ascii="宋体" w:hAnsi="宋体" w:eastAsia="宋体" w:cs="宋体"/>
          <w:bCs/>
          <w:color w:val="auto"/>
          <w:sz w:val="24"/>
          <w:szCs w:val="24"/>
          <w:highlight w:val="none"/>
        </w:rPr>
        <w:t xml:space="preserve">施工单位：                                   </w:t>
      </w:r>
      <w:r>
        <w:rPr>
          <w:rFonts w:hint="eastAsia" w:ascii="宋体" w:hAnsi="宋体" w:eastAsia="宋体" w:cs="宋体"/>
          <w:bCs/>
          <w:color w:val="auto"/>
          <w:sz w:val="24"/>
          <w:szCs w:val="24"/>
          <w:highlight w:val="none"/>
          <w:lang w:eastAsia="zh-TW"/>
        </w:rPr>
        <w:t xml:space="preserve"> 年</w:t>
      </w: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eastAsia="zh-TW"/>
        </w:rPr>
        <w:t xml:space="preserve"> 月 </w:t>
      </w: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eastAsia="zh-TW"/>
        </w:rPr>
        <w:t xml:space="preserve">日</w:t>
      </w:r>
      <w:r/>
    </w:p>
    <w:tbl>
      <w:tblPr>
        <w:tblStyle w:val="991"/>
        <w:tblW w:w="0" w:type="auto"/>
        <w:tblInd w:w="0" w:type="dxa"/>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Layout w:type="autofit"/>
        <w:tblCellMar>
          <w:left w:w="108" w:type="dxa"/>
          <w:top w:w="0" w:type="dxa"/>
          <w:right w:w="108" w:type="dxa"/>
          <w:bottom w:w="0" w:type="dxa"/>
        </w:tblCellMar>
        <w:tblLook w:val="04A0" w:firstRow="1" w:lastRow="0" w:firstColumn="1" w:lastColumn="0" w:noHBand="0" w:noVBand="1"/>
      </w:tblPr>
      <w:tblGrid>
        <w:gridCol w:w="1105"/>
        <w:gridCol w:w="4872"/>
        <w:gridCol w:w="499"/>
        <w:gridCol w:w="608"/>
        <w:gridCol w:w="2822"/>
      </w:tblGrid>
      <w:tr>
        <w:trPr>
          <w:trHeight w:val="90"/>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0" w:type="auto"/>
            <w:vAlign w:val="center"/>
            <w:textDirection w:val="lrTb"/>
            <w:noWrap w:val="false"/>
          </w:tcPr>
          <w:p>
            <w:pPr>
              <w:pStyle w:val="1083"/>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TW"/>
              </w:rPr>
              <w:t xml:space="preserve">类</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eastAsia="zh-TW"/>
              </w:rPr>
              <w:t xml:space="preserve">别</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0" w:type="auto"/>
            <w:vAlign w:val="center"/>
            <w:textDirection w:val="lrTb"/>
            <w:noWrap w:val="false"/>
          </w:tcPr>
          <w:p>
            <w:pPr>
              <w:pStyle w:val="1083"/>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TW"/>
              </w:rPr>
              <w:t xml:space="preserve">考核标准</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0" w:type="auto"/>
            <w:vAlign w:val="center"/>
            <w:textDirection w:val="lrTb"/>
            <w:noWrap w:val="false"/>
          </w:tcPr>
          <w:p>
            <w:pPr>
              <w:pStyle w:val="1083"/>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TW"/>
              </w:rPr>
              <w:t xml:space="preserve">分值</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0" w:type="auto"/>
            <w:vAlign w:val="center"/>
            <w:textDirection w:val="lrTb"/>
            <w:noWrap w:val="false"/>
          </w:tcPr>
          <w:p>
            <w:pPr>
              <w:pStyle w:val="1083"/>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TW"/>
              </w:rPr>
              <w:t xml:space="preserve">现场测评得分</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0" w:type="auto"/>
            <w:vAlign w:val="center"/>
            <w:textDirection w:val="lrTb"/>
            <w:noWrap w:val="false"/>
          </w:tcPr>
          <w:p>
            <w:pPr>
              <w:pStyle w:val="1083"/>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TW"/>
              </w:rPr>
              <w:t xml:space="preserve">备注</w:t>
            </w:r>
            <w:r/>
          </w:p>
        </w:tc>
      </w:tr>
      <w:tr>
        <w:trPr>
          <w:trHeight w:val="90"/>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0" w:type="auto"/>
            <w:vAlign w:val="center"/>
            <w:vMerge w:val="restart"/>
            <w:textDirection w:val="lrTb"/>
            <w:noWrap w:val="false"/>
          </w:tcPr>
          <w:p>
            <w:pPr>
              <w:pStyle w:val="1083"/>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TW"/>
              </w:rPr>
              <w:t xml:space="preserve">项目管理机构</w:t>
            </w:r>
            <w:r/>
          </w:p>
          <w:p>
            <w:pPr>
              <w:pStyle w:val="1083"/>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TW"/>
              </w:rPr>
              <w:t xml:space="preserve">（</w:t>
            </w:r>
            <w:r>
              <w:rPr>
                <w:rFonts w:hint="eastAsia" w:ascii="宋体" w:hAnsi="宋体" w:eastAsia="宋体" w:cs="宋体"/>
                <w:color w:val="auto"/>
                <w:sz w:val="21"/>
                <w:szCs w:val="21"/>
                <w:highlight w:val="none"/>
              </w:rPr>
              <w:t xml:space="preserve">15</w:t>
            </w:r>
            <w:r>
              <w:rPr>
                <w:rFonts w:hint="eastAsia" w:ascii="宋体" w:hAnsi="宋体" w:eastAsia="宋体" w:cs="宋体"/>
                <w:color w:val="auto"/>
                <w:sz w:val="21"/>
                <w:szCs w:val="21"/>
                <w:highlight w:val="none"/>
                <w:lang w:eastAsia="zh-TW"/>
              </w:rPr>
              <w:t xml:space="preserve">分）</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0" w:type="auto"/>
            <w:vAlign w:val="bottom"/>
            <w:textDirection w:val="lrTb"/>
            <w:noWrap w:val="false"/>
          </w:tcPr>
          <w:p>
            <w:pPr>
              <w:pStyle w:val="1083"/>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eastAsia="zh-TW"/>
              </w:rPr>
              <w:t xml:space="preserve">项目部标准化建设按方案落实到位</w:t>
            </w: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eastAsia="zh-TW"/>
              </w:rPr>
              <w:t xml:space="preserve">分；</w:t>
            </w:r>
            <w:r/>
          </w:p>
          <w:p>
            <w:pPr>
              <w:pStyle w:val="1083"/>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eastAsia="zh-TW"/>
              </w:rPr>
              <w:t xml:space="preserve">项目部制度上墙，管理制度健全</w:t>
            </w: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eastAsia="zh-TW"/>
              </w:rPr>
              <w:t xml:space="preserve">分。</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0" w:type="auto"/>
            <w:vAlign w:val="center"/>
            <w:textDirection w:val="lrTb"/>
            <w:noWrap w:val="false"/>
          </w:tcPr>
          <w:p>
            <w:pPr>
              <w:pStyle w:val="1083"/>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0" w:type="auto"/>
            <w:vAlign w:val="center"/>
            <w:textDirection w:val="lrTb"/>
            <w:noWrap w:val="false"/>
          </w:tcPr>
          <w:p>
            <w:pPr>
              <w:pStyle w:val="1083"/>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0" w:type="auto"/>
            <w:vAlign w:val="center"/>
            <w:textDirection w:val="lrTb"/>
            <w:noWrap w:val="false"/>
          </w:tcPr>
          <w:p>
            <w:pPr>
              <w:pStyle w:val="1083"/>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r>
      <w:tr>
        <w:trPr>
          <w:trHeight w:val="9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pStyle w:val="1083"/>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0" w:type="auto"/>
            <w:vAlign w:val="center"/>
            <w:textDirection w:val="lrTb"/>
            <w:noWrap w:val="false"/>
          </w:tcPr>
          <w:p>
            <w:pPr>
              <w:pStyle w:val="1083"/>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TW"/>
              </w:rPr>
              <w:t xml:space="preserve">建造师常驻现场</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TW"/>
              </w:rPr>
              <w:t xml:space="preserve">项目经理是否按合同要求时间驻现场。项目经理驻现场未达合同要求时间或未经批准擅离现场</w:t>
            </w:r>
            <w:r>
              <w:rPr>
                <w:rFonts w:hint="eastAsia" w:ascii="宋体" w:hAnsi="宋体" w:eastAsia="宋体" w:cs="宋体"/>
                <w:color w:val="auto"/>
                <w:sz w:val="21"/>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0" w:type="auto"/>
            <w:vAlign w:val="center"/>
            <w:textDirection w:val="lrTb"/>
            <w:noWrap w:val="false"/>
          </w:tcPr>
          <w:p>
            <w:pPr>
              <w:pStyle w:val="1083"/>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0" w:type="auto"/>
            <w:vAlign w:val="center"/>
            <w:textDirection w:val="lrTb"/>
            <w:noWrap w:val="false"/>
          </w:tcPr>
          <w:p>
            <w:pPr>
              <w:pStyle w:val="1083"/>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0" w:type="auto"/>
            <w:vAlign w:val="center"/>
            <w:textDirection w:val="lrTb"/>
            <w:noWrap w:val="false"/>
          </w:tcPr>
          <w:p>
            <w:pPr>
              <w:pStyle w:val="1083"/>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TW"/>
              </w:rPr>
              <w:t xml:space="preserve">通过翻阅项目台帐、监理记录等资料</w:t>
            </w:r>
            <w:r>
              <w:rPr>
                <w:rFonts w:hint="eastAsia" w:ascii="宋体" w:hAnsi="宋体" w:eastAsia="宋体" w:cs="宋体"/>
                <w:color w:val="auto"/>
                <w:sz w:val="21"/>
                <w:szCs w:val="21"/>
                <w:highlight w:val="none"/>
              </w:rPr>
              <w:t xml:space="preserve">检查</w:t>
            </w:r>
            <w:r>
              <w:rPr>
                <w:rFonts w:hint="eastAsia" w:ascii="宋体" w:hAnsi="宋体" w:eastAsia="宋体" w:cs="宋体"/>
                <w:color w:val="auto"/>
                <w:sz w:val="21"/>
                <w:szCs w:val="21"/>
                <w:highlight w:val="none"/>
                <w:lang w:eastAsia="zh-TW"/>
              </w:rPr>
              <w:t xml:space="preserve">。每查实一次，扣</w:t>
            </w: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eastAsia="zh-TW"/>
              </w:rPr>
              <w:t xml:space="preserve">分</w:t>
            </w:r>
            <w:r/>
          </w:p>
        </w:tc>
      </w:tr>
      <w:tr>
        <w:trPr>
          <w:trHeight w:val="9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pStyle w:val="1083"/>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0" w:type="auto"/>
            <w:vAlign w:val="center"/>
            <w:textDirection w:val="lrTb"/>
            <w:noWrap w:val="false"/>
          </w:tcPr>
          <w:p>
            <w:pPr>
              <w:pStyle w:val="1083"/>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TW"/>
              </w:rPr>
              <w:t xml:space="preserve">技术负责人常驻现场</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0" w:type="auto"/>
            <w:vAlign w:val="center"/>
            <w:textDirection w:val="lrTb"/>
            <w:noWrap w:val="false"/>
          </w:tcPr>
          <w:p>
            <w:pPr>
              <w:pStyle w:val="1083"/>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0" w:type="auto"/>
            <w:vAlign w:val="center"/>
            <w:textDirection w:val="lrTb"/>
            <w:noWrap w:val="false"/>
          </w:tcPr>
          <w:p>
            <w:pPr>
              <w:pStyle w:val="1083"/>
              <w:jc w:val="right"/>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0" w:type="auto"/>
            <w:vAlign w:val="center"/>
            <w:textDirection w:val="lrTb"/>
            <w:noWrap w:val="false"/>
          </w:tcPr>
          <w:p>
            <w:pPr>
              <w:pStyle w:val="1083"/>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TW"/>
              </w:rPr>
              <w:t xml:space="preserve">每查实一次，扣</w:t>
            </w: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eastAsia="zh-TW"/>
              </w:rPr>
              <w:t xml:space="preserve">分</w:t>
            </w:r>
            <w:r/>
          </w:p>
        </w:tc>
      </w:tr>
      <w:tr>
        <w:trPr>
          <w:trHeight w:val="9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pStyle w:val="1083"/>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0" w:type="auto"/>
            <w:vAlign w:val="center"/>
            <w:textDirection w:val="lrTb"/>
            <w:noWrap w:val="false"/>
          </w:tcPr>
          <w:p>
            <w:pPr>
              <w:pStyle w:val="1083"/>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TW"/>
              </w:rPr>
              <w:t xml:space="preserve">项目管理人员常驻现场</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0" w:type="auto"/>
            <w:vAlign w:val="center"/>
            <w:textDirection w:val="lrTb"/>
            <w:noWrap w:val="false"/>
          </w:tcPr>
          <w:p>
            <w:pPr>
              <w:pStyle w:val="1083"/>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0" w:type="auto"/>
            <w:vAlign w:val="center"/>
            <w:textDirection w:val="lrTb"/>
            <w:noWrap w:val="false"/>
          </w:tcPr>
          <w:p>
            <w:pPr>
              <w:pStyle w:val="1083"/>
              <w:jc w:val="right"/>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0" w:type="auto"/>
            <w:vAlign w:val="center"/>
            <w:textDirection w:val="lrTb"/>
            <w:noWrap w:val="false"/>
          </w:tcPr>
          <w:p>
            <w:pPr>
              <w:pStyle w:val="1083"/>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TW"/>
              </w:rPr>
              <w:t xml:space="preserve">每查实一次扣</w:t>
            </w:r>
            <w:r>
              <w:rPr>
                <w:rFonts w:hint="eastAsia" w:ascii="宋体" w:hAnsi="宋体" w:eastAsia="宋体" w:cs="宋体"/>
                <w:color w:val="auto"/>
                <w:sz w:val="21"/>
                <w:szCs w:val="21"/>
                <w:highlight w:val="none"/>
              </w:rPr>
              <w:t xml:space="preserve">0.5</w:t>
            </w:r>
            <w:r>
              <w:rPr>
                <w:rFonts w:hint="eastAsia" w:ascii="宋体" w:hAnsi="宋体" w:eastAsia="宋体" w:cs="宋体"/>
                <w:color w:val="auto"/>
                <w:sz w:val="21"/>
                <w:szCs w:val="21"/>
                <w:highlight w:val="none"/>
                <w:lang w:eastAsia="zh-TW"/>
              </w:rPr>
              <w:t xml:space="preserve">分</w:t>
            </w:r>
            <w:r/>
          </w:p>
        </w:tc>
      </w:tr>
      <w:tr>
        <w:trPr>
          <w:trHeight w:val="90"/>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0" w:type="auto"/>
            <w:vAlign w:val="center"/>
            <w:vMerge w:val="restart"/>
            <w:textDirection w:val="lrTb"/>
            <w:noWrap w:val="false"/>
          </w:tcPr>
          <w:p>
            <w:pPr>
              <w:pStyle w:val="1083"/>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TW"/>
              </w:rPr>
              <w:t xml:space="preserve">安全文明施工，环境保护措施</w:t>
            </w:r>
            <w:r/>
          </w:p>
          <w:p>
            <w:pPr>
              <w:pStyle w:val="1083"/>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TW"/>
              </w:rPr>
              <w:t xml:space="preserve">（</w:t>
            </w:r>
            <w:r>
              <w:rPr>
                <w:rFonts w:hint="eastAsia" w:ascii="宋体" w:hAnsi="宋体" w:eastAsia="宋体" w:cs="宋体"/>
                <w:color w:val="auto"/>
                <w:sz w:val="21"/>
                <w:szCs w:val="21"/>
                <w:highlight w:val="none"/>
              </w:rPr>
              <w:t xml:space="preserve">20</w:t>
            </w:r>
            <w:r>
              <w:rPr>
                <w:rFonts w:hint="eastAsia" w:ascii="宋体" w:hAnsi="宋体" w:eastAsia="宋体" w:cs="宋体"/>
                <w:color w:val="auto"/>
                <w:sz w:val="21"/>
                <w:szCs w:val="21"/>
                <w:highlight w:val="none"/>
                <w:lang w:eastAsia="zh-TW"/>
              </w:rPr>
              <w:t xml:space="preserve">分）</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0" w:type="auto"/>
            <w:vAlign w:val="center"/>
            <w:textDirection w:val="lrTb"/>
            <w:noWrap w:val="false"/>
          </w:tcPr>
          <w:p>
            <w:pPr>
              <w:pStyle w:val="1083"/>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TW"/>
              </w:rPr>
              <w:t xml:space="preserve">施工围挡整齐美观，按规范要求到位</w:t>
            </w: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lang w:eastAsia="zh-TW"/>
              </w:rPr>
              <w:t xml:space="preserve">分；围档定期清洗，保证围挡干净整洁</w:t>
            </w: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eastAsia="zh-TW"/>
              </w:rPr>
              <w:t xml:space="preserve">分；围挡上方安装警示灯，用于夜间照明警示</w:t>
            </w: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eastAsia="zh-TW"/>
              </w:rPr>
              <w:t xml:space="preserve">分，围挡无倒伏</w:t>
            </w: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eastAsia="zh-TW"/>
              </w:rPr>
              <w:t xml:space="preserve">分。</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0" w:type="auto"/>
            <w:vAlign w:val="center"/>
            <w:textDirection w:val="lrTb"/>
            <w:noWrap w:val="false"/>
          </w:tcPr>
          <w:p>
            <w:pPr>
              <w:pStyle w:val="1083"/>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0" w:type="auto"/>
            <w:vAlign w:val="center"/>
            <w:textDirection w:val="lrTb"/>
            <w:noWrap w:val="false"/>
          </w:tcPr>
          <w:p>
            <w:pPr>
              <w:pStyle w:val="1083"/>
              <w:jc w:val="right"/>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0" w:type="auto"/>
            <w:vAlign w:val="center"/>
            <w:textDirection w:val="lrTb"/>
            <w:noWrap w:val="false"/>
          </w:tcPr>
          <w:p>
            <w:pPr>
              <w:pStyle w:val="1083"/>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TW"/>
              </w:rPr>
              <w:t xml:space="preserve">实地检查围挡设置情况</w:t>
            </w:r>
            <w:r>
              <w:rPr>
                <w:rFonts w:hint="eastAsia" w:ascii="宋体" w:hAnsi="宋体" w:eastAsia="宋体" w:cs="宋体"/>
                <w:color w:val="auto"/>
                <w:sz w:val="21"/>
                <w:szCs w:val="21"/>
                <w:highlight w:val="none"/>
              </w:rPr>
              <w:t xml:space="preserve">。</w:t>
            </w:r>
            <w:r/>
          </w:p>
        </w:tc>
      </w:tr>
      <w:tr>
        <w:trPr>
          <w:trHeight w:val="9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pStyle w:val="1083"/>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0" w:type="auto"/>
            <w:vAlign w:val="center"/>
            <w:textDirection w:val="lrTb"/>
            <w:noWrap w:val="false"/>
          </w:tcPr>
          <w:p>
            <w:pPr>
              <w:pStyle w:val="1083"/>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TW"/>
              </w:rPr>
              <w:t xml:space="preserve">现场扬尘控制措施到位，施工及周边区域整洁，</w:t>
            </w:r>
            <w:r>
              <w:rPr>
                <w:rFonts w:hint="eastAsia" w:ascii="宋体" w:hAnsi="宋体" w:eastAsia="宋体" w:cs="宋体"/>
                <w:color w:val="auto"/>
                <w:sz w:val="21"/>
                <w:szCs w:val="21"/>
                <w:highlight w:val="none"/>
              </w:rPr>
              <w:t xml:space="preserve">无垃圾、污水等污染现象，</w:t>
            </w:r>
            <w:r>
              <w:rPr>
                <w:rFonts w:hint="eastAsia" w:ascii="宋体" w:hAnsi="宋体" w:eastAsia="宋体" w:cs="宋体"/>
                <w:color w:val="auto"/>
                <w:sz w:val="21"/>
                <w:szCs w:val="21"/>
                <w:highlight w:val="none"/>
                <w:lang w:eastAsia="zh-TW"/>
              </w:rPr>
              <w:t xml:space="preserve">未收到扰民投诉</w:t>
            </w:r>
            <w:r>
              <w:rPr>
                <w:rFonts w:hint="eastAsia" w:ascii="宋体" w:hAnsi="宋体" w:eastAsia="宋体" w:cs="宋体"/>
                <w:color w:val="auto"/>
                <w:sz w:val="21"/>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0" w:type="auto"/>
            <w:vAlign w:val="center"/>
            <w:textDirection w:val="lrTb"/>
            <w:noWrap w:val="false"/>
          </w:tcPr>
          <w:p>
            <w:pPr>
              <w:pStyle w:val="1083"/>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0" w:type="auto"/>
            <w:vAlign w:val="center"/>
            <w:textDirection w:val="lrTb"/>
            <w:noWrap w:val="false"/>
          </w:tcPr>
          <w:p>
            <w:pPr>
              <w:pStyle w:val="1083"/>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0" w:type="auto"/>
            <w:vAlign w:val="center"/>
            <w:textDirection w:val="lrTb"/>
            <w:noWrap w:val="false"/>
          </w:tcPr>
          <w:p>
            <w:pPr>
              <w:pStyle w:val="1083"/>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一处</w:t>
            </w:r>
            <w:r>
              <w:rPr>
                <w:rFonts w:hint="eastAsia" w:ascii="宋体" w:hAnsi="宋体" w:eastAsia="宋体" w:cs="宋体"/>
                <w:color w:val="auto"/>
                <w:sz w:val="21"/>
                <w:szCs w:val="21"/>
                <w:highlight w:val="none"/>
                <w:lang w:eastAsia="zh-TW"/>
              </w:rPr>
              <w:t xml:space="preserve">扣</w:t>
            </w: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eastAsia="zh-TW"/>
              </w:rPr>
              <w:t xml:space="preserve">分</w:t>
            </w:r>
            <w:r>
              <w:rPr>
                <w:rFonts w:hint="eastAsia" w:ascii="宋体" w:hAnsi="宋体" w:eastAsia="宋体" w:cs="宋体"/>
                <w:color w:val="auto"/>
                <w:sz w:val="21"/>
                <w:szCs w:val="21"/>
                <w:highlight w:val="none"/>
              </w:rPr>
              <w:t xml:space="preserve">，接到投诉并经查实一次扣</w:t>
            </w:r>
            <w:r>
              <w:rPr>
                <w:rFonts w:hint="eastAsia" w:ascii="宋体" w:hAnsi="宋体" w:eastAsia="宋体" w:cs="宋体"/>
                <w:color w:val="auto"/>
                <w:sz w:val="21"/>
                <w:szCs w:val="21"/>
                <w:highlight w:val="none"/>
                <w:lang w:eastAsia="zh-TW"/>
              </w:rPr>
              <w:t xml:space="preserve">1</w:t>
            </w:r>
            <w:r>
              <w:rPr>
                <w:rFonts w:hint="eastAsia" w:ascii="宋体" w:hAnsi="宋体" w:eastAsia="宋体" w:cs="宋体"/>
                <w:color w:val="auto"/>
                <w:sz w:val="21"/>
                <w:szCs w:val="21"/>
                <w:highlight w:val="none"/>
              </w:rPr>
              <w:t xml:space="preserve">分</w:t>
            </w:r>
            <w:r/>
          </w:p>
        </w:tc>
      </w:tr>
      <w:tr>
        <w:trPr>
          <w:trHeight w:val="9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pStyle w:val="1083"/>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0" w:type="auto"/>
            <w:vAlign w:val="center"/>
            <w:textDirection w:val="lrTb"/>
            <w:noWrap w:val="false"/>
          </w:tcPr>
          <w:p>
            <w:pPr>
              <w:pStyle w:val="1083"/>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现场安全标志设置规范、齐全，施工人员、场地、设备安全措施到位；</w:t>
            </w:r>
            <w:r>
              <w:rPr>
                <w:rFonts w:hint="eastAsia" w:ascii="宋体" w:hAnsi="宋体" w:eastAsia="宋体" w:cs="宋体"/>
                <w:color w:val="auto"/>
                <w:sz w:val="21"/>
                <w:szCs w:val="21"/>
                <w:highlight w:val="none"/>
                <w:lang w:eastAsia="zh-TW"/>
              </w:rPr>
              <w:t xml:space="preserve">交通疏导措施</w:t>
            </w:r>
            <w:r>
              <w:rPr>
                <w:rFonts w:hint="eastAsia" w:ascii="宋体" w:hAnsi="宋体" w:eastAsia="宋体" w:cs="宋体"/>
                <w:color w:val="auto"/>
                <w:sz w:val="21"/>
                <w:szCs w:val="21"/>
                <w:highlight w:val="none"/>
              </w:rPr>
              <w:t xml:space="preserve">有效，</w:t>
            </w:r>
            <w:r>
              <w:rPr>
                <w:rFonts w:hint="eastAsia" w:ascii="宋体" w:hAnsi="宋体" w:eastAsia="宋体" w:cs="宋体"/>
                <w:color w:val="auto"/>
                <w:sz w:val="21"/>
                <w:szCs w:val="21"/>
                <w:highlight w:val="none"/>
                <w:lang w:eastAsia="zh-TW"/>
              </w:rPr>
              <w:t xml:space="preserve">未出现严重影响交通拥堵</w:t>
            </w:r>
            <w:r>
              <w:rPr>
                <w:rFonts w:hint="eastAsia" w:ascii="宋体" w:hAnsi="宋体" w:eastAsia="宋体" w:cs="宋体"/>
                <w:color w:val="auto"/>
                <w:sz w:val="21"/>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0" w:type="auto"/>
            <w:vAlign w:val="center"/>
            <w:textDirection w:val="lrTb"/>
            <w:noWrap w:val="false"/>
          </w:tcPr>
          <w:p>
            <w:pPr>
              <w:pStyle w:val="1083"/>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0" w:type="auto"/>
            <w:vAlign w:val="center"/>
            <w:textDirection w:val="lrTb"/>
            <w:noWrap w:val="false"/>
          </w:tcPr>
          <w:p>
            <w:pPr>
              <w:pStyle w:val="1083"/>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0" w:type="auto"/>
            <w:vAlign w:val="center"/>
            <w:textDirection w:val="lrTb"/>
            <w:noWrap w:val="false"/>
          </w:tcPr>
          <w:p>
            <w:pPr>
              <w:pStyle w:val="1083"/>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一处</w:t>
            </w:r>
            <w:r>
              <w:rPr>
                <w:rFonts w:hint="eastAsia" w:ascii="宋体" w:hAnsi="宋体" w:eastAsia="宋体" w:cs="宋体"/>
                <w:color w:val="auto"/>
                <w:sz w:val="21"/>
                <w:szCs w:val="21"/>
                <w:highlight w:val="none"/>
                <w:lang w:eastAsia="zh-TW"/>
              </w:rPr>
              <w:t xml:space="preserve">扣</w:t>
            </w:r>
            <w:r>
              <w:rPr>
                <w:rFonts w:hint="eastAsia" w:ascii="宋体" w:hAnsi="宋体" w:eastAsia="宋体" w:cs="宋体"/>
                <w:color w:val="auto"/>
                <w:sz w:val="21"/>
                <w:szCs w:val="21"/>
                <w:highlight w:val="none"/>
              </w:rPr>
              <w:t xml:space="preserve">1-2</w:t>
            </w:r>
            <w:r>
              <w:rPr>
                <w:rFonts w:hint="eastAsia" w:ascii="宋体" w:hAnsi="宋体" w:eastAsia="宋体" w:cs="宋体"/>
                <w:color w:val="auto"/>
                <w:sz w:val="21"/>
                <w:szCs w:val="21"/>
                <w:highlight w:val="none"/>
                <w:lang w:eastAsia="zh-TW"/>
              </w:rPr>
              <w:t xml:space="preserve">分</w:t>
            </w:r>
            <w:r/>
          </w:p>
        </w:tc>
      </w:tr>
      <w:tr>
        <w:trPr>
          <w:trHeight w:val="90"/>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0" w:type="auto"/>
            <w:vAlign w:val="center"/>
            <w:textDirection w:val="lrTb"/>
            <w:noWrap w:val="false"/>
          </w:tcPr>
          <w:p>
            <w:pPr>
              <w:pStyle w:val="1083"/>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TW"/>
              </w:rPr>
              <w:t xml:space="preserve">工程质量</w:t>
            </w:r>
            <w:r/>
          </w:p>
          <w:p>
            <w:pPr>
              <w:pStyle w:val="1083"/>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TW"/>
              </w:rPr>
              <w:t xml:space="preserve">（</w:t>
            </w:r>
            <w:r>
              <w:rPr>
                <w:rFonts w:hint="eastAsia" w:ascii="宋体" w:hAnsi="宋体" w:eastAsia="宋体" w:cs="宋体"/>
                <w:color w:val="auto"/>
                <w:sz w:val="21"/>
                <w:szCs w:val="21"/>
                <w:highlight w:val="none"/>
              </w:rPr>
              <w:t xml:space="preserve">35</w:t>
            </w:r>
            <w:r>
              <w:rPr>
                <w:rFonts w:hint="eastAsia" w:ascii="宋体" w:hAnsi="宋体" w:eastAsia="宋体" w:cs="宋体"/>
                <w:color w:val="auto"/>
                <w:sz w:val="21"/>
                <w:szCs w:val="21"/>
                <w:highlight w:val="none"/>
                <w:lang w:eastAsia="zh-TW"/>
              </w:rPr>
              <w:t xml:space="preserve">分）</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0" w:type="auto"/>
            <w:vAlign w:val="center"/>
            <w:textDirection w:val="lrTb"/>
            <w:noWrap w:val="false"/>
          </w:tcPr>
          <w:p>
            <w:pPr>
              <w:pStyle w:val="1083"/>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TW"/>
              </w:rPr>
              <w:t xml:space="preserve">实体工程质量</w:t>
            </w:r>
            <w:r>
              <w:rPr>
                <w:rFonts w:hint="eastAsia" w:ascii="宋体" w:hAnsi="宋体" w:eastAsia="宋体" w:cs="宋体"/>
                <w:color w:val="auto"/>
                <w:sz w:val="21"/>
                <w:szCs w:val="21"/>
                <w:highlight w:val="none"/>
              </w:rPr>
              <w:t xml:space="preserve">检验结果；现场检查施工材料、施工工艺、自检报验等质量控制措施。</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0" w:type="auto"/>
            <w:vAlign w:val="center"/>
            <w:textDirection w:val="lrTb"/>
            <w:noWrap w:val="false"/>
          </w:tcPr>
          <w:p>
            <w:pPr>
              <w:pStyle w:val="1083"/>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0" w:type="auto"/>
            <w:vAlign w:val="center"/>
            <w:textDirection w:val="lrTb"/>
            <w:noWrap w:val="false"/>
          </w:tcPr>
          <w:p>
            <w:pPr>
              <w:pStyle w:val="1083"/>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0" w:type="auto"/>
            <w:vAlign w:val="center"/>
            <w:textDirection w:val="lrTb"/>
            <w:noWrap w:val="false"/>
          </w:tcPr>
          <w:p>
            <w:pPr>
              <w:pStyle w:val="1083"/>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w:t>
            </w:r>
            <w:r>
              <w:rPr>
                <w:rFonts w:hint="eastAsia" w:ascii="宋体" w:hAnsi="宋体" w:eastAsia="宋体" w:cs="宋体"/>
                <w:color w:val="auto"/>
                <w:sz w:val="21"/>
                <w:szCs w:val="21"/>
                <w:highlight w:val="none"/>
                <w:lang w:eastAsia="zh-TW"/>
              </w:rPr>
              <w:t xml:space="preserve">现场抽验，主控项目一次不合格扣</w:t>
            </w: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eastAsia="zh-TW"/>
              </w:rPr>
              <w:t xml:space="preserve">5分，一般项目一次不合格扣1-2分</w:t>
            </w:r>
            <w:r>
              <w:rPr>
                <w:rFonts w:hint="eastAsia" w:ascii="宋体" w:hAnsi="宋体" w:eastAsia="宋体" w:cs="宋体"/>
                <w:color w:val="auto"/>
                <w:sz w:val="21"/>
                <w:szCs w:val="21"/>
                <w:highlight w:val="none"/>
              </w:rPr>
              <w:t xml:space="preserve">；现场检查不合格项一项扣1-2分</w:t>
            </w:r>
            <w:r/>
          </w:p>
        </w:tc>
      </w:tr>
      <w:tr>
        <w:trPr>
          <w:trHeight w:val="90"/>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0" w:type="auto"/>
            <w:vAlign w:val="center"/>
            <w:textDirection w:val="lrTb"/>
            <w:noWrap w:val="false"/>
          </w:tcPr>
          <w:p>
            <w:pPr>
              <w:pStyle w:val="1083"/>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TW"/>
              </w:rPr>
              <w:t xml:space="preserve">工程进度</w:t>
            </w:r>
            <w:r/>
          </w:p>
          <w:p>
            <w:pPr>
              <w:pStyle w:val="1083"/>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TW"/>
              </w:rPr>
              <w:t xml:space="preserve">（</w:t>
            </w:r>
            <w:r>
              <w:rPr>
                <w:rFonts w:hint="eastAsia" w:ascii="宋体" w:hAnsi="宋体" w:eastAsia="宋体" w:cs="宋体"/>
                <w:color w:val="auto"/>
                <w:sz w:val="21"/>
                <w:szCs w:val="21"/>
                <w:highlight w:val="none"/>
              </w:rPr>
              <w:t xml:space="preserve">20</w:t>
            </w:r>
            <w:r>
              <w:rPr>
                <w:rFonts w:hint="eastAsia" w:ascii="宋体" w:hAnsi="宋体" w:eastAsia="宋体" w:cs="宋体"/>
                <w:color w:val="auto"/>
                <w:sz w:val="21"/>
                <w:szCs w:val="21"/>
                <w:highlight w:val="none"/>
                <w:lang w:eastAsia="zh-TW"/>
              </w:rPr>
              <w:t xml:space="preserve">分）</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0" w:type="auto"/>
            <w:vAlign w:val="center"/>
            <w:textDirection w:val="lrTb"/>
            <w:noWrap w:val="false"/>
          </w:tcPr>
          <w:p>
            <w:pPr>
              <w:pStyle w:val="1083"/>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TW"/>
              </w:rPr>
              <w:t xml:space="preserve">工程进度按</w:t>
            </w:r>
            <w:r>
              <w:rPr>
                <w:rFonts w:hint="eastAsia" w:ascii="宋体" w:hAnsi="宋体" w:eastAsia="宋体" w:cs="宋体"/>
                <w:color w:val="auto"/>
                <w:sz w:val="21"/>
                <w:szCs w:val="21"/>
                <w:highlight w:val="none"/>
              </w:rPr>
              <w:t xml:space="preserve">月计划及重要节点计划完成情况</w:t>
            </w:r>
            <w:r>
              <w:rPr>
                <w:rFonts w:hint="eastAsia" w:ascii="宋体" w:hAnsi="宋体" w:eastAsia="宋体" w:cs="宋体"/>
                <w:color w:val="auto"/>
                <w:sz w:val="21"/>
                <w:szCs w:val="21"/>
                <w:highlight w:val="none"/>
                <w:lang w:eastAsia="zh-TW"/>
              </w:rPr>
              <w:t xml:space="preserve">对比考评</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0" w:type="auto"/>
            <w:vAlign w:val="center"/>
            <w:textDirection w:val="lrTb"/>
            <w:noWrap w:val="false"/>
          </w:tcPr>
          <w:p>
            <w:pPr>
              <w:pStyle w:val="1083"/>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0" w:type="auto"/>
            <w:vAlign w:val="center"/>
            <w:textDirection w:val="lrTb"/>
            <w:noWrap w:val="false"/>
          </w:tcPr>
          <w:p>
            <w:pPr>
              <w:pStyle w:val="1083"/>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0" w:type="auto"/>
            <w:vAlign w:val="center"/>
            <w:textDirection w:val="lrTb"/>
            <w:noWrap w:val="false"/>
          </w:tcPr>
          <w:p>
            <w:pPr>
              <w:pStyle w:val="1083"/>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TW"/>
              </w:rPr>
              <w:t xml:space="preserve">项目部按月报进度</w:t>
            </w:r>
            <w:r>
              <w:rPr>
                <w:rFonts w:hint="eastAsia" w:ascii="宋体" w:hAnsi="宋体" w:eastAsia="宋体" w:cs="宋体"/>
                <w:color w:val="auto"/>
                <w:sz w:val="21"/>
                <w:szCs w:val="21"/>
                <w:highlight w:val="none"/>
              </w:rPr>
              <w:t xml:space="preserve">计划</w:t>
            </w:r>
            <w:r>
              <w:rPr>
                <w:rFonts w:hint="eastAsia" w:ascii="宋体" w:hAnsi="宋体" w:eastAsia="宋体" w:cs="宋体"/>
                <w:color w:val="auto"/>
                <w:sz w:val="21"/>
                <w:szCs w:val="21"/>
                <w:highlight w:val="none"/>
                <w:lang w:eastAsia="zh-TW"/>
              </w:rPr>
              <w:t xml:space="preserve">，实际已完工程与计划完成工程比较，每延误</w:t>
            </w: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eastAsia="zh-TW"/>
              </w:rPr>
              <w:t xml:space="preserve">%扣</w:t>
            </w: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eastAsia="zh-TW"/>
              </w:rPr>
              <w:t xml:space="preserve">分</w:t>
            </w:r>
            <w:r/>
          </w:p>
        </w:tc>
      </w:tr>
      <w:tr>
        <w:trPr>
          <w:trHeight w:val="90"/>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0" w:type="auto"/>
            <w:vAlign w:val="center"/>
            <w:textDirection w:val="lrTb"/>
            <w:noWrap w:val="false"/>
          </w:tcPr>
          <w:p>
            <w:pPr>
              <w:pStyle w:val="1255"/>
              <w:jc w:val="center"/>
              <w:keepLines w:val="0"/>
              <w:keepNext w:val="0"/>
              <w:pageBreakBefore w:val="0"/>
              <w:spacing w:line="240" w:lineRule="auto"/>
              <w:rPr>
                <w:rFonts w:hint="eastAsia" w:ascii="宋体" w:hAnsi="宋体" w:eastAsia="宋体" w:cs="宋体"/>
                <w:color w:val="auto"/>
                <w:sz w:val="21"/>
                <w:szCs w:val="21"/>
                <w:highlight w:val="none"/>
                <w:lang w:eastAsia="zh-TW"/>
              </w:rPr>
            </w:pPr>
            <w:r>
              <w:rPr>
                <w:rFonts w:hint="eastAsia" w:ascii="宋体" w:hAnsi="宋体" w:eastAsia="宋体" w:cs="宋体"/>
                <w:color w:val="auto"/>
                <w:sz w:val="21"/>
                <w:szCs w:val="21"/>
                <w:highlight w:val="none"/>
                <w:lang w:eastAsia="zh-TW"/>
              </w:rPr>
              <w:t xml:space="preserve">施工资料</w:t>
            </w:r>
            <w:r/>
          </w:p>
          <w:p>
            <w:pPr>
              <w:pStyle w:val="1255"/>
              <w:jc w:val="center"/>
              <w:keepLines w:val="0"/>
              <w:keepNext w:val="0"/>
              <w:pageBreakBefore w:val="0"/>
              <w:spacing w:line="240" w:lineRule="auto"/>
              <w:rPr>
                <w:rFonts w:hint="eastAsia" w:ascii="宋体" w:hAnsi="宋体" w:eastAsia="宋体" w:cs="宋体"/>
                <w:color w:val="auto"/>
                <w:sz w:val="21"/>
                <w:szCs w:val="21"/>
                <w:highlight w:val="none"/>
                <w:lang w:eastAsia="zh-TW"/>
              </w:rPr>
            </w:pPr>
            <w:r>
              <w:rPr>
                <w:rFonts w:hint="eastAsia" w:ascii="宋体" w:hAnsi="宋体" w:eastAsia="宋体" w:cs="宋体"/>
                <w:color w:val="auto"/>
                <w:sz w:val="21"/>
                <w:szCs w:val="21"/>
                <w:highlight w:val="none"/>
                <w:lang w:eastAsia="zh-TW"/>
              </w:rPr>
              <w:t xml:space="preserve">（10分）</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0" w:type="auto"/>
            <w:vAlign w:val="center"/>
            <w:textDirection w:val="lrTb"/>
            <w:noWrap w:val="false"/>
          </w:tcPr>
          <w:p>
            <w:pPr>
              <w:pStyle w:val="1255"/>
              <w:jc w:val="left"/>
              <w:keepLines w:val="0"/>
              <w:keepNext w:val="0"/>
              <w:pageBreakBefore w:val="0"/>
              <w:spacing w:line="240" w:lineRule="auto"/>
              <w:rPr>
                <w:rFonts w:hint="eastAsia" w:ascii="宋体" w:hAnsi="宋体" w:eastAsia="宋体" w:cs="宋体"/>
                <w:color w:val="auto"/>
                <w:sz w:val="21"/>
                <w:szCs w:val="21"/>
                <w:highlight w:val="none"/>
                <w:lang w:eastAsia="zh-TW"/>
              </w:rPr>
            </w:pPr>
            <w:r>
              <w:rPr>
                <w:rFonts w:hint="eastAsia" w:ascii="宋体" w:hAnsi="宋体" w:eastAsia="宋体" w:cs="宋体"/>
                <w:color w:val="auto"/>
                <w:sz w:val="21"/>
                <w:szCs w:val="21"/>
                <w:highlight w:val="none"/>
                <w:lang w:eastAsia="zh-TW"/>
              </w:rPr>
              <w:t xml:space="preserve">工程招投标文件、设计变更、监理通知、洽商记录、技术交底、安全交底、施工组织设计审批、专项施工方案审批资料；各项质量检验、报验资料包括施工过程试验报告、质量评定表，隐蔽工程检查验收记录等</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0" w:type="auto"/>
            <w:vAlign w:val="center"/>
            <w:textDirection w:val="lrTb"/>
            <w:noWrap w:val="false"/>
          </w:tcPr>
          <w:p>
            <w:pPr>
              <w:pStyle w:val="1255"/>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0" w:type="auto"/>
            <w:vAlign w:val="center"/>
            <w:textDirection w:val="lrTb"/>
            <w:noWrap w:val="false"/>
          </w:tcPr>
          <w:p>
            <w:pPr>
              <w:pStyle w:val="1255"/>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0" w:type="auto"/>
            <w:vAlign w:val="center"/>
            <w:textDirection w:val="lrTb"/>
            <w:noWrap w:val="false"/>
          </w:tcPr>
          <w:p>
            <w:pPr>
              <w:pStyle w:val="1255"/>
              <w:jc w:val="center"/>
              <w:keepLines w:val="0"/>
              <w:keepNext w:val="0"/>
              <w:pageBreakBefore w:val="0"/>
              <w:spacing w:line="240" w:lineRule="auto"/>
              <w:rPr>
                <w:rFonts w:hint="eastAsia" w:ascii="宋体" w:hAnsi="宋体" w:eastAsia="宋体" w:cs="宋体"/>
                <w:color w:val="auto"/>
                <w:sz w:val="21"/>
                <w:szCs w:val="21"/>
                <w:highlight w:val="none"/>
                <w:lang w:eastAsia="zh-TW"/>
              </w:rPr>
            </w:pPr>
            <w:r>
              <w:rPr>
                <w:rFonts w:hint="eastAsia" w:ascii="宋体" w:hAnsi="宋体" w:eastAsia="宋体" w:cs="宋体"/>
                <w:color w:val="auto"/>
                <w:sz w:val="21"/>
                <w:szCs w:val="21"/>
                <w:highlight w:val="none"/>
                <w:lang w:eastAsia="zh-TW"/>
              </w:rPr>
              <w:t xml:space="preserve">通过翻阅项目台帐着重检查隐蔽工程、分部分项工程验收资料，设计变更、相关签证手续是否齐全。</w:t>
            </w:r>
            <w:r/>
          </w:p>
        </w:tc>
      </w:tr>
      <w:tr>
        <w:trPr>
          <w:trHeight w:val="90"/>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0" w:type="auto"/>
            <w:vAlign w:val="center"/>
            <w:textDirection w:val="lrTb"/>
            <w:noWrap w:val="false"/>
          </w:tcPr>
          <w:p>
            <w:pPr>
              <w:pStyle w:val="1255"/>
              <w:jc w:val="center"/>
              <w:keepLines w:val="0"/>
              <w:keepNext w:val="0"/>
              <w:pageBreakBefore w:val="0"/>
              <w:spacing w:line="240" w:lineRule="auto"/>
              <w:rPr>
                <w:rFonts w:hint="eastAsia" w:ascii="宋体" w:hAnsi="宋体" w:eastAsia="宋体" w:cs="宋体"/>
                <w:color w:val="auto"/>
                <w:sz w:val="21"/>
                <w:szCs w:val="21"/>
                <w:highlight w:val="none"/>
                <w:lang w:eastAsia="zh-TW"/>
              </w:rPr>
            </w:pPr>
            <w:r>
              <w:rPr>
                <w:rFonts w:hint="eastAsia" w:ascii="宋体" w:hAnsi="宋体" w:eastAsia="宋体" w:cs="宋体"/>
                <w:color w:val="auto"/>
                <w:sz w:val="21"/>
                <w:szCs w:val="21"/>
                <w:highlight w:val="none"/>
                <w:lang w:eastAsia="zh-TW"/>
              </w:rPr>
              <w:t xml:space="preserve">重大质量安全事故记录</w:t>
            </w:r>
            <w:r/>
          </w:p>
        </w:tc>
        <w:tc>
          <w:tcPr>
            <w:gridSpan w:val="4"/>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0" w:type="auto"/>
            <w:vAlign w:val="center"/>
            <w:textDirection w:val="lrTb"/>
            <w:noWrap w:val="false"/>
          </w:tcPr>
          <w:p>
            <w:pPr>
              <w:pStyle w:val="1255"/>
              <w:jc w:val="center"/>
              <w:keepLines w:val="0"/>
              <w:keepNext w:val="0"/>
              <w:pageBreakBefore w:val="0"/>
              <w:spacing w:line="240" w:lineRule="auto"/>
              <w:rPr>
                <w:rFonts w:hint="eastAsia" w:ascii="宋体" w:hAnsi="宋体" w:eastAsia="宋体" w:cs="宋体"/>
                <w:color w:val="auto"/>
                <w:sz w:val="21"/>
                <w:szCs w:val="21"/>
                <w:highlight w:val="none"/>
                <w:lang w:eastAsia="zh-TW"/>
              </w:rPr>
            </w:pPr>
            <w:r>
              <w:rPr>
                <w:rFonts w:hint="eastAsia" w:ascii="宋体" w:hAnsi="宋体" w:eastAsia="宋体" w:cs="宋体"/>
                <w:color w:val="auto"/>
                <w:sz w:val="21"/>
                <w:szCs w:val="21"/>
                <w:highlight w:val="none"/>
                <w:lang w:eastAsia="zh-TW"/>
              </w:rPr>
              <w:t xml:space="preserve">出现重大安全、质量事故，造成较大影响的，可根据情况扣20-30分</w:t>
            </w:r>
            <w:r/>
          </w:p>
        </w:tc>
      </w:tr>
      <w:tr>
        <w:trPr>
          <w:trHeight w:val="90"/>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0" w:type="auto"/>
            <w:vAlign w:val="center"/>
            <w:textDirection w:val="lrTb"/>
            <w:noWrap w:val="false"/>
          </w:tcPr>
          <w:p>
            <w:pPr>
              <w:pStyle w:val="1255"/>
              <w:jc w:val="center"/>
              <w:keepLines w:val="0"/>
              <w:keepNext w:val="0"/>
              <w:pageBreakBefore w:val="0"/>
              <w:spacing w:line="240" w:lineRule="auto"/>
              <w:rPr>
                <w:rFonts w:hint="eastAsia" w:ascii="宋体" w:hAnsi="宋体" w:eastAsia="宋体" w:cs="宋体"/>
                <w:color w:val="auto"/>
                <w:sz w:val="21"/>
                <w:szCs w:val="21"/>
                <w:highlight w:val="none"/>
                <w:lang w:eastAsia="zh-TW"/>
              </w:rPr>
            </w:pPr>
            <w:r>
              <w:rPr>
                <w:rFonts w:hint="eastAsia" w:ascii="宋体" w:hAnsi="宋体" w:eastAsia="宋体" w:cs="宋体"/>
                <w:color w:val="auto"/>
                <w:sz w:val="21"/>
                <w:szCs w:val="21"/>
                <w:highlight w:val="none"/>
                <w:lang w:eastAsia="zh-TW"/>
              </w:rPr>
              <w:t xml:space="preserve">合 计</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0" w:type="auto"/>
            <w:vAlign w:val="center"/>
            <w:textDirection w:val="lrTb"/>
            <w:noWrap w:val="false"/>
          </w:tcPr>
          <w:p>
            <w:pPr>
              <w:pStyle w:val="1255"/>
              <w:jc w:val="center"/>
              <w:keepLines w:val="0"/>
              <w:keepNext w:val="0"/>
              <w:pageBreakBefore w:val="0"/>
              <w:spacing w:line="240" w:lineRule="auto"/>
              <w:rPr>
                <w:rFonts w:hint="eastAsia" w:ascii="宋体" w:hAnsi="宋体" w:eastAsia="宋体" w:cs="宋体"/>
                <w:color w:val="auto"/>
                <w:sz w:val="21"/>
                <w:szCs w:val="21"/>
                <w:highlight w:val="none"/>
                <w:lang w:eastAsia="zh-TW"/>
              </w:rPr>
            </w:pPr>
            <w:r>
              <w:rPr>
                <w:rFonts w:hint="eastAsia" w:ascii="宋体" w:hAnsi="宋体" w:eastAsia="宋体" w:cs="宋体"/>
                <w:color w:val="auto"/>
                <w:sz w:val="21"/>
                <w:szCs w:val="21"/>
                <w:highlight w:val="none"/>
                <w:lang w:eastAsia="zh-TW"/>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0" w:type="auto"/>
            <w:vAlign w:val="center"/>
            <w:textDirection w:val="lrTb"/>
            <w:noWrap w:val="false"/>
          </w:tcPr>
          <w:p>
            <w:pPr>
              <w:pStyle w:val="1255"/>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TW"/>
              </w:rPr>
              <w:t xml:space="preserve">100</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0" w:type="auto"/>
            <w:vAlign w:val="center"/>
            <w:textDirection w:val="lrTb"/>
            <w:noWrap w:val="false"/>
          </w:tcPr>
          <w:p>
            <w:pPr>
              <w:pStyle w:val="1255"/>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0" w:type="auto"/>
            <w:vAlign w:val="center"/>
            <w:textDirection w:val="lrTb"/>
            <w:noWrap w:val="false"/>
          </w:tcPr>
          <w:p>
            <w:pPr>
              <w:pStyle w:val="1083"/>
              <w:keepLines w:val="0"/>
              <w:keepNext w:val="0"/>
              <w:pageBreakBefore w:val="0"/>
              <w:spacing w:line="240" w:lineRule="auto"/>
              <w:rPr>
                <w:rFonts w:hint="eastAsia" w:ascii="宋体" w:hAnsi="宋体" w:eastAsia="宋体" w:cs="宋体"/>
                <w:color w:val="auto"/>
                <w:sz w:val="21"/>
                <w:szCs w:val="21"/>
                <w:highlight w:val="none"/>
                <w:lang w:eastAsia="zh-TW"/>
              </w:rPr>
            </w:pPr>
            <w:r>
              <w:rPr>
                <w:rFonts w:hint="eastAsia" w:ascii="宋体" w:hAnsi="宋体" w:eastAsia="宋体" w:cs="宋体"/>
                <w:color w:val="auto"/>
                <w:sz w:val="21"/>
                <w:szCs w:val="21"/>
                <w:highlight w:val="none"/>
                <w:lang w:eastAsia="zh-TW"/>
              </w:rPr>
            </w:r>
            <w:r/>
          </w:p>
        </w:tc>
      </w:tr>
    </w:tbl>
    <w:p>
      <w:pPr>
        <w:rPr>
          <w:rFonts w:hint="eastAsia"/>
          <w:lang w:eastAsia="zh-CN"/>
        </w:rPr>
      </w:pPr>
      <w:r>
        <w:rPr>
          <w:rFonts w:hint="eastAsia"/>
          <w:lang w:eastAsia="zh-CN"/>
        </w:rPr>
        <w:br w:type="page" w:clear="all"/>
      </w:r>
      <w:r/>
    </w:p>
    <w:p>
      <w:pPr>
        <w:contextualSpacing/>
        <w:ind w:firstLine="3253"/>
        <w:rPr>
          <w:rFonts w:hint="eastAsia" w:ascii="宋体" w:hAnsi="宋体" w:eastAsia="宋体" w:cs="宋体"/>
          <w:sz w:val="24"/>
        </w:rPr>
      </w:pPr>
      <w:r>
        <w:rPr>
          <w:rFonts w:hint="eastAsia" w:ascii="宋体" w:hAnsi="宋体" w:cs="宋体"/>
          <w:b/>
          <w:sz w:val="36"/>
          <w:lang w:val="en-US" w:eastAsia="zh-CN"/>
        </w:rPr>
        <w:t xml:space="preserve">8</w:t>
      </w:r>
      <w:r>
        <w:rPr>
          <w:rFonts w:hint="eastAsia" w:ascii="宋体" w:hAnsi="宋体" w:eastAsia="宋体" w:cs="宋体"/>
          <w:b/>
          <w:sz w:val="36"/>
        </w:rPr>
        <w:t xml:space="preserve">、承诺书</w:t>
      </w:r>
      <w:r/>
    </w:p>
    <w:p>
      <w:pPr>
        <w:ind w:right="0"/>
        <w:keepLines w:val="0"/>
        <w:keepNext w:val="0"/>
        <w:pageBreakBefore w:val="0"/>
        <w:spacing w:line="360" w:lineRule="exact"/>
        <w:widowControl w:val="off"/>
        <w:rPr>
          <w:rFonts w:hint="eastAsia" w:ascii="宋体" w:hAnsi="宋体" w:eastAsia="宋体" w:cs="宋体"/>
          <w:b/>
          <w:bCs/>
          <w:sz w:val="24"/>
        </w:rPr>
      </w:pPr>
      <w:r>
        <w:rPr>
          <w:rFonts w:hint="eastAsia" w:ascii="宋体" w:hAnsi="宋体" w:eastAsia="宋体" w:cs="宋体"/>
          <w:b/>
          <w:bCs/>
          <w:sz w:val="24"/>
        </w:rPr>
        <w:t xml:space="preserve">致</w:t>
      </w:r>
      <w:r>
        <w:rPr>
          <w:rFonts w:hint="eastAsia" w:ascii="宋体" w:hAnsi="宋体" w:cs="宋体"/>
          <w:b/>
          <w:bCs/>
          <w:color w:val="auto"/>
          <w:sz w:val="24"/>
          <w:highlight w:val="none"/>
          <w:u w:val="single"/>
          <w:lang w:eastAsia="zh-CN"/>
        </w:rPr>
        <w:t xml:space="preserve">徐州市市政管理中心</w:t>
      </w:r>
      <w:r>
        <w:rPr>
          <w:rFonts w:hint="eastAsia" w:ascii="宋体" w:hAnsi="宋体" w:eastAsia="宋体" w:cs="宋体"/>
          <w:b/>
          <w:bCs/>
          <w:sz w:val="24"/>
        </w:rPr>
        <w:t xml:space="preserve">：</w:t>
      </w:r>
      <w:r/>
    </w:p>
    <w:p>
      <w:pPr>
        <w:ind w:left="0" w:right="0" w:firstLine="480"/>
        <w:keepLines w:val="0"/>
        <w:keepNext w:val="0"/>
        <w:pageBreakBefore w:val="0"/>
        <w:spacing w:line="360" w:lineRule="exact"/>
        <w:widowControl w:val="off"/>
        <w:rPr>
          <w:rFonts w:hint="eastAsia" w:ascii="宋体" w:hAnsi="宋体" w:eastAsia="宋体" w:cs="宋体"/>
          <w:sz w:val="24"/>
        </w:rPr>
      </w:pPr>
      <w:r>
        <w:rPr>
          <w:rFonts w:hint="eastAsia" w:ascii="宋体" w:hAnsi="宋体" w:eastAsia="宋体" w:cs="宋体"/>
          <w:sz w:val="24"/>
        </w:rPr>
      </w:r>
      <w:r/>
    </w:p>
    <w:p>
      <w:pPr>
        <w:pStyle w:val="1027"/>
        <w:ind w:left="0" w:right="0" w:firstLine="480"/>
        <w:keepLines w:val="0"/>
        <w:keepNext w:val="0"/>
        <w:pageBreakBefore w:val="0"/>
        <w:spacing w:line="240" w:lineRule="auto"/>
        <w:widowControl w:val="off"/>
        <w:rPr>
          <w:rFonts w:hint="eastAsia" w:ascii="宋体" w:hAnsi="宋体" w:eastAsia="宋体" w:cs="宋体"/>
          <w:sz w:val="24"/>
        </w:rPr>
      </w:pPr>
      <w:r>
        <w:rPr>
          <w:rFonts w:hint="eastAsia" w:ascii="宋体" w:hAnsi="宋体" w:eastAsia="宋体" w:cs="宋体"/>
          <w:sz w:val="24"/>
        </w:rPr>
        <w:t xml:space="preserve">根据贵方《</w:t>
      </w:r>
      <w:r>
        <w:rPr>
          <w:rFonts w:hint="eastAsia" w:ascii="宋体" w:hAnsi="宋体" w:eastAsia="宋体" w:cs="宋体"/>
          <w:bCs/>
          <w:sz w:val="24"/>
        </w:rPr>
        <w:t xml:space="preserve">磋商文件</w:t>
      </w:r>
      <w:r>
        <w:rPr>
          <w:rFonts w:hint="eastAsia" w:ascii="宋体" w:hAnsi="宋体" w:eastAsia="宋体" w:cs="宋体"/>
          <w:sz w:val="24"/>
        </w:rPr>
        <w:t xml:space="preserve">》（项目编号：</w:t>
      </w:r>
      <w:r>
        <w:rPr>
          <w:rFonts w:hint="eastAsia" w:ascii="宋体" w:hAnsi="宋体" w:cs="宋体"/>
          <w:color w:val="auto"/>
          <w:sz w:val="24"/>
          <w:szCs w:val="21"/>
          <w:lang w:eastAsia="zh-CN"/>
        </w:rPr>
        <w:t xml:space="preserve">JSZC-320300-RHGC-C2026-0005</w:t>
      </w:r>
      <w:r>
        <w:rPr>
          <w:rFonts w:hint="eastAsia" w:ascii="宋体" w:hAnsi="宋体" w:eastAsia="宋体" w:cs="宋体"/>
          <w:sz w:val="24"/>
        </w:rPr>
        <w:t xml:space="preserve">）要求，本供应商正式提交以下首次响应文件。</w:t>
      </w:r>
      <w:r/>
    </w:p>
    <w:p>
      <w:pPr>
        <w:pStyle w:val="1027"/>
        <w:ind w:left="0" w:right="0" w:firstLine="480"/>
        <w:keepLines w:val="0"/>
        <w:keepNext w:val="0"/>
        <w:pageBreakBefore w:val="0"/>
        <w:spacing w:line="240" w:lineRule="auto"/>
        <w:widowControl w:val="off"/>
        <w:rPr>
          <w:rFonts w:hint="eastAsia" w:ascii="宋体" w:hAnsi="宋体" w:eastAsia="宋体" w:cs="宋体"/>
          <w:sz w:val="24"/>
        </w:rPr>
      </w:pPr>
      <w:r>
        <w:rPr>
          <w:rFonts w:hint="eastAsia" w:ascii="宋体" w:hAnsi="宋体" w:eastAsia="宋体" w:cs="宋体"/>
          <w:sz w:val="24"/>
        </w:rPr>
        <mc:AlternateContent>
          <mc:Choice Requires="wpg">
            <w:drawing>
              <wp:anchor xmlns:wp="http://schemas.openxmlformats.org/drawingml/2006/wordprocessingDrawing" xmlns:wp14="http://schemas.microsoft.com/office/word/2010/wordprocessingDrawing" distT="0" distB="0" distL="0" distR="0" simplePos="0" relativeHeight="251660288" behindDoc="0" locked="0" layoutInCell="0" allowOverlap="1">
                <wp:simplePos x="0" y="0"/>
                <wp:positionH relativeFrom="column">
                  <wp:posOffset>1866900</wp:posOffset>
                </wp:positionH>
                <wp:positionV relativeFrom="paragraph">
                  <wp:posOffset>16510</wp:posOffset>
                </wp:positionV>
                <wp:extent cx="635" cy="16510"/>
                <wp:effectExtent l="4445" t="0" r="10160" b="6350"/>
                <wp:wrapNone/>
                <wp:docPr id="11" name="直线 30"/>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line id="shape 10" o:spid="_x0000_s10" style="position:absolute;left:0;text-align:left;z-index:251660288;mso-wrap-distance-left:0.0pt;mso-wrap-distance-top:0.0pt;mso-wrap-distance-right:0.0pt;mso-wrap-distance-bottom:0.0pt;flip:y;visibility:visible;" from="147.0pt,1.3pt" to="147.1pt,2.6pt" filled="f" strokecolor="#000000" strokeweight="0.75pt">
                <v:stroke dashstyle="solid"/>
              </v:line>
            </w:pict>
          </mc:Fallback>
        </mc:AlternateContent>
      </w:r>
      <w:r>
        <w:rPr>
          <w:rFonts w:hint="eastAsia" w:ascii="宋体" w:hAnsi="宋体" w:eastAsia="宋体" w:cs="宋体"/>
          <w:sz w:val="24"/>
        </w:rPr>
        <w:t xml:space="preserve">（1）承诺书； </w:t>
      </w:r>
      <w:r/>
    </w:p>
    <w:p>
      <w:pPr>
        <w:pStyle w:val="1027"/>
        <w:ind w:left="0" w:right="0" w:firstLine="480"/>
        <w:keepLines w:val="0"/>
        <w:keepNext w:val="0"/>
        <w:pageBreakBefore w:val="0"/>
        <w:spacing w:line="240" w:lineRule="auto"/>
        <w:widowControl w:val="off"/>
        <w:rPr>
          <w:rFonts w:hint="eastAsia" w:ascii="宋体" w:hAnsi="宋体" w:eastAsia="宋体" w:cs="宋体"/>
          <w:sz w:val="24"/>
        </w:rPr>
      </w:pPr>
      <w:r>
        <w:rPr>
          <w:rFonts w:hint="eastAsia" w:ascii="宋体" w:hAnsi="宋体" w:eastAsia="宋体" w:cs="宋体"/>
          <w:sz w:val="24"/>
        </w:rPr>
        <w:t xml:space="preserve">（2）磋商报价表； </w:t>
      </w:r>
      <w:r/>
    </w:p>
    <w:p>
      <w:pPr>
        <w:pStyle w:val="1027"/>
        <w:ind w:left="0" w:right="0" w:firstLine="480"/>
        <w:keepLines w:val="0"/>
        <w:keepNext w:val="0"/>
        <w:pageBreakBefore w:val="0"/>
        <w:spacing w:line="240" w:lineRule="auto"/>
        <w:widowControl w:val="off"/>
        <w:rPr>
          <w:rFonts w:hint="eastAsia" w:ascii="宋体" w:hAnsi="宋体" w:eastAsia="宋体" w:cs="宋体"/>
          <w:sz w:val="24"/>
        </w:rPr>
      </w:pPr>
      <w:r>
        <w:rPr>
          <w:rFonts w:hint="eastAsia" w:ascii="宋体" w:hAnsi="宋体" w:eastAsia="宋体" w:cs="宋体"/>
          <w:sz w:val="24"/>
        </w:rPr>
        <w:t xml:space="preserve">（3）偏离表；</w:t>
      </w:r>
      <w:r/>
    </w:p>
    <w:p>
      <w:pPr>
        <w:pStyle w:val="1027"/>
        <w:ind w:left="0" w:right="0" w:firstLine="480"/>
        <w:keepLines w:val="0"/>
        <w:keepNext w:val="0"/>
        <w:pageBreakBefore w:val="0"/>
        <w:spacing w:line="240" w:lineRule="auto"/>
        <w:widowControl w:val="off"/>
        <w:rPr>
          <w:rFonts w:hint="eastAsia" w:ascii="宋体" w:hAnsi="宋体" w:eastAsia="宋体" w:cs="宋体"/>
          <w:sz w:val="24"/>
        </w:rPr>
      </w:pPr>
      <w:r>
        <w:rPr>
          <w:rFonts w:hint="eastAsia" w:ascii="宋体" w:hAnsi="宋体" w:eastAsia="宋体" w:cs="宋体"/>
          <w:sz w:val="24"/>
        </w:rPr>
        <w:t xml:space="preserve">（4）磋商</w:t>
      </w:r>
      <w:r>
        <w:rPr>
          <w:rFonts w:hint="eastAsia" w:ascii="宋体" w:hAnsi="宋体" w:eastAsia="宋体" w:cs="宋体"/>
          <w:bCs/>
          <w:sz w:val="24"/>
        </w:rPr>
        <w:t xml:space="preserve">文件</w:t>
      </w:r>
      <w:r>
        <w:rPr>
          <w:rFonts w:hint="eastAsia" w:ascii="宋体" w:hAnsi="宋体" w:eastAsia="宋体" w:cs="宋体"/>
          <w:sz w:val="24"/>
        </w:rPr>
        <w:t xml:space="preserve">要求提供的其他响应文件。</w:t>
      </w:r>
      <w:r/>
    </w:p>
    <w:p>
      <w:pPr>
        <w:pStyle w:val="1027"/>
        <w:ind w:left="0" w:right="0" w:firstLine="480"/>
        <w:keepLines w:val="0"/>
        <w:keepNext w:val="0"/>
        <w:pageBreakBefore w:val="0"/>
        <w:spacing w:line="240" w:lineRule="auto"/>
        <w:widowControl w:val="off"/>
        <w:rPr>
          <w:rFonts w:hint="eastAsia" w:ascii="宋体" w:hAnsi="宋体" w:eastAsia="宋体" w:cs="宋体"/>
          <w:sz w:val="24"/>
        </w:rPr>
      </w:pPr>
      <w:r>
        <w:rPr>
          <w:rFonts w:hint="eastAsia" w:ascii="宋体" w:hAnsi="宋体" w:eastAsia="宋体" w:cs="宋体"/>
          <w:sz w:val="24"/>
        </w:rPr>
      </w:r>
      <w:r/>
    </w:p>
    <w:p>
      <w:pPr>
        <w:pStyle w:val="1027"/>
        <w:ind w:left="0" w:right="0" w:firstLine="480"/>
        <w:keepLines w:val="0"/>
        <w:keepNext w:val="0"/>
        <w:pageBreakBefore w:val="0"/>
        <w:spacing w:line="240" w:lineRule="auto"/>
        <w:widowControl w:val="off"/>
        <w:rPr>
          <w:rFonts w:hint="eastAsia" w:ascii="宋体" w:hAnsi="宋体" w:eastAsia="宋体" w:cs="宋体"/>
          <w:sz w:val="24"/>
        </w:rPr>
      </w:pPr>
      <w:r>
        <w:rPr>
          <w:rFonts w:hint="eastAsia" w:ascii="宋体" w:hAnsi="宋体" w:eastAsia="宋体" w:cs="宋体"/>
          <w:sz w:val="24"/>
        </w:rPr>
        <w:t xml:space="preserve">我单位符合《中华人民共和国政府采购法》第二十二条的规定，符合本项目供应商资格要求。</w:t>
      </w:r>
      <w:r/>
    </w:p>
    <w:p>
      <w:pPr>
        <w:pStyle w:val="1027"/>
        <w:ind w:left="0" w:right="0" w:firstLine="480"/>
        <w:keepLines w:val="0"/>
        <w:keepNext w:val="0"/>
        <w:pageBreakBefore w:val="0"/>
        <w:spacing w:line="240" w:lineRule="auto"/>
        <w:widowControl w:val="off"/>
        <w:rPr>
          <w:rFonts w:hint="eastAsia" w:ascii="宋体" w:hAnsi="宋体" w:eastAsia="宋体" w:cs="宋体"/>
          <w:sz w:val="24"/>
        </w:rPr>
      </w:pPr>
      <w:r>
        <w:rPr>
          <w:rFonts w:hint="eastAsia" w:ascii="宋体" w:hAnsi="宋体" w:eastAsia="宋体" w:cs="宋体"/>
          <w:sz w:val="24"/>
        </w:rPr>
        <w:t xml:space="preserve">我单位按照磋商文件的要求编制响应文件，并对其提交的响应文件的真实性、合法性承担法律责任。</w:t>
      </w:r>
      <w:r/>
    </w:p>
    <w:p>
      <w:pPr>
        <w:ind w:left="0" w:right="0" w:firstLine="480"/>
        <w:keepLines w:val="0"/>
        <w:keepNext w:val="0"/>
        <w:pageBreakBefore w:val="0"/>
        <w:spacing w:line="240" w:lineRule="auto"/>
        <w:widowControl w:val="off"/>
        <w:rPr>
          <w:rFonts w:hint="eastAsia" w:ascii="宋体" w:hAnsi="宋体" w:eastAsia="宋体" w:cs="宋体"/>
          <w:sz w:val="24"/>
        </w:rPr>
      </w:pPr>
      <w:r>
        <w:rPr>
          <w:rFonts w:hint="eastAsia" w:ascii="宋体" w:hAnsi="宋体" w:eastAsia="宋体" w:cs="宋体"/>
          <w:sz w:val="24"/>
        </w:rPr>
      </w:r>
      <w:r/>
    </w:p>
    <w:p>
      <w:pPr>
        <w:ind w:left="0" w:right="0" w:firstLine="480"/>
        <w:keepLines w:val="0"/>
        <w:keepNext w:val="0"/>
        <w:pageBreakBefore w:val="0"/>
        <w:spacing w:line="240" w:lineRule="auto"/>
        <w:widowControl w:val="off"/>
        <w:rPr>
          <w:rFonts w:hint="eastAsia" w:ascii="宋体" w:hAnsi="宋体" w:eastAsia="宋体" w:cs="宋体"/>
          <w:sz w:val="24"/>
        </w:rPr>
      </w:pPr>
      <w:r>
        <w:rPr>
          <w:rFonts w:hint="eastAsia" w:ascii="宋体" w:hAnsi="宋体" w:eastAsia="宋体" w:cs="宋体"/>
          <w:sz w:val="24"/>
        </w:rPr>
        <w:t xml:space="preserve">供应商兹宣布同意如下: </w:t>
      </w:r>
      <w:r/>
    </w:p>
    <w:p>
      <w:pPr>
        <w:pStyle w:val="1256"/>
        <w:ind w:firstLine="480"/>
        <w:keepLines w:val="0"/>
        <w:keepNext w:val="0"/>
        <w:pageBreakBefore w:val="0"/>
        <w:spacing w:line="240" w:lineRule="auto"/>
        <w:widowControl w:val="off"/>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0" allowOverlap="1">
                <wp:simplePos x="0" y="0"/>
                <wp:positionH relativeFrom="column">
                  <wp:posOffset>3133725</wp:posOffset>
                </wp:positionH>
                <wp:positionV relativeFrom="paragraph">
                  <wp:posOffset>297180</wp:posOffset>
                </wp:positionV>
                <wp:extent cx="635" cy="0"/>
                <wp:effectExtent l="0" t="4445" r="0" b="5080"/>
                <wp:wrapNone/>
                <wp:docPr id="12" name="直接连接符 1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1" o:spid="_x0000_s11" style="position:absolute;left:0;text-align:left;z-index:251665408;mso-wrap-distance-left:9.0pt;mso-wrap-distance-top:0.0pt;mso-wrap-distance-right:9.0pt;mso-wrap-distance-bottom:0.0pt;visibility:visible;" from="246.8pt,23.4pt" to="246.8pt,23.4pt" filled="f" strokecolor="#000000"/>
            </w:pict>
          </mc:Fallback>
        </mc:AlternateContent>
      </w:r>
      <w:r>
        <w:rPr>
          <w:rFonts w:hint="eastAsia" w:ascii="宋体" w:hAnsi="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0" allowOverlap="1">
                <wp:simplePos x="0" y="0"/>
                <wp:positionH relativeFrom="column">
                  <wp:posOffset>2800350</wp:posOffset>
                </wp:positionH>
                <wp:positionV relativeFrom="paragraph">
                  <wp:posOffset>594360</wp:posOffset>
                </wp:positionV>
                <wp:extent cx="635" cy="0"/>
                <wp:effectExtent l="0" t="4445" r="0" b="5080"/>
                <wp:wrapNone/>
                <wp:docPr id="13" name="直接连接符 1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2" o:spid="_x0000_s12" style="position:absolute;left:0;text-align:left;z-index:251665408;mso-wrap-distance-left:9.0pt;mso-wrap-distance-top:0.0pt;mso-wrap-distance-right:9.0pt;mso-wrap-distance-bottom:0.0pt;visibility:visible;" from="220.5pt,46.8pt" to="220.6pt,46.8pt" filled="f" strokecolor="#000000"/>
            </w:pict>
          </mc:Fallback>
        </mc:AlternateContent>
      </w:r>
      <w:r>
        <w:rPr>
          <w:rFonts w:hint="eastAsia" w:ascii="宋体" w:hAnsi="宋体" w:cs="宋体"/>
          <w:color w:val="auto"/>
          <w:sz w:val="24"/>
          <w:szCs w:val="24"/>
          <w:highlight w:val="none"/>
        </w:rPr>
        <w:t xml:space="preserve">一、完全承担根据《磋商文件》规定完成合同的责任和义务（如有偏离，将全部填写在偏离表中）。</w:t>
      </w:r>
      <w:r/>
    </w:p>
    <w:p>
      <w:pPr>
        <w:pStyle w:val="1256"/>
        <w:ind w:firstLine="480"/>
        <w:keepLines w:val="0"/>
        <w:keepNext w:val="0"/>
        <w:pageBreakBefore w:val="0"/>
        <w:spacing w:line="240" w:lineRule="auto"/>
        <w:widowControl w:val="off"/>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14" name="直接连接符 1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3" o:spid="_x0000_s13" style="position:absolute;left:0;text-align:left;z-index:251665408;mso-wrap-distance-left:9.0pt;mso-wrap-distance-top:0.0pt;mso-wrap-distance-right:9.0pt;mso-wrap-distance-bottom:0.0pt;visibility:visible;" from="210.0pt,19.5pt" to="210.1pt,19.5pt" filled="f" strokecolor="#000000"/>
            </w:pict>
          </mc:Fallback>
        </mc:AlternateContent>
      </w:r>
      <w:r>
        <w:rPr>
          <w:rFonts w:hint="eastAsia" w:ascii="宋体" w:hAnsi="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15" name="直接连接符 1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4" o:spid="_x0000_s14" style="position:absolute;left:0;text-align:left;z-index:251665408;mso-wrap-distance-left:9.0pt;mso-wrap-distance-top:0.0pt;mso-wrap-distance-right:9.0pt;mso-wrap-distance-bottom:0.0pt;visibility:visible;" from="210.0pt,19.5pt" to="210.1pt,19.5pt" filled="f" strokecolor="#000000"/>
            </w:pict>
          </mc:Fallback>
        </mc:AlternateContent>
      </w:r>
      <w:r>
        <w:rPr>
          <w:rFonts w:hint="eastAsia" w:ascii="宋体" w:hAnsi="宋体" w:cs="宋体"/>
          <w:color w:val="auto"/>
          <w:sz w:val="24"/>
          <w:szCs w:val="24"/>
          <w:highlight w:val="none"/>
        </w:rPr>
        <w:t xml:space="preserve">二、保证所提供的响应文件及所有材料的真实、合法、有效，并对其负责。</w:t>
      </w:r>
      <w:r/>
    </w:p>
    <w:p>
      <w:pPr>
        <w:ind w:firstLine="480"/>
        <w:keepLines w:val="0"/>
        <w:keepNext w:val="0"/>
        <w:pageBreakBefore w:val="0"/>
        <w:spacing w:line="240" w:lineRule="auto"/>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三、已详细审核竞争性磋商文件（含竞争性磋商文件的澄清或者修改），本供应商完全理解并同意放弃对这方面不明及误解的权利。</w:t>
      </w:r>
      <w:r/>
    </w:p>
    <w:p>
      <w:pPr>
        <w:ind w:right="29" w:firstLine="480"/>
        <w:keepLines w:val="0"/>
        <w:keepNext w:val="0"/>
        <w:pageBreakBefore w:val="0"/>
        <w:spacing w:line="240" w:lineRule="auto"/>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四、所供货物保证符合国家有关产品质量、性能和安全标准，无权利瑕疵。</w:t>
      </w:r>
      <w:r/>
    </w:p>
    <w:p>
      <w:pPr>
        <w:ind w:right="29" w:firstLine="480"/>
        <w:keepLines w:val="0"/>
        <w:keepNext w:val="0"/>
        <w:pageBreakBefore w:val="0"/>
        <w:spacing w:line="240" w:lineRule="auto"/>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五、报价有效期为30个工作日。</w:t>
      </w:r>
      <w:r/>
    </w:p>
    <w:p>
      <w:pPr>
        <w:ind w:right="29" w:firstLine="480"/>
        <w:keepLines w:val="0"/>
        <w:keepNext w:val="0"/>
        <w:pageBreakBefore w:val="0"/>
        <w:spacing w:line="240" w:lineRule="auto"/>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六、同意向贵方提供贵方可能要求的与本次磋商采购有关的任何证据或资料。</w:t>
      </w:r>
      <w:r/>
    </w:p>
    <w:p>
      <w:pPr>
        <w:ind w:right="29" w:firstLine="480"/>
        <w:keepLines w:val="0"/>
        <w:keepNext w:val="0"/>
        <w:pageBreakBefore w:val="0"/>
        <w:spacing w:line="240" w:lineRule="auto"/>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七、完全理解贵方不一定要接受最低的报价或收到的任何报价。</w:t>
      </w:r>
      <w:r/>
    </w:p>
    <w:p>
      <w:pPr>
        <w:ind w:right="29" w:firstLine="480"/>
        <w:keepLines w:val="0"/>
        <w:keepNext w:val="0"/>
        <w:pageBreakBefore w:val="0"/>
        <w:spacing w:line="240" w:lineRule="auto"/>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八、采购人或采购代理机构有权将我单位本项目的《磋商报价表》和《分项价格表》予以公示，公示的方式由采购人或采购代理机构确定。</w:t>
      </w:r>
      <w:r/>
    </w:p>
    <w:p>
      <w:pPr>
        <w:ind w:right="29" w:firstLine="480"/>
        <w:keepLines w:val="0"/>
        <w:keepNext w:val="0"/>
        <w:pageBreakBefore w:val="0"/>
        <w:spacing w:line="240" w:lineRule="auto"/>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九、采购人有权对供应商的响应文件的真实性进行核实，如供应商不能在采购人规定的时间内向采购人提供有效的证明文件，将被采购人视为放弃中标（成交）资格。</w:t>
      </w:r>
      <w:r/>
    </w:p>
    <w:p>
      <w:pPr>
        <w:ind w:right="0"/>
        <w:keepLines w:val="0"/>
        <w:keepNext w:val="0"/>
        <w:pageBreakBefore w:val="0"/>
        <w:spacing w:line="360" w:lineRule="exact"/>
        <w:widowControl w:val="off"/>
        <w:rPr>
          <w:rFonts w:hint="eastAsia" w:ascii="宋体" w:hAnsi="宋体" w:eastAsia="宋体" w:cs="宋体"/>
          <w:sz w:val="24"/>
        </w:rPr>
      </w:pPr>
      <w:r>
        <w:rPr>
          <w:rFonts w:hint="eastAsia" w:ascii="宋体" w:hAnsi="宋体" w:eastAsia="宋体" w:cs="宋体"/>
          <w:sz w:val="24"/>
        </w:rPr>
      </w:r>
      <w:r/>
    </w:p>
    <w:p>
      <w:pPr>
        <w:ind w:left="0" w:right="0" w:firstLine="480"/>
        <w:keepLines w:val="0"/>
        <w:keepNext w:val="0"/>
        <w:pageBreakBefore w:val="0"/>
        <w:spacing w:line="360" w:lineRule="exact"/>
        <w:widowControl w:val="off"/>
        <w:rPr>
          <w:rFonts w:hint="eastAsia" w:ascii="宋体" w:hAnsi="宋体" w:eastAsia="宋体" w:cs="宋体"/>
          <w:sz w:val="24"/>
        </w:rPr>
      </w:pPr>
      <w:r>
        <w:rPr>
          <w:rFonts w:hint="eastAsia" w:ascii="宋体" w:hAnsi="宋体" w:eastAsia="宋体" w:cs="宋体"/>
          <w:sz w:val="24"/>
        </w:rPr>
        <w:t xml:space="preserve">                           供应商（</w:t>
      </w:r>
      <w:r>
        <w:rPr>
          <w:rFonts w:hint="eastAsia" w:ascii="宋体" w:hAnsi="宋体" w:eastAsia="宋体" w:cs="宋体"/>
          <w:sz w:val="24"/>
          <w:lang w:eastAsia="zh-CN"/>
        </w:rPr>
        <w:t xml:space="preserve">电子签章</w:t>
      </w:r>
      <w:r>
        <w:rPr>
          <w:rFonts w:hint="eastAsia" w:ascii="宋体" w:hAnsi="宋体" w:eastAsia="宋体" w:cs="宋体"/>
          <w:sz w:val="24"/>
        </w:rPr>
        <w:t xml:space="preserve">）：  </w:t>
      </w:r>
      <w:r/>
    </w:p>
    <w:p>
      <w:pPr>
        <w:ind w:left="0" w:right="0" w:firstLine="480"/>
        <w:keepLines w:val="0"/>
        <w:keepNext w:val="0"/>
        <w:pageBreakBefore w:val="0"/>
        <w:spacing w:line="360" w:lineRule="exact"/>
        <w:widowControl w:val="off"/>
        <w:rPr>
          <w:rFonts w:hint="eastAsia" w:ascii="宋体" w:hAnsi="宋体" w:eastAsia="宋体" w:cs="宋体"/>
          <w:sz w:val="24"/>
        </w:rPr>
      </w:pPr>
      <w:r>
        <w:rPr>
          <w:rFonts w:hint="eastAsia" w:ascii="宋体" w:hAnsi="宋体" w:eastAsia="宋体" w:cs="宋体"/>
          <w:sz w:val="24"/>
        </w:rPr>
        <w:t xml:space="preserve">                           联系电话：</w:t>
      </w:r>
      <w:r/>
    </w:p>
    <w:p>
      <w:pPr>
        <w:ind w:left="0" w:right="0" w:firstLine="480"/>
        <w:keepLines w:val="0"/>
        <w:keepNext w:val="0"/>
        <w:pageBreakBefore w:val="0"/>
        <w:spacing w:line="360" w:lineRule="exact"/>
        <w:widowControl w:val="off"/>
        <w:rPr>
          <w:rFonts w:hint="eastAsia" w:ascii="宋体" w:hAnsi="宋体" w:eastAsia="宋体" w:cs="宋体"/>
          <w:sz w:val="24"/>
        </w:rPr>
      </w:pPr>
      <w:r>
        <w:rPr>
          <w:rFonts w:hint="eastAsia" w:ascii="宋体" w:hAnsi="宋体" w:eastAsia="宋体" w:cs="宋体"/>
          <w:sz w:val="24"/>
        </w:rPr>
        <w:t xml:space="preserve">                           移动电话：</w:t>
      </w:r>
      <w:r/>
    </w:p>
    <w:p>
      <w:pPr>
        <w:ind w:left="0" w:right="0" w:firstLine="480"/>
        <w:keepLines w:val="0"/>
        <w:keepNext w:val="0"/>
        <w:pageBreakBefore w:val="0"/>
        <w:spacing w:line="360" w:lineRule="exact"/>
        <w:widowControl w:val="off"/>
        <w:rPr>
          <w:rFonts w:hint="eastAsia" w:ascii="宋体" w:hAnsi="宋体" w:eastAsia="宋体" w:cs="宋体"/>
          <w:sz w:val="24"/>
        </w:rPr>
      </w:pPr>
      <w:r>
        <w:rPr>
          <w:rFonts w:hint="eastAsia" w:ascii="宋体" w:hAnsi="宋体" w:eastAsia="宋体" w:cs="宋体"/>
          <w:sz w:val="24"/>
        </w:rPr>
        <w:t xml:space="preserve">                           日期：</w:t>
      </w:r>
      <w:r>
        <w:rPr>
          <w:rFonts w:hint="eastAsia" w:ascii="宋体" w:hAnsi="宋体" w:cs="宋体"/>
          <w:color w:val="auto"/>
          <w:sz w:val="24"/>
          <w:highlight w:val="none"/>
        </w:rPr>
        <w:t xml:space="preserve"> </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 xml:space="preserve">年  月  日</w:t>
      </w:r>
      <w:r/>
    </w:p>
    <w:p>
      <w:pPr>
        <w:rPr>
          <w:rFonts w:hint="eastAsia" w:ascii="宋体" w:hAnsi="宋体" w:eastAsia="宋体" w:cs="宋体"/>
          <w:b/>
          <w:bCs/>
          <w:sz w:val="28"/>
        </w:rPr>
      </w:pPr>
      <w:r>
        <w:rPr>
          <w:rFonts w:hint="eastAsia" w:ascii="宋体" w:hAnsi="宋体" w:eastAsia="宋体" w:cs="宋体"/>
          <w:b/>
          <w:bCs/>
          <w:sz w:val="28"/>
        </w:rPr>
        <w:br w:type="page" w:clear="all"/>
      </w:r>
      <w:r/>
    </w:p>
    <w:p>
      <w:pPr>
        <w:ind w:left="0" w:right="0" w:firstLine="562"/>
        <w:jc w:val="center"/>
        <w:keepLines w:val="0"/>
        <w:keepNext w:val="0"/>
        <w:pageBreakBefore w:val="0"/>
        <w:spacing w:line="360" w:lineRule="auto"/>
        <w:widowControl w:val="off"/>
        <w:rPr>
          <w:rFonts w:hint="eastAsia" w:ascii="宋体" w:hAnsi="宋体" w:eastAsia="宋体" w:cs="宋体"/>
          <w:b/>
          <w:sz w:val="36"/>
        </w:rPr>
      </w:pPr>
      <w:r>
        <w:rPr>
          <w:rFonts w:hint="eastAsia" w:ascii="宋体" w:hAnsi="宋体" w:cs="宋体"/>
          <w:b/>
          <w:sz w:val="36"/>
          <w:lang w:val="en-US" w:eastAsia="zh-CN"/>
        </w:rPr>
        <w:t xml:space="preserve">9</w:t>
      </w:r>
      <w:r>
        <w:rPr>
          <w:rFonts w:hint="eastAsia" w:ascii="宋体" w:hAnsi="宋体" w:eastAsia="宋体" w:cs="宋体"/>
          <w:b/>
          <w:sz w:val="36"/>
        </w:rPr>
        <w:t xml:space="preserve">、授权委托书</w:t>
      </w:r>
      <w:r/>
    </w:p>
    <w:p>
      <w:pPr>
        <w:spacing w:line="500" w:lineRule="exact"/>
        <w:rPr>
          <w:rFonts w:hint="eastAsia" w:ascii="宋体" w:hAnsi="宋体" w:eastAsia="宋体" w:cs="宋体"/>
          <w:sz w:val="24"/>
        </w:rPr>
      </w:pPr>
      <w:r>
        <w:rPr>
          <w:rFonts w:hint="eastAsia" w:ascii="宋体" w:hAnsi="宋体" w:eastAsia="宋体" w:cs="宋体"/>
          <w:sz w:val="24"/>
        </w:rPr>
        <w:t xml:space="preserve">委托人（全称）：</w:t>
      </w:r>
      <w:r/>
    </w:p>
    <w:p>
      <w:pPr>
        <w:spacing w:line="500" w:lineRule="exact"/>
        <w:rPr>
          <w:rFonts w:hint="eastAsia" w:ascii="宋体" w:hAnsi="宋体" w:eastAsia="宋体" w:cs="宋体"/>
          <w:sz w:val="24"/>
        </w:rPr>
      </w:pPr>
      <w:r>
        <w:rPr>
          <w:rFonts w:hint="eastAsia" w:ascii="宋体" w:hAnsi="宋体" w:eastAsia="宋体" w:cs="宋体"/>
          <w:sz w:val="24"/>
        </w:rPr>
        <w:t xml:space="preserve">地  址：</w:t>
      </w:r>
      <w:r/>
    </w:p>
    <w:p>
      <w:pPr>
        <w:spacing w:line="500" w:lineRule="exact"/>
        <w:rPr>
          <w:rFonts w:hint="eastAsia" w:ascii="宋体" w:hAnsi="宋体" w:eastAsia="宋体" w:cs="宋体"/>
          <w:sz w:val="24"/>
        </w:rPr>
      </w:pPr>
      <w:r>
        <w:rPr>
          <w:rFonts w:hint="eastAsia" w:ascii="宋体" w:hAnsi="宋体" w:eastAsia="宋体" w:cs="宋体"/>
          <w:sz w:val="24"/>
        </w:rPr>
        <w:t xml:space="preserve">法定代表人（负责人）：               </w:t>
      </w:r>
      <w:r/>
    </w:p>
    <w:p>
      <w:pPr>
        <w:spacing w:line="500" w:lineRule="exact"/>
        <w:rPr>
          <w:rFonts w:hint="eastAsia" w:ascii="宋体" w:hAnsi="宋体" w:eastAsia="宋体" w:cs="宋体"/>
          <w:sz w:val="24"/>
        </w:rPr>
      </w:pPr>
      <w:r>
        <w:rPr>
          <w:rFonts w:hint="eastAsia" w:ascii="宋体" w:hAnsi="宋体" w:eastAsia="宋体" w:cs="宋体"/>
          <w:sz w:val="24"/>
        </w:rPr>
        <w:t xml:space="preserve">统一社会信用代码：</w:t>
      </w:r>
      <w:r/>
    </w:p>
    <w:p>
      <w:pPr>
        <w:spacing w:line="500" w:lineRule="exact"/>
        <w:rPr>
          <w:rFonts w:hint="eastAsia" w:ascii="宋体" w:hAnsi="宋体" w:eastAsia="宋体" w:cs="宋体"/>
          <w:sz w:val="24"/>
        </w:rPr>
      </w:pPr>
      <w:r>
        <w:rPr>
          <w:rFonts w:hint="eastAsia" w:ascii="宋体" w:hAnsi="宋体" w:eastAsia="宋体" w:cs="宋体"/>
          <w:sz w:val="24"/>
        </w:rPr>
      </w:r>
      <w:r/>
    </w:p>
    <w:p>
      <w:pPr>
        <w:spacing w:line="500" w:lineRule="exact"/>
        <w:rPr>
          <w:rFonts w:hint="eastAsia" w:ascii="宋体" w:hAnsi="宋体" w:eastAsia="宋体" w:cs="宋体"/>
          <w:sz w:val="24"/>
        </w:rPr>
      </w:pPr>
      <w:r>
        <w:rPr>
          <w:rFonts w:hint="eastAsia" w:ascii="宋体" w:hAnsi="宋体" w:eastAsia="宋体" w:cs="宋体"/>
          <w:sz w:val="24"/>
        </w:rPr>
        <w:t xml:space="preserve">受托人：                  先生（女士）</w:t>
      </w:r>
      <w:r/>
    </w:p>
    <w:p>
      <w:pPr>
        <w:spacing w:line="500" w:lineRule="exact"/>
        <w:rPr>
          <w:rFonts w:hint="eastAsia" w:ascii="宋体" w:hAnsi="宋体" w:eastAsia="宋体" w:cs="宋体"/>
          <w:sz w:val="24"/>
        </w:rPr>
      </w:pPr>
      <w:r>
        <w:rPr>
          <w:rFonts w:hint="eastAsia" w:ascii="宋体" w:hAnsi="宋体" w:eastAsia="宋体" w:cs="宋体"/>
          <w:sz w:val="24"/>
        </w:rPr>
        <w:t xml:space="preserve">身份证号：</w:t>
      </w:r>
      <w:r/>
    </w:p>
    <w:p>
      <w:pPr>
        <w:jc w:val="center"/>
        <w:spacing w:line="0" w:lineRule="atLeast"/>
        <w:rPr>
          <w:rFonts w:hint="eastAsia" w:ascii="宋体" w:hAnsi="宋体" w:eastAsia="宋体" w:cs="宋体"/>
          <w:sz w:val="24"/>
        </w:rPr>
      </w:pPr>
      <w:r>
        <w:rPr>
          <w:rFonts w:hint="eastAsia" w:ascii="宋体" w:hAnsi="宋体" w:eastAsia="宋体" w:cs="宋体"/>
          <w:sz w:val="24"/>
        </w:rPr>
      </w:r>
      <w:r/>
    </w:p>
    <w:p>
      <w:pPr>
        <w:spacing w:line="500" w:lineRule="exact"/>
        <w:rPr>
          <w:rFonts w:hint="eastAsia" w:ascii="宋体" w:hAnsi="宋体" w:eastAsia="宋体" w:cs="宋体"/>
          <w:sz w:val="24"/>
        </w:rPr>
      </w:pPr>
      <w:r>
        <w:rPr>
          <w:rFonts w:hint="eastAsia" w:ascii="宋体" w:hAnsi="宋体" w:eastAsia="宋体" w:cs="宋体"/>
          <w:sz w:val="24"/>
        </w:rPr>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兹委托（         ）全权代表我企业（公司）参与</w:t>
      </w:r>
      <w:r>
        <w:rPr>
          <w:rFonts w:hint="eastAsia" w:ascii="宋体" w:hAnsi="宋体" w:cs="宋体"/>
          <w:color w:val="auto"/>
          <w:sz w:val="24"/>
          <w:u w:val="single"/>
          <w:lang w:eastAsia="zh-CN"/>
        </w:rPr>
        <w:t xml:space="preserve">苏堤北路、凤鸣路、及青年路（故黄河-复兴路）工后道路恢复工程</w:t>
      </w:r>
      <w:r>
        <w:rPr>
          <w:rFonts w:hint="eastAsia" w:ascii="宋体" w:hAnsi="宋体" w:cs="宋体"/>
          <w:sz w:val="24"/>
          <w:u w:val="single"/>
          <w:lang w:eastAsia="zh-CN"/>
        </w:rPr>
        <w:t xml:space="preserve"> </w:t>
      </w:r>
      <w:r>
        <w:rPr>
          <w:rFonts w:hint="eastAsia" w:ascii="宋体" w:hAnsi="宋体" w:eastAsia="宋体" w:cs="宋体"/>
          <w:sz w:val="24"/>
          <w:u w:val="single"/>
        </w:rPr>
        <w:t xml:space="preserve"> </w:t>
      </w:r>
      <w:r>
        <w:rPr>
          <w:rFonts w:hint="eastAsia" w:ascii="宋体" w:hAnsi="宋体" w:eastAsia="宋体" w:cs="宋体"/>
          <w:sz w:val="24"/>
        </w:rPr>
        <w:t xml:space="preserve">项目[项目编号：</w:t>
      </w:r>
      <w:r>
        <w:rPr>
          <w:rFonts w:hint="eastAsia" w:ascii="宋体" w:hAnsi="宋体" w:cs="宋体"/>
          <w:color w:val="auto"/>
          <w:sz w:val="24"/>
          <w:u w:val="single"/>
          <w:lang w:eastAsia="zh-CN"/>
        </w:rPr>
        <w:t xml:space="preserve">JSZC-320300-RHGC-C2026-0005</w:t>
      </w:r>
      <w:r>
        <w:rPr>
          <w:rFonts w:hint="eastAsia" w:ascii="宋体" w:hAnsi="宋体" w:eastAsia="宋体" w:cs="宋体"/>
          <w:sz w:val="24"/>
        </w:rPr>
        <w:t xml:space="preserve">]的磋商活动及签订合同。（</w:t>
      </w:r>
      <w:r>
        <w:rPr>
          <w:rFonts w:hint="eastAsia" w:ascii="宋体" w:hAnsi="宋体" w:eastAsia="宋体" w:cs="宋体"/>
          <w:b/>
          <w:sz w:val="24"/>
        </w:rPr>
        <w:t xml:space="preserve">      </w:t>
      </w:r>
      <w:r>
        <w:rPr>
          <w:rFonts w:hint="eastAsia" w:ascii="宋体" w:hAnsi="宋体" w:eastAsia="宋体" w:cs="宋体"/>
          <w:sz w:val="24"/>
        </w:rPr>
        <w:t xml:space="preserve">   ）以我企业（公司）名义所为的行为及签署的文件，我企业（公司）均予以认可。有关法律责任均由我企业（公司）承担。（         ）无转委托权。委托期限自    年  月   日起至    年   月    日止。</w:t>
      </w:r>
      <w:r/>
    </w:p>
    <w:p>
      <w:pPr>
        <w:spacing w:line="500" w:lineRule="exact"/>
        <w:rPr>
          <w:rFonts w:hint="eastAsia" w:ascii="宋体" w:hAnsi="宋体" w:eastAsia="宋体" w:cs="宋体"/>
          <w:sz w:val="24"/>
        </w:rPr>
      </w:pPr>
      <w:r>
        <w:rPr>
          <w:rFonts w:hint="eastAsia" w:ascii="宋体" w:hAnsi="宋体" w:eastAsia="宋体" w:cs="宋体"/>
          <w:sz w:val="24"/>
        </w:rPr>
      </w:r>
      <w:r/>
    </w:p>
    <w:p>
      <w:pPr>
        <w:spacing w:line="500" w:lineRule="exact"/>
        <w:rPr>
          <w:rFonts w:hint="eastAsia" w:ascii="宋体" w:hAnsi="宋体" w:eastAsia="宋体" w:cs="宋体"/>
          <w:sz w:val="24"/>
        </w:rPr>
      </w:pPr>
      <w:r>
        <w:rPr>
          <w:rFonts w:hint="eastAsia" w:ascii="宋体" w:hAnsi="宋体" w:eastAsia="宋体" w:cs="宋体"/>
          <w:sz w:val="24"/>
        </w:rPr>
        <w:t xml:space="preserve">委托人（</w:t>
      </w:r>
      <w:r>
        <w:rPr>
          <w:rFonts w:hint="eastAsia" w:ascii="宋体" w:hAnsi="宋体" w:eastAsia="宋体" w:cs="宋体"/>
          <w:sz w:val="24"/>
          <w:lang w:eastAsia="zh-CN"/>
        </w:rPr>
        <w:t xml:space="preserve">电子签章</w:t>
      </w:r>
      <w:r>
        <w:rPr>
          <w:rFonts w:hint="eastAsia" w:ascii="宋体" w:hAnsi="宋体" w:eastAsia="宋体" w:cs="宋体"/>
          <w:sz w:val="24"/>
        </w:rPr>
        <w:t xml:space="preserve">）：</w:t>
      </w:r>
      <w:r/>
    </w:p>
    <w:p>
      <w:pPr>
        <w:spacing w:line="500" w:lineRule="exact"/>
        <w:rPr>
          <w:rFonts w:hint="eastAsia" w:ascii="宋体" w:hAnsi="宋体" w:eastAsia="宋体" w:cs="宋体"/>
          <w:sz w:val="24"/>
        </w:rPr>
      </w:pPr>
      <w:r>
        <w:rPr>
          <w:rFonts w:hint="eastAsia" w:ascii="宋体" w:hAnsi="宋体" w:eastAsia="宋体" w:cs="宋体"/>
          <w:sz w:val="24"/>
        </w:rPr>
      </w:r>
      <w:r/>
    </w:p>
    <w:p>
      <w:pPr>
        <w:spacing w:line="500" w:lineRule="exact"/>
        <w:rPr>
          <w:rFonts w:hint="eastAsia" w:ascii="宋体" w:hAnsi="宋体" w:eastAsia="宋体" w:cs="宋体"/>
          <w:sz w:val="24"/>
        </w:rPr>
      </w:pPr>
      <w:r>
        <w:rPr>
          <w:rFonts w:hint="eastAsia" w:ascii="宋体" w:hAnsi="宋体" w:eastAsia="宋体" w:cs="宋体"/>
          <w:sz w:val="24"/>
        </w:rPr>
        <w:t xml:space="preserve">法定代表人（签字或</w:t>
      </w:r>
      <w:r>
        <w:rPr>
          <w:rFonts w:hint="eastAsia" w:ascii="宋体" w:hAnsi="宋体" w:eastAsia="宋体" w:cs="宋体"/>
          <w:sz w:val="24"/>
          <w:lang w:eastAsia="zh-CN"/>
        </w:rPr>
        <w:t xml:space="preserve">签章</w:t>
      </w:r>
      <w:r>
        <w:rPr>
          <w:rFonts w:hint="eastAsia" w:ascii="宋体" w:hAnsi="宋体" w:eastAsia="宋体" w:cs="宋体"/>
          <w:sz w:val="24"/>
        </w:rPr>
        <w:t xml:space="preserve">）：</w:t>
      </w:r>
      <w:r/>
    </w:p>
    <w:p>
      <w:pPr>
        <w:spacing w:line="500" w:lineRule="exact"/>
        <w:rPr>
          <w:rFonts w:hint="eastAsia" w:ascii="宋体" w:hAnsi="宋体" w:eastAsia="宋体" w:cs="宋体"/>
          <w:sz w:val="24"/>
        </w:rPr>
      </w:pPr>
      <w:r>
        <w:rPr>
          <w:rFonts w:hint="eastAsia" w:ascii="宋体" w:hAnsi="宋体" w:eastAsia="宋体" w:cs="宋体"/>
          <w:sz w:val="24"/>
        </w:rPr>
        <w:t xml:space="preserve"> </w:t>
      </w:r>
      <w:r/>
    </w:p>
    <w:p>
      <w:pPr>
        <w:spacing w:line="500" w:lineRule="exact"/>
        <w:rPr>
          <w:rFonts w:hint="eastAsia" w:ascii="宋体" w:hAnsi="宋体" w:eastAsia="宋体" w:cs="宋体"/>
          <w:sz w:val="24"/>
        </w:rPr>
      </w:pPr>
      <w:r>
        <w:rPr>
          <w:rFonts w:hint="eastAsia" w:ascii="宋体" w:hAnsi="宋体" w:eastAsia="宋体" w:cs="宋体"/>
          <w:sz w:val="24"/>
        </w:rPr>
        <w:t xml:space="preserve">受托人（签字</w:t>
      </w:r>
      <w:r>
        <w:rPr>
          <w:rFonts w:hint="eastAsia" w:ascii="宋体" w:hAnsi="宋体" w:cs="宋体"/>
          <w:sz w:val="24"/>
          <w:lang w:val="en-US" w:eastAsia="zh-CN"/>
        </w:rPr>
        <w:t xml:space="preserve">或签章</w:t>
      </w:r>
      <w:r>
        <w:rPr>
          <w:rFonts w:hint="eastAsia" w:ascii="宋体" w:hAnsi="宋体" w:eastAsia="宋体" w:cs="宋体"/>
          <w:sz w:val="24"/>
        </w:rPr>
        <w:t xml:space="preserve">）：</w:t>
      </w:r>
      <w:r/>
    </w:p>
    <w:p>
      <w:pPr>
        <w:ind w:firstLine="6240"/>
        <w:spacing w:line="500" w:lineRule="exact"/>
        <w:rPr>
          <w:rFonts w:hint="eastAsia" w:ascii="宋体" w:hAnsi="宋体" w:eastAsia="宋体" w:cs="宋体"/>
          <w:sz w:val="24"/>
        </w:rPr>
      </w:pPr>
      <w:r>
        <w:rPr>
          <w:rFonts w:hint="eastAsia" w:ascii="宋体" w:hAnsi="宋体" w:eastAsia="宋体" w:cs="宋体"/>
          <w:sz w:val="24"/>
        </w:rPr>
        <w:t xml:space="preserve">年   月   日</w:t>
      </w:r>
      <w:r/>
    </w:p>
    <w:p>
      <w:pPr>
        <w:rPr>
          <w:rFonts w:hint="eastAsia" w:ascii="宋体" w:hAnsi="宋体" w:eastAsia="宋体" w:cs="宋体"/>
          <w:sz w:val="24"/>
        </w:rPr>
      </w:pPr>
      <w:r>
        <w:rPr>
          <w:rFonts w:hint="eastAsia" w:ascii="宋体" w:hAnsi="宋体" w:eastAsia="宋体" w:cs="宋体"/>
          <w:sz w:val="24"/>
        </w:rPr>
        <w:t xml:space="preserve">(受托人身份证</w:t>
      </w:r>
      <w:r>
        <w:rPr>
          <w:rFonts w:hint="eastAsia" w:ascii="宋体" w:hAnsi="宋体" w:eastAsia="宋体" w:cs="宋体"/>
          <w:sz w:val="24"/>
          <w:lang w:eastAsia="zh-CN"/>
        </w:rPr>
        <w:t xml:space="preserve">扫描件</w:t>
      </w:r>
      <w:r>
        <w:rPr>
          <w:rFonts w:hint="eastAsia" w:ascii="宋体" w:hAnsi="宋体" w:eastAsia="宋体" w:cs="宋体"/>
          <w:sz w:val="24"/>
        </w:rPr>
        <w:t xml:space="preserve">附后)</w:t>
      </w:r>
      <w:r/>
    </w:p>
    <w:p>
      <w:pPr>
        <w:rPr>
          <w:rFonts w:hint="eastAsia" w:ascii="宋体" w:hAnsi="宋体" w:eastAsia="宋体" w:cs="宋体"/>
          <w:sz w:val="24"/>
        </w:rPr>
      </w:pPr>
      <w:r>
        <w:rPr>
          <w:rFonts w:hint="eastAsia" w:ascii="宋体" w:hAnsi="宋体" w:eastAsia="宋体" w:cs="宋体"/>
          <w:sz w:val="24"/>
        </w:rPr>
      </w:r>
      <w:r/>
    </w:p>
    <w:p>
      <w:pPr>
        <w:pStyle w:val="1040"/>
        <w:rPr>
          <w:rFonts w:hint="eastAsia" w:ascii="宋体" w:hAnsi="宋体" w:eastAsia="宋体" w:cs="宋体"/>
        </w:rPr>
      </w:pPr>
      <w:r>
        <w:rPr>
          <w:rFonts w:hint="eastAsia" w:ascii="宋体" w:hAnsi="宋体" w:eastAsia="宋体" w:cs="宋体"/>
        </w:rPr>
      </w:r>
      <w:r/>
    </w:p>
    <w:p>
      <w:pPr>
        <w:rPr>
          <w:rFonts w:hint="eastAsia" w:ascii="宋体" w:hAnsi="宋体" w:eastAsia="宋体" w:cs="宋体"/>
          <w:sz w:val="24"/>
        </w:rPr>
      </w:pPr>
      <w:r>
        <w:rPr>
          <w:rFonts w:hint="eastAsia" w:ascii="宋体" w:hAnsi="宋体" w:eastAsia="宋体" w:cs="宋体"/>
          <w:sz w:val="24"/>
        </w:rPr>
      </w:r>
      <w:r/>
    </w:p>
    <w:p>
      <w:pPr>
        <w:pStyle w:val="1040"/>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pStyle w:val="1041"/>
        <w:ind w:left="0" w:firstLine="0"/>
        <w:rPr>
          <w:rFonts w:hint="eastAsia" w:ascii="宋体" w:hAnsi="宋体" w:eastAsia="宋体" w:cs="宋体"/>
        </w:rPr>
      </w:pPr>
      <w:r>
        <w:rPr>
          <w:rFonts w:hint="eastAsia" w:ascii="宋体" w:hAnsi="宋体" w:eastAsia="宋体" w:cs="宋体"/>
        </w:rPr>
      </w:r>
      <w:r/>
    </w:p>
    <w:p>
      <w:pPr>
        <w:spacing w:line="360" w:lineRule="auto"/>
        <w:rPr>
          <w:rFonts w:hint="eastAsia" w:ascii="宋体" w:hAnsi="宋体" w:eastAsia="宋体" w:cs="宋体"/>
          <w:bCs/>
          <w:sz w:val="24"/>
        </w:rPr>
      </w:pPr>
      <w:r>
        <w:rPr>
          <w:rFonts w:hint="eastAsia" w:ascii="宋体" w:hAnsi="宋体" w:eastAsia="宋体" w:cs="宋体"/>
          <w:bCs/>
          <w:sz w:val="24"/>
        </w:rPr>
      </w:r>
      <w:r/>
    </w:p>
    <w:p>
      <w:pPr>
        <w:jc w:val="center"/>
        <w:spacing w:line="360" w:lineRule="auto"/>
        <w:rPr>
          <w:rFonts w:hint="eastAsia" w:ascii="宋体" w:hAnsi="宋体" w:eastAsia="宋体" w:cs="宋体"/>
          <w:b/>
          <w:bCs/>
          <w:color w:val="auto"/>
          <w:sz w:val="36"/>
          <w:szCs w:val="36"/>
          <w:highlight w:val="none"/>
          <w:lang w:val="en-US" w:eastAsia="zh-CN"/>
        </w:rPr>
      </w:pPr>
      <w:r>
        <w:rPr>
          <w:rFonts w:hint="eastAsia" w:ascii="宋体" w:hAnsi="宋体" w:eastAsia="宋体" w:cs="宋体"/>
          <w:b/>
          <w:bCs/>
          <w:color w:val="auto"/>
          <w:sz w:val="36"/>
          <w:szCs w:val="36"/>
          <w:highlight w:val="none"/>
          <w:lang w:val="en-US" w:eastAsia="zh-CN"/>
        </w:rPr>
        <w:t xml:space="preserve">1</w:t>
      </w:r>
      <w:r>
        <w:rPr>
          <w:rFonts w:hint="eastAsia" w:ascii="宋体" w:hAnsi="宋体" w:cs="宋体"/>
          <w:b/>
          <w:bCs/>
          <w:color w:val="auto"/>
          <w:sz w:val="36"/>
          <w:szCs w:val="36"/>
          <w:highlight w:val="none"/>
          <w:lang w:val="en-US" w:eastAsia="zh-CN"/>
        </w:rPr>
        <w:t xml:space="preserve">0</w:t>
      </w:r>
      <w:r>
        <w:rPr>
          <w:rFonts w:hint="eastAsia" w:ascii="宋体" w:hAnsi="宋体" w:eastAsia="宋体" w:cs="宋体"/>
          <w:b/>
          <w:bCs/>
          <w:color w:val="auto"/>
          <w:sz w:val="36"/>
          <w:szCs w:val="36"/>
          <w:highlight w:val="none"/>
          <w:lang w:val="en-US" w:eastAsia="zh-CN"/>
        </w:rPr>
        <w:t xml:space="preserve">、具备履行合同所必需的设备和专业技术能力的书面声明（附证明材料扫描件）格式（供应商可自行拟定）</w:t>
      </w:r>
      <w:r/>
    </w:p>
    <w:p>
      <w:pPr>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w:t>
      </w:r>
      <w:r>
        <w:rPr>
          <w:rFonts w:hint="eastAsia" w:ascii="宋体" w:hAnsi="宋体" w:cs="宋体"/>
          <w:color w:val="auto"/>
          <w:sz w:val="24"/>
          <w:u w:val="single"/>
          <w:lang w:eastAsia="zh-CN"/>
        </w:rPr>
        <w:t xml:space="preserve">JSZC-320300-RHGC-C2026-0005</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rPr>
          <w:rFonts w:hint="eastAsia" w:ascii="宋体" w:hAnsi="宋体" w:cs="宋体"/>
          <w:color w:val="auto"/>
          <w:sz w:val="24"/>
          <w:u w:val="single"/>
          <w:lang w:eastAsia="zh-CN"/>
        </w:rPr>
        <w:t xml:space="preserve">苏堤北路、凤鸣路、及青年路（故黄河-复兴路）工后道路恢复工程</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供应商郑重声明：</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具备履行合同（项目名称：</w:t>
      </w:r>
      <w:r>
        <w:rPr>
          <w:rFonts w:hint="eastAsia" w:ascii="宋体" w:hAnsi="宋体" w:cs="宋体"/>
          <w:color w:val="auto"/>
          <w:sz w:val="24"/>
          <w:u w:val="single"/>
          <w:lang w:eastAsia="zh-CN"/>
        </w:rPr>
        <w:t xml:space="preserve">苏堤北路、凤鸣路、及青年路（故黄河-复兴路）工后道路恢复工程</w:t>
      </w:r>
      <w:r>
        <w:rPr>
          <w:rFonts w:hint="eastAsia" w:ascii="宋体" w:hAnsi="宋体" w:eastAsia="宋体" w:cs="宋体"/>
          <w:color w:val="auto"/>
          <w:sz w:val="24"/>
          <w:szCs w:val="24"/>
          <w:highlight w:val="none"/>
        </w:rPr>
        <w:t xml:space="preserve">，项目编号</w:t>
      </w:r>
      <w:r>
        <w:rPr>
          <w:rFonts w:hint="eastAsia" w:ascii="宋体" w:hAnsi="宋体" w:cs="宋体"/>
          <w:color w:val="auto"/>
          <w:sz w:val="24"/>
          <w:u w:val="single"/>
          <w:lang w:eastAsia="zh-CN"/>
        </w:rPr>
        <w:t xml:space="preserve">JSZC-320300-RHGC-C2026-0005）</w:t>
      </w:r>
      <w:r>
        <w:rPr>
          <w:rFonts w:hint="eastAsia" w:ascii="宋体" w:hAnsi="宋体" w:eastAsia="宋体" w:cs="宋体"/>
          <w:color w:val="auto"/>
          <w:sz w:val="24"/>
          <w:szCs w:val="24"/>
          <w:highlight w:val="none"/>
        </w:rPr>
        <w:t xml:space="preserve"> 所必需的设备和专业技术能力， 具体为：</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设备：</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none"/>
          <w:lang w:val="en-US" w:eastAsia="zh-CN"/>
        </w:rPr>
        <w:t xml:space="preserve">1、</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（证明材料扫描件附后）</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（证明材料扫描件附后）</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（证明材料扫描件附后）</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专业技术能力：</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（证明材料扫描件附后）</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（证明材料扫描件附后）</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（证明材料扫描件附后）</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特此声明。</w:t>
      </w:r>
      <w:r/>
    </w:p>
    <w:p>
      <w:pPr>
        <w:ind w:firstLine="480"/>
        <w:keepLines w:val="0"/>
        <w:keepNext w:val="0"/>
        <w:pageBreakBefore w:val="0"/>
        <w:spacing w:line="360" w:lineRule="auto"/>
        <w:widowControl w:val="off"/>
        <w:rPr>
          <w:rFonts w:hint="eastAsia" w:ascii="宋体" w:hAnsi="宋体" w:eastAsia="宋体" w:cs="宋体"/>
          <w:color w:val="auto"/>
          <w:spacing w:val="6"/>
          <w:sz w:val="24"/>
          <w:szCs w:val="24"/>
          <w:highlight w:val="none"/>
        </w:rPr>
      </w:pPr>
      <w:r>
        <w:rPr>
          <w:rFonts w:hint="eastAsia" w:ascii="宋体" w:hAnsi="宋体" w:eastAsia="宋体" w:cs="宋体"/>
          <w:color w:val="auto"/>
          <w:sz w:val="24"/>
          <w:szCs w:val="24"/>
          <w:highlight w:val="none"/>
        </w:rPr>
        <w:t xml:space="preserve">供应商对上述声明的真实性负责。如有虚假，将依法承担相应责任。</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1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29" w:firstLine="2880"/>
        <w:spacing w:line="360" w:lineRule="auto"/>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供应商</w:t>
      </w:r>
      <w:r>
        <w:rPr>
          <w:rFonts w:hint="eastAsia" w:ascii="宋体" w:hAnsi="宋体" w:eastAsia="宋体" w:cs="宋体"/>
          <w:b w:val="0"/>
          <w:bCs w:val="0"/>
          <w:color w:val="auto"/>
          <w:sz w:val="24"/>
          <w:szCs w:val="24"/>
          <w:highlight w:val="none"/>
        </w:rPr>
        <w:t xml:space="preserve">（电子签章）：</w:t>
      </w:r>
      <w:r/>
    </w:p>
    <w:p>
      <w:pPr>
        <w:ind w:right="29" w:firstLine="288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日期：  年  月  日</w:t>
      </w:r>
      <w:r/>
    </w:p>
    <w:p>
      <w:pPr>
        <w:jc w:val="center"/>
        <w:spacing w:line="360" w:lineRule="auto"/>
        <w:rPr>
          <w:rFonts w:hint="eastAsia" w:ascii="宋体" w:hAnsi="宋体" w:cs="宋体"/>
          <w:b/>
          <w:bCs/>
          <w:color w:val="auto"/>
          <w:sz w:val="36"/>
          <w:szCs w:val="36"/>
          <w:highlight w:val="none"/>
          <w:lang w:val="en-US" w:eastAsia="zh-CN"/>
        </w:rPr>
        <w:sectPr>
          <w:footerReference w:type="default" r:id="rId17"/>
          <w:footnotePr/>
          <w:endnotePr/>
          <w:type w:val="nextPage"/>
          <w:pgSz w:w="11906" w:h="16838" w:orient="portrait"/>
          <w:pgMar w:top="1440" w:right="1080" w:bottom="1440" w:left="1080" w:header="851" w:footer="992" w:gutter="0"/>
          <w:cols w:num="1" w:sep="0" w:space="0" w:equalWidth="1"/>
          <w:docGrid w:linePitch="360"/>
          <w:titlePg/>
        </w:sectPr>
      </w:pPr>
      <w:r>
        <w:rPr>
          <w:rFonts w:hint="eastAsia" w:ascii="宋体" w:hAnsi="宋体" w:cs="宋体"/>
          <w:b/>
          <w:bCs/>
          <w:color w:val="auto"/>
          <w:sz w:val="36"/>
          <w:szCs w:val="36"/>
          <w:highlight w:val="none"/>
          <w:lang w:val="en-US" w:eastAsia="zh-CN"/>
        </w:rPr>
      </w:r>
      <w:r/>
    </w:p>
    <w:p>
      <w:pPr>
        <w:contextualSpacing/>
        <w:ind w:firstLine="3253"/>
        <w:rPr>
          <w:rFonts w:hint="eastAsia" w:ascii="宋体" w:hAnsi="宋体" w:eastAsia="宋体" w:cs="宋体"/>
          <w:b/>
          <w:sz w:val="36"/>
          <w:lang w:val="en-US" w:eastAsia="zh-CN"/>
        </w:rPr>
      </w:pPr>
      <w:r/>
      <w:bookmarkStart w:id="69" w:name="_Toc17932"/>
      <w:r>
        <w:rPr>
          <w:rFonts w:hint="eastAsia" w:ascii="宋体" w:hAnsi="宋体" w:eastAsia="宋体" w:cs="宋体"/>
          <w:b/>
          <w:sz w:val="36"/>
          <w:lang w:val="en-US" w:eastAsia="zh-CN"/>
        </w:rPr>
        <w:t xml:space="preserve">11、无在建承诺书</w:t>
      </w:r>
      <w:bookmarkEnd w:id="69"/>
      <w:r/>
      <w:r/>
    </w:p>
    <w:p>
      <w:pPr>
        <w:ind w:right="0"/>
        <w:keepLines w:val="0"/>
        <w:keepNext w:val="0"/>
        <w:pageBreakBefore w:val="0"/>
        <w:spacing w:line="360" w:lineRule="exact"/>
        <w:widowControl w:val="off"/>
        <w:rPr>
          <w:rFonts w:hint="eastAsia" w:ascii="宋体" w:hAnsi="宋体" w:eastAsia="宋体" w:cs="宋体"/>
          <w:b/>
          <w:bCs/>
          <w:sz w:val="24"/>
        </w:rPr>
      </w:pPr>
      <w:r>
        <w:rPr>
          <w:rFonts w:hint="eastAsia" w:ascii="宋体" w:hAnsi="宋体" w:eastAsia="宋体" w:cs="宋体"/>
          <w:b/>
          <w:bCs/>
          <w:sz w:val="24"/>
        </w:rPr>
        <w:t xml:space="preserve">致</w:t>
      </w:r>
      <w:r>
        <w:rPr>
          <w:rFonts w:hint="eastAsia" w:ascii="宋体" w:hAnsi="宋体" w:eastAsia="宋体" w:cs="宋体"/>
          <w:b/>
          <w:bCs/>
          <w:color w:val="auto"/>
          <w:sz w:val="24"/>
          <w:highlight w:val="none"/>
          <w:u w:val="single"/>
          <w:lang w:eastAsia="zh-CN"/>
        </w:rPr>
        <w:t xml:space="preserve">徐州市市政管理中心</w:t>
      </w:r>
      <w:r>
        <w:rPr>
          <w:rFonts w:hint="eastAsia" w:ascii="宋体" w:hAnsi="宋体" w:eastAsia="宋体" w:cs="宋体"/>
          <w:b/>
          <w:bCs/>
          <w:sz w:val="24"/>
        </w:rPr>
        <w:t xml:space="preserve">：</w:t>
      </w:r>
      <w:r/>
    </w:p>
    <w:p>
      <w:pPr>
        <w:spacing w:line="360" w:lineRule="auto"/>
        <w:widowControl/>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r>
      <w:r/>
    </w:p>
    <w:p>
      <w:pPr>
        <w:ind w:left="0" w:right="0" w:firstLine="480"/>
        <w:jc w:val="left"/>
        <w:keepLines w:val="0"/>
        <w:keepNext w:val="0"/>
        <w:pageBreakBefore w:val="0"/>
        <w:spacing w:line="240" w:lineRule="auto"/>
        <w:widowControl w:val="off"/>
        <w:rPr>
          <w:rFonts w:hint="eastAsia" w:ascii="宋体" w:hAnsi="宋体" w:eastAsia="宋体" w:cs="宋体"/>
          <w:sz w:val="24"/>
          <w:szCs w:val="18"/>
          <w:lang w:val="en-US" w:eastAsia="zh-CN" w:bidi="ar-SA"/>
        </w:rPr>
      </w:pPr>
      <w:r>
        <w:rPr>
          <w:rFonts w:hint="eastAsia" w:ascii="宋体" w:hAnsi="宋体" w:eastAsia="宋体" w:cs="宋体"/>
          <w:sz w:val="24"/>
          <w:szCs w:val="18"/>
          <w:lang w:val="en-US" w:eastAsia="zh-CN" w:bidi="ar-SA"/>
        </w:rPr>
      </w:r>
      <w:r/>
    </w:p>
    <w:p>
      <w:pPr>
        <w:ind w:left="0" w:right="0" w:firstLine="480"/>
        <w:jc w:val="left"/>
        <w:keepLines w:val="0"/>
        <w:keepNext w:val="0"/>
        <w:pageBreakBefore w:val="0"/>
        <w:spacing w:line="240" w:lineRule="auto"/>
        <w:widowControl w:val="off"/>
        <w:rPr>
          <w:rFonts w:hint="eastAsia" w:ascii="宋体" w:hAnsi="宋体" w:eastAsia="宋体" w:cs="宋体"/>
          <w:sz w:val="24"/>
          <w:szCs w:val="18"/>
          <w:lang w:val="en-US" w:eastAsia="zh-CN" w:bidi="ar-SA"/>
        </w:rPr>
      </w:pPr>
      <w:r>
        <w:rPr>
          <w:rFonts w:hint="eastAsia" w:ascii="宋体" w:hAnsi="宋体" w:eastAsia="宋体" w:cs="宋体"/>
          <w:sz w:val="24"/>
          <w:szCs w:val="18"/>
          <w:lang w:val="en-US" w:eastAsia="zh-CN" w:bidi="ar-SA"/>
        </w:rPr>
      </w:r>
      <w:r/>
    </w:p>
    <w:p>
      <w:pPr>
        <w:ind w:left="0" w:right="0" w:firstLine="480"/>
        <w:jc w:val="left"/>
        <w:keepLines w:val="0"/>
        <w:keepNext w:val="0"/>
        <w:pageBreakBefore w:val="0"/>
        <w:spacing w:line="240" w:lineRule="auto"/>
        <w:widowControl w:val="off"/>
        <w:rPr>
          <w:rFonts w:hint="eastAsia" w:ascii="宋体" w:hAnsi="宋体" w:eastAsia="宋体" w:cs="宋体"/>
          <w:sz w:val="24"/>
          <w:szCs w:val="18"/>
          <w:lang w:val="en-US" w:eastAsia="zh-CN" w:bidi="ar-SA"/>
        </w:rPr>
      </w:pPr>
      <w:r>
        <w:rPr>
          <w:rFonts w:hint="eastAsia" w:ascii="宋体" w:hAnsi="宋体" w:eastAsia="宋体" w:cs="宋体"/>
          <w:sz w:val="24"/>
          <w:szCs w:val="18"/>
          <w:lang w:val="en-US" w:eastAsia="zh-CN" w:bidi="ar-SA"/>
        </w:rPr>
      </w:r>
      <w:r/>
    </w:p>
    <w:p>
      <w:pPr>
        <w:ind w:left="0" w:right="0" w:firstLine="480"/>
        <w:jc w:val="center"/>
        <w:keepLines w:val="0"/>
        <w:keepNext w:val="0"/>
        <w:pageBreakBefore w:val="0"/>
        <w:spacing w:line="240" w:lineRule="auto"/>
        <w:widowControl w:val="off"/>
        <w:rPr>
          <w:rFonts w:hint="eastAsia" w:ascii="宋体" w:hAnsi="宋体" w:eastAsia="宋体" w:cs="宋体"/>
          <w:sz w:val="24"/>
          <w:szCs w:val="18"/>
          <w:lang w:val="en-US" w:eastAsia="zh-CN" w:bidi="ar-SA"/>
        </w:rPr>
      </w:pPr>
      <w:r>
        <w:rPr>
          <w:rFonts w:hint="eastAsia" w:ascii="宋体" w:hAnsi="宋体" w:eastAsia="宋体" w:cs="宋体"/>
          <w:sz w:val="24"/>
          <w:szCs w:val="18"/>
          <w:lang w:val="en-US" w:eastAsia="zh-CN" w:bidi="ar-SA"/>
        </w:rPr>
        <w:t xml:space="preserve">（格式自拟）</w:t>
      </w:r>
      <w:r/>
    </w:p>
    <w:p>
      <w:pPr>
        <w:ind w:left="0" w:right="0" w:firstLine="480"/>
        <w:jc w:val="left"/>
        <w:keepLines w:val="0"/>
        <w:keepNext w:val="0"/>
        <w:pageBreakBefore w:val="0"/>
        <w:spacing w:line="240" w:lineRule="auto"/>
        <w:widowControl w:val="off"/>
        <w:rPr>
          <w:rFonts w:hint="eastAsia" w:ascii="宋体" w:hAnsi="宋体" w:eastAsia="宋体" w:cs="宋体"/>
          <w:sz w:val="24"/>
          <w:szCs w:val="18"/>
          <w:lang w:val="en-US" w:eastAsia="zh-CN" w:bidi="ar-SA"/>
        </w:rPr>
      </w:pPr>
      <w:r>
        <w:rPr>
          <w:rFonts w:hint="eastAsia" w:ascii="宋体" w:hAnsi="宋体" w:eastAsia="宋体" w:cs="宋体"/>
          <w:sz w:val="24"/>
          <w:szCs w:val="18"/>
          <w:lang w:val="en-US" w:eastAsia="zh-CN" w:bidi="ar-SA"/>
        </w:rPr>
      </w:r>
      <w:r/>
    </w:p>
    <w:p>
      <w:pPr>
        <w:ind w:left="0" w:right="0" w:firstLine="480"/>
        <w:jc w:val="left"/>
        <w:keepLines w:val="0"/>
        <w:keepNext w:val="0"/>
        <w:pageBreakBefore w:val="0"/>
        <w:spacing w:line="240" w:lineRule="auto"/>
        <w:widowControl w:val="off"/>
        <w:rPr>
          <w:rFonts w:hint="eastAsia" w:ascii="宋体" w:hAnsi="宋体" w:eastAsia="宋体" w:cs="宋体"/>
          <w:sz w:val="24"/>
          <w:szCs w:val="18"/>
          <w:lang w:val="en-US" w:eastAsia="zh-CN" w:bidi="ar-SA"/>
        </w:rPr>
      </w:pPr>
      <w:r>
        <w:rPr>
          <w:rFonts w:hint="eastAsia" w:ascii="宋体" w:hAnsi="宋体" w:eastAsia="宋体" w:cs="宋体"/>
          <w:sz w:val="24"/>
          <w:szCs w:val="18"/>
          <w:lang w:val="en-US" w:eastAsia="zh-CN" w:bidi="ar-SA"/>
        </w:rPr>
      </w:r>
      <w:r/>
    </w:p>
    <w:p>
      <w:pPr>
        <w:ind w:left="0" w:right="0" w:firstLine="480"/>
        <w:keepLines w:val="0"/>
        <w:keepNext w:val="0"/>
        <w:pageBreakBefore w:val="0"/>
        <w:spacing w:line="360" w:lineRule="exact"/>
        <w:widowControl w:val="off"/>
        <w:rPr>
          <w:rFonts w:hint="eastAsia" w:ascii="宋体" w:hAnsi="宋体" w:eastAsia="宋体" w:cs="宋体"/>
          <w:sz w:val="24"/>
        </w:rPr>
      </w:pPr>
      <w:r>
        <w:rPr>
          <w:rFonts w:hint="eastAsia" w:ascii="宋体" w:hAnsi="宋体" w:eastAsia="宋体" w:cs="宋体"/>
          <w:sz w:val="24"/>
        </w:rPr>
      </w:r>
      <w:r/>
    </w:p>
    <w:p>
      <w:pPr>
        <w:ind w:left="0" w:right="0" w:firstLine="480"/>
        <w:keepLines w:val="0"/>
        <w:keepNext w:val="0"/>
        <w:pageBreakBefore w:val="0"/>
        <w:spacing w:line="360" w:lineRule="exact"/>
        <w:widowControl w:val="off"/>
        <w:rPr>
          <w:rFonts w:hint="eastAsia" w:ascii="宋体" w:hAnsi="宋体" w:eastAsia="宋体" w:cs="宋体"/>
          <w:sz w:val="24"/>
        </w:rPr>
      </w:pPr>
      <w:r>
        <w:rPr>
          <w:rFonts w:hint="eastAsia" w:ascii="宋体" w:hAnsi="宋体" w:eastAsia="宋体" w:cs="宋体"/>
          <w:sz w:val="24"/>
        </w:rPr>
        <w:t xml:space="preserve">                           供应商（</w:t>
      </w:r>
      <w:r>
        <w:rPr>
          <w:rFonts w:hint="eastAsia" w:ascii="宋体" w:hAnsi="宋体" w:eastAsia="宋体" w:cs="宋体"/>
          <w:sz w:val="24"/>
          <w:lang w:eastAsia="zh-CN"/>
        </w:rPr>
        <w:t xml:space="preserve">电子签章</w:t>
      </w:r>
      <w:r>
        <w:rPr>
          <w:rFonts w:hint="eastAsia" w:ascii="宋体" w:hAnsi="宋体" w:eastAsia="宋体" w:cs="宋体"/>
          <w:sz w:val="24"/>
        </w:rPr>
        <w:t xml:space="preserve">）：  </w:t>
      </w:r>
      <w:r/>
    </w:p>
    <w:p>
      <w:pPr>
        <w:ind w:left="0" w:right="0" w:firstLine="480"/>
        <w:keepLines w:val="0"/>
        <w:keepNext w:val="0"/>
        <w:pageBreakBefore w:val="0"/>
        <w:spacing w:line="360" w:lineRule="exact"/>
        <w:widowControl w:val="off"/>
        <w:rPr>
          <w:rFonts w:hint="eastAsia" w:ascii="宋体" w:hAnsi="宋体" w:eastAsia="宋体" w:cs="宋体"/>
          <w:sz w:val="24"/>
        </w:rPr>
      </w:pPr>
      <w:r>
        <w:rPr>
          <w:rFonts w:hint="eastAsia" w:ascii="宋体" w:hAnsi="宋体" w:eastAsia="宋体" w:cs="宋体"/>
          <w:sz w:val="24"/>
        </w:rPr>
      </w:r>
      <w:r/>
    </w:p>
    <w:p>
      <w:pPr>
        <w:ind w:left="0" w:right="0" w:firstLine="480"/>
        <w:keepLines w:val="0"/>
        <w:keepNext w:val="0"/>
        <w:pageBreakBefore w:val="0"/>
        <w:spacing w:line="360" w:lineRule="exact"/>
        <w:widowControl w:val="off"/>
        <w:rPr>
          <w:rFonts w:hint="eastAsia" w:ascii="宋体" w:hAnsi="宋体" w:eastAsia="宋体" w:cs="宋体"/>
          <w:sz w:val="24"/>
        </w:rPr>
      </w:pPr>
      <w:r>
        <w:rPr>
          <w:rFonts w:hint="eastAsia" w:ascii="宋体" w:hAnsi="宋体" w:eastAsia="宋体" w:cs="宋体"/>
          <w:sz w:val="24"/>
        </w:rPr>
        <w:t xml:space="preserve">                           日期：</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年  月  日</w:t>
      </w:r>
      <w:r/>
    </w:p>
    <w:p>
      <w:pPr>
        <w:rPr>
          <w:rFonts w:hint="eastAsia" w:ascii="宋体" w:hAnsi="宋体" w:eastAsia="宋体" w:cs="宋体"/>
          <w:b/>
          <w:bCs/>
          <w:sz w:val="28"/>
        </w:rPr>
      </w:pPr>
      <w:r>
        <w:rPr>
          <w:rFonts w:hint="eastAsia" w:ascii="宋体" w:hAnsi="宋体" w:eastAsia="宋体" w:cs="宋体"/>
          <w:b/>
          <w:bCs/>
          <w:sz w:val="28"/>
        </w:rPr>
        <w:br w:type="page" w:clear="all"/>
      </w:r>
      <w:r/>
    </w:p>
    <w:p>
      <w:pPr>
        <w:jc w:val="center"/>
        <w:keepLines w:val="0"/>
        <w:keepNext w:val="0"/>
        <w:pageBreakBefore w:val="0"/>
        <w:spacing w:beforeAutospacing="0" w:afterAutospacing="0" w:line="360" w:lineRule="auto"/>
        <w:widowControl/>
        <w:rPr>
          <w:rFonts w:hint="eastAsia" w:ascii="宋体" w:hAnsi="宋体" w:eastAsia="宋体" w:cs="宋体"/>
          <w:b/>
          <w:sz w:val="36"/>
          <w:szCs w:val="36"/>
        </w:rPr>
      </w:pPr>
      <w:r>
        <w:rPr>
          <w:rFonts w:hint="eastAsia" w:ascii="宋体" w:hAnsi="宋体" w:cs="宋体"/>
          <w:b/>
          <w:sz w:val="36"/>
          <w:szCs w:val="36"/>
          <w:lang w:val="en-US" w:eastAsia="zh-CN"/>
        </w:rPr>
        <w:t xml:space="preserve">12</w:t>
      </w:r>
      <w:r>
        <w:rPr>
          <w:rFonts w:hint="eastAsia" w:ascii="宋体" w:hAnsi="宋体" w:eastAsia="宋体" w:cs="宋体"/>
          <w:b/>
          <w:sz w:val="36"/>
          <w:szCs w:val="36"/>
        </w:rPr>
        <w:t xml:space="preserve">、中小企业声明函</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w:t>
      </w:r>
      <w:r>
        <w:rPr>
          <w:rFonts w:hint="eastAsia" w:ascii="宋体" w:hAnsi="宋体" w:cs="宋体"/>
          <w:color w:val="auto"/>
          <w:sz w:val="24"/>
          <w:u w:val="single"/>
          <w:lang w:eastAsia="zh-CN"/>
        </w:rPr>
        <w:t xml:space="preserve">JSZC-320300-RHGC-C2026-0005</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rPr>
          <w:rFonts w:hint="eastAsia" w:ascii="宋体" w:hAnsi="宋体" w:cs="宋体"/>
          <w:color w:val="auto"/>
          <w:sz w:val="24"/>
          <w:u w:val="single"/>
          <w:lang w:eastAsia="zh-CN"/>
        </w:rPr>
        <w:t xml:space="preserve">苏堤北路、凤鸣路、及青年路（故黄河-复兴路）工后道路恢复工程</w:t>
      </w:r>
      <w:r/>
    </w:p>
    <w:p>
      <w:pPr>
        <w:numPr>
          <w:ilvl w:val="0"/>
          <w:numId w:val="0"/>
        </w:numPr>
        <w:ind w:firstLine="480"/>
        <w:jc w:val="left"/>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r>
      <w:r/>
    </w:p>
    <w:p>
      <w:pPr>
        <w:numPr>
          <w:ilvl w:val="0"/>
          <w:numId w:val="0"/>
        </w:numPr>
        <w:ind w:firstLine="480"/>
        <w:jc w:val="left"/>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本公司郑重声明，根据《政府采购促进中小企业发展管理办法》（财库﹝2020﹞46 号）的规定，本公司参加</w:t>
      </w:r>
      <w:r>
        <w:rPr>
          <w:rFonts w:hint="eastAsia" w:ascii="宋体" w:hAnsi="宋体" w:eastAsia="宋体" w:cs="宋体"/>
          <w:sz w:val="24"/>
          <w:u w:val="single"/>
        </w:rPr>
        <w:t xml:space="preserve">（</w:t>
      </w:r>
      <w:r>
        <w:rPr>
          <w:rFonts w:hint="eastAsia" w:ascii="宋体" w:hAnsi="宋体" w:cs="宋体"/>
          <w:sz w:val="24"/>
          <w:szCs w:val="24"/>
          <w:u w:val="single"/>
          <w:lang w:val="en-US" w:eastAsia="zh-CN"/>
        </w:rPr>
        <w:t xml:space="preserve">徐州市市政管理中心</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u w:val="single"/>
        </w:rPr>
        <w:t xml:space="preserve">）</w:t>
      </w:r>
      <w:r>
        <w:rPr>
          <w:rFonts w:hint="eastAsia" w:ascii="宋体" w:hAnsi="宋体" w:eastAsia="宋体" w:cs="宋体"/>
          <w:sz w:val="24"/>
        </w:rPr>
        <w:t xml:space="preserve">的</w:t>
      </w:r>
      <w:r>
        <w:rPr>
          <w:rFonts w:hint="eastAsia" w:ascii="宋体" w:hAnsi="宋体" w:eastAsia="宋体" w:cs="宋体"/>
          <w:sz w:val="24"/>
          <w:u w:val="single"/>
        </w:rPr>
        <w:t xml:space="preserve">（</w:t>
      </w:r>
      <w:r>
        <w:rPr>
          <w:rFonts w:hint="eastAsia" w:ascii="宋体" w:hAnsi="宋体" w:cs="宋体"/>
          <w:color w:val="auto"/>
          <w:sz w:val="24"/>
          <w:u w:val="single"/>
          <w:lang w:eastAsia="zh-CN"/>
        </w:rPr>
        <w:t xml:space="preserve">苏堤北路、凤鸣路、及青年路（故黄河-复兴路）工后道路恢复工程</w:t>
      </w:r>
      <w:r>
        <w:rPr>
          <w:rFonts w:hint="eastAsia" w:ascii="宋体" w:hAnsi="宋体" w:cs="宋体"/>
          <w:sz w:val="24"/>
          <w:u w:val="single"/>
          <w:lang w:eastAsia="zh-CN"/>
        </w:rPr>
        <w:t xml:space="preserve"> </w:t>
      </w:r>
      <w:r>
        <w:rPr>
          <w:rFonts w:hint="eastAsia" w:ascii="宋体" w:hAnsi="宋体" w:eastAsia="宋体" w:cs="宋体"/>
          <w:sz w:val="24"/>
          <w:u w:val="single"/>
        </w:rPr>
        <w:t xml:space="preserve">）</w:t>
      </w:r>
      <w:r>
        <w:rPr>
          <w:rFonts w:hint="eastAsia" w:ascii="宋体" w:hAnsi="宋体" w:eastAsia="宋体" w:cs="宋体"/>
          <w:sz w:val="24"/>
        </w:rPr>
        <w:t xml:space="preserve">采购活动，</w:t>
      </w:r>
      <w:r>
        <w:rPr>
          <w:rFonts w:hint="eastAsia" w:ascii="宋体" w:hAnsi="宋体" w:cs="宋体"/>
          <w:sz w:val="24"/>
          <w:lang w:eastAsia="zh-CN"/>
        </w:rPr>
        <w:t xml:space="preserve">工程的施工单位</w:t>
      </w:r>
      <w:r>
        <w:rPr>
          <w:rFonts w:hint="eastAsia" w:ascii="宋体" w:hAnsi="宋体" w:eastAsia="宋体" w:cs="宋体"/>
          <w:sz w:val="24"/>
        </w:rPr>
        <w:t xml:space="preserve">全部</w:t>
      </w:r>
      <w:r>
        <w:rPr>
          <w:rFonts w:hint="eastAsia" w:ascii="宋体" w:hAnsi="宋体" w:cs="宋体"/>
          <w:sz w:val="24"/>
          <w:lang w:eastAsia="zh-CN"/>
        </w:rPr>
        <w:t xml:space="preserve">为</w:t>
      </w:r>
      <w:r>
        <w:rPr>
          <w:rFonts w:hint="eastAsia" w:ascii="宋体" w:hAnsi="宋体" w:eastAsia="宋体" w:cs="宋体"/>
          <w:sz w:val="24"/>
        </w:rPr>
        <w:t xml:space="preserve">符合政策要求的中小企业。相关企业的具体情况如下：</w:t>
      </w:r>
      <w:r/>
    </w:p>
    <w:p>
      <w:pPr>
        <w:numPr>
          <w:ilvl w:val="0"/>
          <w:numId w:val="0"/>
        </w:numPr>
        <w:ind w:firstLine="480"/>
        <w:jc w:val="left"/>
        <w:spacing w:line="360" w:lineRule="auto"/>
        <w:widowControl/>
        <w:rPr>
          <w:rFonts w:hint="eastAsia" w:ascii="宋体" w:hAnsi="宋体" w:eastAsia="宋体" w:cs="宋体"/>
          <w:sz w:val="24"/>
          <w:u w:val="single"/>
          <w:lang w:eastAsia="zh-CN"/>
        </w:rPr>
      </w:pPr>
      <w:r>
        <w:rPr>
          <w:rFonts w:hint="eastAsia" w:ascii="宋体" w:hAnsi="宋体" w:eastAsia="宋体" w:cs="宋体"/>
          <w:sz w:val="24"/>
          <w:u w:val="single"/>
        </w:rPr>
        <w:t xml:space="preserve">（</w:t>
      </w:r>
      <w:r>
        <w:rPr>
          <w:rFonts w:hint="eastAsia" w:ascii="宋体" w:hAnsi="宋体" w:cs="宋体"/>
          <w:color w:val="auto"/>
          <w:sz w:val="24"/>
          <w:u w:val="single"/>
          <w:lang w:eastAsia="zh-CN"/>
        </w:rPr>
        <w:t xml:space="preserve">苏堤北路、凤鸣路、及青年路（故黄河-复兴路）工后道路恢复工程</w:t>
      </w:r>
      <w:r>
        <w:rPr>
          <w:rFonts w:hint="eastAsia" w:ascii="宋体" w:hAnsi="宋体" w:cs="宋体"/>
          <w:sz w:val="24"/>
          <w:u w:val="single"/>
          <w:lang w:eastAsia="zh-CN"/>
        </w:rPr>
        <w:t xml:space="preserve"> </w:t>
      </w:r>
      <w:r>
        <w:rPr>
          <w:rFonts w:hint="eastAsia" w:ascii="宋体" w:hAnsi="宋体" w:eastAsia="宋体" w:cs="宋体"/>
          <w:sz w:val="24"/>
          <w:u w:val="single"/>
        </w:rPr>
        <w:t xml:space="preserve">）</w:t>
      </w:r>
      <w:r>
        <w:rPr>
          <w:rFonts w:hint="eastAsia" w:ascii="宋体" w:hAnsi="宋体" w:eastAsia="宋体" w:cs="宋体"/>
          <w:sz w:val="24"/>
        </w:rPr>
        <w:t xml:space="preserve">，属于</w:t>
      </w:r>
      <w:r>
        <w:rPr>
          <w:rFonts w:hint="eastAsia" w:ascii="宋体" w:hAnsi="宋体" w:eastAsia="宋体" w:cs="宋体"/>
          <w:sz w:val="24"/>
          <w:u w:val="single"/>
        </w:rPr>
        <w:t xml:space="preserve">（</w:t>
      </w:r>
      <w:r>
        <w:rPr>
          <w:rFonts w:hint="eastAsia" w:ascii="宋体" w:hAnsi="宋体" w:cs="宋体"/>
          <w:b w:val="0"/>
          <w:bCs/>
          <w:color w:val="000000"/>
          <w:sz w:val="24"/>
          <w:u w:val="single"/>
          <w:lang w:eastAsia="zh-CN"/>
        </w:rPr>
        <w:t xml:space="preserve">建筑业</w:t>
      </w:r>
      <w:r>
        <w:rPr>
          <w:rFonts w:hint="eastAsia" w:ascii="宋体" w:hAnsi="宋体" w:eastAsia="宋体" w:cs="宋体"/>
          <w:sz w:val="24"/>
          <w:u w:val="single"/>
        </w:rPr>
        <w:t xml:space="preserve">）</w:t>
      </w:r>
      <w:r>
        <w:rPr>
          <w:rFonts w:hint="eastAsia" w:ascii="宋体" w:hAnsi="宋体" w:eastAsia="宋体" w:cs="宋体"/>
          <w:sz w:val="24"/>
        </w:rPr>
        <w:t xml:space="preserve">；承建（承接）企业为</w:t>
      </w:r>
      <w:r>
        <w:rPr>
          <w:rFonts w:hint="eastAsia" w:ascii="宋体" w:hAnsi="宋体" w:eastAsia="宋体" w:cs="宋体"/>
          <w:sz w:val="24"/>
          <w:u w:val="single"/>
          <w:lang w:val="en-US" w:eastAsia="zh-CN"/>
        </w:rPr>
        <w:t xml:space="preserve">      </w:t>
      </w:r>
      <w:r>
        <w:rPr>
          <w:rFonts w:hint="eastAsia" w:ascii="宋体" w:hAnsi="宋体" w:eastAsia="宋体" w:cs="宋体"/>
          <w:sz w:val="24"/>
          <w:u w:val="single"/>
        </w:rPr>
        <w:t xml:space="preserve">（企业名称）</w:t>
      </w:r>
      <w:r>
        <w:rPr>
          <w:rFonts w:hint="eastAsia" w:ascii="宋体" w:hAnsi="宋体" w:eastAsia="宋体" w:cs="宋体"/>
          <w:sz w:val="24"/>
        </w:rPr>
        <w:t xml:space="preserve">，从业人员</w:t>
      </w:r>
      <w:r>
        <w:rPr>
          <w:rFonts w:hint="eastAsia" w:ascii="宋体" w:hAnsi="宋体" w:eastAsia="宋体" w:cs="宋体"/>
          <w:sz w:val="24"/>
          <w:u w:val="single"/>
        </w:rPr>
        <w:t xml:space="preserve">   </w:t>
      </w:r>
      <w:r>
        <w:rPr>
          <w:rFonts w:hint="eastAsia" w:ascii="宋体" w:hAnsi="宋体" w:eastAsia="宋体" w:cs="宋体"/>
          <w:sz w:val="24"/>
        </w:rPr>
        <w:t xml:space="preserve">人，营业收入为</w:t>
      </w:r>
      <w:r>
        <w:rPr>
          <w:rFonts w:hint="eastAsia" w:ascii="宋体" w:hAnsi="宋体" w:eastAsia="宋体" w:cs="宋体"/>
          <w:sz w:val="24"/>
          <w:u w:val="single"/>
        </w:rPr>
        <w:t xml:space="preserve">    </w:t>
      </w:r>
      <w:r>
        <w:rPr>
          <w:rFonts w:hint="eastAsia" w:ascii="宋体" w:hAnsi="宋体" w:eastAsia="宋体" w:cs="宋体"/>
          <w:sz w:val="24"/>
        </w:rPr>
        <w:t xml:space="preserve">万元，资产总额为</w:t>
      </w:r>
      <w:r>
        <w:rPr>
          <w:rFonts w:hint="eastAsia" w:ascii="宋体" w:hAnsi="宋体" w:eastAsia="宋体" w:cs="宋体"/>
          <w:sz w:val="24"/>
          <w:u w:val="single"/>
        </w:rPr>
        <w:t xml:space="preserve">    </w:t>
      </w:r>
      <w:r>
        <w:rPr>
          <w:rFonts w:hint="eastAsia" w:ascii="宋体" w:hAnsi="宋体" w:eastAsia="宋体" w:cs="宋体"/>
          <w:sz w:val="24"/>
        </w:rPr>
        <w:t xml:space="preserve">万元，属于</w:t>
      </w:r>
      <w:r>
        <w:rPr>
          <w:rFonts w:hint="eastAsia" w:ascii="宋体" w:hAnsi="宋体" w:eastAsia="宋体" w:cs="宋体"/>
          <w:sz w:val="24"/>
          <w:u w:val="single"/>
          <w:lang w:val="en-US" w:eastAsia="zh-CN"/>
        </w:rPr>
        <w:t xml:space="preserve">     </w:t>
      </w:r>
      <w:r>
        <w:rPr>
          <w:rFonts w:hint="eastAsia" w:ascii="宋体" w:hAnsi="宋体" w:cs="宋体"/>
          <w:sz w:val="24"/>
          <w:u w:val="single"/>
          <w:lang w:val="en-US" w:eastAsia="zh-CN"/>
        </w:rPr>
        <w:t xml:space="preserve">  </w:t>
      </w:r>
      <w:r>
        <w:rPr>
          <w:rFonts w:hint="eastAsia" w:ascii="宋体" w:hAnsi="宋体" w:eastAsia="宋体" w:cs="宋体"/>
          <w:sz w:val="24"/>
          <w:u w:val="single"/>
          <w:lang w:val="en-US" w:eastAsia="zh-CN"/>
        </w:rPr>
        <w:t xml:space="preserve"> </w:t>
      </w:r>
      <w:r>
        <w:rPr>
          <w:rFonts w:hint="eastAsia" w:ascii="宋体" w:hAnsi="宋体" w:eastAsia="宋体" w:cs="宋体"/>
          <w:sz w:val="24"/>
          <w:u w:val="single"/>
        </w:rPr>
        <w:t xml:space="preserve">（中型企业、小型企业、微型企业</w:t>
      </w:r>
      <w:r>
        <w:rPr>
          <w:rFonts w:hint="eastAsia" w:ascii="宋体" w:hAnsi="宋体" w:cs="宋体"/>
          <w:sz w:val="24"/>
          <w:u w:val="single"/>
          <w:lang w:eastAsia="zh-CN"/>
        </w:rPr>
        <w:t xml:space="preserve">，</w:t>
      </w:r>
      <w:r>
        <w:rPr>
          <w:rFonts w:hint="eastAsia" w:ascii="宋体" w:hAnsi="宋体" w:cs="宋体"/>
          <w:b/>
          <w:bCs/>
          <w:sz w:val="24"/>
          <w:u w:val="single"/>
          <w:lang w:val="en-US" w:eastAsia="zh-CN"/>
        </w:rPr>
        <w:t xml:space="preserve">请选择!</w:t>
      </w:r>
      <w:r>
        <w:rPr>
          <w:rFonts w:hint="eastAsia" w:ascii="宋体" w:hAnsi="宋体" w:eastAsia="宋体" w:cs="宋体"/>
          <w:sz w:val="24"/>
          <w:u w:val="single"/>
        </w:rPr>
        <w:t xml:space="preserve">）</w:t>
      </w:r>
      <w:r>
        <w:rPr>
          <w:rFonts w:hint="eastAsia" w:ascii="宋体" w:hAnsi="宋体" w:eastAsia="宋体" w:cs="宋体"/>
          <w:sz w:val="24"/>
          <w:u w:val="none"/>
          <w:lang w:eastAsia="zh-CN"/>
        </w:rPr>
        <w:t xml:space="preserve">。</w:t>
      </w:r>
      <w:r/>
    </w:p>
    <w:p>
      <w:pPr>
        <w:numPr>
          <w:ilvl w:val="0"/>
          <w:numId w:val="0"/>
        </w:numPr>
        <w:ind w:firstLine="480"/>
        <w:jc w:val="left"/>
        <w:spacing w:line="360" w:lineRule="auto"/>
        <w:widowControl/>
        <w:rPr>
          <w:rFonts w:hint="eastAsia" w:ascii="宋体" w:hAnsi="宋体" w:eastAsia="宋体" w:cs="宋体"/>
          <w:sz w:val="24"/>
        </w:rPr>
      </w:pPr>
      <w:r>
        <w:rPr>
          <w:rFonts w:hint="eastAsia" w:ascii="宋体" w:hAnsi="宋体" w:eastAsia="宋体" w:cs="宋体"/>
          <w:sz w:val="24"/>
        </w:rPr>
      </w:r>
      <w:r/>
    </w:p>
    <w:p>
      <w:pPr>
        <w:numPr>
          <w:ilvl w:val="0"/>
          <w:numId w:val="0"/>
        </w:numPr>
        <w:ind w:firstLine="480"/>
        <w:jc w:val="left"/>
        <w:spacing w:line="360" w:lineRule="auto"/>
        <w:widowControl/>
        <w:rPr>
          <w:rFonts w:hint="eastAsia" w:ascii="宋体" w:hAnsi="宋体" w:eastAsia="宋体" w:cs="宋体"/>
          <w:sz w:val="24"/>
        </w:rPr>
      </w:pPr>
      <w:r>
        <w:rPr>
          <w:rFonts w:hint="eastAsia" w:ascii="宋体" w:hAnsi="宋体" w:eastAsia="宋体" w:cs="宋体"/>
          <w:sz w:val="24"/>
        </w:rPr>
        <w:t xml:space="preserve">以上企业，不属于大企业的分支机构，不存在控股股东为大企业的情形，也不存在与大企业的负责人为同一人的情形。</w:t>
      </w:r>
      <w:r/>
    </w:p>
    <w:p>
      <w:pPr>
        <w:ind w:firstLine="480"/>
        <w:jc w:val="left"/>
        <w:spacing w:line="360" w:lineRule="auto"/>
        <w:widowControl/>
        <w:rPr>
          <w:rFonts w:hint="eastAsia" w:ascii="宋体" w:hAnsi="宋体" w:eastAsia="宋体" w:cs="宋体"/>
          <w:sz w:val="30"/>
          <w:szCs w:val="30"/>
        </w:rPr>
      </w:pPr>
      <w:r>
        <w:rPr>
          <w:rFonts w:hint="eastAsia" w:ascii="宋体" w:hAnsi="宋体" w:eastAsia="宋体" w:cs="宋体"/>
          <w:sz w:val="24"/>
        </w:rPr>
        <w:t xml:space="preserve">本企业对上述声明内容的真实性负责。如有虚假，将依法承担相应责任。</w:t>
      </w:r>
      <w:r/>
    </w:p>
    <w:p>
      <w:pPr>
        <w:ind w:firstLine="600"/>
        <w:jc w:val="left"/>
        <w:spacing w:line="360" w:lineRule="auto"/>
        <w:widowControl/>
        <w:rPr>
          <w:rFonts w:hint="eastAsia" w:ascii="宋体" w:hAnsi="宋体" w:eastAsia="宋体" w:cs="宋体"/>
          <w:sz w:val="30"/>
          <w:szCs w:val="30"/>
        </w:rPr>
      </w:pPr>
      <w:r>
        <w:rPr>
          <w:rFonts w:hint="eastAsia" w:ascii="宋体" w:hAnsi="宋体" w:eastAsia="宋体" w:cs="宋体"/>
          <w:sz w:val="30"/>
          <w:szCs w:val="30"/>
        </w:rPr>
        <w:t xml:space="preserve">                         </w:t>
      </w:r>
      <w:r/>
    </w:p>
    <w:p>
      <w:pPr>
        <w:ind w:firstLine="4320"/>
        <w:jc w:val="left"/>
        <w:spacing w:line="360" w:lineRule="auto"/>
        <w:widowControl/>
        <w:rPr>
          <w:rFonts w:hint="eastAsia" w:ascii="宋体" w:hAnsi="宋体" w:eastAsia="宋体" w:cs="宋体"/>
          <w:sz w:val="24"/>
        </w:rPr>
      </w:pPr>
      <w:r>
        <w:rPr>
          <w:rFonts w:hint="eastAsia" w:ascii="宋体" w:hAnsi="宋体" w:eastAsia="宋体" w:cs="宋体"/>
          <w:sz w:val="24"/>
        </w:rPr>
        <w:t xml:space="preserve">企业名称（</w:t>
      </w:r>
      <w:r>
        <w:rPr>
          <w:rFonts w:hint="eastAsia" w:ascii="宋体" w:hAnsi="宋体" w:eastAsia="宋体" w:cs="宋体"/>
          <w:sz w:val="24"/>
          <w:lang w:eastAsia="zh-CN"/>
        </w:rPr>
        <w:t xml:space="preserve">电子签章</w:t>
      </w:r>
      <w:r>
        <w:rPr>
          <w:rFonts w:hint="eastAsia" w:ascii="宋体" w:hAnsi="宋体" w:eastAsia="宋体" w:cs="宋体"/>
          <w:sz w:val="24"/>
        </w:rPr>
        <w:t xml:space="preserve">）：</w:t>
      </w:r>
      <w:r/>
    </w:p>
    <w:p>
      <w:pPr>
        <w:ind w:firstLine="480"/>
        <w:jc w:val="left"/>
        <w:spacing w:line="360" w:lineRule="auto"/>
        <w:widowControl/>
        <w:rPr>
          <w:rFonts w:hint="eastAsia" w:ascii="宋体" w:hAnsi="宋体" w:eastAsia="宋体" w:cs="宋体"/>
          <w:sz w:val="30"/>
          <w:szCs w:val="30"/>
        </w:rPr>
      </w:pPr>
      <w:r>
        <w:rPr>
          <w:rFonts w:hint="eastAsia" w:ascii="宋体" w:hAnsi="宋体" w:eastAsia="宋体" w:cs="宋体"/>
          <w:sz w:val="24"/>
        </w:rPr>
        <w:t xml:space="preserve">                                日期：</w:t>
      </w:r>
      <w:r/>
    </w:p>
    <w:p>
      <w:pPr>
        <w:jc w:val="left"/>
        <w:spacing w:line="480" w:lineRule="exact"/>
        <w:rPr>
          <w:rFonts w:hint="eastAsia" w:ascii="宋体" w:hAnsi="宋体" w:eastAsia="宋体" w:cs="宋体"/>
          <w:b/>
          <w:color w:val="000000"/>
          <w:sz w:val="24"/>
        </w:rPr>
      </w:pPr>
      <w:r>
        <w:rPr>
          <w:rFonts w:hint="eastAsia" w:ascii="宋体" w:hAnsi="宋体" w:eastAsia="宋体" w:cs="宋体"/>
          <w:szCs w:val="21"/>
        </w:rPr>
        <w:br/>
      </w:r>
      <w:r/>
    </w:p>
    <w:p>
      <w:pPr>
        <w:pStyle w:val="1041"/>
        <w:rPr>
          <w:rFonts w:hint="eastAsia" w:ascii="宋体" w:hAnsi="宋体" w:eastAsia="宋体" w:cs="宋体"/>
        </w:rPr>
      </w:pPr>
      <w:r>
        <w:rPr>
          <w:rFonts w:hint="eastAsia" w:ascii="宋体" w:hAnsi="宋体" w:eastAsia="宋体" w:cs="宋体"/>
        </w:rPr>
      </w:r>
      <w:r/>
    </w:p>
    <w:p>
      <w:pPr>
        <w:ind w:firstLine="482"/>
        <w:spacing w:line="480" w:lineRule="exact"/>
        <w:rPr>
          <w:rFonts w:hint="eastAsia" w:ascii="宋体" w:hAnsi="宋体" w:eastAsia="宋体" w:cs="宋体"/>
          <w:color w:val="000000"/>
          <w:sz w:val="30"/>
          <w:szCs w:val="30"/>
        </w:rPr>
      </w:pPr>
      <w:r>
        <w:rPr>
          <w:rFonts w:hint="eastAsia" w:ascii="宋体" w:hAnsi="宋体" w:eastAsia="宋体" w:cs="宋体"/>
          <w:b/>
          <w:color w:val="000000"/>
          <w:sz w:val="24"/>
        </w:rPr>
        <w:t xml:space="preserve">备注：1.从业人员、营业收入、资产总额填报上一年度数据，无上一年度数据的新成立企业可不填报。</w:t>
      </w:r>
      <w:r/>
    </w:p>
    <w:p>
      <w:pPr>
        <w:numPr>
          <w:ilvl w:val="0"/>
          <w:numId w:val="10"/>
        </w:numPr>
        <w:ind w:firstLine="482"/>
        <w:spacing w:line="480" w:lineRule="exact"/>
        <w:rPr>
          <w:rFonts w:hint="eastAsia" w:ascii="宋体" w:hAnsi="宋体" w:eastAsia="宋体" w:cs="宋体"/>
          <w:b/>
          <w:color w:val="000000"/>
          <w:sz w:val="24"/>
        </w:rPr>
      </w:pPr>
      <w:r>
        <w:rPr>
          <w:rFonts w:hint="eastAsia" w:ascii="宋体" w:hAnsi="宋体" w:eastAsia="宋体" w:cs="宋体"/>
          <w:b/>
          <w:color w:val="000000"/>
          <w:sz w:val="24"/>
        </w:rPr>
        <w:t xml:space="preserve">本项目采购标的属于</w:t>
      </w:r>
      <w:r>
        <w:rPr>
          <w:rFonts w:hint="eastAsia" w:ascii="宋体" w:hAnsi="宋体" w:cs="宋体"/>
          <w:b/>
          <w:color w:val="000000"/>
          <w:sz w:val="24"/>
          <w:u w:val="single"/>
          <w:lang w:eastAsia="zh-CN"/>
        </w:rPr>
        <w:t xml:space="preserve">建筑业</w:t>
      </w:r>
      <w:r>
        <w:rPr>
          <w:rFonts w:hint="eastAsia" w:ascii="宋体" w:hAnsi="宋体" w:eastAsia="宋体" w:cs="宋体"/>
          <w:b/>
          <w:color w:val="000000"/>
          <w:sz w:val="24"/>
          <w:u w:val="none"/>
          <w:lang w:eastAsia="zh-CN"/>
        </w:rPr>
        <w:t xml:space="preserve">。</w:t>
      </w:r>
      <w:r/>
    </w:p>
    <w:p>
      <w:pPr>
        <w:ind w:firstLine="482"/>
        <w:jc w:val="left"/>
        <w:spacing w:line="480" w:lineRule="exact"/>
        <w:tabs>
          <w:tab w:val="right" w:pos="8544" w:leader="none"/>
        </w:tabs>
        <w:rPr>
          <w:rFonts w:hint="eastAsia" w:ascii="宋体" w:hAnsi="宋体" w:eastAsia="宋体" w:cs="宋体"/>
          <w:b/>
          <w:color w:val="000000"/>
          <w:sz w:val="24"/>
          <w:lang w:val="en-US" w:eastAsia="zh-CN"/>
        </w:rPr>
      </w:pPr>
      <w:r>
        <w:rPr>
          <w:rFonts w:hint="eastAsia" w:ascii="宋体" w:hAnsi="宋体" w:cs="宋体"/>
          <w:b/>
          <w:color w:val="000000"/>
          <w:sz w:val="24"/>
        </w:rPr>
        <w:t xml:space="preserve">3.中小企业规模类型自测小程序：</w:t>
      </w:r>
      <w:r>
        <w:fldChar w:fldCharType="begin"/>
      </w:r>
      <w:r>
        <w:instrText xml:space="preserve"> HYPERLINK "https://baosong.miit.gov.cn/ScaleTest" </w:instrText>
      </w:r>
      <w:r>
        <w:fldChar w:fldCharType="separate"/>
      </w:r>
      <w:r>
        <w:rPr>
          <w:rStyle w:val="1046"/>
          <w:rFonts w:hint="eastAsia" w:ascii="宋体" w:hAnsi="宋体" w:cs="宋体"/>
          <w:b/>
          <w:color w:val="000000"/>
          <w:sz w:val="24"/>
        </w:rPr>
        <w:t xml:space="preserve">https://baosong.miit.gov.cn/ScaleTest</w:t>
      </w:r>
      <w:r>
        <w:rPr>
          <w:rStyle w:val="1046"/>
          <w:rFonts w:hint="eastAsia" w:ascii="宋体" w:hAnsi="宋体" w:cs="宋体"/>
          <w:b/>
          <w:color w:val="000000"/>
          <w:sz w:val="24"/>
        </w:rPr>
        <w:fldChar w:fldCharType="end"/>
      </w:r>
      <w:r>
        <w:rPr>
          <w:rStyle w:val="1046"/>
          <w:rFonts w:hint="eastAsia" w:ascii="宋体" w:hAnsi="宋体" w:cs="宋体"/>
          <w:b/>
          <w:color w:val="000000"/>
          <w:sz w:val="24"/>
          <w:lang w:eastAsia="zh-CN"/>
        </w:rPr>
        <w:t xml:space="preserve">。</w:t>
      </w:r>
      <w:r/>
    </w:p>
    <w:p>
      <w:pPr>
        <w:pStyle w:val="1006"/>
        <w:rPr>
          <w:rFonts w:hint="eastAsia"/>
        </w:rPr>
      </w:pPr>
      <w:r>
        <w:rPr>
          <w:rFonts w:hint="eastAsia"/>
        </w:rPr>
      </w:r>
      <w:r/>
    </w:p>
    <w:p>
      <w:pPr>
        <w:rPr>
          <w:rFonts w:hint="eastAsia" w:ascii="宋体" w:hAnsi="宋体" w:cs="宋体"/>
          <w:b/>
          <w:bCs/>
          <w:sz w:val="36"/>
          <w:szCs w:val="36"/>
          <w:lang w:val="en-US" w:eastAsia="zh-CN"/>
        </w:rPr>
      </w:pPr>
      <w:r>
        <w:rPr>
          <w:rFonts w:hint="eastAsia" w:ascii="宋体" w:hAnsi="宋体" w:cs="宋体"/>
          <w:b/>
          <w:bCs/>
          <w:sz w:val="36"/>
          <w:szCs w:val="36"/>
          <w:lang w:val="en-US" w:eastAsia="zh-CN"/>
        </w:rPr>
        <w:br w:type="page" w:clear="all"/>
      </w:r>
      <w:r/>
    </w:p>
    <w:p>
      <w:pPr>
        <w:jc w:val="center"/>
        <w:keepLines w:val="0"/>
        <w:keepNext w:val="0"/>
        <w:pageBreakBefore w:val="0"/>
        <w:spacing w:line="360" w:lineRule="auto"/>
        <w:widowControl w:val="off"/>
        <w:rPr>
          <w:rFonts w:hint="eastAsia" w:ascii="宋体" w:hAnsi="宋体" w:eastAsia="宋体" w:cs="宋体"/>
          <w:b/>
          <w:sz w:val="36"/>
          <w:szCs w:val="36"/>
        </w:rPr>
      </w:pPr>
      <w:r>
        <w:rPr>
          <w:rFonts w:hint="eastAsia" w:ascii="宋体" w:hAnsi="宋体" w:cs="宋体"/>
          <w:b/>
          <w:bCs/>
          <w:sz w:val="36"/>
          <w:szCs w:val="36"/>
          <w:lang w:val="en-US" w:eastAsia="zh-CN"/>
        </w:rPr>
        <w:t xml:space="preserve">13</w:t>
      </w:r>
      <w:r>
        <w:rPr>
          <w:rFonts w:hint="eastAsia" w:ascii="宋体" w:hAnsi="宋体" w:eastAsia="宋体" w:cs="宋体"/>
          <w:sz w:val="36"/>
          <w:szCs w:val="36"/>
        </w:rPr>
        <w:t xml:space="preserve">、</w:t>
      </w:r>
      <w:r>
        <w:rPr>
          <w:rFonts w:hint="eastAsia" w:ascii="宋体" w:hAnsi="宋体" w:eastAsia="宋体" w:cs="宋体"/>
          <w:b/>
          <w:sz w:val="36"/>
          <w:szCs w:val="36"/>
        </w:rPr>
        <w:t xml:space="preserve">供应商参加政府采购活动前3年内在经营活动中没有重大违法记录的书面声明</w:t>
      </w:r>
      <w:r/>
    </w:p>
    <w:p>
      <w:pPr>
        <w:rPr>
          <w:rFonts w:hint="eastAsia" w:ascii="宋体" w:hAnsi="宋体" w:eastAsia="宋体" w:cs="宋体"/>
          <w:sz w:val="24"/>
        </w:rPr>
      </w:pPr>
      <w:r>
        <w:rPr>
          <w:rFonts w:hint="eastAsia" w:ascii="宋体" w:hAnsi="宋体" w:eastAsia="宋体" w:cs="宋体"/>
          <w:sz w:val="24"/>
        </w:rPr>
      </w:r>
      <w:r/>
    </w:p>
    <w:p>
      <w:pPr>
        <w:ind w:firstLine="480"/>
        <w:keepLines w:val="0"/>
        <w:keepNext w:val="0"/>
        <w:pageBreakBefore w:val="0"/>
        <w:spacing w:beforeAutospacing="0" w:afterAutospacing="0" w:line="360" w:lineRule="auto"/>
        <w:rPr>
          <w:rFonts w:hint="eastAsia" w:ascii="宋体" w:hAnsi="宋体" w:eastAsia="宋体" w:cs="宋体"/>
          <w:sz w:val="24"/>
        </w:rPr>
      </w:pPr>
      <w:r>
        <w:rPr>
          <w:rFonts w:hint="eastAsia" w:ascii="宋体" w:hAnsi="宋体" w:eastAsia="宋体" w:cs="宋体"/>
          <w:sz w:val="24"/>
        </w:rPr>
        <w:t xml:space="preserve">我单位在参加</w:t>
      </w:r>
      <w:r>
        <w:rPr>
          <w:rFonts w:hint="eastAsia" w:ascii="宋体" w:hAnsi="宋体" w:cs="宋体"/>
          <w:color w:val="auto"/>
          <w:sz w:val="24"/>
          <w:u w:val="single"/>
          <w:lang w:eastAsia="zh-CN"/>
        </w:rPr>
        <w:t xml:space="preserve">苏堤北路、凤鸣路、及青年路（故黄河-复兴路）工后道路恢复工程</w:t>
      </w:r>
      <w:r>
        <w:rPr>
          <w:rFonts w:hint="eastAsia" w:ascii="宋体" w:hAnsi="宋体" w:cs="宋体"/>
          <w:sz w:val="24"/>
          <w:u w:val="single"/>
          <w:lang w:eastAsia="zh-CN"/>
        </w:rPr>
        <w:t xml:space="preserve"> </w:t>
      </w:r>
      <w:r>
        <w:rPr>
          <w:rFonts w:hint="eastAsia" w:ascii="宋体" w:hAnsi="宋体" w:eastAsia="宋体" w:cs="宋体"/>
          <w:sz w:val="24"/>
        </w:rPr>
        <w:t xml:space="preserve">项目（项目编号：</w:t>
      </w:r>
      <w:r>
        <w:rPr>
          <w:rFonts w:hint="eastAsia" w:ascii="宋体" w:hAnsi="宋体" w:cs="宋体"/>
          <w:color w:val="auto"/>
          <w:sz w:val="24"/>
          <w:szCs w:val="21"/>
          <w:u w:val="single"/>
          <w:lang w:eastAsia="zh-CN"/>
        </w:rPr>
        <w:t xml:space="preserve">JSZC-320300-RHGC-C2026-0005</w:t>
      </w:r>
      <w:r>
        <w:rPr>
          <w:rFonts w:hint="eastAsia" w:ascii="宋体" w:hAnsi="宋体" w:eastAsia="宋体" w:cs="宋体"/>
          <w:sz w:val="24"/>
        </w:rPr>
        <w:t xml:space="preserve">）政府采购活动前3年内在经营活动中没有重大违法记录。重大违法记录是指因违法经营受到刑事处罚或者责令停产停业、吊销许可证或者执照、较大数额罚款等行政处罚。</w:t>
      </w:r>
      <w:r/>
    </w:p>
    <w:p>
      <w:pPr>
        <w:ind w:firstLine="480"/>
        <w:jc w:val="left"/>
        <w:keepLines w:val="0"/>
        <w:keepNext w:val="0"/>
        <w:pageBreakBefore w:val="0"/>
        <w:spacing w:beforeAutospacing="0" w:afterAutospacing="0" w:line="360" w:lineRule="auto"/>
        <w:widowControl/>
        <w:rPr>
          <w:rFonts w:hint="eastAsia" w:ascii="宋体" w:hAnsi="宋体" w:eastAsia="宋体" w:cs="宋体"/>
          <w:sz w:val="24"/>
        </w:rPr>
      </w:pPr>
      <w:r>
        <w:rPr>
          <w:rFonts w:hint="eastAsia" w:ascii="宋体" w:hAnsi="宋体" w:eastAsia="宋体" w:cs="宋体"/>
          <w:sz w:val="24"/>
        </w:rPr>
        <w:t xml:space="preserve">我单位对上述声明的真实性负责。如有虚假，将依法承担相应责任。</w:t>
      </w:r>
      <w:r/>
    </w:p>
    <w:p>
      <w:pPr>
        <w:ind w:right="29"/>
        <w:spacing w:line="360" w:lineRule="auto"/>
        <w:rPr>
          <w:rFonts w:hint="eastAsia" w:ascii="宋体" w:hAnsi="宋体" w:eastAsia="宋体" w:cs="宋体"/>
          <w:sz w:val="24"/>
        </w:rPr>
      </w:pPr>
      <w:r>
        <w:rPr>
          <w:rFonts w:hint="eastAsia" w:ascii="宋体" w:hAnsi="宋体" w:eastAsia="宋体" w:cs="宋体"/>
          <w:sz w:val="24"/>
        </w:rPr>
        <w:t xml:space="preserve">                          </w:t>
      </w:r>
      <w:r/>
    </w:p>
    <w:p>
      <w:pPr>
        <w:ind w:right="29"/>
        <w:spacing w:line="360" w:lineRule="auto"/>
        <w:rPr>
          <w:rFonts w:hint="eastAsia" w:ascii="宋体" w:hAnsi="宋体" w:eastAsia="宋体" w:cs="宋体"/>
          <w:sz w:val="24"/>
        </w:rPr>
      </w:pPr>
      <w:r>
        <w:rPr>
          <w:rFonts w:hint="eastAsia" w:ascii="宋体" w:hAnsi="宋体" w:eastAsia="宋体" w:cs="宋体"/>
          <w:sz w:val="24"/>
        </w:rPr>
      </w:r>
      <w:r/>
    </w:p>
    <w:p>
      <w:pPr>
        <w:ind w:right="29"/>
        <w:spacing w:line="360" w:lineRule="auto"/>
        <w:rPr>
          <w:rFonts w:hint="eastAsia" w:ascii="宋体" w:hAnsi="宋体" w:eastAsia="宋体" w:cs="宋体"/>
          <w:sz w:val="24"/>
        </w:rPr>
      </w:pPr>
      <w:r>
        <w:rPr>
          <w:rFonts w:hint="eastAsia" w:ascii="宋体" w:hAnsi="宋体" w:eastAsia="宋体" w:cs="宋体"/>
          <w:sz w:val="24"/>
        </w:rPr>
        <w:t xml:space="preserve">                           供应商（</w:t>
      </w:r>
      <w:r>
        <w:rPr>
          <w:rFonts w:hint="eastAsia" w:ascii="宋体" w:hAnsi="宋体" w:eastAsia="宋体" w:cs="宋体"/>
          <w:sz w:val="24"/>
          <w:lang w:eastAsia="zh-CN"/>
        </w:rPr>
        <w:t xml:space="preserve">电子签章</w:t>
      </w:r>
      <w:r>
        <w:rPr>
          <w:rFonts w:hint="eastAsia" w:ascii="宋体" w:hAnsi="宋体" w:eastAsia="宋体" w:cs="宋体"/>
          <w:sz w:val="24"/>
        </w:rPr>
        <w:t xml:space="preserve">）：</w:t>
      </w:r>
      <w:r/>
    </w:p>
    <w:p>
      <w:pPr>
        <w:ind w:right="29"/>
        <w:spacing w:line="360" w:lineRule="auto"/>
        <w:rPr>
          <w:rFonts w:hint="eastAsia" w:ascii="宋体" w:hAnsi="宋体" w:cs="宋体"/>
          <w:color w:val="auto"/>
          <w:sz w:val="24"/>
          <w:szCs w:val="24"/>
          <w:highlight w:val="none"/>
        </w:rPr>
      </w:pPr>
      <w:r>
        <w:rPr>
          <w:rFonts w:hint="eastAsia" w:ascii="宋体" w:hAnsi="宋体" w:eastAsia="宋体" w:cs="宋体"/>
          <w:sz w:val="24"/>
        </w:rPr>
        <w:t xml:space="preserve">                           日期：</w:t>
      </w:r>
      <w:r>
        <w:rPr>
          <w:rFonts w:hint="eastAsia" w:ascii="宋体" w:hAnsi="宋体" w:cs="宋体"/>
          <w:sz w:val="24"/>
          <w:lang w:val="en-US" w:eastAsia="zh-CN"/>
        </w:rPr>
        <w:t xml:space="preserve">   </w:t>
      </w:r>
      <w:r>
        <w:rPr>
          <w:rFonts w:hint="eastAsia" w:ascii="宋体" w:hAnsi="宋体" w:cs="宋体"/>
          <w:color w:val="auto"/>
          <w:sz w:val="24"/>
          <w:szCs w:val="24"/>
          <w:highlight w:val="none"/>
        </w:rPr>
        <w:t xml:space="preserve">年  月  日</w:t>
      </w:r>
      <w:r/>
    </w:p>
    <w:p>
      <w:pPr>
        <w:ind w:right="29"/>
        <w:spacing w:line="360" w:lineRule="auto"/>
        <w:rPr>
          <w:rFonts w:hint="eastAsia" w:ascii="宋体" w:hAnsi="宋体" w:eastAsia="宋体" w:cs="宋体"/>
          <w:sz w:val="24"/>
        </w:rPr>
      </w:pPr>
      <w:r>
        <w:rPr>
          <w:rFonts w:hint="eastAsia" w:ascii="宋体" w:hAnsi="宋体" w:eastAsia="宋体" w:cs="宋体"/>
          <w:sz w:val="24"/>
        </w:rPr>
      </w:r>
      <w:r/>
    </w:p>
    <w:p>
      <w:pPr>
        <w:pStyle w:val="1037"/>
        <w:ind w:left="239" w:firstLine="2640"/>
        <w:rPr>
          <w:rFonts w:hint="eastAsia" w:ascii="宋体" w:hAnsi="宋体" w:eastAsia="宋体" w:cs="宋体"/>
        </w:rPr>
      </w:pPr>
      <w:r>
        <w:rPr>
          <w:rFonts w:hint="eastAsia" w:ascii="宋体" w:hAnsi="宋体" w:eastAsia="宋体" w:cs="宋体"/>
        </w:rPr>
      </w:r>
      <w:r/>
    </w:p>
    <w:p>
      <w:pPr>
        <w:rPr>
          <w:rFonts w:hint="eastAsia" w:ascii="宋体" w:hAnsi="宋体" w:cs="宋体"/>
          <w:b/>
          <w:bCs/>
          <w:color w:val="auto"/>
          <w:sz w:val="36"/>
          <w:szCs w:val="36"/>
          <w:highlight w:val="none"/>
          <w:lang w:val="en-US" w:eastAsia="zh-CN"/>
        </w:rPr>
      </w:pPr>
      <w:r>
        <w:rPr>
          <w:rFonts w:hint="eastAsia" w:ascii="宋体" w:hAnsi="宋体" w:cs="宋体"/>
          <w:b/>
          <w:bCs/>
          <w:color w:val="auto"/>
          <w:sz w:val="36"/>
          <w:szCs w:val="36"/>
          <w:highlight w:val="none"/>
          <w:lang w:val="en-US" w:eastAsia="zh-CN"/>
        </w:rPr>
        <w:br w:type="page" w:clear="all"/>
      </w:r>
      <w:r/>
    </w:p>
    <w:p>
      <w:pPr>
        <w:jc w:val="center"/>
        <w:spacing w:line="360" w:lineRule="auto"/>
        <w:rPr>
          <w:rFonts w:hint="eastAsia" w:ascii="宋体" w:hAnsi="宋体" w:cs="宋体"/>
          <w:b/>
          <w:bCs/>
          <w:color w:val="auto"/>
          <w:sz w:val="36"/>
          <w:szCs w:val="36"/>
          <w:highlight w:val="none"/>
          <w:lang w:val="en-US" w:eastAsia="zh-CN"/>
        </w:rPr>
      </w:pPr>
      <w:r>
        <w:rPr>
          <w:rFonts w:hint="eastAsia" w:ascii="宋体" w:hAnsi="宋体" w:cs="宋体"/>
          <w:b/>
          <w:bCs/>
          <w:color w:val="auto"/>
          <w:sz w:val="36"/>
          <w:szCs w:val="36"/>
          <w:highlight w:val="none"/>
          <w:lang w:val="en-US" w:eastAsia="zh-CN"/>
        </w:rPr>
        <w:t xml:space="preserve">14、残疾人福利性单位声明函</w:t>
      </w:r>
      <w:r/>
    </w:p>
    <w:p>
      <w:pPr>
        <w:jc w:val="center"/>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（注：如供应商不属于残疾人福利性单位，不需提供此声明函）</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w:t>
      </w:r>
      <w:r>
        <w:rPr>
          <w:rFonts w:hint="eastAsia" w:ascii="宋体" w:hAnsi="宋体" w:cs="宋体"/>
          <w:color w:val="auto"/>
          <w:sz w:val="24"/>
          <w:u w:val="single"/>
          <w:lang w:eastAsia="zh-CN"/>
        </w:rPr>
        <w:t xml:space="preserve">JSZC-320300-RHGC-C2026-0005</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rPr>
          <w:rFonts w:hint="eastAsia" w:ascii="宋体" w:hAnsi="宋体" w:cs="宋体"/>
          <w:color w:val="auto"/>
          <w:sz w:val="24"/>
          <w:u w:val="single"/>
          <w:lang w:eastAsia="zh-CN"/>
        </w:rPr>
        <w:t xml:space="preserve">苏堤北路、凤鸣路、及青年路（故黄河-复兴路）工后道路恢复工程</w:t>
      </w:r>
      <w:r/>
    </w:p>
    <w:p>
      <w:pPr>
        <w:ind w:firstLine="584"/>
        <w:keepLines w:val="0"/>
        <w:keepNext w:val="0"/>
        <w:pageBreakBefore w:val="0"/>
        <w:spacing w:line="360" w:lineRule="auto"/>
        <w:widowControl w:val="off"/>
        <w:rPr>
          <w:rFonts w:hint="eastAsia" w:ascii="宋体" w:hAnsi="宋体" w:cs="宋体"/>
          <w:color w:val="auto"/>
          <w:spacing w:val="6"/>
          <w:sz w:val="24"/>
          <w:szCs w:val="24"/>
          <w:highlight w:val="none"/>
        </w:rPr>
      </w:pPr>
      <w:r>
        <w:rPr>
          <w:rFonts w:hint="eastAsia" w:ascii="宋体" w:hAnsi="宋体" w:cs="宋体"/>
          <w:color w:val="auto"/>
          <w:spacing w:val="6"/>
          <w:sz w:val="24"/>
          <w:szCs w:val="24"/>
          <w:highlight w:val="none"/>
        </w:rPr>
        <w:t xml:space="preserve">本单位郑重声明，根据《财政部 民政部 中国残疾人联合会关于促进残疾人就业政府采购政策的通知》（财库</w:t>
      </w:r>
      <w:r>
        <w:rPr>
          <w:rFonts w:hint="eastAsia" w:ascii="宋体" w:hAnsi="宋体" w:cs="宋体"/>
          <w:color w:val="auto"/>
          <w:sz w:val="24"/>
          <w:szCs w:val="24"/>
          <w:highlight w:val="none"/>
        </w:rPr>
        <w:t xml:space="preserve">〔2017〕 141</w:t>
      </w:r>
      <w:r>
        <w:rPr>
          <w:rFonts w:hint="eastAsia" w:ascii="宋体" w:hAnsi="宋体" w:cs="宋体"/>
          <w:color w:val="auto"/>
          <w:spacing w:val="6"/>
          <w:sz w:val="24"/>
          <w:szCs w:val="24"/>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584"/>
        <w:keepLines w:val="0"/>
        <w:keepNext w:val="0"/>
        <w:pageBreakBefore w:val="0"/>
        <w:spacing w:line="360" w:lineRule="auto"/>
        <w:widowControl w:val="off"/>
        <w:rPr>
          <w:rFonts w:hint="eastAsia" w:ascii="宋体" w:hAnsi="宋体" w:cs="宋体"/>
          <w:color w:val="auto"/>
          <w:spacing w:val="6"/>
          <w:sz w:val="24"/>
          <w:szCs w:val="24"/>
          <w:highlight w:val="none"/>
        </w:rPr>
      </w:pPr>
      <w:r>
        <w:rPr>
          <w:rFonts w:hint="eastAsia" w:ascii="宋体" w:hAnsi="宋体" w:cs="宋体"/>
          <w:color w:val="auto"/>
          <w:spacing w:val="6"/>
          <w:sz w:val="24"/>
          <w:szCs w:val="24"/>
          <w:highlight w:val="none"/>
        </w:rPr>
        <w:t xml:space="preserve">本单位对上述声明的真实性负责。如有虚假，将依法承担相应责任。</w:t>
      </w:r>
      <w:r/>
    </w:p>
    <w:p>
      <w:pPr>
        <w:ind w:right="1560" w:firstLine="2459"/>
        <w:keepLines w:val="0"/>
        <w:keepNext w:val="0"/>
        <w:pageBreakBefore w:val="0"/>
        <w:spacing w:line="360" w:lineRule="auto"/>
        <w:widowControl w:val="off"/>
        <w:tabs>
          <w:tab w:val="left" w:pos="4860" w:leader="none"/>
        </w:tabs>
        <w:rPr>
          <w:rFonts w:hint="eastAsia" w:ascii="宋体" w:hAnsi="宋体" w:cs="宋体"/>
          <w:color w:val="auto"/>
          <w:spacing w:val="6"/>
          <w:sz w:val="24"/>
          <w:szCs w:val="24"/>
          <w:highlight w:val="none"/>
        </w:rPr>
      </w:pPr>
      <w:r>
        <w:rPr>
          <w:rFonts w:hint="eastAsia" w:ascii="宋体" w:hAnsi="宋体" w:cs="宋体"/>
          <w:color w:val="auto"/>
          <w:spacing w:val="6"/>
          <w:sz w:val="24"/>
          <w:szCs w:val="24"/>
          <w:highlight w:val="none"/>
        </w:rPr>
      </w:r>
      <w:r/>
    </w:p>
    <w:p>
      <w:pPr>
        <w:ind w:right="1560" w:firstLine="2963"/>
        <w:keepLines w:val="0"/>
        <w:keepNext w:val="0"/>
        <w:pageBreakBefore w:val="0"/>
        <w:spacing w:line="360" w:lineRule="auto"/>
        <w:widowControl w:val="off"/>
        <w:tabs>
          <w:tab w:val="left" w:pos="4860" w:leader="none"/>
        </w:tabs>
        <w:rPr>
          <w:rFonts w:hint="eastAsia" w:ascii="宋体" w:hAnsi="宋体" w:cs="宋体"/>
          <w:color w:val="auto"/>
          <w:spacing w:val="6"/>
          <w:sz w:val="24"/>
          <w:szCs w:val="24"/>
          <w:highlight w:val="none"/>
        </w:rPr>
      </w:pPr>
      <w:r>
        <w:rPr>
          <w:rFonts w:hint="eastAsia" w:ascii="宋体" w:hAnsi="宋体" w:cs="宋体"/>
          <w:color w:val="auto"/>
          <w:spacing w:val="6"/>
          <w:sz w:val="24"/>
          <w:szCs w:val="24"/>
          <w:highlight w:val="none"/>
        </w:rPr>
        <w:t xml:space="preserve">单位名称（电子签章）：</w:t>
      </w:r>
      <w:r/>
    </w:p>
    <w:p>
      <w:pPr>
        <w:ind w:right="1560" w:firstLine="2963"/>
        <w:keepLines w:val="0"/>
        <w:keepNext w:val="0"/>
        <w:pageBreakBefore w:val="0"/>
        <w:spacing w:line="360" w:lineRule="auto"/>
        <w:widowControl w:val="off"/>
        <w:tabs>
          <w:tab w:val="left" w:pos="4860" w:leader="none"/>
        </w:tabs>
        <w:rPr>
          <w:rFonts w:hint="eastAsia" w:ascii="宋体" w:hAnsi="宋体" w:cs="宋体"/>
          <w:color w:val="auto"/>
          <w:spacing w:val="6"/>
          <w:sz w:val="24"/>
          <w:szCs w:val="24"/>
          <w:highlight w:val="none"/>
        </w:rPr>
      </w:pPr>
      <w:r>
        <w:rPr>
          <w:rFonts w:hint="eastAsia" w:ascii="宋体" w:hAnsi="宋体" w:cs="宋体"/>
          <w:color w:val="auto"/>
          <w:spacing w:val="6"/>
          <w:sz w:val="24"/>
          <w:szCs w:val="24"/>
          <w:highlight w:val="none"/>
        </w:rPr>
        <w:t xml:space="preserve">日  期：  年  月  日</w:t>
      </w:r>
      <w:r/>
    </w:p>
    <w:p>
      <w:pPr>
        <w:ind w:firstLine="480"/>
        <w:jc w:val="left"/>
        <w:keepLines w:val="0"/>
        <w:keepNext w:val="0"/>
        <w:pageBreakBefore w:val="0"/>
        <w:spacing w:line="24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享受政府采购支持政策的残疾人福利性单位应当同时满足以下条件：</w:t>
      </w:r>
      <w:r/>
    </w:p>
    <w:p>
      <w:pPr>
        <w:ind w:firstLine="480"/>
        <w:jc w:val="left"/>
        <w:keepLines w:val="0"/>
        <w:keepNext w:val="0"/>
        <w:pageBreakBefore w:val="0"/>
        <w:spacing w:line="24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（一）安置的残疾人占本单位在职职工人数的比例不低于25%（含25%），并且安置的残疾人人数不少于10人（含10人）；</w:t>
      </w:r>
      <w:r/>
    </w:p>
    <w:p>
      <w:pPr>
        <w:ind w:firstLine="480"/>
        <w:jc w:val="left"/>
        <w:keepLines w:val="0"/>
        <w:keepNext w:val="0"/>
        <w:pageBreakBefore w:val="0"/>
        <w:spacing w:line="24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（二）依法与安置的每位残疾人签订了一年以上（含一年）的劳动合同或服务协议；</w:t>
      </w:r>
      <w:r/>
    </w:p>
    <w:p>
      <w:pPr>
        <w:ind w:firstLine="480"/>
        <w:jc w:val="left"/>
        <w:keepLines w:val="0"/>
        <w:keepNext w:val="0"/>
        <w:pageBreakBefore w:val="0"/>
        <w:spacing w:line="24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（三）为安置的每位残疾人按月足额缴纳了基本养老保险、基本医疗保险、失业保险、工伤保险和生育保险等社会保险费；</w:t>
      </w:r>
      <w:r/>
    </w:p>
    <w:p>
      <w:pPr>
        <w:ind w:firstLine="480"/>
        <w:jc w:val="left"/>
        <w:keepLines w:val="0"/>
        <w:keepNext w:val="0"/>
        <w:pageBreakBefore w:val="0"/>
        <w:spacing w:line="24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（四）通过银行等金融机构向安置的每位残疾人，按月支付了不低于单位所在区县适用的经省级人民政府批准的月最低工资标准的工资；</w:t>
      </w:r>
      <w:r/>
    </w:p>
    <w:p>
      <w:pPr>
        <w:ind w:firstLine="480"/>
        <w:jc w:val="left"/>
        <w:keepLines w:val="0"/>
        <w:keepNext w:val="0"/>
        <w:pageBreakBefore w:val="0"/>
        <w:spacing w:line="24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（五）提供本单位制造的货物、承担的工程或者服务（以下简称产品），或者提供其他残疾人福利性单位制造的货物（不包括使用非残疾人福利性单位注册商标的货物）。</w:t>
      </w:r>
      <w:r/>
    </w:p>
    <w:p>
      <w:pPr>
        <w:ind w:firstLine="480"/>
        <w:jc w:val="left"/>
        <w:keepLines w:val="0"/>
        <w:keepNext w:val="0"/>
        <w:pageBreakBefore w:val="0"/>
        <w:spacing w:line="24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firstLine="480"/>
        <w:jc w:val="left"/>
        <w:keepLines w:val="0"/>
        <w:keepNext w:val="0"/>
        <w:pageBreakBefore w:val="0"/>
        <w:spacing w:line="24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具体以《财政部 民政部 中国残疾人联合会关于促进残疾人就业政府采购政策的通知》（财库〔2017〕141号）规定为准。</w:t>
      </w:r>
      <w:r/>
    </w:p>
    <w:p>
      <w:pPr>
        <w:ind w:firstLine="480"/>
        <w:jc w:val="left"/>
        <w:keepLines w:val="0"/>
        <w:keepNext w:val="0"/>
        <w:pageBreakBefore w:val="0"/>
        <w:spacing w:line="240" w:lineRule="auto"/>
        <w:widowControl/>
        <w:rPr>
          <w:rFonts w:hint="eastAsia" w:ascii="宋体" w:hAnsi="宋体" w:eastAsia="宋体" w:cs="宋体"/>
          <w:sz w:val="24"/>
        </w:rPr>
      </w:pPr>
      <w:r>
        <w:rPr>
          <w:rFonts w:hint="eastAsia" w:ascii="宋体" w:hAnsi="宋体" w:eastAsia="宋体" w:cs="宋体"/>
          <w:sz w:val="24"/>
        </w:rPr>
        <w:t xml:space="preserve">说明：</w:t>
      </w:r>
      <w:r/>
    </w:p>
    <w:p>
      <w:pPr>
        <w:ind w:firstLine="480"/>
        <w:jc w:val="left"/>
        <w:keepLines w:val="0"/>
        <w:keepNext w:val="0"/>
        <w:pageBreakBefore w:val="0"/>
        <w:spacing w:line="240" w:lineRule="auto"/>
        <w:widowControl/>
        <w:rPr>
          <w:rFonts w:hint="eastAsia" w:ascii="宋体" w:hAnsi="宋体" w:eastAsia="宋体" w:cs="宋体"/>
          <w:sz w:val="24"/>
        </w:rPr>
      </w:pPr>
      <w:r>
        <w:rPr>
          <w:rFonts w:hint="eastAsia" w:ascii="宋体" w:hAnsi="宋体" w:eastAsia="宋体" w:cs="宋体"/>
          <w:sz w:val="24"/>
        </w:rPr>
        <w:t xml:space="preserve">中标、成交供应商为残疾人福利性单位的，采购人或者其委托的采购代理机构应当随中标、成交结果同时公告其《残疾人福利性单位声明函》，接受社会监督。</w:t>
      </w:r>
      <w:r/>
    </w:p>
    <w:p>
      <w:pPr>
        <w:ind w:firstLine="480"/>
        <w:jc w:val="left"/>
        <w:keepLines w:val="0"/>
        <w:keepNext w:val="0"/>
        <w:pageBreakBefore w:val="0"/>
        <w:spacing w:line="240" w:lineRule="auto"/>
        <w:widowControl/>
        <w:rPr>
          <w:rFonts w:hint="eastAsia" w:ascii="宋体" w:hAnsi="宋体" w:eastAsia="宋体" w:cs="宋体"/>
          <w:sz w:val="24"/>
        </w:rPr>
      </w:pPr>
      <w:r>
        <w:rPr>
          <w:rFonts w:hint="eastAsia" w:ascii="宋体" w:hAnsi="宋体" w:eastAsia="宋体" w:cs="宋体"/>
          <w:sz w:val="24"/>
        </w:rPr>
        <w:t xml:space="preserve">供应商提供的《残疾人福利性单位声明函》与事实不符的，依照《政府采购法》第七十七条第一款的规定追究法律责任。</w:t>
      </w:r>
      <w:r/>
    </w:p>
    <w:p>
      <w:pPr>
        <w:rPr>
          <w:rFonts w:hint="eastAsia" w:ascii="宋体" w:hAnsi="宋体" w:eastAsia="宋体" w:cs="宋体"/>
          <w:b/>
          <w:sz w:val="36"/>
          <w:szCs w:val="36"/>
        </w:rPr>
      </w:pPr>
      <w:r>
        <w:rPr>
          <w:rFonts w:hint="eastAsia" w:ascii="宋体" w:hAnsi="宋体" w:eastAsia="宋体" w:cs="宋体"/>
          <w:b/>
          <w:sz w:val="36"/>
          <w:szCs w:val="36"/>
        </w:rPr>
        <w:br w:type="page" w:clear="all"/>
      </w:r>
      <w:r/>
    </w:p>
    <w:p>
      <w:pPr>
        <w:jc w:val="center"/>
        <w:keepLines w:val="0"/>
        <w:keepNext w:val="0"/>
        <w:pageBreakBefore w:val="0"/>
        <w:spacing w:line="360" w:lineRule="auto"/>
        <w:rPr>
          <w:rFonts w:hint="eastAsia" w:ascii="宋体" w:hAnsi="宋体" w:eastAsia="宋体" w:cs="宋体"/>
          <w:b/>
          <w:sz w:val="30"/>
          <w:szCs w:val="30"/>
        </w:rPr>
        <w:outlineLvl w:val="0"/>
      </w:pPr>
      <w:r>
        <w:rPr>
          <w:rFonts w:hint="eastAsia" w:ascii="宋体" w:hAnsi="宋体" w:eastAsia="宋体" w:cs="宋体"/>
          <w:b/>
          <w:sz w:val="36"/>
          <w:szCs w:val="36"/>
        </w:rPr>
        <w:t xml:space="preserve">1</w:t>
      </w:r>
      <w:r>
        <w:rPr>
          <w:rFonts w:hint="eastAsia" w:ascii="宋体" w:hAnsi="宋体" w:cs="宋体"/>
          <w:b/>
          <w:sz w:val="36"/>
          <w:szCs w:val="36"/>
          <w:lang w:val="en-US" w:eastAsia="zh-CN"/>
        </w:rPr>
        <w:t xml:space="preserve">5</w:t>
      </w:r>
      <w:r>
        <w:rPr>
          <w:rFonts w:hint="eastAsia" w:ascii="宋体" w:hAnsi="宋体" w:eastAsia="宋体" w:cs="宋体"/>
          <w:b/>
          <w:sz w:val="36"/>
          <w:szCs w:val="36"/>
        </w:rPr>
        <w:t xml:space="preserve">、代理服务收费标准</w:t>
      </w:r>
      <w:r/>
    </w:p>
    <w:tbl>
      <w:tblPr>
        <w:tblStyle w:val="991"/>
        <w:tblW w:w="835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280"/>
        <w:gridCol w:w="3076"/>
      </w:tblGrid>
      <w:tr>
        <w:trPr>
          <w:jc w:val="center"/>
          <w:trHeight w:val="567"/>
        </w:trPr>
        <w:tc>
          <w:tcPr>
            <w:tcW w:w="5280"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中标或者成交金额</w:t>
            </w:r>
            <w:r/>
          </w:p>
        </w:tc>
        <w:tc>
          <w:tcPr>
            <w:tcW w:w="3076"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费率</w:t>
            </w:r>
            <w:r/>
          </w:p>
        </w:tc>
      </w:tr>
      <w:tr>
        <w:trPr>
          <w:jc w:val="center"/>
          <w:trHeight w:val="567"/>
        </w:trPr>
        <w:tc>
          <w:tcPr>
            <w:tcW w:w="528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最低收费金额(每个委托项目)</w:t>
            </w:r>
            <w:r/>
          </w:p>
        </w:tc>
        <w:tc>
          <w:tcPr>
            <w:tcW w:w="307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5000元</w:t>
            </w:r>
            <w:r/>
          </w:p>
        </w:tc>
      </w:tr>
      <w:tr>
        <w:trPr>
          <w:jc w:val="center"/>
          <w:trHeight w:val="567"/>
        </w:trPr>
        <w:tc>
          <w:tcPr>
            <w:tcW w:w="528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50万元以下(含50万元)</w:t>
            </w:r>
            <w:r/>
          </w:p>
        </w:tc>
        <w:tc>
          <w:tcPr>
            <w:tcW w:w="307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1.6%</w:t>
            </w:r>
            <w:r/>
          </w:p>
        </w:tc>
      </w:tr>
      <w:tr>
        <w:trPr>
          <w:jc w:val="center"/>
          <w:trHeight w:val="567"/>
        </w:trPr>
        <w:tc>
          <w:tcPr>
            <w:tcW w:w="528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50-400万元(含400万元)</w:t>
            </w:r>
            <w:r/>
          </w:p>
        </w:tc>
        <w:tc>
          <w:tcPr>
            <w:tcW w:w="307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1.5%</w:t>
            </w:r>
            <w:r/>
          </w:p>
        </w:tc>
      </w:tr>
      <w:tr>
        <w:trPr>
          <w:jc w:val="center"/>
          <w:trHeight w:val="567"/>
        </w:trPr>
        <w:tc>
          <w:tcPr>
            <w:tcW w:w="528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400-1000万元(含1000万元)</w:t>
            </w:r>
            <w:r/>
          </w:p>
        </w:tc>
        <w:tc>
          <w:tcPr>
            <w:tcW w:w="307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1.1%</w:t>
            </w:r>
            <w:r/>
          </w:p>
        </w:tc>
      </w:tr>
      <w:tr>
        <w:trPr>
          <w:jc w:val="center"/>
          <w:trHeight w:val="567"/>
        </w:trPr>
        <w:tc>
          <w:tcPr>
            <w:tcW w:w="528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1000-5000万元(含5000万元)</w:t>
            </w:r>
            <w:r/>
          </w:p>
        </w:tc>
        <w:tc>
          <w:tcPr>
            <w:tcW w:w="307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0.8%</w:t>
            </w:r>
            <w:r/>
          </w:p>
        </w:tc>
      </w:tr>
      <w:tr>
        <w:trPr>
          <w:jc w:val="center"/>
          <w:trHeight w:val="567"/>
        </w:trPr>
        <w:tc>
          <w:tcPr>
            <w:tcW w:w="528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5000-1亿元(含1亿元)</w:t>
            </w:r>
            <w:r/>
          </w:p>
        </w:tc>
        <w:tc>
          <w:tcPr>
            <w:tcW w:w="307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0.25%</w:t>
            </w:r>
            <w:r/>
          </w:p>
        </w:tc>
      </w:tr>
      <w:tr>
        <w:trPr>
          <w:jc w:val="center"/>
          <w:trHeight w:val="567"/>
        </w:trPr>
        <w:tc>
          <w:tcPr>
            <w:tcW w:w="528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1-10亿元(含10亿元)</w:t>
            </w:r>
            <w:r/>
          </w:p>
        </w:tc>
        <w:tc>
          <w:tcPr>
            <w:tcW w:w="307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0.05%</w:t>
            </w:r>
            <w:r/>
          </w:p>
        </w:tc>
      </w:tr>
      <w:tr>
        <w:trPr>
          <w:jc w:val="center"/>
          <w:trHeight w:val="567"/>
        </w:trPr>
        <w:tc>
          <w:tcPr>
            <w:tcW w:w="528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10-50亿元(含50亿元)</w:t>
            </w:r>
            <w:r/>
          </w:p>
        </w:tc>
        <w:tc>
          <w:tcPr>
            <w:tcW w:w="307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0.01%</w:t>
            </w:r>
            <w:r/>
          </w:p>
        </w:tc>
      </w:tr>
      <w:tr>
        <w:trPr>
          <w:jc w:val="center"/>
          <w:trHeight w:val="567"/>
        </w:trPr>
        <w:tc>
          <w:tcPr>
            <w:tcW w:w="528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50亿元以上</w:t>
            </w:r>
            <w:r/>
          </w:p>
        </w:tc>
        <w:tc>
          <w:tcPr>
            <w:tcW w:w="307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0.005%</w:t>
            </w:r>
            <w:r/>
          </w:p>
        </w:tc>
      </w:tr>
    </w:tbl>
    <w:p>
      <w:pPr>
        <w:ind w:firstLine="480"/>
        <w:keepLines w:val="0"/>
        <w:keepNext w:val="0"/>
        <w:pageBreakBefore w:val="0"/>
        <w:spacing w:line="420" w:lineRule="atLeast"/>
        <w:widowControl w:val="off"/>
        <w:rPr>
          <w:rFonts w:hint="eastAsia" w:ascii="宋体" w:hAnsi="宋体" w:eastAsia="宋体" w:cs="宋体"/>
          <w:color w:val="auto"/>
          <w:sz w:val="24"/>
        </w:rPr>
      </w:pPr>
      <w:r>
        <w:rPr>
          <w:rFonts w:hint="eastAsia" w:ascii="宋体" w:hAnsi="宋体" w:eastAsia="宋体" w:cs="宋体"/>
          <w:color w:val="auto"/>
          <w:sz w:val="24"/>
        </w:rPr>
      </w:r>
      <w:r/>
    </w:p>
    <w:p>
      <w:pPr>
        <w:ind w:firstLine="480"/>
        <w:keepLines w:val="0"/>
        <w:keepNext w:val="0"/>
        <w:pageBreakBefore w:val="0"/>
        <w:spacing w:line="420" w:lineRule="atLeast"/>
        <w:widowControl w:val="off"/>
        <w:rPr>
          <w:rFonts w:hint="eastAsia" w:ascii="宋体" w:hAnsi="宋体" w:eastAsia="宋体" w:cs="宋体"/>
          <w:color w:val="auto"/>
          <w:sz w:val="24"/>
        </w:rPr>
      </w:pPr>
      <w:r>
        <w:rPr>
          <w:rFonts w:hint="eastAsia" w:ascii="宋体" w:hAnsi="宋体" w:eastAsia="宋体" w:cs="宋体"/>
          <w:color w:val="auto"/>
          <w:sz w:val="24"/>
        </w:rPr>
        <w:t xml:space="preserve">说明:</w:t>
      </w:r>
      <w:r/>
    </w:p>
    <w:p>
      <w:pPr>
        <w:ind w:firstLine="480"/>
        <w:keepLines w:val="0"/>
        <w:keepNext w:val="0"/>
        <w:pageBreakBefore w:val="0"/>
        <w:spacing w:line="420" w:lineRule="atLeast"/>
        <w:widowControl w:val="off"/>
        <w:rPr>
          <w:rFonts w:hint="eastAsia" w:ascii="宋体" w:hAnsi="宋体" w:eastAsia="宋体" w:cs="宋体"/>
          <w:color w:val="auto"/>
          <w:sz w:val="24"/>
        </w:rPr>
      </w:pPr>
      <w:r>
        <w:rPr>
          <w:rFonts w:hint="eastAsia" w:ascii="宋体" w:hAnsi="宋体" w:eastAsia="宋体" w:cs="宋体"/>
          <w:color w:val="auto"/>
          <w:sz w:val="24"/>
        </w:rPr>
        <w:t xml:space="preserve">1.按上表计算的收费为代理服务全过程的收费金额。代理机构不再收取采购文件制作售卖费用。</w:t>
      </w:r>
      <w:r/>
    </w:p>
    <w:p>
      <w:pPr>
        <w:ind w:firstLine="480"/>
        <w:keepLines w:val="0"/>
        <w:keepNext w:val="0"/>
        <w:pageBreakBefore w:val="0"/>
        <w:spacing w:line="420" w:lineRule="atLeast"/>
        <w:widowControl w:val="off"/>
        <w:rPr>
          <w:rFonts w:hint="eastAsia" w:ascii="宋体" w:hAnsi="宋体" w:eastAsia="宋体" w:cs="宋体"/>
          <w:color w:val="auto"/>
          <w:sz w:val="24"/>
        </w:rPr>
      </w:pPr>
      <w:r>
        <w:rPr>
          <w:rFonts w:hint="eastAsia" w:ascii="宋体" w:hAnsi="宋体" w:eastAsia="宋体" w:cs="宋体"/>
          <w:color w:val="auto"/>
          <w:sz w:val="24"/>
        </w:rPr>
        <w:t xml:space="preserve">2.代理服务费按差额定率累进法计算。</w:t>
      </w:r>
      <w:r/>
    </w:p>
    <w:p>
      <w:pPr>
        <w:ind w:firstLine="480"/>
        <w:keepLines w:val="0"/>
        <w:keepNext w:val="0"/>
        <w:pageBreakBefore w:val="0"/>
        <w:spacing w:line="420" w:lineRule="atLeast"/>
        <w:widowControl w:val="off"/>
        <w:rPr>
          <w:rFonts w:hint="eastAsia" w:ascii="宋体" w:hAnsi="宋体" w:eastAsia="宋体" w:cs="宋体"/>
          <w:color w:val="auto"/>
          <w:sz w:val="24"/>
          <w:lang w:val="en-US" w:eastAsia="zh-CN"/>
        </w:rPr>
      </w:pPr>
      <w:r>
        <w:rPr>
          <w:rFonts w:hint="eastAsia" w:ascii="宋体" w:hAnsi="宋体" w:eastAsia="宋体" w:cs="宋体"/>
          <w:color w:val="auto"/>
          <w:sz w:val="24"/>
        </w:rPr>
        <w:t xml:space="preserve">3.代理服务费基准金额(按差额定率累进法计算的)=中标金额(按差额定率累进法计算的)*费率(%)</w:t>
      </w:r>
      <w:r>
        <w:rPr>
          <w:rFonts w:hint="eastAsia" w:ascii="宋体" w:hAnsi="宋体" w:eastAsia="宋体" w:cs="宋体"/>
          <w:color w:val="auto"/>
          <w:sz w:val="24"/>
          <w:lang w:val="en-US" w:eastAsia="zh-CN"/>
        </w:rPr>
        <w:t xml:space="preserve">。</w:t>
      </w:r>
      <w:r/>
    </w:p>
    <w:p>
      <w:pPr>
        <w:ind w:firstLine="480"/>
        <w:keepLines w:val="0"/>
        <w:keepNext w:val="0"/>
        <w:pageBreakBefore w:val="0"/>
        <w:spacing w:line="420" w:lineRule="atLeast"/>
        <w:widowControl w:val="off"/>
        <w:rPr>
          <w:rFonts w:hint="default" w:ascii="宋体" w:hAnsi="宋体" w:eastAsia="宋体" w:cs="宋体"/>
          <w:b/>
          <w:bCs/>
          <w:color w:val="auto"/>
          <w:sz w:val="24"/>
          <w:highlight w:val="none"/>
          <w:lang w:val="en-US" w:eastAsia="zh-CN"/>
        </w:rPr>
      </w:pPr>
      <w:r>
        <w:rPr>
          <w:rFonts w:hint="eastAsia" w:ascii="宋体" w:hAnsi="宋体" w:eastAsia="宋体" w:cs="宋体"/>
          <w:color w:val="auto"/>
          <w:sz w:val="24"/>
          <w:highlight w:val="none"/>
        </w:rPr>
        <w:t xml:space="preserve">4.经双方协商一致本项目代理服务费5000元。</w:t>
      </w:r>
      <w:r/>
    </w:p>
    <w:p>
      <w:pPr>
        <w:ind w:firstLine="480"/>
        <w:keepLines w:val="0"/>
        <w:keepNext w:val="0"/>
        <w:pageBreakBefore w:val="0"/>
        <w:spacing w:line="420" w:lineRule="atLeast"/>
        <w:widowControl w:val="off"/>
        <w:rPr>
          <w:rFonts w:hint="eastAsia" w:ascii="宋体" w:hAnsi="宋体" w:eastAsia="宋体" w:cs="宋体"/>
          <w:color w:val="auto"/>
          <w:sz w:val="24"/>
        </w:rPr>
      </w:pPr>
      <w:r>
        <w:rPr>
          <w:rFonts w:hint="eastAsia" w:ascii="宋体" w:hAnsi="宋体" w:eastAsia="宋体" w:cs="宋体"/>
          <w:color w:val="auto"/>
          <w:sz w:val="24"/>
        </w:rPr>
        <w:t xml:space="preserve">5.定点类等无金额或事先不能计算出价格总额的项目，按中标(成交)金额按100万元计算。</w:t>
      </w:r>
      <w:r/>
    </w:p>
    <w:p>
      <w:pPr>
        <w:ind w:firstLine="480"/>
        <w:keepLines w:val="0"/>
        <w:keepNext w:val="0"/>
        <w:pageBreakBefore w:val="0"/>
        <w:spacing w:line="420"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rPr>
        <w:t xml:space="preserve">6.有分包</w:t>
      </w: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分标段</w:t>
      </w: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的以一个项目计算。</w:t>
      </w:r>
      <w:r/>
    </w:p>
    <w:p>
      <w:pPr>
        <w:ind w:firstLine="480"/>
        <w:keepLines w:val="0"/>
        <w:keepNext w:val="0"/>
        <w:pageBreakBefore w:val="0"/>
        <w:spacing w:line="420" w:lineRule="atLeast"/>
        <w:widowControl w:val="off"/>
        <w:rPr>
          <w:rFonts w:hint="eastAsia" w:ascii="宋体" w:hAnsi="宋体" w:eastAsia="宋体" w:cs="宋体"/>
          <w:color w:val="auto"/>
          <w:sz w:val="24"/>
        </w:rPr>
      </w:pPr>
      <w:r>
        <w:rPr>
          <w:rFonts w:hint="eastAsia" w:ascii="宋体" w:hAnsi="宋体" w:eastAsia="宋体" w:cs="宋体"/>
          <w:color w:val="auto"/>
          <w:sz w:val="24"/>
          <w:lang w:val="en-US" w:eastAsia="zh-CN"/>
        </w:rPr>
        <w:t xml:space="preserve">7</w:t>
      </w:r>
      <w:r>
        <w:rPr>
          <w:rFonts w:hint="eastAsia" w:ascii="宋体" w:hAnsi="宋体" w:eastAsia="宋体" w:cs="宋体"/>
          <w:color w:val="auto"/>
          <w:sz w:val="24"/>
        </w:rPr>
        <w:t xml:space="preserve">、账户信息：</w:t>
      </w:r>
      <w:r/>
    </w:p>
    <w:p>
      <w:pPr>
        <w:ind w:firstLine="480"/>
        <w:keepLines w:val="0"/>
        <w:keepNext w:val="0"/>
        <w:pageBreakBefore w:val="0"/>
        <w:spacing w:line="420" w:lineRule="atLeast"/>
        <w:widowControl w:val="off"/>
        <w:rPr>
          <w:rFonts w:hint="eastAsia" w:ascii="宋体" w:hAnsi="宋体" w:eastAsia="宋体" w:cs="宋体"/>
          <w:b/>
          <w:bCs/>
          <w:color w:val="auto"/>
          <w:sz w:val="24"/>
        </w:rPr>
      </w:pPr>
      <w:r>
        <w:rPr>
          <w:rFonts w:hint="eastAsia" w:ascii="宋体" w:hAnsi="宋体" w:eastAsia="宋体" w:cs="宋体"/>
          <w:b/>
          <w:bCs/>
          <w:color w:val="auto"/>
          <w:sz w:val="24"/>
        </w:rPr>
        <w:t xml:space="preserve">账户名：</w:t>
      </w:r>
      <w:r>
        <w:rPr>
          <w:rFonts w:hint="eastAsia" w:ascii="宋体" w:hAnsi="宋体" w:eastAsia="宋体" w:cs="宋体"/>
          <w:b/>
          <w:bCs/>
          <w:color w:val="auto"/>
          <w:sz w:val="24"/>
          <w:lang w:eastAsia="zh-CN"/>
        </w:rPr>
        <w:t xml:space="preserve">江苏仁华工程项目管理有限公司</w:t>
      </w:r>
      <w:r/>
    </w:p>
    <w:p>
      <w:pPr>
        <w:ind w:firstLine="480"/>
        <w:keepLines w:val="0"/>
        <w:keepNext w:val="0"/>
        <w:pageBreakBefore w:val="0"/>
        <w:spacing w:line="420" w:lineRule="atLeast"/>
        <w:widowControl w:val="off"/>
        <w:rPr>
          <w:rFonts w:hint="eastAsia" w:ascii="宋体" w:hAnsi="宋体" w:eastAsia="宋体" w:cs="宋体"/>
          <w:b/>
          <w:bCs/>
          <w:color w:val="auto"/>
          <w:sz w:val="24"/>
        </w:rPr>
      </w:pPr>
      <w:r>
        <w:rPr>
          <w:rFonts w:hint="eastAsia" w:ascii="宋体" w:hAnsi="宋体" w:eastAsia="宋体" w:cs="宋体"/>
          <w:b/>
          <w:bCs/>
          <w:color w:val="auto"/>
          <w:sz w:val="24"/>
        </w:rPr>
        <w:t xml:space="preserve">开户银行：中国农业银行徐州云西支行</w:t>
      </w:r>
      <w:r/>
    </w:p>
    <w:p>
      <w:pPr>
        <w:ind w:firstLine="480"/>
        <w:keepLines w:val="0"/>
        <w:keepNext w:val="0"/>
        <w:pageBreakBefore w:val="0"/>
        <w:spacing w:line="420" w:lineRule="atLeast"/>
        <w:widowControl w:val="off"/>
        <w:rPr>
          <w:rFonts w:hint="eastAsia" w:ascii="宋体" w:hAnsi="宋体" w:eastAsia="宋体" w:cs="宋体"/>
          <w:color w:val="auto"/>
          <w:sz w:val="24"/>
        </w:rPr>
      </w:pPr>
      <w:r>
        <w:rPr>
          <w:rFonts w:hint="eastAsia" w:ascii="宋体" w:hAnsi="宋体" w:eastAsia="宋体" w:cs="宋体"/>
          <w:b/>
          <w:bCs/>
          <w:color w:val="auto"/>
          <w:sz w:val="24"/>
        </w:rPr>
        <w:t xml:space="preserve">账    号：10231501040012500</w:t>
      </w:r>
      <w:r>
        <w:rPr>
          <w:rFonts w:hint="eastAsia" w:ascii="宋体" w:hAnsi="宋体" w:eastAsia="宋体" w:cs="宋体"/>
          <w:color w:val="auto"/>
          <w:sz w:val="24"/>
        </w:rPr>
        <w:br w:type="page" w:clear="all"/>
      </w:r>
      <w:r/>
    </w:p>
    <w:p>
      <w:pPr>
        <w:jc w:val="center"/>
        <w:spacing w:line="360" w:lineRule="auto"/>
        <w:rPr>
          <w:rFonts w:ascii="宋体" w:hAnsi="宋体" w:cs="宋体"/>
          <w:b/>
          <w:bCs/>
          <w:sz w:val="36"/>
          <w:szCs w:val="36"/>
          <w:highlight w:val="none"/>
        </w:rPr>
      </w:pPr>
      <w:r>
        <w:rPr>
          <w:rFonts w:hint="eastAsia" w:ascii="宋体" w:hAnsi="宋体" w:cs="宋体"/>
          <w:b/>
          <w:bCs/>
          <w:sz w:val="36"/>
          <w:szCs w:val="36"/>
          <w:highlight w:val="none"/>
        </w:rPr>
        <w:t xml:space="preserve">1</w:t>
      </w:r>
      <w:r>
        <w:rPr>
          <w:rFonts w:hint="eastAsia" w:ascii="宋体" w:hAnsi="宋体" w:cs="宋体"/>
          <w:b/>
          <w:bCs/>
          <w:sz w:val="36"/>
          <w:szCs w:val="36"/>
          <w:highlight w:val="none"/>
          <w:lang w:val="en-US" w:eastAsia="zh-CN"/>
        </w:rPr>
        <w:t xml:space="preserve">6</w:t>
      </w:r>
      <w:r>
        <w:rPr>
          <w:rFonts w:hint="eastAsia" w:ascii="宋体" w:hAnsi="宋体" w:cs="宋体"/>
          <w:b/>
          <w:bCs/>
          <w:sz w:val="36"/>
          <w:szCs w:val="36"/>
          <w:highlight w:val="none"/>
        </w:rPr>
        <w:t xml:space="preserve">、预付款保函支付条款模板</w:t>
      </w:r>
      <w:r/>
    </w:p>
    <w:p>
      <w:pPr>
        <w:ind w:firstLine="565"/>
        <w:spacing w:line="480" w:lineRule="exact"/>
        <w:rPr>
          <w:rFonts w:ascii="宋体" w:hAnsi="宋体" w:cs="宋体"/>
          <w:b/>
          <w:sz w:val="28"/>
          <w:szCs w:val="28"/>
        </w:rPr>
      </w:pPr>
      <w:r>
        <w:rPr>
          <w:rFonts w:ascii="宋体" w:hAnsi="宋体" w:cs="宋体"/>
          <w:b/>
          <w:sz w:val="28"/>
          <w:szCs w:val="28"/>
        </w:rPr>
      </w:r>
      <w:r/>
    </w:p>
    <w:p>
      <w:pPr>
        <w:ind w:firstLine="484"/>
        <w:spacing w:line="360" w:lineRule="auto"/>
        <w:rPr>
          <w:rFonts w:ascii="宋体" w:hAnsi="宋体" w:cs="宋体"/>
          <w:b/>
          <w:sz w:val="24"/>
        </w:rPr>
      </w:pPr>
      <w:r>
        <w:rPr>
          <w:rFonts w:hint="eastAsia" w:ascii="宋体" w:hAnsi="宋体" w:cs="宋体"/>
          <w:b/>
          <w:sz w:val="24"/>
        </w:rPr>
        <w:t xml:space="preserve">符合条件一：提交预付款保函的</w:t>
      </w:r>
      <w:r/>
    </w:p>
    <w:p>
      <w:pPr>
        <w:ind w:firstLine="482"/>
        <w:spacing w:line="360" w:lineRule="auto"/>
        <w:rPr>
          <w:rFonts w:ascii="宋体" w:hAnsi="宋体" w:cs="宋体"/>
          <w:sz w:val="24"/>
          <w:u w:val="single"/>
        </w:rPr>
      </w:pPr>
      <w:r>
        <w:rPr>
          <w:rFonts w:hint="eastAsia" w:ascii="宋体" w:hAnsi="宋体" w:cs="宋体"/>
          <w:sz w:val="24"/>
        </w:rPr>
        <w:t xml:space="preserve">（1）合同签订且乙方向甲方出具预付款保函后</w:t>
      </w:r>
      <w:r>
        <w:rPr>
          <w:rFonts w:hint="eastAsia" w:ascii="宋体" w:hAnsi="宋体" w:cs="宋体"/>
          <w:sz w:val="24"/>
          <w:u w:val="single"/>
        </w:rPr>
        <w:t xml:space="preserve">    </w:t>
      </w:r>
      <w:r>
        <w:rPr>
          <w:rFonts w:hint="eastAsia" w:ascii="宋体" w:hAnsi="宋体" w:cs="宋体"/>
          <w:sz w:val="24"/>
        </w:rPr>
        <w:t xml:space="preserve">个工作日内，甲方应支付合同价款的百分之</w:t>
      </w:r>
      <w:r>
        <w:rPr>
          <w:rFonts w:hint="eastAsia" w:ascii="宋体" w:hAnsi="宋体" w:cs="宋体"/>
          <w:sz w:val="24"/>
          <w:u w:val="single"/>
        </w:rPr>
        <w:t xml:space="preserve">        XX（    XX%），</w:t>
      </w:r>
      <w:r>
        <w:rPr>
          <w:rFonts w:hint="eastAsia" w:ascii="宋体" w:hAnsi="宋体" w:cs="宋体"/>
          <w:sz w:val="24"/>
        </w:rPr>
        <w:t xml:space="preserve">小写￥</w:t>
      </w:r>
      <w:r>
        <w:rPr>
          <w:rFonts w:hint="eastAsia" w:ascii="宋体" w:hAnsi="宋体" w:cs="宋体"/>
          <w:sz w:val="24"/>
          <w:u w:val="single"/>
        </w:rPr>
        <w:t xml:space="preserve">      </w:t>
      </w:r>
      <w:r>
        <w:rPr>
          <w:rFonts w:hint="eastAsia" w:ascii="宋体" w:hAnsi="宋体" w:cs="宋体"/>
          <w:sz w:val="24"/>
        </w:rPr>
        <w:t xml:space="preserve">大写：人民币</w:t>
      </w:r>
      <w:r>
        <w:rPr>
          <w:rFonts w:hint="eastAsia" w:ascii="宋体" w:hAnsi="宋体" w:cs="宋体"/>
          <w:sz w:val="24"/>
          <w:u w:val="single"/>
        </w:rPr>
        <w:t xml:space="preserve">          </w:t>
      </w:r>
      <w:r>
        <w:rPr>
          <w:rFonts w:hint="eastAsia" w:ascii="宋体" w:hAnsi="宋体" w:cs="宋体"/>
          <w:sz w:val="24"/>
        </w:rPr>
        <w:t xml:space="preserve">。</w:t>
      </w:r>
      <w:r/>
    </w:p>
    <w:p>
      <w:pPr>
        <w:ind w:left="140" w:firstLine="482"/>
        <w:spacing w:line="360" w:lineRule="auto"/>
        <w:rPr>
          <w:rFonts w:ascii="宋体" w:hAnsi="宋体" w:cs="宋体"/>
          <w:sz w:val="24"/>
        </w:rPr>
      </w:pPr>
      <w:r>
        <w:rPr>
          <w:rFonts w:hint="eastAsia" w:ascii="宋体" w:hAnsi="宋体" w:cs="宋体"/>
          <w:sz w:val="24"/>
        </w:rPr>
        <w:t xml:space="preserve">乙方需提交的支付文件：乙方出具的全额正式发票。</w:t>
      </w:r>
      <w:r>
        <w:rPr>
          <w:rFonts w:hint="eastAsia" w:ascii="宋体" w:hAnsi="宋体" w:cs="宋体"/>
          <w:sz w:val="24"/>
        </w:rPr>
        <w:br w:type="textWrapping" w:clear="all"/>
      </w:r>
      <w:r>
        <w:rPr>
          <w:rFonts w:hint="eastAsia" w:ascii="宋体" w:hAnsi="宋体" w:cs="宋体"/>
          <w:sz w:val="24"/>
        </w:rPr>
        <w:t xml:space="preserve">（2）验收合格后</w:t>
      </w:r>
      <w:r>
        <w:rPr>
          <w:rFonts w:hint="eastAsia" w:ascii="宋体" w:hAnsi="宋体" w:cs="宋体"/>
          <w:sz w:val="24"/>
          <w:u w:val="single"/>
        </w:rPr>
        <w:t xml:space="preserve">   </w:t>
      </w:r>
      <w:r>
        <w:rPr>
          <w:rFonts w:hint="eastAsia" w:ascii="宋体" w:hAnsi="宋体" w:cs="宋体"/>
          <w:sz w:val="24"/>
        </w:rPr>
        <w:t xml:space="preserve">个工作日内，甲方应支付合同价款的百分之</w:t>
      </w:r>
      <w:r>
        <w:rPr>
          <w:rFonts w:hint="eastAsia" w:ascii="宋体" w:hAnsi="宋体" w:cs="宋体"/>
          <w:sz w:val="24"/>
          <w:u w:val="single"/>
        </w:rPr>
        <w:t xml:space="preserve">XX（    XX%），</w:t>
      </w:r>
      <w:r>
        <w:rPr>
          <w:rFonts w:hint="eastAsia" w:ascii="宋体" w:hAnsi="宋体" w:cs="宋体"/>
          <w:sz w:val="24"/>
        </w:rPr>
        <w:t xml:space="preserve">小写￥</w:t>
      </w:r>
      <w:r>
        <w:rPr>
          <w:rFonts w:hint="eastAsia" w:ascii="宋体" w:hAnsi="宋体" w:cs="宋体"/>
          <w:sz w:val="24"/>
          <w:u w:val="single"/>
        </w:rPr>
        <w:t xml:space="preserve">      </w:t>
      </w:r>
      <w:r>
        <w:rPr>
          <w:rFonts w:hint="eastAsia" w:ascii="宋体" w:hAnsi="宋体" w:cs="宋体"/>
          <w:sz w:val="24"/>
        </w:rPr>
        <w:t xml:space="preserve">大写：人民币</w:t>
      </w:r>
      <w:r>
        <w:rPr>
          <w:rFonts w:hint="eastAsia" w:ascii="宋体" w:hAnsi="宋体" w:cs="宋体"/>
          <w:sz w:val="24"/>
          <w:u w:val="single"/>
        </w:rPr>
        <w:t xml:space="preserve">          </w:t>
      </w:r>
      <w:r>
        <w:rPr>
          <w:rFonts w:hint="eastAsia" w:ascii="宋体" w:hAnsi="宋体" w:cs="宋体"/>
          <w:sz w:val="24"/>
        </w:rPr>
        <w:t xml:space="preserve">。</w:t>
      </w:r>
      <w:r/>
    </w:p>
    <w:p>
      <w:pPr>
        <w:ind w:firstLine="484"/>
        <w:spacing w:line="360" w:lineRule="auto"/>
        <w:rPr>
          <w:rFonts w:ascii="宋体" w:hAnsi="宋体" w:cs="宋体"/>
          <w:b/>
          <w:sz w:val="24"/>
        </w:rPr>
      </w:pPr>
      <w:r>
        <w:rPr>
          <w:rFonts w:hint="eastAsia" w:ascii="宋体" w:hAnsi="宋体" w:cs="宋体"/>
          <w:b/>
          <w:sz w:val="24"/>
        </w:rPr>
        <w:t xml:space="preserve">……</w:t>
      </w:r>
      <w:r/>
    </w:p>
    <w:p>
      <w:pPr>
        <w:ind w:firstLine="484"/>
        <w:spacing w:line="360" w:lineRule="auto"/>
        <w:rPr>
          <w:rFonts w:ascii="宋体" w:hAnsi="宋体" w:cs="宋体"/>
          <w:b/>
          <w:sz w:val="24"/>
        </w:rPr>
      </w:pPr>
      <w:r>
        <w:rPr>
          <w:rFonts w:hint="eastAsia" w:ascii="宋体" w:hAnsi="宋体" w:cs="宋体"/>
          <w:b/>
          <w:sz w:val="24"/>
        </w:rPr>
        <w:t xml:space="preserve">符合条件二：不提交预付款保函的</w:t>
      </w:r>
      <w:r/>
    </w:p>
    <w:p>
      <w:pPr>
        <w:ind w:firstLine="482"/>
        <w:spacing w:line="360" w:lineRule="auto"/>
        <w:rPr>
          <w:rFonts w:ascii="宋体" w:hAnsi="宋体" w:cs="宋体"/>
          <w:sz w:val="24"/>
          <w:u w:val="single"/>
        </w:rPr>
      </w:pPr>
      <w:r>
        <w:rPr>
          <w:rFonts w:hint="eastAsia" w:ascii="宋体" w:hAnsi="宋体" w:cs="宋体"/>
          <w:sz w:val="24"/>
        </w:rPr>
        <w:t xml:space="preserve">（1）合同签订后</w:t>
      </w:r>
      <w:r>
        <w:rPr>
          <w:rFonts w:hint="eastAsia" w:ascii="宋体" w:hAnsi="宋体" w:cs="宋体"/>
          <w:sz w:val="24"/>
          <w:u w:val="single"/>
        </w:rPr>
        <w:t xml:space="preserve">   </w:t>
      </w:r>
      <w:r>
        <w:rPr>
          <w:rFonts w:hint="eastAsia" w:ascii="宋体" w:hAnsi="宋体" w:cs="宋体"/>
          <w:sz w:val="24"/>
        </w:rPr>
        <w:t xml:space="preserve">个工作日内，甲方应支付合同价款的百分之</w:t>
      </w:r>
      <w:r>
        <w:rPr>
          <w:rFonts w:hint="eastAsia" w:ascii="宋体" w:hAnsi="宋体" w:cs="宋体"/>
          <w:sz w:val="24"/>
          <w:u w:val="single"/>
        </w:rPr>
        <w:t xml:space="preserve">XX（    XX%），</w:t>
      </w:r>
      <w:r>
        <w:rPr>
          <w:rFonts w:hint="eastAsia" w:ascii="宋体" w:hAnsi="宋体" w:cs="宋体"/>
          <w:sz w:val="24"/>
        </w:rPr>
        <w:t xml:space="preserve">小写￥</w:t>
      </w:r>
      <w:r>
        <w:rPr>
          <w:rFonts w:hint="eastAsia" w:ascii="宋体" w:hAnsi="宋体" w:cs="宋体"/>
          <w:sz w:val="24"/>
          <w:u w:val="single"/>
        </w:rPr>
        <w:t xml:space="preserve">      </w:t>
      </w:r>
      <w:r>
        <w:rPr>
          <w:rFonts w:hint="eastAsia" w:ascii="宋体" w:hAnsi="宋体" w:cs="宋体"/>
          <w:sz w:val="24"/>
        </w:rPr>
        <w:t xml:space="preserve">大写：人民币</w:t>
      </w:r>
      <w:r>
        <w:rPr>
          <w:rFonts w:hint="eastAsia" w:ascii="宋体" w:hAnsi="宋体" w:cs="宋体"/>
          <w:sz w:val="24"/>
          <w:u w:val="single"/>
        </w:rPr>
        <w:t xml:space="preserve">          </w:t>
      </w:r>
      <w:r>
        <w:rPr>
          <w:rFonts w:hint="eastAsia" w:ascii="宋体" w:hAnsi="宋体" w:cs="宋体"/>
          <w:sz w:val="24"/>
        </w:rPr>
        <w:t xml:space="preserve">。</w:t>
      </w:r>
      <w:r/>
    </w:p>
    <w:p>
      <w:pPr>
        <w:ind w:left="140" w:firstLine="482"/>
        <w:spacing w:line="360" w:lineRule="auto"/>
        <w:rPr>
          <w:rFonts w:ascii="宋体" w:hAnsi="宋体" w:cs="宋体"/>
          <w:sz w:val="24"/>
        </w:rPr>
      </w:pPr>
      <w:r>
        <w:rPr>
          <w:rFonts w:hint="eastAsia" w:ascii="宋体" w:hAnsi="宋体" w:cs="宋体"/>
          <w:sz w:val="24"/>
        </w:rPr>
        <w:t xml:space="preserve">乙方需提交的支付文件：乙方出具的全额正式发票。</w:t>
      </w:r>
      <w:r/>
    </w:p>
    <w:p>
      <w:pPr>
        <w:ind w:left="140" w:firstLine="482"/>
        <w:spacing w:line="360" w:lineRule="auto"/>
        <w:rPr>
          <w:rFonts w:ascii="宋体" w:hAnsi="宋体" w:cs="宋体"/>
          <w:sz w:val="24"/>
        </w:rPr>
      </w:pPr>
      <w:r>
        <w:rPr>
          <w:rFonts w:hint="eastAsia" w:ascii="宋体" w:hAnsi="宋体" w:cs="宋体"/>
          <w:sz w:val="24"/>
        </w:rPr>
        <w:t xml:space="preserve">（2）验收合格后</w:t>
      </w:r>
      <w:r>
        <w:rPr>
          <w:rFonts w:hint="eastAsia" w:ascii="宋体" w:hAnsi="宋体" w:cs="宋体"/>
          <w:sz w:val="24"/>
          <w:u w:val="single"/>
        </w:rPr>
        <w:t xml:space="preserve">   </w:t>
      </w:r>
      <w:r>
        <w:rPr>
          <w:rFonts w:hint="eastAsia" w:ascii="宋体" w:hAnsi="宋体" w:cs="宋体"/>
          <w:sz w:val="24"/>
        </w:rPr>
        <w:t xml:space="preserve">个工作日内，甲方应支付合同价款的百分之</w:t>
      </w:r>
      <w:r>
        <w:rPr>
          <w:rFonts w:hint="eastAsia" w:ascii="宋体" w:hAnsi="宋体" w:cs="宋体"/>
          <w:sz w:val="24"/>
          <w:u w:val="single"/>
        </w:rPr>
        <w:t xml:space="preserve">XX（    XX%），</w:t>
      </w:r>
      <w:r>
        <w:rPr>
          <w:rFonts w:hint="eastAsia" w:ascii="宋体" w:hAnsi="宋体" w:cs="宋体"/>
          <w:sz w:val="24"/>
        </w:rPr>
        <w:t xml:space="preserve">小写￥</w:t>
      </w:r>
      <w:r>
        <w:rPr>
          <w:rFonts w:hint="eastAsia" w:ascii="宋体" w:hAnsi="宋体" w:cs="宋体"/>
          <w:sz w:val="24"/>
          <w:u w:val="single"/>
        </w:rPr>
        <w:t xml:space="preserve">      </w:t>
      </w:r>
      <w:r>
        <w:rPr>
          <w:rFonts w:hint="eastAsia" w:ascii="宋体" w:hAnsi="宋体" w:cs="宋体"/>
          <w:sz w:val="24"/>
        </w:rPr>
        <w:t xml:space="preserve">大写：人民币</w:t>
      </w:r>
      <w:r>
        <w:rPr>
          <w:rFonts w:hint="eastAsia" w:ascii="宋体" w:hAnsi="宋体" w:cs="宋体"/>
          <w:sz w:val="24"/>
          <w:u w:val="single"/>
        </w:rPr>
        <w:t xml:space="preserve">          </w:t>
      </w:r>
      <w:r>
        <w:rPr>
          <w:rFonts w:hint="eastAsia" w:ascii="宋体" w:hAnsi="宋体" w:cs="宋体"/>
          <w:sz w:val="24"/>
        </w:rPr>
        <w:t xml:space="preserve">。</w:t>
      </w:r>
      <w:r/>
    </w:p>
    <w:p>
      <w:pPr>
        <w:ind w:firstLine="484"/>
        <w:spacing w:line="360" w:lineRule="auto"/>
        <w:rPr>
          <w:rFonts w:ascii="宋体" w:hAnsi="宋体" w:cs="宋体"/>
          <w:b/>
          <w:sz w:val="24"/>
        </w:rPr>
      </w:pPr>
      <w:r>
        <w:rPr>
          <w:rFonts w:hint="eastAsia" w:ascii="宋体" w:hAnsi="宋体" w:cs="宋体"/>
          <w:b/>
          <w:sz w:val="24"/>
        </w:rPr>
        <w:t xml:space="preserve">……</w:t>
      </w:r>
      <w:r/>
    </w:p>
    <w:p>
      <w:pPr>
        <w:ind w:left="140" w:firstLine="484"/>
        <w:spacing w:line="360" w:lineRule="auto"/>
        <w:rPr>
          <w:rFonts w:ascii="宋体" w:hAnsi="宋体" w:cs="宋体"/>
          <w:b/>
          <w:sz w:val="24"/>
        </w:rPr>
      </w:pPr>
      <w:r>
        <w:rPr>
          <w:rFonts w:hint="eastAsia" w:ascii="宋体" w:hAnsi="宋体" w:cs="宋体"/>
          <w:b/>
          <w:sz w:val="24"/>
        </w:rPr>
        <w:t xml:space="preserve">注:</w:t>
      </w:r>
      <w:r/>
    </w:p>
    <w:p>
      <w:pPr>
        <w:ind w:left="140" w:firstLine="482"/>
        <w:spacing w:line="360" w:lineRule="auto"/>
        <w:rPr>
          <w:rFonts w:ascii="宋体" w:hAnsi="宋体" w:cs="宋体"/>
          <w:sz w:val="24"/>
        </w:rPr>
      </w:pPr>
      <w:r>
        <w:rPr>
          <w:rFonts w:hint="eastAsia" w:ascii="宋体" w:hAnsi="宋体" w:cs="宋体"/>
          <w:sz w:val="24"/>
        </w:rPr>
        <w:t xml:space="preserve">1、付款条件一中，出具预付款保函后支付的合同款应当与保函金额一致。</w:t>
      </w:r>
      <w:r/>
    </w:p>
    <w:p>
      <w:pPr>
        <w:ind w:left="140" w:firstLine="482"/>
        <w:spacing w:line="360" w:lineRule="auto"/>
        <w:rPr>
          <w:rFonts w:ascii="宋体" w:hAnsi="宋体" w:cs="宋体"/>
          <w:sz w:val="24"/>
        </w:rPr>
      </w:pPr>
      <w:r>
        <w:rPr>
          <w:rFonts w:hint="eastAsia" w:ascii="宋体" w:hAnsi="宋体" w:cs="宋体"/>
          <w:sz w:val="24"/>
        </w:rPr>
        <w:t xml:space="preserve">2、付款条件二中，预付款比例设定应符合《关于做好政府采购支持企业发展有关事项的通知》(苏财购〔2020〕52号)要求。</w:t>
      </w:r>
      <w:r/>
    </w:p>
    <w:p>
      <w:pPr>
        <w:pStyle w:val="1040"/>
        <w:rPr>
          <w:rFonts w:hint="eastAsia" w:ascii="宋体" w:hAnsi="宋体" w:eastAsia="宋体" w:cs="宋体"/>
          <w:lang w:val="en-US" w:eastAsia="zh-CN"/>
        </w:rPr>
      </w:pPr>
      <w:r>
        <w:rPr>
          <w:rFonts w:hint="eastAsia" w:ascii="宋体" w:hAnsi="宋体" w:eastAsia="宋体" w:cs="宋体"/>
          <w:lang w:val="en-US" w:eastAsia="zh-CN"/>
        </w:rPr>
      </w:r>
      <w:r/>
    </w:p>
    <w:sectPr>
      <w:footerReference w:type="default" r:id="rId18"/>
      <w:footerReference w:type="first" r:id="rId19"/>
      <w:footnotePr/>
      <w:endnotePr/>
      <w:type w:val="nextPage"/>
      <w:pgSz w:w="11906" w:h="16838" w:orient="portrait"/>
      <w:pgMar w:top="1440" w:right="1440" w:bottom="1440" w:left="1440"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ymbol">
    <w:panose1 w:val="05050102010706020507"/>
  </w:font>
  <w:font w:name="Wingdings">
    <w:panose1 w:val="05000000000000000000"/>
  </w:font>
  <w:font w:name="楷体_GB2312">
    <w:panose1 w:val="02010609060101010101"/>
  </w:font>
  <w:font w:name="Tahoma">
    <w:panose1 w:val="020B0604030504040204"/>
  </w:font>
  <w:font w:name="仿宋">
    <w:panose1 w:val="02010609060101010101"/>
  </w:font>
  <w:font w:name="Courier New">
    <w:panose1 w:val="02070309020205020404"/>
  </w:font>
  <w:font w:name="Calibri">
    <w:panose1 w:val="020F0502020204030204"/>
  </w:font>
  <w:font w:name="仿宋_GB2312">
    <w:panose1 w:val="02010609060101010101"/>
  </w:font>
  <w:font w:name="黑体">
    <w:panose1 w:val="02010609060101010101"/>
  </w:font>
  <w:font w:name="Arial">
    <w:panose1 w:val="020B0604020202020204"/>
  </w:font>
  <w:font w:name="方正仿宋_GBK">
    <w:panose1 w:val="020B0503020202020204"/>
  </w:font>
  <w:font w:name="Cambria">
    <w:panose1 w:val="02040503050406030204"/>
  </w:font>
  <w:font w:name="方正黑体_GBK">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027"/>
                            <w:tabs>
                              <w:tab w:val="clear" w:pos="4153" w:leader="none"/>
                              <w:tab w:val="center" w:pos="7143" w:leader="none"/>
                              <w:tab w:val="clear" w:pos="8306" w:leader="none"/>
                              <w:tab w:val="right" w:pos="14287" w:leader="none"/>
                            </w:tabs>
                          </w:pPr>
                          <w:r>
                            <w:fldChar w:fldCharType="begin"/>
                          </w:r>
                          <w:r>
                            <w:instrText xml:space="preserve"> PAGE  \* MERGEFORMAT </w:instrText>
                          </w:r>
                          <w:r>
                            <w:fldChar w:fldCharType="separate"/>
                          </w:r>
                          <w:r>
                            <w:t xml:space="preserve">54</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7"/>
                      <w:tabs>
                        <w:tab w:val="clear" w:pos="4153" w:leader="none"/>
                        <w:tab w:val="center" w:pos="7143" w:leader="none"/>
                        <w:tab w:val="clear" w:pos="8306" w:leader="none"/>
                        <w:tab w:val="right" w:pos="14287" w:leader="none"/>
                      </w:tabs>
                    </w:pPr>
                    <w:r>
                      <w:fldChar w:fldCharType="begin"/>
                    </w:r>
                    <w:r>
                      <w:instrText xml:space="preserve"> PAGE  \* MERGEFORMAT </w:instrText>
                    </w:r>
                    <w:r>
                      <w:fldChar w:fldCharType="separate"/>
                    </w:r>
                    <w:r>
                      <w:t xml:space="preserve">54</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2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2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27"/>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27"/>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rPr>
        <w:rStyle w:val="1045"/>
      </w:rPr>
      <w:framePr w:wrap="around" w:vAnchor="text" w:hAnchor="margin" w:xAlign="center" w:y="1"/>
    </w:pPr>
    <w:r>
      <w:fldChar w:fldCharType="begin"/>
    </w:r>
    <w:r>
      <w:rPr>
        <w:rStyle w:val="1045"/>
      </w:rPr>
      <w:instrText xml:space="preserve">PAGE  </w:instrText>
    </w:r>
    <w:r>
      <w:fldChar w:fldCharType="end"/>
    </w:r>
    <w:r/>
  </w:p>
  <w:p>
    <w:pPr>
      <w:pStyle w:val="1027"/>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2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2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6"/>
      <w:jc w:val="both"/>
      <w:rPr>
        <w:rFonts w:eastAsia="仿宋_GB2312"/>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sz w:val="18"/>
                            </w:rPr>
                            <w:t xml:space="preserve">19</w:t>
                          </w:r>
                          <w:r>
                            <w:rPr>
                              <w:rFonts w:hint="eastAsia"/>
                              <w:sz w:val="18"/>
                              <w:lang w:eastAsia="zh-CN"/>
                            </w:rPr>
                            <w:fldChar w:fldCharType="end"/>
                          </w:r>
                          <w:r/>
                        </w:p>
                        <w:p>
                          <w:r/>
                          <w:r/>
                        </w:p>
                        <w:p>
                          <w:r/>
                          <w:r/>
                        </w:p>
                      </w:txbxContent>
                    </wps:txbx>
                    <wps:bodyPr wrap="none" lIns="0" tIns="0" rIns="0" bIns="0" upright="1">
                      <a:spAutoFit/>
                    </wps:bodyPr>
                  </wps:wsp>
                </a:graphicData>
              </a:graphic>
            </wp:anchor>
          </w:drawing>
        </mc:Choice>
        <mc:Fallback>
          <w:pict>
            <v:shape id="shape 4" o:spid="_x0000_s4"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sz w:val="18"/>
                      </w:rPr>
                      <w:t xml:space="preserve">19</w:t>
                    </w:r>
                    <w:r>
                      <w:rPr>
                        <w:rFonts w:hint="eastAsia"/>
                        <w:sz w:val="18"/>
                        <w:lang w:eastAsia="zh-CN"/>
                      </w:rPr>
                      <w:fldChar w:fldCharType="end"/>
                    </w:r>
                    <w:r/>
                  </w:p>
                  <w:p>
                    <w:r/>
                    <w:r/>
                  </w:p>
                  <w:p>
                    <w:r/>
                    <w:r/>
                  </w:p>
                </w:txbxContent>
              </v:textbox>
            </v:shape>
          </w:pict>
        </mc:Fallback>
      </mc:AlternateContent>
    </w: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229235" cy="147955"/>
              <wp:effectExtent l="0" t="0" r="0" b="0"/>
              <wp:wrapNone/>
              <wp:docPr id="6" name="文本框 6"/>
              <wp:cNvGraphicFramePr/>
              <a:graphic xmlns:a="http://schemas.openxmlformats.org/drawingml/2006/main">
                <a:graphicData uri="http://schemas.microsoft.com/office/word/2010/wordprocessingShape">
                  <wps:wsp>
                    <wps:cNvPr id="0" name=""/>
                    <wps:cNvSpPr txBox="1"/>
                    <wps:spPr bwMode="auto">
                      <a:xfrm>
                        <a:off x="0" y="0"/>
                        <a:ext cx="229235" cy="147955"/>
                      </a:xfrm>
                      <a:prstGeom prst="rect">
                        <a:avLst/>
                      </a:prstGeom>
                      <a:noFill/>
                      <a:ln>
                        <a:noFill/>
                      </a:ln>
                    </wps:spPr>
                    <wps:txbx>
                      <w:txbxContent>
                        <w:p>
                          <w:pPr>
                            <w:rPr>
                              <w:rFonts w:eastAsia="宋体"/>
                              <w:sz w:val="18"/>
                              <w:lang w:val="en-US" w:eastAsia="zh-CN"/>
                            </w:rPr>
                          </w:pPr>
                          <w:r>
                            <w:rPr>
                              <w:rFonts w:eastAsia="宋体"/>
                              <w:sz w:val="18"/>
                              <w:lang w:val="en-US" w:eastAsia="zh-CN"/>
                            </w:rPr>
                          </w:r>
                          <w:r/>
                        </w:p>
                        <w:p>
                          <w:r/>
                          <w:r/>
                        </w:p>
                        <w:p>
                          <w:r/>
                          <w:r/>
                        </w:p>
                      </w:txbxContent>
                    </wps:txbx>
                    <wps:bodyPr wrap="none" lIns="0" tIns="0" rIns="0" bIns="0" upright="1">
                      <a:spAutoFit/>
                    </wps:bodyPr>
                  </wps:wsp>
                </a:graphicData>
              </a:graphic>
            </wp:anchor>
          </w:drawing>
        </mc:Choice>
        <mc:Fallback>
          <w:pict>
            <v:shape id="shape 5" o:spid="_x0000_s5" o:spt="202" type="#_x0000_t202" style="position:absolute;z-index:251666432;o:allowoverlap:true;o:allowincell:true;mso-position-horizontal-relative:margin;mso-position-horizontal:center;mso-position-vertical-relative:text;margin-top:0.0pt;mso-position-vertical:absolute;width:18.1pt;height:11.6pt;mso-wrap-distance-left:9.0pt;mso-wrap-distance-top:0.0pt;mso-wrap-distance-right:9.0pt;mso-wrap-distance-bottom:0.0pt;visibility:visible;" filled="f" stroked="f">
              <v:textbox inset="0,0,0,0">
                <w:txbxContent>
                  <w:p>
                    <w:pPr>
                      <w:rPr>
                        <w:rFonts w:eastAsia="宋体"/>
                        <w:sz w:val="18"/>
                        <w:lang w:val="en-US" w:eastAsia="zh-CN"/>
                      </w:rPr>
                    </w:pPr>
                    <w:r>
                      <w:rPr>
                        <w:rFonts w:eastAsia="宋体"/>
                        <w:sz w:val="18"/>
                        <w:lang w:val="en-US" w:eastAsia="zh-CN"/>
                      </w:rPr>
                    </w:r>
                    <w:r/>
                  </w:p>
                  <w:p>
                    <w:r/>
                    <w:r/>
                  </w:p>
                  <w:p>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27"/>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6" o:spid="_x0000_s6"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27"/>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27"/>
                          </w:pPr>
                          <w:r>
                            <w:fldChar w:fldCharType="begin"/>
                          </w:r>
                          <w:r>
                            <w:instrText xml:space="preserve"> PAGE  \* MERGEFORMAT </w:instrText>
                          </w:r>
                          <w:r>
                            <w:fldChar w:fldCharType="separate"/>
                          </w:r>
                          <w:r>
                            <w:t xml:space="preserve">50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7" o:spid="_x0000_s7"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27"/>
                    </w:pPr>
                    <w:r>
                      <w:fldChar w:fldCharType="begin"/>
                    </w:r>
                    <w:r>
                      <w:instrText xml:space="preserve"> PAGE  \* MERGEFORMAT </w:instrText>
                    </w:r>
                    <w:r>
                      <w:fldChar w:fldCharType="separate"/>
                    </w:r>
                    <w:r>
                      <w:t xml:space="preserve">50</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rPr>
    </w:pPr>
    <w:r>
      <w:tab/>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8"/>
      <w:pBdr>
        <w:bottom w:val="none" w:color="auto"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rFonts w:hint="eastAsia"/>
        <w:i/>
        <w:iCs/>
        <w:sz w:val="18"/>
      </w:rPr>
      <w:pBdr>
        <w:bottom w:val="none" w:color="auto" w:sz="0" w:space="0"/>
      </w:pBdr>
    </w:pPr>
    <w:r>
      <w:rPr>
        <w:rFonts w:hint="eastAsia"/>
        <w:i/>
        <w:iCs/>
        <w:sz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054"/>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
      <w:numFmt w:val="decimal"/>
      <w:pStyle w:val="1050"/>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5">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8"/>
  </w:num>
  <w:num w:numId="4">
    <w:abstractNumId w:val="2"/>
  </w:num>
  <w:num w:numId="5">
    <w:abstractNumId w:val="1"/>
  </w:num>
  <w:num w:numId="6">
    <w:abstractNumId w:val="6"/>
  </w:num>
  <w:num w:numId="7">
    <w:abstractNumId w:val="7"/>
  </w:num>
  <w:num w:numId="8">
    <w:abstractNumId w:val="9"/>
  </w:num>
  <w:num w:numId="9">
    <w:abstractNumId w:val="5"/>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80" w:default="1">
    <w:name w:val="Normal"/>
    <w:next w:val="992"/>
    <w:link w:val="125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81">
    <w:name w:val="Heading 1"/>
    <w:basedOn w:val="980"/>
    <w:next w:val="980"/>
    <w:uiPriority w:val="0"/>
    <w:qFormat/>
    <w:pPr>
      <w:ind w:firstLine="640"/>
      <w:spacing w:line="580" w:lineRule="exact"/>
      <w:outlineLvl w:val="0"/>
    </w:pPr>
    <w:rPr>
      <w:rFonts w:ascii="方正黑体_GBK" w:hAnsi="Times New Roman" w:eastAsia="方正黑体_GBK" w:cs="Times New Roman"/>
    </w:rPr>
  </w:style>
  <w:style w:type="paragraph" w:styleId="982">
    <w:name w:val="Heading 2"/>
    <w:basedOn w:val="980"/>
    <w:next w:val="980"/>
    <w:uiPriority w:val="0"/>
    <w:qFormat/>
    <w:pPr>
      <w:keepLines/>
      <w:keepNext/>
      <w:spacing w:before="260" w:after="260" w:line="412" w:lineRule="auto"/>
      <w:outlineLvl w:val="1"/>
    </w:pPr>
    <w:rPr>
      <w:rFonts w:ascii="Arial" w:hAnsi="Arial" w:eastAsia="黑体" w:cs="Times New Roman"/>
      <w:sz w:val="32"/>
      <w:szCs w:val="32"/>
    </w:rPr>
  </w:style>
  <w:style w:type="paragraph" w:styleId="983">
    <w:name w:val="Heading 3"/>
    <w:basedOn w:val="980"/>
    <w:next w:val="980"/>
    <w:uiPriority w:val="0"/>
    <w:qFormat/>
    <w:pPr>
      <w:keepLines/>
      <w:keepNext/>
      <w:spacing w:before="260" w:after="260" w:line="416" w:lineRule="auto"/>
      <w:outlineLvl w:val="2"/>
    </w:pPr>
    <w:rPr>
      <w:b/>
      <w:bCs/>
      <w:sz w:val="32"/>
      <w:szCs w:val="32"/>
    </w:rPr>
  </w:style>
  <w:style w:type="paragraph" w:styleId="984">
    <w:name w:val="Heading 4"/>
    <w:basedOn w:val="980"/>
    <w:next w:val="980"/>
    <w:link w:val="1077"/>
    <w:uiPriority w:val="9"/>
    <w:qFormat/>
    <w:pPr>
      <w:keepLines/>
      <w:keepNext/>
      <w:spacing w:before="320" w:after="200"/>
      <w:outlineLvl w:val="3"/>
    </w:pPr>
    <w:rPr>
      <w:rFonts w:ascii="Arial" w:hAnsi="Arial" w:eastAsia="Arial" w:cs="Arial"/>
      <w:b/>
      <w:bCs/>
      <w:sz w:val="26"/>
      <w:szCs w:val="26"/>
    </w:rPr>
  </w:style>
  <w:style w:type="paragraph" w:styleId="985">
    <w:name w:val="Heading 5"/>
    <w:basedOn w:val="980"/>
    <w:next w:val="980"/>
    <w:link w:val="1078"/>
    <w:uiPriority w:val="9"/>
    <w:qFormat/>
    <w:pPr>
      <w:keepLines/>
      <w:keepNext/>
      <w:spacing w:before="320" w:after="200"/>
      <w:outlineLvl w:val="4"/>
    </w:pPr>
    <w:rPr>
      <w:rFonts w:ascii="Arial" w:hAnsi="Arial" w:eastAsia="Arial" w:cs="Arial"/>
      <w:b/>
      <w:bCs/>
      <w:sz w:val="24"/>
      <w:szCs w:val="24"/>
    </w:rPr>
  </w:style>
  <w:style w:type="paragraph" w:styleId="986">
    <w:name w:val="Heading 6"/>
    <w:basedOn w:val="980"/>
    <w:next w:val="980"/>
    <w:link w:val="1079"/>
    <w:uiPriority w:val="9"/>
    <w:qFormat/>
    <w:pPr>
      <w:keepLines/>
      <w:keepNext/>
      <w:spacing w:before="320" w:after="200"/>
      <w:outlineLvl w:val="5"/>
    </w:pPr>
    <w:rPr>
      <w:rFonts w:ascii="Arial" w:hAnsi="Arial" w:eastAsia="Arial" w:cs="Arial"/>
      <w:b/>
      <w:bCs/>
      <w:sz w:val="22"/>
      <w:szCs w:val="22"/>
    </w:rPr>
  </w:style>
  <w:style w:type="paragraph" w:styleId="987">
    <w:name w:val="Heading 7"/>
    <w:basedOn w:val="980"/>
    <w:next w:val="980"/>
    <w:link w:val="1080"/>
    <w:uiPriority w:val="9"/>
    <w:qFormat/>
    <w:pPr>
      <w:keepLines/>
      <w:keepNext/>
      <w:spacing w:before="320" w:after="200"/>
      <w:outlineLvl w:val="6"/>
    </w:pPr>
    <w:rPr>
      <w:rFonts w:ascii="Arial" w:hAnsi="Arial" w:eastAsia="Arial" w:cs="Arial"/>
      <w:b/>
      <w:bCs/>
      <w:i/>
      <w:iCs/>
      <w:sz w:val="22"/>
      <w:szCs w:val="22"/>
    </w:rPr>
  </w:style>
  <w:style w:type="paragraph" w:styleId="988">
    <w:name w:val="Heading 8"/>
    <w:basedOn w:val="980"/>
    <w:next w:val="980"/>
    <w:link w:val="1081"/>
    <w:uiPriority w:val="9"/>
    <w:qFormat/>
    <w:pPr>
      <w:keepLines/>
      <w:keepNext/>
      <w:spacing w:before="320" w:after="200"/>
      <w:outlineLvl w:val="7"/>
    </w:pPr>
    <w:rPr>
      <w:rFonts w:ascii="Arial" w:hAnsi="Arial" w:eastAsia="Arial" w:cs="Arial"/>
      <w:i/>
      <w:iCs/>
      <w:sz w:val="22"/>
      <w:szCs w:val="22"/>
    </w:rPr>
  </w:style>
  <w:style w:type="paragraph" w:styleId="989">
    <w:name w:val="Heading 9"/>
    <w:basedOn w:val="980"/>
    <w:next w:val="980"/>
    <w:link w:val="1082"/>
    <w:uiPriority w:val="9"/>
    <w:qFormat/>
    <w:pPr>
      <w:keepLines/>
      <w:keepNext/>
      <w:spacing w:before="320" w:after="200"/>
      <w:outlineLvl w:val="8"/>
    </w:pPr>
    <w:rPr>
      <w:rFonts w:ascii="Arial" w:hAnsi="Arial" w:eastAsia="Arial" w:cs="Arial"/>
      <w:i/>
      <w:iCs/>
      <w:sz w:val="21"/>
      <w:szCs w:val="21"/>
    </w:rPr>
  </w:style>
  <w:style w:type="character" w:styleId="990" w:default="1">
    <w:name w:val="Default Paragraph Font"/>
    <w:uiPriority w:val="0"/>
    <w:qFormat/>
    <w:rPr>
      <w:rFonts w:ascii="Times New Roman" w:hAnsi="Times New Roman" w:eastAsia="宋体" w:cs="Times New Roman"/>
    </w:rPr>
  </w:style>
  <w:style w:type="table" w:styleId="991" w:default="1">
    <w:name w:val="Normal Table"/>
    <w:uiPriority w:val="0"/>
    <w:qFormat/>
    <w:rPr>
      <w:rFonts w:ascii="Times New Roman" w:hAnsi="Times New Roman" w:eastAsia="宋体" w:cs="Times New Roman"/>
    </w:rPr>
    <w:tblPr>
      <w:tblCellMar>
        <w:left w:w="108" w:type="dxa"/>
        <w:top w:w="0" w:type="dxa"/>
        <w:right w:w="108" w:type="dxa"/>
        <w:bottom w:w="0" w:type="dxa"/>
      </w:tblCellMar>
    </w:tblPr>
  </w:style>
  <w:style w:type="paragraph" w:styleId="992" w:customStyle="1">
    <w:name w:val="目录 112"/>
    <w:basedOn w:val="980"/>
    <w:next w:val="980"/>
    <w:uiPriority w:val="39"/>
    <w:unhideWhenUsed/>
    <w:qFormat/>
    <w:pPr>
      <w:spacing w:after="57"/>
    </w:pPr>
  </w:style>
  <w:style w:type="paragraph" w:styleId="993">
    <w:name w:val="toc 7"/>
    <w:basedOn w:val="980"/>
    <w:next w:val="980"/>
    <w:uiPriority w:val="39"/>
    <w:qFormat/>
    <w:pPr>
      <w:ind w:left="1701" w:right="0" w:firstLine="0"/>
      <w:spacing w:after="57"/>
    </w:pPr>
  </w:style>
  <w:style w:type="paragraph" w:styleId="994">
    <w:name w:val="Caption"/>
    <w:basedOn w:val="980"/>
    <w:next w:val="980"/>
    <w:uiPriority w:val="35"/>
    <w:qFormat/>
    <w:pPr>
      <w:spacing w:line="276" w:lineRule="auto"/>
    </w:pPr>
    <w:rPr>
      <w:b/>
      <w:bCs/>
      <w:color w:val="4f81bd"/>
      <w:sz w:val="18"/>
      <w:szCs w:val="18"/>
    </w:rPr>
  </w:style>
  <w:style w:type="paragraph" w:styleId="995">
    <w:name w:val="index 5"/>
    <w:basedOn w:val="980"/>
    <w:next w:val="980"/>
    <w:uiPriority w:val="0"/>
    <w:qFormat/>
    <w:pPr>
      <w:ind w:left="798"/>
      <w:jc w:val="left"/>
    </w:pPr>
    <w:rPr>
      <w:rFonts w:ascii="Calibri" w:hAnsi="Calibri"/>
    </w:rPr>
  </w:style>
  <w:style w:type="paragraph" w:styleId="996">
    <w:name w:val="Document Map"/>
    <w:basedOn w:val="980"/>
    <w:link w:val="1221"/>
    <w:uiPriority w:val="0"/>
    <w:qFormat/>
    <w:rPr>
      <w:rFonts w:ascii="宋体"/>
      <w:sz w:val="18"/>
      <w:szCs w:val="18"/>
    </w:rPr>
  </w:style>
  <w:style w:type="paragraph" w:styleId="997">
    <w:name w:val="annotation text"/>
    <w:basedOn w:val="980"/>
    <w:link w:val="1222"/>
    <w:uiPriority w:val="0"/>
    <w:qFormat/>
    <w:pPr>
      <w:jc w:val="left"/>
    </w:pPr>
  </w:style>
  <w:style w:type="paragraph" w:styleId="998">
    <w:name w:val="Body Text"/>
    <w:basedOn w:val="980"/>
    <w:next w:val="999"/>
    <w:uiPriority w:val="0"/>
    <w:qFormat/>
    <w:pPr>
      <w:spacing w:after="120"/>
    </w:pPr>
    <w:rPr>
      <w:rFonts w:ascii="Times New Roman" w:hAnsi="Times New Roman" w:eastAsia="宋体" w:cs="Times New Roman"/>
    </w:rPr>
  </w:style>
  <w:style w:type="paragraph" w:styleId="999" w:customStyle="1">
    <w:name w:val="一级条标题"/>
    <w:basedOn w:val="1000"/>
    <w:next w:val="1001"/>
    <w:uiPriority w:val="0"/>
    <w:qFormat/>
    <w:pPr>
      <w:ind w:left="907" w:hanging="907"/>
      <w:spacing w:before="0" w:after="0"/>
      <w:tabs>
        <w:tab w:val="left" w:pos="810" w:leader="none"/>
        <w:tab w:val="left" w:pos="907" w:leader="none"/>
        <w:tab w:val="left" w:pos="1265" w:leader="none"/>
      </w:tabs>
      <w:outlineLvl w:val="2"/>
    </w:pPr>
    <w:rPr>
      <w:rFonts w:ascii="Times New Roman" w:hAnsi="宋体" w:eastAsia="宋体" w:cs="Times New Roman"/>
      <w:sz w:val="20"/>
      <w:szCs w:val="20"/>
    </w:rPr>
  </w:style>
  <w:style w:type="paragraph" w:styleId="1000" w:customStyle="1">
    <w:name w:val="章标题"/>
    <w:next w:val="980"/>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1001" w:customStyle="1">
    <w:name w:val="段"/>
    <w:basedOn w:val="1002"/>
    <w:next w:val="980"/>
    <w:uiPriority w:val="0"/>
    <w:qFormat/>
    <w:pPr>
      <w:ind w:firstLine="200"/>
      <w:widowControl/>
    </w:pPr>
    <w:rPr>
      <w:rFonts w:hint="eastAsia" w:ascii="宋体" w:hAnsi="Times New Roman" w:eastAsia="宋体" w:cs="Times New Roman"/>
      <w:sz w:val="20"/>
      <w:szCs w:val="20"/>
    </w:rPr>
  </w:style>
  <w:style w:type="paragraph" w:styleId="1002" w:customStyle="1">
    <w:name w:val="正文1"/>
    <w:basedOn w:val="1003"/>
    <w:next w:val="1011"/>
    <w:link w:val="1242"/>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1003" w:customStyle="1">
    <w:name w:val="正文11"/>
    <w:next w:val="1004"/>
    <w:uiPriority w:val="0"/>
    <w:qFormat/>
    <w:pPr>
      <w:jc w:val="both"/>
    </w:pPr>
    <w:rPr>
      <w:rFonts w:hint="default" w:ascii="Times New Roman" w:hAnsi="Times New Roman" w:eastAsia="宋体" w:cs="Times New Roman"/>
      <w:lang w:val="en-US" w:eastAsia="zh-CN" w:bidi="ar-SA"/>
    </w:rPr>
  </w:style>
  <w:style w:type="paragraph" w:styleId="1004" w:customStyle="1">
    <w:name w:val="文本块1"/>
    <w:basedOn w:val="1005"/>
    <w:next w:val="1008"/>
    <w:uiPriority w:val="0"/>
    <w:qFormat/>
    <w:pPr>
      <w:ind w:left="256" w:right="6" w:firstLine="624"/>
    </w:pPr>
    <w:rPr>
      <w:rFonts w:eastAsia="仿宋_GB2312"/>
      <w:sz w:val="28"/>
      <w:szCs w:val="20"/>
    </w:rPr>
  </w:style>
  <w:style w:type="paragraph" w:styleId="1005" w:customStyle="1">
    <w:name w:val="正文111"/>
    <w:next w:val="100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06" w:customStyle="1">
    <w:name w:val="正文文本缩进1"/>
    <w:basedOn w:val="1002"/>
    <w:next w:val="1007"/>
    <w:uiPriority w:val="0"/>
    <w:qFormat/>
    <w:pPr>
      <w:ind w:left="420"/>
      <w:spacing w:after="120"/>
    </w:pPr>
    <w:rPr>
      <w:rFonts w:ascii="Calibri" w:hAnsi="Calibri"/>
    </w:rPr>
  </w:style>
  <w:style w:type="paragraph" w:styleId="1007" w:customStyle="1">
    <w:name w:val="寄信人地址1"/>
    <w:basedOn w:val="1003"/>
    <w:uiPriority w:val="0"/>
    <w:qFormat/>
    <w:rPr>
      <w:rFonts w:ascii="Arial" w:hAnsi="Arial"/>
    </w:rPr>
  </w:style>
  <w:style w:type="paragraph" w:styleId="1008" w:customStyle="1">
    <w:name w:val="标题 41"/>
    <w:basedOn w:val="1009"/>
    <w:next w:val="1003"/>
    <w:uiPriority w:val="0"/>
    <w:qFormat/>
    <w:pPr>
      <w:keepLines/>
      <w:keepNext/>
      <w:spacing w:before="280" w:after="290" w:line="376" w:lineRule="auto"/>
      <w:outlineLvl w:val="3"/>
    </w:pPr>
    <w:rPr>
      <w:rFonts w:ascii="Cambria" w:hAnsi="Cambria"/>
      <w:b/>
      <w:bCs/>
      <w:sz w:val="28"/>
      <w:szCs w:val="28"/>
    </w:rPr>
  </w:style>
  <w:style w:type="paragraph" w:styleId="1009" w:customStyle="1">
    <w:name w:val="正文12"/>
    <w:next w:val="1010"/>
    <w:uiPriority w:val="0"/>
    <w:qFormat/>
    <w:rPr>
      <w:rFonts w:hint="default" w:ascii="Times New Roman" w:hAnsi="Times New Roman" w:eastAsia="宋体" w:cs="Times New Roman"/>
    </w:rPr>
  </w:style>
  <w:style w:type="paragraph" w:styleId="1010" w:customStyle="1">
    <w:name w:val="无间隔1"/>
    <w:uiPriority w:val="0"/>
    <w:qFormat/>
    <w:rPr>
      <w:rFonts w:hint="default" w:ascii="Calibri" w:hAnsi="Calibri" w:eastAsia="宋体" w:cs="Times New Roman"/>
      <w:sz w:val="22"/>
      <w:lang w:val="en-US" w:eastAsia="zh-CN" w:bidi="ar-SA"/>
    </w:rPr>
  </w:style>
  <w:style w:type="paragraph" w:styleId="1011" w:customStyle="1">
    <w:name w:val="目录 11"/>
    <w:basedOn w:val="1012"/>
    <w:next w:val="1009"/>
    <w:uiPriority w:val="0"/>
    <w:qFormat/>
    <w:pPr>
      <w:jc w:val="left"/>
      <w:spacing w:before="60" w:line="400" w:lineRule="exact"/>
      <w:widowControl/>
    </w:pPr>
    <w:rPr>
      <w:rFonts w:ascii="宋体" w:hAnsi="宋体" w:eastAsia="黑体"/>
      <w:sz w:val="24"/>
    </w:rPr>
  </w:style>
  <w:style w:type="paragraph" w:styleId="1012" w:customStyle="1">
    <w:name w:val="正文112"/>
    <w:next w:val="10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13" w:customStyle="1">
    <w:name w:val="正文首行缩进1"/>
    <w:basedOn w:val="1014"/>
    <w:next w:val="1015"/>
    <w:uiPriority w:val="0"/>
    <w:qFormat/>
    <w:pPr>
      <w:ind w:firstLine="420"/>
    </w:pPr>
    <w:rPr>
      <w:rFonts w:ascii="仿宋_GB2312" w:hAnsi="Times New Roman" w:eastAsia="仿宋_GB2312"/>
      <w:sz w:val="30"/>
      <w:szCs w:val="30"/>
    </w:rPr>
  </w:style>
  <w:style w:type="paragraph" w:styleId="1014" w:customStyle="1">
    <w:name w:val="正文文本11"/>
    <w:basedOn w:val="1003"/>
    <w:next w:val="1005"/>
    <w:uiPriority w:val="0"/>
    <w:qFormat/>
    <w:pPr>
      <w:spacing w:after="120"/>
    </w:pPr>
  </w:style>
  <w:style w:type="paragraph" w:styleId="1015" w:customStyle="1">
    <w:name w:val="正文首行缩进 211"/>
    <w:basedOn w:val="1016"/>
    <w:next w:val="1012"/>
    <w:uiPriority w:val="0"/>
    <w:qFormat/>
    <w:pPr>
      <w:ind w:firstLine="420"/>
    </w:pPr>
    <w:rPr>
      <w:sz w:val="24"/>
    </w:rPr>
  </w:style>
  <w:style w:type="paragraph" w:styleId="1016" w:customStyle="1">
    <w:name w:val="正文文本缩进11"/>
    <w:basedOn w:val="1012"/>
    <w:next w:val="1017"/>
    <w:uiPriority w:val="0"/>
    <w:qFormat/>
    <w:pPr>
      <w:ind w:firstLine="538"/>
    </w:pPr>
    <w:rPr>
      <w:sz w:val="28"/>
    </w:rPr>
  </w:style>
  <w:style w:type="paragraph" w:styleId="1017" w:customStyle="1">
    <w:name w:val="寄信人地址11"/>
    <w:basedOn w:val="980"/>
    <w:uiPriority w:val="0"/>
    <w:qFormat/>
    <w:rPr>
      <w:rFonts w:ascii="Arial" w:hAnsi="Arial"/>
    </w:rPr>
  </w:style>
  <w:style w:type="paragraph" w:styleId="1018">
    <w:name w:val="Body Text Indent"/>
    <w:basedOn w:val="980"/>
    <w:next w:val="1019"/>
    <w:uiPriority w:val="0"/>
    <w:qFormat/>
    <w:pPr>
      <w:ind w:left="420"/>
      <w:spacing w:after="120"/>
    </w:pPr>
    <w:rPr>
      <w:rFonts w:ascii="Times New Roman" w:hAnsi="Times New Roman" w:eastAsia="宋体" w:cs="Times New Roman"/>
    </w:rPr>
  </w:style>
  <w:style w:type="paragraph" w:styleId="1019">
    <w:name w:val="envelope return"/>
    <w:basedOn w:val="980"/>
    <w:uiPriority w:val="99"/>
    <w:qFormat/>
    <w:rPr>
      <w:rFonts w:ascii="Arial" w:hAnsi="Arial"/>
    </w:rPr>
  </w:style>
  <w:style w:type="paragraph" w:styleId="1020">
    <w:name w:val="Block Text"/>
    <w:basedOn w:val="980"/>
    <w:uiPriority w:val="0"/>
    <w:qFormat/>
    <w:pPr>
      <w:ind w:left="630" w:right="-609" w:firstLine="420"/>
      <w:spacing w:line="360" w:lineRule="auto"/>
    </w:pPr>
    <w:rPr>
      <w:rFonts w:hint="eastAsia" w:ascii="仿宋_GB2312" w:hAnsi="Times New Roman" w:eastAsia="仿宋_GB2312" w:cs="Times New Roman"/>
      <w:sz w:val="24"/>
      <w:lang w:val="en-US" w:eastAsia="zh-CN" w:bidi="ar-SA"/>
    </w:rPr>
  </w:style>
  <w:style w:type="paragraph" w:styleId="1021">
    <w:name w:val="toc 5"/>
    <w:basedOn w:val="980"/>
    <w:next w:val="980"/>
    <w:uiPriority w:val="39"/>
    <w:qFormat/>
    <w:pPr>
      <w:ind w:left="1134" w:right="0" w:firstLine="0"/>
      <w:spacing w:after="57"/>
    </w:pPr>
  </w:style>
  <w:style w:type="paragraph" w:styleId="1022">
    <w:name w:val="toc 3"/>
    <w:basedOn w:val="980"/>
    <w:next w:val="980"/>
    <w:uiPriority w:val="39"/>
    <w:qFormat/>
    <w:pPr>
      <w:ind w:left="567" w:right="0" w:firstLine="0"/>
      <w:spacing w:after="57"/>
    </w:pPr>
  </w:style>
  <w:style w:type="paragraph" w:styleId="1023">
    <w:name w:val="Plain Text"/>
    <w:basedOn w:val="980"/>
    <w:link w:val="1223"/>
    <w:uiPriority w:val="0"/>
    <w:qFormat/>
    <w:rPr>
      <w:rFonts w:ascii="宋体" w:hAnsi="Courier New"/>
      <w:sz w:val="21"/>
      <w:szCs w:val="21"/>
    </w:rPr>
  </w:style>
  <w:style w:type="paragraph" w:styleId="1024">
    <w:name w:val="toc 8"/>
    <w:basedOn w:val="980"/>
    <w:next w:val="980"/>
    <w:uiPriority w:val="39"/>
    <w:qFormat/>
    <w:pPr>
      <w:ind w:left="1984" w:right="0" w:firstLine="0"/>
      <w:spacing w:after="57"/>
    </w:pPr>
  </w:style>
  <w:style w:type="paragraph" w:styleId="1025">
    <w:name w:val="endnote text"/>
    <w:basedOn w:val="980"/>
    <w:link w:val="1219"/>
    <w:uiPriority w:val="99"/>
    <w:qFormat/>
    <w:pPr>
      <w:spacing w:after="0" w:line="240" w:lineRule="auto"/>
    </w:pPr>
    <w:rPr>
      <w:sz w:val="20"/>
    </w:rPr>
  </w:style>
  <w:style w:type="paragraph" w:styleId="1026">
    <w:name w:val="Balloon Text"/>
    <w:basedOn w:val="980"/>
    <w:link w:val="1224"/>
    <w:uiPriority w:val="0"/>
    <w:qFormat/>
    <w:rPr>
      <w:sz w:val="18"/>
      <w:szCs w:val="18"/>
    </w:rPr>
  </w:style>
  <w:style w:type="paragraph" w:styleId="1027">
    <w:name w:val="Footer"/>
    <w:basedOn w:val="980"/>
    <w:uiPriority w:val="0"/>
    <w:qFormat/>
    <w:pPr>
      <w:jc w:val="left"/>
      <w:tabs>
        <w:tab w:val="center" w:pos="4153" w:leader="none"/>
        <w:tab w:val="right" w:pos="8306" w:leader="none"/>
      </w:tabs>
    </w:pPr>
    <w:rPr>
      <w:rFonts w:ascii="Times New Roman" w:hAnsi="Times New Roman" w:eastAsia="宋体" w:cs="Times New Roman"/>
      <w:sz w:val="18"/>
      <w:szCs w:val="18"/>
    </w:rPr>
  </w:style>
  <w:style w:type="paragraph" w:styleId="1028">
    <w:name w:val="Header"/>
    <w:basedOn w:val="980"/>
    <w:uiPriority w:val="0"/>
    <w:qFormat/>
    <w:pPr>
      <w:jc w:val="center"/>
      <w:tabs>
        <w:tab w:val="center" w:pos="4153" w:leader="none"/>
        <w:tab w:val="right" w:pos="8306" w:leader="none"/>
      </w:tabs>
      <w:pBdr>
        <w:bottom w:val="single" w:color="auto" w:sz="6" w:space="1"/>
      </w:pBdr>
    </w:pPr>
    <w:rPr>
      <w:rFonts w:ascii="Times New Roman" w:hAnsi="Times New Roman" w:eastAsia="宋体" w:cs="Times New Roman"/>
      <w:sz w:val="18"/>
      <w:szCs w:val="18"/>
    </w:rPr>
  </w:style>
  <w:style w:type="paragraph" w:styleId="1029">
    <w:name w:val="toc 1"/>
    <w:basedOn w:val="980"/>
    <w:next w:val="980"/>
    <w:uiPriority w:val="39"/>
    <w:qFormat/>
    <w:pPr>
      <w:ind w:left="0" w:right="0" w:firstLine="0"/>
      <w:spacing w:after="57"/>
    </w:pPr>
  </w:style>
  <w:style w:type="paragraph" w:styleId="1030">
    <w:name w:val="toc 4"/>
    <w:basedOn w:val="980"/>
    <w:next w:val="980"/>
    <w:uiPriority w:val="39"/>
    <w:qFormat/>
    <w:pPr>
      <w:ind w:left="850" w:right="0" w:firstLine="0"/>
      <w:spacing w:after="57"/>
    </w:pPr>
  </w:style>
  <w:style w:type="paragraph" w:styleId="1031">
    <w:name w:val="Subtitle"/>
    <w:basedOn w:val="980"/>
    <w:next w:val="980"/>
    <w:link w:val="1085"/>
    <w:uiPriority w:val="11"/>
    <w:qFormat/>
    <w:pPr>
      <w:spacing w:before="200" w:after="200"/>
    </w:pPr>
    <w:rPr>
      <w:sz w:val="24"/>
      <w:szCs w:val="24"/>
    </w:rPr>
  </w:style>
  <w:style w:type="paragraph" w:styleId="1032">
    <w:name w:val="footnote text"/>
    <w:basedOn w:val="980"/>
    <w:next w:val="995"/>
    <w:link w:val="1218"/>
    <w:uiPriority w:val="99"/>
    <w:qFormat/>
    <w:pPr>
      <w:spacing w:after="40" w:line="240" w:lineRule="auto"/>
    </w:pPr>
    <w:rPr>
      <w:sz w:val="18"/>
    </w:rPr>
  </w:style>
  <w:style w:type="paragraph" w:styleId="1033">
    <w:name w:val="toc 6"/>
    <w:basedOn w:val="980"/>
    <w:next w:val="980"/>
    <w:uiPriority w:val="39"/>
    <w:qFormat/>
    <w:pPr>
      <w:ind w:left="1417" w:right="0" w:firstLine="0"/>
      <w:spacing w:after="57"/>
    </w:pPr>
  </w:style>
  <w:style w:type="paragraph" w:styleId="1034">
    <w:name w:val="table of figures"/>
    <w:basedOn w:val="980"/>
    <w:next w:val="980"/>
    <w:uiPriority w:val="99"/>
    <w:qFormat/>
    <w:pPr>
      <w:spacing w:after="0" w:afterAutospacing="0"/>
    </w:pPr>
  </w:style>
  <w:style w:type="paragraph" w:styleId="1035">
    <w:name w:val="toc 2"/>
    <w:basedOn w:val="980"/>
    <w:next w:val="980"/>
    <w:uiPriority w:val="39"/>
    <w:qFormat/>
    <w:pPr>
      <w:ind w:left="283" w:right="0" w:firstLine="0"/>
      <w:spacing w:after="57"/>
    </w:pPr>
  </w:style>
  <w:style w:type="paragraph" w:styleId="1036">
    <w:name w:val="toc 9"/>
    <w:basedOn w:val="980"/>
    <w:next w:val="980"/>
    <w:uiPriority w:val="39"/>
    <w:qFormat/>
    <w:pPr>
      <w:ind w:left="2268" w:right="0" w:firstLine="0"/>
      <w:spacing w:after="57"/>
    </w:pPr>
  </w:style>
  <w:style w:type="paragraph" w:styleId="1037">
    <w:name w:val="Normal (Web)"/>
    <w:basedOn w:val="980"/>
    <w:uiPriority w:val="0"/>
    <w:qFormat/>
    <w:pPr>
      <w:jc w:val="left"/>
      <w:spacing w:before="100" w:beforeAutospacing="1" w:after="100" w:afterAutospacing="1"/>
      <w:widowControl/>
    </w:pPr>
    <w:rPr>
      <w:rFonts w:ascii="宋体" w:hAnsi="宋体" w:eastAsia="宋体" w:cs="宋体"/>
      <w:sz w:val="24"/>
    </w:rPr>
  </w:style>
  <w:style w:type="paragraph" w:styleId="1038">
    <w:name w:val="Title"/>
    <w:basedOn w:val="980"/>
    <w:next w:val="980"/>
    <w:link w:val="1084"/>
    <w:uiPriority w:val="10"/>
    <w:qFormat/>
    <w:pPr>
      <w:contextualSpacing/>
      <w:spacing w:before="300" w:after="200"/>
    </w:pPr>
    <w:rPr>
      <w:sz w:val="48"/>
      <w:szCs w:val="48"/>
    </w:rPr>
  </w:style>
  <w:style w:type="paragraph" w:styleId="1039">
    <w:name w:val="annotation subject"/>
    <w:basedOn w:val="997"/>
    <w:next w:val="997"/>
    <w:link w:val="1225"/>
    <w:uiPriority w:val="0"/>
    <w:qFormat/>
    <w:rPr>
      <w:b/>
      <w:bCs/>
    </w:rPr>
  </w:style>
  <w:style w:type="paragraph" w:styleId="1040">
    <w:name w:val="Body Text First Indent"/>
    <w:basedOn w:val="998"/>
    <w:next w:val="1041"/>
    <w:uiPriority w:val="0"/>
    <w:qFormat/>
    <w:pPr>
      <w:ind w:firstLine="420"/>
    </w:pPr>
    <w:rPr>
      <w:rFonts w:ascii="Times New Roman" w:hAnsi="Times New Roman" w:eastAsia="宋体" w:cs="Times New Roman"/>
    </w:rPr>
  </w:style>
  <w:style w:type="paragraph" w:styleId="1041">
    <w:name w:val="Body Text First Indent 2"/>
    <w:basedOn w:val="1018"/>
    <w:next w:val="980"/>
    <w:uiPriority w:val="0"/>
    <w:qFormat/>
    <w:pPr>
      <w:ind w:firstLine="420"/>
    </w:pPr>
    <w:rPr>
      <w:rFonts w:ascii="Times New Roman" w:hAnsi="Times New Roman" w:eastAsia="宋体" w:cs="Times New Roman"/>
    </w:rPr>
  </w:style>
  <w:style w:type="table" w:styleId="1042">
    <w:name w:val="Table Grid"/>
    <w:basedOn w:val="991"/>
    <w:uiPriority w:val="0"/>
    <w:qFormat/>
    <w:pPr>
      <w:jc w:val="both"/>
      <w:widowControl w:val="off"/>
    </w:pPr>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43">
    <w:name w:val="Strong"/>
    <w:basedOn w:val="990"/>
    <w:uiPriority w:val="0"/>
    <w:qFormat/>
    <w:rPr>
      <w:b/>
      <w:bCs/>
    </w:rPr>
  </w:style>
  <w:style w:type="character" w:styleId="1044">
    <w:name w:val="endnote reference"/>
    <w:basedOn w:val="990"/>
    <w:uiPriority w:val="99"/>
    <w:qFormat/>
    <w:rPr>
      <w:vertAlign w:val="superscript"/>
    </w:rPr>
  </w:style>
  <w:style w:type="character" w:styleId="1045">
    <w:name w:val="page number"/>
    <w:basedOn w:val="990"/>
    <w:uiPriority w:val="0"/>
    <w:qFormat/>
    <w:rPr>
      <w:rFonts w:ascii="Times New Roman" w:hAnsi="Times New Roman" w:eastAsia="宋体" w:cs="Times New Roman"/>
    </w:rPr>
  </w:style>
  <w:style w:type="character" w:styleId="1046">
    <w:name w:val="FollowedHyperlink"/>
    <w:basedOn w:val="990"/>
    <w:uiPriority w:val="0"/>
    <w:qFormat/>
    <w:rPr>
      <w:color w:val="333333"/>
      <w:u w:val="none"/>
    </w:rPr>
  </w:style>
  <w:style w:type="character" w:styleId="1047">
    <w:name w:val="Hyperlink"/>
    <w:basedOn w:val="990"/>
    <w:uiPriority w:val="0"/>
    <w:qFormat/>
    <w:rPr>
      <w:color w:val="333333"/>
      <w:u w:val="none"/>
    </w:rPr>
  </w:style>
  <w:style w:type="character" w:styleId="1048">
    <w:name w:val="annotation reference"/>
    <w:basedOn w:val="990"/>
    <w:uiPriority w:val="0"/>
    <w:qFormat/>
    <w:rPr>
      <w:rFonts w:ascii="Times New Roman" w:hAnsi="Times New Roman" w:eastAsia="宋体" w:cs="Times New Roman"/>
      <w:sz w:val="21"/>
      <w:szCs w:val="21"/>
    </w:rPr>
  </w:style>
  <w:style w:type="character" w:styleId="1049">
    <w:name w:val="footnote reference"/>
    <w:basedOn w:val="990"/>
    <w:uiPriority w:val="99"/>
    <w:qFormat/>
    <w:rPr>
      <w:vertAlign w:val="superscript"/>
    </w:rPr>
  </w:style>
  <w:style w:type="paragraph" w:styleId="1050" w:customStyle="1">
    <w:name w:val="标题 21"/>
    <w:basedOn w:val="1002"/>
    <w:next w:val="1003"/>
    <w:uiPriority w:val="0"/>
    <w:qFormat/>
    <w:pPr>
      <w:numPr>
        <w:ilvl w:val="0"/>
        <w:numId w:val="1"/>
      </w:numPr>
      <w:keepLines/>
      <w:keepNext/>
      <w:spacing w:before="260" w:after="260" w:line="416" w:lineRule="auto"/>
      <w:outlineLvl w:val="1"/>
    </w:pPr>
    <w:rPr>
      <w:rFonts w:ascii="Cambria" w:hAnsi="Cambria"/>
      <w:b/>
      <w:bCs/>
      <w:sz w:val="28"/>
      <w:szCs w:val="32"/>
    </w:rPr>
  </w:style>
  <w:style w:type="paragraph" w:styleId="1051" w:customStyle="1">
    <w:name w:val="脚注文本1"/>
    <w:basedOn w:val="1002"/>
    <w:next w:val="1052"/>
    <w:uiPriority w:val="0"/>
    <w:qFormat/>
    <w:rPr>
      <w:sz w:val="18"/>
      <w:szCs w:val="18"/>
    </w:rPr>
  </w:style>
  <w:style w:type="paragraph" w:styleId="1052" w:customStyle="1">
    <w:name w:val="索引 51"/>
    <w:basedOn w:val="1002"/>
    <w:next w:val="1002"/>
    <w:uiPriority w:val="0"/>
    <w:qFormat/>
    <w:pPr>
      <w:ind w:left="798"/>
      <w:jc w:val="left"/>
    </w:pPr>
    <w:rPr>
      <w:rFonts w:ascii="Calibri" w:hAnsi="Calibri"/>
    </w:rPr>
  </w:style>
  <w:style w:type="paragraph" w:styleId="1053" w:customStyle="1">
    <w:name w:val="正文1111"/>
    <w:next w:val="105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54" w:customStyle="1">
    <w:name w:val="标题 211"/>
    <w:basedOn w:val="1053"/>
    <w:next w:val="1053"/>
    <w:uiPriority w:val="0"/>
    <w:qFormat/>
    <w:pPr>
      <w:numPr>
        <w:ilvl w:val="0"/>
        <w:numId w:val="2"/>
      </w:numPr>
      <w:keepLines/>
      <w:keepNext/>
      <w:spacing w:before="260" w:after="260" w:line="416" w:lineRule="auto"/>
      <w:outlineLvl w:val="1"/>
    </w:pPr>
    <w:rPr>
      <w:rFonts w:ascii="Cambria" w:hAnsi="Cambria"/>
      <w:b/>
      <w:bCs/>
      <w:sz w:val="28"/>
      <w:szCs w:val="32"/>
    </w:rPr>
  </w:style>
  <w:style w:type="character" w:styleId="1055" w:customStyle="1">
    <w:name w:val="Heading 1 Char"/>
    <w:basedOn w:val="990"/>
    <w:uiPriority w:val="9"/>
    <w:qFormat/>
    <w:rPr>
      <w:rFonts w:ascii="Arial" w:hAnsi="Arial" w:eastAsia="Arial" w:cs="Arial"/>
      <w:sz w:val="40"/>
      <w:szCs w:val="40"/>
    </w:rPr>
  </w:style>
  <w:style w:type="character" w:styleId="1056" w:customStyle="1">
    <w:name w:val="Heading 2 Char"/>
    <w:basedOn w:val="990"/>
    <w:uiPriority w:val="9"/>
    <w:qFormat/>
    <w:rPr>
      <w:rFonts w:ascii="Arial" w:hAnsi="Arial" w:eastAsia="Arial" w:cs="Arial"/>
      <w:sz w:val="34"/>
    </w:rPr>
  </w:style>
  <w:style w:type="character" w:styleId="1057" w:customStyle="1">
    <w:name w:val="Heading 3 Char"/>
    <w:basedOn w:val="990"/>
    <w:uiPriority w:val="9"/>
    <w:qFormat/>
    <w:rPr>
      <w:rFonts w:ascii="Arial" w:hAnsi="Arial" w:eastAsia="Arial" w:cs="Arial"/>
      <w:sz w:val="30"/>
      <w:szCs w:val="30"/>
    </w:rPr>
  </w:style>
  <w:style w:type="character" w:styleId="1058" w:customStyle="1">
    <w:name w:val="Heading 4 Char"/>
    <w:basedOn w:val="990"/>
    <w:uiPriority w:val="9"/>
    <w:qFormat/>
    <w:rPr>
      <w:rFonts w:ascii="Arial" w:hAnsi="Arial" w:eastAsia="Arial" w:cs="Arial"/>
      <w:b/>
      <w:bCs/>
      <w:sz w:val="26"/>
      <w:szCs w:val="26"/>
    </w:rPr>
  </w:style>
  <w:style w:type="character" w:styleId="1059" w:customStyle="1">
    <w:name w:val="Heading 5 Char"/>
    <w:basedOn w:val="990"/>
    <w:uiPriority w:val="9"/>
    <w:qFormat/>
    <w:rPr>
      <w:rFonts w:ascii="Arial" w:hAnsi="Arial" w:eastAsia="Arial" w:cs="Arial"/>
      <w:b/>
      <w:bCs/>
      <w:sz w:val="24"/>
      <w:szCs w:val="24"/>
    </w:rPr>
  </w:style>
  <w:style w:type="character" w:styleId="1060" w:customStyle="1">
    <w:name w:val="Heading 6 Char"/>
    <w:basedOn w:val="990"/>
    <w:uiPriority w:val="9"/>
    <w:qFormat/>
    <w:rPr>
      <w:rFonts w:ascii="Arial" w:hAnsi="Arial" w:eastAsia="Arial" w:cs="Arial"/>
      <w:b/>
      <w:bCs/>
      <w:sz w:val="22"/>
      <w:szCs w:val="22"/>
    </w:rPr>
  </w:style>
  <w:style w:type="character" w:styleId="1061" w:customStyle="1">
    <w:name w:val="Heading 7 Char"/>
    <w:basedOn w:val="990"/>
    <w:uiPriority w:val="9"/>
    <w:qFormat/>
    <w:rPr>
      <w:rFonts w:ascii="Arial" w:hAnsi="Arial" w:eastAsia="Arial" w:cs="Arial"/>
      <w:b/>
      <w:bCs/>
      <w:i/>
      <w:iCs/>
      <w:sz w:val="22"/>
      <w:szCs w:val="22"/>
    </w:rPr>
  </w:style>
  <w:style w:type="character" w:styleId="1062" w:customStyle="1">
    <w:name w:val="Heading 8 Char"/>
    <w:basedOn w:val="990"/>
    <w:uiPriority w:val="9"/>
    <w:qFormat/>
    <w:rPr>
      <w:rFonts w:ascii="Arial" w:hAnsi="Arial" w:eastAsia="Arial" w:cs="Arial"/>
      <w:i/>
      <w:iCs/>
      <w:sz w:val="22"/>
      <w:szCs w:val="22"/>
    </w:rPr>
  </w:style>
  <w:style w:type="character" w:styleId="1063" w:customStyle="1">
    <w:name w:val="Heading 9 Char"/>
    <w:basedOn w:val="990"/>
    <w:uiPriority w:val="9"/>
    <w:qFormat/>
    <w:rPr>
      <w:rFonts w:ascii="Arial" w:hAnsi="Arial" w:eastAsia="Arial" w:cs="Arial"/>
      <w:i/>
      <w:iCs/>
      <w:sz w:val="21"/>
      <w:szCs w:val="21"/>
    </w:rPr>
  </w:style>
  <w:style w:type="character" w:styleId="1064" w:customStyle="1">
    <w:name w:val="Title Char"/>
    <w:basedOn w:val="990"/>
    <w:uiPriority w:val="10"/>
    <w:qFormat/>
    <w:rPr>
      <w:sz w:val="48"/>
      <w:szCs w:val="48"/>
    </w:rPr>
  </w:style>
  <w:style w:type="character" w:styleId="1065" w:customStyle="1">
    <w:name w:val="Quote Char"/>
    <w:uiPriority w:val="29"/>
    <w:qFormat/>
    <w:rPr>
      <w:i/>
    </w:rPr>
  </w:style>
  <w:style w:type="character" w:styleId="1066" w:customStyle="1">
    <w:name w:val="Intense Quote Char"/>
    <w:uiPriority w:val="30"/>
    <w:qFormat/>
    <w:rPr>
      <w:i/>
    </w:rPr>
  </w:style>
  <w:style w:type="character" w:styleId="1067" w:customStyle="1">
    <w:name w:val="Header Char"/>
    <w:basedOn w:val="990"/>
    <w:uiPriority w:val="99"/>
    <w:qFormat/>
  </w:style>
  <w:style w:type="character" w:styleId="1068" w:customStyle="1">
    <w:name w:val="Footer Char"/>
    <w:basedOn w:val="990"/>
    <w:uiPriority w:val="99"/>
    <w:qFormat/>
  </w:style>
  <w:style w:type="paragraph" w:styleId="1069" w:customStyle="1">
    <w:name w:val="TOC Heading"/>
    <w:uiPriority w:val="39"/>
    <w:unhideWhenUsed/>
    <w:qFormat/>
    <w:rPr>
      <w:rFonts w:hint="default" w:ascii="Times New Roman" w:hAnsi="Times New Roman" w:eastAsia="宋体" w:cs="Times New Roman"/>
    </w:rPr>
  </w:style>
  <w:style w:type="paragraph" w:styleId="1070" w:customStyle="1">
    <w:name w:val="正文文本1"/>
    <w:basedOn w:val="1002"/>
    <w:next w:val="999"/>
    <w:uiPriority w:val="0"/>
    <w:qFormat/>
    <w:pPr>
      <w:spacing w:after="120"/>
    </w:pPr>
    <w:rPr>
      <w:lang w:val="en-US" w:eastAsia="en-US"/>
    </w:rPr>
  </w:style>
  <w:style w:type="paragraph" w:styleId="1071" w:customStyle="1">
    <w:name w:val="正文首行缩进 21"/>
    <w:basedOn w:val="1006"/>
    <w:next w:val="1005"/>
    <w:uiPriority w:val="0"/>
    <w:qFormat/>
    <w:pPr>
      <w:ind w:firstLine="420"/>
    </w:pPr>
    <w:rPr>
      <w:rFonts w:ascii="Times New Roman" w:hAnsi="Times New Roman"/>
    </w:rPr>
  </w:style>
  <w:style w:type="paragraph" w:styleId="1072" w:customStyle="1">
    <w:name w:val="样式 正文文本缩进 + 首行缩进:  2 字符 行距: 1.5 倍行距"/>
    <w:basedOn w:val="1016"/>
    <w:uiPriority w:val="0"/>
    <w:qFormat/>
    <w:pPr>
      <w:ind w:firstLine="645"/>
      <w:spacing w:before="156" w:after="120"/>
    </w:pPr>
    <w:rPr>
      <w:rFonts w:ascii="Calibri" w:hAnsi="Calibri"/>
    </w:rPr>
  </w:style>
  <w:style w:type="paragraph" w:styleId="1073" w:customStyle="1">
    <w:name w:val="正文49"/>
    <w:uiPriority w:val="0"/>
    <w:qFormat/>
    <w:pPr>
      <w:jc w:val="both"/>
      <w:widowControl w:val="off"/>
    </w:pPr>
    <w:rPr>
      <w:rFonts w:hint="default" w:ascii="Calibri" w:hAnsi="Calibri" w:eastAsia="宋体" w:cs="Times New Roman"/>
      <w:sz w:val="21"/>
      <w:szCs w:val="22"/>
      <w:lang w:val="en-US" w:eastAsia="zh-CN" w:bidi="ar-SA"/>
    </w:rPr>
  </w:style>
  <w:style w:type="character" w:styleId="1074" w:customStyle="1">
    <w:name w:val="Heading 1 Char_2cc960bb-4246-45ed-a94c-0e32d2f2514e"/>
    <w:basedOn w:val="990"/>
    <w:uiPriority w:val="9"/>
    <w:qFormat/>
    <w:rPr>
      <w:rFonts w:ascii="Arial" w:hAnsi="Arial" w:eastAsia="Arial" w:cs="Arial"/>
      <w:sz w:val="40"/>
      <w:szCs w:val="40"/>
    </w:rPr>
  </w:style>
  <w:style w:type="character" w:styleId="1075" w:customStyle="1">
    <w:name w:val="Heading 2 Char_38fef2e9-3c31-49f2-9ca0-295fa4faa18c"/>
    <w:basedOn w:val="990"/>
    <w:uiPriority w:val="9"/>
    <w:qFormat/>
    <w:rPr>
      <w:rFonts w:ascii="Arial" w:hAnsi="Arial" w:eastAsia="Arial" w:cs="Arial"/>
      <w:sz w:val="34"/>
    </w:rPr>
  </w:style>
  <w:style w:type="character" w:styleId="1076" w:customStyle="1">
    <w:name w:val="Heading 3 Char_becd3328-995b-4bf8-92ee-1ce6a7f6c293"/>
    <w:basedOn w:val="990"/>
    <w:uiPriority w:val="9"/>
    <w:qFormat/>
    <w:rPr>
      <w:rFonts w:ascii="Arial" w:hAnsi="Arial" w:eastAsia="Arial" w:cs="Arial"/>
      <w:sz w:val="30"/>
      <w:szCs w:val="30"/>
    </w:rPr>
  </w:style>
  <w:style w:type="character" w:styleId="1077" w:customStyle="1">
    <w:name w:val="Heading 4 Char_d70fe039-8080-4e98-9b77-e8663c20e89a"/>
    <w:basedOn w:val="990"/>
    <w:link w:val="984"/>
    <w:uiPriority w:val="9"/>
    <w:qFormat/>
    <w:rPr>
      <w:rFonts w:ascii="Arial" w:hAnsi="Arial" w:eastAsia="Arial" w:cs="Arial"/>
      <w:b/>
      <w:bCs/>
      <w:sz w:val="26"/>
      <w:szCs w:val="26"/>
    </w:rPr>
  </w:style>
  <w:style w:type="character" w:styleId="1078" w:customStyle="1">
    <w:name w:val="Heading 5 Char_245e9eda-7aac-4abb-b28a-cb187e398cc6"/>
    <w:basedOn w:val="990"/>
    <w:link w:val="985"/>
    <w:uiPriority w:val="9"/>
    <w:qFormat/>
    <w:rPr>
      <w:rFonts w:ascii="Arial" w:hAnsi="Arial" w:eastAsia="Arial" w:cs="Arial"/>
      <w:b/>
      <w:bCs/>
      <w:sz w:val="24"/>
      <w:szCs w:val="24"/>
    </w:rPr>
  </w:style>
  <w:style w:type="character" w:styleId="1079" w:customStyle="1">
    <w:name w:val="Heading 6 Char_ef332ef1-b27d-4269-a2d2-e700466146a6"/>
    <w:basedOn w:val="990"/>
    <w:link w:val="986"/>
    <w:uiPriority w:val="9"/>
    <w:qFormat/>
    <w:rPr>
      <w:rFonts w:ascii="Arial" w:hAnsi="Arial" w:eastAsia="Arial" w:cs="Arial"/>
      <w:b/>
      <w:bCs/>
      <w:sz w:val="22"/>
      <w:szCs w:val="22"/>
    </w:rPr>
  </w:style>
  <w:style w:type="character" w:styleId="1080" w:customStyle="1">
    <w:name w:val="Heading 7 Char_ccc3d66b-2f25-4f46-a078-36b66b72a0f8"/>
    <w:basedOn w:val="990"/>
    <w:link w:val="987"/>
    <w:uiPriority w:val="9"/>
    <w:qFormat/>
    <w:rPr>
      <w:rFonts w:ascii="Arial" w:hAnsi="Arial" w:eastAsia="Arial" w:cs="Arial"/>
      <w:b/>
      <w:bCs/>
      <w:i/>
      <w:iCs/>
      <w:sz w:val="22"/>
      <w:szCs w:val="22"/>
    </w:rPr>
  </w:style>
  <w:style w:type="character" w:styleId="1081" w:customStyle="1">
    <w:name w:val="Heading 8 Char_c7b66616-671d-4a47-91ce-aae60353b679"/>
    <w:basedOn w:val="990"/>
    <w:link w:val="988"/>
    <w:uiPriority w:val="9"/>
    <w:qFormat/>
    <w:rPr>
      <w:rFonts w:ascii="Arial" w:hAnsi="Arial" w:eastAsia="Arial" w:cs="Arial"/>
      <w:i/>
      <w:iCs/>
      <w:sz w:val="22"/>
      <w:szCs w:val="22"/>
    </w:rPr>
  </w:style>
  <w:style w:type="character" w:styleId="1082" w:customStyle="1">
    <w:name w:val="Heading 9 Char_3e3a2bbe-2e36-4103-b910-f6afdbc698f5"/>
    <w:basedOn w:val="990"/>
    <w:link w:val="989"/>
    <w:uiPriority w:val="9"/>
    <w:qFormat/>
    <w:rPr>
      <w:rFonts w:ascii="Arial" w:hAnsi="Arial" w:eastAsia="Arial" w:cs="Arial"/>
      <w:i/>
      <w:iCs/>
      <w:sz w:val="21"/>
      <w:szCs w:val="21"/>
    </w:rPr>
  </w:style>
  <w:style w:type="paragraph" w:styleId="1083">
    <w:name w:val="No Spacing"/>
    <w:uiPriority w:val="1"/>
    <w:qFormat/>
    <w:pPr>
      <w:spacing w:before="0" w:after="0" w:line="240" w:lineRule="auto"/>
    </w:pPr>
    <w:rPr>
      <w:rFonts w:hint="default" w:ascii="Times New Roman" w:hAnsi="Times New Roman" w:eastAsia="宋体" w:cs="Times New Roman"/>
    </w:rPr>
  </w:style>
  <w:style w:type="character" w:styleId="1084" w:customStyle="1">
    <w:name w:val="Title Char_e9524746-6068-423a-ab76-1c3d893f9e9a"/>
    <w:basedOn w:val="990"/>
    <w:link w:val="1038"/>
    <w:uiPriority w:val="10"/>
    <w:qFormat/>
    <w:rPr>
      <w:sz w:val="48"/>
      <w:szCs w:val="48"/>
    </w:rPr>
  </w:style>
  <w:style w:type="character" w:styleId="1085" w:customStyle="1">
    <w:name w:val="Subtitle Char"/>
    <w:basedOn w:val="990"/>
    <w:link w:val="1031"/>
    <w:uiPriority w:val="11"/>
    <w:qFormat/>
    <w:rPr>
      <w:sz w:val="24"/>
      <w:szCs w:val="24"/>
    </w:rPr>
  </w:style>
  <w:style w:type="paragraph" w:styleId="1086">
    <w:name w:val="Quote"/>
    <w:basedOn w:val="980"/>
    <w:next w:val="980"/>
    <w:link w:val="1087"/>
    <w:uiPriority w:val="29"/>
    <w:qFormat/>
    <w:pPr>
      <w:ind w:left="720" w:right="720"/>
    </w:pPr>
    <w:rPr>
      <w:i/>
    </w:rPr>
  </w:style>
  <w:style w:type="character" w:styleId="1087" w:customStyle="1">
    <w:name w:val="Quote Char_dadfb542-72b1-461e-be14-b398d4fbacb6"/>
    <w:link w:val="1086"/>
    <w:uiPriority w:val="29"/>
    <w:qFormat/>
    <w:rPr>
      <w:i/>
    </w:rPr>
  </w:style>
  <w:style w:type="paragraph" w:styleId="1088">
    <w:name w:val="Intense Quote"/>
    <w:basedOn w:val="980"/>
    <w:next w:val="980"/>
    <w:link w:val="108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89" w:customStyle="1">
    <w:name w:val="Intense Quote Char_49ea2cb6-da30-4405-b19e-afbf748ff6cf"/>
    <w:link w:val="1088"/>
    <w:uiPriority w:val="30"/>
    <w:qFormat/>
    <w:rPr>
      <w:i/>
    </w:rPr>
  </w:style>
  <w:style w:type="character" w:styleId="1090" w:customStyle="1">
    <w:name w:val="Header Char_8bc04af5-c914-47c0-bf46-a4ac030704e7"/>
    <w:basedOn w:val="990"/>
    <w:uiPriority w:val="99"/>
    <w:qFormat/>
  </w:style>
  <w:style w:type="character" w:styleId="1091" w:customStyle="1">
    <w:name w:val="Footer Char_ffd19a12-b62f-4d0b-a7fa-b747baca89ba"/>
    <w:basedOn w:val="990"/>
    <w:uiPriority w:val="99"/>
    <w:qFormat/>
  </w:style>
  <w:style w:type="character" w:styleId="1092" w:customStyle="1">
    <w:name w:val="Caption Char"/>
    <w:uiPriority w:val="99"/>
    <w:qFormat/>
  </w:style>
  <w:style w:type="table" w:styleId="1093" w:customStyle="1">
    <w:name w:val="Table Grid Light"/>
    <w:basedOn w:val="991"/>
    <w:uiPriority w:val="59"/>
    <w:qFormat/>
    <w:pPr>
      <w:spacing w:after="0" w:line="240" w:lineRule="auto"/>
    </w:pPr>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style>
  <w:style w:type="table" w:styleId="1094" w:customStyle="1">
    <w:name w:val="Plain Table 1"/>
    <w:basedOn w:val="991"/>
    <w:uiPriority w:val="59"/>
    <w:qFormat/>
    <w:pPr>
      <w:spacing w:after="0" w:line="240" w:lineRule="auto"/>
    </w:pPr>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tblStylePr w:type="band1Horz">
      <w:tcPr>
        <w:shd w:val="clear" w:color="f1f1f1" w:fill="f1f1f1"/>
      </w:tcPr>
    </w:tblStylePr>
    <w:tblStylePr w:type="band1Vert">
      <w:tcPr>
        <w:shd w:val="clear" w:color="f1f1f1" w:fill="f1f1f1"/>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95" w:customStyle="1">
    <w:name w:val="Plain Table 2"/>
    <w:basedOn w:val="991"/>
    <w:uiPriority w:val="59"/>
    <w:qFormat/>
    <w:pPr>
      <w:spacing w:after="0" w:line="240" w:lineRule="auto"/>
    </w:pPr>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96" w:customStyle="1">
    <w:name w:val="Plain Table 3"/>
    <w:basedOn w:val="991"/>
    <w:uiPriority w:val="99"/>
    <w:qFormat/>
    <w:pPr>
      <w:spacing w:after="0" w:line="240" w:lineRule="auto"/>
    </w:pP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97" w:customStyle="1">
    <w:name w:val="Plain Table 4"/>
    <w:basedOn w:val="991"/>
    <w:uiPriority w:val="99"/>
    <w:qFormat/>
    <w:pPr>
      <w:spacing w:after="0" w:line="240" w:lineRule="auto"/>
    </w:pP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98" w:customStyle="1">
    <w:name w:val="Plain Table 5"/>
    <w:basedOn w:val="991"/>
    <w:uiPriority w:val="99"/>
    <w:qFormat/>
    <w:pPr>
      <w:spacing w:after="0" w:line="240" w:lineRule="auto"/>
    </w:pP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99" w:customStyle="1">
    <w:name w:val="Grid Table 1 Light"/>
    <w:basedOn w:val="991"/>
    <w:uiPriority w:val="99"/>
    <w:qFormat/>
    <w:pPr>
      <w:spacing w:after="0" w:line="240" w:lineRule="auto"/>
    </w:pPr>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Pr>
    <w:tblStylePr w:type="band1Horz">
      <w:rPr>
        <w:rFonts w:ascii="Arial" w:hAnsi="Arial"/>
        <w:color w:val="404040"/>
        <w:sz w:val="22"/>
      </w:rPr>
      <w:tcPr>
        <w:tcBorders>
          <w:top w:val="single" w:color="979797" w:sz="4" w:space="0"/>
          <w:left w:val="single" w:color="979797" w:sz="4" w:space="0"/>
          <w:bottom w:val="single" w:color="979797" w:sz="4" w:space="0"/>
          <w:right w:val="single" w:color="979797" w:sz="4" w:space="0"/>
        </w:tcBorders>
      </w:tcPr>
    </w:tblStylePr>
    <w:tblStylePr w:type="firstCol">
      <w:rPr>
        <w:b/>
        <w:color w:val="404040"/>
      </w:rPr>
    </w:tblStylePr>
    <w:tblStylePr w:type="firstRow">
      <w:rPr>
        <w:b/>
        <w:color w:val="404040"/>
      </w:rPr>
      <w:tcPr>
        <w:tcBorders>
          <w:bottom w:val="single" w:color="696969" w:sz="12" w:space="0"/>
        </w:tcBorders>
      </w:tcPr>
    </w:tblStylePr>
    <w:tblStylePr w:type="lastCol">
      <w:rPr>
        <w:b/>
        <w:color w:val="404040"/>
      </w:rPr>
    </w:tblStylePr>
    <w:tblStylePr w:type="lastRow">
      <w:rPr>
        <w:b/>
        <w:color w:val="404040"/>
      </w:rPr>
    </w:tblStylePr>
  </w:style>
  <w:style w:type="table" w:styleId="1100" w:customStyle="1">
    <w:name w:val="Grid Table 1 Light - Accent 1"/>
    <w:basedOn w:val="991"/>
    <w:uiPriority w:val="99"/>
    <w:qFormat/>
    <w:pPr>
      <w:spacing w:after="0" w:line="240" w:lineRule="auto"/>
    </w:pPr>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tblStylePr w:type="firstCol">
      <w:rPr>
        <w:b/>
        <w:color w:val="404040"/>
      </w:rPr>
    </w:tblStylePr>
    <w:tblStylePr w:type="firstRow">
      <w:rPr>
        <w:b/>
        <w:color w:val="404040"/>
      </w:rPr>
      <w:tcPr>
        <w:tcBorders>
          <w:bottom w:val="single" w:color="98B5D8" w:sz="12" w:space="0"/>
        </w:tcBorders>
      </w:tcPr>
    </w:tblStylePr>
    <w:tblStylePr w:type="lastCol">
      <w:rPr>
        <w:b/>
        <w:color w:val="404040"/>
      </w:rPr>
    </w:tblStylePr>
    <w:tblStylePr w:type="lastRow">
      <w:rPr>
        <w:b/>
        <w:color w:val="404040"/>
      </w:rPr>
    </w:tblStylePr>
  </w:style>
  <w:style w:type="table" w:styleId="1101" w:customStyle="1">
    <w:name w:val="Grid Table 1 Light - Accent 2"/>
    <w:basedOn w:val="991"/>
    <w:uiPriority w:val="99"/>
    <w:qFormat/>
    <w:pPr>
      <w:spacing w:after="0" w:line="240" w:lineRule="auto"/>
    </w:pPr>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1102" w:customStyle="1">
    <w:name w:val="Grid Table 1 Light - Accent 3"/>
    <w:basedOn w:val="991"/>
    <w:uiPriority w:val="99"/>
    <w:qFormat/>
    <w:pPr>
      <w:spacing w:after="0" w:line="240" w:lineRule="auto"/>
    </w:p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E" w:sz="12" w:space="0"/>
        </w:tcBorders>
      </w:tcPr>
    </w:tblStylePr>
    <w:tblStylePr w:type="lastCol">
      <w:rPr>
        <w:b/>
        <w:color w:val="404040"/>
      </w:rPr>
    </w:tblStylePr>
    <w:tblStylePr w:type="lastRow">
      <w:rPr>
        <w:b/>
        <w:color w:val="404040"/>
      </w:rPr>
    </w:tblStylePr>
  </w:style>
  <w:style w:type="table" w:styleId="1103" w:customStyle="1">
    <w:name w:val="Grid Table 1 Light - Accent 4"/>
    <w:basedOn w:val="991"/>
    <w:uiPriority w:val="99"/>
    <w:qFormat/>
    <w:pPr>
      <w:spacing w:after="0" w:line="240" w:lineRule="auto"/>
    </w:p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1104" w:customStyle="1">
    <w:name w:val="Grid Table 1 Light - Accent 5"/>
    <w:basedOn w:val="991"/>
    <w:uiPriority w:val="99"/>
    <w:qFormat/>
    <w:pPr>
      <w:spacing w:after="0" w:line="240" w:lineRule="auto"/>
    </w:pPr>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1105" w:customStyle="1">
    <w:name w:val="Grid Table 1 Light - Accent 6"/>
    <w:basedOn w:val="991"/>
    <w:uiPriority w:val="99"/>
    <w:qFormat/>
    <w:pPr>
      <w:spacing w:after="0" w:line="240" w:lineRule="auto"/>
    </w:p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1106" w:customStyle="1">
    <w:name w:val="Grid Table 2"/>
    <w:basedOn w:val="991"/>
    <w:uiPriority w:val="99"/>
    <w:qFormat/>
    <w:pPr>
      <w:spacing w:after="0" w:line="240" w:lineRule="auto"/>
    </w:pPr>
    <w:tblPr>
      <w:tblBorders>
        <w:bottom w:val="single" w:color="696969" w:sz="4" w:space="0"/>
        <w:insideH w:val="single" w:color="696969" w:sz="4" w:space="0"/>
        <w:insideV w:val="single" w:color="696969"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tcBorders>
      </w:tcPr>
    </w:tblStylePr>
  </w:style>
  <w:style w:type="table" w:styleId="1107" w:customStyle="1">
    <w:name w:val="Grid Table 2 - Accent 1"/>
    <w:basedOn w:val="991"/>
    <w:uiPriority w:val="99"/>
    <w:qFormat/>
    <w:pPr>
      <w:spacing w:after="0" w:line="240" w:lineRule="auto"/>
    </w:pPr>
    <w:tblPr>
      <w:tblBorders>
        <w:bottom w:val="single" w:color="5D8BC2" w:sz="4" w:space="0"/>
        <w:insideH w:val="single" w:color="5D8BC2" w:sz="4" w:space="0"/>
        <w:insideV w:val="single" w:color="5D8BC2" w:sz="4" w:space="0"/>
      </w:tblBorders>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sz="4" w:space="0"/>
          <w:left w:val="none" w:color="000000" w:sz="4" w:space="0"/>
          <w:bottom w:val="none" w:color="000000" w:sz="4" w:space="0"/>
          <w:right w:val="none" w:color="000000" w:sz="4" w:space="0"/>
        </w:tcBorders>
      </w:tcPr>
    </w:tblStylePr>
  </w:style>
  <w:style w:type="table" w:styleId="1108" w:customStyle="1">
    <w:name w:val="Grid Table 2 - Accent 2"/>
    <w:basedOn w:val="991"/>
    <w:uiPriority w:val="99"/>
    <w:qFormat/>
    <w:pPr>
      <w:spacing w:after="0" w:line="240" w:lineRule="auto"/>
    </w:pPr>
    <w:tblPr>
      <w:tblBorders>
        <w:bottom w:val="single" w:color="D99795" w:sz="4" w:space="0"/>
        <w:insideH w:val="single" w:color="D99795" w:sz="4" w:space="0"/>
        <w:insideV w:val="single" w:color="D99795"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sz="4" w:space="0"/>
          <w:left w:val="none" w:color="000000" w:sz="4" w:space="0"/>
          <w:bottom w:val="none" w:color="000000" w:sz="4" w:space="0"/>
          <w:right w:val="none" w:color="000000" w:sz="4" w:space="0"/>
        </w:tcBorders>
      </w:tcPr>
    </w:tblStylePr>
  </w:style>
  <w:style w:type="table" w:styleId="1109" w:customStyle="1">
    <w:name w:val="Grid Table 2 - Accent 3"/>
    <w:basedOn w:val="991"/>
    <w:uiPriority w:val="99"/>
    <w:qFormat/>
    <w:pPr>
      <w:spacing w:after="0" w:line="240" w:lineRule="auto"/>
    </w:pPr>
    <w:tblPr>
      <w:tblBorders>
        <w:bottom w:val="single" w:color="9BBB59" w:sz="4" w:space="0"/>
        <w:insideH w:val="single" w:color="9BBB59" w:sz="4" w:space="0"/>
        <w:insideV w:val="single" w:color="9BBB59" w:sz="4" w:space="0"/>
      </w:tblBorders>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sz="4" w:space="0"/>
          <w:left w:val="none" w:color="000000" w:sz="4" w:space="0"/>
          <w:bottom w:val="none" w:color="000000" w:sz="4" w:space="0"/>
          <w:right w:val="none" w:color="000000" w:sz="4" w:space="0"/>
        </w:tcBorders>
      </w:tcPr>
    </w:tblStylePr>
  </w:style>
  <w:style w:type="table" w:styleId="1110" w:customStyle="1">
    <w:name w:val="Grid Table 2 - Accent 4"/>
    <w:basedOn w:val="991"/>
    <w:uiPriority w:val="99"/>
    <w:qFormat/>
    <w:pPr>
      <w:spacing w:after="0" w:line="240" w:lineRule="auto"/>
    </w:pPr>
    <w:tblPr>
      <w:tblBorders>
        <w:bottom w:val="single" w:color="B2A1C6" w:sz="4" w:space="0"/>
        <w:insideH w:val="single" w:color="B2A1C6" w:sz="4" w:space="0"/>
        <w:insideV w:val="single" w:color="B2A1C6"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1111" w:customStyle="1">
    <w:name w:val="Grid Table 2 - Accent 5"/>
    <w:basedOn w:val="991"/>
    <w:uiPriority w:val="99"/>
    <w:qFormat/>
    <w:pPr>
      <w:spacing w:after="0" w:line="240" w:lineRule="auto"/>
    </w:pPr>
    <w:tblPr>
      <w:tblBorders>
        <w:bottom w:val="single" w:color="4BACC6" w:sz="4" w:space="0"/>
        <w:insideH w:val="single" w:color="4BACC6" w:sz="4" w:space="0"/>
        <w:insideV w:val="single" w:color="4BACC6"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1112" w:customStyle="1">
    <w:name w:val="Grid Table 2 - Accent 6"/>
    <w:basedOn w:val="991"/>
    <w:uiPriority w:val="99"/>
    <w:qFormat/>
    <w:pPr>
      <w:spacing w:after="0" w:line="240" w:lineRule="auto"/>
    </w:pPr>
    <w:tblPr>
      <w:tblBorders>
        <w:bottom w:val="single" w:color="F79646" w:sz="4" w:space="0"/>
        <w:insideH w:val="single" w:color="F79646" w:sz="4" w:space="0"/>
        <w:insideV w:val="single" w:color="F79646" w:sz="4" w:space="0"/>
      </w:tblBorders>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1113" w:customStyle="1">
    <w:name w:val="Grid Table 3"/>
    <w:basedOn w:val="991"/>
    <w:uiPriority w:val="99"/>
    <w:qFormat/>
    <w:pPr>
      <w:spacing w:after="0" w:line="240" w:lineRule="auto"/>
    </w:pPr>
    <w:tblPr>
      <w:tblBorders>
        <w:bottom w:val="single" w:color="696969" w:sz="4" w:space="0"/>
        <w:insideH w:val="single" w:color="696969" w:sz="4" w:space="0"/>
        <w:insideV w:val="single" w:color="696969"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14" w:customStyle="1">
    <w:name w:val="Grid Table 3 - Accent 1"/>
    <w:basedOn w:val="991"/>
    <w:uiPriority w:val="99"/>
    <w:qFormat/>
    <w:pPr>
      <w:spacing w:after="0" w:line="240" w:lineRule="auto"/>
    </w:pPr>
    <w:tblPr>
      <w:tblBorders>
        <w:bottom w:val="single" w:color="5D8BC2" w:sz="4" w:space="0"/>
        <w:insideH w:val="single" w:color="5D8BC2" w:sz="4" w:space="0"/>
        <w:insideV w:val="single" w:color="5D8BC2" w:sz="4" w:space="0"/>
      </w:tblBorders>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15" w:customStyle="1">
    <w:name w:val="Grid Table 3 - Accent 2"/>
    <w:basedOn w:val="991"/>
    <w:uiPriority w:val="99"/>
    <w:qFormat/>
    <w:pPr>
      <w:spacing w:after="0" w:line="240" w:lineRule="auto"/>
    </w:pPr>
    <w:tblPr>
      <w:tblBorders>
        <w:bottom w:val="single" w:color="D99795" w:sz="4" w:space="0"/>
        <w:insideH w:val="single" w:color="D99795" w:sz="4" w:space="0"/>
        <w:insideV w:val="single" w:color="D99795"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16" w:customStyle="1">
    <w:name w:val="Grid Table 3 - Accent 3"/>
    <w:basedOn w:val="991"/>
    <w:uiPriority w:val="99"/>
    <w:qFormat/>
    <w:pPr>
      <w:spacing w:after="0" w:line="240" w:lineRule="auto"/>
    </w:pPr>
    <w:tblPr>
      <w:tblBorders>
        <w:bottom w:val="single" w:color="9BBB59" w:sz="4" w:space="0"/>
        <w:insideH w:val="single" w:color="9BBB59" w:sz="4" w:space="0"/>
        <w:insideV w:val="single" w:color="9BBB59" w:sz="4" w:space="0"/>
      </w:tblBorders>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17" w:customStyle="1">
    <w:name w:val="Grid Table 3 - Accent 4"/>
    <w:basedOn w:val="991"/>
    <w:uiPriority w:val="99"/>
    <w:qFormat/>
    <w:pPr>
      <w:spacing w:after="0" w:line="240" w:lineRule="auto"/>
    </w:pPr>
    <w:tblPr>
      <w:tblBorders>
        <w:bottom w:val="single" w:color="B2A1C6" w:sz="4" w:space="0"/>
        <w:insideH w:val="single" w:color="B2A1C6" w:sz="4" w:space="0"/>
        <w:insideV w:val="single" w:color="B2A1C6"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18" w:customStyle="1">
    <w:name w:val="Grid Table 3 - Accent 5"/>
    <w:basedOn w:val="991"/>
    <w:uiPriority w:val="99"/>
    <w:qFormat/>
    <w:pPr>
      <w:spacing w:after="0" w:line="240" w:lineRule="auto"/>
    </w:pPr>
    <w:tblPr>
      <w:tblBorders>
        <w:bottom w:val="single" w:color="4BACC6" w:sz="4" w:space="0"/>
        <w:insideH w:val="single" w:color="4BACC6" w:sz="4" w:space="0"/>
        <w:insideV w:val="single" w:color="4BACC6"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19" w:customStyle="1">
    <w:name w:val="Grid Table 3 - Accent 6"/>
    <w:basedOn w:val="991"/>
    <w:uiPriority w:val="99"/>
    <w:qFormat/>
    <w:pPr>
      <w:spacing w:after="0" w:line="240" w:lineRule="auto"/>
    </w:pPr>
    <w:tblPr>
      <w:tblBorders>
        <w:bottom w:val="single" w:color="F79646" w:sz="4" w:space="0"/>
        <w:insideH w:val="single" w:color="F79646" w:sz="4" w:space="0"/>
        <w:insideV w:val="single" w:color="F79646" w:sz="4" w:space="0"/>
      </w:tblBorders>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20" w:customStyle="1">
    <w:name w:val="Grid Table 4"/>
    <w:basedOn w:val="991"/>
    <w:uiPriority w:val="59"/>
    <w:qFormat/>
    <w:pPr>
      <w:spacing w:after="0" w:line="240" w:lineRule="auto"/>
    </w:pPr>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1121" w:customStyle="1">
    <w:name w:val="Grid Table 4 - Accent 1"/>
    <w:basedOn w:val="991"/>
    <w:uiPriority w:val="59"/>
    <w:qFormat/>
    <w:pPr>
      <w:spacing w:after="0" w:line="240" w:lineRule="auto"/>
    </w:pPr>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bc2" w:fill="5d8bc2"/>
        <w:tcBorders>
          <w:top w:val="single" w:color="5D8BC2" w:sz="4" w:space="0"/>
          <w:left w:val="single" w:color="5D8BC2" w:sz="4" w:space="0"/>
          <w:bottom w:val="single" w:color="5D8BC2" w:sz="4" w:space="0"/>
          <w:right w:val="single" w:color="5D8BC2" w:sz="4" w:space="0"/>
        </w:tcBorders>
      </w:tcPr>
    </w:tblStylePr>
    <w:tblStylePr w:type="lastCol">
      <w:rPr>
        <w:b/>
        <w:color w:val="404040"/>
      </w:rPr>
    </w:tblStylePr>
    <w:tblStylePr w:type="lastRow">
      <w:rPr>
        <w:b/>
        <w:color w:val="404040"/>
      </w:rPr>
      <w:tcPr>
        <w:tcBorders>
          <w:top w:val="single" w:color="5D8BC2" w:sz="4" w:space="0"/>
        </w:tcBorders>
      </w:tcPr>
    </w:tblStylePr>
  </w:style>
  <w:style w:type="table" w:styleId="1122" w:customStyle="1">
    <w:name w:val="Grid Table 4 - Accent 2"/>
    <w:basedOn w:val="991"/>
    <w:uiPriority w:val="59"/>
    <w:qFormat/>
    <w:pPr>
      <w:spacing w:after="0" w:line="240" w:lineRule="auto"/>
    </w:pPr>
    <w:tblPr>
      <w:tblBorders>
        <w:top w:val="single" w:color="DB9C9A" w:sz="4" w:space="0"/>
        <w:left w:val="single" w:color="DB9C9A" w:sz="4" w:space="0"/>
        <w:bottom w:val="single" w:color="DB9C9A" w:sz="4" w:space="0"/>
        <w:right w:val="single" w:color="DB9C9A" w:sz="4" w:space="0"/>
        <w:insideH w:val="single" w:color="DB9C9A" w:sz="4" w:space="0"/>
        <w:insideV w:val="single" w:color="DB9C9A"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795" w:fill="d99795"/>
        <w:tcBorders>
          <w:top w:val="single" w:color="D99795" w:sz="4" w:space="0"/>
          <w:left w:val="single" w:color="D99795" w:sz="4" w:space="0"/>
          <w:bottom w:val="single" w:color="D99795" w:sz="4" w:space="0"/>
          <w:right w:val="single" w:color="D99795" w:sz="4" w:space="0"/>
        </w:tcBorders>
      </w:tcPr>
    </w:tblStylePr>
    <w:tblStylePr w:type="lastCol">
      <w:rPr>
        <w:b/>
        <w:color w:val="404040"/>
      </w:rPr>
    </w:tblStylePr>
    <w:tblStylePr w:type="lastRow">
      <w:rPr>
        <w:b/>
        <w:color w:val="404040"/>
      </w:rPr>
      <w:tcPr>
        <w:tcBorders>
          <w:top w:val="single" w:color="D99795" w:sz="4" w:space="0"/>
        </w:tcBorders>
      </w:tcPr>
    </w:tblStylePr>
  </w:style>
  <w:style w:type="table" w:styleId="1123" w:customStyle="1">
    <w:name w:val="Grid Table 4 - Accent 3"/>
    <w:basedOn w:val="991"/>
    <w:uiPriority w:val="59"/>
    <w:qFormat/>
    <w:pPr>
      <w:spacing w:after="0" w:line="240" w:lineRule="auto"/>
    </w:pPr>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rFonts w:ascii="Arial" w:hAnsi="Arial"/>
        <w:b/>
        <w:color w:val="ffffff"/>
        <w:sz w:val="22"/>
      </w:rPr>
      <w:tcPr>
        <w:shd w:val="clear" w:color="9bbb59" w:fill="9bbb59"/>
        <w:tcBorders>
          <w:top w:val="single" w:color="9BBB59" w:sz="4" w:space="0"/>
          <w:left w:val="single" w:color="9BBB59" w:sz="4" w:space="0"/>
          <w:bottom w:val="single" w:color="9BBB59" w:sz="4" w:space="0"/>
          <w:right w:val="single" w:color="9BBB59" w:sz="4" w:space="0"/>
        </w:tcBorders>
      </w:tcPr>
    </w:tblStylePr>
    <w:tblStylePr w:type="lastCol">
      <w:rPr>
        <w:b/>
        <w:color w:val="404040"/>
      </w:rPr>
    </w:tblStylePr>
    <w:tblStylePr w:type="lastRow">
      <w:rPr>
        <w:b/>
        <w:color w:val="404040"/>
      </w:rPr>
      <w:tcPr>
        <w:tcBorders>
          <w:top w:val="single" w:color="9BBB59" w:sz="4" w:space="0"/>
        </w:tcBorders>
      </w:tcPr>
    </w:tblStylePr>
  </w:style>
  <w:style w:type="table" w:styleId="1124" w:customStyle="1">
    <w:name w:val="Grid Table 4 - Accent 4"/>
    <w:basedOn w:val="991"/>
    <w:uiPriority w:val="59"/>
    <w:qFormat/>
    <w:pPr>
      <w:spacing w:after="0" w:line="240" w:lineRule="auto"/>
    </w:pPr>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table" w:styleId="1125" w:customStyle="1">
    <w:name w:val="Grid Table 4 - Accent 5"/>
    <w:basedOn w:val="991"/>
    <w:uiPriority w:val="59"/>
    <w:qFormat/>
    <w:pPr>
      <w:spacing w:after="0" w:line="240" w:lineRule="auto"/>
    </w:pPr>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table" w:styleId="1126" w:customStyle="1">
    <w:name w:val="Grid Table 4 - Accent 6"/>
    <w:basedOn w:val="991"/>
    <w:uiPriority w:val="59"/>
    <w:qFormat/>
    <w:pPr>
      <w:spacing w:after="0" w:line="240" w:lineRule="auto"/>
    </w:pPr>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1127" w:customStyle="1">
    <w:name w:val="Grid Table 5 Dark"/>
    <w:basedOn w:val="991"/>
    <w:uiPriority w:val="99"/>
    <w:qFormat/>
    <w:pPr>
      <w:spacing w:after="0" w:line="240" w:lineRule="auto"/>
    </w:pPr>
    <w:tblPr>
      <w:tblBorders>
        <w:top w:val="single" w:color="CCE8CF" w:sz="4" w:space="0"/>
        <w:left w:val="single" w:color="CCE8CF" w:sz="4" w:space="0"/>
        <w:bottom w:val="single" w:color="CCE8CF" w:sz="4" w:space="0"/>
        <w:right w:val="single" w:color="CCE8CF" w:sz="4" w:space="0"/>
        <w:insideH w:val="single" w:color="CCE8CF" w:sz="4" w:space="0"/>
        <w:insideV w:val="single" w:color="CCE8CF" w:sz="4" w:space="0"/>
      </w:tblBorders>
    </w:tblPr>
    <w:tblStylePr w:type="band1Horz">
      <w:tcPr>
        <w:shd w:val="clear" w:color="898989" w:fill="898989"/>
      </w:tcPr>
    </w:tblStylePr>
    <w:tblStylePr w:type="band1Vert">
      <w:tcPr>
        <w:shd w:val="clear" w:color="898989" w:fill="898989"/>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CCE8CF" w:sz="4" w:space="0"/>
        </w:tcBorders>
      </w:tcPr>
    </w:tblStylePr>
  </w:style>
  <w:style w:type="table" w:styleId="1128" w:customStyle="1">
    <w:name w:val="Grid Table 5 Dark- Accent 1"/>
    <w:basedOn w:val="991"/>
    <w:uiPriority w:val="99"/>
    <w:qFormat/>
    <w:pPr>
      <w:spacing w:after="0" w:line="240" w:lineRule="auto"/>
    </w:pPr>
    <w:tblPr>
      <w:tblBorders>
        <w:top w:val="single" w:color="CCE8CF" w:sz="4" w:space="0"/>
        <w:left w:val="single" w:color="CCE8CF" w:sz="4" w:space="0"/>
        <w:bottom w:val="single" w:color="CCE8CF" w:sz="4" w:space="0"/>
        <w:right w:val="single" w:color="CCE8CF" w:sz="4" w:space="0"/>
        <w:insideH w:val="single" w:color="CCE8CF" w:sz="4" w:space="0"/>
        <w:insideV w:val="single" w:color="CCE8CF" w:sz="4" w:space="0"/>
      </w:tblBorders>
    </w:tblPr>
    <w:tblStylePr w:type="band1Horz">
      <w:tcPr>
        <w:shd w:val="clear" w:color="aec5e0" w:fill="aec5e0"/>
      </w:tcPr>
    </w:tblStylePr>
    <w:tblStylePr w:type="band1Vert">
      <w:tcPr>
        <w:shd w:val="clear" w:color="aec5e0" w:fill="aec5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CCE8CF" w:sz="4" w:space="0"/>
        </w:tcBorders>
      </w:tcPr>
    </w:tblStylePr>
  </w:style>
  <w:style w:type="table" w:styleId="1129" w:customStyle="1">
    <w:name w:val="Grid Table 5 Dark - Accent 2"/>
    <w:basedOn w:val="991"/>
    <w:uiPriority w:val="99"/>
    <w:qFormat/>
    <w:pPr>
      <w:spacing w:after="0" w:line="240" w:lineRule="auto"/>
    </w:pPr>
    <w:tblPr>
      <w:tblBorders>
        <w:top w:val="single" w:color="CCE8CF" w:sz="4" w:space="0"/>
        <w:left w:val="single" w:color="CCE8CF" w:sz="4" w:space="0"/>
        <w:bottom w:val="single" w:color="CCE8CF" w:sz="4" w:space="0"/>
        <w:right w:val="single" w:color="CCE8CF" w:sz="4" w:space="0"/>
        <w:insideH w:val="single" w:color="CCE8CF" w:sz="4" w:space="0"/>
        <w:insideV w:val="single" w:color="CCE8CF" w:sz="4" w:space="0"/>
      </w:tblBorders>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CCE8CF" w:sz="4" w:space="0"/>
        </w:tcBorders>
      </w:tcPr>
    </w:tblStylePr>
  </w:style>
  <w:style w:type="table" w:styleId="1130" w:customStyle="1">
    <w:name w:val="Grid Table 5 Dark - Accent 3"/>
    <w:basedOn w:val="991"/>
    <w:uiPriority w:val="99"/>
    <w:qFormat/>
    <w:pPr>
      <w:spacing w:after="0" w:line="240" w:lineRule="auto"/>
    </w:pPr>
    <w:tblPr>
      <w:tblBorders>
        <w:top w:val="single" w:color="CCE8CF" w:sz="4" w:space="0"/>
        <w:left w:val="single" w:color="CCE8CF" w:sz="4" w:space="0"/>
        <w:bottom w:val="single" w:color="CCE8CF" w:sz="4" w:space="0"/>
        <w:right w:val="single" w:color="CCE8CF" w:sz="4" w:space="0"/>
        <w:insideH w:val="single" w:color="CCE8CF" w:sz="4" w:space="0"/>
        <w:insideV w:val="single" w:color="CCE8CF" w:sz="4" w:space="0"/>
      </w:tblBorders>
    </w:tblPr>
    <w:tblStylePr w:type="band1Horz">
      <w:tcPr>
        <w:shd w:val="clear" w:color="d1dfb2" w:fill="d1dfb2"/>
      </w:tcPr>
    </w:tblStylePr>
    <w:tblStylePr w:type="band1Vert">
      <w:tcPr>
        <w:shd w:val="clear" w:color="d1dfb2" w:fill="d1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CCE8CF" w:sz="4" w:space="0"/>
        </w:tcBorders>
      </w:tcPr>
    </w:tblStylePr>
  </w:style>
  <w:style w:type="table" w:styleId="1131" w:customStyle="1">
    <w:name w:val="Grid Table 5 Dark- Accent 4"/>
    <w:basedOn w:val="991"/>
    <w:uiPriority w:val="99"/>
    <w:qFormat/>
    <w:pPr>
      <w:spacing w:after="0" w:line="240" w:lineRule="auto"/>
    </w:pPr>
    <w:tblPr>
      <w:tblBorders>
        <w:top w:val="single" w:color="CCE8CF" w:sz="4" w:space="0"/>
        <w:left w:val="single" w:color="CCE8CF" w:sz="4" w:space="0"/>
        <w:bottom w:val="single" w:color="CCE8CF" w:sz="4" w:space="0"/>
        <w:right w:val="single" w:color="CCE8CF" w:sz="4" w:space="0"/>
        <w:insideH w:val="single" w:color="CCE8CF" w:sz="4" w:space="0"/>
        <w:insideV w:val="single" w:color="CCE8CF" w:sz="4" w:space="0"/>
      </w:tblBorders>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CCE8CF" w:sz="4" w:space="0"/>
        </w:tcBorders>
      </w:tcPr>
    </w:tblStylePr>
  </w:style>
  <w:style w:type="table" w:styleId="1132" w:customStyle="1">
    <w:name w:val="Grid Table 5 Dark - Accent 5"/>
    <w:basedOn w:val="991"/>
    <w:uiPriority w:val="99"/>
    <w:qFormat/>
    <w:pPr>
      <w:spacing w:after="0" w:line="240" w:lineRule="auto"/>
    </w:pPr>
    <w:tblPr>
      <w:tblBorders>
        <w:top w:val="single" w:color="CCE8CF" w:sz="4" w:space="0"/>
        <w:left w:val="single" w:color="CCE8CF" w:sz="4" w:space="0"/>
        <w:bottom w:val="single" w:color="CCE8CF" w:sz="4" w:space="0"/>
        <w:right w:val="single" w:color="CCE8CF" w:sz="4" w:space="0"/>
        <w:insideH w:val="single" w:color="CCE8CF" w:sz="4" w:space="0"/>
        <w:insideV w:val="single" w:color="CCE8CF" w:sz="4" w:space="0"/>
      </w:tblBorders>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CCE8CF" w:sz="4" w:space="0"/>
        </w:tcBorders>
      </w:tcPr>
    </w:tblStylePr>
  </w:style>
  <w:style w:type="table" w:styleId="1133" w:customStyle="1">
    <w:name w:val="Grid Table 5 Dark - Accent 6"/>
    <w:basedOn w:val="991"/>
    <w:uiPriority w:val="99"/>
    <w:qFormat/>
    <w:pPr>
      <w:spacing w:after="0" w:line="240" w:lineRule="auto"/>
    </w:pPr>
    <w:tblPr>
      <w:tblBorders>
        <w:top w:val="single" w:color="CCE8CF" w:sz="4" w:space="0"/>
        <w:left w:val="single" w:color="CCE8CF" w:sz="4" w:space="0"/>
        <w:bottom w:val="single" w:color="CCE8CF" w:sz="4" w:space="0"/>
        <w:right w:val="single" w:color="CCE8CF" w:sz="4" w:space="0"/>
        <w:insideH w:val="single" w:color="CCE8CF" w:sz="4" w:space="0"/>
        <w:insideV w:val="single" w:color="CCE8CF" w:sz="4" w:space="0"/>
      </w:tblBorders>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CCE8CF" w:sz="4" w:space="0"/>
        </w:tcBorders>
      </w:tcPr>
    </w:tblStylePr>
  </w:style>
  <w:style w:type="table" w:styleId="1134" w:customStyle="1">
    <w:name w:val="Grid Table 6 Colorful"/>
    <w:basedOn w:val="991"/>
    <w:uiPriority w:val="99"/>
    <w:qFormat/>
    <w:pPr>
      <w:spacing w:after="0" w:line="240" w:lineRule="auto"/>
    </w:pPr>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Pr>
    <w:tblStylePr w:type="band1Horz">
      <w:rPr>
        <w:rFonts w:ascii="Arial" w:hAnsi="Arial"/>
        <w:color w:val="7f7f7f"/>
        <w:sz w:val="22"/>
      </w:rPr>
      <w:tcPr>
        <w:shd w:val="clear" w:color="cacaca" w:fill="cacaca"/>
      </w:tcPr>
    </w:tblStylePr>
    <w:tblStylePr w:type="band1Vert">
      <w:tcPr>
        <w:shd w:val="clear" w:color="cacaca" w:fill="cacaca"/>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E7E7E" w:sz="12" w:space="0"/>
        </w:tcBorders>
      </w:tcPr>
    </w:tblStylePr>
    <w:tblStylePr w:type="lastCol">
      <w:rPr>
        <w:b/>
        <w:color w:val="7f7f7f"/>
      </w:rPr>
    </w:tblStylePr>
    <w:tblStylePr w:type="lastRow">
      <w:rPr>
        <w:b/>
        <w:color w:val="7f7f7f"/>
      </w:rPr>
    </w:tblStylePr>
  </w:style>
  <w:style w:type="table" w:styleId="1135" w:customStyle="1">
    <w:name w:val="Grid Table 6 Colorful - Accent 1"/>
    <w:basedOn w:val="991"/>
    <w:uiPriority w:val="99"/>
    <w:qFormat/>
    <w:pPr>
      <w:spacing w:after="0" w:line="240" w:lineRule="auto"/>
    </w:pPr>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b/>
        <w:color w:val="a7c0de"/>
      </w:rPr>
    </w:tblStylePr>
    <w:tblStylePr w:type="firstRow">
      <w:rPr>
        <w:b/>
        <w:color w:val="a7c0de"/>
      </w:rPr>
      <w:tcPr>
        <w:tcBorders>
          <w:bottom w:val="single" w:color="A6BFDD" w:sz="12" w:space="0"/>
        </w:tcBorders>
      </w:tcPr>
    </w:tblStylePr>
    <w:tblStylePr w:type="lastCol">
      <w:rPr>
        <w:b/>
        <w:color w:val="a7c0de"/>
      </w:rPr>
    </w:tblStylePr>
    <w:tblStylePr w:type="lastRow">
      <w:rPr>
        <w:b/>
        <w:color w:val="a7c0de"/>
      </w:rPr>
    </w:tblStylePr>
  </w:style>
  <w:style w:type="table" w:styleId="1136" w:customStyle="1">
    <w:name w:val="Grid Table 6 Colorful - Accent 2"/>
    <w:basedOn w:val="991"/>
    <w:uiPriority w:val="99"/>
    <w:qFormat/>
    <w:pPr>
      <w:spacing w:after="0" w:line="240" w:lineRule="auto"/>
    </w:pPr>
    <w:tblPr>
      <w:tblBorders>
        <w:top w:val="single" w:color="D99795" w:sz="4" w:space="0"/>
        <w:left w:val="single" w:color="D99795" w:sz="4" w:space="0"/>
        <w:bottom w:val="single" w:color="D99795" w:sz="4" w:space="0"/>
        <w:right w:val="single" w:color="D99795" w:sz="4" w:space="0"/>
        <w:insideH w:val="single" w:color="D99795" w:sz="4" w:space="0"/>
        <w:insideV w:val="single" w:color="D99795" w:sz="4" w:space="0"/>
      </w:tblBorders>
    </w:tblPr>
    <w:tblStylePr w:type="band1Horz">
      <w:rPr>
        <w:rFonts w:ascii="Arial" w:hAnsi="Arial"/>
        <w:color w:val="d99795"/>
        <w:sz w:val="22"/>
      </w:rPr>
      <w:tcPr>
        <w:shd w:val="clear" w:color="f2dcdc" w:fill="f2dcdc"/>
      </w:tcPr>
    </w:tblStylePr>
    <w:tblStylePr w:type="band1Vert">
      <w:tcPr>
        <w:shd w:val="clear" w:color="f2dcdc" w:fill="f2dcdc"/>
      </w:tcPr>
    </w:tblStylePr>
    <w:tblStylePr w:type="band2Horz">
      <w:rPr>
        <w:rFonts w:ascii="Arial" w:hAnsi="Arial"/>
        <w:color w:val="d99795"/>
        <w:sz w:val="22"/>
      </w:rPr>
    </w:tblStylePr>
    <w:tblStylePr w:type="firstCol">
      <w:rPr>
        <w:b/>
        <w:color w:val="d99795"/>
      </w:rPr>
    </w:tblStylePr>
    <w:tblStylePr w:type="firstRow">
      <w:rPr>
        <w:b/>
        <w:color w:val="d99795"/>
      </w:rPr>
      <w:tcPr>
        <w:tcBorders>
          <w:bottom w:val="single" w:color="D99795" w:sz="12" w:space="0"/>
        </w:tcBorders>
      </w:tcPr>
    </w:tblStylePr>
    <w:tblStylePr w:type="lastCol">
      <w:rPr>
        <w:b/>
        <w:color w:val="d99795"/>
      </w:rPr>
    </w:tblStylePr>
    <w:tblStylePr w:type="lastRow">
      <w:rPr>
        <w:b/>
        <w:color w:val="d99795"/>
      </w:rPr>
    </w:tblStylePr>
  </w:style>
  <w:style w:type="table" w:styleId="1137" w:customStyle="1">
    <w:name w:val="Grid Table 6 Colorful - Accent 3"/>
    <w:basedOn w:val="991"/>
    <w:uiPriority w:val="99"/>
    <w:qFormat/>
    <w:pPr>
      <w:spacing w:after="0" w:line="240" w:lineRule="auto"/>
    </w:pPr>
    <w:tblPr>
      <w:tblBorders>
        <w:top w:val="single" w:color="9BBB59" w:sz="4" w:space="0"/>
        <w:left w:val="single" w:color="9BBB59" w:sz="4" w:space="0"/>
        <w:bottom w:val="single" w:color="9BBB59" w:sz="4" w:space="0"/>
        <w:right w:val="single" w:color="9BBB59" w:sz="4" w:space="0"/>
        <w:insideH w:val="single" w:color="9BBB59" w:sz="4" w:space="0"/>
        <w:insideV w:val="single" w:color="9BBB59" w:sz="4" w:space="0"/>
      </w:tblBorders>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b/>
        <w:color w:val="9bbb59"/>
      </w:rPr>
    </w:tblStylePr>
    <w:tblStylePr w:type="firstRow">
      <w:rPr>
        <w:b/>
        <w:color w:val="9bbb59"/>
      </w:rPr>
      <w:tcPr>
        <w:tcBorders>
          <w:bottom w:val="single" w:color="9BBB59" w:sz="12" w:space="0"/>
        </w:tcBorders>
      </w:tcPr>
    </w:tblStylePr>
    <w:tblStylePr w:type="lastCol">
      <w:rPr>
        <w:b/>
        <w:color w:val="9bbb59"/>
      </w:rPr>
    </w:tblStylePr>
    <w:tblStylePr w:type="lastRow">
      <w:rPr>
        <w:b/>
        <w:color w:val="9bbb59"/>
      </w:rPr>
    </w:tblStylePr>
  </w:style>
  <w:style w:type="table" w:styleId="1138" w:customStyle="1">
    <w:name w:val="Grid Table 6 Colorful - Accent 4"/>
    <w:basedOn w:val="991"/>
    <w:uiPriority w:val="99"/>
    <w:qFormat/>
    <w:pPr>
      <w:spacing w:after="0" w:line="240" w:lineRule="auto"/>
    </w:pPr>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12" w:space="0"/>
        </w:tcBorders>
      </w:tcPr>
    </w:tblStylePr>
    <w:tblStylePr w:type="lastCol">
      <w:rPr>
        <w:b/>
        <w:color w:val="b2a1c7"/>
      </w:rPr>
    </w:tblStylePr>
    <w:tblStylePr w:type="lastRow">
      <w:rPr>
        <w:b/>
        <w:color w:val="b2a1c7"/>
      </w:rPr>
    </w:tblStylePr>
  </w:style>
  <w:style w:type="table" w:styleId="1139" w:customStyle="1">
    <w:name w:val="Grid Table 6 Colorful - Accent 5"/>
    <w:basedOn w:val="991"/>
    <w:uiPriority w:val="99"/>
    <w:qFormat/>
    <w:pPr>
      <w:spacing w:after="0" w:line="240" w:lineRule="auto"/>
    </w:pPr>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Pr>
    <w:tblStylePr w:type="band1Horz">
      <w:rPr>
        <w:rFonts w:ascii="Arial" w:hAnsi="Arial"/>
        <w:color w:val="266778"/>
        <w:sz w:val="22"/>
      </w:rPr>
      <w:tcPr>
        <w:shd w:val="clear" w:color="daeef3" w:fill="daeef3"/>
      </w:tcPr>
    </w:tblStylePr>
    <w:tblStylePr w:type="band1Vert">
      <w:tcPr>
        <w:shd w:val="clear" w:color="daeef3" w:fill="daeef3"/>
      </w:tcPr>
    </w:tblStylePr>
    <w:tblStylePr w:type="band2Horz">
      <w:rPr>
        <w:rFonts w:ascii="Arial" w:hAnsi="Arial"/>
        <w:color w:val="266778"/>
        <w:sz w:val="22"/>
      </w:rPr>
    </w:tblStylePr>
    <w:tblStylePr w:type="firstCol">
      <w:rPr>
        <w:b/>
        <w:color w:val="266778"/>
      </w:rPr>
    </w:tblStylePr>
    <w:tblStylePr w:type="firstRow">
      <w:rPr>
        <w:b/>
        <w:color w:val="266778"/>
      </w:rPr>
      <w:tcPr>
        <w:tcBorders>
          <w:bottom w:val="single" w:color="4BACC6" w:sz="12" w:space="0"/>
        </w:tcBorders>
      </w:tcPr>
    </w:tblStylePr>
    <w:tblStylePr w:type="lastCol">
      <w:rPr>
        <w:b/>
        <w:color w:val="266778"/>
      </w:rPr>
    </w:tblStylePr>
    <w:tblStylePr w:type="lastRow">
      <w:rPr>
        <w:b/>
        <w:color w:val="266778"/>
      </w:rPr>
    </w:tblStylePr>
  </w:style>
  <w:style w:type="table" w:styleId="1140" w:customStyle="1">
    <w:name w:val="Grid Table 6 Colorful - Accent 6"/>
    <w:basedOn w:val="991"/>
    <w:uiPriority w:val="99"/>
    <w:qFormat/>
    <w:pPr>
      <w:spacing w:after="0" w:line="240" w:lineRule="auto"/>
    </w:pPr>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Pr>
    <w:tblStylePr w:type="band1Horz">
      <w:rPr>
        <w:rFonts w:ascii="Arial" w:hAnsi="Arial"/>
        <w:color w:val="266778"/>
        <w:sz w:val="22"/>
      </w:rPr>
      <w:tcPr>
        <w:shd w:val="clear" w:color="fde9d9" w:fill="fde9d9"/>
      </w:tcPr>
    </w:tblStylePr>
    <w:tblStylePr w:type="band1Vert">
      <w:tcPr>
        <w:shd w:val="clear" w:color="fde9d9" w:fill="fde9d9"/>
      </w:tcPr>
    </w:tblStylePr>
    <w:tblStylePr w:type="band2Horz">
      <w:rPr>
        <w:rFonts w:ascii="Arial" w:hAnsi="Arial"/>
        <w:color w:val="266778"/>
        <w:sz w:val="22"/>
      </w:rPr>
    </w:tblStylePr>
    <w:tblStylePr w:type="firstCol">
      <w:rPr>
        <w:b/>
        <w:color w:val="266778"/>
      </w:rPr>
    </w:tblStylePr>
    <w:tblStylePr w:type="firstRow">
      <w:rPr>
        <w:b/>
        <w:color w:val="266778"/>
      </w:rPr>
      <w:tcPr>
        <w:tcBorders>
          <w:bottom w:val="single" w:color="F79646" w:sz="12" w:space="0"/>
        </w:tcBorders>
      </w:tcPr>
    </w:tblStylePr>
    <w:tblStylePr w:type="lastCol">
      <w:rPr>
        <w:b/>
        <w:color w:val="266778"/>
      </w:rPr>
    </w:tblStylePr>
    <w:tblStylePr w:type="lastRow">
      <w:rPr>
        <w:b/>
        <w:color w:val="266778"/>
      </w:rPr>
    </w:tblStylePr>
  </w:style>
  <w:style w:type="table" w:styleId="1141" w:customStyle="1">
    <w:name w:val="Grid Table 7 Colorful"/>
    <w:basedOn w:val="991"/>
    <w:uiPriority w:val="99"/>
    <w:qFormat/>
    <w:pPr>
      <w:spacing w:after="0" w:line="240" w:lineRule="auto"/>
    </w:pPr>
    <w:tblPr>
      <w:tblBorders>
        <w:bottom w:val="single" w:color="7E7E7E" w:sz="4" w:space="0"/>
        <w:right w:val="single" w:color="7E7E7E" w:sz="4" w:space="0"/>
        <w:insideH w:val="single" w:color="7E7E7E" w:sz="4" w:space="0"/>
        <w:insideV w:val="single" w:color="7E7E7E" w:sz="4" w:space="0"/>
      </w:tblBorders>
    </w:tblPr>
    <w:tblStylePr w:type="band1Horz">
      <w:rPr>
        <w:rFonts w:ascii="Arial" w:hAnsi="Arial"/>
        <w:color w:val="7f7f7f"/>
        <w:sz w:val="22"/>
      </w:rPr>
      <w:tcPr>
        <w:shd w:val="clear" w:color="f1f1f1" w:fill="f1f1f1"/>
      </w:tcPr>
    </w:tblStylePr>
    <w:tblStylePr w:type="band1Vert">
      <w:tcPr>
        <w:shd w:val="clear" w:color="f1f1f1" w:fill="f1f1f1"/>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b/>
        <w:color w:val="7f7f7f"/>
        <w:sz w:val="22"/>
      </w:rPr>
      <w:tcPr>
        <w:shd w:val="clear" w:color="cce8cf" w:fill="cce8c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b/>
        <w:color w:val="7f7f7f"/>
        <w:sz w:val="22"/>
      </w:rPr>
      <w:tcPr>
        <w:shd w:val="clear" w:color="cce8cf" w:fill="cce8cf"/>
        <w:tcBorders>
          <w:top w:val="single" w:color="7E7E7E" w:sz="4" w:space="0"/>
          <w:left w:val="none" w:color="000000" w:sz="4" w:space="0"/>
          <w:bottom w:val="none" w:color="000000" w:sz="4" w:space="0"/>
          <w:right w:val="none" w:color="000000" w:sz="4" w:space="0"/>
        </w:tcBorders>
      </w:tcPr>
    </w:tblStylePr>
  </w:style>
  <w:style w:type="table" w:styleId="1142" w:customStyle="1">
    <w:name w:val="Grid Table 7 Colorful - Accent 1"/>
    <w:basedOn w:val="991"/>
    <w:uiPriority w:val="99"/>
    <w:qFormat/>
    <w:pPr>
      <w:spacing w:after="0" w:line="240" w:lineRule="auto"/>
    </w:pPr>
    <w:tblPr>
      <w:tblBorders>
        <w:bottom w:val="single" w:color="A6BFDD" w:sz="4" w:space="0"/>
        <w:right w:val="single" w:color="A6BFDD" w:sz="4" w:space="0"/>
        <w:insideH w:val="single" w:color="A6BFDD" w:sz="4" w:space="0"/>
        <w:insideV w:val="single" w:color="A6BFDD" w:sz="4" w:space="0"/>
      </w:tblBorders>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rFonts w:ascii="Arial" w:hAnsi="Arial"/>
        <w:i/>
        <w:color w:val="a7c0de"/>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7c0de"/>
        <w:sz w:val="22"/>
      </w:rPr>
      <w:tcPr>
        <w:shd w:val="clear" w:color="cce8cf" w:fill="cce8c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7c0de"/>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7c0de"/>
        <w:sz w:val="22"/>
      </w:rPr>
      <w:tcPr>
        <w:shd w:val="clear" w:color="cce8cf" w:fill="cce8cf"/>
        <w:tcBorders>
          <w:top w:val="single" w:color="A6BFDD" w:sz="4" w:space="0"/>
          <w:left w:val="none" w:color="000000" w:sz="4" w:space="0"/>
          <w:bottom w:val="none" w:color="000000" w:sz="4" w:space="0"/>
          <w:right w:val="none" w:color="000000" w:sz="4" w:space="0"/>
        </w:tcBorders>
      </w:tcPr>
    </w:tblStylePr>
  </w:style>
  <w:style w:type="table" w:styleId="1143" w:customStyle="1">
    <w:name w:val="Grid Table 7 Colorful - Accent 2"/>
    <w:basedOn w:val="991"/>
    <w:uiPriority w:val="99"/>
    <w:qFormat/>
    <w:pPr>
      <w:spacing w:after="0" w:line="240" w:lineRule="auto"/>
    </w:pPr>
    <w:tblPr>
      <w:tblBorders>
        <w:bottom w:val="single" w:color="D99795" w:sz="4" w:space="0"/>
        <w:right w:val="single" w:color="D99795" w:sz="4" w:space="0"/>
        <w:insideH w:val="single" w:color="D99795" w:sz="4" w:space="0"/>
        <w:insideV w:val="single" w:color="D99795" w:sz="4" w:space="0"/>
      </w:tblBorders>
    </w:tblPr>
    <w:tblStylePr w:type="band1Horz">
      <w:rPr>
        <w:rFonts w:ascii="Arial" w:hAnsi="Arial"/>
        <w:color w:val="d99795"/>
        <w:sz w:val="22"/>
      </w:rPr>
      <w:tcPr>
        <w:shd w:val="clear" w:color="f2dcdc" w:fill="f2dcdc"/>
      </w:tcPr>
    </w:tblStylePr>
    <w:tblStylePr w:type="band1Vert">
      <w:tcPr>
        <w:shd w:val="clear" w:color="f2dcdc" w:fill="f2dcdc"/>
      </w:tcPr>
    </w:tblStylePr>
    <w:tblStylePr w:type="band2Horz">
      <w:rPr>
        <w:rFonts w:ascii="Arial" w:hAnsi="Arial"/>
        <w:color w:val="d99795"/>
        <w:sz w:val="22"/>
      </w:rPr>
    </w:tblStylePr>
    <w:tblStylePr w:type="firstCol">
      <w:rPr>
        <w:rFonts w:ascii="Arial" w:hAnsi="Arial"/>
        <w:i/>
        <w:color w:val="d99795"/>
        <w:sz w:val="22"/>
      </w:rPr>
      <w:pPr>
        <w:jc w:val="right"/>
      </w:pPr>
      <w:tcPr>
        <w:shd w:val="clear" w:color="ffffff" w:fill="auto"/>
        <w:tcBorders>
          <w:top w:val="none" w:color="000000" w:sz="4" w:space="0"/>
          <w:left w:val="none" w:color="000000" w:sz="4" w:space="0"/>
          <w:bottom w:val="none" w:color="000000" w:sz="4" w:space="0"/>
          <w:right w:val="single" w:color="D99795" w:sz="4" w:space="0"/>
        </w:tcBorders>
      </w:tcPr>
    </w:tblStylePr>
    <w:tblStylePr w:type="firstRow">
      <w:rPr>
        <w:rFonts w:ascii="Arial" w:hAnsi="Arial"/>
        <w:b/>
        <w:color w:val="d99795"/>
        <w:sz w:val="22"/>
      </w:rPr>
      <w:tcPr>
        <w:shd w:val="clear" w:color="cce8cf" w:fill="cce8cf"/>
        <w:tcBorders>
          <w:top w:val="none" w:color="000000" w:sz="4" w:space="0"/>
          <w:left w:val="none" w:color="000000" w:sz="4" w:space="0"/>
          <w:bottom w:val="single" w:color="D99795" w:sz="4" w:space="0"/>
          <w:right w:val="none" w:color="000000" w:sz="4" w:space="0"/>
        </w:tcBorders>
      </w:tcPr>
    </w:tblStylePr>
    <w:tblStylePr w:type="lastCol">
      <w:rPr>
        <w:rFonts w:ascii="Arial" w:hAnsi="Arial"/>
        <w:i/>
        <w:color w:val="d99795"/>
        <w:sz w:val="22"/>
      </w:rPr>
      <w:tcPr>
        <w:shd w:val="clear" w:color="ffffff" w:fill="auto"/>
        <w:tcBorders>
          <w:top w:val="none" w:color="000000" w:sz="4" w:space="0"/>
          <w:left w:val="single" w:color="D99795" w:sz="4" w:space="0"/>
          <w:bottom w:val="none" w:color="000000" w:sz="4" w:space="0"/>
          <w:right w:val="none" w:color="000000" w:sz="4" w:space="0"/>
        </w:tcBorders>
      </w:tcPr>
    </w:tblStylePr>
    <w:tblStylePr w:type="lastRow">
      <w:rPr>
        <w:rFonts w:ascii="Arial" w:hAnsi="Arial"/>
        <w:b/>
        <w:color w:val="d99795"/>
        <w:sz w:val="22"/>
      </w:rPr>
      <w:tcPr>
        <w:shd w:val="clear" w:color="cce8cf" w:fill="cce8cf"/>
        <w:tcBorders>
          <w:top w:val="single" w:color="D99795" w:sz="4" w:space="0"/>
          <w:left w:val="none" w:color="000000" w:sz="4" w:space="0"/>
          <w:bottom w:val="none" w:color="000000" w:sz="4" w:space="0"/>
          <w:right w:val="none" w:color="000000" w:sz="4" w:space="0"/>
        </w:tcBorders>
      </w:tcPr>
    </w:tblStylePr>
  </w:style>
  <w:style w:type="table" w:styleId="1144" w:customStyle="1">
    <w:name w:val="Grid Table 7 Colorful - Accent 3"/>
    <w:basedOn w:val="991"/>
    <w:uiPriority w:val="99"/>
    <w:qFormat/>
    <w:pPr>
      <w:spacing w:after="0" w:line="240" w:lineRule="auto"/>
    </w:pPr>
    <w:tblPr>
      <w:tblBorders>
        <w:bottom w:val="single" w:color="9BBB59" w:sz="4" w:space="0"/>
        <w:right w:val="single" w:color="9BBB59" w:sz="4" w:space="0"/>
        <w:insideH w:val="single" w:color="9BBB59" w:sz="4" w:space="0"/>
        <w:insideV w:val="single" w:color="9BBB59" w:sz="4" w:space="0"/>
      </w:tblBorders>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BBB59" w:sz="4" w:space="0"/>
        </w:tcBorders>
      </w:tcPr>
    </w:tblStylePr>
    <w:tblStylePr w:type="firstRow">
      <w:rPr>
        <w:rFonts w:ascii="Arial" w:hAnsi="Arial"/>
        <w:b/>
        <w:color w:val="9bbb59"/>
        <w:sz w:val="22"/>
      </w:rPr>
      <w:tcPr>
        <w:shd w:val="clear" w:color="cce8cf" w:fill="cce8cf"/>
        <w:tcBorders>
          <w:top w:val="none" w:color="000000" w:sz="4" w:space="0"/>
          <w:left w:val="none" w:color="000000" w:sz="4" w:space="0"/>
          <w:bottom w:val="single" w:color="9BBB59" w:sz="4" w:space="0"/>
          <w:right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BBB59" w:sz="4" w:space="0"/>
          <w:bottom w:val="none" w:color="000000" w:sz="4" w:space="0"/>
          <w:right w:val="none" w:color="000000" w:sz="4" w:space="0"/>
        </w:tcBorders>
      </w:tcPr>
    </w:tblStylePr>
    <w:tblStylePr w:type="lastRow">
      <w:rPr>
        <w:rFonts w:ascii="Arial" w:hAnsi="Arial"/>
        <w:b/>
        <w:color w:val="9bbb59"/>
        <w:sz w:val="22"/>
      </w:rPr>
      <w:tcPr>
        <w:shd w:val="clear" w:color="cce8cf" w:fill="cce8cf"/>
        <w:tcBorders>
          <w:top w:val="single" w:color="9BBB59" w:sz="4" w:space="0"/>
          <w:left w:val="none" w:color="000000" w:sz="4" w:space="0"/>
          <w:bottom w:val="none" w:color="000000" w:sz="4" w:space="0"/>
          <w:right w:val="none" w:color="000000" w:sz="4" w:space="0"/>
        </w:tcBorders>
      </w:tcPr>
    </w:tblStylePr>
  </w:style>
  <w:style w:type="table" w:styleId="1145" w:customStyle="1">
    <w:name w:val="Grid Table 7 Colorful - Accent 4"/>
    <w:basedOn w:val="991"/>
    <w:uiPriority w:val="99"/>
    <w:qFormat/>
    <w:pPr>
      <w:spacing w:after="0" w:line="240" w:lineRule="auto"/>
    </w:pPr>
    <w:tblPr>
      <w:tblBorders>
        <w:bottom w:val="single" w:color="B2A1C6" w:sz="4" w:space="0"/>
        <w:right w:val="single" w:color="B2A1C6" w:sz="4" w:space="0"/>
        <w:insideH w:val="single" w:color="B2A1C6" w:sz="4" w:space="0"/>
        <w:insideV w:val="single" w:color="B2A1C6" w:sz="4" w:space="0"/>
      </w:tblBorders>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7"/>
        <w:sz w:val="22"/>
      </w:rPr>
      <w:tcPr>
        <w:shd w:val="clear" w:color="cce8cf" w:fill="cce8c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7"/>
        <w:sz w:val="22"/>
      </w:rPr>
      <w:tcPr>
        <w:shd w:val="clear" w:color="cce8cf" w:fill="cce8cf"/>
        <w:tcBorders>
          <w:top w:val="single" w:color="B2A1C6" w:sz="4" w:space="0"/>
          <w:left w:val="none" w:color="000000" w:sz="4" w:space="0"/>
          <w:bottom w:val="none" w:color="000000" w:sz="4" w:space="0"/>
          <w:right w:val="none" w:color="000000" w:sz="4" w:space="0"/>
        </w:tcBorders>
      </w:tcPr>
    </w:tblStylePr>
  </w:style>
  <w:style w:type="table" w:styleId="1146" w:customStyle="1">
    <w:name w:val="Grid Table 7 Colorful - Accent 5"/>
    <w:basedOn w:val="991"/>
    <w:uiPriority w:val="99"/>
    <w:qFormat/>
    <w:pPr>
      <w:spacing w:after="0" w:line="240" w:lineRule="auto"/>
    </w:pPr>
    <w:tblPr>
      <w:tblBorders>
        <w:bottom w:val="single" w:color="99D0DE" w:sz="4" w:space="0"/>
        <w:right w:val="single" w:color="99D0DE" w:sz="4" w:space="0"/>
        <w:insideH w:val="single" w:color="99D0DE" w:sz="4" w:space="0"/>
        <w:insideV w:val="single" w:color="99D0DE" w:sz="4" w:space="0"/>
      </w:tblBorders>
    </w:tblPr>
    <w:tblStylePr w:type="band1Horz">
      <w:rPr>
        <w:rFonts w:ascii="Arial" w:hAnsi="Arial"/>
        <w:color w:val="266778"/>
        <w:sz w:val="22"/>
      </w:rPr>
      <w:tcPr>
        <w:shd w:val="clear" w:color="daeef3" w:fill="daeef3"/>
      </w:tcPr>
    </w:tblStylePr>
    <w:tblStylePr w:type="band1Vert">
      <w:tcPr>
        <w:shd w:val="clear" w:color="daeef3" w:fill="daeef3"/>
      </w:tcPr>
    </w:tblStylePr>
    <w:tblStylePr w:type="band2Horz">
      <w:rPr>
        <w:rFonts w:ascii="Arial" w:hAnsi="Arial"/>
        <w:color w:val="266778"/>
        <w:sz w:val="22"/>
      </w:rPr>
    </w:tblStylePr>
    <w:tblStylePr w:type="firstCol">
      <w:rPr>
        <w:rFonts w:ascii="Arial" w:hAnsi="Arial"/>
        <w:i/>
        <w:color w:val="266778"/>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778"/>
        <w:sz w:val="22"/>
      </w:rPr>
      <w:tcPr>
        <w:shd w:val="clear" w:color="cce8cf" w:fill="cce8c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778"/>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778"/>
        <w:sz w:val="22"/>
      </w:rPr>
      <w:tcPr>
        <w:shd w:val="clear" w:color="cce8cf" w:fill="cce8cf"/>
        <w:tcBorders>
          <w:top w:val="single" w:color="99D0DE" w:sz="4" w:space="0"/>
          <w:left w:val="none" w:color="000000" w:sz="4" w:space="0"/>
          <w:bottom w:val="none" w:color="000000" w:sz="4" w:space="0"/>
          <w:right w:val="none" w:color="000000" w:sz="4" w:space="0"/>
        </w:tcBorders>
      </w:tcPr>
    </w:tblStylePr>
  </w:style>
  <w:style w:type="table" w:styleId="1147" w:customStyle="1">
    <w:name w:val="Grid Table 7 Colorful - Accent 6"/>
    <w:basedOn w:val="991"/>
    <w:uiPriority w:val="99"/>
    <w:qFormat/>
    <w:pPr>
      <w:spacing w:after="0" w:line="240" w:lineRule="auto"/>
    </w:pPr>
    <w:tblPr>
      <w:tblBorders>
        <w:bottom w:val="single" w:color="FAC396" w:sz="4" w:space="0"/>
        <w:right w:val="single" w:color="FAC396" w:sz="4" w:space="0"/>
        <w:insideH w:val="single" w:color="FAC396" w:sz="4" w:space="0"/>
        <w:insideV w:val="single" w:color="FAC396" w:sz="4" w:space="0"/>
      </w:tblBorders>
    </w:tblPr>
    <w:tblStylePr w:type="band1Horz">
      <w:rPr>
        <w:rFonts w:ascii="Arial" w:hAnsi="Arial"/>
        <w:color w:val="b05408"/>
        <w:sz w:val="22"/>
      </w:rPr>
      <w:tcPr>
        <w:shd w:val="clear" w:color="fde9d9" w:fill="fde9d9"/>
      </w:tcPr>
    </w:tblStylePr>
    <w:tblStylePr w:type="band1Vert">
      <w:tcPr>
        <w:shd w:val="clear" w:color="fde9d9" w:fill="fde9d9"/>
      </w:tcPr>
    </w:tblStylePr>
    <w:tblStylePr w:type="band2Horz">
      <w:rPr>
        <w:rFonts w:ascii="Arial" w:hAnsi="Arial"/>
        <w:color w:val="b05408"/>
        <w:sz w:val="22"/>
      </w:rPr>
    </w:tblStylePr>
    <w:tblStylePr w:type="firstCol">
      <w:rPr>
        <w:rFonts w:ascii="Arial" w:hAnsi="Arial"/>
        <w:i/>
        <w:color w:val="b05408"/>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05408"/>
        <w:sz w:val="22"/>
      </w:rPr>
      <w:tcPr>
        <w:shd w:val="clear" w:color="cce8cf" w:fill="cce8c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05408"/>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05408"/>
        <w:sz w:val="22"/>
      </w:rPr>
      <w:tcPr>
        <w:shd w:val="clear" w:color="cce8cf" w:fill="cce8cf"/>
        <w:tcBorders>
          <w:top w:val="single" w:color="FAC396" w:sz="4" w:space="0"/>
          <w:left w:val="none" w:color="000000" w:sz="4" w:space="0"/>
          <w:bottom w:val="none" w:color="000000" w:sz="4" w:space="0"/>
          <w:right w:val="none" w:color="000000" w:sz="4" w:space="0"/>
        </w:tcBorders>
      </w:tcPr>
    </w:tblStylePr>
  </w:style>
  <w:style w:type="table" w:styleId="1148" w:customStyle="1">
    <w:name w:val="List Table 1 Light"/>
    <w:basedOn w:val="991"/>
    <w:uiPriority w:val="99"/>
    <w:qFormat/>
    <w:pPr>
      <w:spacing w:after="0" w:line="240" w:lineRule="auto"/>
    </w:pPr>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1149" w:customStyle="1">
    <w:name w:val="List Table 1 Light - Accent 1"/>
    <w:basedOn w:val="991"/>
    <w:uiPriority w:val="99"/>
    <w:qFormat/>
    <w:pPr>
      <w:spacing w:after="0" w:line="240" w:lineRule="auto"/>
    </w:pP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table" w:styleId="1150" w:customStyle="1">
    <w:name w:val="List Table 1 Light - Accent 2"/>
    <w:basedOn w:val="991"/>
    <w:uiPriority w:val="99"/>
    <w:qFormat/>
    <w:pPr>
      <w:spacing w:after="0" w:line="240" w:lineRule="auto"/>
    </w:pPr>
    <w:tblPr/>
    <w:tblStylePr w:type="band1Horz">
      <w:tcPr>
        <w:shd w:val="clear" w:color="efd3d2" w:fill="efd3d2"/>
      </w:tcPr>
    </w:tblStylePr>
    <w:tblStylePr w:type="band1Vert">
      <w:tcPr>
        <w:shd w:val="clear" w:color="efd3d2" w:fill="efd3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table" w:styleId="1151" w:customStyle="1">
    <w:name w:val="List Table 1 Light - Accent 3"/>
    <w:basedOn w:val="991"/>
    <w:uiPriority w:val="99"/>
    <w:qFormat/>
    <w:pPr>
      <w:spacing w:after="0" w:line="240" w:lineRule="auto"/>
    </w:pPr>
    <w:tblPr/>
    <w:tblStylePr w:type="band1Horz">
      <w:tcPr>
        <w:shd w:val="clear" w:color="e5edd5" w:fill="e5edd5"/>
      </w:tcPr>
    </w:tblStylePr>
    <w:tblStylePr w:type="band1Vert">
      <w:tcPr>
        <w:shd w:val="clear" w:color="e5edd5" w:fill="e5ed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1152" w:customStyle="1">
    <w:name w:val="List Table 1 Light - Accent 4"/>
    <w:basedOn w:val="991"/>
    <w:uiPriority w:val="99"/>
    <w:qFormat/>
    <w:pPr>
      <w:spacing w:after="0" w:line="240" w:lineRule="auto"/>
    </w:pP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1153" w:customStyle="1">
    <w:name w:val="List Table 1 Light - Accent 5"/>
    <w:basedOn w:val="991"/>
    <w:uiPriority w:val="99"/>
    <w:qFormat/>
    <w:pPr>
      <w:spacing w:after="0" w:line="240" w:lineRule="auto"/>
    </w:pP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table" w:styleId="1154" w:customStyle="1">
    <w:name w:val="List Table 1 Light - Accent 6"/>
    <w:basedOn w:val="991"/>
    <w:uiPriority w:val="99"/>
    <w:qFormat/>
    <w:pPr>
      <w:spacing w:after="0" w:line="240" w:lineRule="auto"/>
    </w:pPr>
    <w:tblPr/>
    <w:tblStylePr w:type="band1Horz">
      <w:tcPr>
        <w:shd w:val="clear" w:color="fce4d0" w:fill="fce4d0"/>
      </w:tcPr>
    </w:tblStylePr>
    <w:tblStylePr w:type="band1Vert">
      <w:tcPr>
        <w:shd w:val="clear" w:color="fce4d0" w:fill="fc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table" w:styleId="1155" w:customStyle="1">
    <w:name w:val="List Table 2"/>
    <w:basedOn w:val="991"/>
    <w:uiPriority w:val="99"/>
    <w:qFormat/>
    <w:pPr>
      <w:spacing w:after="0" w:line="240" w:lineRule="auto"/>
    </w:pPr>
    <w:tblPr>
      <w:tblBorders>
        <w:top w:val="single" w:color="6E6E6E" w:sz="4" w:space="0"/>
        <w:bottom w:val="single" w:color="6E6E6E" w:sz="4" w:space="0"/>
        <w:insideH w:val="single" w:color="6E6E6E" w:sz="4" w:space="0"/>
      </w:tblBorders>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rFonts w:ascii="Arial" w:hAnsi="Arial"/>
        <w:b/>
        <w:color w:val="404040"/>
        <w:sz w:val="22"/>
      </w:rPr>
    </w:tblStylePr>
    <w:tblStylePr w:type="fir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style>
  <w:style w:type="table" w:styleId="1156" w:customStyle="1">
    <w:name w:val="List Table 2 - Accent 1"/>
    <w:basedOn w:val="991"/>
    <w:uiPriority w:val="99"/>
    <w:qFormat/>
    <w:pPr>
      <w:spacing w:after="0" w:line="240" w:lineRule="auto"/>
    </w:pPr>
    <w:tblPr>
      <w:tblBorders>
        <w:top w:val="single" w:color="9BB7D9" w:sz="4" w:space="0"/>
        <w:bottom w:val="single" w:color="9BB7D9" w:sz="4" w:space="0"/>
        <w:insideH w:val="single" w:color="9BB7D9" w:sz="4" w:space="0"/>
      </w:tblBorders>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table" w:styleId="1157" w:customStyle="1">
    <w:name w:val="List Table 2 - Accent 2"/>
    <w:basedOn w:val="991"/>
    <w:uiPriority w:val="99"/>
    <w:qFormat/>
    <w:pPr>
      <w:spacing w:after="0" w:line="240" w:lineRule="auto"/>
    </w:pPr>
    <w:tblPr>
      <w:tblBorders>
        <w:top w:val="single" w:color="DB9C9A" w:sz="4" w:space="0"/>
        <w:bottom w:val="single" w:color="DB9C9A" w:sz="4" w:space="0"/>
        <w:insideH w:val="single" w:color="DB9C9A" w:sz="4" w:space="0"/>
      </w:tblBorders>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rFonts w:ascii="Arial" w:hAnsi="Arial"/>
        <w:b/>
        <w:color w:val="404040"/>
        <w:sz w:val="22"/>
      </w:rPr>
    </w:tblStylePr>
    <w:tblStylePr w:type="firstRow">
      <w:rPr>
        <w:rFonts w:ascii="Arial" w:hAnsi="Arial"/>
        <w:b/>
        <w:color w:val="404040"/>
        <w:sz w:val="22"/>
      </w:rPr>
      <w:tcPr>
        <w:tcBorders>
          <w:top w:val="single" w:color="DB9C9A" w:sz="4" w:space="0"/>
          <w:left w:val="none" w:color="000000" w:sz="4" w:space="0"/>
          <w:bottom w:val="single" w:color="DB9C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sz="4" w:space="0"/>
          <w:left w:val="none" w:color="000000" w:sz="4" w:space="0"/>
          <w:bottom w:val="single" w:color="DB9C9A" w:sz="4" w:space="0"/>
          <w:right w:val="none" w:color="000000" w:sz="4" w:space="0"/>
        </w:tcBorders>
      </w:tcPr>
    </w:tblStylePr>
  </w:style>
  <w:style w:type="table" w:styleId="1158" w:customStyle="1">
    <w:name w:val="List Table 2 - Accent 3"/>
    <w:basedOn w:val="991"/>
    <w:uiPriority w:val="99"/>
    <w:qFormat/>
    <w:pPr>
      <w:spacing w:after="0" w:line="240" w:lineRule="auto"/>
    </w:pPr>
    <w:tblPr>
      <w:tblBorders>
        <w:top w:val="single" w:color="C6D8A1" w:sz="4" w:space="0"/>
        <w:bottom w:val="single" w:color="C6D8A1" w:sz="4" w:space="0"/>
        <w:insideH w:val="single" w:color="C6D8A1" w:sz="4" w:space="0"/>
      </w:tblBorders>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table" w:styleId="1159" w:customStyle="1">
    <w:name w:val="List Table 2 - Accent 4"/>
    <w:basedOn w:val="991"/>
    <w:uiPriority w:val="99"/>
    <w:qFormat/>
    <w:pPr>
      <w:spacing w:after="0" w:line="240" w:lineRule="auto"/>
    </w:pPr>
    <w:tblPr>
      <w:tblBorders>
        <w:top w:val="single" w:color="B7A7CA" w:sz="4" w:space="0"/>
        <w:bottom w:val="single" w:color="B7A7CA" w:sz="4" w:space="0"/>
        <w:insideH w:val="single" w:color="B7A7CA" w:sz="4" w:space="0"/>
      </w:tblBorders>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1160" w:customStyle="1">
    <w:name w:val="List Table 2 - Accent 5"/>
    <w:basedOn w:val="991"/>
    <w:uiPriority w:val="99"/>
    <w:qFormat/>
    <w:pPr>
      <w:spacing w:after="0" w:line="240" w:lineRule="auto"/>
    </w:pPr>
    <w:tblPr>
      <w:tblBorders>
        <w:top w:val="single" w:color="99D0DE" w:sz="4" w:space="0"/>
        <w:bottom w:val="single" w:color="99D0DE" w:sz="4" w:space="0"/>
        <w:insideH w:val="single" w:color="99D0DE" w:sz="4" w:space="0"/>
      </w:tblBorders>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1161" w:customStyle="1">
    <w:name w:val="List Table 2 - Accent 6"/>
    <w:basedOn w:val="991"/>
    <w:uiPriority w:val="99"/>
    <w:qFormat/>
    <w:pPr>
      <w:spacing w:after="0" w:line="240" w:lineRule="auto"/>
    </w:pPr>
    <w:tblPr>
      <w:tblBorders>
        <w:top w:val="single" w:color="FAC396" w:sz="4" w:space="0"/>
        <w:bottom w:val="single" w:color="FAC396" w:sz="4" w:space="0"/>
        <w:insideH w:val="single" w:color="FAC396" w:sz="4" w:space="0"/>
      </w:tblBorders>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table" w:styleId="1162" w:customStyle="1">
    <w:name w:val="List Table 3"/>
    <w:basedOn w:val="991"/>
    <w:uiPriority w:val="99"/>
    <w:qFormat/>
    <w:pPr>
      <w:spacing w:after="0" w:line="240" w:lineRule="auto"/>
    </w:pPr>
    <w:tblPr>
      <w:tblBorders>
        <w:top w:val="single" w:color="000000" w:sz="4" w:space="0"/>
        <w:left w:val="single" w:color="000000" w:sz="4" w:space="0"/>
        <w:bottom w:val="single" w:color="000000" w:sz="4" w:space="0"/>
        <w:right w:val="single" w:color="000000" w:sz="4" w:space="0"/>
      </w:tblBorders>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163" w:customStyle="1">
    <w:name w:val="List Table 3 - Accent 1"/>
    <w:basedOn w:val="991"/>
    <w:uiPriority w:val="99"/>
    <w:qFormat/>
    <w:pPr>
      <w:spacing w:after="0" w:line="240" w:lineRule="auto"/>
    </w:pPr>
    <w:tblPr>
      <w:tblBorders>
        <w:top w:val="single" w:color="4F81BD" w:sz="4" w:space="0"/>
        <w:left w:val="single" w:color="4F81BD" w:sz="4" w:space="0"/>
        <w:bottom w:val="single" w:color="4F81BD" w:sz="4" w:space="0"/>
        <w:right w:val="single" w:color="4F81BD" w:sz="4" w:space="0"/>
      </w:tblBorders>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1164" w:customStyle="1">
    <w:name w:val="List Table 3 - Accent 2"/>
    <w:basedOn w:val="991"/>
    <w:uiPriority w:val="99"/>
    <w:qFormat/>
    <w:pPr>
      <w:spacing w:after="0" w:line="240" w:lineRule="auto"/>
    </w:pPr>
    <w:tblPr>
      <w:tblBorders>
        <w:top w:val="single" w:color="D99795" w:sz="4" w:space="0"/>
        <w:left w:val="single" w:color="D99795" w:sz="4" w:space="0"/>
        <w:bottom w:val="single" w:color="D99795" w:sz="4" w:space="0"/>
        <w:right w:val="single" w:color="D99795" w:sz="4" w:space="0"/>
      </w:tblBorders>
    </w:tblPr>
    <w:tblStylePr w:type="band1Horz">
      <w:rPr>
        <w:rFonts w:ascii="Arial" w:hAnsi="Arial"/>
        <w:color w:val="404040"/>
        <w:sz w:val="22"/>
      </w:rPr>
      <w:tcPr>
        <w:tcBorders>
          <w:top w:val="single" w:color="D99795" w:sz="4" w:space="0"/>
          <w:bottom w:val="single" w:color="D99795" w:sz="4" w:space="0"/>
        </w:tcBorders>
      </w:tcPr>
    </w:tblStylePr>
    <w:tblStylePr w:type="band1Vert">
      <w:rPr>
        <w:rFonts w:ascii="Arial" w:hAnsi="Arial"/>
        <w:color w:val="404040"/>
        <w:sz w:val="22"/>
      </w:rPr>
      <w:tcPr>
        <w:tcBorders>
          <w:left w:val="single" w:color="D99795" w:sz="4" w:space="0"/>
          <w:right w:val="single" w:color="D99795" w:sz="4" w:space="0"/>
        </w:tcBorders>
      </w:tcPr>
    </w:tblStylePr>
    <w:tblStylePr w:type="firstCol">
      <w:rPr>
        <w:b/>
        <w:color w:val="404040"/>
      </w:rPr>
    </w:tblStylePr>
    <w:tblStylePr w:type="firstRow">
      <w:rPr>
        <w:rFonts w:ascii="Arial" w:hAnsi="Arial"/>
        <w:b/>
        <w:color w:val="ffffff"/>
        <w:sz w:val="22"/>
      </w:rPr>
      <w:tcPr>
        <w:shd w:val="clear" w:color="d99795" w:fill="d99795"/>
      </w:tcPr>
    </w:tblStylePr>
    <w:tblStylePr w:type="lastCol">
      <w:rPr>
        <w:b/>
        <w:color w:val="404040"/>
      </w:rPr>
    </w:tblStylePr>
    <w:tblStylePr w:type="lastRow">
      <w:rPr>
        <w:b/>
        <w:color w:val="404040"/>
      </w:rPr>
    </w:tblStylePr>
  </w:style>
  <w:style w:type="table" w:styleId="1165" w:customStyle="1">
    <w:name w:val="List Table 3 - Accent 3"/>
    <w:basedOn w:val="991"/>
    <w:uiPriority w:val="99"/>
    <w:qFormat/>
    <w:pPr>
      <w:spacing w:after="0" w:line="240" w:lineRule="auto"/>
    </w:pPr>
    <w:tblPr>
      <w:tblBorders>
        <w:top w:val="single" w:color="C3D69C" w:sz="4" w:space="0"/>
        <w:left w:val="single" w:color="C3D69C" w:sz="4" w:space="0"/>
        <w:bottom w:val="single" w:color="C3D69C" w:sz="4" w:space="0"/>
        <w:right w:val="single" w:color="C3D69C" w:sz="4" w:space="0"/>
      </w:tblBorders>
    </w:tblPr>
    <w:tblStylePr w:type="band1Horz">
      <w:rPr>
        <w:rFonts w:ascii="Arial" w:hAnsi="Arial"/>
        <w:color w:val="404040"/>
        <w:sz w:val="22"/>
      </w:rPr>
      <w:tcPr>
        <w:tcBorders>
          <w:top w:val="single" w:color="C3D69C" w:sz="4" w:space="0"/>
          <w:bottom w:val="single" w:color="C3D69C" w:sz="4" w:space="0"/>
        </w:tcBorders>
      </w:tcPr>
    </w:tblStylePr>
    <w:tblStylePr w:type="band1Vert">
      <w:rPr>
        <w:rFonts w:ascii="Arial" w:hAnsi="Arial"/>
        <w:color w:val="404040"/>
        <w:sz w:val="22"/>
      </w:rPr>
      <w:tcPr>
        <w:tcBorders>
          <w:left w:val="single" w:color="C3D69C" w:sz="4" w:space="0"/>
          <w:right w:val="single" w:color="C3D69C" w:sz="4" w:space="0"/>
        </w:tcBorders>
      </w:tcPr>
    </w:tblStylePr>
    <w:tblStylePr w:type="firstCol">
      <w:rPr>
        <w:b/>
        <w:color w:val="404040"/>
      </w:rPr>
    </w:tblStylePr>
    <w:tblStylePr w:type="firstRow">
      <w:rPr>
        <w:rFonts w:ascii="Arial" w:hAnsi="Arial"/>
        <w:b/>
        <w:color w:val="ffffff"/>
        <w:sz w:val="22"/>
      </w:rPr>
      <w:tcPr>
        <w:shd w:val="clear" w:color="c3d69c" w:fill="c3d69c"/>
      </w:tcPr>
    </w:tblStylePr>
    <w:tblStylePr w:type="lastCol">
      <w:rPr>
        <w:b/>
        <w:color w:val="404040"/>
      </w:rPr>
    </w:tblStylePr>
    <w:tblStylePr w:type="lastRow">
      <w:rPr>
        <w:b/>
        <w:color w:val="404040"/>
      </w:rPr>
    </w:tblStylePr>
  </w:style>
  <w:style w:type="table" w:styleId="1166" w:customStyle="1">
    <w:name w:val="List Table 3 - Accent 4"/>
    <w:basedOn w:val="991"/>
    <w:uiPriority w:val="99"/>
    <w:qFormat/>
    <w:pPr>
      <w:spacing w:after="0" w:line="240" w:lineRule="auto"/>
    </w:pPr>
    <w:tblPr>
      <w:tblBorders>
        <w:top w:val="single" w:color="B2A1C6" w:sz="4" w:space="0"/>
        <w:left w:val="single" w:color="B2A1C6" w:sz="4" w:space="0"/>
        <w:bottom w:val="single" w:color="B2A1C6" w:sz="4" w:space="0"/>
        <w:right w:val="single" w:color="B2A1C6" w:sz="4" w:space="0"/>
      </w:tblBorders>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1167" w:customStyle="1">
    <w:name w:val="List Table 3 - Accent 5"/>
    <w:basedOn w:val="991"/>
    <w:uiPriority w:val="99"/>
    <w:qFormat/>
    <w:pPr>
      <w:spacing w:after="0" w:line="240" w:lineRule="auto"/>
    </w:pPr>
    <w:tblPr>
      <w:tblBorders>
        <w:top w:val="single" w:color="92CCDC" w:sz="4" w:space="0"/>
        <w:left w:val="single" w:color="92CCDC" w:sz="4" w:space="0"/>
        <w:bottom w:val="single" w:color="92CCDC" w:sz="4" w:space="0"/>
        <w:right w:val="single" w:color="92CCDC" w:sz="4" w:space="0"/>
      </w:tblBorders>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1168" w:customStyle="1">
    <w:name w:val="List Table 3 - Accent 6"/>
    <w:basedOn w:val="991"/>
    <w:uiPriority w:val="99"/>
    <w:qFormat/>
    <w:pPr>
      <w:spacing w:after="0" w:line="240" w:lineRule="auto"/>
    </w:pPr>
    <w:tblPr>
      <w:tblBorders>
        <w:top w:val="single" w:color="FAC090" w:sz="4" w:space="0"/>
        <w:left w:val="single" w:color="FAC090" w:sz="4" w:space="0"/>
        <w:bottom w:val="single" w:color="FAC090" w:sz="4" w:space="0"/>
        <w:right w:val="single" w:color="FAC090" w:sz="4" w:space="0"/>
      </w:tblBorders>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1169" w:customStyle="1">
    <w:name w:val="List Table 4"/>
    <w:basedOn w:val="991"/>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170" w:customStyle="1">
    <w:name w:val="List Table 4 - Accent 1"/>
    <w:basedOn w:val="991"/>
    <w:uiPriority w:val="99"/>
    <w:qFormat/>
    <w:pPr>
      <w:spacing w:after="0" w:line="240" w:lineRule="auto"/>
    </w:pPr>
    <w:tblPr>
      <w:tblBorders>
        <w:top w:val="single" w:color="9BB7D9" w:sz="4" w:space="0"/>
        <w:left w:val="single" w:color="9BB7D9" w:sz="4" w:space="0"/>
        <w:bottom w:val="single" w:color="9BB7D9" w:sz="4" w:space="0"/>
        <w:right w:val="single" w:color="9BB7D9" w:sz="4" w:space="0"/>
        <w:insideH w:val="single" w:color="9BB7D9" w:sz="4" w:space="0"/>
      </w:tblBorders>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1171" w:customStyle="1">
    <w:name w:val="List Table 4 - Accent 2"/>
    <w:basedOn w:val="991"/>
    <w:uiPriority w:val="99"/>
    <w:qFormat/>
    <w:pPr>
      <w:spacing w:after="0" w:line="240" w:lineRule="auto"/>
    </w:pPr>
    <w:tblPr>
      <w:tblBorders>
        <w:top w:val="single" w:color="DB9C9A" w:sz="4" w:space="0"/>
        <w:left w:val="single" w:color="DB9C9A" w:sz="4" w:space="0"/>
        <w:bottom w:val="single" w:color="DB9C9A" w:sz="4" w:space="0"/>
        <w:right w:val="single" w:color="DB9C9A" w:sz="4" w:space="0"/>
        <w:insideH w:val="single" w:color="DB9C9A" w:sz="4" w:space="0"/>
      </w:tblBorders>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1172" w:customStyle="1">
    <w:name w:val="List Table 4 - Accent 3"/>
    <w:basedOn w:val="991"/>
    <w:uiPriority w:val="99"/>
    <w:qFormat/>
    <w:pPr>
      <w:spacing w:after="0" w:line="240" w:lineRule="auto"/>
    </w:pPr>
    <w:tblPr>
      <w:tblBorders>
        <w:top w:val="single" w:color="C6D8A1" w:sz="4" w:space="0"/>
        <w:left w:val="single" w:color="C6D8A1" w:sz="4" w:space="0"/>
        <w:bottom w:val="single" w:color="C6D8A1" w:sz="4" w:space="0"/>
        <w:right w:val="single" w:color="C6D8A1" w:sz="4" w:space="0"/>
        <w:insideH w:val="single" w:color="C6D8A1" w:sz="4" w:space="0"/>
      </w:tblBorders>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1173" w:customStyle="1">
    <w:name w:val="List Table 4 - Accent 4"/>
    <w:basedOn w:val="991"/>
    <w:uiPriority w:val="99"/>
    <w:qFormat/>
    <w:pPr>
      <w:spacing w:after="0" w:line="240" w:lineRule="auto"/>
    </w:pPr>
    <w:tblPr>
      <w:tblBorders>
        <w:top w:val="single" w:color="B7A7CA" w:sz="4" w:space="0"/>
        <w:left w:val="single" w:color="B7A7CA" w:sz="4" w:space="0"/>
        <w:bottom w:val="single" w:color="B7A7CA" w:sz="4" w:space="0"/>
        <w:right w:val="single" w:color="B7A7CA" w:sz="4" w:space="0"/>
        <w:insideH w:val="single" w:color="B7A7CA" w:sz="4" w:space="0"/>
      </w:tblBorders>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1174" w:customStyle="1">
    <w:name w:val="List Table 4 - Accent 5"/>
    <w:basedOn w:val="991"/>
    <w:uiPriority w:val="99"/>
    <w:qFormat/>
    <w:pPr>
      <w:spacing w:after="0" w:line="240" w:lineRule="auto"/>
    </w:pPr>
    <w:tblPr>
      <w:tblBorders>
        <w:top w:val="single" w:color="99D0DE" w:sz="4" w:space="0"/>
        <w:left w:val="single" w:color="99D0DE" w:sz="4" w:space="0"/>
        <w:bottom w:val="single" w:color="99D0DE" w:sz="4" w:space="0"/>
        <w:right w:val="single" w:color="99D0DE" w:sz="4" w:space="0"/>
        <w:insideH w:val="single" w:color="99D0DE" w:sz="4" w:space="0"/>
      </w:tblBorders>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1175" w:customStyle="1">
    <w:name w:val="List Table 4 - Accent 6"/>
    <w:basedOn w:val="991"/>
    <w:uiPriority w:val="99"/>
    <w:qFormat/>
    <w:pPr>
      <w:spacing w:after="0" w:line="240" w:lineRule="auto"/>
    </w:pPr>
    <w:tblPr>
      <w:tblBorders>
        <w:top w:val="single" w:color="FAC396" w:sz="4" w:space="0"/>
        <w:left w:val="single" w:color="FAC396" w:sz="4" w:space="0"/>
        <w:bottom w:val="single" w:color="FAC396" w:sz="4" w:space="0"/>
        <w:right w:val="single" w:color="FAC396" w:sz="4" w:space="0"/>
        <w:insideH w:val="single" w:color="FAC396" w:sz="4" w:space="0"/>
      </w:tblBorders>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1176" w:customStyle="1">
    <w:name w:val="List Table 5 Dark"/>
    <w:basedOn w:val="991"/>
    <w:uiPriority w:val="99"/>
    <w:qFormat/>
    <w:pPr>
      <w:spacing w:after="0" w:line="240" w:lineRule="auto"/>
    </w:pPr>
    <w:tblPr>
      <w:tblBorders>
        <w:top w:val="single" w:color="7E7E7E" w:sz="32" w:space="0"/>
        <w:left w:val="single" w:color="7E7E7E" w:sz="32" w:space="0"/>
        <w:bottom w:val="single" w:color="7E7E7E" w:sz="32" w:space="0"/>
        <w:right w:val="single" w:color="7E7E7E" w:sz="32" w:space="0"/>
      </w:tblBorders>
    </w:tblPr>
    <w:tblStylePr w:type="band1Horz">
      <w:tcPr>
        <w:shd w:val="clear" w:color="7e7e7e" w:fill="7e7e7e"/>
        <w:tcBorders>
          <w:top w:val="single" w:color="CCE8CF" w:sz="4" w:space="0"/>
          <w:bottom w:val="single" w:color="CCE8CF" w:sz="4" w:space="0"/>
        </w:tcBorders>
      </w:tcPr>
    </w:tblStylePr>
    <w:tblStylePr w:type="band1Vert">
      <w:tcPr>
        <w:shd w:val="clear" w:color="7e7e7e" w:fill="7e7e7e"/>
        <w:tcBorders>
          <w:left w:val="single" w:color="CCE8CF" w:sz="4" w:space="0"/>
          <w:right w:val="single" w:color="CCE8CF" w:sz="4" w:space="0"/>
        </w:tcBorders>
      </w:tcPr>
    </w:tblStylePr>
    <w:tblStylePr w:type="band2Horz">
      <w:tcPr>
        <w:shd w:val="clear" w:color="7e7e7e" w:fill="7e7e7e"/>
        <w:tcBorders>
          <w:top w:val="single" w:color="CCE8CF" w:sz="4" w:space="0"/>
          <w:bottom w:val="single" w:color="CCE8CF" w:sz="4" w:space="0"/>
        </w:tcBorders>
      </w:tcPr>
    </w:tblStylePr>
    <w:tblStylePr w:type="band2Vert">
      <w:tcPr>
        <w:tcBorders>
          <w:left w:val="single" w:color="CCE8CF" w:sz="4" w:space="0"/>
          <w:right w:val="single" w:color="CCE8CF" w:sz="4" w:space="0"/>
        </w:tcBorders>
      </w:tcPr>
    </w:tblStylePr>
    <w:tblStylePr w:type="firstCol">
      <w:rPr>
        <w:rFonts w:ascii="Arial" w:hAnsi="Arial"/>
        <w:b/>
        <w:color w:val="cce8cf"/>
        <w:sz w:val="22"/>
      </w:rPr>
      <w:tcPr>
        <w:tcBorders>
          <w:left w:val="single" w:color="7E7E7E" w:sz="32" w:space="0"/>
          <w:right w:val="single" w:color="CCE8CF" w:sz="4" w:space="0"/>
        </w:tcBorders>
      </w:tcPr>
    </w:tblStylePr>
    <w:tblStylePr w:type="firstRow">
      <w:rPr>
        <w:rFonts w:ascii="Arial" w:hAnsi="Arial"/>
        <w:b/>
        <w:color w:val="cce8cf"/>
        <w:sz w:val="22"/>
      </w:rPr>
      <w:tcPr>
        <w:shd w:val="clear" w:color="7e7e7e" w:fill="7e7e7e"/>
        <w:tcBorders>
          <w:top w:val="single" w:color="7E7E7E" w:sz="32" w:space="0"/>
          <w:bottom w:val="single" w:color="CCE8CF" w:sz="12" w:space="0"/>
        </w:tcBorders>
      </w:tcPr>
    </w:tblStylePr>
    <w:tblStylePr w:type="lastCol">
      <w:tcPr>
        <w:tcBorders>
          <w:left w:val="single" w:color="CCE8CF" w:sz="4" w:space="0"/>
          <w:right w:val="single" w:color="7E7E7E" w:sz="32" w:space="0"/>
        </w:tcBorders>
      </w:tcPr>
    </w:tblStylePr>
    <w:tblStylePr w:type="lastRow">
      <w:rPr>
        <w:rFonts w:ascii="Arial" w:hAnsi="Arial"/>
        <w:b/>
        <w:color w:val="cce8cf"/>
        <w:sz w:val="22"/>
      </w:rPr>
    </w:tblStylePr>
  </w:style>
  <w:style w:type="table" w:styleId="1177" w:customStyle="1">
    <w:name w:val="List Table 5 Dark - Accent 1"/>
    <w:basedOn w:val="991"/>
    <w:uiPriority w:val="99"/>
    <w:qFormat/>
    <w:pPr>
      <w:spacing w:after="0" w:line="240" w:lineRule="auto"/>
    </w:pPr>
    <w:tblPr>
      <w:tblBorders>
        <w:top w:val="single" w:color="4F81BD" w:sz="32" w:space="0"/>
        <w:left w:val="single" w:color="4F81BD" w:sz="32" w:space="0"/>
        <w:bottom w:val="single" w:color="4F81BD" w:sz="32" w:space="0"/>
        <w:right w:val="single" w:color="4F81BD" w:sz="32" w:space="0"/>
      </w:tblBorders>
    </w:tblPr>
    <w:tblStylePr w:type="band1Horz">
      <w:tcPr>
        <w:shd w:val="clear" w:color="4f81bd" w:fill="4f81bd"/>
        <w:tcBorders>
          <w:top w:val="single" w:color="CCE8CF" w:sz="4" w:space="0"/>
          <w:bottom w:val="single" w:color="CCE8CF" w:sz="4" w:space="0"/>
        </w:tcBorders>
      </w:tcPr>
    </w:tblStylePr>
    <w:tblStylePr w:type="band1Vert">
      <w:tcPr>
        <w:shd w:val="clear" w:color="4f81bd" w:fill="4f81bd"/>
        <w:tcBorders>
          <w:left w:val="single" w:color="CCE8CF" w:sz="4" w:space="0"/>
          <w:right w:val="single" w:color="CCE8CF" w:sz="4" w:space="0"/>
        </w:tcBorders>
      </w:tcPr>
    </w:tblStylePr>
    <w:tblStylePr w:type="band2Horz">
      <w:tcPr>
        <w:shd w:val="clear" w:color="4f81bd" w:fill="4f81bd"/>
        <w:tcBorders>
          <w:top w:val="single" w:color="CCE8CF" w:sz="4" w:space="0"/>
          <w:bottom w:val="single" w:color="CCE8CF" w:sz="4" w:space="0"/>
        </w:tcBorders>
      </w:tcPr>
    </w:tblStylePr>
    <w:tblStylePr w:type="band2Vert">
      <w:tcPr>
        <w:tcBorders>
          <w:left w:val="single" w:color="CCE8CF" w:sz="4" w:space="0"/>
          <w:right w:val="single" w:color="CCE8CF" w:sz="4" w:space="0"/>
        </w:tcBorders>
      </w:tcPr>
    </w:tblStylePr>
    <w:tblStylePr w:type="firstCol">
      <w:rPr>
        <w:rFonts w:ascii="Arial" w:hAnsi="Arial"/>
        <w:b/>
        <w:color w:val="cce8cf"/>
        <w:sz w:val="22"/>
      </w:rPr>
      <w:tcPr>
        <w:tcBorders>
          <w:left w:val="single" w:color="4F81BD" w:sz="32" w:space="0"/>
          <w:right w:val="single" w:color="CCE8CF" w:sz="4" w:space="0"/>
        </w:tcBorders>
      </w:tcPr>
    </w:tblStylePr>
    <w:tblStylePr w:type="firstRow">
      <w:rPr>
        <w:rFonts w:ascii="Arial" w:hAnsi="Arial"/>
        <w:b/>
        <w:color w:val="cce8cf"/>
        <w:sz w:val="22"/>
      </w:rPr>
      <w:tcPr>
        <w:shd w:val="clear" w:color="4f81bd" w:fill="4f81bd"/>
        <w:tcBorders>
          <w:top w:val="single" w:color="4F81BD" w:sz="32" w:space="0"/>
          <w:bottom w:val="single" w:color="CCE8CF" w:sz="12" w:space="0"/>
        </w:tcBorders>
      </w:tcPr>
    </w:tblStylePr>
    <w:tblStylePr w:type="lastCol">
      <w:tcPr>
        <w:tcBorders>
          <w:left w:val="single" w:color="CCE8CF" w:sz="4" w:space="0"/>
          <w:right w:val="single" w:color="4F81BD" w:sz="32" w:space="0"/>
        </w:tcBorders>
      </w:tcPr>
    </w:tblStylePr>
    <w:tblStylePr w:type="lastRow">
      <w:rPr>
        <w:rFonts w:ascii="Arial" w:hAnsi="Arial"/>
        <w:b/>
        <w:color w:val="cce8cf"/>
        <w:sz w:val="22"/>
      </w:rPr>
    </w:tblStylePr>
  </w:style>
  <w:style w:type="table" w:styleId="1178" w:customStyle="1">
    <w:name w:val="List Table 5 Dark - Accent 2"/>
    <w:basedOn w:val="991"/>
    <w:uiPriority w:val="99"/>
    <w:qFormat/>
    <w:pPr>
      <w:spacing w:after="0" w:line="240" w:lineRule="auto"/>
    </w:pPr>
    <w:tblPr>
      <w:tblBorders>
        <w:top w:val="single" w:color="D99795" w:sz="32" w:space="0"/>
        <w:left w:val="single" w:color="D99795" w:sz="32" w:space="0"/>
        <w:bottom w:val="single" w:color="D99795" w:sz="32" w:space="0"/>
        <w:right w:val="single" w:color="D99795" w:sz="32" w:space="0"/>
      </w:tblBorders>
    </w:tblPr>
    <w:tblStylePr w:type="band1Horz">
      <w:tcPr>
        <w:shd w:val="clear" w:color="d99795" w:fill="d99795"/>
        <w:tcBorders>
          <w:top w:val="single" w:color="CCE8CF" w:sz="4" w:space="0"/>
          <w:bottom w:val="single" w:color="CCE8CF" w:sz="4" w:space="0"/>
        </w:tcBorders>
      </w:tcPr>
    </w:tblStylePr>
    <w:tblStylePr w:type="band1Vert">
      <w:tcPr>
        <w:shd w:val="clear" w:color="d99795" w:fill="d99795"/>
        <w:tcBorders>
          <w:left w:val="single" w:color="CCE8CF" w:sz="4" w:space="0"/>
          <w:right w:val="single" w:color="CCE8CF" w:sz="4" w:space="0"/>
        </w:tcBorders>
      </w:tcPr>
    </w:tblStylePr>
    <w:tblStylePr w:type="band2Horz">
      <w:tcPr>
        <w:shd w:val="clear" w:color="d99795" w:fill="d99795"/>
        <w:tcBorders>
          <w:top w:val="single" w:color="CCE8CF" w:sz="4" w:space="0"/>
          <w:bottom w:val="single" w:color="CCE8CF" w:sz="4" w:space="0"/>
        </w:tcBorders>
      </w:tcPr>
    </w:tblStylePr>
    <w:tblStylePr w:type="band2Vert">
      <w:tcPr>
        <w:tcBorders>
          <w:left w:val="single" w:color="CCE8CF" w:sz="4" w:space="0"/>
          <w:right w:val="single" w:color="CCE8CF" w:sz="4" w:space="0"/>
        </w:tcBorders>
      </w:tcPr>
    </w:tblStylePr>
    <w:tblStylePr w:type="firstCol">
      <w:rPr>
        <w:rFonts w:ascii="Arial" w:hAnsi="Arial"/>
        <w:b/>
        <w:color w:val="cce8cf"/>
        <w:sz w:val="22"/>
      </w:rPr>
      <w:tcPr>
        <w:tcBorders>
          <w:left w:val="single" w:color="D99795" w:sz="32" w:space="0"/>
          <w:right w:val="single" w:color="CCE8CF" w:sz="4" w:space="0"/>
        </w:tcBorders>
      </w:tcPr>
    </w:tblStylePr>
    <w:tblStylePr w:type="firstRow">
      <w:rPr>
        <w:rFonts w:ascii="Arial" w:hAnsi="Arial"/>
        <w:b/>
        <w:color w:val="cce8cf"/>
        <w:sz w:val="22"/>
      </w:rPr>
      <w:tcPr>
        <w:shd w:val="clear" w:color="d99795" w:fill="d99795"/>
        <w:tcBorders>
          <w:top w:val="single" w:color="D99795" w:sz="32" w:space="0"/>
          <w:bottom w:val="single" w:color="CCE8CF" w:sz="12" w:space="0"/>
        </w:tcBorders>
      </w:tcPr>
    </w:tblStylePr>
    <w:tblStylePr w:type="lastCol">
      <w:tcPr>
        <w:tcBorders>
          <w:left w:val="single" w:color="CCE8CF" w:sz="4" w:space="0"/>
          <w:right w:val="single" w:color="D99795" w:sz="32" w:space="0"/>
        </w:tcBorders>
      </w:tcPr>
    </w:tblStylePr>
    <w:tblStylePr w:type="lastRow">
      <w:rPr>
        <w:rFonts w:ascii="Arial" w:hAnsi="Arial"/>
        <w:b/>
        <w:color w:val="cce8cf"/>
        <w:sz w:val="22"/>
      </w:rPr>
    </w:tblStylePr>
  </w:style>
  <w:style w:type="table" w:styleId="1179" w:customStyle="1">
    <w:name w:val="List Table 5 Dark - Accent 3"/>
    <w:basedOn w:val="991"/>
    <w:uiPriority w:val="99"/>
    <w:qFormat/>
    <w:pPr>
      <w:spacing w:after="0" w:line="240" w:lineRule="auto"/>
    </w:pPr>
    <w:tblPr>
      <w:tblBorders>
        <w:top w:val="single" w:color="C3D69C" w:sz="32" w:space="0"/>
        <w:left w:val="single" w:color="C3D69C" w:sz="32" w:space="0"/>
        <w:bottom w:val="single" w:color="C3D69C" w:sz="32" w:space="0"/>
        <w:right w:val="single" w:color="C3D69C" w:sz="32" w:space="0"/>
      </w:tblBorders>
    </w:tblPr>
    <w:tblStylePr w:type="band1Horz">
      <w:tcPr>
        <w:shd w:val="clear" w:color="c3d69c" w:fill="c3d69c"/>
        <w:tcBorders>
          <w:top w:val="single" w:color="CCE8CF" w:sz="4" w:space="0"/>
          <w:bottom w:val="single" w:color="CCE8CF" w:sz="4" w:space="0"/>
        </w:tcBorders>
      </w:tcPr>
    </w:tblStylePr>
    <w:tblStylePr w:type="band1Vert">
      <w:tcPr>
        <w:shd w:val="clear" w:color="c3d69c" w:fill="c3d69c"/>
        <w:tcBorders>
          <w:left w:val="single" w:color="CCE8CF" w:sz="4" w:space="0"/>
          <w:right w:val="single" w:color="CCE8CF" w:sz="4" w:space="0"/>
        </w:tcBorders>
      </w:tcPr>
    </w:tblStylePr>
    <w:tblStylePr w:type="band2Horz">
      <w:tcPr>
        <w:shd w:val="clear" w:color="c3d69c" w:fill="c3d69c"/>
        <w:tcBorders>
          <w:top w:val="single" w:color="CCE8CF" w:sz="4" w:space="0"/>
          <w:bottom w:val="single" w:color="CCE8CF" w:sz="4" w:space="0"/>
        </w:tcBorders>
      </w:tcPr>
    </w:tblStylePr>
    <w:tblStylePr w:type="band2Vert">
      <w:tcPr>
        <w:tcBorders>
          <w:left w:val="single" w:color="CCE8CF" w:sz="4" w:space="0"/>
          <w:right w:val="single" w:color="CCE8CF" w:sz="4" w:space="0"/>
        </w:tcBorders>
      </w:tcPr>
    </w:tblStylePr>
    <w:tblStylePr w:type="firstCol">
      <w:rPr>
        <w:rFonts w:ascii="Arial" w:hAnsi="Arial"/>
        <w:b/>
        <w:color w:val="cce8cf"/>
        <w:sz w:val="22"/>
      </w:rPr>
      <w:tcPr>
        <w:tcBorders>
          <w:left w:val="single" w:color="C3D69C" w:sz="32" w:space="0"/>
          <w:right w:val="single" w:color="CCE8CF" w:sz="4" w:space="0"/>
        </w:tcBorders>
      </w:tcPr>
    </w:tblStylePr>
    <w:tblStylePr w:type="firstRow">
      <w:rPr>
        <w:rFonts w:ascii="Arial" w:hAnsi="Arial"/>
        <w:b/>
        <w:color w:val="cce8cf"/>
        <w:sz w:val="22"/>
      </w:rPr>
      <w:tcPr>
        <w:shd w:val="clear" w:color="c3d69c" w:fill="c3d69c"/>
        <w:tcBorders>
          <w:top w:val="single" w:color="C3D69C" w:sz="32" w:space="0"/>
          <w:bottom w:val="single" w:color="CCE8CF" w:sz="12" w:space="0"/>
        </w:tcBorders>
      </w:tcPr>
    </w:tblStylePr>
    <w:tblStylePr w:type="lastCol">
      <w:tcPr>
        <w:tcBorders>
          <w:left w:val="single" w:color="CCE8CF" w:sz="4" w:space="0"/>
          <w:right w:val="single" w:color="C3D69C" w:sz="32" w:space="0"/>
        </w:tcBorders>
      </w:tcPr>
    </w:tblStylePr>
    <w:tblStylePr w:type="lastRow">
      <w:rPr>
        <w:rFonts w:ascii="Arial" w:hAnsi="Arial"/>
        <w:b/>
        <w:color w:val="cce8cf"/>
        <w:sz w:val="22"/>
      </w:rPr>
    </w:tblStylePr>
  </w:style>
  <w:style w:type="table" w:styleId="1180" w:customStyle="1">
    <w:name w:val="List Table 5 Dark - Accent 4"/>
    <w:basedOn w:val="991"/>
    <w:uiPriority w:val="99"/>
    <w:qFormat/>
    <w:pPr>
      <w:spacing w:after="0" w:line="240" w:lineRule="auto"/>
    </w:pPr>
    <w:tblPr>
      <w:tblBorders>
        <w:top w:val="single" w:color="B2A1C6" w:sz="32" w:space="0"/>
        <w:left w:val="single" w:color="B2A1C6" w:sz="32" w:space="0"/>
        <w:bottom w:val="single" w:color="B2A1C6" w:sz="32" w:space="0"/>
        <w:right w:val="single" w:color="B2A1C6" w:sz="32" w:space="0"/>
      </w:tblBorders>
    </w:tblPr>
    <w:tblStylePr w:type="band1Horz">
      <w:tcPr>
        <w:shd w:val="clear" w:color="b2a1c6" w:fill="b2a1c6"/>
        <w:tcBorders>
          <w:top w:val="single" w:color="CCE8CF" w:sz="4" w:space="0"/>
          <w:bottom w:val="single" w:color="CCE8CF" w:sz="4" w:space="0"/>
        </w:tcBorders>
      </w:tcPr>
    </w:tblStylePr>
    <w:tblStylePr w:type="band1Vert">
      <w:tcPr>
        <w:shd w:val="clear" w:color="b2a1c6" w:fill="b2a1c6"/>
        <w:tcBorders>
          <w:left w:val="single" w:color="CCE8CF" w:sz="4" w:space="0"/>
          <w:right w:val="single" w:color="CCE8CF" w:sz="4" w:space="0"/>
        </w:tcBorders>
      </w:tcPr>
    </w:tblStylePr>
    <w:tblStylePr w:type="band2Horz">
      <w:tcPr>
        <w:shd w:val="clear" w:color="b2a1c6" w:fill="b2a1c6"/>
        <w:tcBorders>
          <w:top w:val="single" w:color="CCE8CF" w:sz="4" w:space="0"/>
          <w:bottom w:val="single" w:color="CCE8CF" w:sz="4" w:space="0"/>
        </w:tcBorders>
      </w:tcPr>
    </w:tblStylePr>
    <w:tblStylePr w:type="band2Vert">
      <w:tcPr>
        <w:tcBorders>
          <w:left w:val="single" w:color="CCE8CF" w:sz="4" w:space="0"/>
          <w:right w:val="single" w:color="CCE8CF" w:sz="4" w:space="0"/>
        </w:tcBorders>
      </w:tcPr>
    </w:tblStylePr>
    <w:tblStylePr w:type="firstCol">
      <w:rPr>
        <w:rFonts w:ascii="Arial" w:hAnsi="Arial"/>
        <w:b/>
        <w:color w:val="cce8cf"/>
        <w:sz w:val="22"/>
      </w:rPr>
      <w:tcPr>
        <w:tcBorders>
          <w:left w:val="single" w:color="B2A1C6" w:sz="32" w:space="0"/>
          <w:right w:val="single" w:color="CCE8CF" w:sz="4" w:space="0"/>
        </w:tcBorders>
      </w:tcPr>
    </w:tblStylePr>
    <w:tblStylePr w:type="firstRow">
      <w:rPr>
        <w:rFonts w:ascii="Arial" w:hAnsi="Arial"/>
        <w:b/>
        <w:color w:val="cce8cf"/>
        <w:sz w:val="22"/>
      </w:rPr>
      <w:tcPr>
        <w:shd w:val="clear" w:color="b2a1c6" w:fill="b2a1c6"/>
        <w:tcBorders>
          <w:top w:val="single" w:color="B2A1C6" w:sz="32" w:space="0"/>
          <w:bottom w:val="single" w:color="CCE8CF" w:sz="12" w:space="0"/>
        </w:tcBorders>
      </w:tcPr>
    </w:tblStylePr>
    <w:tblStylePr w:type="lastCol">
      <w:tcPr>
        <w:tcBorders>
          <w:left w:val="single" w:color="CCE8CF" w:sz="4" w:space="0"/>
          <w:right w:val="single" w:color="B2A1C6" w:sz="32" w:space="0"/>
        </w:tcBorders>
      </w:tcPr>
    </w:tblStylePr>
    <w:tblStylePr w:type="lastRow">
      <w:rPr>
        <w:rFonts w:ascii="Arial" w:hAnsi="Arial"/>
        <w:b/>
        <w:color w:val="cce8cf"/>
        <w:sz w:val="22"/>
      </w:rPr>
    </w:tblStylePr>
  </w:style>
  <w:style w:type="table" w:styleId="1181" w:customStyle="1">
    <w:name w:val="List Table 5 Dark - Accent 5"/>
    <w:basedOn w:val="991"/>
    <w:uiPriority w:val="99"/>
    <w:qFormat/>
    <w:pPr>
      <w:spacing w:after="0" w:line="240" w:lineRule="auto"/>
    </w:pPr>
    <w:tblPr>
      <w:tblBorders>
        <w:top w:val="single" w:color="92CCDC" w:sz="32" w:space="0"/>
        <w:left w:val="single" w:color="92CCDC" w:sz="32" w:space="0"/>
        <w:bottom w:val="single" w:color="92CCDC" w:sz="32" w:space="0"/>
        <w:right w:val="single" w:color="92CCDC" w:sz="32" w:space="0"/>
      </w:tblBorders>
    </w:tblPr>
    <w:tblStylePr w:type="band1Horz">
      <w:tcPr>
        <w:shd w:val="clear" w:color="92ccdc" w:fill="92ccdc"/>
        <w:tcBorders>
          <w:top w:val="single" w:color="CCE8CF" w:sz="4" w:space="0"/>
          <w:bottom w:val="single" w:color="CCE8CF" w:sz="4" w:space="0"/>
        </w:tcBorders>
      </w:tcPr>
    </w:tblStylePr>
    <w:tblStylePr w:type="band1Vert">
      <w:tcPr>
        <w:shd w:val="clear" w:color="92ccdc" w:fill="92ccdc"/>
        <w:tcBorders>
          <w:left w:val="single" w:color="CCE8CF" w:sz="4" w:space="0"/>
          <w:right w:val="single" w:color="CCE8CF" w:sz="4" w:space="0"/>
        </w:tcBorders>
      </w:tcPr>
    </w:tblStylePr>
    <w:tblStylePr w:type="band2Horz">
      <w:tcPr>
        <w:shd w:val="clear" w:color="92ccdc" w:fill="92ccdc"/>
        <w:tcBorders>
          <w:top w:val="single" w:color="CCE8CF" w:sz="4" w:space="0"/>
          <w:bottom w:val="single" w:color="CCE8CF" w:sz="4" w:space="0"/>
        </w:tcBorders>
      </w:tcPr>
    </w:tblStylePr>
    <w:tblStylePr w:type="band2Vert">
      <w:tcPr>
        <w:tcBorders>
          <w:left w:val="single" w:color="CCE8CF" w:sz="4" w:space="0"/>
          <w:right w:val="single" w:color="CCE8CF" w:sz="4" w:space="0"/>
        </w:tcBorders>
      </w:tcPr>
    </w:tblStylePr>
    <w:tblStylePr w:type="firstCol">
      <w:rPr>
        <w:rFonts w:ascii="Arial" w:hAnsi="Arial"/>
        <w:b/>
        <w:color w:val="cce8cf"/>
        <w:sz w:val="22"/>
      </w:rPr>
      <w:tcPr>
        <w:tcBorders>
          <w:left w:val="single" w:color="92CCDC" w:sz="32" w:space="0"/>
          <w:right w:val="single" w:color="CCE8CF" w:sz="4" w:space="0"/>
        </w:tcBorders>
      </w:tcPr>
    </w:tblStylePr>
    <w:tblStylePr w:type="firstRow">
      <w:rPr>
        <w:rFonts w:ascii="Arial" w:hAnsi="Arial"/>
        <w:b/>
        <w:color w:val="cce8cf"/>
        <w:sz w:val="22"/>
      </w:rPr>
      <w:tcPr>
        <w:shd w:val="clear" w:color="92ccdc" w:fill="92ccdc"/>
        <w:tcBorders>
          <w:top w:val="single" w:color="92CCDC" w:sz="32" w:space="0"/>
          <w:bottom w:val="single" w:color="CCE8CF" w:sz="12" w:space="0"/>
        </w:tcBorders>
      </w:tcPr>
    </w:tblStylePr>
    <w:tblStylePr w:type="lastCol">
      <w:tcPr>
        <w:tcBorders>
          <w:left w:val="single" w:color="CCE8CF" w:sz="4" w:space="0"/>
          <w:right w:val="single" w:color="92CCDC" w:sz="32" w:space="0"/>
        </w:tcBorders>
      </w:tcPr>
    </w:tblStylePr>
    <w:tblStylePr w:type="lastRow">
      <w:rPr>
        <w:rFonts w:ascii="Arial" w:hAnsi="Arial"/>
        <w:b/>
        <w:color w:val="cce8cf"/>
        <w:sz w:val="22"/>
      </w:rPr>
    </w:tblStylePr>
  </w:style>
  <w:style w:type="table" w:styleId="1182" w:customStyle="1">
    <w:name w:val="List Table 5 Dark - Accent 6"/>
    <w:basedOn w:val="991"/>
    <w:uiPriority w:val="99"/>
    <w:qFormat/>
    <w:pPr>
      <w:spacing w:after="0" w:line="240" w:lineRule="auto"/>
    </w:pPr>
    <w:tblPr>
      <w:tblBorders>
        <w:top w:val="single" w:color="FAC090" w:sz="32" w:space="0"/>
        <w:left w:val="single" w:color="FAC090" w:sz="32" w:space="0"/>
        <w:bottom w:val="single" w:color="FAC090" w:sz="32" w:space="0"/>
        <w:right w:val="single" w:color="FAC090" w:sz="32" w:space="0"/>
      </w:tblBorders>
    </w:tblPr>
    <w:tblStylePr w:type="band1Horz">
      <w:tcPr>
        <w:shd w:val="clear" w:color="fac090" w:fill="fac090"/>
        <w:tcBorders>
          <w:top w:val="single" w:color="CCE8CF" w:sz="4" w:space="0"/>
          <w:bottom w:val="single" w:color="CCE8CF" w:sz="4" w:space="0"/>
        </w:tcBorders>
      </w:tcPr>
    </w:tblStylePr>
    <w:tblStylePr w:type="band1Vert">
      <w:tcPr>
        <w:shd w:val="clear" w:color="fac090" w:fill="fac090"/>
        <w:tcBorders>
          <w:left w:val="single" w:color="CCE8CF" w:sz="4" w:space="0"/>
          <w:right w:val="single" w:color="CCE8CF" w:sz="4" w:space="0"/>
        </w:tcBorders>
      </w:tcPr>
    </w:tblStylePr>
    <w:tblStylePr w:type="band2Horz">
      <w:tcPr>
        <w:shd w:val="clear" w:color="fac090" w:fill="fac090"/>
        <w:tcBorders>
          <w:top w:val="single" w:color="CCE8CF" w:sz="4" w:space="0"/>
          <w:bottom w:val="single" w:color="CCE8CF" w:sz="4" w:space="0"/>
        </w:tcBorders>
      </w:tcPr>
    </w:tblStylePr>
    <w:tblStylePr w:type="band2Vert">
      <w:tcPr>
        <w:tcBorders>
          <w:left w:val="single" w:color="CCE8CF" w:sz="4" w:space="0"/>
          <w:right w:val="single" w:color="CCE8CF" w:sz="4" w:space="0"/>
        </w:tcBorders>
      </w:tcPr>
    </w:tblStylePr>
    <w:tblStylePr w:type="firstCol">
      <w:rPr>
        <w:rFonts w:ascii="Arial" w:hAnsi="Arial"/>
        <w:b/>
        <w:color w:val="cce8cf"/>
        <w:sz w:val="22"/>
      </w:rPr>
      <w:tcPr>
        <w:tcBorders>
          <w:left w:val="single" w:color="FAC090" w:sz="32" w:space="0"/>
          <w:right w:val="single" w:color="CCE8CF" w:sz="4" w:space="0"/>
        </w:tcBorders>
      </w:tcPr>
    </w:tblStylePr>
    <w:tblStylePr w:type="firstRow">
      <w:rPr>
        <w:rFonts w:ascii="Arial" w:hAnsi="Arial"/>
        <w:b/>
        <w:color w:val="cce8cf"/>
        <w:sz w:val="22"/>
      </w:rPr>
      <w:tcPr>
        <w:shd w:val="clear" w:color="fac090" w:fill="fac090"/>
        <w:tcBorders>
          <w:top w:val="single" w:color="FAC090" w:sz="32" w:space="0"/>
          <w:bottom w:val="single" w:color="CCE8CF" w:sz="12" w:space="0"/>
        </w:tcBorders>
      </w:tcPr>
    </w:tblStylePr>
    <w:tblStylePr w:type="lastCol">
      <w:tcPr>
        <w:tcBorders>
          <w:left w:val="single" w:color="CCE8CF" w:sz="4" w:space="0"/>
          <w:right w:val="single" w:color="FAC090" w:sz="32" w:space="0"/>
        </w:tcBorders>
      </w:tcPr>
    </w:tblStylePr>
    <w:tblStylePr w:type="lastRow">
      <w:rPr>
        <w:rFonts w:ascii="Arial" w:hAnsi="Arial"/>
        <w:b/>
        <w:color w:val="cce8cf"/>
        <w:sz w:val="22"/>
      </w:rPr>
    </w:tblStylePr>
  </w:style>
  <w:style w:type="table" w:styleId="1183" w:customStyle="1">
    <w:name w:val="List Table 6 Colorful"/>
    <w:basedOn w:val="991"/>
    <w:uiPriority w:val="99"/>
    <w:qFormat/>
    <w:pPr>
      <w:spacing w:after="0" w:line="240" w:lineRule="auto"/>
    </w:pPr>
    <w:tblPr>
      <w:tblBorders>
        <w:top w:val="single" w:color="7E7E7E" w:sz="4" w:space="0"/>
        <w:bottom w:val="single" w:color="7E7E7E" w:sz="4" w:space="0"/>
      </w:tblBorders>
    </w:tblPr>
    <w:tblStylePr w:type="band1Horz">
      <w:rPr>
        <w:rFonts w:ascii="Arial" w:hAnsi="Arial"/>
        <w:color w:val="000000"/>
        <w:sz w:val="22"/>
      </w:rPr>
      <w:tcPr>
        <w:shd w:val="clear" w:color="bebebe" w:fill="bebebe"/>
      </w:tcPr>
    </w:tblStylePr>
    <w:tblStylePr w:type="band1Vert">
      <w:tcPr>
        <w:shd w:val="clear" w:color="bebebe" w:fill="bebebe"/>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E7E7E" w:sz="4" w:space="0"/>
        </w:tcBorders>
      </w:tcPr>
    </w:tblStylePr>
    <w:tblStylePr w:type="lastCol">
      <w:rPr>
        <w:b/>
        <w:color w:val="000000"/>
      </w:rPr>
    </w:tblStylePr>
    <w:tblStylePr w:type="lastRow">
      <w:rPr>
        <w:b/>
        <w:color w:val="000000"/>
      </w:rPr>
      <w:tcPr>
        <w:tcBorders>
          <w:top w:val="single" w:color="7E7E7E" w:sz="4" w:space="0"/>
        </w:tcBorders>
      </w:tcPr>
    </w:tblStylePr>
  </w:style>
  <w:style w:type="table" w:styleId="1184" w:customStyle="1">
    <w:name w:val="List Table 6 Colorful - Accent 1"/>
    <w:basedOn w:val="991"/>
    <w:uiPriority w:val="99"/>
    <w:qFormat/>
    <w:pPr>
      <w:spacing w:after="0" w:line="240" w:lineRule="auto"/>
    </w:pPr>
    <w:tblPr>
      <w:tblBorders>
        <w:top w:val="single" w:color="4F81BD" w:sz="4" w:space="0"/>
        <w:bottom w:val="single" w:color="4F81BD" w:sz="4" w:space="0"/>
      </w:tblBorders>
    </w:tblPr>
    <w:tblStylePr w:type="band1Horz">
      <w:rPr>
        <w:rFonts w:ascii="Arial" w:hAnsi="Arial"/>
        <w:color w:val="2a4b71"/>
        <w:sz w:val="22"/>
      </w:rPr>
      <w:tcPr>
        <w:shd w:val="clear" w:color="d2dfee" w:fill="d2dfee"/>
      </w:tcPr>
    </w:tblStylePr>
    <w:tblStylePr w:type="band1Vert">
      <w:tcPr>
        <w:shd w:val="clear" w:color="d2dfee" w:fill="d2dfee"/>
      </w:tcPr>
    </w:tblStylePr>
    <w:tblStylePr w:type="band2Horz">
      <w:rPr>
        <w:rFonts w:ascii="Arial" w:hAnsi="Arial"/>
        <w:color w:val="2a4b71"/>
        <w:sz w:val="22"/>
      </w:rPr>
    </w:tblStylePr>
    <w:tblStylePr w:type="firstCol">
      <w:rPr>
        <w:b/>
        <w:color w:val="2a4b71"/>
      </w:rPr>
    </w:tblStylePr>
    <w:tblStylePr w:type="firstRow">
      <w:rPr>
        <w:b/>
        <w:color w:val="2a4b71"/>
      </w:rPr>
      <w:tcPr>
        <w:tcBorders>
          <w:bottom w:val="single" w:color="4F81BD" w:sz="4" w:space="0"/>
        </w:tcBorders>
      </w:tcPr>
    </w:tblStylePr>
    <w:tblStylePr w:type="lastCol">
      <w:rPr>
        <w:b/>
        <w:color w:val="2a4b71"/>
      </w:rPr>
    </w:tblStylePr>
    <w:tblStylePr w:type="lastRow">
      <w:rPr>
        <w:b/>
        <w:color w:val="2a4b71"/>
      </w:rPr>
      <w:tcPr>
        <w:tcBorders>
          <w:top w:val="single" w:color="4F81BD" w:sz="4" w:space="0"/>
        </w:tcBorders>
      </w:tcPr>
    </w:tblStylePr>
  </w:style>
  <w:style w:type="table" w:styleId="1185" w:customStyle="1">
    <w:name w:val="List Table 6 Colorful - Accent 2"/>
    <w:basedOn w:val="991"/>
    <w:uiPriority w:val="99"/>
    <w:qFormat/>
    <w:pPr>
      <w:spacing w:after="0" w:line="240" w:lineRule="auto"/>
    </w:pPr>
    <w:tblPr>
      <w:tblBorders>
        <w:top w:val="single" w:color="D99795" w:sz="4" w:space="0"/>
        <w:bottom w:val="single" w:color="D99795" w:sz="4" w:space="0"/>
      </w:tblBorders>
    </w:tblPr>
    <w:tblStylePr w:type="band1Horz">
      <w:rPr>
        <w:rFonts w:ascii="Arial" w:hAnsi="Arial"/>
        <w:color w:val="d99795"/>
        <w:sz w:val="22"/>
      </w:rPr>
      <w:tcPr>
        <w:shd w:val="clear" w:color="efd3d2" w:fill="efd3d2"/>
      </w:tcPr>
    </w:tblStylePr>
    <w:tblStylePr w:type="band1Vert">
      <w:tcPr>
        <w:shd w:val="clear" w:color="efd3d2" w:fill="efd3d2"/>
      </w:tcPr>
    </w:tblStylePr>
    <w:tblStylePr w:type="band2Horz">
      <w:rPr>
        <w:rFonts w:ascii="Arial" w:hAnsi="Arial"/>
        <w:color w:val="d99795"/>
        <w:sz w:val="22"/>
      </w:rPr>
    </w:tblStylePr>
    <w:tblStylePr w:type="firstCol">
      <w:rPr>
        <w:b/>
        <w:color w:val="d99795"/>
      </w:rPr>
    </w:tblStylePr>
    <w:tblStylePr w:type="firstRow">
      <w:rPr>
        <w:b/>
        <w:color w:val="d99795"/>
      </w:rPr>
      <w:tcPr>
        <w:tcBorders>
          <w:bottom w:val="single" w:color="D99795" w:sz="4" w:space="0"/>
        </w:tcBorders>
      </w:tcPr>
    </w:tblStylePr>
    <w:tblStylePr w:type="lastCol">
      <w:rPr>
        <w:b/>
        <w:color w:val="d99795"/>
      </w:rPr>
    </w:tblStylePr>
    <w:tblStylePr w:type="lastRow">
      <w:rPr>
        <w:b/>
        <w:color w:val="d99795"/>
      </w:rPr>
      <w:tcPr>
        <w:tcBorders>
          <w:top w:val="single" w:color="D99795" w:sz="4" w:space="0"/>
        </w:tcBorders>
      </w:tcPr>
    </w:tblStylePr>
  </w:style>
  <w:style w:type="table" w:styleId="1186" w:customStyle="1">
    <w:name w:val="List Table 6 Colorful - Accent 3"/>
    <w:basedOn w:val="991"/>
    <w:uiPriority w:val="99"/>
    <w:qFormat/>
    <w:pPr>
      <w:spacing w:after="0" w:line="240" w:lineRule="auto"/>
    </w:pPr>
    <w:tblPr>
      <w:tblBorders>
        <w:top w:val="single" w:color="C3D69C" w:sz="4" w:space="0"/>
        <w:bottom w:val="single" w:color="C3D69C" w:sz="4" w:space="0"/>
      </w:tblBorders>
    </w:tblPr>
    <w:tblStylePr w:type="band1Horz">
      <w:rPr>
        <w:rFonts w:ascii="Arial" w:hAnsi="Arial"/>
        <w:color w:val="c3d69b"/>
        <w:sz w:val="22"/>
      </w:rPr>
      <w:tcPr>
        <w:shd w:val="clear" w:color="e5edd5" w:fill="e5edd5"/>
      </w:tcPr>
    </w:tblStylePr>
    <w:tblStylePr w:type="band1Vert">
      <w:tcPr>
        <w:shd w:val="clear" w:color="e5edd5" w:fill="e5edd5"/>
      </w:tcPr>
    </w:tblStylePr>
    <w:tblStylePr w:type="band2Horz">
      <w:rPr>
        <w:rFonts w:ascii="Arial" w:hAnsi="Arial"/>
        <w:color w:val="c3d69b"/>
        <w:sz w:val="22"/>
      </w:rPr>
    </w:tblStylePr>
    <w:tblStylePr w:type="firstCol">
      <w:rPr>
        <w:b/>
        <w:color w:val="c3d69b"/>
      </w:rPr>
    </w:tblStylePr>
    <w:tblStylePr w:type="firstRow">
      <w:rPr>
        <w:b/>
        <w:color w:val="c3d69b"/>
      </w:rPr>
      <w:tcPr>
        <w:tcBorders>
          <w:bottom w:val="single" w:color="C3D69C" w:sz="4" w:space="0"/>
        </w:tcBorders>
      </w:tcPr>
    </w:tblStylePr>
    <w:tblStylePr w:type="lastCol">
      <w:rPr>
        <w:b/>
        <w:color w:val="c3d69b"/>
      </w:rPr>
    </w:tblStylePr>
    <w:tblStylePr w:type="lastRow">
      <w:rPr>
        <w:b/>
        <w:color w:val="c3d69b"/>
      </w:rPr>
      <w:tcPr>
        <w:tcBorders>
          <w:top w:val="single" w:color="C3D69C" w:sz="4" w:space="0"/>
        </w:tcBorders>
      </w:tcPr>
    </w:tblStylePr>
  </w:style>
  <w:style w:type="table" w:styleId="1187" w:customStyle="1">
    <w:name w:val="List Table 6 Colorful - Accent 4"/>
    <w:basedOn w:val="991"/>
    <w:uiPriority w:val="99"/>
    <w:qFormat/>
    <w:pPr>
      <w:spacing w:after="0" w:line="240" w:lineRule="auto"/>
    </w:pPr>
    <w:tblPr>
      <w:tblBorders>
        <w:top w:val="single" w:color="B2A1C6" w:sz="4" w:space="0"/>
        <w:bottom w:val="single" w:color="B2A1C6" w:sz="4" w:space="0"/>
      </w:tblBorders>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4" w:space="0"/>
        </w:tcBorders>
      </w:tcPr>
    </w:tblStylePr>
    <w:tblStylePr w:type="lastCol">
      <w:rPr>
        <w:b/>
        <w:color w:val="b2a1c7"/>
      </w:rPr>
    </w:tblStylePr>
    <w:tblStylePr w:type="lastRow">
      <w:rPr>
        <w:b/>
        <w:color w:val="b2a1c7"/>
      </w:rPr>
      <w:tcPr>
        <w:tcBorders>
          <w:top w:val="single" w:color="B2A1C6" w:sz="4" w:space="0"/>
        </w:tcBorders>
      </w:tcPr>
    </w:tblStylePr>
  </w:style>
  <w:style w:type="table" w:styleId="1188" w:customStyle="1">
    <w:name w:val="List Table 6 Colorful - Accent 5"/>
    <w:basedOn w:val="991"/>
    <w:uiPriority w:val="99"/>
    <w:qFormat/>
    <w:pPr>
      <w:spacing w:after="0" w:line="240" w:lineRule="auto"/>
    </w:pPr>
    <w:tblPr>
      <w:tblBorders>
        <w:top w:val="single" w:color="92CCDC" w:sz="4" w:space="0"/>
        <w:bottom w:val="single" w:color="92CCDC" w:sz="4" w:space="0"/>
      </w:tblBorders>
    </w:tblPr>
    <w:tblStylePr w:type="band1Horz">
      <w:rPr>
        <w:rFonts w:ascii="Arial" w:hAnsi="Arial"/>
        <w:color w:val="93cddc"/>
        <w:sz w:val="22"/>
      </w:rPr>
      <w:tcPr>
        <w:shd w:val="clear" w:color="d1eaf0" w:fill="d1eaf0"/>
      </w:tcPr>
    </w:tblStylePr>
    <w:tblStylePr w:type="band1Vert">
      <w:tcPr>
        <w:shd w:val="clear" w:color="d1eaf0" w:fill="d1eaf0"/>
      </w:tcPr>
    </w:tblStylePr>
    <w:tblStylePr w:type="band2Horz">
      <w:rPr>
        <w:rFonts w:ascii="Arial" w:hAnsi="Arial"/>
        <w:color w:val="93cddc"/>
        <w:sz w:val="22"/>
      </w:rPr>
    </w:tblStylePr>
    <w:tblStylePr w:type="firstCol">
      <w:rPr>
        <w:b/>
        <w:color w:val="93cddc"/>
      </w:rPr>
    </w:tblStylePr>
    <w:tblStylePr w:type="firstRow">
      <w:rPr>
        <w:b/>
        <w:color w:val="93cddc"/>
      </w:rPr>
      <w:tcPr>
        <w:tcBorders>
          <w:bottom w:val="single" w:color="92CCDC" w:sz="4" w:space="0"/>
        </w:tcBorders>
      </w:tcPr>
    </w:tblStylePr>
    <w:tblStylePr w:type="lastCol">
      <w:rPr>
        <w:b/>
        <w:color w:val="93cddc"/>
      </w:rPr>
    </w:tblStylePr>
    <w:tblStylePr w:type="lastRow">
      <w:rPr>
        <w:b/>
        <w:color w:val="93cddc"/>
      </w:rPr>
      <w:tcPr>
        <w:tcBorders>
          <w:top w:val="single" w:color="92CCDC" w:sz="4" w:space="0"/>
        </w:tcBorders>
      </w:tcPr>
    </w:tblStylePr>
  </w:style>
  <w:style w:type="table" w:styleId="1189" w:customStyle="1">
    <w:name w:val="List Table 6 Colorful - Accent 6"/>
    <w:basedOn w:val="991"/>
    <w:uiPriority w:val="99"/>
    <w:qFormat/>
    <w:pPr>
      <w:spacing w:after="0" w:line="240" w:lineRule="auto"/>
    </w:pPr>
    <w:tblPr>
      <w:tblBorders>
        <w:top w:val="single" w:color="FAC090" w:sz="4" w:space="0"/>
        <w:bottom w:val="single" w:color="FAC090" w:sz="4" w:space="0"/>
      </w:tblBorders>
    </w:tblPr>
    <w:tblStylePr w:type="band1Horz">
      <w:rPr>
        <w:rFonts w:ascii="Arial" w:hAnsi="Arial"/>
        <w:color w:val="fac090"/>
        <w:sz w:val="22"/>
      </w:rPr>
      <w:tcPr>
        <w:shd w:val="clear" w:color="fce4d0" w:fill="fce4d0"/>
      </w:tcPr>
    </w:tblStylePr>
    <w:tblStylePr w:type="band1Vert">
      <w:tcPr>
        <w:shd w:val="clear" w:color="fce4d0" w:fill="fce4d0"/>
      </w:tcPr>
    </w:tblStylePr>
    <w:tblStylePr w:type="band2Horz">
      <w:rPr>
        <w:rFonts w:ascii="Arial" w:hAnsi="Arial"/>
        <w:color w:val="fac090"/>
        <w:sz w:val="22"/>
      </w:rPr>
    </w:tblStylePr>
    <w:tblStylePr w:type="firstCol">
      <w:rPr>
        <w:b/>
        <w:color w:val="fac090"/>
      </w:rPr>
    </w:tblStylePr>
    <w:tblStylePr w:type="firstRow">
      <w:rPr>
        <w:b/>
        <w:color w:val="fac090"/>
      </w:rPr>
      <w:tcPr>
        <w:tcBorders>
          <w:bottom w:val="single" w:color="FAC090" w:sz="4" w:space="0"/>
        </w:tcBorders>
      </w:tcPr>
    </w:tblStylePr>
    <w:tblStylePr w:type="lastCol">
      <w:rPr>
        <w:b/>
        <w:color w:val="fac090"/>
      </w:rPr>
    </w:tblStylePr>
    <w:tblStylePr w:type="lastRow">
      <w:rPr>
        <w:b/>
        <w:color w:val="fac090"/>
      </w:rPr>
      <w:tcPr>
        <w:tcBorders>
          <w:top w:val="single" w:color="FAC090" w:sz="4" w:space="0"/>
        </w:tcBorders>
      </w:tcPr>
    </w:tblStylePr>
  </w:style>
  <w:style w:type="table" w:styleId="1190" w:customStyle="1">
    <w:name w:val="List Table 7 Colorful"/>
    <w:basedOn w:val="991"/>
    <w:uiPriority w:val="99"/>
    <w:qFormat/>
    <w:pPr>
      <w:spacing w:after="0" w:line="240" w:lineRule="auto"/>
    </w:pPr>
    <w:tblPr>
      <w:tblBorders>
        <w:right w:val="single" w:color="7E7E7E" w:sz="4" w:space="0"/>
      </w:tblBorders>
    </w:tblPr>
    <w:tblStylePr w:type="band1Horz">
      <w:rPr>
        <w:rFonts w:ascii="Arial" w:hAnsi="Arial"/>
        <w:color w:val="7f7f7f"/>
        <w:sz w:val="22"/>
      </w:rPr>
      <w:tcPr>
        <w:shd w:val="clear" w:color="bebebe" w:fill="bebebe"/>
      </w:tcPr>
    </w:tblStylePr>
    <w:tblStylePr w:type="band1Vert">
      <w:tcPr>
        <w:shd w:val="clear" w:color="bebebe" w:fill="bebebe"/>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i/>
        <w:color w:val="7f7f7f"/>
        <w:sz w:val="22"/>
      </w:rPr>
      <w:tcPr>
        <w:shd w:val="clear" w:color="cce8cf" w:fill="cce8c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i/>
        <w:color w:val="7f7f7f"/>
        <w:sz w:val="22"/>
      </w:rPr>
      <w:tcPr>
        <w:shd w:val="clear" w:color="cce8cf" w:fill="cce8cf"/>
        <w:tcBorders>
          <w:top w:val="single" w:color="7E7E7E" w:sz="4" w:space="0"/>
          <w:left w:val="none" w:color="000000" w:sz="4" w:space="0"/>
          <w:bottom w:val="none" w:color="000000" w:sz="4" w:space="0"/>
          <w:right w:val="none" w:color="000000" w:sz="4" w:space="0"/>
        </w:tcBorders>
      </w:tcPr>
    </w:tblStylePr>
  </w:style>
  <w:style w:type="table" w:styleId="1191" w:customStyle="1">
    <w:name w:val="List Table 7 Colorful - Accent 1"/>
    <w:basedOn w:val="991"/>
    <w:uiPriority w:val="99"/>
    <w:qFormat/>
    <w:pPr>
      <w:spacing w:after="0" w:line="240" w:lineRule="auto"/>
    </w:pPr>
    <w:tblPr>
      <w:tblBorders>
        <w:right w:val="single" w:color="4F81BD" w:sz="4" w:space="0"/>
      </w:tblBorders>
    </w:tblPr>
    <w:tblStylePr w:type="band1Horz">
      <w:rPr>
        <w:rFonts w:ascii="Arial" w:hAnsi="Arial"/>
        <w:color w:val="2a4b71"/>
        <w:sz w:val="22"/>
      </w:rPr>
      <w:tcPr>
        <w:shd w:val="clear" w:color="d2dfee" w:fill="d2dfee"/>
      </w:tcPr>
    </w:tblStylePr>
    <w:tblStylePr w:type="band1Vert">
      <w:tcPr>
        <w:shd w:val="clear" w:color="d2dfee" w:fill="d2dfee"/>
      </w:tcPr>
    </w:tblStylePr>
    <w:tblStylePr w:type="band2Horz">
      <w:rPr>
        <w:rFonts w:ascii="Arial" w:hAnsi="Arial"/>
        <w:color w:val="2a4b71"/>
        <w:sz w:val="22"/>
      </w:rPr>
    </w:tblStylePr>
    <w:tblStylePr w:type="firstCol">
      <w:rPr>
        <w:rFonts w:ascii="Arial" w:hAnsi="Arial"/>
        <w:i/>
        <w:color w:val="2a4b71"/>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b71"/>
        <w:sz w:val="22"/>
      </w:rPr>
      <w:tcPr>
        <w:shd w:val="clear" w:color="cce8cf" w:fill="cce8c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b71"/>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b71"/>
        <w:sz w:val="22"/>
      </w:rPr>
      <w:tcPr>
        <w:shd w:val="clear" w:color="cce8cf" w:fill="cce8cf"/>
        <w:tcBorders>
          <w:top w:val="single" w:color="4F81BD" w:sz="4" w:space="0"/>
          <w:left w:val="none" w:color="000000" w:sz="4" w:space="0"/>
          <w:bottom w:val="none" w:color="000000" w:sz="4" w:space="0"/>
          <w:right w:val="none" w:color="000000" w:sz="4" w:space="0"/>
        </w:tcBorders>
      </w:tcPr>
    </w:tblStylePr>
  </w:style>
  <w:style w:type="table" w:styleId="1192" w:customStyle="1">
    <w:name w:val="List Table 7 Colorful - Accent 2"/>
    <w:basedOn w:val="991"/>
    <w:uiPriority w:val="99"/>
    <w:qFormat/>
    <w:pPr>
      <w:spacing w:after="0" w:line="240" w:lineRule="auto"/>
    </w:pPr>
    <w:tblPr>
      <w:tblBorders>
        <w:right w:val="single" w:color="D99795" w:sz="4" w:space="0"/>
      </w:tblBorders>
    </w:tblPr>
    <w:tblStylePr w:type="band1Horz">
      <w:rPr>
        <w:rFonts w:ascii="Arial" w:hAnsi="Arial"/>
        <w:color w:val="d99795"/>
        <w:sz w:val="22"/>
      </w:rPr>
      <w:tcPr>
        <w:shd w:val="clear" w:color="efd3d2" w:fill="efd3d2"/>
      </w:tcPr>
    </w:tblStylePr>
    <w:tblStylePr w:type="band1Vert">
      <w:tcPr>
        <w:shd w:val="clear" w:color="efd3d2" w:fill="efd3d2"/>
      </w:tcPr>
    </w:tblStylePr>
    <w:tblStylePr w:type="band2Horz">
      <w:rPr>
        <w:rFonts w:ascii="Arial" w:hAnsi="Arial"/>
        <w:color w:val="d99795"/>
        <w:sz w:val="22"/>
      </w:rPr>
    </w:tblStylePr>
    <w:tblStylePr w:type="firstCol">
      <w:rPr>
        <w:rFonts w:ascii="Arial" w:hAnsi="Arial"/>
        <w:i/>
        <w:color w:val="d99795"/>
        <w:sz w:val="22"/>
      </w:rPr>
      <w:pPr>
        <w:jc w:val="right"/>
      </w:pPr>
      <w:tcPr>
        <w:shd w:val="clear" w:color="ffffff" w:fill="auto"/>
        <w:tcBorders>
          <w:top w:val="none" w:color="000000" w:sz="4" w:space="0"/>
          <w:left w:val="none" w:color="000000" w:sz="4" w:space="0"/>
          <w:bottom w:val="none" w:color="000000" w:sz="4" w:space="0"/>
          <w:right w:val="single" w:color="D99795" w:sz="4" w:space="0"/>
        </w:tcBorders>
      </w:tcPr>
    </w:tblStylePr>
    <w:tblStylePr w:type="firstRow">
      <w:rPr>
        <w:rFonts w:ascii="Arial" w:hAnsi="Arial"/>
        <w:i/>
        <w:color w:val="d99795"/>
        <w:sz w:val="22"/>
      </w:rPr>
      <w:tcPr>
        <w:shd w:val="clear" w:color="cce8cf" w:fill="cce8cf"/>
        <w:tcBorders>
          <w:top w:val="none" w:color="000000" w:sz="4" w:space="0"/>
          <w:left w:val="none" w:color="000000" w:sz="4" w:space="0"/>
          <w:bottom w:val="single" w:color="D99795" w:sz="4" w:space="0"/>
          <w:right w:val="none" w:color="000000" w:sz="4" w:space="0"/>
        </w:tcBorders>
      </w:tcPr>
    </w:tblStylePr>
    <w:tblStylePr w:type="lastCol">
      <w:rPr>
        <w:rFonts w:ascii="Arial" w:hAnsi="Arial"/>
        <w:i/>
        <w:color w:val="d99795"/>
        <w:sz w:val="22"/>
      </w:rPr>
      <w:tcPr>
        <w:shd w:val="clear" w:color="ffffff" w:fill="auto"/>
        <w:tcBorders>
          <w:top w:val="none" w:color="000000" w:sz="4" w:space="0"/>
          <w:left w:val="single" w:color="D99795" w:sz="4" w:space="0"/>
          <w:bottom w:val="none" w:color="000000" w:sz="4" w:space="0"/>
          <w:right w:val="none" w:color="000000" w:sz="4" w:space="0"/>
        </w:tcBorders>
      </w:tcPr>
    </w:tblStylePr>
    <w:tblStylePr w:type="lastRow">
      <w:rPr>
        <w:rFonts w:ascii="Arial" w:hAnsi="Arial"/>
        <w:i/>
        <w:color w:val="d99795"/>
        <w:sz w:val="22"/>
      </w:rPr>
      <w:tcPr>
        <w:shd w:val="clear" w:color="cce8cf" w:fill="cce8cf"/>
        <w:tcBorders>
          <w:top w:val="single" w:color="D99795" w:sz="4" w:space="0"/>
          <w:left w:val="none" w:color="000000" w:sz="4" w:space="0"/>
          <w:bottom w:val="none" w:color="000000" w:sz="4" w:space="0"/>
          <w:right w:val="none" w:color="000000" w:sz="4" w:space="0"/>
        </w:tcBorders>
      </w:tcPr>
    </w:tblStylePr>
  </w:style>
  <w:style w:type="table" w:styleId="1193" w:customStyle="1">
    <w:name w:val="List Table 7 Colorful - Accent 3"/>
    <w:basedOn w:val="991"/>
    <w:uiPriority w:val="99"/>
    <w:qFormat/>
    <w:pPr>
      <w:spacing w:after="0" w:line="240" w:lineRule="auto"/>
    </w:pPr>
    <w:tblPr>
      <w:tblBorders>
        <w:right w:val="single" w:color="C3D69C" w:sz="4" w:space="0"/>
      </w:tblBorders>
    </w:tblPr>
    <w:tblStylePr w:type="band1Horz">
      <w:rPr>
        <w:rFonts w:ascii="Arial" w:hAnsi="Arial"/>
        <w:color w:val="c3d69b"/>
        <w:sz w:val="22"/>
      </w:rPr>
      <w:tcPr>
        <w:shd w:val="clear" w:color="e5edd5" w:fill="e5edd5"/>
      </w:tcPr>
    </w:tblStylePr>
    <w:tblStylePr w:type="band1Vert">
      <w:tcPr>
        <w:shd w:val="clear" w:color="e5edd5" w:fill="e5edd5"/>
      </w:tcPr>
    </w:tblStylePr>
    <w:tblStylePr w:type="band2Horz">
      <w:rPr>
        <w:rFonts w:ascii="Arial" w:hAnsi="Arial"/>
        <w:color w:val="c3d69b"/>
        <w:sz w:val="22"/>
      </w:rPr>
    </w:tblStylePr>
    <w:tblStylePr w:type="firstCol">
      <w:rPr>
        <w:rFonts w:ascii="Arial" w:hAnsi="Arial"/>
        <w:i/>
        <w:color w:val="c3d69b"/>
        <w:sz w:val="22"/>
      </w:rPr>
      <w:pPr>
        <w:jc w:val="right"/>
      </w:pPr>
      <w:tcPr>
        <w:shd w:val="clear" w:color="ffffff" w:fill="auto"/>
        <w:tcBorders>
          <w:top w:val="none" w:color="000000" w:sz="4" w:space="0"/>
          <w:left w:val="none" w:color="000000" w:sz="4" w:space="0"/>
          <w:bottom w:val="none" w:color="000000" w:sz="4" w:space="0"/>
          <w:right w:val="single" w:color="C3D69C" w:sz="4" w:space="0"/>
        </w:tcBorders>
      </w:tcPr>
    </w:tblStylePr>
    <w:tblStylePr w:type="firstRow">
      <w:rPr>
        <w:rFonts w:ascii="Arial" w:hAnsi="Arial"/>
        <w:i/>
        <w:color w:val="c3d69b"/>
        <w:sz w:val="22"/>
      </w:rPr>
      <w:tcPr>
        <w:shd w:val="clear" w:color="cce8cf" w:fill="cce8cf"/>
        <w:tcBorders>
          <w:top w:val="none" w:color="000000" w:sz="4" w:space="0"/>
          <w:left w:val="none" w:color="000000" w:sz="4" w:space="0"/>
          <w:bottom w:val="single" w:color="C3D69C" w:sz="4" w:space="0"/>
          <w:right w:val="none" w:color="000000" w:sz="4" w:space="0"/>
        </w:tcBorders>
      </w:tcPr>
    </w:tblStylePr>
    <w:tblStylePr w:type="lastCol">
      <w:rPr>
        <w:rFonts w:ascii="Arial" w:hAnsi="Arial"/>
        <w:i/>
        <w:color w:val="c3d69b"/>
        <w:sz w:val="22"/>
      </w:rPr>
      <w:tcPr>
        <w:shd w:val="clear" w:color="ffffff" w:fill="auto"/>
        <w:tcBorders>
          <w:top w:val="none" w:color="000000" w:sz="4" w:space="0"/>
          <w:left w:val="single" w:color="C3D69C" w:sz="4" w:space="0"/>
          <w:bottom w:val="none" w:color="000000" w:sz="4" w:space="0"/>
          <w:right w:val="none" w:color="000000" w:sz="4" w:space="0"/>
        </w:tcBorders>
      </w:tcPr>
    </w:tblStylePr>
    <w:tblStylePr w:type="lastRow">
      <w:rPr>
        <w:rFonts w:ascii="Arial" w:hAnsi="Arial"/>
        <w:i/>
        <w:color w:val="c3d69b"/>
        <w:sz w:val="22"/>
      </w:rPr>
      <w:tcPr>
        <w:shd w:val="clear" w:color="cce8cf" w:fill="cce8cf"/>
        <w:tcBorders>
          <w:top w:val="single" w:color="C3D69C" w:sz="4" w:space="0"/>
          <w:left w:val="none" w:color="000000" w:sz="4" w:space="0"/>
          <w:bottom w:val="none" w:color="000000" w:sz="4" w:space="0"/>
          <w:right w:val="none" w:color="000000" w:sz="4" w:space="0"/>
        </w:tcBorders>
      </w:tcPr>
    </w:tblStylePr>
  </w:style>
  <w:style w:type="table" w:styleId="1194" w:customStyle="1">
    <w:name w:val="List Table 7 Colorful - Accent 4"/>
    <w:basedOn w:val="991"/>
    <w:uiPriority w:val="99"/>
    <w:qFormat/>
    <w:pPr>
      <w:spacing w:after="0" w:line="240" w:lineRule="auto"/>
    </w:pPr>
    <w:tblPr>
      <w:tblBorders>
        <w:right w:val="single" w:color="B2A1C6" w:sz="4" w:space="0"/>
      </w:tblBorders>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7"/>
        <w:sz w:val="22"/>
      </w:rPr>
      <w:tcPr>
        <w:shd w:val="clear" w:color="cce8cf" w:fill="cce8c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7"/>
        <w:sz w:val="22"/>
      </w:rPr>
      <w:tcPr>
        <w:shd w:val="clear" w:color="cce8cf" w:fill="cce8cf"/>
        <w:tcBorders>
          <w:top w:val="single" w:color="B2A1C6" w:sz="4" w:space="0"/>
          <w:left w:val="none" w:color="000000" w:sz="4" w:space="0"/>
          <w:bottom w:val="none" w:color="000000" w:sz="4" w:space="0"/>
          <w:right w:val="none" w:color="000000" w:sz="4" w:space="0"/>
        </w:tcBorders>
      </w:tcPr>
    </w:tblStylePr>
  </w:style>
  <w:style w:type="table" w:styleId="1195" w:customStyle="1">
    <w:name w:val="List Table 7 Colorful - Accent 5"/>
    <w:basedOn w:val="991"/>
    <w:uiPriority w:val="99"/>
    <w:qFormat/>
    <w:pPr>
      <w:spacing w:after="0" w:line="240" w:lineRule="auto"/>
    </w:pPr>
    <w:tblPr>
      <w:tblBorders>
        <w:right w:val="single" w:color="92CCDC" w:sz="4" w:space="0"/>
      </w:tblBorders>
    </w:tblPr>
    <w:tblStylePr w:type="band1Horz">
      <w:rPr>
        <w:rFonts w:ascii="Arial" w:hAnsi="Arial"/>
        <w:color w:val="93cddc"/>
        <w:sz w:val="22"/>
      </w:rPr>
      <w:tcPr>
        <w:shd w:val="clear" w:color="d1eaf0" w:fill="d1eaf0"/>
      </w:tcPr>
    </w:tblStylePr>
    <w:tblStylePr w:type="band1Vert">
      <w:tcPr>
        <w:shd w:val="clear" w:color="d1eaf0" w:fill="d1eaf0"/>
      </w:tcPr>
    </w:tblStylePr>
    <w:tblStylePr w:type="band2Horz">
      <w:rPr>
        <w:rFonts w:ascii="Arial" w:hAnsi="Arial"/>
        <w:color w:val="93cddc"/>
        <w:sz w:val="22"/>
      </w:rPr>
    </w:tblStylePr>
    <w:tblStylePr w:type="firstCol">
      <w:rPr>
        <w:rFonts w:ascii="Arial" w:hAnsi="Arial"/>
        <w:i/>
        <w:color w:val="93cd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3cddc"/>
        <w:sz w:val="22"/>
      </w:rPr>
      <w:tcPr>
        <w:shd w:val="clear" w:color="cce8cf" w:fill="cce8c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3cd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3cddc"/>
        <w:sz w:val="22"/>
      </w:rPr>
      <w:tcPr>
        <w:shd w:val="clear" w:color="cce8cf" w:fill="cce8cf"/>
        <w:tcBorders>
          <w:top w:val="single" w:color="92CCDC" w:sz="4" w:space="0"/>
          <w:left w:val="none" w:color="000000" w:sz="4" w:space="0"/>
          <w:bottom w:val="none" w:color="000000" w:sz="4" w:space="0"/>
          <w:right w:val="none" w:color="000000" w:sz="4" w:space="0"/>
        </w:tcBorders>
      </w:tcPr>
    </w:tblStylePr>
  </w:style>
  <w:style w:type="table" w:styleId="1196" w:customStyle="1">
    <w:name w:val="List Table 7 Colorful - Accent 6"/>
    <w:basedOn w:val="991"/>
    <w:uiPriority w:val="99"/>
    <w:qFormat/>
    <w:pPr>
      <w:spacing w:after="0" w:line="240" w:lineRule="auto"/>
    </w:pPr>
    <w:tblPr>
      <w:tblBorders>
        <w:right w:val="single" w:color="FAC090" w:sz="4" w:space="0"/>
      </w:tblBorders>
    </w:tblPr>
    <w:tblStylePr w:type="band1Horz">
      <w:rPr>
        <w:rFonts w:ascii="Arial" w:hAnsi="Arial"/>
        <w:color w:val="fac090"/>
        <w:sz w:val="22"/>
      </w:rPr>
      <w:tcPr>
        <w:shd w:val="clear" w:color="fce4d0" w:fill="fce4d0"/>
      </w:tcPr>
    </w:tblStylePr>
    <w:tblStylePr w:type="band1Vert">
      <w:tcPr>
        <w:shd w:val="clear" w:color="fce4d0" w:fill="fce4d0"/>
      </w:tcPr>
    </w:tblStylePr>
    <w:tblStylePr w:type="band2Horz">
      <w:rPr>
        <w:rFonts w:ascii="Arial" w:hAnsi="Arial"/>
        <w:color w:val="fac090"/>
        <w:sz w:val="22"/>
      </w:rPr>
    </w:tblStylePr>
    <w:tblStylePr w:type="firstCol">
      <w:rPr>
        <w:rFonts w:ascii="Arial" w:hAnsi="Arial"/>
        <w:i/>
        <w:color w:val="fac090"/>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c090"/>
        <w:sz w:val="22"/>
      </w:rPr>
      <w:tcPr>
        <w:shd w:val="clear" w:color="cce8cf" w:fill="cce8c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c090"/>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c090"/>
        <w:sz w:val="22"/>
      </w:rPr>
      <w:tcPr>
        <w:shd w:val="clear" w:color="cce8cf" w:fill="cce8cf"/>
        <w:tcBorders>
          <w:top w:val="single" w:color="FAC090" w:sz="4" w:space="0"/>
          <w:left w:val="none" w:color="000000" w:sz="4" w:space="0"/>
          <w:bottom w:val="none" w:color="000000" w:sz="4" w:space="0"/>
          <w:right w:val="none" w:color="000000" w:sz="4" w:space="0"/>
        </w:tcBorders>
      </w:tcPr>
    </w:tblStylePr>
  </w:style>
  <w:style w:type="table" w:styleId="1197" w:customStyle="1">
    <w:name w:val="Lined - Accent"/>
    <w:basedOn w:val="99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1198" w:customStyle="1">
    <w:name w:val="Lined - Accent 1"/>
    <w:basedOn w:val="99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1199" w:customStyle="1">
    <w:name w:val="Lined - Accent 2"/>
    <w:basedOn w:val="99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1200" w:customStyle="1">
    <w:name w:val="Lined - Accent 3"/>
    <w:basedOn w:val="99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1201" w:customStyle="1">
    <w:name w:val="Lined - Accent 4"/>
    <w:basedOn w:val="99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1202" w:customStyle="1">
    <w:name w:val="Lined - Accent 5"/>
    <w:basedOn w:val="99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1203" w:customStyle="1">
    <w:name w:val="Lined - Accent 6"/>
    <w:basedOn w:val="99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1204" w:customStyle="1">
    <w:name w:val="Bordered &amp; Lined - Accent"/>
    <w:basedOn w:val="991"/>
    <w:uiPriority w:val="99"/>
    <w:qFormat/>
    <w:pPr>
      <w:spacing w:after="0" w:line="240" w:lineRule="auto"/>
    </w:pPr>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1205" w:customStyle="1">
    <w:name w:val="Bordered &amp; Lined - Accent 1"/>
    <w:basedOn w:val="991"/>
    <w:uiPriority w:val="99"/>
    <w:qFormat/>
    <w:pPr>
      <w:spacing w:after="0" w:line="240" w:lineRule="auto"/>
    </w:pPr>
    <w:rPr>
      <w:color w:val="404040"/>
    </w:rPr>
    <w:tblPr>
      <w:tblBorders>
        <w:top w:val="single" w:color="2A4B71" w:sz="4" w:space="0"/>
        <w:left w:val="single" w:color="2A4B71" w:sz="4" w:space="0"/>
        <w:bottom w:val="single" w:color="2A4B71" w:sz="4" w:space="0"/>
        <w:right w:val="single" w:color="2A4B71" w:sz="4" w:space="0"/>
        <w:insideH w:val="single" w:color="2A4B71" w:sz="4" w:space="0"/>
        <w:insideV w:val="single" w:color="2A4B71"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1206" w:customStyle="1">
    <w:name w:val="Bordered &amp; Lined - Accent 2"/>
    <w:basedOn w:val="991"/>
    <w:uiPriority w:val="99"/>
    <w:qFormat/>
    <w:pPr>
      <w:spacing w:after="0" w:line="240" w:lineRule="auto"/>
    </w:pPr>
    <w:rPr>
      <w:color w:val="404040"/>
    </w:rPr>
    <w:tblPr>
      <w:tblBorders>
        <w:top w:val="single" w:color="742B29" w:sz="4" w:space="0"/>
        <w:left w:val="single" w:color="742B29" w:sz="4" w:space="0"/>
        <w:bottom w:val="single" w:color="742B29" w:sz="4" w:space="0"/>
        <w:right w:val="single" w:color="742B29" w:sz="4" w:space="0"/>
        <w:insideH w:val="single" w:color="742B29" w:sz="4" w:space="0"/>
        <w:insideV w:val="single" w:color="742B2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1207" w:customStyle="1">
    <w:name w:val="Bordered &amp; Lined - Accent 3"/>
    <w:basedOn w:val="991"/>
    <w:uiPriority w:val="99"/>
    <w:qFormat/>
    <w:pPr>
      <w:spacing w:after="0" w:line="240" w:lineRule="auto"/>
    </w:pPr>
    <w:rPr>
      <w:color w:val="404040"/>
    </w:rPr>
    <w:tblPr>
      <w:tblBorders>
        <w:top w:val="single" w:color="5C722E" w:sz="4" w:space="0"/>
        <w:left w:val="single" w:color="5C722E" w:sz="4" w:space="0"/>
        <w:bottom w:val="single" w:color="5C722E" w:sz="4" w:space="0"/>
        <w:right w:val="single" w:color="5C722E" w:sz="4" w:space="0"/>
        <w:insideH w:val="single" w:color="5C722E" w:sz="4" w:space="0"/>
        <w:insideV w:val="single" w:color="5C722E"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1208" w:customStyle="1">
    <w:name w:val="Bordered &amp; Lined - Accent 4"/>
    <w:basedOn w:val="991"/>
    <w:uiPriority w:val="99"/>
    <w:qFormat/>
    <w:pPr>
      <w:spacing w:after="0" w:line="240" w:lineRule="auto"/>
    </w:pPr>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1209" w:customStyle="1">
    <w:name w:val="Bordered &amp; Lined - Accent 5"/>
    <w:basedOn w:val="991"/>
    <w:uiPriority w:val="99"/>
    <w:qFormat/>
    <w:pPr>
      <w:spacing w:after="0" w:line="240" w:lineRule="auto"/>
    </w:pPr>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1210" w:customStyle="1">
    <w:name w:val="Bordered &amp; Lined - Accent 6"/>
    <w:basedOn w:val="991"/>
    <w:uiPriority w:val="99"/>
    <w:qFormat/>
    <w:pPr>
      <w:spacing w:after="0" w:line="240" w:lineRule="auto"/>
    </w:pPr>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1211" w:customStyle="1">
    <w:name w:val="Bordered"/>
    <w:basedOn w:val="991"/>
    <w:uiPriority w:val="99"/>
    <w:qFormat/>
    <w:pPr>
      <w:spacing w:after="0" w:line="240" w:lineRule="auto"/>
    </w:pPr>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Pr>
    <w:tblStylePr w:type="band1Horz">
      <w:rPr>
        <w:rFonts w:ascii="Arial" w:hAnsi="Arial"/>
        <w:color w:val="404040"/>
        <w:sz w:val="22"/>
      </w:rPr>
      <w:tcPr>
        <w:tcBorders>
          <w:top w:val="single" w:color="D8D8D8" w:sz="4" w:space="0"/>
          <w:left w:val="single" w:color="D8D8D8" w:sz="4" w:space="0"/>
          <w:bottom w:val="single" w:color="D8D8D8" w:sz="4" w:space="0"/>
          <w:right w:val="single" w:color="D8D8D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sz="12" w:space="0"/>
        </w:tcBorders>
      </w:tcPr>
    </w:tblStylePr>
    <w:tblStylePr w:type="lastCol">
      <w:rPr>
        <w:rFonts w:ascii="Arial" w:hAnsi="Arial"/>
        <w:color w:val="404040"/>
        <w:sz w:val="22"/>
      </w:rPr>
      <w:tcPr>
        <w:tcBorders>
          <w:left w:val="single" w:color="7E7E7E" w:sz="12" w:space="0"/>
        </w:tcBorders>
      </w:tcPr>
    </w:tblStylePr>
    <w:tblStylePr w:type="lastRow">
      <w:rPr>
        <w:rFonts w:ascii="Arial" w:hAnsi="Arial"/>
        <w:color w:val="404040"/>
        <w:sz w:val="22"/>
      </w:rPr>
      <w:tcPr>
        <w:tcBorders>
          <w:top w:val="single" w:color="7E7E7E" w:sz="12" w:space="0"/>
        </w:tcBorders>
      </w:tcPr>
    </w:tblStylePr>
  </w:style>
  <w:style w:type="table" w:styleId="1212" w:customStyle="1">
    <w:name w:val="Bordered - Accent 1"/>
    <w:basedOn w:val="991"/>
    <w:uiPriority w:val="99"/>
    <w:qFormat/>
    <w:pPr>
      <w:spacing w:after="0" w:line="240" w:lineRule="auto"/>
    </w:pPr>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table" w:styleId="1213" w:customStyle="1">
    <w:name w:val="Bordered - Accent 2"/>
    <w:basedOn w:val="991"/>
    <w:uiPriority w:val="99"/>
    <w:qFormat/>
    <w:pPr>
      <w:spacing w:after="0" w:line="240" w:lineRule="auto"/>
    </w:pPr>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sz="12" w:space="0"/>
        </w:tcBorders>
      </w:tcPr>
    </w:tblStylePr>
    <w:tblStylePr w:type="lastCol">
      <w:rPr>
        <w:rFonts w:ascii="Arial" w:hAnsi="Arial"/>
        <w:color w:val="404040"/>
        <w:sz w:val="22"/>
      </w:rPr>
      <w:tcPr>
        <w:tcBorders>
          <w:left w:val="single" w:color="D99795" w:sz="12" w:space="0"/>
        </w:tcBorders>
      </w:tcPr>
    </w:tblStylePr>
    <w:tblStylePr w:type="lastRow">
      <w:rPr>
        <w:rFonts w:ascii="Arial" w:hAnsi="Arial"/>
        <w:color w:val="404040"/>
        <w:sz w:val="22"/>
      </w:rPr>
      <w:tcPr>
        <w:tcBorders>
          <w:top w:val="single" w:color="D99795" w:sz="12" w:space="0"/>
        </w:tcBorders>
      </w:tcPr>
    </w:tblStylePr>
  </w:style>
  <w:style w:type="table" w:styleId="1214" w:customStyle="1">
    <w:name w:val="Bordered - Accent 3"/>
    <w:basedOn w:val="991"/>
    <w:uiPriority w:val="99"/>
    <w:qFormat/>
    <w:pPr>
      <w:spacing w:after="0" w:line="240" w:lineRule="auto"/>
    </w:p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sz="12" w:space="0"/>
        </w:tcBorders>
      </w:tcPr>
    </w:tblStylePr>
    <w:tblStylePr w:type="lastCol">
      <w:rPr>
        <w:rFonts w:ascii="Arial" w:hAnsi="Arial"/>
        <w:color w:val="404040"/>
        <w:sz w:val="22"/>
      </w:rPr>
      <w:tcPr>
        <w:tcBorders>
          <w:left w:val="single" w:color="C3D69C" w:sz="12" w:space="0"/>
        </w:tcBorders>
      </w:tcPr>
    </w:tblStylePr>
    <w:tblStylePr w:type="lastRow">
      <w:rPr>
        <w:rFonts w:ascii="Arial" w:hAnsi="Arial"/>
        <w:color w:val="404040"/>
        <w:sz w:val="22"/>
      </w:rPr>
      <w:tcPr>
        <w:tcBorders>
          <w:top w:val="single" w:color="C3D69C" w:sz="12" w:space="0"/>
        </w:tcBorders>
      </w:tcPr>
    </w:tblStylePr>
  </w:style>
  <w:style w:type="table" w:styleId="1215" w:customStyle="1">
    <w:name w:val="Bordered - Accent 4"/>
    <w:basedOn w:val="991"/>
    <w:uiPriority w:val="99"/>
    <w:qFormat/>
    <w:pPr>
      <w:spacing w:after="0" w:line="240" w:lineRule="auto"/>
    </w:p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1216" w:customStyle="1">
    <w:name w:val="Bordered - Accent 5"/>
    <w:basedOn w:val="991"/>
    <w:uiPriority w:val="99"/>
    <w:qFormat/>
    <w:pPr>
      <w:spacing w:after="0" w:line="240" w:lineRule="auto"/>
    </w:pPr>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table" w:styleId="1217" w:customStyle="1">
    <w:name w:val="Bordered - Accent 6"/>
    <w:basedOn w:val="991"/>
    <w:uiPriority w:val="99"/>
    <w:qFormat/>
    <w:pPr>
      <w:spacing w:after="0" w:line="240" w:lineRule="auto"/>
    </w:p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character" w:styleId="1218" w:customStyle="1">
    <w:name w:val="Footnote Text Char"/>
    <w:link w:val="1032"/>
    <w:uiPriority w:val="99"/>
    <w:qFormat/>
    <w:rPr>
      <w:sz w:val="18"/>
    </w:rPr>
  </w:style>
  <w:style w:type="character" w:styleId="1219" w:customStyle="1">
    <w:name w:val="Endnote Text Char"/>
    <w:link w:val="1025"/>
    <w:uiPriority w:val="99"/>
    <w:qFormat/>
    <w:rPr>
      <w:sz w:val="20"/>
    </w:rPr>
  </w:style>
  <w:style w:type="paragraph" w:styleId="1220" w:customStyle="1">
    <w:name w:val="TOC Heading_8feffb13-4ad0-4ab3-bc39-a202b1aec933"/>
    <w:uiPriority w:val="39"/>
    <w:qFormat/>
    <w:rPr>
      <w:rFonts w:hint="default" w:ascii="Times New Roman" w:hAnsi="Times New Roman" w:eastAsia="宋体" w:cs="Times New Roman"/>
    </w:rPr>
  </w:style>
  <w:style w:type="character" w:styleId="1221" w:customStyle="1">
    <w:name w:val="文档结构图 Char"/>
    <w:basedOn w:val="990"/>
    <w:link w:val="996"/>
    <w:uiPriority w:val="0"/>
    <w:qFormat/>
    <w:rPr>
      <w:rFonts w:ascii="宋体"/>
      <w:sz w:val="18"/>
      <w:szCs w:val="18"/>
    </w:rPr>
  </w:style>
  <w:style w:type="character" w:styleId="1222" w:customStyle="1">
    <w:name w:val="批注文字 字符"/>
    <w:link w:val="997"/>
    <w:uiPriority w:val="0"/>
    <w:qFormat/>
    <w:rPr>
      <w:rFonts w:ascii="Times New Roman" w:hAnsi="Times New Roman" w:eastAsia="宋体" w:cs="Times New Roman"/>
      <w:sz w:val="21"/>
      <w:szCs w:val="24"/>
    </w:rPr>
  </w:style>
  <w:style w:type="character" w:styleId="1223" w:customStyle="1">
    <w:name w:val="纯文本 字符"/>
    <w:link w:val="1023"/>
    <w:uiPriority w:val="0"/>
    <w:qFormat/>
    <w:rPr>
      <w:rFonts w:ascii="宋体" w:hAnsi="Courier New" w:eastAsia="宋体" w:cs="Times New Roman"/>
      <w:sz w:val="21"/>
      <w:szCs w:val="21"/>
      <w:lang w:bidi="ar-SA"/>
    </w:rPr>
  </w:style>
  <w:style w:type="character" w:styleId="1224" w:customStyle="1">
    <w:name w:val="批注框文本 字符"/>
    <w:link w:val="1026"/>
    <w:uiPriority w:val="0"/>
    <w:qFormat/>
    <w:rPr>
      <w:rFonts w:ascii="Times New Roman" w:hAnsi="Times New Roman" w:eastAsia="宋体" w:cs="Times New Roman"/>
      <w:sz w:val="18"/>
      <w:szCs w:val="18"/>
    </w:rPr>
  </w:style>
  <w:style w:type="character" w:styleId="1225" w:customStyle="1">
    <w:name w:val="批注主题 字符"/>
    <w:link w:val="1039"/>
    <w:uiPriority w:val="0"/>
    <w:qFormat/>
    <w:rPr>
      <w:rFonts w:ascii="Times New Roman" w:hAnsi="Times New Roman" w:eastAsia="宋体" w:cs="Times New Roman"/>
      <w:b/>
      <w:bCs/>
      <w:sz w:val="21"/>
      <w:szCs w:val="24"/>
    </w:rPr>
  </w:style>
  <w:style w:type="character" w:styleId="1226" w:customStyle="1">
    <w:name w:val="fontstyle01"/>
    <w:uiPriority w:val="0"/>
    <w:qFormat/>
    <w:rPr>
      <w:rFonts w:hint="eastAsia" w:ascii="仿宋" w:hAnsi="仿宋" w:eastAsia="仿宋"/>
      <w:color w:val="000000"/>
      <w:sz w:val="24"/>
      <w:szCs w:val="24"/>
    </w:rPr>
  </w:style>
  <w:style w:type="character" w:styleId="1227" w:customStyle="1">
    <w:name w:val="font81"/>
    <w:uiPriority w:val="0"/>
    <w:qFormat/>
    <w:rPr>
      <w:rFonts w:hint="eastAsia" w:ascii="宋体" w:hAnsi="宋体" w:eastAsia="宋体" w:cs="宋体"/>
      <w:color w:val="ff0000"/>
      <w:sz w:val="20"/>
      <w:szCs w:val="20"/>
      <w:u w:val="none"/>
    </w:rPr>
  </w:style>
  <w:style w:type="character" w:styleId="1228" w:customStyle="1">
    <w:name w:val="font51"/>
    <w:uiPriority w:val="0"/>
    <w:qFormat/>
    <w:rPr>
      <w:rFonts w:hint="eastAsia" w:ascii="宋体" w:hAnsi="宋体" w:eastAsia="宋体" w:cs="宋体"/>
      <w:color w:val="000000"/>
      <w:sz w:val="20"/>
      <w:szCs w:val="20"/>
      <w:u w:val="none"/>
    </w:rPr>
  </w:style>
  <w:style w:type="character" w:styleId="1229" w:customStyle="1">
    <w:name w:val="font21"/>
    <w:uiPriority w:val="0"/>
    <w:qFormat/>
    <w:rPr>
      <w:rFonts w:hint="eastAsia" w:ascii="宋体" w:hAnsi="宋体" w:eastAsia="宋体" w:cs="宋体"/>
      <w:color w:val="000000"/>
      <w:sz w:val="20"/>
      <w:szCs w:val="20"/>
      <w:u w:val="none"/>
    </w:rPr>
  </w:style>
  <w:style w:type="paragraph" w:styleId="1230"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231" w:customStyle="1">
    <w:name w:val="正文 缩进"/>
    <w:basedOn w:val="980"/>
    <w:uiPriority w:val="0"/>
    <w:qFormat/>
    <w:pPr>
      <w:ind w:firstLine="640"/>
      <w:spacing w:line="580" w:lineRule="exact"/>
    </w:pPr>
    <w:rPr>
      <w:rFonts w:ascii="Times New Roman" w:hAnsi="Times New Roman" w:eastAsia="宋体" w:cs="Times New Roman"/>
    </w:rPr>
  </w:style>
  <w:style w:type="paragraph" w:styleId="1232" w:customStyle="1">
    <w:name w:val="默认段落字体 Para Char Char Char Char Char Char Char"/>
    <w:basedOn w:val="980"/>
    <w:uiPriority w:val="0"/>
    <w:qFormat/>
    <w:rPr>
      <w:rFonts w:ascii="Tahoma" w:hAnsi="Tahoma" w:eastAsia="宋体" w:cs="Times New Roman"/>
      <w:sz w:val="24"/>
      <w:szCs w:val="20"/>
    </w:rPr>
  </w:style>
  <w:style w:type="paragraph" w:styleId="1233" w:customStyle="1">
    <w:name w:val="Body text|1"/>
    <w:basedOn w:val="980"/>
    <w:uiPriority w:val="0"/>
    <w:qFormat/>
    <w:pPr>
      <w:ind w:left="0" w:right="0" w:firstLine="400"/>
      <w:jc w:val="left"/>
      <w:keepLines w:val="0"/>
      <w:keepNext w:val="0"/>
      <w:spacing w:before="0" w:beforeAutospacing="0" w:after="0" w:afterAutospacing="0" w:line="415" w:lineRule="auto"/>
      <w:widowControl w:val="off"/>
      <w:suppressLineNumbers w:val="0"/>
    </w:pPr>
    <w:rPr>
      <w:rFonts w:hint="eastAsia" w:ascii="宋体" w:hAnsi="宋体" w:eastAsia="宋体" w:cs="宋体"/>
      <w:color w:val="000000"/>
      <w:sz w:val="30"/>
      <w:szCs w:val="30"/>
      <w:lang w:val="en-US" w:eastAsia="zh-CN"/>
    </w:rPr>
  </w:style>
  <w:style w:type="paragraph" w:styleId="1234" w:customStyle="1">
    <w:name w:val="_HT_正文"/>
    <w:basedOn w:val="980"/>
    <w:uiPriority w:val="0"/>
    <w:qFormat/>
    <w:pPr>
      <w:ind w:firstLine="200"/>
      <w:jc w:val="both"/>
      <w:spacing w:line="360" w:lineRule="auto"/>
    </w:pPr>
    <w:rPr>
      <w:rFonts w:ascii="Times New Roman" w:hAnsi="Times New Roman" w:eastAsia="宋体" w:cs="Times New Roman"/>
      <w:sz w:val="24"/>
    </w:rPr>
  </w:style>
  <w:style w:type="paragraph" w:styleId="1235">
    <w:name w:val="List Paragraph"/>
    <w:basedOn w:val="980"/>
    <w:uiPriority w:val="0"/>
    <w:qFormat/>
    <w:pPr>
      <w:ind w:firstLine="420"/>
    </w:pPr>
    <w:rPr>
      <w:rFonts w:ascii="Times New Roman" w:hAnsi="Times New Roman" w:eastAsia="宋体" w:cs="Times New Roman"/>
    </w:rPr>
  </w:style>
  <w:style w:type="paragraph" w:styleId="1236" w:customStyle="1">
    <w:name w:val="Char"/>
    <w:basedOn w:val="980"/>
    <w:uiPriority w:val="0"/>
    <w:qFormat/>
    <w:pPr>
      <w:tabs>
        <w:tab w:val="left" w:pos="360" w:leader="none"/>
      </w:tabs>
    </w:pPr>
    <w:rPr>
      <w:rFonts w:ascii="Times New Roman" w:hAnsi="Times New Roman" w:eastAsia="宋体" w:cs="Times New Roman"/>
      <w:sz w:val="24"/>
    </w:rPr>
  </w:style>
  <w:style w:type="paragraph" w:styleId="1237" w:customStyle="1">
    <w:name w:val="Body text|3"/>
    <w:basedOn w:val="980"/>
    <w:uiPriority w:val="0"/>
    <w:qFormat/>
    <w:pPr>
      <w:ind w:left="260" w:right="0" w:hanging="260"/>
      <w:jc w:val="left"/>
      <w:keepLines w:val="0"/>
      <w:keepNext w:val="0"/>
      <w:spacing w:before="0" w:beforeAutospacing="0" w:after="0" w:afterAutospacing="0"/>
      <w:widowControl w:val="off"/>
      <w:suppressLineNumbers w:val="0"/>
    </w:pPr>
    <w:rPr>
      <w:rFonts w:hint="default" w:ascii="Times New Roman" w:hAnsi="Times New Roman" w:eastAsia="宋体" w:cs="Times New Roman"/>
      <w:color w:val="000000"/>
      <w:sz w:val="26"/>
      <w:szCs w:val="26"/>
      <w:lang w:val="en-US" w:eastAsia="zh-CN"/>
    </w:rPr>
  </w:style>
  <w:style w:type="paragraph" w:styleId="1238" w:customStyle="1">
    <w:name w:val="NB正文"/>
    <w:uiPriority w:val="0"/>
    <w:qFormat/>
    <w:pPr>
      <w:ind w:firstLine="200"/>
      <w:spacing w:line="560" w:lineRule="exact"/>
    </w:pPr>
    <w:rPr>
      <w:rFonts w:hint="default" w:ascii="宋体" w:hAnsi="宋体" w:eastAsia="宋体" w:cs="宋体"/>
      <w:bCs/>
      <w:sz w:val="24"/>
      <w:szCs w:val="52"/>
      <w:lang w:val="en-US" w:eastAsia="zh-CN" w:bidi="ar-SA"/>
    </w:rPr>
  </w:style>
  <w:style w:type="paragraph" w:styleId="1239" w:customStyle="1">
    <w:name w:val="表格3"/>
    <w:basedOn w:val="980"/>
    <w:uiPriority w:val="0"/>
    <w:qFormat/>
    <w:pPr>
      <w:jc w:val="center"/>
    </w:pPr>
    <w:rPr>
      <w:rFonts w:ascii="Times New Roman" w:hAnsi="Times New Roman" w:eastAsia="宋体" w:cs="Times New Roman"/>
    </w:rPr>
  </w:style>
  <w:style w:type="paragraph" w:styleId="1240" w:customStyle="1">
    <w:name w:val="脚注文本11"/>
    <w:basedOn w:val="1009"/>
    <w:next w:val="1241"/>
    <w:uiPriority w:val="0"/>
    <w:qFormat/>
    <w:pPr>
      <w:spacing w:after="40" w:line="240" w:lineRule="auto"/>
    </w:pPr>
    <w:rPr>
      <w:rFonts w:ascii="Times New Roman" w:hAnsi="Times New Roman" w:eastAsia="宋体"/>
      <w:sz w:val="18"/>
    </w:rPr>
  </w:style>
  <w:style w:type="paragraph" w:styleId="1241" w:customStyle="1">
    <w:name w:val="索引 511"/>
    <w:basedOn w:val="1009"/>
    <w:next w:val="1009"/>
    <w:uiPriority w:val="0"/>
    <w:qFormat/>
    <w:pPr>
      <w:ind w:left="798"/>
      <w:jc w:val="left"/>
    </w:pPr>
    <w:rPr>
      <w:rFonts w:ascii="Calibri" w:hAnsi="Calibri"/>
    </w:rPr>
  </w:style>
  <w:style w:type="character" w:styleId="1242" w:customStyle="1">
    <w:name w:val="NormalCharacter"/>
    <w:link w:val="1002"/>
    <w:uiPriority w:val="0"/>
    <w:qFormat/>
    <w:rPr>
      <w:rFonts w:hint="default" w:ascii="Times New Roman" w:hAnsi="Times New Roman" w:eastAsia="宋体" w:cs="Times New Roman"/>
      <w:sz w:val="21"/>
      <w:szCs w:val="21"/>
      <w:lang w:val="en-US" w:eastAsia="zh-CN" w:bidi="ar-SA"/>
    </w:rPr>
  </w:style>
  <w:style w:type="paragraph" w:styleId="1243" w:customStyle="1">
    <w:name w:val="列表段落1"/>
    <w:basedOn w:val="980"/>
    <w:next w:val="980"/>
    <w:uiPriority w:val="0"/>
    <w:qFormat/>
    <w:pPr>
      <w:ind w:firstLine="420"/>
    </w:pPr>
  </w:style>
  <w:style w:type="paragraph" w:styleId="1244" w:customStyle="1">
    <w:name w:val="段落"/>
    <w:basedOn w:val="980"/>
    <w:uiPriority w:val="0"/>
    <w:qFormat/>
    <w:pPr>
      <w:ind w:firstLine="560"/>
      <w:spacing w:line="590" w:lineRule="exact"/>
    </w:pPr>
    <w:rPr>
      <w:rFonts w:ascii="Times New Roman" w:hAnsi="Times New Roman" w:eastAsia="方正仿宋_GBK" w:cs="Times New Roman"/>
      <w:sz w:val="32"/>
      <w:szCs w:val="28"/>
    </w:rPr>
  </w:style>
  <w:style w:type="character" w:styleId="1245" w:customStyle="1">
    <w:name w:val="3 字符"/>
    <w:basedOn w:val="990"/>
    <w:link w:val="1246"/>
    <w:uiPriority w:val="0"/>
    <w:qFormat/>
    <w:rPr>
      <w:rFonts w:ascii="Times New Roman" w:hAnsi="Times New Roman" w:eastAsia="方正仿宋_GBK" w:cs="Times New Roman"/>
      <w:sz w:val="32"/>
      <w:szCs w:val="36"/>
    </w:rPr>
  </w:style>
  <w:style w:type="paragraph" w:styleId="1246" w:customStyle="1">
    <w:name w:val="3"/>
    <w:basedOn w:val="980"/>
    <w:link w:val="1245"/>
    <w:uiPriority w:val="0"/>
    <w:qFormat/>
    <w:pPr>
      <w:ind w:firstLine="640"/>
      <w:spacing w:line="588" w:lineRule="exact"/>
    </w:pPr>
    <w:rPr>
      <w:rFonts w:ascii="Times New Roman" w:hAnsi="Times New Roman" w:eastAsia="方正仿宋_GBK" w:cs="Times New Roman"/>
      <w:sz w:val="32"/>
      <w:szCs w:val="36"/>
    </w:rPr>
  </w:style>
  <w:style w:type="paragraph" w:styleId="1247" w:customStyle="1">
    <w:name w:val="正文首行缩进11"/>
    <w:basedOn w:val="1014"/>
    <w:uiPriority w:val="0"/>
    <w:qFormat/>
    <w:pPr>
      <w:ind w:firstLine="420"/>
      <w:spacing w:after="120"/>
    </w:pPr>
    <w:rPr>
      <w:rFonts w:ascii="Times New Roman" w:eastAsia="宋体"/>
      <w:szCs w:val="24"/>
    </w:rPr>
  </w:style>
  <w:style w:type="paragraph" w:styleId="1248" w:customStyle="1">
    <w:name w:val="正文文本 21"/>
    <w:basedOn w:val="980"/>
    <w:uiPriority w:val="0"/>
    <w:qFormat/>
    <w:pPr>
      <w:jc w:val="center"/>
      <w:widowControl/>
    </w:pPr>
    <w:rPr>
      <w:rFonts w:ascii="楷体_GB2312" w:eastAsia="楷体_GB2312"/>
      <w:sz w:val="28"/>
      <w:szCs w:val="28"/>
    </w:rPr>
  </w:style>
  <w:style w:type="paragraph" w:styleId="1249" w:customStyle="1">
    <w:name w:val="文本块111"/>
    <w:basedOn w:val="1053"/>
    <w:uiPriority w:val="0"/>
    <w:qFormat/>
    <w:pPr>
      <w:ind w:left="630" w:right="-609" w:firstLine="420"/>
      <w:spacing w:line="360" w:lineRule="auto"/>
    </w:pPr>
    <w:rPr>
      <w:rFonts w:ascii="仿宋_GB2312" w:eastAsia="仿宋_GB2312"/>
      <w:sz w:val="20"/>
      <w:szCs w:val="20"/>
    </w:rPr>
  </w:style>
  <w:style w:type="paragraph" w:styleId="1250"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251" w:customStyle="1">
    <w:name w:val="Blockquote"/>
    <w:basedOn w:val="1003"/>
    <w:uiPriority w:val="0"/>
    <w:qFormat/>
    <w:pPr>
      <w:ind w:left="360" w:right="360"/>
      <w:jc w:val="left"/>
      <w:spacing w:before="100" w:after="100"/>
    </w:pPr>
    <w:rPr>
      <w:sz w:val="24"/>
    </w:rPr>
  </w:style>
  <w:style w:type="paragraph" w:styleId="1252" w:customStyle="1">
    <w:name w:val="文本块11"/>
    <w:basedOn w:val="1009"/>
    <w:uiPriority w:val="0"/>
    <w:unhideWhenUsed/>
    <w:qFormat/>
    <w:pPr>
      <w:ind w:left="1440" w:right="1440"/>
      <w:spacing w:after="120"/>
    </w:pPr>
    <w:rPr>
      <w:rFonts w:ascii="Calibri" w:hAnsi="Calibri"/>
    </w:rPr>
  </w:style>
  <w:style w:type="paragraph" w:styleId="1253" w:customStyle="1">
    <w:name w:val="普通(网站)1"/>
    <w:basedOn w:val="980"/>
    <w:uiPriority w:val="99"/>
    <w:qFormat/>
    <w:pPr>
      <w:jc w:val="left"/>
      <w:spacing w:before="100" w:beforeAutospacing="1" w:after="100" w:afterAutospacing="1"/>
      <w:widowControl/>
    </w:pPr>
    <w:rPr>
      <w:rFonts w:ascii="宋体" w:hAnsi="宋体" w:cs="宋体"/>
      <w:sz w:val="24"/>
    </w:rPr>
  </w:style>
  <w:style w:type="paragraph" w:styleId="1254" w:customStyle="1">
    <w:name w:val="_Style 9"/>
    <w:basedOn w:val="981"/>
    <w:next w:val="980"/>
    <w:uiPriority w:val="0"/>
    <w:qFormat/>
    <w:pPr>
      <w:spacing w:before="340" w:after="330" w:line="576" w:lineRule="auto"/>
      <w:outlineLvl w:val="9"/>
    </w:pPr>
    <w:rPr>
      <w:rFonts w:ascii="Calibri" w:hAnsi="Calibri"/>
      <w:sz w:val="44"/>
    </w:rPr>
  </w:style>
  <w:style w:type="paragraph" w:styleId="1255" w:customStyle="1">
    <w:name w:val="_Style 11"/>
    <w:uiPriority w:val="1"/>
    <w:qFormat/>
    <w:pPr>
      <w:jc w:val="both"/>
      <w:widowControl w:val="off"/>
    </w:pPr>
    <w:rPr>
      <w:rFonts w:hint="default" w:ascii="宋体" w:hAnsi="宋体" w:eastAsia="宋体" w:cs="宋体"/>
      <w:sz w:val="21"/>
      <w:szCs w:val="22"/>
      <w:lang w:val="en-US" w:eastAsia="zh-CN" w:bidi="ar-SA"/>
    </w:rPr>
  </w:style>
  <w:style w:type="paragraph" w:styleId="1256" w:customStyle="1">
    <w:name w:val="页脚1"/>
    <w:basedOn w:val="980"/>
    <w:uiPriority w:val="0"/>
    <w:qFormat/>
    <w:pPr>
      <w:jc w:val="left"/>
      <w:tabs>
        <w:tab w:val="center" w:pos="4153" w:leader="none"/>
        <w:tab w:val="right" w:pos="8306" w:leader="none"/>
      </w:tabs>
    </w:pPr>
    <w:rPr>
      <w:sz w:val="18"/>
      <w:szCs w:val="18"/>
    </w:rPr>
  </w:style>
  <w:style w:type="character" w:styleId="1257" w:customStyle="1">
    <w:name w:val="NormalCharacter1"/>
    <w:link w:val="980"/>
    <w:uiPriority w:val="0"/>
    <w:semiHidden/>
    <w:qFormat/>
    <w:rPr>
      <w:rFonts w:hint="default" w:ascii="Times New Roman" w:hAnsi="Times New Roman" w:eastAsia="宋体" w:cs="Times New Roman"/>
      <w:sz w:val="21"/>
      <w:szCs w:val="24"/>
      <w:lang w:val="en-US" w:eastAsia="zh-CN" w:bidi="ar-SA"/>
    </w:rPr>
  </w:style>
  <w:style w:type="numbering" w:styleId="125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footer" Target="footer8.xml" /><Relationship Id="rId20" Type="http://schemas.openxmlformats.org/officeDocument/2006/relationships/customXml" Target="../customXml/item1.xml" /><Relationship Id="rId21" Type="http://schemas.openxmlformats.org/officeDocument/2006/relationships/customXml" Target="../customXml/item2.xml" /><Relationship Id="rId22" Type="http://schemas.openxmlformats.org/officeDocument/2006/relationships/customXml" Target="../customXml/item3.xml" /><Relationship Id="rId23" Type="http://schemas.openxmlformats.org/officeDocument/2006/relationships/customXml" Target="../customXml/item4.xml" /><Relationship Id="rId24"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item1.xml><?xml version="1.0" encoding="utf-8"?>
<w:settings xmlns:w="http://schemas.openxmlformats.org/wordprocessingml/2006/main">
  <w:SpecialFormsHighlight w:val="c9c8ff"/>
</w:settings>
</file>

<file path=customXml/item2.xml><?xml version="1.0" encoding="utf-8"?>
<w:settings xmlns:w="http://schemas.openxmlformats.org/wordprocessingml/2006/main">
  <w:SpecialFormsHighlight w:val="c9c8ff"/>
</w:settings>
</file>

<file path=customXml/item3.xml><?xml version="1.0" encoding="utf-8"?>
<w:settings xmlns:w="http://schemas.openxmlformats.org/wordprocessingml/2006/main">
  <w:SpecialFormsHighlight w:val="c9c8ff"/>
</w:settings>
</file>

<file path=customXml/item4.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5D0AEA6B-E499-4EEF-98A3-AFBB261C493E}"/>
</file>

<file path=customXml/itemProps2.xml><?xml version="1.0" encoding="utf-8"?>
<ds:datastoreItem xmlns:ds="http://schemas.openxmlformats.org/officeDocument/2006/customXml" ds:itemID="{5D0AEA6B-E499-4EEF-98A3-AFBB261C493E}"/>
</file>

<file path=customXml/itemProps3.xml><?xml version="1.0" encoding="utf-8"?>
<ds:datastoreItem xmlns:ds="http://schemas.openxmlformats.org/officeDocument/2006/customXml" ds:itemID="{5D0AEA6B-E499-4EEF-98A3-AFBB261C493E}"/>
</file>

<file path=customXml/itemProps4.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xz</dc:creator>
  <cp:lastModifiedBy>王状</cp:lastModifiedBy>
  <cp:revision>33</cp:revision>
  <dcterms:created xsi:type="dcterms:W3CDTF">2021-09-27T04:06:00Z</dcterms:created>
  <dcterms:modified xsi:type="dcterms:W3CDTF">2026-04-14T07:45:19Z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D74D6108511D4D94AACDC317C72DE946_13</vt:lpwstr>
  </property>
  <property fmtid="{D5CDD505-2E9C-101B-9397-08002B2CF9AE}" pid="4" name="KSOTemplateDocerSaveRecord">
    <vt:lpwstr>eyJoZGlkIjoiNDExNTg2N2VjODhmYjBjZjAzNWYzZWZmYzg1YTEzMTMiLCJ1c2VySWQiOiIxNTQ5OTc5ODgyIn0=</vt:lpwstr>
  </property>
</Properties>
</file>