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66A4AF">
      <w:pPr>
        <w:pStyle w:val="15"/>
        <w:spacing w:before="200" w:after="200" w:line="276" w:lineRule="auto"/>
        <w:ind w:left="720" w:firstLine="482"/>
        <w:jc w:val="left"/>
        <w:rPr>
          <w:rFonts w:ascii="宋体" w:hAnsi="宋体" w:eastAsia="宋体" w:cs="宋体"/>
          <w:b/>
          <w:bCs/>
          <w:sz w:val="24"/>
        </w:rPr>
      </w:pPr>
      <w:r>
        <w:rPr>
          <w:rFonts w:hint="eastAsia" w:ascii="宋体" w:hAnsi="宋体" w:eastAsia="宋体" w:cs="宋体"/>
          <w:b/>
          <w:bCs/>
          <w:sz w:val="24"/>
        </w:rPr>
        <w:t>如有建议或意见，请以书面形式并加盖公章、注明联系人、联系方式，于2026年5月</w:t>
      </w:r>
      <w:r>
        <w:rPr>
          <w:rFonts w:ascii="宋体" w:hAnsi="宋体" w:eastAsia="宋体" w:cs="宋体"/>
          <w:b/>
          <w:bCs/>
          <w:sz w:val="24"/>
        </w:rPr>
        <w:t>2</w:t>
      </w:r>
      <w:r>
        <w:rPr>
          <w:rFonts w:hint="eastAsia" w:ascii="宋体" w:hAnsi="宋体" w:eastAsia="宋体" w:cs="宋体"/>
          <w:b/>
          <w:bCs/>
          <w:sz w:val="24"/>
          <w:lang w:val="en-US" w:eastAsia="zh-CN"/>
        </w:rPr>
        <w:t>1</w:t>
      </w:r>
      <w:r>
        <w:rPr>
          <w:rFonts w:hint="eastAsia" w:ascii="宋体" w:hAnsi="宋体" w:eastAsia="宋体" w:cs="宋体"/>
          <w:b/>
          <w:bCs/>
          <w:sz w:val="24"/>
        </w:rPr>
        <w:t>日17:00之前送至我单位，逾期不受理（如邮寄，2026年5月</w:t>
      </w:r>
      <w:r>
        <w:rPr>
          <w:rFonts w:ascii="宋体" w:hAnsi="宋体" w:eastAsia="宋体" w:cs="宋体"/>
          <w:b/>
          <w:bCs/>
          <w:sz w:val="24"/>
        </w:rPr>
        <w:t>2</w:t>
      </w:r>
      <w:r>
        <w:rPr>
          <w:rFonts w:hint="eastAsia" w:ascii="宋体" w:hAnsi="宋体" w:eastAsia="宋体" w:cs="宋体"/>
          <w:b/>
          <w:bCs/>
          <w:sz w:val="24"/>
          <w:lang w:val="en-US" w:eastAsia="zh-CN"/>
        </w:rPr>
        <w:t>1</w:t>
      </w:r>
      <w:r>
        <w:rPr>
          <w:rFonts w:hint="eastAsia" w:ascii="宋体" w:hAnsi="宋体" w:eastAsia="宋体" w:cs="宋体"/>
          <w:b/>
          <w:bCs/>
          <w:sz w:val="24"/>
        </w:rPr>
        <w:t>日17:00之后到达本公司的邮件将不再受理）。</w:t>
      </w:r>
    </w:p>
    <w:p w14:paraId="5ADFB868">
      <w:pPr>
        <w:rPr>
          <w:rFonts w:ascii="Segoe UI" w:hAnsi="Segoe UI" w:eastAsia="宋体" w:cs="Segoe UI"/>
          <w:b/>
          <w:color w:val="000000"/>
          <w:kern w:val="36"/>
          <w:sz w:val="32"/>
          <w:szCs w:val="24"/>
        </w:rPr>
      </w:pPr>
      <w:r>
        <w:rPr>
          <w:rFonts w:ascii="Segoe UI" w:hAnsi="Segoe UI" w:eastAsia="宋体" w:cs="Segoe UI"/>
          <w:b/>
          <w:color w:val="000000"/>
          <w:kern w:val="36"/>
          <w:sz w:val="32"/>
          <w:szCs w:val="24"/>
        </w:rPr>
        <w:br w:type="page"/>
      </w:r>
    </w:p>
    <w:p w14:paraId="53C156E9">
      <w:pPr>
        <w:widowControl/>
        <w:spacing w:line="360" w:lineRule="atLeast"/>
        <w:jc w:val="center"/>
        <w:outlineLvl w:val="0"/>
        <w:rPr>
          <w:rFonts w:ascii="Segoe UI" w:hAnsi="Segoe UI" w:eastAsia="宋体" w:cs="Segoe UI"/>
          <w:b/>
          <w:color w:val="000000"/>
          <w:kern w:val="36"/>
          <w:sz w:val="32"/>
          <w:szCs w:val="24"/>
        </w:rPr>
      </w:pPr>
      <w:r>
        <w:rPr>
          <w:rFonts w:ascii="Segoe UI" w:hAnsi="Segoe UI" w:eastAsia="宋体" w:cs="Segoe UI"/>
          <w:b/>
          <w:color w:val="000000"/>
          <w:kern w:val="36"/>
          <w:sz w:val="32"/>
          <w:szCs w:val="24"/>
        </w:rPr>
        <w:t>采购需求</w:t>
      </w:r>
    </w:p>
    <w:p w14:paraId="24A6651C">
      <w:pPr>
        <w:pStyle w:val="15"/>
        <w:widowControl/>
        <w:numPr>
          <w:ilvl w:val="0"/>
          <w:numId w:val="0"/>
        </w:numPr>
        <w:spacing w:line="360" w:lineRule="atLeast"/>
        <w:ind w:left="142" w:leftChars="0"/>
        <w:jc w:val="left"/>
        <w:outlineLvl w:val="1"/>
        <w:rPr>
          <w:rFonts w:ascii="Segoe UI" w:hAnsi="Segoe UI" w:eastAsia="宋体" w:cs="Segoe UI"/>
          <w:b/>
          <w:color w:val="000000"/>
          <w:kern w:val="0"/>
          <w:sz w:val="24"/>
          <w:szCs w:val="24"/>
        </w:rPr>
      </w:pPr>
      <w:r>
        <w:rPr>
          <w:rFonts w:hint="eastAsia" w:ascii="Segoe UI" w:hAnsi="Segoe UI" w:eastAsia="宋体" w:cs="Segoe UI"/>
          <w:b/>
          <w:color w:val="000000"/>
          <w:kern w:val="0"/>
          <w:sz w:val="24"/>
          <w:szCs w:val="24"/>
        </w:rPr>
        <w:t>一、本项目采购的是非进口产品。</w:t>
      </w:r>
    </w:p>
    <w:p w14:paraId="58940ABE">
      <w:pPr>
        <w:pStyle w:val="15"/>
        <w:widowControl/>
        <w:numPr>
          <w:ilvl w:val="0"/>
          <w:numId w:val="0"/>
        </w:numPr>
        <w:spacing w:line="360" w:lineRule="atLeast"/>
        <w:ind w:left="142" w:leftChars="0"/>
        <w:jc w:val="left"/>
        <w:outlineLvl w:val="1"/>
        <w:rPr>
          <w:rFonts w:hint="eastAsia" w:ascii="Segoe UI" w:hAnsi="Segoe UI" w:eastAsia="宋体" w:cs="Segoe UI"/>
          <w:b/>
          <w:color w:val="000000"/>
          <w:kern w:val="0"/>
          <w:sz w:val="24"/>
          <w:szCs w:val="24"/>
        </w:rPr>
      </w:pPr>
      <w:r>
        <w:rPr>
          <w:rFonts w:hint="eastAsia" w:ascii="Segoe UI" w:hAnsi="Segoe UI" w:eastAsia="宋体" w:cs="Segoe UI"/>
          <w:b/>
          <w:color w:val="000000"/>
          <w:kern w:val="0"/>
          <w:sz w:val="24"/>
          <w:szCs w:val="24"/>
        </w:rPr>
        <w:t>二、本项目不接受超过235万元（采购项目预算金额）的投标报价，报价包括但不限于设备材料费、制作费、运输、装卸、拆除、安装、焊接、调试、防腐、试压、辅材、人工、运行维护、保险、培训、售后、质保、税金、利润等全部费用，采购人不再额外支付任何费用。</w:t>
      </w:r>
    </w:p>
    <w:p w14:paraId="5B8D77BF">
      <w:pPr>
        <w:pStyle w:val="15"/>
        <w:widowControl/>
        <w:numPr>
          <w:ilvl w:val="0"/>
          <w:numId w:val="0"/>
        </w:numPr>
        <w:spacing w:line="360" w:lineRule="atLeast"/>
        <w:ind w:left="142" w:leftChars="0"/>
        <w:jc w:val="left"/>
        <w:outlineLvl w:val="1"/>
        <w:rPr>
          <w:rFonts w:hint="default" w:ascii="Segoe UI" w:hAnsi="Segoe UI" w:eastAsia="宋体" w:cs="Segoe UI"/>
          <w:b/>
          <w:color w:val="000000"/>
          <w:kern w:val="0"/>
          <w:sz w:val="24"/>
          <w:szCs w:val="24"/>
          <w:lang w:val="en-US" w:eastAsia="zh-CN"/>
        </w:rPr>
      </w:pPr>
      <w:r>
        <w:rPr>
          <w:rFonts w:hint="eastAsia" w:ascii="Segoe UI" w:hAnsi="Segoe UI" w:eastAsia="宋体" w:cs="Segoe UI"/>
          <w:b/>
          <w:color w:val="000000"/>
          <w:kern w:val="0"/>
          <w:sz w:val="24"/>
          <w:szCs w:val="24"/>
          <w:lang w:val="en-US" w:eastAsia="zh-CN"/>
        </w:rPr>
        <w:t>三、项目说明</w:t>
      </w:r>
    </w:p>
    <w:p w14:paraId="03400E31">
      <w:pPr>
        <w:widowControl/>
        <w:numPr>
          <w:ilvl w:val="0"/>
          <w:numId w:val="1"/>
        </w:numPr>
        <w:spacing w:line="360" w:lineRule="atLeast"/>
        <w:jc w:val="left"/>
        <w:rPr>
          <w:rFonts w:ascii="Segoe UI" w:hAnsi="Segoe UI" w:eastAsia="宋体" w:cs="Segoe UI"/>
          <w:color w:val="000000"/>
          <w:kern w:val="0"/>
          <w:sz w:val="24"/>
          <w:szCs w:val="24"/>
        </w:rPr>
      </w:pPr>
      <w:r>
        <w:rPr>
          <w:rFonts w:hint="eastAsia" w:ascii="Segoe UI" w:hAnsi="Segoe UI" w:eastAsia="宋体" w:cs="Segoe UI"/>
          <w:color w:val="000000"/>
          <w:kern w:val="0"/>
          <w:sz w:val="24"/>
          <w:szCs w:val="24"/>
          <w:lang w:val="en-US" w:eastAsia="zh-CN"/>
        </w:rPr>
        <w:t>采购人：</w:t>
      </w:r>
      <w:r>
        <w:rPr>
          <w:rFonts w:hint="eastAsia" w:ascii="宋体" w:hAnsi="宋体" w:eastAsia="宋体" w:cs="宋体"/>
          <w:color w:val="000000"/>
          <w:sz w:val="24"/>
          <w:szCs w:val="24"/>
        </w:rPr>
        <w:t>徐州市云龙区城市管理局</w:t>
      </w:r>
    </w:p>
    <w:p w14:paraId="6F67244A">
      <w:pPr>
        <w:widowControl/>
        <w:numPr>
          <w:ilvl w:val="0"/>
          <w:numId w:val="1"/>
        </w:numPr>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项目名称：徐州市云龙区垃圾资源化转运及处理建设项目 - 设备设施采购</w:t>
      </w:r>
    </w:p>
    <w:p w14:paraId="73E00CF4">
      <w:pPr>
        <w:widowControl/>
        <w:numPr>
          <w:ilvl w:val="0"/>
          <w:numId w:val="1"/>
        </w:numPr>
        <w:spacing w:line="360" w:lineRule="atLeast"/>
        <w:jc w:val="left"/>
        <w:rPr>
          <w:rFonts w:ascii="Segoe UI" w:hAnsi="Segoe UI" w:eastAsia="宋体" w:cs="Segoe UI"/>
          <w:color w:val="000000"/>
          <w:kern w:val="0"/>
          <w:sz w:val="24"/>
          <w:szCs w:val="24"/>
        </w:rPr>
      </w:pPr>
      <w:r>
        <w:rPr>
          <w:rFonts w:hint="eastAsia" w:ascii="宋体" w:hAnsi="宋体" w:eastAsia="宋体" w:cs="宋体"/>
          <w:color w:val="000000"/>
          <w:sz w:val="24"/>
          <w:szCs w:val="24"/>
        </w:rPr>
        <w:t>采购包划分：本项目共分为1个采购包</w:t>
      </w:r>
    </w:p>
    <w:p w14:paraId="6C61F5A9">
      <w:pPr>
        <w:widowControl/>
        <w:numPr>
          <w:ilvl w:val="0"/>
          <w:numId w:val="1"/>
        </w:numPr>
        <w:spacing w:line="360" w:lineRule="atLeast"/>
        <w:jc w:val="left"/>
        <w:rPr>
          <w:rFonts w:ascii="Segoe UI" w:hAnsi="Segoe UI" w:eastAsia="宋体" w:cs="Segoe UI"/>
          <w:color w:val="000000"/>
          <w:kern w:val="0"/>
          <w:sz w:val="24"/>
          <w:szCs w:val="24"/>
        </w:rPr>
      </w:pPr>
      <w:r>
        <w:rPr>
          <w:rFonts w:hint="eastAsia" w:ascii="Segoe UI" w:hAnsi="Segoe UI" w:eastAsia="宋体" w:cs="Segoe UI"/>
          <w:color w:val="000000"/>
          <w:kern w:val="0"/>
          <w:sz w:val="24"/>
          <w:szCs w:val="24"/>
          <w:lang w:val="en-US" w:eastAsia="zh-CN"/>
        </w:rPr>
        <w:t xml:space="preserve">项目概况： </w:t>
      </w:r>
      <w:r>
        <w:rPr>
          <w:rFonts w:ascii="Segoe UI" w:hAnsi="Segoe UI" w:eastAsia="宋体" w:cs="Segoe UI"/>
          <w:color w:val="000000"/>
          <w:kern w:val="0"/>
          <w:sz w:val="24"/>
          <w:szCs w:val="24"/>
        </w:rPr>
        <w:t>徐州市云龙区垃圾资源化转运及处理建设项目 - 设备设施采购</w:t>
      </w:r>
      <w:r>
        <w:rPr>
          <w:rFonts w:hint="eastAsia" w:ascii="Segoe UI" w:hAnsi="Segoe UI" w:eastAsia="宋体" w:cs="Segoe UI"/>
          <w:color w:val="000000"/>
          <w:kern w:val="0"/>
          <w:sz w:val="24"/>
          <w:szCs w:val="24"/>
          <w:lang w:eastAsia="zh-CN"/>
        </w:rPr>
        <w:t>，</w:t>
      </w:r>
      <w:r>
        <w:rPr>
          <w:rFonts w:hint="eastAsia" w:ascii="宋体" w:hAnsi="宋体" w:eastAsia="宋体" w:cs="宋体"/>
          <w:color w:val="000000"/>
          <w:sz w:val="24"/>
          <w:szCs w:val="24"/>
        </w:rPr>
        <w:t>包含但不限于采购、安装、调试一体化</w:t>
      </w:r>
    </w:p>
    <w:p w14:paraId="346E8700">
      <w:pPr>
        <w:pStyle w:val="15"/>
        <w:widowControl/>
        <w:numPr>
          <w:ilvl w:val="0"/>
          <w:numId w:val="1"/>
        </w:numPr>
        <w:spacing w:line="360" w:lineRule="atLeast"/>
        <w:ind w:firstLineChars="0"/>
        <w:jc w:val="left"/>
        <w:rPr>
          <w:rFonts w:ascii="Segoe UI" w:hAnsi="Segoe UI" w:eastAsia="宋体" w:cs="Segoe UI"/>
          <w:color w:val="000000"/>
          <w:kern w:val="0"/>
          <w:sz w:val="24"/>
          <w:szCs w:val="24"/>
        </w:rPr>
      </w:pPr>
      <w:r>
        <w:rPr>
          <w:rFonts w:hint="eastAsia" w:ascii="宋体" w:hAnsi="宋体" w:eastAsia="宋体" w:cs="宋体"/>
          <w:color w:val="000000"/>
          <w:sz w:val="24"/>
          <w:szCs w:val="24"/>
        </w:rPr>
        <w:t>供货期（含安装调试工期）：</w:t>
      </w:r>
      <w:bookmarkStart w:id="0" w:name="OLE_LINK1"/>
      <w:bookmarkStart w:id="1" w:name="OLE_LINK2"/>
      <w:r>
        <w:rPr>
          <w:rFonts w:ascii="Segoe UI" w:hAnsi="Segoe UI" w:eastAsia="宋体" w:cs="Segoe UI"/>
          <w:b/>
          <w:bCs/>
          <w:color w:val="000000"/>
          <w:kern w:val="0"/>
          <w:sz w:val="24"/>
          <w:szCs w:val="24"/>
        </w:rPr>
        <w:t>90 日历天</w:t>
      </w:r>
      <w:r>
        <w:rPr>
          <w:rFonts w:hint="eastAsia" w:ascii="宋体" w:hAnsi="宋体" w:eastAsia="宋体" w:cs="宋体"/>
          <w:color w:val="000000"/>
          <w:sz w:val="24"/>
          <w:szCs w:val="24"/>
        </w:rPr>
        <w:t>，签订合同且接到采购人通知后</w:t>
      </w:r>
      <w:r>
        <w:rPr>
          <w:rFonts w:ascii="宋体" w:hAnsi="宋体" w:eastAsia="宋体" w:cs="宋体"/>
          <w:color w:val="000000"/>
          <w:sz w:val="24"/>
          <w:szCs w:val="24"/>
        </w:rPr>
        <w:t>90</w:t>
      </w:r>
      <w:r>
        <w:rPr>
          <w:rFonts w:hint="eastAsia" w:ascii="宋体" w:hAnsi="宋体" w:eastAsia="宋体" w:cs="宋体"/>
          <w:color w:val="000000"/>
          <w:sz w:val="24"/>
          <w:szCs w:val="24"/>
        </w:rPr>
        <w:t xml:space="preserve"> 日历天内完成所有设备供货、安装、调试、</w:t>
      </w:r>
      <w:r>
        <w:rPr>
          <w:rFonts w:ascii="Segoe UI" w:hAnsi="Segoe UI" w:eastAsia="宋体" w:cs="Segoe UI"/>
          <w:color w:val="000000"/>
          <w:kern w:val="0"/>
          <w:sz w:val="24"/>
          <w:szCs w:val="24"/>
        </w:rPr>
        <w:t>验收并交付使用。</w:t>
      </w:r>
      <w:bookmarkEnd w:id="0"/>
      <w:bookmarkEnd w:id="1"/>
    </w:p>
    <w:p w14:paraId="04DB364B">
      <w:pPr>
        <w:pStyle w:val="15"/>
        <w:widowControl/>
        <w:numPr>
          <w:ilvl w:val="0"/>
          <w:numId w:val="1"/>
        </w:numPr>
        <w:spacing w:line="360" w:lineRule="atLeast"/>
        <w:ind w:firstLineChars="0"/>
        <w:jc w:val="left"/>
        <w:rPr>
          <w:rFonts w:ascii="Segoe UI" w:hAnsi="Segoe UI" w:eastAsia="宋体" w:cs="Segoe UI"/>
          <w:color w:val="000000"/>
          <w:kern w:val="0"/>
          <w:sz w:val="24"/>
          <w:szCs w:val="24"/>
        </w:rPr>
      </w:pPr>
      <w:r>
        <w:rPr>
          <w:rFonts w:hint="eastAsia" w:ascii="宋体" w:hAnsi="宋体" w:eastAsia="宋体" w:cs="宋体"/>
          <w:color w:val="000000"/>
          <w:sz w:val="24"/>
          <w:szCs w:val="24"/>
        </w:rPr>
        <w:t>质保期：</w:t>
      </w:r>
      <w:r>
        <w:rPr>
          <w:rFonts w:hint="eastAsia" w:ascii="宋体" w:hAnsi="宋体" w:eastAsia="宋体" w:cs="宋体"/>
          <w:color w:val="000000"/>
          <w:sz w:val="24"/>
          <w:szCs w:val="24"/>
          <w:lang w:val="en-US" w:eastAsia="zh-CN"/>
        </w:rPr>
        <w:t>符合国家相关规范标准要求</w:t>
      </w:r>
    </w:p>
    <w:p w14:paraId="06DD7325">
      <w:pPr>
        <w:pStyle w:val="15"/>
        <w:widowControl/>
        <w:numPr>
          <w:ilvl w:val="0"/>
          <w:numId w:val="0"/>
        </w:numPr>
        <w:spacing w:line="360" w:lineRule="atLeast"/>
        <w:ind w:left="142" w:leftChars="0"/>
        <w:jc w:val="left"/>
        <w:outlineLvl w:val="1"/>
        <w:rPr>
          <w:rFonts w:hint="eastAsia" w:ascii="Segoe UI" w:hAnsi="Segoe UI" w:eastAsia="宋体" w:cs="Segoe UI"/>
          <w:b/>
          <w:color w:val="000000"/>
          <w:kern w:val="0"/>
          <w:sz w:val="24"/>
          <w:szCs w:val="24"/>
          <w:lang w:val="en-US" w:eastAsia="zh-CN"/>
        </w:rPr>
      </w:pPr>
      <w:r>
        <w:rPr>
          <w:rFonts w:hint="eastAsia" w:ascii="Segoe UI" w:hAnsi="Segoe UI" w:eastAsia="宋体" w:cs="Segoe UI"/>
          <w:b/>
          <w:color w:val="000000"/>
          <w:kern w:val="0"/>
          <w:sz w:val="24"/>
          <w:szCs w:val="24"/>
          <w:lang w:val="en-US" w:eastAsia="zh-CN"/>
        </w:rPr>
        <w:t>四、维修内容及技术规格、数量、质保要求</w:t>
      </w:r>
    </w:p>
    <w:tbl>
      <w:tblPr>
        <w:tblStyle w:val="8"/>
        <w:tblW w:w="9634" w:type="dxa"/>
        <w:tblCellSpacing w:w="15" w:type="dxa"/>
        <w:tblInd w:w="-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94"/>
        <w:gridCol w:w="1869"/>
        <w:gridCol w:w="5245"/>
        <w:gridCol w:w="567"/>
        <w:gridCol w:w="567"/>
        <w:gridCol w:w="992"/>
      </w:tblGrid>
      <w:tr w14:paraId="215FA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Header/>
          <w:tblCellSpacing w:w="15" w:type="dxa"/>
        </w:trPr>
        <w:tc>
          <w:tcPr>
            <w:tcW w:w="0" w:type="auto"/>
            <w:tcBorders>
              <w:tl2br w:val="nil"/>
              <w:tr2bl w:val="nil"/>
            </w:tcBorders>
            <w:vAlign w:val="center"/>
          </w:tcPr>
          <w:p w14:paraId="70DB20EB">
            <w:pPr>
              <w:widowControl/>
              <w:spacing w:line="360" w:lineRule="atLeast"/>
              <w:jc w:val="left"/>
              <w:rPr>
                <w:rFonts w:ascii="Segoe UI" w:hAnsi="Segoe UI" w:eastAsia="宋体" w:cs="Segoe UI"/>
                <w:b/>
                <w:bCs/>
                <w:color w:val="000000"/>
                <w:kern w:val="0"/>
                <w:sz w:val="24"/>
                <w:szCs w:val="24"/>
              </w:rPr>
            </w:pPr>
            <w:r>
              <w:rPr>
                <w:rFonts w:ascii="Segoe UI" w:hAnsi="Segoe UI" w:eastAsia="宋体" w:cs="Segoe UI"/>
                <w:b/>
                <w:bCs/>
                <w:color w:val="000000"/>
                <w:kern w:val="0"/>
                <w:sz w:val="24"/>
                <w:szCs w:val="24"/>
              </w:rPr>
              <w:t>序号</w:t>
            </w:r>
          </w:p>
        </w:tc>
        <w:tc>
          <w:tcPr>
            <w:tcW w:w="1839" w:type="dxa"/>
            <w:tcBorders>
              <w:tl2br w:val="nil"/>
              <w:tr2bl w:val="nil"/>
            </w:tcBorders>
            <w:vAlign w:val="center"/>
          </w:tcPr>
          <w:p w14:paraId="063706C8">
            <w:pPr>
              <w:widowControl/>
              <w:spacing w:line="360" w:lineRule="atLeast"/>
              <w:jc w:val="left"/>
              <w:rPr>
                <w:rFonts w:ascii="Segoe UI" w:hAnsi="Segoe UI" w:eastAsia="宋体" w:cs="Segoe UI"/>
                <w:b/>
                <w:bCs/>
                <w:color w:val="000000"/>
                <w:kern w:val="0"/>
                <w:sz w:val="24"/>
                <w:szCs w:val="24"/>
              </w:rPr>
            </w:pPr>
            <w:r>
              <w:rPr>
                <w:rFonts w:ascii="Segoe UI" w:hAnsi="Segoe UI" w:eastAsia="宋体" w:cs="Segoe UI"/>
                <w:b/>
                <w:bCs/>
                <w:color w:val="000000"/>
                <w:kern w:val="0"/>
                <w:sz w:val="24"/>
                <w:szCs w:val="24"/>
              </w:rPr>
              <w:t>项目内容</w:t>
            </w:r>
          </w:p>
        </w:tc>
        <w:tc>
          <w:tcPr>
            <w:tcW w:w="5215" w:type="dxa"/>
            <w:tcBorders>
              <w:tl2br w:val="nil"/>
              <w:tr2bl w:val="nil"/>
            </w:tcBorders>
            <w:vAlign w:val="center"/>
          </w:tcPr>
          <w:p w14:paraId="6D74A118">
            <w:pPr>
              <w:widowControl/>
              <w:spacing w:line="360" w:lineRule="atLeast"/>
              <w:jc w:val="left"/>
              <w:rPr>
                <w:rFonts w:ascii="Segoe UI" w:hAnsi="Segoe UI" w:eastAsia="宋体" w:cs="Segoe UI"/>
                <w:b/>
                <w:bCs/>
                <w:color w:val="000000"/>
                <w:kern w:val="0"/>
                <w:sz w:val="24"/>
                <w:szCs w:val="24"/>
              </w:rPr>
            </w:pPr>
            <w:r>
              <w:rPr>
                <w:rFonts w:ascii="Segoe UI" w:hAnsi="Segoe UI" w:eastAsia="宋体" w:cs="Segoe UI"/>
                <w:b/>
                <w:bCs/>
                <w:color w:val="000000"/>
                <w:kern w:val="0"/>
                <w:sz w:val="24"/>
                <w:szCs w:val="24"/>
              </w:rPr>
              <w:t>技术规格及要求</w:t>
            </w:r>
          </w:p>
        </w:tc>
        <w:tc>
          <w:tcPr>
            <w:tcW w:w="537" w:type="dxa"/>
            <w:tcBorders>
              <w:tl2br w:val="nil"/>
              <w:tr2bl w:val="nil"/>
            </w:tcBorders>
            <w:vAlign w:val="center"/>
          </w:tcPr>
          <w:p w14:paraId="1AAC77C4">
            <w:pPr>
              <w:widowControl/>
              <w:spacing w:line="360" w:lineRule="atLeast"/>
              <w:jc w:val="left"/>
              <w:rPr>
                <w:rFonts w:ascii="Segoe UI" w:hAnsi="Segoe UI" w:eastAsia="宋体" w:cs="Segoe UI"/>
                <w:b/>
                <w:bCs/>
                <w:color w:val="000000"/>
                <w:kern w:val="0"/>
                <w:sz w:val="24"/>
                <w:szCs w:val="24"/>
              </w:rPr>
            </w:pPr>
            <w:r>
              <w:rPr>
                <w:rFonts w:ascii="Segoe UI" w:hAnsi="Segoe UI" w:eastAsia="宋体" w:cs="Segoe UI"/>
                <w:b/>
                <w:bCs/>
                <w:color w:val="000000"/>
                <w:kern w:val="0"/>
                <w:sz w:val="24"/>
                <w:szCs w:val="24"/>
              </w:rPr>
              <w:t>数量</w:t>
            </w:r>
          </w:p>
        </w:tc>
        <w:tc>
          <w:tcPr>
            <w:tcW w:w="537" w:type="dxa"/>
            <w:tcBorders>
              <w:tl2br w:val="nil"/>
              <w:tr2bl w:val="nil"/>
            </w:tcBorders>
            <w:vAlign w:val="center"/>
          </w:tcPr>
          <w:p w14:paraId="0A7ACBF4">
            <w:pPr>
              <w:widowControl/>
              <w:spacing w:line="360" w:lineRule="atLeast"/>
              <w:jc w:val="left"/>
              <w:rPr>
                <w:rFonts w:ascii="Segoe UI" w:hAnsi="Segoe UI" w:eastAsia="宋体" w:cs="Segoe UI"/>
                <w:b/>
                <w:bCs/>
                <w:color w:val="000000"/>
                <w:kern w:val="0"/>
                <w:sz w:val="24"/>
                <w:szCs w:val="24"/>
              </w:rPr>
            </w:pPr>
            <w:r>
              <w:rPr>
                <w:rFonts w:ascii="Segoe UI" w:hAnsi="Segoe UI" w:eastAsia="宋体" w:cs="Segoe UI"/>
                <w:b/>
                <w:bCs/>
                <w:color w:val="000000"/>
                <w:kern w:val="0"/>
                <w:sz w:val="24"/>
                <w:szCs w:val="24"/>
              </w:rPr>
              <w:t>单位</w:t>
            </w:r>
          </w:p>
        </w:tc>
        <w:tc>
          <w:tcPr>
            <w:tcW w:w="947" w:type="dxa"/>
            <w:tcBorders>
              <w:tl2br w:val="nil"/>
              <w:tr2bl w:val="nil"/>
            </w:tcBorders>
            <w:vAlign w:val="center"/>
          </w:tcPr>
          <w:p w14:paraId="2855CD28">
            <w:pPr>
              <w:widowControl/>
              <w:spacing w:line="360" w:lineRule="atLeast"/>
              <w:jc w:val="left"/>
              <w:rPr>
                <w:rFonts w:ascii="Segoe UI" w:hAnsi="Segoe UI" w:eastAsia="宋体" w:cs="Segoe UI"/>
                <w:b/>
                <w:bCs/>
                <w:color w:val="000000"/>
                <w:kern w:val="0"/>
                <w:sz w:val="24"/>
                <w:szCs w:val="24"/>
              </w:rPr>
            </w:pPr>
            <w:r>
              <w:rPr>
                <w:rFonts w:ascii="Segoe UI" w:hAnsi="Segoe UI" w:eastAsia="宋体" w:cs="Segoe UI"/>
                <w:b/>
                <w:bCs/>
                <w:color w:val="000000"/>
                <w:kern w:val="0"/>
                <w:sz w:val="24"/>
                <w:szCs w:val="24"/>
              </w:rPr>
              <w:t>质保期</w:t>
            </w:r>
          </w:p>
        </w:tc>
      </w:tr>
      <w:tr w14:paraId="3525B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2AA4551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1839" w:type="dxa"/>
            <w:tcBorders>
              <w:tl2br w:val="nil"/>
              <w:tr2bl w:val="nil"/>
            </w:tcBorders>
            <w:vAlign w:val="center"/>
          </w:tcPr>
          <w:p w14:paraId="5679C61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压缩腔体更换</w:t>
            </w:r>
          </w:p>
        </w:tc>
        <w:tc>
          <w:tcPr>
            <w:tcW w:w="5215" w:type="dxa"/>
            <w:tcBorders>
              <w:tl2br w:val="nil"/>
              <w:tr2bl w:val="nil"/>
            </w:tcBorders>
            <w:vAlign w:val="center"/>
          </w:tcPr>
          <w:p w14:paraId="74CA975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按设备工况优化设计，采用 Q355 耐磨钢板定制全新压缩腔体，主体板材厚度</w:t>
            </w:r>
            <w:r>
              <w:rPr>
                <w:rFonts w:ascii="微软雅黑" w:hAnsi="微软雅黑" w:eastAsia="微软雅黑" w:cs="微软雅黑"/>
                <w:color w:val="000000"/>
                <w:kern w:val="0"/>
                <w:sz w:val="24"/>
                <w:szCs w:val="24"/>
              </w:rPr>
              <w:t>≧</w:t>
            </w:r>
            <w:r>
              <w:rPr>
                <w:rFonts w:ascii="Segoe UI" w:hAnsi="Segoe UI" w:eastAsia="宋体" w:cs="Segoe UI"/>
                <w:color w:val="000000"/>
                <w:kern w:val="0"/>
                <w:sz w:val="24"/>
                <w:szCs w:val="24"/>
              </w:rPr>
              <w:t>16mm，外形尺寸 3600</w:t>
            </w:r>
            <w:r>
              <w:rPr>
                <w:rFonts w:ascii="Segoe UI" w:hAnsi="Segoe UI" w:eastAsia="宋体" w:cs="Segoe UI"/>
                <w:i/>
                <w:iCs/>
                <w:color w:val="000000"/>
                <w:kern w:val="0"/>
                <w:sz w:val="24"/>
                <w:szCs w:val="24"/>
              </w:rPr>
              <w:t>2300</w:t>
            </w:r>
            <w:r>
              <w:rPr>
                <w:rFonts w:ascii="Segoe UI" w:hAnsi="Segoe UI" w:eastAsia="宋体" w:cs="Segoe UI"/>
                <w:color w:val="000000"/>
                <w:kern w:val="0"/>
                <w:sz w:val="24"/>
                <w:szCs w:val="24"/>
              </w:rPr>
              <w:t>1950；</w:t>
            </w:r>
          </w:p>
          <w:p w14:paraId="67E2C77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底板矩阵式带孔滤水结构，孔径不小于 10mm；</w:t>
            </w:r>
          </w:p>
          <w:p w14:paraId="0CD4D91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现场气割拆除原变形腔体，新腔体现场焊接装配，达到原设计运行标准。</w:t>
            </w:r>
          </w:p>
        </w:tc>
        <w:tc>
          <w:tcPr>
            <w:tcW w:w="537" w:type="dxa"/>
            <w:tcBorders>
              <w:tl2br w:val="nil"/>
              <w:tr2bl w:val="nil"/>
            </w:tcBorders>
            <w:vAlign w:val="center"/>
          </w:tcPr>
          <w:p w14:paraId="16395EF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14C97DD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套</w:t>
            </w:r>
          </w:p>
        </w:tc>
        <w:tc>
          <w:tcPr>
            <w:tcW w:w="947" w:type="dxa"/>
            <w:tcBorders>
              <w:tl2br w:val="nil"/>
              <w:tr2bl w:val="nil"/>
            </w:tcBorders>
            <w:vAlign w:val="center"/>
          </w:tcPr>
          <w:p w14:paraId="7A23BE4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年</w:t>
            </w:r>
          </w:p>
        </w:tc>
      </w:tr>
      <w:tr w14:paraId="6A42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31A1833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1839" w:type="dxa"/>
            <w:tcBorders>
              <w:tl2br w:val="nil"/>
              <w:tr2bl w:val="nil"/>
            </w:tcBorders>
            <w:vAlign w:val="center"/>
          </w:tcPr>
          <w:p w14:paraId="1D9B551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提门和闸门支架更换</w:t>
            </w:r>
          </w:p>
        </w:tc>
        <w:tc>
          <w:tcPr>
            <w:tcW w:w="5215" w:type="dxa"/>
            <w:tcBorders>
              <w:tl2br w:val="nil"/>
              <w:tr2bl w:val="nil"/>
            </w:tcBorders>
            <w:vAlign w:val="center"/>
          </w:tcPr>
          <w:p w14:paraId="60E4D7E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现场拆除原变形支架，清理基面，定位焊接装配，校准同轴度、垂直度；</w:t>
            </w:r>
          </w:p>
          <w:p w14:paraId="7D2FC3C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与闸门、油缸联动试装，启闭无卡滞、无偏移。</w:t>
            </w:r>
          </w:p>
        </w:tc>
        <w:tc>
          <w:tcPr>
            <w:tcW w:w="537" w:type="dxa"/>
            <w:tcBorders>
              <w:tl2br w:val="nil"/>
              <w:tr2bl w:val="nil"/>
            </w:tcBorders>
            <w:vAlign w:val="center"/>
          </w:tcPr>
          <w:p w14:paraId="37BAD02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1099CFB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套</w:t>
            </w:r>
          </w:p>
        </w:tc>
        <w:tc>
          <w:tcPr>
            <w:tcW w:w="947" w:type="dxa"/>
            <w:tcBorders>
              <w:tl2br w:val="nil"/>
              <w:tr2bl w:val="nil"/>
            </w:tcBorders>
            <w:vAlign w:val="center"/>
          </w:tcPr>
          <w:p w14:paraId="46669EA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4A36F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4C93BE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w:t>
            </w:r>
          </w:p>
        </w:tc>
        <w:tc>
          <w:tcPr>
            <w:tcW w:w="1839" w:type="dxa"/>
            <w:tcBorders>
              <w:tl2br w:val="nil"/>
              <w:tr2bl w:val="nil"/>
            </w:tcBorders>
            <w:vAlign w:val="center"/>
          </w:tcPr>
          <w:p w14:paraId="5C80972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提门油缸更换</w:t>
            </w:r>
          </w:p>
        </w:tc>
        <w:tc>
          <w:tcPr>
            <w:tcW w:w="5215" w:type="dxa"/>
            <w:tcBorders>
              <w:tl2br w:val="nil"/>
              <w:tr2bl w:val="nil"/>
            </w:tcBorders>
            <w:vAlign w:val="center"/>
          </w:tcPr>
          <w:p w14:paraId="4FA3237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现场拆卸更换全新适配油缸，性能达标，联动调试保压合格、无内外泄漏。</w:t>
            </w:r>
          </w:p>
        </w:tc>
        <w:tc>
          <w:tcPr>
            <w:tcW w:w="537" w:type="dxa"/>
            <w:tcBorders>
              <w:tl2br w:val="nil"/>
              <w:tr2bl w:val="nil"/>
            </w:tcBorders>
            <w:vAlign w:val="center"/>
          </w:tcPr>
          <w:p w14:paraId="62534C0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7B8F4DE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条</w:t>
            </w:r>
          </w:p>
        </w:tc>
        <w:tc>
          <w:tcPr>
            <w:tcW w:w="947" w:type="dxa"/>
            <w:tcBorders>
              <w:tl2br w:val="nil"/>
              <w:tr2bl w:val="nil"/>
            </w:tcBorders>
            <w:vAlign w:val="center"/>
          </w:tcPr>
          <w:p w14:paraId="342252B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37656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D465C6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1839" w:type="dxa"/>
            <w:tcBorders>
              <w:tl2br w:val="nil"/>
              <w:tr2bl w:val="nil"/>
            </w:tcBorders>
            <w:vAlign w:val="center"/>
          </w:tcPr>
          <w:p w14:paraId="68F70D3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闸门维修</w:t>
            </w:r>
          </w:p>
        </w:tc>
        <w:tc>
          <w:tcPr>
            <w:tcW w:w="5215" w:type="dxa"/>
            <w:tcBorders>
              <w:tl2br w:val="nil"/>
              <w:tr2bl w:val="nil"/>
            </w:tcBorders>
            <w:vAlign w:val="center"/>
          </w:tcPr>
          <w:p w14:paraId="2E2A548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拆除变形闸门，工装校正平面度、垂直度，修复翘曲变形；</w:t>
            </w:r>
          </w:p>
          <w:p w14:paraId="3B2B52D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磨损腐蚀部位补焊、打磨、防腐处理；</w:t>
            </w:r>
          </w:p>
          <w:p w14:paraId="04C719F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回装联动调试，启闭顺畅、密封达标。</w:t>
            </w:r>
          </w:p>
        </w:tc>
        <w:tc>
          <w:tcPr>
            <w:tcW w:w="537" w:type="dxa"/>
            <w:tcBorders>
              <w:tl2br w:val="nil"/>
              <w:tr2bl w:val="nil"/>
            </w:tcBorders>
            <w:vAlign w:val="center"/>
          </w:tcPr>
          <w:p w14:paraId="04EA004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4E64D6D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2D9EB6B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34F16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2998BD0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5</w:t>
            </w:r>
          </w:p>
        </w:tc>
        <w:tc>
          <w:tcPr>
            <w:tcW w:w="1839" w:type="dxa"/>
            <w:tcBorders>
              <w:tl2br w:val="nil"/>
              <w:tr2bl w:val="nil"/>
            </w:tcBorders>
            <w:vAlign w:val="center"/>
          </w:tcPr>
          <w:p w14:paraId="1E20A5B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闸门油缸更换</w:t>
            </w:r>
          </w:p>
        </w:tc>
        <w:tc>
          <w:tcPr>
            <w:tcW w:w="5215" w:type="dxa"/>
            <w:tcBorders>
              <w:tl2br w:val="nil"/>
              <w:tr2bl w:val="nil"/>
            </w:tcBorders>
            <w:vAlign w:val="center"/>
          </w:tcPr>
          <w:p w14:paraId="50EEEFD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现场更换全新适配油缸，联动调试运行稳定、保压无渗漏。</w:t>
            </w:r>
          </w:p>
        </w:tc>
        <w:tc>
          <w:tcPr>
            <w:tcW w:w="537" w:type="dxa"/>
            <w:tcBorders>
              <w:tl2br w:val="nil"/>
              <w:tr2bl w:val="nil"/>
            </w:tcBorders>
            <w:vAlign w:val="center"/>
          </w:tcPr>
          <w:p w14:paraId="7987970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2C40994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条</w:t>
            </w:r>
          </w:p>
        </w:tc>
        <w:tc>
          <w:tcPr>
            <w:tcW w:w="947" w:type="dxa"/>
            <w:tcBorders>
              <w:tl2br w:val="nil"/>
              <w:tr2bl w:val="nil"/>
            </w:tcBorders>
            <w:vAlign w:val="center"/>
          </w:tcPr>
          <w:p w14:paraId="7C50AA7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E64C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222F361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6</w:t>
            </w:r>
          </w:p>
        </w:tc>
        <w:tc>
          <w:tcPr>
            <w:tcW w:w="1839" w:type="dxa"/>
            <w:tcBorders>
              <w:tl2br w:val="nil"/>
              <w:tr2bl w:val="nil"/>
            </w:tcBorders>
            <w:vAlign w:val="center"/>
          </w:tcPr>
          <w:p w14:paraId="2FCB3F6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推拉机构更换</w:t>
            </w:r>
          </w:p>
        </w:tc>
        <w:tc>
          <w:tcPr>
            <w:tcW w:w="5215" w:type="dxa"/>
            <w:tcBorders>
              <w:tl2br w:val="nil"/>
              <w:tr2bl w:val="nil"/>
            </w:tcBorders>
            <w:vAlign w:val="center"/>
          </w:tcPr>
          <w:p w14:paraId="2972741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全新制作推拉箱机构，关键受力部位强化处理；</w:t>
            </w:r>
          </w:p>
          <w:p w14:paraId="03F4545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现场拆除旧机构，清理基面，新机构焊接装配、校准精度；</w:t>
            </w:r>
          </w:p>
          <w:p w14:paraId="717898D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联动调试推拉行程、对位精度符合设备要求。</w:t>
            </w:r>
          </w:p>
        </w:tc>
        <w:tc>
          <w:tcPr>
            <w:tcW w:w="537" w:type="dxa"/>
            <w:tcBorders>
              <w:tl2br w:val="nil"/>
              <w:tr2bl w:val="nil"/>
            </w:tcBorders>
            <w:vAlign w:val="center"/>
          </w:tcPr>
          <w:p w14:paraId="3658534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20D19C6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套</w:t>
            </w:r>
          </w:p>
        </w:tc>
        <w:tc>
          <w:tcPr>
            <w:tcW w:w="947" w:type="dxa"/>
            <w:tcBorders>
              <w:tl2br w:val="nil"/>
              <w:tr2bl w:val="nil"/>
            </w:tcBorders>
            <w:vAlign w:val="center"/>
          </w:tcPr>
          <w:p w14:paraId="0649A4F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DA50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7C6E3C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7</w:t>
            </w:r>
          </w:p>
        </w:tc>
        <w:tc>
          <w:tcPr>
            <w:tcW w:w="1839" w:type="dxa"/>
            <w:tcBorders>
              <w:tl2br w:val="nil"/>
              <w:tr2bl w:val="nil"/>
            </w:tcBorders>
            <w:vAlign w:val="center"/>
          </w:tcPr>
          <w:p w14:paraId="7309BA8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推拉油缸更换</w:t>
            </w:r>
          </w:p>
        </w:tc>
        <w:tc>
          <w:tcPr>
            <w:tcW w:w="5215" w:type="dxa"/>
            <w:tcBorders>
              <w:tl2br w:val="nil"/>
              <w:tr2bl w:val="nil"/>
            </w:tcBorders>
            <w:vAlign w:val="center"/>
          </w:tcPr>
          <w:p w14:paraId="04F8D9B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更换全新适配推拉油缸，安装调试动作精准、保压稳定无渗漏。</w:t>
            </w:r>
          </w:p>
        </w:tc>
        <w:tc>
          <w:tcPr>
            <w:tcW w:w="537" w:type="dxa"/>
            <w:tcBorders>
              <w:tl2br w:val="nil"/>
              <w:tr2bl w:val="nil"/>
            </w:tcBorders>
            <w:vAlign w:val="center"/>
          </w:tcPr>
          <w:p w14:paraId="6AE4E56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54167FE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46FF901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33F79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63D55E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8</w:t>
            </w:r>
          </w:p>
        </w:tc>
        <w:tc>
          <w:tcPr>
            <w:tcW w:w="1839" w:type="dxa"/>
            <w:tcBorders>
              <w:tl2br w:val="nil"/>
              <w:tr2bl w:val="nil"/>
            </w:tcBorders>
            <w:vAlign w:val="center"/>
          </w:tcPr>
          <w:p w14:paraId="68569B0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抱钩锁箱机构更换</w:t>
            </w:r>
          </w:p>
        </w:tc>
        <w:tc>
          <w:tcPr>
            <w:tcW w:w="5215" w:type="dxa"/>
            <w:tcBorders>
              <w:tl2br w:val="nil"/>
              <w:tr2bl w:val="nil"/>
            </w:tcBorders>
            <w:vAlign w:val="center"/>
          </w:tcPr>
          <w:p w14:paraId="2EA70B9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全新制作抱钩锁箱机构，更换全套高强度合金钢耐磨销轴；</w:t>
            </w:r>
          </w:p>
          <w:p w14:paraId="784DE5D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装配后锁止、解锁联动调试，锁止可靠、解锁顺畅。</w:t>
            </w:r>
          </w:p>
        </w:tc>
        <w:tc>
          <w:tcPr>
            <w:tcW w:w="537" w:type="dxa"/>
            <w:tcBorders>
              <w:tl2br w:val="nil"/>
              <w:tr2bl w:val="nil"/>
            </w:tcBorders>
            <w:vAlign w:val="center"/>
          </w:tcPr>
          <w:p w14:paraId="7668C8C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38ECDEE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套</w:t>
            </w:r>
          </w:p>
        </w:tc>
        <w:tc>
          <w:tcPr>
            <w:tcW w:w="947" w:type="dxa"/>
            <w:tcBorders>
              <w:tl2br w:val="nil"/>
              <w:tr2bl w:val="nil"/>
            </w:tcBorders>
            <w:vAlign w:val="center"/>
          </w:tcPr>
          <w:p w14:paraId="6389FCC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3BCEB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71C9F3E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9</w:t>
            </w:r>
          </w:p>
        </w:tc>
        <w:tc>
          <w:tcPr>
            <w:tcW w:w="1839" w:type="dxa"/>
            <w:tcBorders>
              <w:tl2br w:val="nil"/>
              <w:tr2bl w:val="nil"/>
            </w:tcBorders>
            <w:vAlign w:val="center"/>
          </w:tcPr>
          <w:p w14:paraId="48CA640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抱勾油缸更换</w:t>
            </w:r>
          </w:p>
        </w:tc>
        <w:tc>
          <w:tcPr>
            <w:tcW w:w="5215" w:type="dxa"/>
            <w:tcBorders>
              <w:tl2br w:val="nil"/>
              <w:tr2bl w:val="nil"/>
            </w:tcBorders>
            <w:vAlign w:val="center"/>
          </w:tcPr>
          <w:p w14:paraId="23C889D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现场更换全新适配油缸，调试运行平稳、无泄漏。</w:t>
            </w:r>
          </w:p>
        </w:tc>
        <w:tc>
          <w:tcPr>
            <w:tcW w:w="537" w:type="dxa"/>
            <w:tcBorders>
              <w:tl2br w:val="nil"/>
              <w:tr2bl w:val="nil"/>
            </w:tcBorders>
            <w:vAlign w:val="center"/>
          </w:tcPr>
          <w:p w14:paraId="4D5E35C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37591EE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个</w:t>
            </w:r>
          </w:p>
        </w:tc>
        <w:tc>
          <w:tcPr>
            <w:tcW w:w="947" w:type="dxa"/>
            <w:tcBorders>
              <w:tl2br w:val="nil"/>
              <w:tr2bl w:val="nil"/>
            </w:tcBorders>
            <w:vAlign w:val="center"/>
          </w:tcPr>
          <w:p w14:paraId="7B8B511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31A21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69AA160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10</w:t>
            </w:r>
          </w:p>
        </w:tc>
        <w:tc>
          <w:tcPr>
            <w:tcW w:w="1839" w:type="dxa"/>
            <w:tcBorders>
              <w:tl2br w:val="nil"/>
              <w:tr2bl w:val="nil"/>
            </w:tcBorders>
            <w:vAlign w:val="center"/>
          </w:tcPr>
          <w:p w14:paraId="2FD8C2F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压缩腔底部增加排水槽</w:t>
            </w:r>
          </w:p>
        </w:tc>
        <w:tc>
          <w:tcPr>
            <w:tcW w:w="5215" w:type="dxa"/>
            <w:tcBorders>
              <w:tl2br w:val="nil"/>
              <w:tr2bl w:val="nil"/>
            </w:tcBorders>
            <w:vAlign w:val="center"/>
          </w:tcPr>
          <w:p w14:paraId="0081A21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定制整体式 304 不锈钢接漏水槽，与腔体完全适配；</w:t>
            </w:r>
          </w:p>
          <w:p w14:paraId="5ED218F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水槽焊接密封，配套排污管路接入站区污水收集系统；</w:t>
            </w:r>
          </w:p>
          <w:p w14:paraId="5704510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水槽前端增设冲洗水窗口。</w:t>
            </w:r>
          </w:p>
        </w:tc>
        <w:tc>
          <w:tcPr>
            <w:tcW w:w="537" w:type="dxa"/>
            <w:tcBorders>
              <w:tl2br w:val="nil"/>
              <w:tr2bl w:val="nil"/>
            </w:tcBorders>
            <w:vAlign w:val="center"/>
          </w:tcPr>
          <w:p w14:paraId="46FEADD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6ED5504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6B83E40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74AE5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A603B9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11</w:t>
            </w:r>
          </w:p>
        </w:tc>
        <w:tc>
          <w:tcPr>
            <w:tcW w:w="1839" w:type="dxa"/>
            <w:tcBorders>
              <w:tl2br w:val="nil"/>
              <w:tr2bl w:val="nil"/>
            </w:tcBorders>
            <w:vAlign w:val="center"/>
          </w:tcPr>
          <w:p w14:paraId="22D2BA0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压缩腔底部液压油管重布</w:t>
            </w:r>
          </w:p>
        </w:tc>
        <w:tc>
          <w:tcPr>
            <w:tcW w:w="5215" w:type="dxa"/>
            <w:tcBorders>
              <w:tl2br w:val="nil"/>
              <w:tr2bl w:val="nil"/>
            </w:tcBorders>
            <w:vAlign w:val="center"/>
          </w:tcPr>
          <w:p w14:paraId="3F0DD4C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按新腔体重新规划管路，采用高压无缝钢管 + 耐磨高压软管布设；</w:t>
            </w:r>
          </w:p>
          <w:p w14:paraId="2C8B926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拆除老化管路，全套更换管路、接头、管夹，规范防护固定；</w:t>
            </w:r>
          </w:p>
          <w:p w14:paraId="7B18103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耐压试压无渗漏，联动调试合格。</w:t>
            </w:r>
          </w:p>
        </w:tc>
        <w:tc>
          <w:tcPr>
            <w:tcW w:w="537" w:type="dxa"/>
            <w:tcBorders>
              <w:tl2br w:val="nil"/>
              <w:tr2bl w:val="nil"/>
            </w:tcBorders>
            <w:vAlign w:val="center"/>
          </w:tcPr>
          <w:p w14:paraId="1CDCDE6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57A6D6A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1E937A9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0D2FA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20E777E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12</w:t>
            </w:r>
          </w:p>
        </w:tc>
        <w:tc>
          <w:tcPr>
            <w:tcW w:w="1839" w:type="dxa"/>
            <w:tcBorders>
              <w:tl2br w:val="nil"/>
              <w:tr2bl w:val="nil"/>
            </w:tcBorders>
            <w:vAlign w:val="center"/>
          </w:tcPr>
          <w:p w14:paraId="235E491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推头底部增加滚轮及支撑</w:t>
            </w:r>
          </w:p>
        </w:tc>
        <w:tc>
          <w:tcPr>
            <w:tcW w:w="5215" w:type="dxa"/>
            <w:tcBorders>
              <w:tl2br w:val="nil"/>
              <w:tr2bl w:val="nil"/>
            </w:tcBorders>
            <w:vAlign w:val="center"/>
          </w:tcPr>
          <w:p w14:paraId="7B0DABD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改造推头底部，加装高强度耐磨滚轮及支撑，改滑动摩擦为滚动摩擦；</w:t>
            </w:r>
          </w:p>
          <w:p w14:paraId="061783B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耐磨钢材制作，出厂载荷测试满足承载要求；</w:t>
            </w:r>
          </w:p>
          <w:p w14:paraId="6123651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现场校准水平度、同轴度，全行程运行顺畅。</w:t>
            </w:r>
          </w:p>
        </w:tc>
        <w:tc>
          <w:tcPr>
            <w:tcW w:w="537" w:type="dxa"/>
            <w:tcBorders>
              <w:tl2br w:val="nil"/>
              <w:tr2bl w:val="nil"/>
            </w:tcBorders>
            <w:vAlign w:val="center"/>
          </w:tcPr>
          <w:p w14:paraId="650EEFC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12</w:t>
            </w:r>
          </w:p>
        </w:tc>
        <w:tc>
          <w:tcPr>
            <w:tcW w:w="537" w:type="dxa"/>
            <w:tcBorders>
              <w:tl2br w:val="nil"/>
              <w:tr2bl w:val="nil"/>
            </w:tcBorders>
            <w:vAlign w:val="center"/>
          </w:tcPr>
          <w:p w14:paraId="4C80E6B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个</w:t>
            </w:r>
          </w:p>
        </w:tc>
        <w:tc>
          <w:tcPr>
            <w:tcW w:w="947" w:type="dxa"/>
            <w:tcBorders>
              <w:tl2br w:val="nil"/>
              <w:tr2bl w:val="nil"/>
            </w:tcBorders>
            <w:vAlign w:val="center"/>
          </w:tcPr>
          <w:p w14:paraId="4C762B7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20C33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A6F318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13</w:t>
            </w:r>
          </w:p>
        </w:tc>
        <w:tc>
          <w:tcPr>
            <w:tcW w:w="1839" w:type="dxa"/>
            <w:tcBorders>
              <w:tl2br w:val="nil"/>
              <w:tr2bl w:val="nil"/>
            </w:tcBorders>
            <w:vAlign w:val="center"/>
          </w:tcPr>
          <w:p w14:paraId="5B54C0B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推头底部增加垃圾刮板</w:t>
            </w:r>
          </w:p>
        </w:tc>
        <w:tc>
          <w:tcPr>
            <w:tcW w:w="5215" w:type="dxa"/>
            <w:tcBorders>
              <w:tl2br w:val="nil"/>
              <w:tr2bl w:val="nil"/>
            </w:tcBorders>
            <w:vAlign w:val="center"/>
          </w:tcPr>
          <w:p w14:paraId="18C4004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定制刮板与推头底部适配；</w:t>
            </w:r>
          </w:p>
          <w:p w14:paraId="30D6D59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现场安装校准间隙，可彻底清理腔体底部残留垃圾。</w:t>
            </w:r>
          </w:p>
        </w:tc>
        <w:tc>
          <w:tcPr>
            <w:tcW w:w="537" w:type="dxa"/>
            <w:tcBorders>
              <w:tl2br w:val="nil"/>
              <w:tr2bl w:val="nil"/>
            </w:tcBorders>
            <w:vAlign w:val="center"/>
          </w:tcPr>
          <w:p w14:paraId="228195C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16</w:t>
            </w:r>
          </w:p>
        </w:tc>
        <w:tc>
          <w:tcPr>
            <w:tcW w:w="537" w:type="dxa"/>
            <w:tcBorders>
              <w:tl2br w:val="nil"/>
              <w:tr2bl w:val="nil"/>
            </w:tcBorders>
            <w:vAlign w:val="center"/>
          </w:tcPr>
          <w:p w14:paraId="43283C9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个</w:t>
            </w:r>
          </w:p>
        </w:tc>
        <w:tc>
          <w:tcPr>
            <w:tcW w:w="947" w:type="dxa"/>
            <w:tcBorders>
              <w:tl2br w:val="nil"/>
              <w:tr2bl w:val="nil"/>
            </w:tcBorders>
            <w:vAlign w:val="center"/>
          </w:tcPr>
          <w:p w14:paraId="054236D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6000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2C7F33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14</w:t>
            </w:r>
          </w:p>
        </w:tc>
        <w:tc>
          <w:tcPr>
            <w:tcW w:w="1839" w:type="dxa"/>
            <w:tcBorders>
              <w:tl2br w:val="nil"/>
              <w:tr2bl w:val="nil"/>
            </w:tcBorders>
            <w:vAlign w:val="center"/>
          </w:tcPr>
          <w:p w14:paraId="333ED58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推压头前端侧滑块</w:t>
            </w:r>
          </w:p>
        </w:tc>
        <w:tc>
          <w:tcPr>
            <w:tcW w:w="5215" w:type="dxa"/>
            <w:tcBorders>
              <w:tl2br w:val="nil"/>
              <w:tr2bl w:val="nil"/>
            </w:tcBorders>
            <w:vAlign w:val="center"/>
          </w:tcPr>
          <w:p w14:paraId="390CF3D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定制耐磨高分子自润滑滑块；</w:t>
            </w:r>
          </w:p>
          <w:p w14:paraId="548DDEB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更换旧滑块，精准装配校准间隙与平行度；</w:t>
            </w:r>
          </w:p>
          <w:p w14:paraId="3B8DC3C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全行程运行顺畅无偏磨。</w:t>
            </w:r>
          </w:p>
        </w:tc>
        <w:tc>
          <w:tcPr>
            <w:tcW w:w="537" w:type="dxa"/>
            <w:tcBorders>
              <w:tl2br w:val="nil"/>
              <w:tr2bl w:val="nil"/>
            </w:tcBorders>
            <w:vAlign w:val="center"/>
          </w:tcPr>
          <w:p w14:paraId="285D390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775D4E6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块</w:t>
            </w:r>
          </w:p>
        </w:tc>
        <w:tc>
          <w:tcPr>
            <w:tcW w:w="947" w:type="dxa"/>
            <w:tcBorders>
              <w:tl2br w:val="nil"/>
              <w:tr2bl w:val="nil"/>
            </w:tcBorders>
            <w:vAlign w:val="center"/>
          </w:tcPr>
          <w:p w14:paraId="642A7ED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2C0AC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67D349C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15</w:t>
            </w:r>
          </w:p>
        </w:tc>
        <w:tc>
          <w:tcPr>
            <w:tcW w:w="1839" w:type="dxa"/>
            <w:tcBorders>
              <w:tl2br w:val="nil"/>
              <w:tr2bl w:val="nil"/>
            </w:tcBorders>
            <w:vAlign w:val="center"/>
          </w:tcPr>
          <w:p w14:paraId="7A3BE81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推压头后端上滑块</w:t>
            </w:r>
          </w:p>
        </w:tc>
        <w:tc>
          <w:tcPr>
            <w:tcW w:w="5215" w:type="dxa"/>
            <w:tcBorders>
              <w:tl2br w:val="nil"/>
              <w:tr2bl w:val="nil"/>
            </w:tcBorders>
            <w:vAlign w:val="center"/>
          </w:tcPr>
          <w:p w14:paraId="7912F00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同前端侧滑块技术标准要求</w:t>
            </w:r>
          </w:p>
        </w:tc>
        <w:tc>
          <w:tcPr>
            <w:tcW w:w="537" w:type="dxa"/>
            <w:tcBorders>
              <w:tl2br w:val="nil"/>
              <w:tr2bl w:val="nil"/>
            </w:tcBorders>
            <w:vAlign w:val="center"/>
          </w:tcPr>
          <w:p w14:paraId="7895095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4780F53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块</w:t>
            </w:r>
          </w:p>
        </w:tc>
        <w:tc>
          <w:tcPr>
            <w:tcW w:w="947" w:type="dxa"/>
            <w:tcBorders>
              <w:tl2br w:val="nil"/>
              <w:tr2bl w:val="nil"/>
            </w:tcBorders>
            <w:vAlign w:val="center"/>
          </w:tcPr>
          <w:p w14:paraId="78C5B4E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2B731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224ABCA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16</w:t>
            </w:r>
          </w:p>
        </w:tc>
        <w:tc>
          <w:tcPr>
            <w:tcW w:w="1839" w:type="dxa"/>
            <w:tcBorders>
              <w:tl2br w:val="nil"/>
              <w:tr2bl w:val="nil"/>
            </w:tcBorders>
            <w:vAlign w:val="center"/>
          </w:tcPr>
          <w:p w14:paraId="6824E9D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推压头侧板补差</w:t>
            </w:r>
          </w:p>
        </w:tc>
        <w:tc>
          <w:tcPr>
            <w:tcW w:w="5215" w:type="dxa"/>
            <w:tcBorders>
              <w:tl2br w:val="nil"/>
              <w:tr2bl w:val="nil"/>
            </w:tcBorders>
            <w:vAlign w:val="center"/>
          </w:tcPr>
          <w:p w14:paraId="2228EF0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采用 6~8mm 耐磨钢板预制补差板；</w:t>
            </w:r>
          </w:p>
          <w:p w14:paraId="3735C60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磨损部位清理打磨，焊接补差、整平校准；</w:t>
            </w:r>
          </w:p>
          <w:p w14:paraId="4C6EC4D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防腐处理，运行测试合格。</w:t>
            </w:r>
          </w:p>
        </w:tc>
        <w:tc>
          <w:tcPr>
            <w:tcW w:w="537" w:type="dxa"/>
            <w:tcBorders>
              <w:tl2br w:val="nil"/>
              <w:tr2bl w:val="nil"/>
            </w:tcBorders>
            <w:vAlign w:val="center"/>
          </w:tcPr>
          <w:p w14:paraId="2B3A46A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67ECCB1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05A6120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8A9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4599D57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17</w:t>
            </w:r>
          </w:p>
        </w:tc>
        <w:tc>
          <w:tcPr>
            <w:tcW w:w="1839" w:type="dxa"/>
            <w:tcBorders>
              <w:tl2br w:val="nil"/>
              <w:tr2bl w:val="nil"/>
            </w:tcBorders>
            <w:vAlign w:val="center"/>
          </w:tcPr>
          <w:p w14:paraId="06FE438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更换推压头顶部橡胶刮板</w:t>
            </w:r>
          </w:p>
        </w:tc>
        <w:tc>
          <w:tcPr>
            <w:tcW w:w="5215" w:type="dxa"/>
            <w:tcBorders>
              <w:tl2br w:val="nil"/>
              <w:tr2bl w:val="nil"/>
            </w:tcBorders>
            <w:vAlign w:val="center"/>
          </w:tcPr>
          <w:p w14:paraId="3D4393F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定制高弹性耐磨抗撕裂橡胶刮板；</w:t>
            </w:r>
          </w:p>
          <w:p w14:paraId="0A14F3B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更换旧刮板，紧固安装、校准贴合度；</w:t>
            </w:r>
          </w:p>
          <w:p w14:paraId="656D9A2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测试清料效果达标。</w:t>
            </w:r>
          </w:p>
        </w:tc>
        <w:tc>
          <w:tcPr>
            <w:tcW w:w="537" w:type="dxa"/>
            <w:tcBorders>
              <w:tl2br w:val="nil"/>
              <w:tr2bl w:val="nil"/>
            </w:tcBorders>
            <w:vAlign w:val="center"/>
          </w:tcPr>
          <w:p w14:paraId="457A119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789672C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049C12D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542F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62853FE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18</w:t>
            </w:r>
          </w:p>
        </w:tc>
        <w:tc>
          <w:tcPr>
            <w:tcW w:w="1839" w:type="dxa"/>
            <w:tcBorders>
              <w:tl2br w:val="nil"/>
              <w:tr2bl w:val="nil"/>
            </w:tcBorders>
            <w:vAlign w:val="center"/>
          </w:tcPr>
          <w:p w14:paraId="4BCF5D8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压缩油缸油封修复</w:t>
            </w:r>
          </w:p>
        </w:tc>
        <w:tc>
          <w:tcPr>
            <w:tcW w:w="5215" w:type="dxa"/>
            <w:tcBorders>
              <w:tl2br w:val="nil"/>
              <w:tr2bl w:val="nil"/>
            </w:tcBorders>
            <w:vAlign w:val="center"/>
          </w:tcPr>
          <w:p w14:paraId="658B459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油缸返厂检测缸体、活塞杆，更换全套密封件，轻微磨损抛光修复；</w:t>
            </w:r>
          </w:p>
          <w:p w14:paraId="55EB4E5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额定压力保压测试无内泄外漏；</w:t>
            </w:r>
          </w:p>
          <w:p w14:paraId="402571A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回装后联动调试压缩压力、行程达标。</w:t>
            </w:r>
          </w:p>
        </w:tc>
        <w:tc>
          <w:tcPr>
            <w:tcW w:w="537" w:type="dxa"/>
            <w:tcBorders>
              <w:tl2br w:val="nil"/>
              <w:tr2bl w:val="nil"/>
            </w:tcBorders>
            <w:vAlign w:val="center"/>
          </w:tcPr>
          <w:p w14:paraId="099B756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2C6AEC8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条</w:t>
            </w:r>
          </w:p>
        </w:tc>
        <w:tc>
          <w:tcPr>
            <w:tcW w:w="947" w:type="dxa"/>
            <w:tcBorders>
              <w:tl2br w:val="nil"/>
              <w:tr2bl w:val="nil"/>
            </w:tcBorders>
            <w:vAlign w:val="center"/>
          </w:tcPr>
          <w:p w14:paraId="2F9364B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09E0E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51BBB7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19</w:t>
            </w:r>
          </w:p>
        </w:tc>
        <w:tc>
          <w:tcPr>
            <w:tcW w:w="1839" w:type="dxa"/>
            <w:tcBorders>
              <w:tl2br w:val="nil"/>
              <w:tr2bl w:val="nil"/>
            </w:tcBorders>
            <w:vAlign w:val="center"/>
          </w:tcPr>
          <w:p w14:paraId="6B7E4EC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压缩机液压泵站更换油泵</w:t>
            </w:r>
          </w:p>
        </w:tc>
        <w:tc>
          <w:tcPr>
            <w:tcW w:w="5215" w:type="dxa"/>
            <w:tcBorders>
              <w:tl2br w:val="nil"/>
              <w:tr2bl w:val="nil"/>
            </w:tcBorders>
            <w:vAlign w:val="center"/>
          </w:tcPr>
          <w:p w14:paraId="41BA898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按原参数更换匹配高性能液压油泵；</w:t>
            </w:r>
          </w:p>
          <w:p w14:paraId="1CBBDCF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同步检修电机绝缘、轴承工况；</w:t>
            </w:r>
          </w:p>
          <w:p w14:paraId="6F3009B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调试泵站压力、流量达到设计额定值。</w:t>
            </w:r>
          </w:p>
        </w:tc>
        <w:tc>
          <w:tcPr>
            <w:tcW w:w="537" w:type="dxa"/>
            <w:tcBorders>
              <w:tl2br w:val="nil"/>
              <w:tr2bl w:val="nil"/>
            </w:tcBorders>
            <w:vAlign w:val="center"/>
          </w:tcPr>
          <w:p w14:paraId="38CE503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4801025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台</w:t>
            </w:r>
          </w:p>
        </w:tc>
        <w:tc>
          <w:tcPr>
            <w:tcW w:w="947" w:type="dxa"/>
            <w:tcBorders>
              <w:tl2br w:val="nil"/>
              <w:tr2bl w:val="nil"/>
            </w:tcBorders>
            <w:vAlign w:val="center"/>
          </w:tcPr>
          <w:p w14:paraId="793C0AF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E707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17D61CD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20</w:t>
            </w:r>
          </w:p>
        </w:tc>
        <w:tc>
          <w:tcPr>
            <w:tcW w:w="1839" w:type="dxa"/>
            <w:tcBorders>
              <w:tl2br w:val="nil"/>
              <w:tr2bl w:val="nil"/>
            </w:tcBorders>
            <w:vAlign w:val="center"/>
          </w:tcPr>
          <w:p w14:paraId="3034429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压缩机先导泵及循环泵</w:t>
            </w:r>
          </w:p>
        </w:tc>
        <w:tc>
          <w:tcPr>
            <w:tcW w:w="5215" w:type="dxa"/>
            <w:tcBorders>
              <w:tl2br w:val="nil"/>
              <w:tr2bl w:val="nil"/>
            </w:tcBorders>
            <w:vAlign w:val="center"/>
          </w:tcPr>
          <w:p w14:paraId="7D2E13B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同液压泵站油泵技术标准要求</w:t>
            </w:r>
          </w:p>
        </w:tc>
        <w:tc>
          <w:tcPr>
            <w:tcW w:w="537" w:type="dxa"/>
            <w:tcBorders>
              <w:tl2br w:val="nil"/>
              <w:tr2bl w:val="nil"/>
            </w:tcBorders>
            <w:vAlign w:val="center"/>
          </w:tcPr>
          <w:p w14:paraId="52B31ED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48D8265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台</w:t>
            </w:r>
          </w:p>
        </w:tc>
        <w:tc>
          <w:tcPr>
            <w:tcW w:w="947" w:type="dxa"/>
            <w:tcBorders>
              <w:tl2br w:val="nil"/>
              <w:tr2bl w:val="nil"/>
            </w:tcBorders>
            <w:vAlign w:val="center"/>
          </w:tcPr>
          <w:p w14:paraId="788F4EC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53701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E5C03B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21</w:t>
            </w:r>
          </w:p>
        </w:tc>
        <w:tc>
          <w:tcPr>
            <w:tcW w:w="1839" w:type="dxa"/>
            <w:tcBorders>
              <w:tl2br w:val="nil"/>
              <w:tr2bl w:val="nil"/>
            </w:tcBorders>
            <w:vAlign w:val="center"/>
          </w:tcPr>
          <w:p w14:paraId="3F04830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压缩机高压滤芯</w:t>
            </w:r>
          </w:p>
        </w:tc>
        <w:tc>
          <w:tcPr>
            <w:tcW w:w="5215" w:type="dxa"/>
            <w:tcBorders>
              <w:tl2br w:val="nil"/>
              <w:tr2bl w:val="nil"/>
            </w:tcBorders>
            <w:vAlign w:val="center"/>
          </w:tcPr>
          <w:p w14:paraId="55E4976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按原型号更换适配高压滤芯，过滤精度满足系统要求；</w:t>
            </w:r>
          </w:p>
          <w:p w14:paraId="6541562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油路清洁后更换，运行通畅无压降。</w:t>
            </w:r>
          </w:p>
        </w:tc>
        <w:tc>
          <w:tcPr>
            <w:tcW w:w="537" w:type="dxa"/>
            <w:tcBorders>
              <w:tl2br w:val="nil"/>
              <w:tr2bl w:val="nil"/>
            </w:tcBorders>
            <w:vAlign w:val="center"/>
          </w:tcPr>
          <w:p w14:paraId="5622937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6681AE0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个</w:t>
            </w:r>
          </w:p>
        </w:tc>
        <w:tc>
          <w:tcPr>
            <w:tcW w:w="947" w:type="dxa"/>
            <w:tcBorders>
              <w:tl2br w:val="nil"/>
              <w:tr2bl w:val="nil"/>
            </w:tcBorders>
            <w:vAlign w:val="center"/>
          </w:tcPr>
          <w:p w14:paraId="23B68BF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56221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1ABD85D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22</w:t>
            </w:r>
          </w:p>
        </w:tc>
        <w:tc>
          <w:tcPr>
            <w:tcW w:w="1839" w:type="dxa"/>
            <w:tcBorders>
              <w:tl2br w:val="nil"/>
              <w:tr2bl w:val="nil"/>
            </w:tcBorders>
            <w:vAlign w:val="center"/>
          </w:tcPr>
          <w:p w14:paraId="647A9B1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压缩机回油滤芯</w:t>
            </w:r>
          </w:p>
        </w:tc>
        <w:tc>
          <w:tcPr>
            <w:tcW w:w="5215" w:type="dxa"/>
            <w:tcBorders>
              <w:tl2br w:val="nil"/>
              <w:tr2bl w:val="nil"/>
            </w:tcBorders>
            <w:vAlign w:val="center"/>
          </w:tcPr>
          <w:p w14:paraId="0E33AA9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同高压滤芯技术标准要求</w:t>
            </w:r>
          </w:p>
        </w:tc>
        <w:tc>
          <w:tcPr>
            <w:tcW w:w="537" w:type="dxa"/>
            <w:tcBorders>
              <w:tl2br w:val="nil"/>
              <w:tr2bl w:val="nil"/>
            </w:tcBorders>
            <w:vAlign w:val="center"/>
          </w:tcPr>
          <w:p w14:paraId="6B3050B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4169B6E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个</w:t>
            </w:r>
          </w:p>
        </w:tc>
        <w:tc>
          <w:tcPr>
            <w:tcW w:w="947" w:type="dxa"/>
            <w:tcBorders>
              <w:tl2br w:val="nil"/>
              <w:tr2bl w:val="nil"/>
            </w:tcBorders>
            <w:vAlign w:val="center"/>
          </w:tcPr>
          <w:p w14:paraId="0BD29E9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0A543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2E79A76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23</w:t>
            </w:r>
          </w:p>
        </w:tc>
        <w:tc>
          <w:tcPr>
            <w:tcW w:w="1839" w:type="dxa"/>
            <w:tcBorders>
              <w:tl2br w:val="nil"/>
              <w:tr2bl w:val="nil"/>
            </w:tcBorders>
            <w:vAlign w:val="center"/>
          </w:tcPr>
          <w:p w14:paraId="638BE0E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称重传感器系统</w:t>
            </w:r>
          </w:p>
        </w:tc>
        <w:tc>
          <w:tcPr>
            <w:tcW w:w="5215" w:type="dxa"/>
            <w:tcBorders>
              <w:tl2br w:val="nil"/>
              <w:tr2bl w:val="nil"/>
            </w:tcBorders>
            <w:vAlign w:val="center"/>
          </w:tcPr>
          <w:p w14:paraId="5D47A7B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按原型号更换全新称重传感器，精度、稳定性、安装尺寸满足原设计要求。</w:t>
            </w:r>
          </w:p>
        </w:tc>
        <w:tc>
          <w:tcPr>
            <w:tcW w:w="537" w:type="dxa"/>
            <w:tcBorders>
              <w:tl2br w:val="nil"/>
              <w:tr2bl w:val="nil"/>
            </w:tcBorders>
            <w:vAlign w:val="center"/>
          </w:tcPr>
          <w:p w14:paraId="0D95766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19E133F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3733C40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年</w:t>
            </w:r>
          </w:p>
        </w:tc>
      </w:tr>
      <w:tr w14:paraId="22708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4821FD6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24</w:t>
            </w:r>
          </w:p>
        </w:tc>
        <w:tc>
          <w:tcPr>
            <w:tcW w:w="1839" w:type="dxa"/>
            <w:tcBorders>
              <w:tl2br w:val="nil"/>
              <w:tr2bl w:val="nil"/>
            </w:tcBorders>
            <w:vAlign w:val="center"/>
          </w:tcPr>
          <w:p w14:paraId="488946F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地坑推头底部滑块更换</w:t>
            </w:r>
          </w:p>
        </w:tc>
        <w:tc>
          <w:tcPr>
            <w:tcW w:w="5215" w:type="dxa"/>
            <w:tcBorders>
              <w:tl2br w:val="nil"/>
              <w:tr2bl w:val="nil"/>
            </w:tcBorders>
            <w:vAlign w:val="center"/>
          </w:tcPr>
          <w:p w14:paraId="31F3F36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更换耐磨高分子滑块，精准装配校准，全行程运行无偏磨卡滞。</w:t>
            </w:r>
          </w:p>
        </w:tc>
        <w:tc>
          <w:tcPr>
            <w:tcW w:w="537" w:type="dxa"/>
            <w:tcBorders>
              <w:tl2br w:val="nil"/>
              <w:tr2bl w:val="nil"/>
            </w:tcBorders>
            <w:vAlign w:val="center"/>
          </w:tcPr>
          <w:p w14:paraId="033B528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31FC1B6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161CD5E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206D4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3ADCE1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25</w:t>
            </w:r>
          </w:p>
        </w:tc>
        <w:tc>
          <w:tcPr>
            <w:tcW w:w="1839" w:type="dxa"/>
            <w:tcBorders>
              <w:tl2br w:val="nil"/>
              <w:tr2bl w:val="nil"/>
            </w:tcBorders>
            <w:vAlign w:val="center"/>
          </w:tcPr>
          <w:p w14:paraId="184EED5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地坑泵站回油滤芯</w:t>
            </w:r>
          </w:p>
        </w:tc>
        <w:tc>
          <w:tcPr>
            <w:tcW w:w="5215" w:type="dxa"/>
            <w:tcBorders>
              <w:tl2br w:val="nil"/>
              <w:tr2bl w:val="nil"/>
            </w:tcBorders>
            <w:vAlign w:val="center"/>
          </w:tcPr>
          <w:p w14:paraId="60165EB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更换适配滤芯，油路清洁、过滤达标、压力稳定。</w:t>
            </w:r>
          </w:p>
        </w:tc>
        <w:tc>
          <w:tcPr>
            <w:tcW w:w="537" w:type="dxa"/>
            <w:tcBorders>
              <w:tl2br w:val="nil"/>
              <w:tr2bl w:val="nil"/>
            </w:tcBorders>
            <w:vAlign w:val="center"/>
          </w:tcPr>
          <w:p w14:paraId="25EE537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557C0C7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14D7608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207C1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D13AB9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26</w:t>
            </w:r>
          </w:p>
        </w:tc>
        <w:tc>
          <w:tcPr>
            <w:tcW w:w="1839" w:type="dxa"/>
            <w:tcBorders>
              <w:tl2br w:val="nil"/>
              <w:tr2bl w:val="nil"/>
            </w:tcBorders>
            <w:vAlign w:val="center"/>
          </w:tcPr>
          <w:p w14:paraId="6ABA0AB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控制系统升级优化</w:t>
            </w:r>
          </w:p>
        </w:tc>
        <w:tc>
          <w:tcPr>
            <w:tcW w:w="5215" w:type="dxa"/>
            <w:tcBorders>
              <w:tl2br w:val="nil"/>
              <w:tr2bl w:val="nil"/>
            </w:tcBorders>
            <w:vAlign w:val="center"/>
          </w:tcPr>
          <w:p w14:paraId="765F6AC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更换工控机、工业显示器、大屏显示系统、操作箱、配电箱；</w:t>
            </w:r>
          </w:p>
          <w:p w14:paraId="4F2C03C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升级控制程序，完善运行逻辑、故障报警、安全联锁；</w:t>
            </w:r>
          </w:p>
          <w:p w14:paraId="3B0C21E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实现运行参数、故障、状态实时监控，历史数据存储与趋势分析；</w:t>
            </w:r>
          </w:p>
          <w:p w14:paraId="4BE96B7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 安装后单机及整体联动调试全部功能正常。</w:t>
            </w:r>
          </w:p>
        </w:tc>
        <w:tc>
          <w:tcPr>
            <w:tcW w:w="537" w:type="dxa"/>
            <w:tcBorders>
              <w:tl2br w:val="nil"/>
              <w:tr2bl w:val="nil"/>
            </w:tcBorders>
            <w:vAlign w:val="center"/>
          </w:tcPr>
          <w:p w14:paraId="2CBA200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2D4F489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012E047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年</w:t>
            </w:r>
          </w:p>
        </w:tc>
      </w:tr>
      <w:tr w14:paraId="01839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CF6D2F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27</w:t>
            </w:r>
          </w:p>
        </w:tc>
        <w:tc>
          <w:tcPr>
            <w:tcW w:w="1839" w:type="dxa"/>
            <w:tcBorders>
              <w:tl2br w:val="nil"/>
              <w:tr2bl w:val="nil"/>
            </w:tcBorders>
            <w:vAlign w:val="center"/>
          </w:tcPr>
          <w:p w14:paraId="42D3536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更换控制线路</w:t>
            </w:r>
          </w:p>
        </w:tc>
        <w:tc>
          <w:tcPr>
            <w:tcW w:w="5215" w:type="dxa"/>
            <w:tcBorders>
              <w:tl2br w:val="nil"/>
              <w:tr2bl w:val="nil"/>
            </w:tcBorders>
            <w:vAlign w:val="center"/>
          </w:tcPr>
          <w:p w14:paraId="7D2C959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更换老化破损线路，采用阻燃屏蔽电缆，规范标识布线，符合 GB 50054 规范。</w:t>
            </w:r>
          </w:p>
        </w:tc>
        <w:tc>
          <w:tcPr>
            <w:tcW w:w="537" w:type="dxa"/>
            <w:tcBorders>
              <w:tl2br w:val="nil"/>
              <w:tr2bl w:val="nil"/>
            </w:tcBorders>
            <w:vAlign w:val="center"/>
          </w:tcPr>
          <w:p w14:paraId="253EA33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537" w:type="dxa"/>
            <w:tcBorders>
              <w:tl2br w:val="nil"/>
              <w:tr2bl w:val="nil"/>
            </w:tcBorders>
            <w:vAlign w:val="center"/>
          </w:tcPr>
          <w:p w14:paraId="1D915E7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0C4EE4D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1C416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723196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28</w:t>
            </w:r>
          </w:p>
        </w:tc>
        <w:tc>
          <w:tcPr>
            <w:tcW w:w="1839" w:type="dxa"/>
            <w:tcBorders>
              <w:tl2br w:val="nil"/>
              <w:tr2bl w:val="nil"/>
            </w:tcBorders>
            <w:vAlign w:val="center"/>
          </w:tcPr>
          <w:p w14:paraId="08772F8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更换部份腐蚀严重桥架</w:t>
            </w:r>
          </w:p>
        </w:tc>
        <w:tc>
          <w:tcPr>
            <w:tcW w:w="5215" w:type="dxa"/>
            <w:tcBorders>
              <w:tl2br w:val="nil"/>
              <w:tr2bl w:val="nil"/>
            </w:tcBorders>
            <w:vAlign w:val="center"/>
          </w:tcPr>
          <w:p w14:paraId="690E908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拆除更换腐蚀桥架，保障线路信号稳定、无短路漏电，施工做好断电安全防护。</w:t>
            </w:r>
          </w:p>
        </w:tc>
        <w:tc>
          <w:tcPr>
            <w:tcW w:w="537" w:type="dxa"/>
            <w:tcBorders>
              <w:tl2br w:val="nil"/>
              <w:tr2bl w:val="nil"/>
            </w:tcBorders>
            <w:vAlign w:val="center"/>
          </w:tcPr>
          <w:p w14:paraId="55A8DE6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537" w:type="dxa"/>
            <w:tcBorders>
              <w:tl2br w:val="nil"/>
              <w:tr2bl w:val="nil"/>
            </w:tcBorders>
            <w:vAlign w:val="center"/>
          </w:tcPr>
          <w:p w14:paraId="78B69E4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3EDC380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5228C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7CA22D4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29</w:t>
            </w:r>
          </w:p>
        </w:tc>
        <w:tc>
          <w:tcPr>
            <w:tcW w:w="1839" w:type="dxa"/>
            <w:tcBorders>
              <w:tl2br w:val="nil"/>
              <w:tr2bl w:val="nil"/>
            </w:tcBorders>
            <w:vAlign w:val="center"/>
          </w:tcPr>
          <w:p w14:paraId="057529E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增加控制线路桥架或管线</w:t>
            </w:r>
          </w:p>
        </w:tc>
        <w:tc>
          <w:tcPr>
            <w:tcW w:w="5215" w:type="dxa"/>
            <w:tcBorders>
              <w:tl2br w:val="nil"/>
              <w:tr2bl w:val="nil"/>
            </w:tcBorders>
            <w:vAlign w:val="center"/>
          </w:tcPr>
          <w:p w14:paraId="248D2C1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新增桥架 / 管线，规范敷设固定、防护接地；完工绝缘、通断测试合格。</w:t>
            </w:r>
          </w:p>
        </w:tc>
        <w:tc>
          <w:tcPr>
            <w:tcW w:w="537" w:type="dxa"/>
            <w:tcBorders>
              <w:tl2br w:val="nil"/>
              <w:tr2bl w:val="nil"/>
            </w:tcBorders>
            <w:vAlign w:val="center"/>
          </w:tcPr>
          <w:p w14:paraId="65A6E7F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537" w:type="dxa"/>
            <w:tcBorders>
              <w:tl2br w:val="nil"/>
              <w:tr2bl w:val="nil"/>
            </w:tcBorders>
            <w:vAlign w:val="center"/>
          </w:tcPr>
          <w:p w14:paraId="2FE7D6E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314CA47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7499B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06AA046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30</w:t>
            </w:r>
          </w:p>
        </w:tc>
        <w:tc>
          <w:tcPr>
            <w:tcW w:w="1839" w:type="dxa"/>
            <w:tcBorders>
              <w:tl2br w:val="nil"/>
              <w:tr2bl w:val="nil"/>
            </w:tcBorders>
            <w:vAlign w:val="center"/>
          </w:tcPr>
          <w:p w14:paraId="2F7D8EC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压缩机压缩油缸接近开关更换为激光传感器</w:t>
            </w:r>
          </w:p>
        </w:tc>
        <w:tc>
          <w:tcPr>
            <w:tcW w:w="5215" w:type="dxa"/>
            <w:tcBorders>
              <w:tl2br w:val="nil"/>
              <w:tr2bl w:val="nil"/>
            </w:tcBorders>
            <w:vAlign w:val="center"/>
          </w:tcPr>
          <w:p w14:paraId="183BF88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更换为高精度激光传感器，适配油缸行程，适应垃圾站恶劣工况；</w:t>
            </w:r>
          </w:p>
          <w:p w14:paraId="2221D52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安装校准点位与行程，联动控制系统信号精准稳定。</w:t>
            </w:r>
          </w:p>
        </w:tc>
        <w:tc>
          <w:tcPr>
            <w:tcW w:w="537" w:type="dxa"/>
            <w:tcBorders>
              <w:tl2br w:val="nil"/>
              <w:tr2bl w:val="nil"/>
            </w:tcBorders>
            <w:vAlign w:val="center"/>
          </w:tcPr>
          <w:p w14:paraId="36AC270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3760081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4F0218C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EE4B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3C65FF8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31</w:t>
            </w:r>
          </w:p>
        </w:tc>
        <w:tc>
          <w:tcPr>
            <w:tcW w:w="1839" w:type="dxa"/>
            <w:tcBorders>
              <w:tl2br w:val="nil"/>
              <w:tr2bl w:val="nil"/>
            </w:tcBorders>
            <w:vAlign w:val="center"/>
          </w:tcPr>
          <w:p w14:paraId="04D16FA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地坑油缸接近开关更换为激光传感器</w:t>
            </w:r>
          </w:p>
        </w:tc>
        <w:tc>
          <w:tcPr>
            <w:tcW w:w="5215" w:type="dxa"/>
            <w:tcBorders>
              <w:tl2br w:val="nil"/>
              <w:tr2bl w:val="nil"/>
            </w:tcBorders>
            <w:vAlign w:val="center"/>
          </w:tcPr>
          <w:p w14:paraId="4250F11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更换激光传感器，防护等级不低于 IP67，适应地坑潮湿高粉尘环境；</w:t>
            </w:r>
          </w:p>
          <w:p w14:paraId="4CE68EE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校准检测行程，位置精准、信号稳定无漂移。</w:t>
            </w:r>
          </w:p>
        </w:tc>
        <w:tc>
          <w:tcPr>
            <w:tcW w:w="537" w:type="dxa"/>
            <w:tcBorders>
              <w:tl2br w:val="nil"/>
              <w:tr2bl w:val="nil"/>
            </w:tcBorders>
            <w:vAlign w:val="center"/>
          </w:tcPr>
          <w:p w14:paraId="1F871DA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4D70581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096B3A1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22C6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1ECFE39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32</w:t>
            </w:r>
          </w:p>
        </w:tc>
        <w:tc>
          <w:tcPr>
            <w:tcW w:w="1839" w:type="dxa"/>
            <w:tcBorders>
              <w:tl2br w:val="nil"/>
              <w:tr2bl w:val="nil"/>
            </w:tcBorders>
            <w:vAlign w:val="center"/>
          </w:tcPr>
          <w:p w14:paraId="70FF804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移动平台液压泵站（7.5KW）</w:t>
            </w:r>
          </w:p>
        </w:tc>
        <w:tc>
          <w:tcPr>
            <w:tcW w:w="5215" w:type="dxa"/>
            <w:tcBorders>
              <w:tl2br w:val="nil"/>
              <w:tr2bl w:val="nil"/>
            </w:tcBorders>
            <w:vAlign w:val="center"/>
          </w:tcPr>
          <w:p w14:paraId="646F035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成套独立液压动力单元，含油泵、阀组、油箱等全套配件；</w:t>
            </w:r>
          </w:p>
          <w:p w14:paraId="7502239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安装于双平台中间，做防尘防撞防护；</w:t>
            </w:r>
          </w:p>
          <w:p w14:paraId="5C335AA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调试匹配油缸与控制系统，运行稳定无渗漏。</w:t>
            </w:r>
          </w:p>
        </w:tc>
        <w:tc>
          <w:tcPr>
            <w:tcW w:w="537" w:type="dxa"/>
            <w:tcBorders>
              <w:tl2br w:val="nil"/>
              <w:tr2bl w:val="nil"/>
            </w:tcBorders>
            <w:vAlign w:val="center"/>
          </w:tcPr>
          <w:p w14:paraId="521E447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537" w:type="dxa"/>
            <w:tcBorders>
              <w:tl2br w:val="nil"/>
              <w:tr2bl w:val="nil"/>
            </w:tcBorders>
            <w:vAlign w:val="center"/>
          </w:tcPr>
          <w:p w14:paraId="321DF7E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台</w:t>
            </w:r>
          </w:p>
        </w:tc>
        <w:tc>
          <w:tcPr>
            <w:tcW w:w="947" w:type="dxa"/>
            <w:tcBorders>
              <w:tl2br w:val="nil"/>
              <w:tr2bl w:val="nil"/>
            </w:tcBorders>
            <w:vAlign w:val="center"/>
          </w:tcPr>
          <w:p w14:paraId="1A70D39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年</w:t>
            </w:r>
          </w:p>
        </w:tc>
      </w:tr>
      <w:tr w14:paraId="3270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453E62E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33</w:t>
            </w:r>
          </w:p>
        </w:tc>
        <w:tc>
          <w:tcPr>
            <w:tcW w:w="1839" w:type="dxa"/>
            <w:tcBorders>
              <w:tl2br w:val="nil"/>
              <w:tr2bl w:val="nil"/>
            </w:tcBorders>
            <w:vAlign w:val="center"/>
          </w:tcPr>
          <w:p w14:paraId="4E500C3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液压油</w:t>
            </w:r>
          </w:p>
        </w:tc>
        <w:tc>
          <w:tcPr>
            <w:tcW w:w="5215" w:type="dxa"/>
            <w:tcBorders>
              <w:tl2br w:val="nil"/>
              <w:tr2bl w:val="nil"/>
            </w:tcBorders>
            <w:vAlign w:val="center"/>
          </w:tcPr>
          <w:p w14:paraId="1488E2E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46 号抗磨低凝液压油，国标正品，200 升 / 桶</w:t>
            </w:r>
          </w:p>
        </w:tc>
        <w:tc>
          <w:tcPr>
            <w:tcW w:w="537" w:type="dxa"/>
            <w:tcBorders>
              <w:tl2br w:val="nil"/>
              <w:tr2bl w:val="nil"/>
            </w:tcBorders>
            <w:vAlign w:val="center"/>
          </w:tcPr>
          <w:p w14:paraId="0A0ED33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537" w:type="dxa"/>
            <w:tcBorders>
              <w:tl2br w:val="nil"/>
              <w:tr2bl w:val="nil"/>
            </w:tcBorders>
            <w:vAlign w:val="center"/>
          </w:tcPr>
          <w:p w14:paraId="7B816FD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桶</w:t>
            </w:r>
          </w:p>
        </w:tc>
        <w:tc>
          <w:tcPr>
            <w:tcW w:w="947" w:type="dxa"/>
            <w:tcBorders>
              <w:tl2br w:val="nil"/>
              <w:tr2bl w:val="nil"/>
            </w:tcBorders>
            <w:vAlign w:val="center"/>
          </w:tcPr>
          <w:p w14:paraId="0ECEFD6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0A5A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6D8E0C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34</w:t>
            </w:r>
          </w:p>
        </w:tc>
        <w:tc>
          <w:tcPr>
            <w:tcW w:w="1839" w:type="dxa"/>
            <w:tcBorders>
              <w:tl2br w:val="nil"/>
              <w:tr2bl w:val="nil"/>
            </w:tcBorders>
            <w:vAlign w:val="center"/>
          </w:tcPr>
          <w:p w14:paraId="73E3B5E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操作控制箱</w:t>
            </w:r>
          </w:p>
        </w:tc>
        <w:tc>
          <w:tcPr>
            <w:tcW w:w="5215" w:type="dxa"/>
            <w:tcBorders>
              <w:tl2br w:val="nil"/>
              <w:tr2bl w:val="nil"/>
            </w:tcBorders>
            <w:vAlign w:val="center"/>
          </w:tcPr>
          <w:p w14:paraId="5947621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全新控制箱，支持双平台手动 / 自动独立控制，含急停、操作按钮；</w:t>
            </w:r>
          </w:p>
          <w:p w14:paraId="66E24E4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联动泵站、油缸、传感器及中控系统，完善安全联锁；</w:t>
            </w:r>
          </w:p>
          <w:p w14:paraId="2320D39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调试操作便捷、动作精准、保护可靠。</w:t>
            </w:r>
          </w:p>
        </w:tc>
        <w:tc>
          <w:tcPr>
            <w:tcW w:w="537" w:type="dxa"/>
            <w:tcBorders>
              <w:tl2br w:val="nil"/>
              <w:tr2bl w:val="nil"/>
            </w:tcBorders>
            <w:vAlign w:val="center"/>
          </w:tcPr>
          <w:p w14:paraId="46EE1BB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20CFEE1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09332BF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年</w:t>
            </w:r>
          </w:p>
        </w:tc>
      </w:tr>
      <w:tr w14:paraId="024D1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129ABFE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35</w:t>
            </w:r>
          </w:p>
        </w:tc>
        <w:tc>
          <w:tcPr>
            <w:tcW w:w="1839" w:type="dxa"/>
            <w:tcBorders>
              <w:tl2br w:val="nil"/>
              <w:tr2bl w:val="nil"/>
            </w:tcBorders>
            <w:vAlign w:val="center"/>
          </w:tcPr>
          <w:p w14:paraId="325FE7B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移位液压油缸</w:t>
            </w:r>
          </w:p>
        </w:tc>
        <w:tc>
          <w:tcPr>
            <w:tcW w:w="5215" w:type="dxa"/>
            <w:tcBorders>
              <w:tl2br w:val="nil"/>
              <w:tr2bl w:val="nil"/>
            </w:tcBorders>
            <w:vAlign w:val="center"/>
          </w:tcPr>
          <w:p w14:paraId="2CB617F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移位专用油缸，行程、推力匹配平台负载及运行要求，全新正品。</w:t>
            </w:r>
          </w:p>
        </w:tc>
        <w:tc>
          <w:tcPr>
            <w:tcW w:w="537" w:type="dxa"/>
            <w:tcBorders>
              <w:tl2br w:val="nil"/>
              <w:tr2bl w:val="nil"/>
            </w:tcBorders>
            <w:vAlign w:val="center"/>
          </w:tcPr>
          <w:p w14:paraId="7459786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1A24341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4949260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5C1F0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59CA92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36</w:t>
            </w:r>
          </w:p>
        </w:tc>
        <w:tc>
          <w:tcPr>
            <w:tcW w:w="1839" w:type="dxa"/>
            <w:tcBorders>
              <w:tl2br w:val="nil"/>
              <w:tr2bl w:val="nil"/>
            </w:tcBorders>
            <w:vAlign w:val="center"/>
          </w:tcPr>
          <w:p w14:paraId="06FB091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液压钢管、软管、接头及管夹</w:t>
            </w:r>
          </w:p>
        </w:tc>
        <w:tc>
          <w:tcPr>
            <w:tcW w:w="5215" w:type="dxa"/>
            <w:tcBorders>
              <w:tl2br w:val="nil"/>
              <w:tr2bl w:val="nil"/>
            </w:tcBorders>
            <w:vAlign w:val="center"/>
          </w:tcPr>
          <w:p w14:paraId="2101BBB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配套适配规格钢管、高压软管、接头、管夹；</w:t>
            </w:r>
          </w:p>
          <w:p w14:paraId="69D296C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现场规范敷设固定，避免摩擦干涉；</w:t>
            </w:r>
          </w:p>
          <w:p w14:paraId="27C878C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整体耐压试压无渗漏，联动调试油路通畅响应精准。</w:t>
            </w:r>
          </w:p>
        </w:tc>
        <w:tc>
          <w:tcPr>
            <w:tcW w:w="537" w:type="dxa"/>
            <w:tcBorders>
              <w:tl2br w:val="nil"/>
              <w:tr2bl w:val="nil"/>
            </w:tcBorders>
            <w:vAlign w:val="center"/>
          </w:tcPr>
          <w:p w14:paraId="341130C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58BEBD2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批</w:t>
            </w:r>
          </w:p>
        </w:tc>
        <w:tc>
          <w:tcPr>
            <w:tcW w:w="947" w:type="dxa"/>
            <w:tcBorders>
              <w:tl2br w:val="nil"/>
              <w:tr2bl w:val="nil"/>
            </w:tcBorders>
            <w:vAlign w:val="center"/>
          </w:tcPr>
          <w:p w14:paraId="1BF8A44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4E55B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7955939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37</w:t>
            </w:r>
          </w:p>
        </w:tc>
        <w:tc>
          <w:tcPr>
            <w:tcW w:w="1839" w:type="dxa"/>
            <w:tcBorders>
              <w:tl2br w:val="nil"/>
              <w:tr2bl w:val="nil"/>
            </w:tcBorders>
            <w:vAlign w:val="center"/>
          </w:tcPr>
          <w:p w14:paraId="53896E11">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油缸销轴</w:t>
            </w:r>
          </w:p>
        </w:tc>
        <w:tc>
          <w:tcPr>
            <w:tcW w:w="5215" w:type="dxa"/>
            <w:tcBorders>
              <w:tl2br w:val="nil"/>
              <w:tr2bl w:val="nil"/>
            </w:tcBorders>
            <w:vAlign w:val="center"/>
          </w:tcPr>
          <w:p w14:paraId="4297271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Q355 材质制作，加工后时效处理，强度耐磨达标。</w:t>
            </w:r>
          </w:p>
        </w:tc>
        <w:tc>
          <w:tcPr>
            <w:tcW w:w="537" w:type="dxa"/>
            <w:tcBorders>
              <w:tl2br w:val="nil"/>
              <w:tr2bl w:val="nil"/>
            </w:tcBorders>
            <w:vAlign w:val="center"/>
          </w:tcPr>
          <w:p w14:paraId="41DA25C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5C172B30">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0FE928E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2DA2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497177B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38</w:t>
            </w:r>
          </w:p>
        </w:tc>
        <w:tc>
          <w:tcPr>
            <w:tcW w:w="1839" w:type="dxa"/>
            <w:tcBorders>
              <w:tl2br w:val="nil"/>
              <w:tr2bl w:val="nil"/>
            </w:tcBorders>
            <w:vAlign w:val="center"/>
          </w:tcPr>
          <w:p w14:paraId="2591182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油缸前支座</w:t>
            </w:r>
          </w:p>
        </w:tc>
        <w:tc>
          <w:tcPr>
            <w:tcW w:w="5215" w:type="dxa"/>
            <w:tcBorders>
              <w:tl2br w:val="nil"/>
              <w:tr2bl w:val="nil"/>
            </w:tcBorders>
            <w:vAlign w:val="center"/>
          </w:tcPr>
          <w:p w14:paraId="73EC39A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Q355 钢板制作，焊接后时效处理，结构稳固。</w:t>
            </w:r>
          </w:p>
        </w:tc>
        <w:tc>
          <w:tcPr>
            <w:tcW w:w="537" w:type="dxa"/>
            <w:tcBorders>
              <w:tl2br w:val="nil"/>
              <w:tr2bl w:val="nil"/>
            </w:tcBorders>
            <w:vAlign w:val="center"/>
          </w:tcPr>
          <w:p w14:paraId="581FDDD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0840588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6BFBC04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CE7B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5EE6FE5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39</w:t>
            </w:r>
          </w:p>
        </w:tc>
        <w:tc>
          <w:tcPr>
            <w:tcW w:w="1839" w:type="dxa"/>
            <w:tcBorders>
              <w:tl2br w:val="nil"/>
              <w:tr2bl w:val="nil"/>
            </w:tcBorders>
            <w:vAlign w:val="center"/>
          </w:tcPr>
          <w:p w14:paraId="5906C00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油缸后支座</w:t>
            </w:r>
          </w:p>
        </w:tc>
        <w:tc>
          <w:tcPr>
            <w:tcW w:w="5215" w:type="dxa"/>
            <w:tcBorders>
              <w:tl2br w:val="nil"/>
              <w:tr2bl w:val="nil"/>
            </w:tcBorders>
            <w:vAlign w:val="center"/>
          </w:tcPr>
          <w:p w14:paraId="24627B4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Q355 钢板制作，焊接成型时效处理，安装匹配到位。</w:t>
            </w:r>
          </w:p>
        </w:tc>
        <w:tc>
          <w:tcPr>
            <w:tcW w:w="537" w:type="dxa"/>
            <w:tcBorders>
              <w:tl2br w:val="nil"/>
              <w:tr2bl w:val="nil"/>
            </w:tcBorders>
            <w:vAlign w:val="center"/>
          </w:tcPr>
          <w:p w14:paraId="7E0799C6">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w:t>
            </w:r>
          </w:p>
        </w:tc>
        <w:tc>
          <w:tcPr>
            <w:tcW w:w="537" w:type="dxa"/>
            <w:tcBorders>
              <w:tl2br w:val="nil"/>
              <w:tr2bl w:val="nil"/>
            </w:tcBorders>
            <w:vAlign w:val="center"/>
          </w:tcPr>
          <w:p w14:paraId="05F25C57">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1D80BA0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E496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3E26F9F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40</w:t>
            </w:r>
          </w:p>
        </w:tc>
        <w:tc>
          <w:tcPr>
            <w:tcW w:w="1839" w:type="dxa"/>
            <w:tcBorders>
              <w:tl2br w:val="nil"/>
              <w:tr2bl w:val="nil"/>
            </w:tcBorders>
            <w:vAlign w:val="center"/>
          </w:tcPr>
          <w:p w14:paraId="28625E5C">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移位平台两侧增加不锈钢水槽</w:t>
            </w:r>
          </w:p>
        </w:tc>
        <w:tc>
          <w:tcPr>
            <w:tcW w:w="5215" w:type="dxa"/>
            <w:tcBorders>
              <w:tl2br w:val="nil"/>
              <w:tr2bl w:val="nil"/>
            </w:tcBorders>
            <w:vAlign w:val="center"/>
          </w:tcPr>
          <w:p w14:paraId="46640C9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定制 304 不锈钢接水罩 / 水槽 4 件，与平台适配；</w:t>
            </w:r>
          </w:p>
          <w:p w14:paraId="5741F3F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密封安装，配套管路接入站区污水收集系统。</w:t>
            </w:r>
          </w:p>
        </w:tc>
        <w:tc>
          <w:tcPr>
            <w:tcW w:w="537" w:type="dxa"/>
            <w:tcBorders>
              <w:tl2br w:val="nil"/>
              <w:tr2bl w:val="nil"/>
            </w:tcBorders>
            <w:vAlign w:val="center"/>
          </w:tcPr>
          <w:p w14:paraId="273665C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w:t>
            </w:r>
          </w:p>
        </w:tc>
        <w:tc>
          <w:tcPr>
            <w:tcW w:w="537" w:type="dxa"/>
            <w:tcBorders>
              <w:tl2br w:val="nil"/>
              <w:tr2bl w:val="nil"/>
            </w:tcBorders>
            <w:vAlign w:val="center"/>
          </w:tcPr>
          <w:p w14:paraId="6308277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571D815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61C6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390C436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41</w:t>
            </w:r>
          </w:p>
        </w:tc>
        <w:tc>
          <w:tcPr>
            <w:tcW w:w="1839" w:type="dxa"/>
            <w:tcBorders>
              <w:tl2br w:val="nil"/>
              <w:tr2bl w:val="nil"/>
            </w:tcBorders>
            <w:vAlign w:val="center"/>
          </w:tcPr>
          <w:p w14:paraId="11187C93">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增加垃圾箱限位挡块</w:t>
            </w:r>
          </w:p>
        </w:tc>
        <w:tc>
          <w:tcPr>
            <w:tcW w:w="5215" w:type="dxa"/>
            <w:tcBorders>
              <w:tl2br w:val="nil"/>
              <w:tr2bl w:val="nil"/>
            </w:tcBorders>
            <w:vAlign w:val="center"/>
          </w:tcPr>
          <w:p w14:paraId="7DDD253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钢制结构件，满足限位、防撞、定位要求，现场焊接牢固。</w:t>
            </w:r>
          </w:p>
        </w:tc>
        <w:tc>
          <w:tcPr>
            <w:tcW w:w="537" w:type="dxa"/>
            <w:tcBorders>
              <w:tl2br w:val="nil"/>
              <w:tr2bl w:val="nil"/>
            </w:tcBorders>
            <w:vAlign w:val="center"/>
          </w:tcPr>
          <w:p w14:paraId="1C04545D">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8</w:t>
            </w:r>
          </w:p>
        </w:tc>
        <w:tc>
          <w:tcPr>
            <w:tcW w:w="537" w:type="dxa"/>
            <w:tcBorders>
              <w:tl2br w:val="nil"/>
              <w:tr2bl w:val="nil"/>
            </w:tcBorders>
            <w:vAlign w:val="center"/>
          </w:tcPr>
          <w:p w14:paraId="492F1CA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318A4AE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年</w:t>
            </w:r>
          </w:p>
        </w:tc>
      </w:tr>
      <w:tr w14:paraId="5E61D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6F813CF4">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42</w:t>
            </w:r>
          </w:p>
        </w:tc>
        <w:tc>
          <w:tcPr>
            <w:tcW w:w="1839" w:type="dxa"/>
            <w:tcBorders>
              <w:tl2br w:val="nil"/>
              <w:tr2bl w:val="nil"/>
            </w:tcBorders>
            <w:vAlign w:val="center"/>
          </w:tcPr>
          <w:p w14:paraId="31AC4F9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拆除原电机驱动装置及平台挡箱机构</w:t>
            </w:r>
          </w:p>
        </w:tc>
        <w:tc>
          <w:tcPr>
            <w:tcW w:w="5215" w:type="dxa"/>
            <w:tcBorders>
              <w:tl2br w:val="nil"/>
              <w:tr2bl w:val="nil"/>
            </w:tcBorders>
            <w:vAlign w:val="center"/>
          </w:tcPr>
          <w:p w14:paraId="5CC5CC32">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拆除原有老旧驱动及挡箱机构，废料清理外运、工完场清。</w:t>
            </w:r>
          </w:p>
        </w:tc>
        <w:tc>
          <w:tcPr>
            <w:tcW w:w="537" w:type="dxa"/>
            <w:tcBorders>
              <w:tl2br w:val="nil"/>
              <w:tr2bl w:val="nil"/>
            </w:tcBorders>
            <w:vAlign w:val="center"/>
          </w:tcPr>
          <w:p w14:paraId="3D4C263E">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8</w:t>
            </w:r>
          </w:p>
        </w:tc>
        <w:tc>
          <w:tcPr>
            <w:tcW w:w="537" w:type="dxa"/>
            <w:tcBorders>
              <w:tl2br w:val="nil"/>
              <w:tr2bl w:val="nil"/>
            </w:tcBorders>
            <w:vAlign w:val="center"/>
          </w:tcPr>
          <w:p w14:paraId="20AF966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件</w:t>
            </w:r>
          </w:p>
        </w:tc>
        <w:tc>
          <w:tcPr>
            <w:tcW w:w="947" w:type="dxa"/>
            <w:tcBorders>
              <w:tl2br w:val="nil"/>
              <w:tr2bl w:val="nil"/>
            </w:tcBorders>
            <w:vAlign w:val="center"/>
          </w:tcPr>
          <w:p w14:paraId="0C99F3BA">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w:t>
            </w:r>
          </w:p>
        </w:tc>
      </w:tr>
      <w:tr w14:paraId="387AC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15" w:type="dxa"/>
        </w:trPr>
        <w:tc>
          <w:tcPr>
            <w:tcW w:w="0" w:type="auto"/>
            <w:tcBorders>
              <w:tl2br w:val="nil"/>
              <w:tr2bl w:val="nil"/>
            </w:tcBorders>
            <w:vAlign w:val="center"/>
          </w:tcPr>
          <w:p w14:paraId="7C3F09C5">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43</w:t>
            </w:r>
          </w:p>
        </w:tc>
        <w:tc>
          <w:tcPr>
            <w:tcW w:w="1839" w:type="dxa"/>
            <w:tcBorders>
              <w:tl2br w:val="nil"/>
              <w:tr2bl w:val="nil"/>
            </w:tcBorders>
            <w:vAlign w:val="center"/>
          </w:tcPr>
          <w:p w14:paraId="2DCCE01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压缩机和地坑、移位平台面整体漆喷涂</w:t>
            </w:r>
          </w:p>
        </w:tc>
        <w:tc>
          <w:tcPr>
            <w:tcW w:w="5215" w:type="dxa"/>
            <w:tcBorders>
              <w:tl2br w:val="nil"/>
              <w:tr2bl w:val="nil"/>
            </w:tcBorders>
            <w:vAlign w:val="center"/>
          </w:tcPr>
          <w:p w14:paraId="2AA9461F">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 设备金属表面全面除锈、除油、去污处理；</w:t>
            </w:r>
          </w:p>
          <w:p w14:paraId="09CFE6F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2. 涂刷环氧富锌底漆 + 耐腐面漆，涂装面积约 500㎡；</w:t>
            </w:r>
          </w:p>
          <w:p w14:paraId="621213EB">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3. 漆面平整附着力强，无漏涂、流挂、脱落，分区域施工减少运营影响。</w:t>
            </w:r>
          </w:p>
        </w:tc>
        <w:tc>
          <w:tcPr>
            <w:tcW w:w="537" w:type="dxa"/>
            <w:tcBorders>
              <w:tl2br w:val="nil"/>
              <w:tr2bl w:val="nil"/>
            </w:tcBorders>
            <w:vAlign w:val="center"/>
          </w:tcPr>
          <w:p w14:paraId="4A0528C9">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1</w:t>
            </w:r>
          </w:p>
        </w:tc>
        <w:tc>
          <w:tcPr>
            <w:tcW w:w="537" w:type="dxa"/>
            <w:tcBorders>
              <w:tl2br w:val="nil"/>
              <w:tr2bl w:val="nil"/>
            </w:tcBorders>
            <w:vAlign w:val="center"/>
          </w:tcPr>
          <w:p w14:paraId="6CDC9E88">
            <w:pPr>
              <w:widowControl/>
              <w:spacing w:line="360" w:lineRule="atLeast"/>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项</w:t>
            </w:r>
          </w:p>
        </w:tc>
        <w:tc>
          <w:tcPr>
            <w:tcW w:w="947" w:type="dxa"/>
            <w:tcBorders>
              <w:tl2br w:val="nil"/>
              <w:tr2bl w:val="nil"/>
            </w:tcBorders>
            <w:vAlign w:val="center"/>
          </w:tcPr>
          <w:p w14:paraId="75E8B863">
            <w:pPr>
              <w:pStyle w:val="15"/>
              <w:widowControl/>
              <w:numPr>
                <w:ilvl w:val="0"/>
                <w:numId w:val="2"/>
              </w:numPr>
              <w:spacing w:line="360" w:lineRule="atLeast"/>
              <w:ind w:firstLineChars="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年</w:t>
            </w:r>
          </w:p>
        </w:tc>
      </w:tr>
    </w:tbl>
    <w:p w14:paraId="388F5C8A">
      <w:pPr>
        <w:widowControl/>
        <w:numPr>
          <w:ilvl w:val="0"/>
          <w:numId w:val="3"/>
        </w:numPr>
        <w:spacing w:line="360" w:lineRule="atLeast"/>
        <w:ind w:left="0"/>
        <w:jc w:val="left"/>
        <w:rPr>
          <w:rFonts w:hint="eastAsia" w:ascii="Segoe UI" w:hAnsi="Segoe UI" w:eastAsia="宋体" w:cs="Segoe UI"/>
          <w:color w:val="000000"/>
          <w:kern w:val="0"/>
          <w:sz w:val="24"/>
          <w:szCs w:val="24"/>
        </w:rPr>
      </w:pPr>
      <w:r>
        <w:rPr>
          <w:rFonts w:ascii="Segoe UI" w:hAnsi="Segoe UI" w:eastAsia="宋体" w:cs="Segoe UI"/>
          <w:color w:val="000000"/>
          <w:kern w:val="0"/>
          <w:sz w:val="24"/>
          <w:szCs w:val="24"/>
        </w:rPr>
        <w:t>质保约定：表格单独标注质保期的按表格执行；未标注项目</w:t>
      </w:r>
      <w:r>
        <w:rPr>
          <w:rFonts w:ascii="Segoe UI" w:hAnsi="Segoe UI" w:eastAsia="宋体" w:cs="Segoe UI"/>
          <w:b/>
          <w:bCs/>
          <w:color w:val="000000"/>
          <w:kern w:val="0"/>
          <w:sz w:val="24"/>
          <w:szCs w:val="24"/>
        </w:rPr>
        <w:t>统一质保 1 年</w:t>
      </w:r>
      <w:r>
        <w:rPr>
          <w:rFonts w:ascii="Segoe UI" w:hAnsi="Segoe UI" w:eastAsia="宋体" w:cs="Segoe UI"/>
          <w:color w:val="000000"/>
          <w:kern w:val="0"/>
          <w:sz w:val="24"/>
          <w:szCs w:val="24"/>
        </w:rPr>
        <w:t>；质保期自</w:t>
      </w:r>
      <w:r>
        <w:rPr>
          <w:rFonts w:ascii="Segoe UI" w:hAnsi="Segoe UI" w:eastAsia="宋体" w:cs="Segoe UI"/>
          <w:b/>
          <w:bCs/>
          <w:color w:val="000000"/>
          <w:kern w:val="0"/>
          <w:sz w:val="24"/>
          <w:szCs w:val="24"/>
        </w:rPr>
        <w:t>整体竣工验收合格次日</w:t>
      </w:r>
      <w:r>
        <w:rPr>
          <w:rFonts w:ascii="Segoe UI" w:hAnsi="Segoe UI" w:eastAsia="宋体" w:cs="Segoe UI"/>
          <w:color w:val="000000"/>
          <w:kern w:val="0"/>
          <w:sz w:val="24"/>
          <w:szCs w:val="24"/>
        </w:rPr>
        <w:t>起算。</w:t>
      </w:r>
    </w:p>
    <w:p w14:paraId="390D915B">
      <w:pPr>
        <w:widowControl/>
        <w:spacing w:line="360" w:lineRule="atLeast"/>
        <w:ind w:left="142"/>
        <w:jc w:val="left"/>
        <w:outlineLvl w:val="1"/>
        <w:rPr>
          <w:rFonts w:ascii="Segoe UI" w:hAnsi="Segoe UI" w:eastAsia="宋体" w:cs="Segoe UI"/>
          <w:b/>
          <w:bCs/>
          <w:color w:val="000000"/>
          <w:kern w:val="0"/>
          <w:sz w:val="24"/>
          <w:szCs w:val="24"/>
        </w:rPr>
      </w:pPr>
      <w:r>
        <w:rPr>
          <w:rFonts w:hint="eastAsia" w:ascii="Segoe UI" w:hAnsi="Segoe UI" w:eastAsia="宋体" w:cs="Segoe UI"/>
          <w:b/>
          <w:bCs/>
          <w:color w:val="000000"/>
          <w:kern w:val="0"/>
          <w:sz w:val="24"/>
          <w:szCs w:val="24"/>
          <w:lang w:eastAsia="zh-CN"/>
        </w:rPr>
        <w:t>五</w:t>
      </w:r>
      <w:r>
        <w:rPr>
          <w:rFonts w:hint="eastAsia" w:ascii="Segoe UI" w:hAnsi="Segoe UI" w:eastAsia="宋体" w:cs="Segoe UI"/>
          <w:b/>
          <w:bCs/>
          <w:color w:val="000000"/>
          <w:kern w:val="0"/>
          <w:sz w:val="24"/>
          <w:szCs w:val="24"/>
        </w:rPr>
        <w:t>、核心设备</w:t>
      </w:r>
      <w:r>
        <w:rPr>
          <w:rFonts w:ascii="Segoe UI" w:hAnsi="Segoe UI" w:eastAsia="宋体" w:cs="Segoe UI"/>
          <w:b/>
          <w:bCs/>
          <w:color w:val="000000"/>
          <w:kern w:val="0"/>
          <w:sz w:val="24"/>
          <w:szCs w:val="24"/>
        </w:rPr>
        <w:t>技术参数</w:t>
      </w:r>
    </w:p>
    <w:p w14:paraId="4D6211F7">
      <w:pPr>
        <w:pStyle w:val="15"/>
        <w:widowControl/>
        <w:numPr>
          <w:ilvl w:val="0"/>
          <w:numId w:val="4"/>
        </w:numPr>
        <w:spacing w:line="360" w:lineRule="atLeast"/>
        <w:ind w:firstLineChars="0"/>
        <w:jc w:val="left"/>
        <w:outlineLvl w:val="1"/>
        <w:rPr>
          <w:rFonts w:ascii="Arial" w:hAnsi="Arial" w:eastAsia="宋体" w:cs="Arial"/>
          <w:color w:val="000000"/>
          <w:kern w:val="0"/>
          <w:sz w:val="24"/>
          <w:szCs w:val="24"/>
        </w:rPr>
      </w:pPr>
      <w:r>
        <w:rPr>
          <w:rFonts w:ascii="Arial" w:hAnsi="Arial" w:eastAsia="宋体" w:cs="Arial"/>
          <w:color w:val="000000"/>
          <w:kern w:val="0"/>
          <w:sz w:val="24"/>
          <w:szCs w:val="24"/>
        </w:rPr>
        <w:t>预压式垃圾压缩机</w:t>
      </w:r>
    </w:p>
    <w:p w14:paraId="175C1873">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液压系统工作压力不低于 16MPa；</w:t>
      </w:r>
    </w:p>
    <w:p w14:paraId="345967A4">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液压系统高压管路元件和执行元件耐压压力不低于工作压力 1.25 倍；</w:t>
      </w:r>
    </w:p>
    <w:p w14:paraId="7E899ED9">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液压系统过滤精度不大于 20μm；</w:t>
      </w:r>
    </w:p>
    <w:p w14:paraId="14FEAFB0">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液压系统正常工作温度不高于 70</w:t>
      </w:r>
      <w:r>
        <w:rPr>
          <w:rFonts w:hint="eastAsia" w:ascii="微软雅黑" w:hAnsi="微软雅黑" w:eastAsia="微软雅黑" w:cs="微软雅黑"/>
          <w:color w:val="000000"/>
          <w:kern w:val="0"/>
          <w:sz w:val="24"/>
          <w:szCs w:val="24"/>
        </w:rPr>
        <w:t>℃</w:t>
      </w:r>
      <w:r>
        <w:rPr>
          <w:rFonts w:ascii="Arial" w:hAnsi="Arial" w:eastAsia="宋体" w:cs="Arial"/>
          <w:color w:val="000000"/>
          <w:kern w:val="0"/>
          <w:sz w:val="24"/>
          <w:szCs w:val="24"/>
        </w:rPr>
        <w:t>；</w:t>
      </w:r>
    </w:p>
    <w:p w14:paraId="74A2CD69">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油泵选用行业成熟主流通用产品，配件通用性强、市场易采购、维保便捷；</w:t>
      </w:r>
    </w:p>
    <w:p w14:paraId="13190847">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控制阀选用行业成熟主流通用产品，运行稳定可靠；</w:t>
      </w:r>
    </w:p>
    <w:p w14:paraId="1AC035EA">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油缸等液压执行元件密封件、液压胶管及接头等，采用行业标准通用配件，满足工况耐久、密封可靠要求；</w:t>
      </w:r>
    </w:p>
    <w:p w14:paraId="5BBD026C">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油箱有效容积不低于 1500L，配置液压油冷却风扇装置；</w:t>
      </w:r>
    </w:p>
    <w:p w14:paraId="1525094C">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驱动电机具备防水防护性能，适应现场恶劣作业环境；</w:t>
      </w:r>
    </w:p>
    <w:p w14:paraId="766CFBEB">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单台压缩机电机功率不低于 75kW；</w:t>
      </w:r>
    </w:p>
    <w:p w14:paraId="7BF45680">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距设备外壁 500mm 处检测，运行噪音不大于 80dB；</w:t>
      </w:r>
    </w:p>
    <w:p w14:paraId="7EF02D2B">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设备每小时垃圾理论处理能力不低于 90 吨；</w:t>
      </w:r>
    </w:p>
    <w:p w14:paraId="2F792766">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垃圾压缩比可在 1:2～1:4 区间范围内可调；</w:t>
      </w:r>
    </w:p>
    <w:p w14:paraId="739C964D">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单箱垃圾理论处理周期不大于 10 分钟；</w:t>
      </w:r>
    </w:p>
    <w:p w14:paraId="23B5AA13">
      <w:pPr>
        <w:widowControl/>
        <w:numPr>
          <w:ilvl w:val="0"/>
          <w:numId w:val="5"/>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压缩腔与下料腔合计有效容积不低于 22 立方米。</w:t>
      </w:r>
    </w:p>
    <w:p w14:paraId="59B36622">
      <w:pPr>
        <w:pStyle w:val="15"/>
        <w:widowControl/>
        <w:numPr>
          <w:ilvl w:val="0"/>
          <w:numId w:val="4"/>
        </w:numPr>
        <w:spacing w:line="360" w:lineRule="atLeast"/>
        <w:ind w:firstLineChars="0"/>
        <w:jc w:val="left"/>
        <w:outlineLvl w:val="1"/>
        <w:rPr>
          <w:rFonts w:ascii="Arial" w:hAnsi="Arial" w:eastAsia="宋体" w:cs="Arial"/>
          <w:color w:val="000000"/>
          <w:kern w:val="0"/>
          <w:sz w:val="24"/>
          <w:szCs w:val="24"/>
        </w:rPr>
      </w:pPr>
      <w:r>
        <w:rPr>
          <w:rFonts w:ascii="Arial" w:hAnsi="Arial" w:eastAsia="宋体" w:cs="Arial"/>
          <w:color w:val="000000"/>
          <w:kern w:val="0"/>
          <w:sz w:val="24"/>
          <w:szCs w:val="24"/>
        </w:rPr>
        <w:t>料槽及垃圾输送系统</w:t>
      </w:r>
    </w:p>
    <w:p w14:paraId="44484000">
      <w:pPr>
        <w:widowControl/>
        <w:numPr>
          <w:ilvl w:val="0"/>
          <w:numId w:val="6"/>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地坑槽有效容积不低于 80 立方米；</w:t>
      </w:r>
    </w:p>
    <w:p w14:paraId="1C820D3A">
      <w:pPr>
        <w:widowControl/>
        <w:numPr>
          <w:ilvl w:val="0"/>
          <w:numId w:val="6"/>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满足不少于 3 个卸料车位同时作业需求；</w:t>
      </w:r>
    </w:p>
    <w:p w14:paraId="06806E55">
      <w:pPr>
        <w:widowControl/>
        <w:numPr>
          <w:ilvl w:val="0"/>
          <w:numId w:val="6"/>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系统配套电机功率不低于 22kW。</w:t>
      </w:r>
    </w:p>
    <w:p w14:paraId="5D385583">
      <w:pPr>
        <w:pStyle w:val="15"/>
        <w:widowControl/>
        <w:numPr>
          <w:ilvl w:val="0"/>
          <w:numId w:val="4"/>
        </w:numPr>
        <w:spacing w:line="360" w:lineRule="atLeast"/>
        <w:ind w:firstLineChars="0"/>
        <w:jc w:val="left"/>
        <w:outlineLvl w:val="1"/>
        <w:rPr>
          <w:rFonts w:ascii="Arial" w:hAnsi="Arial" w:eastAsia="宋体" w:cs="Arial"/>
          <w:color w:val="000000"/>
          <w:kern w:val="0"/>
          <w:sz w:val="24"/>
          <w:szCs w:val="24"/>
        </w:rPr>
      </w:pPr>
      <w:r>
        <w:rPr>
          <w:rFonts w:ascii="Arial" w:hAnsi="Arial" w:eastAsia="宋体" w:cs="Arial"/>
          <w:color w:val="000000"/>
          <w:kern w:val="0"/>
          <w:sz w:val="24"/>
          <w:szCs w:val="24"/>
        </w:rPr>
        <w:t>垃圾集装箱移位系统</w:t>
      </w:r>
    </w:p>
    <w:p w14:paraId="20570A1D">
      <w:pPr>
        <w:widowControl/>
        <w:numPr>
          <w:ilvl w:val="0"/>
          <w:numId w:val="7"/>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采用两箱三工位布局结构；</w:t>
      </w:r>
    </w:p>
    <w:p w14:paraId="761EAF9F">
      <w:pPr>
        <w:widowControl/>
        <w:numPr>
          <w:ilvl w:val="0"/>
          <w:numId w:val="7"/>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移位运行可调速度范围：0～5.0m/min；</w:t>
      </w:r>
    </w:p>
    <w:p w14:paraId="0D896647">
      <w:pPr>
        <w:widowControl/>
        <w:numPr>
          <w:ilvl w:val="0"/>
          <w:numId w:val="7"/>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采用液压驱动方式，运行平稳、启停缓冲、无冲击震动；</w:t>
      </w:r>
    </w:p>
    <w:p w14:paraId="67A78B4B">
      <w:pPr>
        <w:widowControl/>
        <w:numPr>
          <w:ilvl w:val="0"/>
          <w:numId w:val="7"/>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托架结构外形满足标准垃圾专用集装箱承载、对位、移位使用要求。</w:t>
      </w:r>
    </w:p>
    <w:p w14:paraId="04B48A5E">
      <w:pPr>
        <w:pStyle w:val="15"/>
        <w:widowControl/>
        <w:numPr>
          <w:ilvl w:val="0"/>
          <w:numId w:val="4"/>
        </w:numPr>
        <w:spacing w:line="360" w:lineRule="atLeast"/>
        <w:ind w:firstLineChars="0"/>
        <w:jc w:val="left"/>
        <w:outlineLvl w:val="1"/>
        <w:rPr>
          <w:rFonts w:ascii="Arial" w:hAnsi="Arial" w:eastAsia="宋体" w:cs="Arial"/>
          <w:color w:val="000000"/>
          <w:kern w:val="0"/>
          <w:sz w:val="24"/>
          <w:szCs w:val="24"/>
        </w:rPr>
      </w:pPr>
      <w:r>
        <w:rPr>
          <w:rFonts w:ascii="Arial" w:hAnsi="Arial" w:eastAsia="宋体" w:cs="Arial"/>
          <w:color w:val="000000"/>
          <w:kern w:val="0"/>
          <w:sz w:val="24"/>
          <w:szCs w:val="24"/>
        </w:rPr>
        <w:t>中央控制系统</w:t>
      </w:r>
    </w:p>
    <w:p w14:paraId="040062E9">
      <w:pPr>
        <w:widowControl/>
        <w:spacing w:line="360" w:lineRule="atLeast"/>
        <w:jc w:val="left"/>
        <w:rPr>
          <w:rFonts w:ascii="Arial" w:hAnsi="Arial" w:eastAsia="宋体" w:cs="Arial"/>
          <w:color w:val="000000"/>
          <w:kern w:val="0"/>
          <w:sz w:val="24"/>
          <w:szCs w:val="24"/>
        </w:rPr>
      </w:pPr>
      <w:r>
        <w:rPr>
          <w:rFonts w:ascii="Arial" w:hAnsi="Arial" w:eastAsia="宋体" w:cs="Arial"/>
          <w:color w:val="000000"/>
          <w:kern w:val="0"/>
          <w:sz w:val="24"/>
          <w:szCs w:val="24"/>
        </w:rPr>
        <w:t>中央控制系统由工控计算机、液晶显示器、中控软件等组成，可对现场整套设备进行集中监视与联动控制，具备数据采集、设备控制、运行测量、参数调节、故障报警、历史记录存储查询等功能。</w:t>
      </w:r>
    </w:p>
    <w:p w14:paraId="59956BED">
      <w:pPr>
        <w:widowControl/>
        <w:numPr>
          <w:ilvl w:val="0"/>
          <w:numId w:val="8"/>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用户权限管理：管理员拥有最高系统权限，可按需分级分配各用户操作权限；</w:t>
      </w:r>
    </w:p>
    <w:p w14:paraId="757A7E94">
      <w:pPr>
        <w:widowControl/>
        <w:numPr>
          <w:ilvl w:val="0"/>
          <w:numId w:val="8"/>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生产线监控及故障报警：实时展示设备运行状态、动作流程，故障自动弹窗提示；可按时间查询、导出历史报警记录；</w:t>
      </w:r>
    </w:p>
    <w:p w14:paraId="37A1B683">
      <w:pPr>
        <w:widowControl/>
        <w:numPr>
          <w:ilvl w:val="0"/>
          <w:numId w:val="8"/>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生产线操作及参数设置：支持在线设置生产线工艺参数，下发后即时生效；</w:t>
      </w:r>
    </w:p>
    <w:p w14:paraId="059B1D67">
      <w:pPr>
        <w:widowControl/>
        <w:numPr>
          <w:ilvl w:val="0"/>
          <w:numId w:val="8"/>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设备硬件维护提醒：可预设保养维护周期，到期自动弹出维保提醒；</w:t>
      </w:r>
    </w:p>
    <w:p w14:paraId="4F6921A2">
      <w:pPr>
        <w:widowControl/>
        <w:numPr>
          <w:ilvl w:val="0"/>
          <w:numId w:val="8"/>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大屏显示系统：支持中控画面、视频监控画面、车辆调度画面集中显示；由工业液晶显示器、存储及解码设备等组成，满足集中可视化管理需求。</w:t>
      </w:r>
    </w:p>
    <w:p w14:paraId="78A8A16F">
      <w:pPr>
        <w:widowControl/>
        <w:spacing w:line="360" w:lineRule="atLeast"/>
        <w:jc w:val="left"/>
        <w:outlineLvl w:val="1"/>
        <w:rPr>
          <w:rFonts w:ascii="Arial" w:hAnsi="Arial" w:eastAsia="宋体" w:cs="Arial"/>
          <w:b/>
          <w:bCs/>
          <w:color w:val="000000"/>
          <w:kern w:val="0"/>
          <w:sz w:val="24"/>
          <w:szCs w:val="24"/>
        </w:rPr>
      </w:pPr>
      <w:r>
        <w:rPr>
          <w:rFonts w:hint="eastAsia" w:ascii="Arial" w:hAnsi="Arial" w:eastAsia="宋体" w:cs="Arial"/>
          <w:b/>
          <w:bCs/>
          <w:color w:val="000000"/>
          <w:kern w:val="0"/>
          <w:sz w:val="24"/>
          <w:szCs w:val="24"/>
          <w:lang w:val="en-US" w:eastAsia="zh-CN"/>
        </w:rPr>
        <w:t>六</w:t>
      </w:r>
      <w:r>
        <w:rPr>
          <w:rFonts w:ascii="Arial" w:hAnsi="Arial" w:eastAsia="宋体" w:cs="Arial"/>
          <w:b/>
          <w:bCs/>
          <w:color w:val="000000"/>
          <w:kern w:val="0"/>
          <w:sz w:val="24"/>
          <w:szCs w:val="24"/>
        </w:rPr>
        <w:t>、通用合规要求</w:t>
      </w:r>
    </w:p>
    <w:p w14:paraId="594B2279">
      <w:pPr>
        <w:widowControl/>
        <w:numPr>
          <w:ilvl w:val="0"/>
          <w:numId w:val="9"/>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本技术参数为</w:t>
      </w:r>
      <w:r>
        <w:rPr>
          <w:rFonts w:ascii="Arial" w:hAnsi="Arial" w:eastAsia="宋体" w:cs="Arial"/>
          <w:b/>
          <w:bCs/>
          <w:color w:val="000000"/>
          <w:kern w:val="0"/>
          <w:sz w:val="24"/>
          <w:szCs w:val="24"/>
        </w:rPr>
        <w:t>最低配置及性能要求</w:t>
      </w:r>
      <w:r>
        <w:rPr>
          <w:rFonts w:ascii="Arial" w:hAnsi="Arial" w:eastAsia="宋体" w:cs="Arial"/>
          <w:color w:val="000000"/>
          <w:kern w:val="0"/>
          <w:sz w:val="24"/>
          <w:szCs w:val="24"/>
        </w:rPr>
        <w:t>，满足或优于本参数、符合国家及行业相关标准的同档次产品均可参与投标，不指定特定品牌、型号、生产厂家。</w:t>
      </w:r>
    </w:p>
    <w:p w14:paraId="469E33D9">
      <w:pPr>
        <w:widowControl/>
        <w:numPr>
          <w:ilvl w:val="0"/>
          <w:numId w:val="9"/>
        </w:numPr>
        <w:spacing w:line="360" w:lineRule="atLeast"/>
        <w:ind w:left="0"/>
        <w:jc w:val="left"/>
        <w:rPr>
          <w:rFonts w:ascii="Arial" w:hAnsi="Arial" w:eastAsia="宋体" w:cs="Arial"/>
          <w:color w:val="000000"/>
          <w:kern w:val="0"/>
          <w:sz w:val="24"/>
          <w:szCs w:val="24"/>
        </w:rPr>
      </w:pPr>
      <w:r>
        <w:rPr>
          <w:rFonts w:ascii="Arial" w:hAnsi="Arial" w:eastAsia="宋体" w:cs="Arial"/>
          <w:color w:val="000000"/>
          <w:kern w:val="0"/>
          <w:sz w:val="24"/>
          <w:szCs w:val="24"/>
        </w:rPr>
        <w:t>所有设备材质、工艺、安全及环保指标须符合国家及行业现行标准规范。</w:t>
      </w:r>
    </w:p>
    <w:p w14:paraId="6B9D0151">
      <w:pPr>
        <w:widowControl/>
        <w:numPr>
          <w:ilvl w:val="0"/>
          <w:numId w:val="9"/>
        </w:numPr>
        <w:spacing w:line="360" w:lineRule="atLeast"/>
        <w:ind w:left="0"/>
        <w:jc w:val="left"/>
        <w:rPr>
          <w:rFonts w:ascii="Segoe UI" w:hAnsi="Segoe UI" w:eastAsia="宋体" w:cs="Segoe UI"/>
          <w:color w:val="000000"/>
          <w:kern w:val="0"/>
          <w:sz w:val="24"/>
          <w:szCs w:val="24"/>
        </w:rPr>
      </w:pPr>
      <w:r>
        <w:rPr>
          <w:rFonts w:ascii="Arial" w:hAnsi="Arial" w:eastAsia="宋体" w:cs="Arial"/>
          <w:color w:val="000000"/>
          <w:kern w:val="0"/>
          <w:sz w:val="24"/>
          <w:szCs w:val="24"/>
        </w:rPr>
        <w:t>所投产品为全新原厂合格产品，适配现场安装工况，零部件具备通用性、互换性，便于后期运维。</w:t>
      </w:r>
    </w:p>
    <w:p w14:paraId="5A493412">
      <w:pPr>
        <w:widowControl/>
        <w:spacing w:line="360" w:lineRule="atLeast"/>
        <w:jc w:val="left"/>
        <w:outlineLvl w:val="1"/>
        <w:rPr>
          <w:rFonts w:ascii="Segoe UI" w:hAnsi="Segoe UI" w:eastAsia="宋体" w:cs="Segoe UI"/>
          <w:b/>
          <w:bCs/>
          <w:color w:val="000000"/>
          <w:kern w:val="0"/>
          <w:sz w:val="24"/>
          <w:szCs w:val="24"/>
        </w:rPr>
      </w:pPr>
      <w:r>
        <w:rPr>
          <w:rFonts w:hint="eastAsia" w:ascii="Segoe UI" w:hAnsi="Segoe UI" w:eastAsia="宋体" w:cs="Segoe UI"/>
          <w:b/>
          <w:bCs/>
          <w:color w:val="000000"/>
          <w:kern w:val="0"/>
          <w:sz w:val="24"/>
          <w:szCs w:val="24"/>
          <w:lang w:val="en-US" w:eastAsia="zh-CN"/>
        </w:rPr>
        <w:t>七</w:t>
      </w:r>
      <w:r>
        <w:rPr>
          <w:rFonts w:ascii="Segoe UI" w:hAnsi="Segoe UI" w:eastAsia="宋体" w:cs="Segoe UI"/>
          <w:b/>
          <w:bCs/>
          <w:color w:val="000000"/>
          <w:kern w:val="0"/>
          <w:sz w:val="24"/>
          <w:szCs w:val="24"/>
        </w:rPr>
        <w:t>、项目实施及供货安装要求</w:t>
      </w:r>
    </w:p>
    <w:p w14:paraId="64BA5170">
      <w:pPr>
        <w:widowControl/>
        <w:numPr>
          <w:ilvl w:val="0"/>
          <w:numId w:val="10"/>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所有产品均为全新合格正品，符合国标、行业标准及本项目技术要求，严禁二手、翻新、贴牌产品。</w:t>
      </w:r>
    </w:p>
    <w:p w14:paraId="6849DB02">
      <w:pPr>
        <w:widowControl/>
        <w:numPr>
          <w:ilvl w:val="0"/>
          <w:numId w:val="10"/>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中标人进场须提供发货清单、合格证、材质证明、检测资料，规格质量不符须无条件免费更换。</w:t>
      </w:r>
    </w:p>
    <w:p w14:paraId="03947EE2">
      <w:pPr>
        <w:widowControl/>
        <w:numPr>
          <w:ilvl w:val="0"/>
          <w:numId w:val="10"/>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施工严格执行安全文明施工规范，动火、断电、高空作业落实防护，施工期间所有安全责任、事故损失由中标人承担。</w:t>
      </w:r>
    </w:p>
    <w:p w14:paraId="62AD984D">
      <w:pPr>
        <w:widowControl/>
        <w:numPr>
          <w:ilvl w:val="0"/>
          <w:numId w:val="10"/>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拆除垃圾、施工废料由中标人负责清理外运，做到工完场清。</w:t>
      </w:r>
    </w:p>
    <w:p w14:paraId="197CDCB4">
      <w:pPr>
        <w:widowControl/>
        <w:spacing w:line="360" w:lineRule="atLeast"/>
        <w:jc w:val="left"/>
        <w:outlineLvl w:val="1"/>
        <w:rPr>
          <w:rFonts w:ascii="Segoe UI" w:hAnsi="Segoe UI" w:eastAsia="宋体" w:cs="Segoe UI"/>
          <w:b/>
          <w:bCs/>
          <w:color w:val="000000"/>
          <w:kern w:val="0"/>
          <w:sz w:val="24"/>
          <w:szCs w:val="24"/>
        </w:rPr>
      </w:pPr>
      <w:r>
        <w:rPr>
          <w:rFonts w:hint="eastAsia" w:ascii="Segoe UI" w:hAnsi="Segoe UI" w:eastAsia="宋体" w:cs="Segoe UI"/>
          <w:b/>
          <w:bCs/>
          <w:color w:val="000000"/>
          <w:kern w:val="0"/>
          <w:sz w:val="24"/>
          <w:szCs w:val="24"/>
          <w:lang w:val="en-US" w:eastAsia="zh-CN"/>
        </w:rPr>
        <w:t>八</w:t>
      </w:r>
      <w:r>
        <w:rPr>
          <w:rFonts w:ascii="Segoe UI" w:hAnsi="Segoe UI" w:eastAsia="宋体" w:cs="Segoe UI"/>
          <w:b/>
          <w:bCs/>
          <w:color w:val="000000"/>
          <w:kern w:val="0"/>
          <w:sz w:val="24"/>
          <w:szCs w:val="24"/>
        </w:rPr>
        <w:t>、验收标准</w:t>
      </w:r>
    </w:p>
    <w:p w14:paraId="55570467">
      <w:pPr>
        <w:widowControl/>
        <w:numPr>
          <w:ilvl w:val="0"/>
          <w:numId w:val="11"/>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验收依据：本采购需求、投标文件、合同、国家及行业现行规范。</w:t>
      </w:r>
    </w:p>
    <w:p w14:paraId="398F95B3">
      <w:pPr>
        <w:widowControl/>
        <w:numPr>
          <w:ilvl w:val="0"/>
          <w:numId w:val="11"/>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实行</w:t>
      </w:r>
      <w:r>
        <w:rPr>
          <w:rFonts w:ascii="Segoe UI" w:hAnsi="Segoe UI" w:eastAsia="宋体" w:cs="Segoe UI"/>
          <w:b/>
          <w:bCs/>
          <w:color w:val="000000"/>
          <w:kern w:val="0"/>
          <w:sz w:val="24"/>
          <w:szCs w:val="24"/>
        </w:rPr>
        <w:t>分项单机试运行 + 整体联动验收</w:t>
      </w:r>
      <w:r>
        <w:rPr>
          <w:rFonts w:ascii="Segoe UI" w:hAnsi="Segoe UI" w:eastAsia="宋体" w:cs="Segoe UI"/>
          <w:color w:val="000000"/>
          <w:kern w:val="0"/>
          <w:sz w:val="24"/>
          <w:szCs w:val="24"/>
        </w:rPr>
        <w:t>。</w:t>
      </w:r>
    </w:p>
    <w:p w14:paraId="370BD3C8">
      <w:pPr>
        <w:widowControl/>
        <w:numPr>
          <w:ilvl w:val="0"/>
          <w:numId w:val="11"/>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整体要求：设备运行平稳、液压无渗漏、动作无卡滞、控制系统逻辑正常、报警联锁有效、排水通畅、称重及传感器精准、防腐涂装合格。</w:t>
      </w:r>
    </w:p>
    <w:p w14:paraId="0BE6DA8A">
      <w:pPr>
        <w:widowControl/>
        <w:numPr>
          <w:ilvl w:val="0"/>
          <w:numId w:val="11"/>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验收不合格，中标人须限期无偿整改返工，延误工期按违约处理，直至验收合格签署验收报告。</w:t>
      </w:r>
    </w:p>
    <w:p w14:paraId="39D9DFDB">
      <w:pPr>
        <w:widowControl/>
        <w:spacing w:line="360" w:lineRule="atLeast"/>
        <w:jc w:val="left"/>
        <w:outlineLvl w:val="1"/>
        <w:rPr>
          <w:rFonts w:ascii="Segoe UI" w:hAnsi="Segoe UI" w:eastAsia="宋体" w:cs="Segoe UI"/>
          <w:b/>
          <w:bCs/>
          <w:color w:val="000000"/>
          <w:kern w:val="0"/>
          <w:sz w:val="24"/>
          <w:szCs w:val="24"/>
        </w:rPr>
      </w:pPr>
      <w:r>
        <w:rPr>
          <w:rFonts w:hint="eastAsia" w:ascii="Segoe UI" w:hAnsi="Segoe UI" w:eastAsia="宋体" w:cs="Segoe UI"/>
          <w:b/>
          <w:bCs/>
          <w:color w:val="000000"/>
          <w:kern w:val="0"/>
          <w:sz w:val="24"/>
          <w:szCs w:val="24"/>
          <w:lang w:val="en-US" w:eastAsia="zh-CN"/>
        </w:rPr>
        <w:t>九</w:t>
      </w:r>
      <w:r>
        <w:rPr>
          <w:rFonts w:ascii="Segoe UI" w:hAnsi="Segoe UI" w:eastAsia="宋体" w:cs="Segoe UI"/>
          <w:b/>
          <w:bCs/>
          <w:color w:val="000000"/>
          <w:kern w:val="0"/>
          <w:sz w:val="24"/>
          <w:szCs w:val="24"/>
        </w:rPr>
        <w:t>、售后服务要求</w:t>
      </w:r>
    </w:p>
    <w:p w14:paraId="1467A49D">
      <w:pPr>
        <w:widowControl/>
        <w:numPr>
          <w:ilvl w:val="0"/>
          <w:numId w:val="12"/>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质保期内包修、包换、包退；报修</w:t>
      </w:r>
      <w:r>
        <w:rPr>
          <w:rFonts w:ascii="Segoe UI" w:hAnsi="Segoe UI" w:eastAsia="宋体" w:cs="Segoe UI"/>
          <w:b/>
          <w:bCs/>
          <w:color w:val="000000"/>
          <w:kern w:val="0"/>
          <w:sz w:val="24"/>
          <w:szCs w:val="24"/>
        </w:rPr>
        <w:t>2 小时响应，24 小时到达现场</w:t>
      </w:r>
      <w:r>
        <w:rPr>
          <w:rFonts w:ascii="Segoe UI" w:hAnsi="Segoe UI" w:eastAsia="宋体" w:cs="Segoe UI"/>
          <w:color w:val="000000"/>
          <w:kern w:val="0"/>
          <w:sz w:val="24"/>
          <w:szCs w:val="24"/>
        </w:rPr>
        <w:t>处置。</w:t>
      </w:r>
    </w:p>
    <w:p w14:paraId="021E83DB">
      <w:pPr>
        <w:widowControl/>
        <w:numPr>
          <w:ilvl w:val="0"/>
          <w:numId w:val="12"/>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质保期满提供终身成本价维保，优先供应配件，仅收取合理配件及人工费用。</w:t>
      </w:r>
    </w:p>
    <w:p w14:paraId="33E26358">
      <w:pPr>
        <w:widowControl/>
        <w:numPr>
          <w:ilvl w:val="0"/>
          <w:numId w:val="12"/>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建立售后台账，定期回访巡检，提供免费技术咨询。</w:t>
      </w:r>
    </w:p>
    <w:p w14:paraId="31721FF6">
      <w:pPr>
        <w:widowControl/>
        <w:numPr>
          <w:ilvl w:val="0"/>
          <w:numId w:val="12"/>
        </w:numPr>
        <w:spacing w:line="360" w:lineRule="atLeast"/>
        <w:ind w:left="0"/>
        <w:jc w:val="left"/>
        <w:rPr>
          <w:rFonts w:ascii="Segoe UI" w:hAnsi="Segoe UI" w:eastAsia="宋体" w:cs="Segoe UI"/>
          <w:color w:val="000000"/>
          <w:kern w:val="0"/>
          <w:sz w:val="24"/>
          <w:szCs w:val="24"/>
        </w:rPr>
      </w:pPr>
      <w:r>
        <w:rPr>
          <w:rFonts w:hint="eastAsia" w:ascii="宋体" w:hAnsi="宋体" w:eastAsia="宋体" w:cs="宋体"/>
          <w:color w:val="000000"/>
          <w:sz w:val="24"/>
          <w:szCs w:val="24"/>
        </w:rPr>
        <w:t>质保期内，投标方免费提供责任范围内的服务，包括但不限于：操作指导、技术支持和维修服务、免费设计修改、系统工艺和设备整改、调试或更换有故障的零部件、软件升级等</w:t>
      </w:r>
      <w:r>
        <w:rPr>
          <w:rFonts w:hint="eastAsia" w:ascii="宋体" w:hAnsi="宋体" w:eastAsia="宋体" w:cs="宋体"/>
          <w:color w:val="000000"/>
          <w:sz w:val="24"/>
          <w:szCs w:val="24"/>
          <w:lang w:eastAsia="zh-CN"/>
        </w:rPr>
        <w:t>。</w:t>
      </w:r>
    </w:p>
    <w:p w14:paraId="15EF303E">
      <w:pPr>
        <w:keepNext w:val="0"/>
        <w:keepLines w:val="0"/>
        <w:pageBreakBefore w:val="0"/>
        <w:widowControl/>
        <w:numPr>
          <w:ilvl w:val="0"/>
          <w:numId w:val="12"/>
        </w:numPr>
        <w:kinsoku/>
        <w:wordWrap/>
        <w:overflowPunct/>
        <w:topLinePunct w:val="0"/>
        <w:autoSpaceDE/>
        <w:autoSpaceDN/>
        <w:bidi w:val="0"/>
        <w:adjustRightInd/>
        <w:snapToGrid/>
        <w:spacing w:line="360" w:lineRule="auto"/>
        <w:ind w:left="0" w:hanging="363"/>
        <w:jc w:val="left"/>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投标人在</w:t>
      </w:r>
      <w:r>
        <w:rPr>
          <w:rFonts w:hint="eastAsia" w:ascii="宋体" w:hAnsi="宋体" w:eastAsia="宋体" w:cs="宋体"/>
          <w:color w:val="000000"/>
          <w:sz w:val="24"/>
          <w:szCs w:val="24"/>
          <w:lang w:val="en-US" w:eastAsia="zh-CN"/>
        </w:rPr>
        <w:t>响应</w:t>
      </w:r>
      <w:r>
        <w:rPr>
          <w:rFonts w:hint="eastAsia" w:ascii="宋体" w:hAnsi="宋体" w:eastAsia="宋体" w:cs="宋体"/>
          <w:color w:val="000000"/>
          <w:sz w:val="24"/>
          <w:szCs w:val="24"/>
        </w:rPr>
        <w:t>文件中应对设备进行详细的技术描述，条件的技术要求逐条响应，并详细填写技术规格偏离表；投标人负责提供满足工作要求的成套设备，供货必须完整、合理。</w:t>
      </w:r>
    </w:p>
    <w:p w14:paraId="7D6439DC">
      <w:pPr>
        <w:keepNext w:val="0"/>
        <w:keepLines w:val="0"/>
        <w:pageBreakBefore w:val="0"/>
        <w:widowControl/>
        <w:numPr>
          <w:ilvl w:val="0"/>
          <w:numId w:val="12"/>
        </w:numPr>
        <w:kinsoku/>
        <w:wordWrap/>
        <w:overflowPunct/>
        <w:topLinePunct w:val="0"/>
        <w:autoSpaceDE/>
        <w:autoSpaceDN/>
        <w:bidi w:val="0"/>
        <w:adjustRightInd/>
        <w:snapToGrid/>
        <w:spacing w:line="360" w:lineRule="auto"/>
        <w:ind w:left="0" w:hanging="363"/>
        <w:jc w:val="left"/>
        <w:textAlignment w:val="auto"/>
        <w:rPr>
          <w:rFonts w:hint="eastAsia" w:ascii="Segoe UI" w:hAnsi="Segoe UI" w:eastAsia="宋体" w:cs="Segoe UI"/>
          <w:color w:val="000000"/>
          <w:kern w:val="0"/>
          <w:sz w:val="24"/>
          <w:szCs w:val="24"/>
        </w:rPr>
      </w:pPr>
      <w:r>
        <w:rPr>
          <w:rFonts w:hint="eastAsia" w:ascii="Segoe UI" w:hAnsi="Segoe UI" w:eastAsia="宋体" w:cs="Segoe UI"/>
          <w:color w:val="000000"/>
          <w:kern w:val="0"/>
          <w:sz w:val="24"/>
          <w:szCs w:val="24"/>
        </w:rPr>
        <w:t>在质量保证期内投标人免费提供设备正常使用情况下的维修及保养服务，由于设备本身原因造成的损坏，投标人应及时给予免费维修或更换，由此引起的施工费、人工费、材料费等费用由投标人负责</w:t>
      </w:r>
    </w:p>
    <w:p w14:paraId="1450E7A4">
      <w:pPr>
        <w:keepNext w:val="0"/>
        <w:keepLines w:val="0"/>
        <w:pageBreakBefore w:val="0"/>
        <w:widowControl/>
        <w:numPr>
          <w:ilvl w:val="0"/>
          <w:numId w:val="12"/>
        </w:numPr>
        <w:kinsoku/>
        <w:wordWrap/>
        <w:overflowPunct/>
        <w:topLinePunct w:val="0"/>
        <w:autoSpaceDE/>
        <w:autoSpaceDN/>
        <w:bidi w:val="0"/>
        <w:adjustRightInd/>
        <w:snapToGrid/>
        <w:spacing w:line="360" w:lineRule="auto"/>
        <w:ind w:left="0" w:hanging="363"/>
        <w:jc w:val="left"/>
        <w:textAlignment w:val="auto"/>
        <w:rPr>
          <w:rFonts w:hint="eastAsia" w:ascii="Segoe UI" w:hAnsi="Segoe UI" w:eastAsia="宋体" w:cs="Segoe UI"/>
          <w:color w:val="000000"/>
          <w:kern w:val="0"/>
          <w:sz w:val="24"/>
          <w:szCs w:val="24"/>
        </w:rPr>
      </w:pPr>
      <w:r>
        <w:rPr>
          <w:rFonts w:hint="eastAsia" w:ascii="Segoe UI" w:hAnsi="Segoe UI" w:eastAsia="宋体" w:cs="Segoe UI"/>
          <w:color w:val="000000"/>
          <w:kern w:val="0"/>
          <w:sz w:val="24"/>
          <w:szCs w:val="24"/>
        </w:rPr>
        <w:t>中标后，还须提供设备培训、安装、调试、试运行过程中的相关技术服务。</w:t>
      </w:r>
    </w:p>
    <w:p w14:paraId="46118D71">
      <w:pPr>
        <w:widowControl/>
        <w:spacing w:line="360" w:lineRule="atLeast"/>
        <w:jc w:val="left"/>
        <w:outlineLvl w:val="1"/>
        <w:rPr>
          <w:rFonts w:hint="eastAsia" w:ascii="Segoe UI" w:hAnsi="Segoe UI" w:eastAsia="宋体" w:cs="Segoe UI"/>
          <w:b/>
          <w:bCs/>
          <w:color w:val="000000"/>
          <w:kern w:val="0"/>
          <w:sz w:val="24"/>
          <w:szCs w:val="24"/>
        </w:rPr>
      </w:pPr>
      <w:r>
        <w:rPr>
          <w:rFonts w:hint="eastAsia" w:ascii="Segoe UI" w:hAnsi="Segoe UI" w:eastAsia="宋体" w:cs="Segoe UI"/>
          <w:b/>
          <w:bCs/>
          <w:color w:val="000000"/>
          <w:kern w:val="0"/>
          <w:sz w:val="24"/>
          <w:szCs w:val="24"/>
        </w:rPr>
        <w:t>十、其他约定</w:t>
      </w:r>
    </w:p>
    <w:p w14:paraId="69BBE581">
      <w:pPr>
        <w:widowControl/>
        <w:numPr>
          <w:ilvl w:val="0"/>
          <w:numId w:val="13"/>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严禁转包、违法分包，一经发现取消中标资格、解除合同并上报政府采购不良记录。</w:t>
      </w:r>
    </w:p>
    <w:p w14:paraId="6CC576AD">
      <w:pPr>
        <w:widowControl/>
        <w:numPr>
          <w:ilvl w:val="0"/>
          <w:numId w:val="13"/>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中标人服从采购人现场管理及施工调度。</w:t>
      </w:r>
    </w:p>
    <w:p w14:paraId="67F0C5FD">
      <w:pPr>
        <w:widowControl/>
        <w:numPr>
          <w:ilvl w:val="0"/>
          <w:numId w:val="13"/>
        </w:numPr>
        <w:spacing w:line="360" w:lineRule="atLeast"/>
        <w:ind w:left="0"/>
        <w:jc w:val="left"/>
        <w:rPr>
          <w:rFonts w:ascii="Segoe UI" w:hAnsi="Segoe UI" w:eastAsia="宋体" w:cs="Segoe UI"/>
          <w:color w:val="000000"/>
          <w:kern w:val="0"/>
          <w:sz w:val="24"/>
          <w:szCs w:val="24"/>
        </w:rPr>
      </w:pPr>
      <w:r>
        <w:rPr>
          <w:rFonts w:ascii="Segoe UI" w:hAnsi="Segoe UI" w:eastAsia="宋体" w:cs="Segoe UI"/>
          <w:color w:val="000000"/>
          <w:kern w:val="0"/>
          <w:sz w:val="24"/>
          <w:szCs w:val="24"/>
        </w:rPr>
        <w:t>未尽事宜按</w:t>
      </w:r>
      <w:bookmarkStart w:id="2" w:name="_GoBack"/>
      <w:bookmarkEnd w:id="2"/>
      <w:r>
        <w:rPr>
          <w:rFonts w:hint="eastAsia" w:ascii="宋体" w:hAnsi="宋体" w:eastAsia="宋体" w:cs="宋体"/>
          <w:b/>
          <w:bCs/>
          <w:color w:val="000000"/>
          <w:sz w:val="24"/>
          <w:szCs w:val="24"/>
        </w:rPr>
        <w:t>《拟签订的合同文本》</w:t>
      </w:r>
      <w:r>
        <w:rPr>
          <w:rFonts w:ascii="Segoe UI" w:hAnsi="Segoe UI" w:eastAsia="宋体" w:cs="Segoe UI"/>
          <w:color w:val="000000"/>
          <w:kern w:val="0"/>
          <w:sz w:val="24"/>
          <w:szCs w:val="24"/>
        </w:rPr>
        <w:t>执行。</w:t>
      </w:r>
    </w:p>
    <w:p w14:paraId="40AE7991"/>
    <w:sectPr>
      <w:pgSz w:w="11906" w:h="16838"/>
      <w:pgMar w:top="1440" w:right="1418" w:bottom="1440" w:left="1418"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ACABB5"/>
    <w:multiLevelType w:val="multilevel"/>
    <w:tmpl w:val="F9ACABB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5955FE3"/>
    <w:multiLevelType w:val="multilevel"/>
    <w:tmpl w:val="05955FE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AE11D0A"/>
    <w:multiLevelType w:val="multilevel"/>
    <w:tmpl w:val="0AE11D0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304802AA"/>
    <w:multiLevelType w:val="multilevel"/>
    <w:tmpl w:val="304802A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85133B6"/>
    <w:multiLevelType w:val="multilevel"/>
    <w:tmpl w:val="385133B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3AB039DA"/>
    <w:multiLevelType w:val="multilevel"/>
    <w:tmpl w:val="3AB039D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3FA43871"/>
    <w:multiLevelType w:val="multilevel"/>
    <w:tmpl w:val="3FA43871"/>
    <w:lvl w:ilvl="0" w:tentative="0">
      <w:start w:val="1"/>
      <w:numFmt w:val="bullet"/>
      <w:lvlText w:val=""/>
      <w:lvlJc w:val="left"/>
      <w:pPr>
        <w:ind w:left="862" w:hanging="720"/>
      </w:pPr>
      <w:rPr>
        <w:rFonts w:hint="default" w:ascii="Wingdings" w:hAnsi="Wingding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15A4D11"/>
    <w:multiLevelType w:val="multilevel"/>
    <w:tmpl w:val="415A4D11"/>
    <w:lvl w:ilvl="0" w:tentative="0">
      <w:start w:val="2"/>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68A5DE9"/>
    <w:multiLevelType w:val="multilevel"/>
    <w:tmpl w:val="468A5DE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4B1C43E5"/>
    <w:multiLevelType w:val="multilevel"/>
    <w:tmpl w:val="4B1C43E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0">
    <w:nsid w:val="50FB65D7"/>
    <w:multiLevelType w:val="multilevel"/>
    <w:tmpl w:val="50FB65D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70E6789B"/>
    <w:multiLevelType w:val="multilevel"/>
    <w:tmpl w:val="70E6789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76CD5A58"/>
    <w:multiLevelType w:val="multilevel"/>
    <w:tmpl w:val="76CD5A58"/>
    <w:lvl w:ilvl="0" w:tentative="0">
      <w:start w:val="1"/>
      <w:numFmt w:val="decimal"/>
      <w:lvlText w:val="%1."/>
      <w:lvlJc w:val="left"/>
      <w:pPr>
        <w:ind w:left="420" w:hanging="420"/>
      </w:pPr>
      <w:rPr>
        <w:rFonts w:hint="default"/>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12"/>
  </w:num>
  <w:num w:numId="2">
    <w:abstractNumId w:val="7"/>
  </w:num>
  <w:num w:numId="3">
    <w:abstractNumId w:val="4"/>
  </w:num>
  <w:num w:numId="4">
    <w:abstractNumId w:val="6"/>
  </w:num>
  <w:num w:numId="5">
    <w:abstractNumId w:val="3"/>
  </w:num>
  <w:num w:numId="6">
    <w:abstractNumId w:val="1"/>
  </w:num>
  <w:num w:numId="7">
    <w:abstractNumId w:val="10"/>
  </w:num>
  <w:num w:numId="8">
    <w:abstractNumId w:val="2"/>
  </w:num>
  <w:num w:numId="9">
    <w:abstractNumId w:val="11"/>
  </w:num>
  <w:num w:numId="10">
    <w:abstractNumId w:val="5"/>
  </w:num>
  <w:num w:numId="11">
    <w:abstractNumId w:val="9"/>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6A9F"/>
    <w:rsid w:val="000330EA"/>
    <w:rsid w:val="000612B5"/>
    <w:rsid w:val="00096A9F"/>
    <w:rsid w:val="001542DB"/>
    <w:rsid w:val="00500E4E"/>
    <w:rsid w:val="005D13BE"/>
    <w:rsid w:val="005D5AE5"/>
    <w:rsid w:val="00695B49"/>
    <w:rsid w:val="007E6C05"/>
    <w:rsid w:val="009D5F6C"/>
    <w:rsid w:val="00BD05BD"/>
    <w:rsid w:val="00CB33CB"/>
    <w:rsid w:val="00CF7FDC"/>
    <w:rsid w:val="00E6535B"/>
    <w:rsid w:val="00F86664"/>
    <w:rsid w:val="781935E3"/>
    <w:rsid w:val="7AA223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link w:val="12"/>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paragraph" w:styleId="3">
    <w:name w:val="heading 2"/>
    <w:basedOn w:val="1"/>
    <w:link w:val="13"/>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4">
    <w:name w:val="Balloon Text"/>
    <w:basedOn w:val="1"/>
    <w:link w:val="14"/>
    <w:semiHidden/>
    <w:unhideWhenUsed/>
    <w:uiPriority w:val="99"/>
    <w:rPr>
      <w:sz w:val="18"/>
      <w:szCs w:val="18"/>
    </w:rPr>
  </w:style>
  <w:style w:type="paragraph" w:styleId="5">
    <w:name w:val="footer"/>
    <w:basedOn w:val="1"/>
    <w:link w:val="17"/>
    <w:unhideWhenUsed/>
    <w:qFormat/>
    <w:uiPriority w:val="99"/>
    <w:pPr>
      <w:tabs>
        <w:tab w:val="center" w:pos="4153"/>
        <w:tab w:val="right" w:pos="8306"/>
      </w:tabs>
      <w:snapToGrid w:val="0"/>
      <w:jc w:val="left"/>
    </w:pPr>
    <w:rPr>
      <w:sz w:val="18"/>
      <w:szCs w:val="18"/>
    </w:rPr>
  </w:style>
  <w:style w:type="paragraph" w:styleId="6">
    <w:name w:val="header"/>
    <w:basedOn w:val="1"/>
    <w:link w:val="16"/>
    <w:unhideWhenUsed/>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uiPriority w:val="99"/>
    <w:pPr>
      <w:spacing w:before="0" w:beforeAutospacing="1" w:after="0" w:afterAutospacing="1"/>
      <w:ind w:left="0" w:right="0"/>
      <w:jc w:val="left"/>
    </w:pPr>
    <w:rPr>
      <w:kern w:val="0"/>
      <w:sz w:val="24"/>
      <w:lang w:val="en-US" w:eastAsia="zh-CN" w:bidi="ar"/>
    </w:rPr>
  </w:style>
  <w:style w:type="character" w:styleId="10">
    <w:name w:val="Strong"/>
    <w:basedOn w:val="9"/>
    <w:qFormat/>
    <w:uiPriority w:val="22"/>
    <w:rPr>
      <w:b/>
      <w:bCs/>
    </w:rPr>
  </w:style>
  <w:style w:type="character" w:styleId="11">
    <w:name w:val="Emphasis"/>
    <w:basedOn w:val="9"/>
    <w:qFormat/>
    <w:uiPriority w:val="20"/>
    <w:rPr>
      <w:i/>
      <w:iCs/>
    </w:rPr>
  </w:style>
  <w:style w:type="character" w:customStyle="1" w:styleId="12">
    <w:name w:val="标题 1 Char"/>
    <w:basedOn w:val="9"/>
    <w:link w:val="2"/>
    <w:qFormat/>
    <w:uiPriority w:val="9"/>
    <w:rPr>
      <w:rFonts w:ascii="宋体" w:hAnsi="宋体" w:eastAsia="宋体" w:cs="宋体"/>
      <w:b/>
      <w:bCs/>
      <w:kern w:val="36"/>
      <w:sz w:val="48"/>
      <w:szCs w:val="48"/>
    </w:rPr>
  </w:style>
  <w:style w:type="character" w:customStyle="1" w:styleId="13">
    <w:name w:val="标题 2 Char"/>
    <w:basedOn w:val="9"/>
    <w:link w:val="3"/>
    <w:uiPriority w:val="9"/>
    <w:rPr>
      <w:rFonts w:ascii="宋体" w:hAnsi="宋体" w:eastAsia="宋体" w:cs="宋体"/>
      <w:b/>
      <w:bCs/>
      <w:kern w:val="0"/>
      <w:sz w:val="36"/>
      <w:szCs w:val="36"/>
    </w:rPr>
  </w:style>
  <w:style w:type="character" w:customStyle="1" w:styleId="14">
    <w:name w:val="批注框文本 Char"/>
    <w:basedOn w:val="9"/>
    <w:link w:val="4"/>
    <w:semiHidden/>
    <w:uiPriority w:val="99"/>
    <w:rPr>
      <w:sz w:val="18"/>
      <w:szCs w:val="18"/>
    </w:rPr>
  </w:style>
  <w:style w:type="paragraph" w:styleId="15">
    <w:name w:val="List Paragraph"/>
    <w:basedOn w:val="1"/>
    <w:qFormat/>
    <w:uiPriority w:val="34"/>
    <w:pPr>
      <w:ind w:firstLine="420" w:firstLineChars="200"/>
    </w:pPr>
  </w:style>
  <w:style w:type="character" w:customStyle="1" w:styleId="16">
    <w:name w:val="页眉 Char"/>
    <w:basedOn w:val="9"/>
    <w:link w:val="6"/>
    <w:uiPriority w:val="99"/>
    <w:rPr>
      <w:sz w:val="18"/>
      <w:szCs w:val="18"/>
    </w:rPr>
  </w:style>
  <w:style w:type="character" w:customStyle="1" w:styleId="17">
    <w:name w:val="页脚 Char"/>
    <w:basedOn w:val="9"/>
    <w:link w:val="5"/>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3782</Words>
  <Characters>3999</Characters>
  <Lines>40</Lines>
  <Paragraphs>11</Paragraphs>
  <TotalTime>21</TotalTime>
  <ScaleCrop>false</ScaleCrop>
  <LinksUpToDate>false</LinksUpToDate>
  <CharactersWithSpaces>4169</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2026-05-15T08:11:00Z</dcterms:created>
  <dc:creator>Microsoft 帐户</dc:creator>
  <cp:lastModifiedBy>Echo</cp:lastModifiedBy>
  <cp:lastPrinted>2026-05-15T08:33:00Z</cp:lastPrinted>
  <dcterms:modified xsi:type="dcterms:W3CDTF">2026-05-19T02:28:45Z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eyJoZGlkIjoiNzZjYWM0YzllMWVmN2I2N2YxM2M4NTQ3OTRjNmQzNjQiLCJ1c2VySWQiOiI0NDc4MjM4MTUifQ==</vt:lpwstr>
  </property>
  <property fmtid="{D5CDD505-2E9C-101B-9397-08002B2CF9AE}" pid="3" name="KSOProductBuildVer">
    <vt:lpwstr>2052-12.1.0.26375</vt:lpwstr>
  </property>
  <property fmtid="{D5CDD505-2E9C-101B-9397-08002B2CF9AE}" pid="4" name="ICV">
    <vt:lpwstr>31C62745640E43AAB2BB975C990F6A07_13</vt:lpwstr>
  </property>
</Properties>
</file>