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925C2">
      <w:pPr>
        <w:jc w:val="center"/>
        <w:rPr>
          <w:rFonts w:hint="eastAsia" w:ascii="宋体" w:hAnsi="宋体" w:cs="宋体"/>
          <w:b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30"/>
          <w:szCs w:val="30"/>
          <w:highlight w:val="none"/>
          <w:lang w:eastAsia="zh-CN"/>
        </w:rPr>
        <w:t>徐州市中心医院新城分院二期医用气体采购项目</w:t>
      </w:r>
    </w:p>
    <w:p w14:paraId="1852B197"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更正（澄清）内容（</w:t>
      </w:r>
      <w:r>
        <w:rPr>
          <w:rFonts w:hint="eastAsia" w:ascii="宋体" w:hAnsi="宋体" w:cs="宋体"/>
          <w:b/>
          <w:bCs/>
          <w:sz w:val="30"/>
          <w:szCs w:val="30"/>
          <w:highlight w:val="none"/>
        </w:rPr>
        <w:t>一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）</w:t>
      </w:r>
    </w:p>
    <w:p w14:paraId="40678161">
      <w:pPr>
        <w:pStyle w:val="23"/>
        <w:widowControl/>
        <w:spacing w:beforeAutospacing="0" w:afterAutospacing="0" w:line="38" w:lineRule="atLeast"/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</w:p>
    <w:p w14:paraId="12CB1544">
      <w:pPr>
        <w:pStyle w:val="23"/>
        <w:widowControl/>
        <w:spacing w:beforeAutospacing="0" w:afterAutospacing="0" w:line="360" w:lineRule="auto"/>
        <w:jc w:val="both"/>
        <w:rPr>
          <w:rStyle w:val="28"/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一、以下为澄清或者修改的内容</w:t>
      </w:r>
    </w:p>
    <w:p w14:paraId="59989E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firstLine="562" w:firstLineChars="200"/>
        <w:jc w:val="left"/>
        <w:textAlignment w:val="auto"/>
        <w:rPr>
          <w:rStyle w:val="28"/>
          <w:rFonts w:hint="eastAsia" w:ascii="Times New Roman" w:hAnsi="Times New Roman" w:eastAsia="宋体" w:cs="宋体"/>
          <w:b/>
          <w:sz w:val="28"/>
          <w:szCs w:val="28"/>
          <w:lang w:val="en-US" w:eastAsia="zh-CN"/>
        </w:rPr>
      </w:pPr>
      <w:r>
        <w:rPr>
          <w:rStyle w:val="28"/>
          <w:rFonts w:hint="eastAsia" w:ascii="Times New Roman" w:hAnsi="Times New Roman" w:eastAsia="宋体" w:cs="宋体"/>
          <w:b/>
          <w:sz w:val="28"/>
          <w:szCs w:val="28"/>
          <w:lang w:val="en-US" w:eastAsia="zh-CN"/>
        </w:rPr>
        <w:t>（一）原招标文件第六章《采购需求》三、采购清单及技术参数要求</w:t>
      </w:r>
    </w:p>
    <w:p w14:paraId="02A7D2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firstLine="562" w:firstLineChars="200"/>
        <w:jc w:val="left"/>
        <w:textAlignment w:val="auto"/>
        <w:rPr>
          <w:rStyle w:val="28"/>
          <w:rFonts w:hint="eastAsia" w:ascii="Times New Roman" w:hAnsi="Times New Roman" w:eastAsia="宋体" w:cs="宋体"/>
          <w:b/>
          <w:sz w:val="28"/>
          <w:szCs w:val="28"/>
          <w:lang w:val="en-US" w:eastAsia="zh-CN"/>
        </w:rPr>
      </w:pPr>
      <w:r>
        <w:rPr>
          <w:rStyle w:val="28"/>
          <w:rFonts w:hint="eastAsia" w:ascii="Times New Roman" w:hAnsi="Times New Roman" w:eastAsia="宋体" w:cs="宋体"/>
          <w:b/>
          <w:sz w:val="28"/>
          <w:szCs w:val="28"/>
          <w:lang w:val="en-US" w:eastAsia="zh-CN"/>
        </w:rPr>
        <w:t>1、第63页面</w:t>
      </w:r>
      <w:r>
        <w:rPr>
          <w:rStyle w:val="28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  <w:t>（11）▲符合GB/T 26572-2024无毒无害检测：镉、铅、汞等。</w:t>
      </w:r>
    </w:p>
    <w:p w14:paraId="522457FE">
      <w:pPr>
        <w:pStyle w:val="29"/>
        <w:spacing w:line="360" w:lineRule="auto"/>
        <w:ind w:left="0" w:firstLine="281" w:firstLineChars="1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现更正为：</w:t>
      </w:r>
    </w:p>
    <w:p w14:paraId="079B7682">
      <w:pPr>
        <w:pStyle w:val="4"/>
        <w:numPr>
          <w:ilvl w:val="0"/>
          <w:numId w:val="0"/>
        </w:numPr>
        <w:rPr>
          <w:rFonts w:hint="eastAsia"/>
          <w:sz w:val="28"/>
          <w:szCs w:val="28"/>
        </w:rPr>
      </w:pPr>
      <w:r>
        <w:rPr>
          <w:rStyle w:val="28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  <w:t>（11）▲</w:t>
      </w:r>
      <w:r>
        <w:rPr>
          <w:rFonts w:hint="eastAsia"/>
          <w:sz w:val="28"/>
          <w:szCs w:val="28"/>
        </w:rPr>
        <w:t>符合GB/T 26572-2011无毒无害检测：镉、铅、汞等。</w:t>
      </w:r>
    </w:p>
    <w:p w14:paraId="04A3CE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firstLine="562" w:firstLineChars="200"/>
        <w:jc w:val="left"/>
        <w:textAlignment w:val="auto"/>
        <w:rPr>
          <w:rStyle w:val="28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28"/>
          <w:rFonts w:hint="eastAsia" w:ascii="Times New Roman" w:hAnsi="Times New Roman" w:eastAsia="宋体" w:cs="宋体"/>
          <w:b/>
          <w:sz w:val="28"/>
          <w:szCs w:val="28"/>
          <w:lang w:val="en-US" w:eastAsia="zh-CN"/>
        </w:rPr>
        <w:t>2、第63页面</w:t>
      </w:r>
      <w:r>
        <w:rPr>
          <w:rStyle w:val="28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  <w:t>（13）▲符合GB8624-2025建筑材料及制品燃烧性能等级A(A1)。</w:t>
      </w:r>
    </w:p>
    <w:p w14:paraId="0FC398F4">
      <w:pPr>
        <w:pStyle w:val="29"/>
        <w:spacing w:line="360" w:lineRule="auto"/>
        <w:ind w:left="0" w:firstLine="281" w:firstLineChars="1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现更正为：</w:t>
      </w:r>
    </w:p>
    <w:p w14:paraId="28CA7FB6">
      <w:pPr>
        <w:pStyle w:val="4"/>
        <w:numPr>
          <w:ilvl w:val="0"/>
          <w:numId w:val="0"/>
        </w:numPr>
        <w:rPr>
          <w:rStyle w:val="28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28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  <w:t>（13）▲符合GB8624-2012建筑材料及制品燃烧性能等级A(A1)。</w:t>
      </w:r>
    </w:p>
    <w:p w14:paraId="0563957C">
      <w:pPr>
        <w:pStyle w:val="7"/>
        <w:ind w:firstLine="548" w:firstLineChars="195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Style w:val="28"/>
          <w:rFonts w:hint="eastAsia" w:ascii="Times New Roman" w:hAnsi="Times New Roman" w:eastAsia="宋体" w:cs="宋体"/>
          <w:b/>
          <w:sz w:val="28"/>
          <w:szCs w:val="28"/>
          <w:lang w:val="en-US" w:eastAsia="zh-CN"/>
        </w:rPr>
        <w:t>3、第66页面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（14）应符合GB50751-2012、GBT44059-2024、GB9706.108-2021要求</w:t>
      </w:r>
    </w:p>
    <w:p w14:paraId="7F0DDAFE">
      <w:pPr>
        <w:pStyle w:val="29"/>
        <w:spacing w:line="360" w:lineRule="auto"/>
        <w:ind w:left="0" w:firstLine="281" w:firstLineChars="1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现更正为：</w:t>
      </w:r>
    </w:p>
    <w:p w14:paraId="2966609D">
      <w:pPr>
        <w:pStyle w:val="4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Style w:val="28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  <w:t>（14）应符合GB50751-2012、GB/T 44059.1-2024、YY9706.108-2021要求</w:t>
      </w:r>
    </w:p>
    <w:p w14:paraId="09F1F66E">
      <w:pPr>
        <w:pStyle w:val="7"/>
        <w:ind w:firstLine="548" w:firstLineChars="195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Style w:val="28"/>
          <w:rFonts w:hint="eastAsia" w:ascii="Times New Roman" w:hAnsi="Times New Roman" w:eastAsia="宋体" w:cs="宋体"/>
          <w:b/>
          <w:sz w:val="28"/>
          <w:szCs w:val="28"/>
          <w:lang w:val="en-US" w:eastAsia="zh-CN"/>
        </w:rPr>
        <w:t>4、第72页面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（13）应符合GB50751-2012、GBT44059-2024、GB9706.108-2021要求</w:t>
      </w:r>
    </w:p>
    <w:p w14:paraId="664600C2">
      <w:pPr>
        <w:pStyle w:val="29"/>
        <w:spacing w:line="360" w:lineRule="auto"/>
        <w:ind w:left="0" w:firstLine="281" w:firstLineChars="1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现更正为：</w:t>
      </w:r>
    </w:p>
    <w:p w14:paraId="60F831C8">
      <w:pPr>
        <w:pStyle w:val="4"/>
        <w:numPr>
          <w:ilvl w:val="0"/>
          <w:numId w:val="0"/>
        </w:numPr>
        <w:rPr>
          <w:rStyle w:val="28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28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  <w:t>（13）应符合GB50751-2012、GB/T 44059.1-2024、YY9706.108-2021要求</w:t>
      </w:r>
    </w:p>
    <w:p w14:paraId="79B25947">
      <w:pPr>
        <w:pStyle w:val="7"/>
        <w:ind w:firstLine="548" w:firstLineChars="195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Style w:val="28"/>
          <w:rFonts w:hint="eastAsia" w:ascii="Times New Roman" w:hAnsi="Times New Roman" w:eastAsia="宋体" w:cs="宋体"/>
          <w:b/>
          <w:sz w:val="28"/>
          <w:szCs w:val="28"/>
          <w:lang w:val="en-US" w:eastAsia="zh-CN"/>
        </w:rPr>
        <w:t>5、第78页面</w:t>
      </w:r>
      <w:r>
        <w:rPr>
          <w:rStyle w:val="28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  <w:t>（14）应符合GB50751-2012、GBT44059-2024、GB9706.108-2021要求</w:t>
      </w:r>
    </w:p>
    <w:p w14:paraId="62862603">
      <w:pPr>
        <w:pStyle w:val="29"/>
        <w:spacing w:line="360" w:lineRule="auto"/>
        <w:ind w:left="0" w:firstLine="281" w:firstLineChars="1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现更正为：</w:t>
      </w:r>
    </w:p>
    <w:p w14:paraId="1C1935E7">
      <w:pPr>
        <w:pStyle w:val="4"/>
        <w:numPr>
          <w:ilvl w:val="0"/>
          <w:numId w:val="0"/>
        </w:numPr>
        <w:rPr>
          <w:rStyle w:val="28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28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  <w:t>（14）应符合GB50751-2012、GB/T 44059.1-2024、YY9706.108-2021要求</w:t>
      </w:r>
    </w:p>
    <w:p w14:paraId="023A8AA6">
      <w:pPr>
        <w:pStyle w:val="7"/>
        <w:ind w:firstLine="548" w:firstLineChars="195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Style w:val="28"/>
          <w:rFonts w:hint="eastAsia" w:ascii="Times New Roman" w:hAnsi="Times New Roman" w:eastAsia="宋体" w:cs="宋体"/>
          <w:b/>
          <w:sz w:val="28"/>
          <w:szCs w:val="28"/>
          <w:lang w:val="en-US" w:eastAsia="zh-CN"/>
        </w:rPr>
        <w:t>6、第84页面</w:t>
      </w:r>
      <w:r>
        <w:rPr>
          <w:rStyle w:val="28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  <w:t>（13）应符合GB50751-2012、GBT44059-2024、GB9706.108-2021要求</w:t>
      </w:r>
    </w:p>
    <w:p w14:paraId="1E2D9FA1">
      <w:pPr>
        <w:pStyle w:val="29"/>
        <w:spacing w:line="360" w:lineRule="auto"/>
        <w:ind w:left="0" w:firstLine="281" w:firstLineChars="1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现更正为：</w:t>
      </w:r>
    </w:p>
    <w:p w14:paraId="34A6FC64">
      <w:pPr>
        <w:rPr>
          <w:rStyle w:val="28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28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  <w:t>（13）应符合GB50751-2012、GB/T 44059.1-2024、YY9706.108-2021要求</w:t>
      </w:r>
    </w:p>
    <w:p w14:paraId="357DF321">
      <w:pPr>
        <w:pStyle w:val="7"/>
        <w:ind w:firstLine="548" w:firstLineChars="195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Style w:val="28"/>
          <w:rFonts w:hint="eastAsia" w:ascii="Times New Roman" w:hAnsi="Times New Roman" w:eastAsia="宋体" w:cs="宋体"/>
          <w:b/>
          <w:sz w:val="28"/>
          <w:szCs w:val="28"/>
          <w:lang w:val="en-US" w:eastAsia="zh-CN"/>
        </w:rPr>
        <w:t>7、第89页面</w:t>
      </w:r>
      <w:r>
        <w:rPr>
          <w:rStyle w:val="28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  <w:t>（13）应符合GB50751-2012、GBT44059.1-2024、GB9706.108-2021要求</w:t>
      </w:r>
    </w:p>
    <w:p w14:paraId="33596DC1">
      <w:pPr>
        <w:pStyle w:val="29"/>
        <w:spacing w:line="360" w:lineRule="auto"/>
        <w:ind w:left="0" w:firstLine="281" w:firstLineChars="1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现更正为：</w:t>
      </w:r>
    </w:p>
    <w:p w14:paraId="172B256C">
      <w:pPr>
        <w:rPr>
          <w:rStyle w:val="28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28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  <w:t>（13）应符合GB50751-2012、GB/T 44059.1-2024、YY9706.108-2021要求</w:t>
      </w:r>
    </w:p>
    <w:p w14:paraId="5E06C890">
      <w:pPr>
        <w:pStyle w:val="7"/>
        <w:ind w:firstLine="548" w:firstLineChars="195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Style w:val="28"/>
          <w:rFonts w:hint="eastAsia" w:ascii="Times New Roman" w:hAnsi="Times New Roman" w:eastAsia="宋体" w:cs="宋体"/>
          <w:b/>
          <w:sz w:val="28"/>
          <w:szCs w:val="28"/>
          <w:lang w:val="en-US" w:eastAsia="zh-CN"/>
        </w:rPr>
        <w:t>8、第93页面</w:t>
      </w:r>
      <w:r>
        <w:rPr>
          <w:rStyle w:val="28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  <w:t>（19）应符合GB50751-2012、GBT44059-2024、GB9706.108-2021的要求。</w:t>
      </w:r>
    </w:p>
    <w:p w14:paraId="2A322CCC">
      <w:pPr>
        <w:pStyle w:val="29"/>
        <w:spacing w:line="360" w:lineRule="auto"/>
        <w:ind w:left="0" w:firstLine="281" w:firstLineChars="1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现更正为：</w:t>
      </w:r>
    </w:p>
    <w:p w14:paraId="1B8B1DC1">
      <w:pPr>
        <w:rPr>
          <w:rStyle w:val="28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</w:pPr>
      <w:r>
        <w:rPr>
          <w:rStyle w:val="28"/>
          <w:rFonts w:hint="eastAsia" w:ascii="Times New Roman" w:hAnsi="Times New Roman" w:eastAsia="宋体" w:cs="宋体"/>
          <w:b w:val="0"/>
          <w:bCs/>
          <w:sz w:val="28"/>
          <w:szCs w:val="28"/>
          <w:lang w:val="en-US" w:eastAsia="zh-CN"/>
        </w:rPr>
        <w:t>（19）应符合GB50751-2012、GB/T 44059.1-2024、YY9706.108-2021要求</w:t>
      </w:r>
    </w:p>
    <w:p w14:paraId="2D9343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/>
        <w:jc w:val="left"/>
        <w:textAlignment w:val="auto"/>
        <w:rPr>
          <w:rStyle w:val="28"/>
          <w:rFonts w:hint="default" w:ascii="Times New Roman" w:hAnsi="Times New Roman" w:eastAsia="宋体" w:cs="宋体"/>
          <w:b/>
          <w:sz w:val="28"/>
          <w:szCs w:val="28"/>
          <w:lang w:val="en-US" w:eastAsia="zh-CN"/>
        </w:rPr>
      </w:pPr>
      <w:r>
        <w:rPr>
          <w:rStyle w:val="28"/>
          <w:rFonts w:hint="eastAsia" w:ascii="Times New Roman" w:hAnsi="Times New Roman" w:eastAsia="宋体" w:cs="宋体"/>
          <w:b/>
          <w:sz w:val="28"/>
          <w:szCs w:val="28"/>
          <w:lang w:val="en-US" w:eastAsia="zh-CN"/>
        </w:rPr>
        <w:t>（二）、原招标文件第五章 拟签订的合同文本中合同专用条款，删除“本合同采用固定单价合同”，其他合同内容不变。</w:t>
      </w:r>
    </w:p>
    <w:p w14:paraId="082E72C4">
      <w:pPr>
        <w:pStyle w:val="24"/>
        <w:ind w:left="0" w:leftChars="0" w:firstLine="0" w:firstLineChars="0"/>
        <w:rPr>
          <w:rFonts w:hint="eastAsia" w:cs="宋体"/>
          <w:b/>
          <w:bCs/>
          <w:sz w:val="28"/>
          <w:szCs w:val="28"/>
          <w:lang w:val="en-US" w:eastAsia="zh-CN"/>
        </w:rPr>
      </w:pPr>
    </w:p>
    <w:p w14:paraId="42A69570">
      <w:pPr>
        <w:pStyle w:val="24"/>
        <w:ind w:left="0" w:leftChars="0" w:firstLine="0" w:firstLineChars="0"/>
        <w:rPr>
          <w:rFonts w:hint="default" w:cs="宋体"/>
          <w:b/>
          <w:bCs/>
          <w:sz w:val="28"/>
          <w:szCs w:val="28"/>
          <w:lang w:val="en-US" w:eastAsia="zh-CN"/>
        </w:rPr>
      </w:pPr>
      <w:r>
        <w:rPr>
          <w:rFonts w:hint="eastAsia" w:cs="宋体"/>
          <w:b/>
          <w:bCs/>
          <w:sz w:val="28"/>
          <w:szCs w:val="28"/>
          <w:lang w:val="en-US" w:eastAsia="zh-CN"/>
        </w:rPr>
        <w:t>二、开标时间：</w:t>
      </w:r>
    </w:p>
    <w:p w14:paraId="2FC7155D">
      <w:pPr>
        <w:pStyle w:val="24"/>
        <w:ind w:left="0" w:leftChars="0" w:firstLine="560" w:firstLineChars="200"/>
        <w:rPr>
          <w:rFonts w:hint="eastAsia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cs="宋体"/>
          <w:sz w:val="28"/>
          <w:szCs w:val="28"/>
          <w:lang w:val="en-US" w:eastAsia="zh-CN"/>
        </w:rPr>
        <w:t>开标时间由原来2026年5月28日9点30分延期到2026年6月4日9点30分。</w:t>
      </w:r>
    </w:p>
    <w:p w14:paraId="32289E17">
      <w:pPr>
        <w:numPr>
          <w:ilvl w:val="0"/>
          <w:numId w:val="0"/>
        </w:numPr>
        <w:spacing w:line="360" w:lineRule="auto"/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/>
        </w:rPr>
      </w:pPr>
    </w:p>
    <w:p w14:paraId="2BBF2D88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/>
        </w:rPr>
        <w:t>三、</w:t>
      </w:r>
      <w:r>
        <w:rPr>
          <w:rFonts w:hint="eastAsia" w:ascii="宋体" w:hAnsi="宋体" w:cs="宋体"/>
          <w:b/>
          <w:bCs/>
          <w:kern w:val="2"/>
          <w:sz w:val="28"/>
          <w:szCs w:val="28"/>
        </w:rPr>
        <w:t>其他内容不变。</w:t>
      </w:r>
    </w:p>
    <w:p w14:paraId="1827BE89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3EF860BB">
      <w:pPr>
        <w:pStyle w:val="24"/>
        <w:rPr>
          <w:rFonts w:hint="eastAsia"/>
        </w:rPr>
      </w:pPr>
    </w:p>
    <w:p w14:paraId="5B216090">
      <w:pPr>
        <w:pStyle w:val="24"/>
        <w:rPr>
          <w:rFonts w:hint="eastAsia"/>
        </w:rPr>
      </w:pPr>
    </w:p>
    <w:p w14:paraId="61D46C59">
      <w:pPr>
        <w:pStyle w:val="24"/>
        <w:rPr>
          <w:rFonts w:hint="eastAsia"/>
        </w:rPr>
      </w:pPr>
    </w:p>
    <w:p w14:paraId="22A8D007">
      <w:pPr>
        <w:pStyle w:val="20"/>
        <w:numPr>
          <w:ilvl w:val="0"/>
          <w:numId w:val="0"/>
        </w:numPr>
        <w:ind w:right="33" w:rightChars="0"/>
        <w:jc w:val="righ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江苏中瑞建设项目管理有限公司</w:t>
      </w:r>
    </w:p>
    <w:p w14:paraId="5219569E">
      <w:pPr>
        <w:pStyle w:val="20"/>
        <w:numPr>
          <w:ilvl w:val="0"/>
          <w:numId w:val="0"/>
        </w:numPr>
        <w:ind w:right="33" w:rightChars="0"/>
        <w:jc w:val="right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2026年5月19日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F1DEC"/>
    <w:rsid w:val="016245C6"/>
    <w:rsid w:val="02663C42"/>
    <w:rsid w:val="030B2A3C"/>
    <w:rsid w:val="03640B3D"/>
    <w:rsid w:val="039C3694"/>
    <w:rsid w:val="03BE7AAE"/>
    <w:rsid w:val="04581CB1"/>
    <w:rsid w:val="04732647"/>
    <w:rsid w:val="04826D2E"/>
    <w:rsid w:val="048F7EE8"/>
    <w:rsid w:val="06093262"/>
    <w:rsid w:val="069A65B0"/>
    <w:rsid w:val="071B28F6"/>
    <w:rsid w:val="07524795"/>
    <w:rsid w:val="08591B53"/>
    <w:rsid w:val="087B7D1C"/>
    <w:rsid w:val="088A071D"/>
    <w:rsid w:val="09502F56"/>
    <w:rsid w:val="0A5553DD"/>
    <w:rsid w:val="0B212DFC"/>
    <w:rsid w:val="0BBA0B5B"/>
    <w:rsid w:val="0C34090D"/>
    <w:rsid w:val="0C7E387A"/>
    <w:rsid w:val="0D511D2F"/>
    <w:rsid w:val="0D6B65B1"/>
    <w:rsid w:val="0DBF06AB"/>
    <w:rsid w:val="0E3176C7"/>
    <w:rsid w:val="0F307AB2"/>
    <w:rsid w:val="0F334EAC"/>
    <w:rsid w:val="0F3F5F47"/>
    <w:rsid w:val="0F890F70"/>
    <w:rsid w:val="0F933B9D"/>
    <w:rsid w:val="0FCB5A17"/>
    <w:rsid w:val="101051ED"/>
    <w:rsid w:val="10260EB5"/>
    <w:rsid w:val="109D1177"/>
    <w:rsid w:val="116E0A2C"/>
    <w:rsid w:val="122670DE"/>
    <w:rsid w:val="123E4294"/>
    <w:rsid w:val="1319085D"/>
    <w:rsid w:val="137D2B9A"/>
    <w:rsid w:val="14123C2A"/>
    <w:rsid w:val="1481490C"/>
    <w:rsid w:val="153032F3"/>
    <w:rsid w:val="167F131F"/>
    <w:rsid w:val="16A63E2C"/>
    <w:rsid w:val="176371DE"/>
    <w:rsid w:val="188C4903"/>
    <w:rsid w:val="18B74DA0"/>
    <w:rsid w:val="19375EE1"/>
    <w:rsid w:val="19D61256"/>
    <w:rsid w:val="19FC41DF"/>
    <w:rsid w:val="1A023DF9"/>
    <w:rsid w:val="1A6C3968"/>
    <w:rsid w:val="1BA02AB1"/>
    <w:rsid w:val="1BB92BDD"/>
    <w:rsid w:val="1BE37C5A"/>
    <w:rsid w:val="1BF9747E"/>
    <w:rsid w:val="1C6E1C1A"/>
    <w:rsid w:val="1CF5481A"/>
    <w:rsid w:val="1D547061"/>
    <w:rsid w:val="1DCD4F4F"/>
    <w:rsid w:val="1EAA4A5F"/>
    <w:rsid w:val="1EF328AA"/>
    <w:rsid w:val="1FCB4587"/>
    <w:rsid w:val="209D0D1F"/>
    <w:rsid w:val="216919F8"/>
    <w:rsid w:val="216D6944"/>
    <w:rsid w:val="233E4217"/>
    <w:rsid w:val="23A128D5"/>
    <w:rsid w:val="23BE4C40"/>
    <w:rsid w:val="23EB1DA2"/>
    <w:rsid w:val="23FC58BB"/>
    <w:rsid w:val="246E6B03"/>
    <w:rsid w:val="24A3267C"/>
    <w:rsid w:val="25455E14"/>
    <w:rsid w:val="25F65EA0"/>
    <w:rsid w:val="26760048"/>
    <w:rsid w:val="27BD3A55"/>
    <w:rsid w:val="281178FD"/>
    <w:rsid w:val="2838400F"/>
    <w:rsid w:val="29095841"/>
    <w:rsid w:val="29D96155"/>
    <w:rsid w:val="2A34411C"/>
    <w:rsid w:val="2AAF6BEE"/>
    <w:rsid w:val="2B0D0850"/>
    <w:rsid w:val="2B1240B8"/>
    <w:rsid w:val="2B4D2282"/>
    <w:rsid w:val="2BB60EE7"/>
    <w:rsid w:val="2C0707CE"/>
    <w:rsid w:val="2C43539C"/>
    <w:rsid w:val="2CA927FA"/>
    <w:rsid w:val="2CA95249"/>
    <w:rsid w:val="2CC774B0"/>
    <w:rsid w:val="2D174892"/>
    <w:rsid w:val="2D43337D"/>
    <w:rsid w:val="2D7328EF"/>
    <w:rsid w:val="2D796D7D"/>
    <w:rsid w:val="2E3335C6"/>
    <w:rsid w:val="2ECA44C6"/>
    <w:rsid w:val="2F3C7955"/>
    <w:rsid w:val="2F407445"/>
    <w:rsid w:val="30DD0CC4"/>
    <w:rsid w:val="310D2261"/>
    <w:rsid w:val="31B21285"/>
    <w:rsid w:val="31B71515"/>
    <w:rsid w:val="341744ED"/>
    <w:rsid w:val="34394463"/>
    <w:rsid w:val="34692F9B"/>
    <w:rsid w:val="34AF4725"/>
    <w:rsid w:val="35226F2C"/>
    <w:rsid w:val="35DA3A24"/>
    <w:rsid w:val="36727878"/>
    <w:rsid w:val="372F1B4E"/>
    <w:rsid w:val="373D2F93"/>
    <w:rsid w:val="388C54AA"/>
    <w:rsid w:val="38EA0D21"/>
    <w:rsid w:val="39633163"/>
    <w:rsid w:val="39932868"/>
    <w:rsid w:val="39D37108"/>
    <w:rsid w:val="39D76BF8"/>
    <w:rsid w:val="3A023B78"/>
    <w:rsid w:val="3A742699"/>
    <w:rsid w:val="3A8F1281"/>
    <w:rsid w:val="3A8F5472"/>
    <w:rsid w:val="3AA31C05"/>
    <w:rsid w:val="3AC13E88"/>
    <w:rsid w:val="3BBD3BCC"/>
    <w:rsid w:val="3D402D06"/>
    <w:rsid w:val="3D956BAE"/>
    <w:rsid w:val="3E954F57"/>
    <w:rsid w:val="3F19736B"/>
    <w:rsid w:val="3F6F500B"/>
    <w:rsid w:val="3F852C53"/>
    <w:rsid w:val="40401F7A"/>
    <w:rsid w:val="405A7C3B"/>
    <w:rsid w:val="40D948EB"/>
    <w:rsid w:val="42F23EC2"/>
    <w:rsid w:val="43811983"/>
    <w:rsid w:val="43DE6DD5"/>
    <w:rsid w:val="443F1FF9"/>
    <w:rsid w:val="449737C0"/>
    <w:rsid w:val="45336CAD"/>
    <w:rsid w:val="45440EBA"/>
    <w:rsid w:val="455E3D2A"/>
    <w:rsid w:val="46C82208"/>
    <w:rsid w:val="47DB78B4"/>
    <w:rsid w:val="48403BBB"/>
    <w:rsid w:val="484328F0"/>
    <w:rsid w:val="48C4659A"/>
    <w:rsid w:val="48E56438"/>
    <w:rsid w:val="491F5EC6"/>
    <w:rsid w:val="4A0A0924"/>
    <w:rsid w:val="4A873D23"/>
    <w:rsid w:val="4AC867EE"/>
    <w:rsid w:val="4B28548C"/>
    <w:rsid w:val="4B346CEE"/>
    <w:rsid w:val="4B8B339F"/>
    <w:rsid w:val="4B971D44"/>
    <w:rsid w:val="4C303F46"/>
    <w:rsid w:val="4CA23096"/>
    <w:rsid w:val="4CB4691C"/>
    <w:rsid w:val="4CCF375F"/>
    <w:rsid w:val="4D237C5B"/>
    <w:rsid w:val="4D3A507C"/>
    <w:rsid w:val="4DB841F3"/>
    <w:rsid w:val="4EF86F9D"/>
    <w:rsid w:val="4EFC6765"/>
    <w:rsid w:val="4F884945"/>
    <w:rsid w:val="503E2B9F"/>
    <w:rsid w:val="50724B2D"/>
    <w:rsid w:val="50A15412"/>
    <w:rsid w:val="50FF480D"/>
    <w:rsid w:val="51145BE4"/>
    <w:rsid w:val="523C3645"/>
    <w:rsid w:val="529E7E5B"/>
    <w:rsid w:val="52DE1C23"/>
    <w:rsid w:val="535773A1"/>
    <w:rsid w:val="53BC2C8F"/>
    <w:rsid w:val="550D751A"/>
    <w:rsid w:val="5524184D"/>
    <w:rsid w:val="55A6430A"/>
    <w:rsid w:val="56477C89"/>
    <w:rsid w:val="57034731"/>
    <w:rsid w:val="576D56CE"/>
    <w:rsid w:val="57E52089"/>
    <w:rsid w:val="592866D1"/>
    <w:rsid w:val="59297CC8"/>
    <w:rsid w:val="5A3C086F"/>
    <w:rsid w:val="5B125A51"/>
    <w:rsid w:val="5B5E6814"/>
    <w:rsid w:val="5BB71341"/>
    <w:rsid w:val="5CD1707F"/>
    <w:rsid w:val="5CEF4994"/>
    <w:rsid w:val="5D560B5F"/>
    <w:rsid w:val="5E6832D7"/>
    <w:rsid w:val="5E6E2DD8"/>
    <w:rsid w:val="5E764257"/>
    <w:rsid w:val="5EBA46DF"/>
    <w:rsid w:val="5EC7676C"/>
    <w:rsid w:val="5EDE0D55"/>
    <w:rsid w:val="5F131BD1"/>
    <w:rsid w:val="5F467B8C"/>
    <w:rsid w:val="5F5A15AE"/>
    <w:rsid w:val="60025ECE"/>
    <w:rsid w:val="60274327"/>
    <w:rsid w:val="634B193A"/>
    <w:rsid w:val="637C15CE"/>
    <w:rsid w:val="63E91153"/>
    <w:rsid w:val="64740A1C"/>
    <w:rsid w:val="65F96058"/>
    <w:rsid w:val="66285F62"/>
    <w:rsid w:val="66A355E9"/>
    <w:rsid w:val="66C31ADB"/>
    <w:rsid w:val="674E7C4A"/>
    <w:rsid w:val="67C63C85"/>
    <w:rsid w:val="692063B2"/>
    <w:rsid w:val="693F018E"/>
    <w:rsid w:val="694A61EF"/>
    <w:rsid w:val="69584DB0"/>
    <w:rsid w:val="69B018C1"/>
    <w:rsid w:val="69C064B2"/>
    <w:rsid w:val="6A2633FF"/>
    <w:rsid w:val="6AF07978"/>
    <w:rsid w:val="6B7D41F7"/>
    <w:rsid w:val="6C0413DC"/>
    <w:rsid w:val="6CC462B9"/>
    <w:rsid w:val="6D6D4BA2"/>
    <w:rsid w:val="6D840E33"/>
    <w:rsid w:val="6D8825F4"/>
    <w:rsid w:val="6DA71E62"/>
    <w:rsid w:val="6FDD600F"/>
    <w:rsid w:val="703C47B8"/>
    <w:rsid w:val="71066EA0"/>
    <w:rsid w:val="713B338E"/>
    <w:rsid w:val="713E2889"/>
    <w:rsid w:val="733221CE"/>
    <w:rsid w:val="74F73BE4"/>
    <w:rsid w:val="75151DA7"/>
    <w:rsid w:val="75660855"/>
    <w:rsid w:val="762878B8"/>
    <w:rsid w:val="771A5453"/>
    <w:rsid w:val="7725204A"/>
    <w:rsid w:val="777A7295"/>
    <w:rsid w:val="782E3942"/>
    <w:rsid w:val="783F48F4"/>
    <w:rsid w:val="79144F31"/>
    <w:rsid w:val="79825532"/>
    <w:rsid w:val="799A63AB"/>
    <w:rsid w:val="79D34741"/>
    <w:rsid w:val="7A6148F5"/>
    <w:rsid w:val="7ABB480C"/>
    <w:rsid w:val="7B0A57DF"/>
    <w:rsid w:val="7B591EB1"/>
    <w:rsid w:val="7B71500F"/>
    <w:rsid w:val="7C174657"/>
    <w:rsid w:val="7C572CA5"/>
    <w:rsid w:val="7D1B1B29"/>
    <w:rsid w:val="7D384885"/>
    <w:rsid w:val="7D5D253D"/>
    <w:rsid w:val="7D847ACA"/>
    <w:rsid w:val="7DD00F61"/>
    <w:rsid w:val="7EE12CFA"/>
    <w:rsid w:val="7EEE2033"/>
    <w:rsid w:val="7FE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27">
    <w:name w:val="Default Paragraph Font"/>
    <w:semiHidden/>
    <w:qFormat/>
    <w:uiPriority w:val="0"/>
  </w:style>
  <w:style w:type="table" w:default="1" w:styleId="2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798"/>
    </w:pPr>
    <w:rPr>
      <w:rFonts w:ascii="Calibri" w:hAnsi="Calibri"/>
      <w:sz w:val="21"/>
    </w:rPr>
  </w:style>
  <w:style w:type="paragraph" w:styleId="4">
    <w:name w:val="Body Text"/>
    <w:basedOn w:val="1"/>
    <w:next w:val="5"/>
    <w:qFormat/>
    <w:uiPriority w:val="1"/>
    <w:pPr>
      <w:spacing w:after="120"/>
    </w:pPr>
  </w:style>
  <w:style w:type="paragraph" w:customStyle="1" w:styleId="5">
    <w:name w:val="一级条标题"/>
    <w:basedOn w:val="6"/>
    <w:next w:val="7"/>
    <w:qFormat/>
    <w:uiPriority w:val="0"/>
    <w:pPr>
      <w:tabs>
        <w:tab w:val="left" w:pos="810"/>
        <w:tab w:val="left" w:pos="907"/>
        <w:tab w:val="left" w:pos="1265"/>
      </w:tabs>
      <w:spacing w:before="0" w:after="0"/>
      <w:ind w:left="907" w:hanging="907"/>
      <w:outlineLvl w:val="2"/>
    </w:pPr>
    <w:rPr>
      <w:rFonts w:hAnsi="宋体"/>
      <w:sz w:val="20"/>
      <w:szCs w:val="20"/>
    </w:rPr>
  </w:style>
  <w:style w:type="paragraph" w:customStyle="1" w:styleId="6">
    <w:name w:val="章标题"/>
    <w:next w:val="1"/>
    <w:qFormat/>
    <w:uiPriority w:val="0"/>
    <w:pPr>
      <w:tabs>
        <w:tab w:val="left" w:pos="810"/>
        <w:tab w:val="left" w:pos="1265"/>
      </w:tabs>
      <w:spacing w:before="50" w:after="50"/>
      <w:ind w:left="810" w:hanging="810"/>
      <w:jc w:val="both"/>
      <w:outlineLvl w:val="1"/>
    </w:pPr>
    <w:rPr>
      <w:rFonts w:hint="default" w:ascii="黑体" w:hAnsi="Times New Roman" w:eastAsia="黑体" w:cs="Times New Roman"/>
      <w:sz w:val="21"/>
      <w:szCs w:val="22"/>
      <w:lang w:val="en-US" w:eastAsia="zh-CN" w:bidi="ar-SA"/>
    </w:rPr>
  </w:style>
  <w:style w:type="paragraph" w:customStyle="1" w:styleId="7">
    <w:name w:val="段"/>
    <w:basedOn w:val="8"/>
    <w:next w:val="1"/>
    <w:qFormat/>
    <w:uiPriority w:val="0"/>
    <w:pPr>
      <w:widowControl/>
      <w:ind w:firstLine="200"/>
    </w:pPr>
    <w:rPr>
      <w:rFonts w:hint="eastAsia" w:ascii="宋体"/>
      <w:sz w:val="20"/>
      <w:szCs w:val="20"/>
    </w:rPr>
  </w:style>
  <w:style w:type="paragraph" w:customStyle="1" w:styleId="8">
    <w:name w:val="正文1"/>
    <w:basedOn w:val="9"/>
    <w:next w:val="13"/>
    <w:qFormat/>
    <w:uiPriority w:val="0"/>
  </w:style>
  <w:style w:type="paragraph" w:customStyle="1" w:styleId="9">
    <w:name w:val="正文111"/>
    <w:next w:val="10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</w:rPr>
  </w:style>
  <w:style w:type="paragraph" w:customStyle="1" w:styleId="10">
    <w:name w:val="目录 111"/>
    <w:basedOn w:val="11"/>
    <w:next w:val="1"/>
    <w:qFormat/>
    <w:uiPriority w:val="0"/>
  </w:style>
  <w:style w:type="paragraph" w:customStyle="1" w:styleId="11">
    <w:name w:val="正文12"/>
    <w:next w:val="12"/>
    <w:qFormat/>
    <w:uiPriority w:val="0"/>
    <w:pPr>
      <w:widowControl w:val="0"/>
      <w:spacing w:line="360" w:lineRule="auto"/>
      <w:ind w:firstLine="723"/>
      <w:jc w:val="both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customStyle="1" w:styleId="12">
    <w:name w:val="正文文本111"/>
    <w:basedOn w:val="11"/>
    <w:next w:val="11"/>
    <w:qFormat/>
    <w:uiPriority w:val="0"/>
  </w:style>
  <w:style w:type="paragraph" w:customStyle="1" w:styleId="13">
    <w:name w:val="目录 11"/>
    <w:basedOn w:val="14"/>
    <w:next w:val="11"/>
    <w:qFormat/>
    <w:uiPriority w:val="0"/>
    <w:pPr>
      <w:widowControl/>
      <w:spacing w:after="100" w:line="259" w:lineRule="auto"/>
      <w:jc w:val="left"/>
    </w:pPr>
    <w:rPr>
      <w:rFonts w:ascii="Calibri" w:hAnsi="Calibri" w:eastAsia="宋体"/>
      <w:sz w:val="22"/>
      <w:szCs w:val="22"/>
    </w:rPr>
  </w:style>
  <w:style w:type="paragraph" w:customStyle="1" w:styleId="14">
    <w:name w:val="正文11"/>
    <w:next w:val="15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15">
    <w:name w:val="正文首行缩进 21"/>
    <w:basedOn w:val="16"/>
    <w:next w:val="1"/>
    <w:qFormat/>
    <w:uiPriority w:val="0"/>
    <w:pPr>
      <w:spacing w:line="357" w:lineRule="atLeast"/>
      <w:ind w:firstLine="420"/>
    </w:pPr>
    <w:rPr>
      <w:color w:val="000000"/>
      <w:sz w:val="20"/>
      <w:szCs w:val="20"/>
    </w:rPr>
  </w:style>
  <w:style w:type="paragraph" w:customStyle="1" w:styleId="16">
    <w:name w:val="正文文本缩进1"/>
    <w:basedOn w:val="14"/>
    <w:next w:val="17"/>
    <w:qFormat/>
    <w:uiPriority w:val="0"/>
    <w:pPr>
      <w:spacing w:after="120"/>
      <w:ind w:left="420"/>
    </w:pPr>
    <w:rPr>
      <w:rFonts w:ascii="Calibri" w:hAnsi="Calibri"/>
    </w:rPr>
  </w:style>
  <w:style w:type="paragraph" w:customStyle="1" w:styleId="17">
    <w:name w:val="寄信人地址1"/>
    <w:basedOn w:val="14"/>
    <w:qFormat/>
    <w:uiPriority w:val="0"/>
    <w:rPr>
      <w:rFonts w:ascii="Arial" w:hAnsi="Arial"/>
    </w:rPr>
  </w:style>
  <w:style w:type="paragraph" w:styleId="18">
    <w:name w:val="Body Text Indent"/>
    <w:basedOn w:val="1"/>
    <w:next w:val="19"/>
    <w:qFormat/>
    <w:uiPriority w:val="0"/>
    <w:pPr>
      <w:spacing w:after="120"/>
      <w:ind w:left="420"/>
    </w:pPr>
    <w:rPr>
      <w:rFonts w:ascii="Calibri" w:hAnsi="Calibri"/>
    </w:rPr>
  </w:style>
  <w:style w:type="paragraph" w:styleId="19">
    <w:name w:val="envelope return"/>
    <w:basedOn w:val="1"/>
    <w:qFormat/>
    <w:uiPriority w:val="0"/>
    <w:rPr>
      <w:rFonts w:ascii="Arial" w:hAnsi="Arial"/>
    </w:rPr>
  </w:style>
  <w:style w:type="paragraph" w:styleId="20">
    <w:name w:val="Block Text"/>
    <w:basedOn w:val="1"/>
    <w:unhideWhenUsed/>
    <w:qFormat/>
    <w:uiPriority w:val="0"/>
    <w:pPr>
      <w:ind w:left="420" w:right="33"/>
    </w:pPr>
    <w:rPr>
      <w:sz w:val="24"/>
    </w:rPr>
  </w:style>
  <w:style w:type="paragraph" w:styleId="21">
    <w:name w:val="toc 1"/>
    <w:basedOn w:val="1"/>
    <w:next w:val="1"/>
    <w:qFormat/>
    <w:uiPriority w:val="0"/>
    <w:pPr>
      <w:jc w:val="center"/>
    </w:pPr>
    <w:rPr>
      <w:rFonts w:ascii="Times New Roman" w:hAnsi="Times New Roman" w:eastAsia="宋体"/>
    </w:rPr>
  </w:style>
  <w:style w:type="paragraph" w:styleId="22">
    <w:name w:val="footnote text"/>
    <w:basedOn w:val="1"/>
    <w:next w:val="3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4">
    <w:name w:val="Body Text First Indent 2"/>
    <w:basedOn w:val="18"/>
    <w:qFormat/>
    <w:uiPriority w:val="0"/>
    <w:pPr>
      <w:spacing w:after="0" w:line="360" w:lineRule="auto"/>
      <w:ind w:left="0" w:firstLine="420"/>
    </w:pPr>
    <w:rPr>
      <w:rFonts w:ascii="宋体" w:hAnsi="宋体" w:eastAsia="宋体" w:cs="Times New Roman"/>
      <w:sz w:val="20"/>
      <w:szCs w:val="20"/>
    </w:rPr>
  </w:style>
  <w:style w:type="table" w:styleId="26">
    <w:name w:val="Table Grid"/>
    <w:basedOn w:val="2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8">
    <w:name w:val="Strong"/>
    <w:basedOn w:val="27"/>
    <w:qFormat/>
    <w:uiPriority w:val="0"/>
    <w:rPr>
      <w:b/>
    </w:rPr>
  </w:style>
  <w:style w:type="paragraph" w:customStyle="1" w:styleId="29">
    <w:name w:val="文本块11"/>
    <w:basedOn w:val="11"/>
    <w:unhideWhenUsed/>
    <w:qFormat/>
    <w:uiPriority w:val="6"/>
    <w:pPr>
      <w:spacing w:after="120"/>
      <w:ind w:left="1440" w:right="144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538</Words>
  <Characters>1085</Characters>
  <Lines>0</Lines>
  <Paragraphs>0</Paragraphs>
  <TotalTime>18</TotalTime>
  <ScaleCrop>false</ScaleCrop>
  <LinksUpToDate>false</LinksUpToDate>
  <CharactersWithSpaces>1094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2022-04-13T03:48:00Z</dcterms:created>
  <dc:creator>ADMIN</dc:creator>
  <cp:lastModifiedBy>啊娜^_^</cp:lastModifiedBy>
  <dcterms:modified xsi:type="dcterms:W3CDTF">2026-05-18T03:56:34Z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9F3DE852CDE64C96A6104EFF49376C1E_13</vt:lpwstr>
  </property>
  <property fmtid="{D5CDD505-2E9C-101B-9397-08002B2CF9AE}" pid="4" name="KSOTemplateDocerSaveRecord">
    <vt:lpwstr>eyJoZGlkIjoiMWViZjBkNmIyNWNhNjliNDFmMmZlNGExM2ZkZTU1YjgiLCJ1c2VySWQiOiIyMzIyNDg1MTIifQ==</vt:lpwstr>
  </property>
</Properties>
</file>