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0DE1D">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如有建议或意见，请以书面形式并加盖公章、注明联系人、联系方式，于</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val="en-US" w:eastAsia="en-US"/>
        </w:rPr>
        <w:t>年</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en-US" w:eastAsia="en-US"/>
        </w:rPr>
        <w:t>月</w:t>
      </w:r>
      <w:r>
        <w:rPr>
          <w:rFonts w:hint="eastAsia" w:ascii="宋体" w:hAnsi="宋体" w:eastAsia="宋体" w:cs="宋体"/>
          <w:sz w:val="24"/>
          <w:szCs w:val="24"/>
          <w:highlight w:val="none"/>
          <w:lang w:val="en-US" w:eastAsia="zh-CN"/>
        </w:rPr>
        <w:t>19</w:t>
      </w:r>
      <w:r>
        <w:rPr>
          <w:rFonts w:hint="eastAsia" w:ascii="宋体" w:hAnsi="宋体" w:eastAsia="宋体" w:cs="宋体"/>
          <w:sz w:val="24"/>
          <w:szCs w:val="24"/>
          <w:highlight w:val="none"/>
          <w:lang w:val="en-US" w:eastAsia="en-US"/>
        </w:rPr>
        <w:t>日17:00之前送至我单位，逾期不受理（如邮寄，</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val="en-US" w:eastAsia="en-US"/>
        </w:rPr>
        <w:t>年</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en-US" w:eastAsia="en-US"/>
        </w:rPr>
        <w:t>月</w:t>
      </w:r>
      <w:r>
        <w:rPr>
          <w:rFonts w:hint="eastAsia" w:ascii="宋体" w:hAnsi="宋体" w:eastAsia="宋体" w:cs="宋体"/>
          <w:sz w:val="24"/>
          <w:szCs w:val="24"/>
          <w:highlight w:val="none"/>
          <w:lang w:val="en-US" w:eastAsia="zh-CN"/>
        </w:rPr>
        <w:t>19</w:t>
      </w:r>
      <w:r>
        <w:rPr>
          <w:rFonts w:hint="eastAsia" w:ascii="宋体" w:hAnsi="宋体" w:eastAsia="宋体" w:cs="宋体"/>
          <w:sz w:val="24"/>
          <w:szCs w:val="24"/>
          <w:highlight w:val="none"/>
          <w:lang w:val="en-US" w:eastAsia="en-US"/>
        </w:rPr>
        <w:t>日17:00之后到达本公司的邮件将不再受理）。</w:t>
      </w:r>
    </w:p>
    <w:p w14:paraId="79016B91">
      <w:pPr>
        <w:spacing w:before="200" w:after="200" w:line="276" w:lineRule="auto"/>
        <w:jc w:val="left"/>
        <w:rPr>
          <w:rFonts w:hint="eastAsia" w:ascii="宋体" w:hAnsi="宋体" w:eastAsia="宋体" w:cs="宋体"/>
          <w:b/>
          <w:bCs/>
          <w:sz w:val="24"/>
          <w:szCs w:val="24"/>
          <w:highlight w:val="none"/>
          <w:lang w:val="en-US" w:eastAsia="en-US" w:bidi="ar-SA"/>
        </w:rPr>
      </w:pPr>
    </w:p>
    <w:p w14:paraId="59E10414">
      <w:pPr>
        <w:widowControl/>
        <w:jc w:val="center"/>
        <w:rPr>
          <w:rFonts w:hint="eastAsia" w:ascii="宋体" w:hAnsi="宋体" w:eastAsia="宋体" w:cs="宋体"/>
          <w:b/>
          <w:bCs/>
          <w:color w:val="auto"/>
          <w:sz w:val="28"/>
          <w:szCs w:val="28"/>
          <w:highlight w:val="none"/>
        </w:rPr>
      </w:pPr>
    </w:p>
    <w:p w14:paraId="34E3BD0A">
      <w:pPr>
        <w:widowControl/>
        <w:jc w:val="center"/>
        <w:rPr>
          <w:rFonts w:hint="eastAsia" w:ascii="宋体" w:hAnsi="宋体" w:eastAsia="宋体" w:cs="宋体"/>
          <w:b/>
          <w:bCs/>
          <w:color w:val="auto"/>
          <w:sz w:val="28"/>
          <w:szCs w:val="28"/>
          <w:highlight w:val="none"/>
        </w:rPr>
      </w:pPr>
    </w:p>
    <w:p w14:paraId="344B555C">
      <w:pPr>
        <w:widowControl/>
        <w:jc w:val="center"/>
        <w:rPr>
          <w:rFonts w:hint="eastAsia" w:ascii="宋体" w:hAnsi="宋体" w:eastAsia="宋体" w:cs="宋体"/>
          <w:b/>
          <w:bCs/>
          <w:color w:val="auto"/>
          <w:sz w:val="28"/>
          <w:szCs w:val="28"/>
          <w:highlight w:val="none"/>
        </w:rPr>
      </w:pPr>
    </w:p>
    <w:p w14:paraId="3C2DFACD">
      <w:pPr>
        <w:widowControl/>
        <w:jc w:val="center"/>
        <w:rPr>
          <w:rFonts w:hint="eastAsia" w:ascii="宋体" w:hAnsi="宋体" w:eastAsia="宋体" w:cs="宋体"/>
          <w:b/>
          <w:bCs/>
          <w:color w:val="auto"/>
          <w:sz w:val="28"/>
          <w:szCs w:val="28"/>
          <w:highlight w:val="none"/>
        </w:rPr>
      </w:pPr>
    </w:p>
    <w:p w14:paraId="76A3325C">
      <w:pPr>
        <w:widowControl/>
        <w:jc w:val="center"/>
        <w:rPr>
          <w:rFonts w:hint="eastAsia" w:ascii="宋体" w:hAnsi="宋体" w:eastAsia="宋体" w:cs="宋体"/>
          <w:b/>
          <w:bCs/>
          <w:color w:val="auto"/>
          <w:sz w:val="28"/>
          <w:szCs w:val="28"/>
          <w:highlight w:val="none"/>
        </w:rPr>
      </w:pPr>
    </w:p>
    <w:p w14:paraId="632878FD">
      <w:pPr>
        <w:widowControl/>
        <w:jc w:val="center"/>
        <w:rPr>
          <w:rFonts w:hint="eastAsia" w:ascii="宋体" w:hAnsi="宋体" w:eastAsia="宋体" w:cs="宋体"/>
          <w:b/>
          <w:bCs/>
          <w:color w:val="auto"/>
          <w:sz w:val="28"/>
          <w:szCs w:val="28"/>
          <w:highlight w:val="none"/>
        </w:rPr>
      </w:pPr>
    </w:p>
    <w:p w14:paraId="7DC21448">
      <w:pPr>
        <w:widowControl/>
        <w:jc w:val="center"/>
        <w:rPr>
          <w:rFonts w:hint="eastAsia" w:ascii="宋体" w:hAnsi="宋体" w:eastAsia="宋体" w:cs="宋体"/>
          <w:b/>
          <w:bCs/>
          <w:color w:val="auto"/>
          <w:sz w:val="28"/>
          <w:szCs w:val="28"/>
          <w:highlight w:val="none"/>
        </w:rPr>
      </w:pPr>
    </w:p>
    <w:p w14:paraId="2C286657">
      <w:pPr>
        <w:widowControl/>
        <w:jc w:val="center"/>
        <w:rPr>
          <w:rFonts w:hint="eastAsia" w:ascii="宋体" w:hAnsi="宋体" w:eastAsia="宋体" w:cs="宋体"/>
          <w:b/>
          <w:bCs/>
          <w:color w:val="auto"/>
          <w:sz w:val="28"/>
          <w:szCs w:val="28"/>
          <w:highlight w:val="none"/>
        </w:rPr>
      </w:pPr>
    </w:p>
    <w:p w14:paraId="563A4F5A">
      <w:pPr>
        <w:widowControl/>
        <w:jc w:val="center"/>
        <w:rPr>
          <w:rFonts w:hint="eastAsia" w:ascii="宋体" w:hAnsi="宋体" w:eastAsia="宋体" w:cs="宋体"/>
          <w:b/>
          <w:bCs/>
          <w:color w:val="auto"/>
          <w:sz w:val="28"/>
          <w:szCs w:val="28"/>
          <w:highlight w:val="none"/>
        </w:rPr>
      </w:pPr>
    </w:p>
    <w:p w14:paraId="3CE3E295">
      <w:pPr>
        <w:widowControl/>
        <w:jc w:val="center"/>
        <w:rPr>
          <w:rFonts w:hint="eastAsia" w:ascii="宋体" w:hAnsi="宋体" w:eastAsia="宋体" w:cs="宋体"/>
          <w:b/>
          <w:bCs/>
          <w:color w:val="auto"/>
          <w:sz w:val="28"/>
          <w:szCs w:val="28"/>
          <w:highlight w:val="none"/>
        </w:rPr>
      </w:pPr>
    </w:p>
    <w:p w14:paraId="424AD077">
      <w:pPr>
        <w:widowControl/>
        <w:jc w:val="center"/>
        <w:rPr>
          <w:rFonts w:hint="eastAsia" w:ascii="宋体" w:hAnsi="宋体" w:eastAsia="宋体" w:cs="宋体"/>
          <w:b/>
          <w:bCs/>
          <w:color w:val="auto"/>
          <w:sz w:val="28"/>
          <w:szCs w:val="28"/>
          <w:highlight w:val="none"/>
        </w:rPr>
      </w:pPr>
    </w:p>
    <w:p w14:paraId="57420820">
      <w:pPr>
        <w:widowControl/>
        <w:jc w:val="center"/>
        <w:rPr>
          <w:rFonts w:hint="eastAsia" w:ascii="宋体" w:hAnsi="宋体" w:eastAsia="宋体" w:cs="宋体"/>
          <w:b/>
          <w:bCs/>
          <w:color w:val="auto"/>
          <w:sz w:val="28"/>
          <w:szCs w:val="28"/>
          <w:highlight w:val="none"/>
        </w:rPr>
      </w:pPr>
    </w:p>
    <w:p w14:paraId="182BE34D">
      <w:pPr>
        <w:widowControl/>
        <w:jc w:val="center"/>
        <w:rPr>
          <w:rFonts w:hint="eastAsia" w:ascii="宋体" w:hAnsi="宋体" w:eastAsia="宋体" w:cs="宋体"/>
          <w:b/>
          <w:bCs/>
          <w:color w:val="auto"/>
          <w:sz w:val="28"/>
          <w:szCs w:val="28"/>
          <w:highlight w:val="none"/>
        </w:rPr>
      </w:pPr>
    </w:p>
    <w:p w14:paraId="6FCA2D70">
      <w:pPr>
        <w:widowControl/>
        <w:jc w:val="center"/>
        <w:rPr>
          <w:rFonts w:hint="eastAsia" w:ascii="宋体" w:hAnsi="宋体" w:eastAsia="宋体" w:cs="宋体"/>
          <w:b/>
          <w:bCs/>
          <w:color w:val="auto"/>
          <w:sz w:val="28"/>
          <w:szCs w:val="28"/>
          <w:highlight w:val="none"/>
        </w:rPr>
      </w:pPr>
    </w:p>
    <w:p w14:paraId="5B760A94">
      <w:pPr>
        <w:widowControl/>
        <w:jc w:val="center"/>
        <w:rPr>
          <w:rFonts w:hint="eastAsia" w:ascii="宋体" w:hAnsi="宋体" w:eastAsia="宋体" w:cs="宋体"/>
          <w:b/>
          <w:bCs/>
          <w:color w:val="auto"/>
          <w:sz w:val="28"/>
          <w:szCs w:val="28"/>
          <w:highlight w:val="none"/>
        </w:rPr>
      </w:pPr>
    </w:p>
    <w:p w14:paraId="58065917">
      <w:pPr>
        <w:widowControl/>
        <w:jc w:val="center"/>
        <w:rPr>
          <w:rFonts w:hint="eastAsia" w:ascii="宋体" w:hAnsi="宋体" w:eastAsia="宋体" w:cs="宋体"/>
          <w:b/>
          <w:bCs/>
          <w:color w:val="auto"/>
          <w:sz w:val="28"/>
          <w:szCs w:val="28"/>
          <w:highlight w:val="none"/>
        </w:rPr>
      </w:pPr>
    </w:p>
    <w:p w14:paraId="535E8D21">
      <w:pPr>
        <w:widowControl/>
        <w:jc w:val="center"/>
        <w:rPr>
          <w:rFonts w:hint="eastAsia" w:ascii="宋体" w:hAnsi="宋体" w:eastAsia="宋体" w:cs="宋体"/>
          <w:b/>
          <w:bCs/>
          <w:color w:val="auto"/>
          <w:sz w:val="28"/>
          <w:szCs w:val="28"/>
          <w:highlight w:val="none"/>
        </w:rPr>
      </w:pPr>
    </w:p>
    <w:p w14:paraId="40FF7C83">
      <w:pPr>
        <w:widowControl/>
        <w:jc w:val="center"/>
        <w:rPr>
          <w:rFonts w:hint="eastAsia" w:ascii="宋体" w:hAnsi="宋体" w:eastAsia="宋体" w:cs="宋体"/>
          <w:b/>
          <w:bCs/>
          <w:color w:val="auto"/>
          <w:sz w:val="28"/>
          <w:szCs w:val="28"/>
          <w:highlight w:val="none"/>
        </w:rPr>
      </w:pPr>
    </w:p>
    <w:p w14:paraId="700E7143">
      <w:pPr>
        <w:widowControl/>
        <w:jc w:val="both"/>
        <w:rPr>
          <w:rFonts w:hint="eastAsia" w:ascii="宋体" w:hAnsi="宋体" w:eastAsia="宋体" w:cs="宋体"/>
          <w:b/>
          <w:bCs/>
          <w:color w:val="auto"/>
          <w:sz w:val="28"/>
          <w:szCs w:val="28"/>
          <w:highlight w:val="none"/>
        </w:rPr>
      </w:pPr>
    </w:p>
    <w:p w14:paraId="6BC2A8F0">
      <w:pPr>
        <w:widowControl/>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采购需求</w:t>
      </w:r>
    </w:p>
    <w:p w14:paraId="793EED49">
      <w:pPr>
        <w:keepNext w:val="0"/>
        <w:keepLines w:val="0"/>
        <w:pageBreakBefore w:val="0"/>
        <w:widowControl w:val="0"/>
        <w:spacing w:line="440" w:lineRule="exact"/>
        <w:rPr>
          <w:rFonts w:ascii="宋体" w:hAnsi="宋体" w:cs="宋体"/>
          <w:b/>
          <w:color w:val="auto"/>
          <w:sz w:val="24"/>
          <w:highlight w:val="none"/>
        </w:rPr>
      </w:pPr>
      <w:r>
        <w:rPr>
          <w:rFonts w:ascii="宋体" w:hAnsi="宋体" w:cs="宋体"/>
          <w:b/>
          <w:bCs/>
          <w:color w:val="auto"/>
          <w:sz w:val="24"/>
          <w:highlight w:val="none"/>
        </w:rPr>
        <w:t>一、</w:t>
      </w:r>
      <w:r>
        <w:rPr>
          <w:rFonts w:ascii="宋体" w:hAnsi="宋体" w:cs="宋体"/>
          <w:b/>
          <w:color w:val="auto"/>
          <w:sz w:val="24"/>
          <w:highlight w:val="none"/>
        </w:rPr>
        <w:t>本项目采购的是非进口产品。</w:t>
      </w:r>
    </w:p>
    <w:p w14:paraId="514B1018">
      <w:pPr>
        <w:keepNext w:val="0"/>
        <w:keepLines w:val="0"/>
        <w:pageBreakBefore w:val="0"/>
        <w:widowControl w:val="0"/>
        <w:spacing w:line="440" w:lineRule="exact"/>
        <w:rPr>
          <w:rFonts w:ascii="宋体" w:hAnsi="宋体" w:cs="宋体"/>
          <w:b/>
          <w:bCs/>
          <w:color w:val="auto"/>
          <w:sz w:val="24"/>
          <w:highlight w:val="none"/>
        </w:rPr>
      </w:pPr>
      <w:r>
        <w:rPr>
          <w:rFonts w:ascii="宋体" w:hAnsi="宋体" w:cs="宋体"/>
          <w:b/>
          <w:color w:val="auto"/>
          <w:sz w:val="24"/>
          <w:highlight w:val="none"/>
        </w:rPr>
        <w:t>二、本项目不接受超过</w:t>
      </w:r>
      <w:r>
        <w:rPr>
          <w:rFonts w:hint="eastAsia" w:ascii="宋体" w:hAnsi="宋体" w:cs="宋体"/>
          <w:b/>
          <w:color w:val="auto"/>
          <w:sz w:val="24"/>
          <w:highlight w:val="none"/>
          <w:lang w:val="en-US" w:eastAsia="zh-CN"/>
        </w:rPr>
        <w:t>1500</w:t>
      </w:r>
      <w:r>
        <w:rPr>
          <w:rFonts w:ascii="宋体" w:hAnsi="宋体" w:cs="宋体"/>
          <w:b/>
          <w:color w:val="auto"/>
          <w:sz w:val="24"/>
          <w:highlight w:val="none"/>
        </w:rPr>
        <w:t>万元（采购项目预算金额）</w:t>
      </w:r>
      <w:r>
        <w:rPr>
          <w:rFonts w:hint="eastAsia" w:ascii="宋体" w:hAnsi="宋体" w:cs="宋体"/>
          <w:b/>
          <w:color w:val="auto"/>
          <w:sz w:val="24"/>
          <w:highlight w:val="none"/>
          <w:lang w:val="en-US" w:eastAsia="zh-CN"/>
        </w:rPr>
        <w:t>的投标报价</w:t>
      </w:r>
      <w:r>
        <w:rPr>
          <w:rFonts w:ascii="宋体" w:hAnsi="宋体" w:cs="宋体"/>
          <w:b/>
          <w:color w:val="auto"/>
          <w:sz w:val="24"/>
          <w:highlight w:val="none"/>
        </w:rPr>
        <w:t>，</w:t>
      </w:r>
      <w:r>
        <w:rPr>
          <w:rFonts w:ascii="宋体" w:hAnsi="宋体" w:cs="宋体"/>
          <w:b/>
          <w:bCs/>
          <w:color w:val="auto"/>
          <w:sz w:val="24"/>
          <w:highlight w:val="none"/>
        </w:rPr>
        <w:t>报价包括但不限于产品价、税金、运费、安装、</w:t>
      </w:r>
      <w:r>
        <w:rPr>
          <w:rFonts w:hint="eastAsia" w:ascii="宋体" w:hAnsi="宋体" w:cs="宋体"/>
          <w:b/>
          <w:bCs/>
          <w:color w:val="auto"/>
          <w:sz w:val="24"/>
          <w:highlight w:val="none"/>
          <w:lang w:val="en-US" w:eastAsia="zh-CN"/>
        </w:rPr>
        <w:t>调试</w:t>
      </w:r>
      <w:r>
        <w:rPr>
          <w:rFonts w:ascii="宋体" w:hAnsi="宋体" w:cs="宋体"/>
          <w:b/>
          <w:bCs/>
          <w:color w:val="auto"/>
          <w:sz w:val="24"/>
          <w:highlight w:val="none"/>
        </w:rPr>
        <w:t>、</w:t>
      </w:r>
      <w:r>
        <w:rPr>
          <w:rFonts w:hint="eastAsia" w:ascii="宋体" w:hAnsi="宋体" w:cs="宋体"/>
          <w:b/>
          <w:bCs/>
          <w:color w:val="auto"/>
          <w:sz w:val="24"/>
          <w:highlight w:val="none"/>
          <w:lang w:val="en-US" w:eastAsia="zh-CN"/>
        </w:rPr>
        <w:t>运行维护、</w:t>
      </w:r>
      <w:r>
        <w:rPr>
          <w:rFonts w:ascii="宋体" w:hAnsi="宋体" w:cs="宋体"/>
          <w:b/>
          <w:bCs/>
          <w:color w:val="auto"/>
          <w:sz w:val="24"/>
          <w:highlight w:val="none"/>
        </w:rPr>
        <w:t>保险、培训、售后服务、</w:t>
      </w:r>
      <w:r>
        <w:rPr>
          <w:rFonts w:hint="eastAsia" w:ascii="宋体" w:hAnsi="宋体" w:cs="宋体"/>
          <w:b/>
          <w:bCs/>
          <w:color w:val="auto"/>
          <w:sz w:val="24"/>
          <w:highlight w:val="none"/>
          <w:lang w:val="en-US" w:eastAsia="zh-CN"/>
        </w:rPr>
        <w:t>验收以及质量保修、维保、</w:t>
      </w:r>
      <w:r>
        <w:rPr>
          <w:rFonts w:ascii="宋体" w:hAnsi="宋体" w:cs="宋体"/>
          <w:b/>
          <w:bCs/>
          <w:color w:val="auto"/>
          <w:sz w:val="24"/>
          <w:highlight w:val="none"/>
        </w:rPr>
        <w:t>投标人的利润等全部费用。采购人不再支付报价以外的任何费用。</w:t>
      </w:r>
    </w:p>
    <w:p w14:paraId="36F726EF">
      <w:pPr>
        <w:pStyle w:val="8"/>
        <w:keepNext w:val="0"/>
        <w:keepLines w:val="0"/>
        <w:pageBreakBefore w:val="0"/>
        <w:spacing w:line="360" w:lineRule="auto"/>
        <w:jc w:val="left"/>
        <w:rPr>
          <w:rFonts w:hint="eastAsia" w:ascii="宋体" w:hAnsi="宋体" w:eastAsia="宋体" w:cs="宋体"/>
          <w:b/>
          <w:bCs/>
          <w:color w:val="000000"/>
          <w:sz w:val="24"/>
          <w:szCs w:val="24"/>
        </w:rPr>
      </w:pPr>
      <w:r>
        <w:rPr>
          <w:rFonts w:hint="eastAsia" w:ascii="宋体" w:hAnsi="宋体" w:cs="宋体"/>
          <w:b/>
          <w:bCs/>
          <w:color w:val="000000"/>
          <w:sz w:val="24"/>
          <w:szCs w:val="24"/>
          <w:lang w:val="en-US" w:eastAsia="zh-CN"/>
        </w:rPr>
        <w:t>三、</w:t>
      </w:r>
      <w:r>
        <w:rPr>
          <w:rFonts w:hint="eastAsia" w:ascii="宋体" w:hAnsi="宋体" w:eastAsia="宋体" w:cs="宋体"/>
          <w:b/>
          <w:bCs/>
          <w:color w:val="000000"/>
          <w:sz w:val="24"/>
          <w:szCs w:val="24"/>
        </w:rPr>
        <w:t>项目说明</w:t>
      </w:r>
    </w:p>
    <w:p w14:paraId="4A626F7C">
      <w:pPr>
        <w:pStyle w:val="8"/>
        <w:keepNext w:val="0"/>
        <w:keepLines w:val="0"/>
        <w:pageBreakBefore w:val="0"/>
        <w:spacing w:line="360" w:lineRule="auto"/>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1</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rPr>
        <w:t>采购人：</w:t>
      </w:r>
      <w:r>
        <w:rPr>
          <w:rFonts w:hint="eastAsia" w:ascii="宋体" w:hAnsi="宋体" w:eastAsia="宋体" w:cs="宋体"/>
          <w:b w:val="0"/>
          <w:bCs w:val="0"/>
          <w:color w:val="000000"/>
          <w:sz w:val="24"/>
          <w:szCs w:val="24"/>
          <w:lang w:eastAsia="zh-CN"/>
        </w:rPr>
        <w:t>徐州市云龙区城市管理局</w:t>
      </w:r>
      <w:r>
        <w:rPr>
          <w:rFonts w:hint="eastAsia" w:ascii="宋体" w:hAnsi="宋体" w:eastAsia="宋体" w:cs="宋体"/>
          <w:b w:val="0"/>
          <w:bCs w:val="0"/>
          <w:color w:val="000000"/>
          <w:sz w:val="24"/>
          <w:szCs w:val="24"/>
        </w:rPr>
        <w:t>。</w:t>
      </w:r>
    </w:p>
    <w:p w14:paraId="339D4B66">
      <w:pPr>
        <w:pStyle w:val="8"/>
        <w:keepNext w:val="0"/>
        <w:keepLines w:val="0"/>
        <w:pageBreakBefore w:val="0"/>
        <w:spacing w:line="360" w:lineRule="auto"/>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项目名称</w:t>
      </w:r>
      <w:r>
        <w:rPr>
          <w:rFonts w:hint="eastAsia" w:ascii="宋体" w:hAnsi="宋体" w:eastAsia="宋体" w:cs="宋体"/>
          <w:b w:val="0"/>
          <w:bCs w:val="0"/>
          <w:color w:val="000000"/>
          <w:sz w:val="24"/>
          <w:szCs w:val="24"/>
        </w:rPr>
        <w:t>：</w:t>
      </w:r>
      <w:bookmarkStart w:id="111" w:name="_GoBack"/>
      <w:r>
        <w:rPr>
          <w:rFonts w:hint="eastAsia" w:ascii="宋体" w:hAnsi="宋体" w:cs="宋体"/>
          <w:b w:val="0"/>
          <w:bCs w:val="0"/>
          <w:color w:val="000000"/>
          <w:sz w:val="24"/>
          <w:szCs w:val="24"/>
          <w:lang w:eastAsia="zh-CN"/>
        </w:rPr>
        <w:t>徐州市云龙区垃圾资源转运及处理建设项目-渗滤液处理设备采购</w:t>
      </w:r>
      <w:bookmarkEnd w:id="111"/>
      <w:r>
        <w:rPr>
          <w:rFonts w:hint="eastAsia" w:ascii="宋体" w:hAnsi="宋体" w:eastAsia="宋体" w:cs="宋体"/>
          <w:b w:val="0"/>
          <w:bCs w:val="0"/>
          <w:color w:val="000000"/>
          <w:sz w:val="24"/>
          <w:szCs w:val="24"/>
          <w:lang w:eastAsia="zh-CN"/>
        </w:rPr>
        <w:t>。</w:t>
      </w:r>
    </w:p>
    <w:p w14:paraId="495D7E3F">
      <w:pPr>
        <w:pStyle w:val="8"/>
        <w:keepNext w:val="0"/>
        <w:keepLines w:val="0"/>
        <w:pageBreakBefore w:val="0"/>
        <w:spacing w:line="360" w:lineRule="auto"/>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3、采购包划分：本项目共分为1个采购包。</w:t>
      </w:r>
    </w:p>
    <w:p w14:paraId="52E52CD5">
      <w:pPr>
        <w:pStyle w:val="8"/>
        <w:keepNext w:val="0"/>
        <w:keepLines w:val="0"/>
        <w:pageBreakBefore w:val="0"/>
        <w:spacing w:line="360" w:lineRule="auto"/>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4、项目概况：</w:t>
      </w:r>
      <w:r>
        <w:rPr>
          <w:rFonts w:hint="eastAsia" w:ascii="宋体" w:hAnsi="宋体" w:cs="宋体"/>
          <w:b w:val="0"/>
          <w:bCs w:val="0"/>
          <w:color w:val="000000"/>
          <w:sz w:val="24"/>
          <w:szCs w:val="24"/>
          <w:lang w:val="en-US" w:eastAsia="zh-CN"/>
        </w:rPr>
        <w:t>徐州市云龙区垃圾资源转运及处理建设项目-渗滤液处理设备采购</w:t>
      </w:r>
      <w:r>
        <w:rPr>
          <w:rFonts w:hint="eastAsia" w:ascii="宋体" w:hAnsi="宋体" w:eastAsia="宋体" w:cs="宋体"/>
          <w:b w:val="0"/>
          <w:bCs w:val="0"/>
          <w:color w:val="000000"/>
          <w:sz w:val="24"/>
          <w:szCs w:val="24"/>
          <w:lang w:val="en-US" w:eastAsia="zh-CN"/>
        </w:rPr>
        <w:t>；包含但不限于采购、安装、调试一体化。</w:t>
      </w:r>
    </w:p>
    <w:p w14:paraId="721C7FCC">
      <w:pPr>
        <w:numPr>
          <w:numId w:val="0"/>
        </w:numP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供货期（含安装调试工期）：</w:t>
      </w:r>
      <w:r>
        <w:rPr>
          <w:rFonts w:hint="eastAsia" w:ascii="宋体" w:hAnsi="宋体" w:eastAsia="宋体" w:cs="宋体"/>
          <w:b w:val="0"/>
          <w:bCs w:val="0"/>
          <w:color w:val="000000"/>
          <w:sz w:val="24"/>
          <w:szCs w:val="24"/>
          <w:highlight w:val="none"/>
          <w:lang w:val="en-US" w:eastAsia="zh-CN" w:bidi="ar-SA"/>
        </w:rPr>
        <w:t>120日历天，签订合同且接到采购人通知后 120 日历天内完成所有设备供货、安装、调试。</w:t>
      </w:r>
    </w:p>
    <w:p w14:paraId="7EDEE939">
      <w:pPr>
        <w:keepNext w:val="0"/>
        <w:keepLines w:val="0"/>
        <w:pageBreakBefore w:val="0"/>
        <w:widowControl w:val="0"/>
        <w:spacing w:line="440" w:lineRule="exact"/>
        <w:rPr>
          <w:rFonts w:hint="eastAsia" w:ascii="宋体" w:hAnsi="宋体" w:cs="宋体"/>
          <w:b/>
          <w:bCs/>
          <w:color w:val="auto"/>
          <w:sz w:val="24"/>
          <w:highlight w:val="none"/>
        </w:rPr>
      </w:pPr>
      <w:r>
        <w:rPr>
          <w:rFonts w:hint="eastAsia" w:ascii="宋体" w:hAnsi="宋体" w:cs="宋体"/>
          <w:b/>
          <w:color w:val="auto"/>
          <w:sz w:val="24"/>
          <w:highlight w:val="none"/>
          <w:lang w:val="en-US" w:eastAsia="zh-CN"/>
        </w:rPr>
        <w:t>四</w:t>
      </w:r>
      <w:r>
        <w:rPr>
          <w:rFonts w:ascii="宋体" w:hAnsi="宋体" w:cs="宋体"/>
          <w:b/>
          <w:color w:val="auto"/>
          <w:sz w:val="24"/>
          <w:highlight w:val="none"/>
        </w:rPr>
        <w:t>、项目内容</w:t>
      </w:r>
      <w:r>
        <w:rPr>
          <w:rFonts w:hint="eastAsia" w:ascii="宋体" w:hAnsi="宋体" w:cs="宋体"/>
          <w:b/>
          <w:color w:val="auto"/>
          <w:sz w:val="24"/>
          <w:highlight w:val="none"/>
          <w:lang w:val="en-US" w:eastAsia="zh-CN"/>
        </w:rPr>
        <w:t>及技术参数要求</w:t>
      </w:r>
    </w:p>
    <w:p w14:paraId="0E2294DF">
      <w:pPr>
        <w:pStyle w:val="8"/>
        <w:keepNext w:val="0"/>
        <w:keepLines w:val="0"/>
        <w:pageBreakBefore w:val="0"/>
        <w:spacing w:line="360" w:lineRule="auto"/>
        <w:jc w:val="left"/>
        <w:rPr>
          <w:rFonts w:hint="eastAsia" w:ascii="宋体" w:hAnsi="宋体" w:eastAsia="宋体" w:cs="宋体"/>
          <w:b w:val="0"/>
          <w:bCs w:val="0"/>
          <w:color w:val="000000"/>
          <w:sz w:val="24"/>
          <w:szCs w:val="24"/>
        </w:rPr>
      </w:pPr>
      <w:bookmarkStart w:id="0" w:name="_Toc152043787"/>
      <w:bookmarkEnd w:id="0"/>
      <w:bookmarkStart w:id="1" w:name="_Toc493005306"/>
      <w:bookmarkEnd w:id="1"/>
      <w:bookmarkStart w:id="2" w:name="_Toc497019427"/>
      <w:bookmarkEnd w:id="2"/>
      <w:bookmarkStart w:id="3" w:name="_Toc255822704"/>
      <w:bookmarkEnd w:id="3"/>
      <w:bookmarkStart w:id="4" w:name="_Toc255822703"/>
      <w:bookmarkEnd w:id="4"/>
      <w:bookmarkStart w:id="5" w:name="_Toc484743320"/>
      <w:bookmarkEnd w:id="5"/>
      <w:r>
        <w:rPr>
          <w:rFonts w:hint="eastAsia" w:ascii="宋体" w:hAnsi="宋体" w:cs="宋体"/>
          <w:b w:val="0"/>
          <w:bCs w:val="0"/>
          <w:color w:val="000000"/>
          <w:sz w:val="24"/>
          <w:szCs w:val="24"/>
          <w:lang w:eastAsia="zh-CN"/>
        </w:rPr>
        <w:t>（</w:t>
      </w:r>
      <w:r>
        <w:rPr>
          <w:rFonts w:hint="eastAsia" w:ascii="宋体" w:hAnsi="宋体" w:cs="宋体"/>
          <w:b w:val="0"/>
          <w:bCs w:val="0"/>
          <w:color w:val="000000"/>
          <w:sz w:val="24"/>
          <w:szCs w:val="24"/>
          <w:lang w:val="en-US" w:eastAsia="zh-CN"/>
        </w:rPr>
        <w:t>一</w:t>
      </w:r>
      <w:r>
        <w:rPr>
          <w:rFonts w:hint="eastAsia" w:ascii="宋体" w:hAnsi="宋体" w:cs="宋体"/>
          <w:b w:val="0"/>
          <w:bCs w:val="0"/>
          <w:color w:val="000000"/>
          <w:sz w:val="24"/>
          <w:szCs w:val="24"/>
          <w:lang w:eastAsia="zh-CN"/>
        </w:rPr>
        <w:t>）</w:t>
      </w:r>
      <w:r>
        <w:rPr>
          <w:rFonts w:hint="eastAsia" w:ascii="宋体" w:hAnsi="宋体" w:eastAsia="宋体" w:cs="宋体"/>
          <w:b w:val="0"/>
          <w:bCs w:val="0"/>
          <w:color w:val="000000"/>
          <w:sz w:val="24"/>
          <w:szCs w:val="24"/>
        </w:rPr>
        <w:t>项目背景</w:t>
      </w:r>
    </w:p>
    <w:p w14:paraId="475722A5">
      <w:pPr>
        <w:pStyle w:val="8"/>
        <w:keepNext w:val="0"/>
        <w:keepLines w:val="0"/>
        <w:pageBreakBefore w:val="0"/>
        <w:spacing w:line="360" w:lineRule="auto"/>
        <w:ind w:firstLine="480" w:firstLineChars="20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本项目渗滤液处理系统处理对象为新鲜渗滤液、设备冲洗水、场地冲洗水、除臭废水的混合污水，处理规模为150 t/d，采用“预处理+两级AO+外置式膜生物反应器UF+高级氧化/NF（保障）”工艺，排水执行污水排入城镇下水道要求。</w:t>
      </w:r>
    </w:p>
    <w:p w14:paraId="7277F730">
      <w:pPr>
        <w:pStyle w:val="8"/>
        <w:keepNext w:val="0"/>
        <w:keepLines w:val="0"/>
        <w:pageBreakBefore w:val="0"/>
        <w:spacing w:line="360" w:lineRule="auto"/>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（二）主要内容及要求</w:t>
      </w:r>
    </w:p>
    <w:p w14:paraId="42EB3A4B">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6" w:name="_Toc229738162"/>
      <w:r>
        <w:rPr>
          <w:rFonts w:hint="eastAsia" w:ascii="宋体" w:hAnsi="宋体" w:eastAsia="宋体" w:cs="宋体"/>
          <w:b/>
          <w:sz w:val="24"/>
          <w:szCs w:val="24"/>
        </w:rPr>
        <w:t>1．总体要求</w:t>
      </w:r>
      <w:bookmarkEnd w:id="6"/>
    </w:p>
    <w:p w14:paraId="40DA00BE">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本项目为</w:t>
      </w:r>
      <w:r>
        <w:rPr>
          <w:rFonts w:hint="eastAsia" w:ascii="宋体" w:hAnsi="宋体" w:eastAsia="宋体" w:cs="宋体"/>
          <w:sz w:val="24"/>
          <w:szCs w:val="24"/>
          <w:highlight w:val="none"/>
        </w:rPr>
        <w:t>徐州市云龙区垃圾资源化转运及处理建设项目污水处理系统，对项目污水处理系统的功能设计、设备构成、供货、结构、性能、安装和调试试验、培训等方面提出了具体技术要求。投标人应提供满足本技术规格书要求所必需的全套设备及各项服务，包括：水泵、电机、轴承等所有附件及随机备品配件等，并对系统完整性、成熟性及先进性负责。如有遗漏投标人应予以免费提供补充。</w:t>
      </w:r>
    </w:p>
    <w:p w14:paraId="477EF98C">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保证所供货物的安全性、可靠性、先进性、经济性和实用性，并为全新、未使用过的原装合格正品，完全符合采购文件规定的质量、规格和性能的要求，达到中国最新版的法律、法规或行业规定的相关标准、规范的要求，符合项目所在地政府有关特殊要求，同时满足</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使用要求，保证能通过</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的质量验收、竣工验收等各类验收。</w:t>
      </w:r>
    </w:p>
    <w:p w14:paraId="17BEACAD">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投标人应保证</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在使用其所供货物时不受第三方提出侵犯其专利权、著作权和工业产权等知识产权的起诉。一旦出现侵权，一律由投标人承担全部责任。同时，供应商对</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采购的货物所涉及的技术、产能等信息负有保密义务。</w:t>
      </w:r>
    </w:p>
    <w:p w14:paraId="2F688C8F">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投标人中标后须与</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在投标产品的“功能配置、技术要求等”方面及时交底沟通；中标人开始制造产品之前，</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有权要求中标人对产品进行微调，最终的产品须经</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确认同意。</w:t>
      </w:r>
    </w:p>
    <w:p w14:paraId="31A98145">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 w:name="_Toc229738163"/>
      <w:bookmarkStart w:id="8" w:name="_Toc14586"/>
      <w:r>
        <w:rPr>
          <w:rFonts w:hint="eastAsia" w:ascii="宋体" w:hAnsi="宋体" w:eastAsia="宋体" w:cs="宋体"/>
          <w:b/>
          <w:sz w:val="24"/>
          <w:szCs w:val="24"/>
        </w:rPr>
        <w:t>2．项目分界面</w:t>
      </w:r>
      <w:bookmarkEnd w:id="7"/>
      <w:bookmarkEnd w:id="8"/>
    </w:p>
    <w:p w14:paraId="4ED1018B">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9" w:name="_Toc22328"/>
      <w:bookmarkStart w:id="10" w:name="_Toc229738164"/>
      <w:r>
        <w:rPr>
          <w:rFonts w:hint="eastAsia" w:ascii="宋体" w:hAnsi="宋体" w:eastAsia="宋体" w:cs="宋体"/>
          <w:b/>
          <w:sz w:val="24"/>
          <w:szCs w:val="24"/>
        </w:rPr>
        <w:t>2.1 与各工艺设备</w:t>
      </w:r>
      <w:r>
        <w:rPr>
          <w:rFonts w:hint="eastAsia" w:ascii="宋体" w:hAnsi="宋体" w:eastAsia="宋体" w:cs="宋体"/>
          <w:b/>
          <w:sz w:val="24"/>
          <w:szCs w:val="24"/>
          <w:lang w:eastAsia="zh-CN"/>
        </w:rPr>
        <w:t>项目</w:t>
      </w:r>
      <w:r>
        <w:rPr>
          <w:rFonts w:hint="eastAsia" w:ascii="宋体" w:hAnsi="宋体" w:eastAsia="宋体" w:cs="宋体"/>
          <w:b/>
          <w:sz w:val="24"/>
          <w:szCs w:val="24"/>
        </w:rPr>
        <w:t>界面</w:t>
      </w:r>
      <w:bookmarkEnd w:id="9"/>
      <w:bookmarkEnd w:id="10"/>
    </w:p>
    <w:p w14:paraId="43350FCB">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rPr>
        <w:t>进水（渗滤液及生产废水）：垃圾压缩转运系统</w:t>
      </w:r>
      <w:r>
        <w:rPr>
          <w:rFonts w:hint="eastAsia" w:ascii="宋体" w:hAnsi="宋体" w:eastAsia="宋体" w:cs="宋体"/>
          <w:sz w:val="24"/>
          <w:szCs w:val="24"/>
          <w:lang w:eastAsia="zh-CN"/>
        </w:rPr>
        <w:t>项目</w:t>
      </w:r>
      <w:r>
        <w:rPr>
          <w:rFonts w:hint="eastAsia" w:ascii="宋体" w:hAnsi="宋体" w:eastAsia="宋体" w:cs="宋体"/>
          <w:sz w:val="24"/>
          <w:szCs w:val="24"/>
        </w:rPr>
        <w:t>负责将渗滤液泵送至调节池指定位置，冲洗废水由排水沟、管道收集至地下一层集水坑内。地下一层集水坑及之后、调节池及之后的设备、管道、阀门均在本</w:t>
      </w:r>
      <w:r>
        <w:rPr>
          <w:rFonts w:hint="eastAsia" w:ascii="宋体" w:hAnsi="宋体" w:eastAsia="宋体" w:cs="宋体"/>
          <w:sz w:val="24"/>
          <w:szCs w:val="24"/>
          <w:lang w:eastAsia="zh-CN"/>
        </w:rPr>
        <w:t>项目</w:t>
      </w:r>
      <w:r>
        <w:rPr>
          <w:rFonts w:hint="eastAsia" w:ascii="宋体" w:hAnsi="宋体" w:eastAsia="宋体" w:cs="宋体"/>
          <w:sz w:val="24"/>
          <w:szCs w:val="24"/>
        </w:rPr>
        <w:t>范围内。出水池应预留接至槽罐</w:t>
      </w:r>
      <w:r>
        <w:rPr>
          <w:rFonts w:hint="eastAsia" w:ascii="宋体" w:hAnsi="宋体" w:eastAsia="宋体" w:cs="宋体"/>
          <w:sz w:val="24"/>
          <w:szCs w:val="24"/>
          <w:highlight w:val="none"/>
        </w:rPr>
        <w:t>车的泵送系统，含输送泵、管道及阀门，泵送系统属于本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范围内。</w:t>
      </w:r>
    </w:p>
    <w:p w14:paraId="65ABBC41">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highlight w:val="none"/>
        </w:rPr>
        <w:t>出水：本</w:t>
      </w: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负责将达</w:t>
      </w:r>
      <w:r>
        <w:rPr>
          <w:rFonts w:hint="eastAsia" w:ascii="宋体" w:hAnsi="宋体" w:eastAsia="宋体" w:cs="宋体"/>
          <w:sz w:val="24"/>
          <w:szCs w:val="24"/>
        </w:rPr>
        <w:t>标尾水送至污水在线监测井。</w:t>
      </w:r>
    </w:p>
    <w:p w14:paraId="0861FDD5">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污泥：污水处理系统产生的所有污泥均需要妥善处理，污泥处理相关的所有设备、管道、阀门均属于本</w:t>
      </w:r>
      <w:r>
        <w:rPr>
          <w:rFonts w:hint="eastAsia" w:ascii="宋体" w:hAnsi="宋体" w:eastAsia="宋体" w:cs="宋体"/>
          <w:sz w:val="24"/>
          <w:szCs w:val="24"/>
          <w:lang w:eastAsia="zh-CN"/>
        </w:rPr>
        <w:t>项目</w:t>
      </w:r>
      <w:r>
        <w:rPr>
          <w:rFonts w:hint="eastAsia" w:ascii="宋体" w:hAnsi="宋体" w:eastAsia="宋体" w:cs="宋体"/>
          <w:sz w:val="24"/>
          <w:szCs w:val="24"/>
        </w:rPr>
        <w:t>范围内，</w:t>
      </w:r>
      <w:r>
        <w:rPr>
          <w:rFonts w:hint="eastAsia" w:ascii="宋体" w:hAnsi="宋体" w:eastAsia="宋体" w:cs="宋体"/>
          <w:sz w:val="24"/>
          <w:szCs w:val="24"/>
          <w:lang w:eastAsia="zh-CN"/>
        </w:rPr>
        <w:t>投标人</w:t>
      </w:r>
      <w:r>
        <w:rPr>
          <w:rFonts w:hint="eastAsia" w:ascii="宋体" w:hAnsi="宋体" w:eastAsia="宋体" w:cs="宋体"/>
          <w:sz w:val="24"/>
          <w:szCs w:val="24"/>
        </w:rPr>
        <w:t>将污泥的含水率降至80%以下，并输送至转运卸料槽。</w:t>
      </w:r>
    </w:p>
    <w:p w14:paraId="32537D4A">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臭气：气浮设备需配备除臭罩，其他需除臭的设备、或水池（水罐）预留臭气接口法兰，并提供臭气指标及除臭风量。</w:t>
      </w:r>
    </w:p>
    <w:p w14:paraId="47FA6077">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污水处理系统水池池上空间及风管设置有毒有害气体及易燃气体在线监测报警装置，属于自控</w:t>
      </w:r>
      <w:r>
        <w:rPr>
          <w:rFonts w:hint="eastAsia" w:ascii="宋体" w:hAnsi="宋体" w:eastAsia="宋体" w:cs="宋体"/>
          <w:sz w:val="24"/>
          <w:szCs w:val="24"/>
          <w:lang w:eastAsia="zh-CN"/>
        </w:rPr>
        <w:t>项目</w:t>
      </w:r>
      <w:r>
        <w:rPr>
          <w:rFonts w:hint="eastAsia" w:ascii="宋体" w:hAnsi="宋体" w:eastAsia="宋体" w:cs="宋体"/>
          <w:sz w:val="24"/>
          <w:szCs w:val="24"/>
        </w:rPr>
        <w:t>。</w:t>
      </w:r>
    </w:p>
    <w:p w14:paraId="6B53943D">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11" w:name="_Toc229738165"/>
      <w:bookmarkStart w:id="12" w:name="_Toc26269"/>
      <w:r>
        <w:rPr>
          <w:rFonts w:hint="eastAsia" w:ascii="宋体" w:hAnsi="宋体" w:eastAsia="宋体" w:cs="宋体"/>
          <w:b/>
          <w:sz w:val="24"/>
          <w:szCs w:val="24"/>
        </w:rPr>
        <w:t>2.2 与土建工程界面</w:t>
      </w:r>
      <w:bookmarkEnd w:id="11"/>
      <w:bookmarkEnd w:id="12"/>
    </w:p>
    <w:p w14:paraId="006ACE4B">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1）设备基础等</w:t>
      </w:r>
    </w:p>
    <w:p w14:paraId="1C78B68A">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设备基础、预埋件、预埋管、预埋套管、水池墙体的预留洞等由设备安装单位出条件图，设备基础、预留洞及盖板由土建单位施工，</w:t>
      </w:r>
      <w:r>
        <w:rPr>
          <w:rFonts w:hint="eastAsia" w:ascii="宋体" w:hAnsi="宋体" w:eastAsia="宋体" w:cs="宋体"/>
          <w:sz w:val="24"/>
          <w:szCs w:val="24"/>
          <w:lang w:eastAsia="zh-CN"/>
        </w:rPr>
        <w:t>投标人</w:t>
      </w:r>
      <w:r>
        <w:rPr>
          <w:rFonts w:hint="eastAsia" w:ascii="宋体" w:hAnsi="宋体" w:eastAsia="宋体" w:cs="宋体"/>
          <w:sz w:val="24"/>
          <w:szCs w:val="24"/>
        </w:rPr>
        <w:t>进行现场指导并确认；预埋管、预埋套管、预埋件由</w:t>
      </w:r>
      <w:r>
        <w:rPr>
          <w:rFonts w:hint="eastAsia" w:ascii="宋体" w:hAnsi="宋体" w:eastAsia="宋体" w:cs="宋体"/>
          <w:sz w:val="24"/>
          <w:szCs w:val="24"/>
          <w:lang w:eastAsia="zh-CN"/>
        </w:rPr>
        <w:t>投标人</w:t>
      </w:r>
      <w:r>
        <w:rPr>
          <w:rFonts w:hint="eastAsia" w:ascii="宋体" w:hAnsi="宋体" w:eastAsia="宋体" w:cs="宋体"/>
          <w:sz w:val="24"/>
          <w:szCs w:val="24"/>
        </w:rPr>
        <w:t>供货，土建单</w:t>
      </w:r>
      <w:r>
        <w:rPr>
          <w:rFonts w:hint="eastAsia" w:ascii="宋体" w:hAnsi="宋体" w:eastAsia="宋体" w:cs="宋体"/>
          <w:sz w:val="24"/>
          <w:szCs w:val="24"/>
          <w:highlight w:val="none"/>
        </w:rPr>
        <w:t>位施工，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进行现场指导并确认。设备需要的钢结构基础/支撑、减振装置由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供货</w:t>
      </w:r>
      <w:r>
        <w:rPr>
          <w:rFonts w:hint="eastAsia" w:ascii="宋体" w:hAnsi="宋体" w:eastAsia="宋体" w:cs="宋体"/>
          <w:sz w:val="24"/>
          <w:szCs w:val="24"/>
        </w:rPr>
        <w:t>并施工。</w:t>
      </w:r>
    </w:p>
    <w:p w14:paraId="5DFF94D0">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2）给水</w:t>
      </w:r>
    </w:p>
    <w:p w14:paraId="30FCDC3F">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土建单位敷设给水管道至污水处理设备间指定位置，土建预留接口和手动控制阀门。接口至各用水点（包含接口施工、含生产用水点、洗手盆、洗涤池等用水点）均属于</w:t>
      </w:r>
      <w:r>
        <w:rPr>
          <w:rFonts w:hint="eastAsia" w:ascii="宋体" w:hAnsi="宋体" w:eastAsia="宋体" w:cs="宋体"/>
          <w:sz w:val="24"/>
          <w:szCs w:val="24"/>
          <w:lang w:eastAsia="zh-CN"/>
        </w:rPr>
        <w:t>投标人</w:t>
      </w:r>
      <w:r>
        <w:rPr>
          <w:rFonts w:hint="eastAsia" w:ascii="宋体" w:hAnsi="宋体" w:eastAsia="宋体" w:cs="宋体"/>
          <w:sz w:val="24"/>
          <w:szCs w:val="24"/>
        </w:rPr>
        <w:t>实施范围。供水管支路设水表（水表由</w:t>
      </w:r>
      <w:r>
        <w:rPr>
          <w:rFonts w:hint="eastAsia" w:ascii="宋体" w:hAnsi="宋体" w:eastAsia="宋体" w:cs="宋体"/>
          <w:sz w:val="24"/>
          <w:szCs w:val="24"/>
          <w:lang w:eastAsia="zh-CN"/>
        </w:rPr>
        <w:t>投标人</w:t>
      </w:r>
      <w:r>
        <w:rPr>
          <w:rFonts w:hint="eastAsia" w:ascii="宋体" w:hAnsi="宋体" w:eastAsia="宋体" w:cs="宋体"/>
          <w:sz w:val="24"/>
          <w:szCs w:val="24"/>
        </w:rPr>
        <w:t>负责，水表安装位置应满足规范测量的相关要求）。</w:t>
      </w:r>
    </w:p>
    <w:p w14:paraId="6F9A3599">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3）污水</w:t>
      </w:r>
    </w:p>
    <w:p w14:paraId="0A073130">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工艺排水采用管道收集，排至调节池后，由</w:t>
      </w:r>
      <w:r>
        <w:rPr>
          <w:rFonts w:hint="eastAsia" w:ascii="宋体" w:hAnsi="宋体" w:eastAsia="宋体" w:cs="宋体"/>
          <w:sz w:val="24"/>
          <w:szCs w:val="24"/>
          <w:lang w:eastAsia="zh-CN"/>
        </w:rPr>
        <w:t>投标人</w:t>
      </w:r>
      <w:r>
        <w:rPr>
          <w:rFonts w:hint="eastAsia" w:ascii="宋体" w:hAnsi="宋体" w:eastAsia="宋体" w:cs="宋体"/>
          <w:sz w:val="24"/>
          <w:szCs w:val="24"/>
        </w:rPr>
        <w:t>负责安装。</w:t>
      </w:r>
      <w:r>
        <w:rPr>
          <w:rFonts w:hint="eastAsia" w:ascii="宋体" w:hAnsi="宋体" w:eastAsia="宋体" w:cs="宋体"/>
          <w:sz w:val="24"/>
          <w:szCs w:val="24"/>
          <w:lang w:eastAsia="zh-CN"/>
        </w:rPr>
        <w:t>投标人</w:t>
      </w:r>
      <w:r>
        <w:rPr>
          <w:rFonts w:hint="eastAsia" w:ascii="宋体" w:hAnsi="宋体" w:eastAsia="宋体" w:cs="宋体"/>
          <w:sz w:val="24"/>
          <w:szCs w:val="24"/>
        </w:rPr>
        <w:t>需明确工艺排水量，膜组件规模的配置必须考虑这部分水量。</w:t>
      </w:r>
    </w:p>
    <w:p w14:paraId="50F6A2A1">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4）电气</w:t>
      </w:r>
    </w:p>
    <w:p w14:paraId="20C9CA10">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污水处理系统设备安装范围内的电气设备以设备控制柜的进线电源电缆头为界，电缆头以下为本</w:t>
      </w:r>
      <w:r>
        <w:rPr>
          <w:rFonts w:hint="eastAsia" w:ascii="宋体" w:hAnsi="宋体" w:eastAsia="宋体" w:cs="宋体"/>
          <w:sz w:val="24"/>
          <w:szCs w:val="24"/>
          <w:lang w:eastAsia="zh-CN"/>
        </w:rPr>
        <w:t>项目</w:t>
      </w:r>
      <w:r>
        <w:rPr>
          <w:rFonts w:hint="eastAsia" w:ascii="宋体" w:hAnsi="宋体" w:eastAsia="宋体" w:cs="宋体"/>
          <w:sz w:val="24"/>
          <w:szCs w:val="24"/>
        </w:rPr>
        <w:t>范围，电缆头以上（包括电缆头）为土建范围。</w:t>
      </w:r>
    </w:p>
    <w:p w14:paraId="78599DE7">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接地系统（工作接地，保护接地等）以接地预埋连接板为界，界面以上室内外接地连接线、电缆支架接地、桥架接地以及各设备接地（包括上述但不限于此）的供货及施工等属本</w:t>
      </w:r>
      <w:r>
        <w:rPr>
          <w:rFonts w:hint="eastAsia" w:ascii="宋体" w:hAnsi="宋体" w:eastAsia="宋体" w:cs="宋体"/>
          <w:sz w:val="24"/>
          <w:szCs w:val="24"/>
          <w:lang w:eastAsia="zh-CN"/>
        </w:rPr>
        <w:t>项目</w:t>
      </w:r>
      <w:r>
        <w:rPr>
          <w:rFonts w:hint="eastAsia" w:ascii="宋体" w:hAnsi="宋体" w:eastAsia="宋体" w:cs="宋体"/>
          <w:sz w:val="24"/>
          <w:szCs w:val="24"/>
        </w:rPr>
        <w:t>范围；其余内容（包括接地预埋连接板、利用构筑物自然金属体的接地装置以及构筑物防雷保护装置）属土建范围。除利用构筑物自然金属体作为接地装置外，因电气设备接地所需的人工接地极的供货及施工等属本</w:t>
      </w:r>
      <w:r>
        <w:rPr>
          <w:rFonts w:hint="eastAsia" w:ascii="宋体" w:hAnsi="宋体" w:eastAsia="宋体" w:cs="宋体"/>
          <w:sz w:val="24"/>
          <w:szCs w:val="24"/>
          <w:lang w:eastAsia="zh-CN"/>
        </w:rPr>
        <w:t>项目</w:t>
      </w:r>
      <w:r>
        <w:rPr>
          <w:rFonts w:hint="eastAsia" w:ascii="宋体" w:hAnsi="宋体" w:eastAsia="宋体" w:cs="宋体"/>
          <w:sz w:val="24"/>
          <w:szCs w:val="24"/>
        </w:rPr>
        <w:t>范围。</w:t>
      </w:r>
    </w:p>
    <w:p w14:paraId="210B9BCF">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污水处理系统设备安装范围内的需室外直埋敷设的电缆所需沟槽的开挖及电缆敷设完毕后的回填均属本</w:t>
      </w:r>
      <w:r>
        <w:rPr>
          <w:rFonts w:hint="eastAsia" w:ascii="宋体" w:hAnsi="宋体" w:eastAsia="宋体" w:cs="宋体"/>
          <w:sz w:val="24"/>
          <w:szCs w:val="24"/>
          <w:lang w:eastAsia="zh-CN"/>
        </w:rPr>
        <w:t>项目</w:t>
      </w:r>
      <w:r>
        <w:rPr>
          <w:rFonts w:hint="eastAsia" w:ascii="宋体" w:hAnsi="宋体" w:eastAsia="宋体" w:cs="宋体"/>
          <w:sz w:val="24"/>
          <w:szCs w:val="24"/>
        </w:rPr>
        <w:t>范围。</w:t>
      </w:r>
    </w:p>
    <w:p w14:paraId="55651576">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5）管架、桥架等</w:t>
      </w:r>
    </w:p>
    <w:p w14:paraId="21F531BA">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所有室内管道、电缆所需的管道支架、吊架、电缆桥架等均由</w:t>
      </w:r>
      <w:r>
        <w:rPr>
          <w:rFonts w:hint="eastAsia" w:ascii="宋体" w:hAnsi="宋体" w:eastAsia="宋体" w:cs="宋体"/>
          <w:sz w:val="24"/>
          <w:szCs w:val="24"/>
          <w:lang w:eastAsia="zh-CN"/>
        </w:rPr>
        <w:t>投标人</w:t>
      </w:r>
      <w:r>
        <w:rPr>
          <w:rFonts w:hint="eastAsia" w:ascii="宋体" w:hAnsi="宋体" w:eastAsia="宋体" w:cs="宋体"/>
          <w:sz w:val="24"/>
          <w:szCs w:val="24"/>
        </w:rPr>
        <w:t>实施。室外工艺管廊架基础（若有）由土建单位实施，管廊架、工艺管道及管道固定支架等（若有）由</w:t>
      </w:r>
      <w:r>
        <w:rPr>
          <w:rFonts w:hint="eastAsia" w:ascii="宋体" w:hAnsi="宋体" w:eastAsia="宋体" w:cs="宋体"/>
          <w:sz w:val="24"/>
          <w:szCs w:val="24"/>
          <w:lang w:eastAsia="zh-CN"/>
        </w:rPr>
        <w:t>投标人</w:t>
      </w:r>
      <w:r>
        <w:rPr>
          <w:rFonts w:hint="eastAsia" w:ascii="宋体" w:hAnsi="宋体" w:eastAsia="宋体" w:cs="宋体"/>
          <w:sz w:val="24"/>
          <w:szCs w:val="24"/>
        </w:rPr>
        <w:t>实施。</w:t>
      </w:r>
    </w:p>
    <w:p w14:paraId="56816896">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13" w:name="_Toc21886"/>
      <w:bookmarkStart w:id="14" w:name="_Toc229738166"/>
      <w:r>
        <w:rPr>
          <w:rFonts w:hint="eastAsia" w:ascii="宋体" w:hAnsi="宋体" w:eastAsia="宋体" w:cs="宋体"/>
          <w:b/>
          <w:sz w:val="24"/>
          <w:szCs w:val="24"/>
        </w:rPr>
        <w:t>2.3 与全厂自控系统</w:t>
      </w:r>
      <w:r>
        <w:rPr>
          <w:rFonts w:hint="eastAsia" w:ascii="宋体" w:hAnsi="宋体" w:eastAsia="宋体" w:cs="宋体"/>
          <w:b/>
          <w:sz w:val="24"/>
          <w:szCs w:val="24"/>
          <w:lang w:eastAsia="zh-CN"/>
        </w:rPr>
        <w:t>项目</w:t>
      </w:r>
      <w:r>
        <w:rPr>
          <w:rFonts w:hint="eastAsia" w:ascii="宋体" w:hAnsi="宋体" w:eastAsia="宋体" w:cs="宋体"/>
          <w:b/>
          <w:sz w:val="24"/>
          <w:szCs w:val="24"/>
        </w:rPr>
        <w:t>界面</w:t>
      </w:r>
      <w:bookmarkEnd w:id="13"/>
      <w:bookmarkEnd w:id="14"/>
    </w:p>
    <w:p w14:paraId="3D962F4A">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PLC接口形式采用以太网光口或电口，现场配套工业以太网交换机，以配套工业以太网交换机通讯接口为界，接口以下为本</w:t>
      </w:r>
      <w:r>
        <w:rPr>
          <w:rFonts w:hint="eastAsia" w:ascii="宋体" w:hAnsi="宋体" w:eastAsia="宋体" w:cs="宋体"/>
          <w:sz w:val="24"/>
          <w:szCs w:val="24"/>
          <w:lang w:eastAsia="zh-CN"/>
        </w:rPr>
        <w:t>项目</w:t>
      </w:r>
      <w:r>
        <w:rPr>
          <w:rFonts w:hint="eastAsia" w:ascii="宋体" w:hAnsi="宋体" w:eastAsia="宋体" w:cs="宋体"/>
          <w:sz w:val="24"/>
          <w:szCs w:val="24"/>
        </w:rPr>
        <w:t>范围，接口连接至厂区整体监控系统的光缆或网线及其敷设由全厂自控系统</w:t>
      </w:r>
      <w:r>
        <w:rPr>
          <w:rFonts w:hint="eastAsia" w:ascii="宋体" w:hAnsi="宋体" w:eastAsia="宋体" w:cs="宋体"/>
          <w:sz w:val="24"/>
          <w:szCs w:val="24"/>
          <w:lang w:eastAsia="zh-CN"/>
        </w:rPr>
        <w:t>项目</w:t>
      </w:r>
      <w:r>
        <w:rPr>
          <w:rFonts w:hint="eastAsia" w:ascii="宋体" w:hAnsi="宋体" w:eastAsia="宋体" w:cs="宋体"/>
          <w:sz w:val="24"/>
          <w:szCs w:val="24"/>
        </w:rPr>
        <w:t>负责，不属本</w:t>
      </w:r>
      <w:r>
        <w:rPr>
          <w:rFonts w:hint="eastAsia" w:ascii="宋体" w:hAnsi="宋体" w:eastAsia="宋体" w:cs="宋体"/>
          <w:sz w:val="24"/>
          <w:szCs w:val="24"/>
          <w:lang w:eastAsia="zh-CN"/>
        </w:rPr>
        <w:t>项目</w:t>
      </w:r>
      <w:r>
        <w:rPr>
          <w:rFonts w:hint="eastAsia" w:ascii="宋体" w:hAnsi="宋体" w:eastAsia="宋体" w:cs="宋体"/>
          <w:sz w:val="24"/>
          <w:szCs w:val="24"/>
        </w:rPr>
        <w:t>范围。</w:t>
      </w:r>
    </w:p>
    <w:p w14:paraId="45A0F9D5">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eastAsia="zh-CN"/>
        </w:rPr>
        <w:t>项目</w:t>
      </w:r>
      <w:r>
        <w:rPr>
          <w:rFonts w:hint="eastAsia" w:ascii="宋体" w:hAnsi="宋体" w:eastAsia="宋体" w:cs="宋体"/>
          <w:sz w:val="24"/>
          <w:szCs w:val="24"/>
        </w:rPr>
        <w:t>需对上位全厂自控系统开放通讯协议，使上位系统对污水处理系统实现监控及远程控制功能，本</w:t>
      </w:r>
      <w:r>
        <w:rPr>
          <w:rFonts w:hint="eastAsia" w:ascii="宋体" w:hAnsi="宋体" w:eastAsia="宋体" w:cs="宋体"/>
          <w:sz w:val="24"/>
          <w:szCs w:val="24"/>
          <w:lang w:eastAsia="zh-CN"/>
        </w:rPr>
        <w:t>项目</w:t>
      </w:r>
      <w:r>
        <w:rPr>
          <w:rFonts w:hint="eastAsia" w:ascii="宋体" w:hAnsi="宋体" w:eastAsia="宋体" w:cs="宋体"/>
          <w:sz w:val="24"/>
          <w:szCs w:val="24"/>
        </w:rPr>
        <w:t>需要配合全厂自控系统标完成整个控制系统的数据采集及联动调试。</w:t>
      </w:r>
    </w:p>
    <w:p w14:paraId="0A2ED57D">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15" w:name="_Toc229738167"/>
      <w:bookmarkStart w:id="16" w:name="_Toc24411"/>
      <w:r>
        <w:rPr>
          <w:rFonts w:hint="eastAsia" w:ascii="宋体" w:hAnsi="宋体" w:eastAsia="宋体" w:cs="宋体"/>
          <w:b/>
          <w:sz w:val="24"/>
          <w:szCs w:val="24"/>
        </w:rPr>
        <w:t>3．主要技术参数、性能</w:t>
      </w:r>
      <w:bookmarkEnd w:id="15"/>
      <w:bookmarkEnd w:id="16"/>
    </w:p>
    <w:p w14:paraId="41C0CA0B">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17" w:name="_Toc229738168"/>
      <w:bookmarkStart w:id="18" w:name="_Toc30001"/>
      <w:r>
        <w:rPr>
          <w:rFonts w:hint="eastAsia" w:ascii="宋体" w:hAnsi="宋体" w:eastAsia="宋体" w:cs="宋体"/>
          <w:b/>
          <w:sz w:val="24"/>
          <w:szCs w:val="24"/>
        </w:rPr>
        <w:t>3.1 设计条件</w:t>
      </w:r>
      <w:bookmarkEnd w:id="17"/>
      <w:bookmarkEnd w:id="18"/>
    </w:p>
    <w:p w14:paraId="1C13D33A">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19" w:name="_Toc13464"/>
      <w:bookmarkStart w:id="20" w:name="_Toc229738169"/>
      <w:r>
        <w:rPr>
          <w:rFonts w:hint="eastAsia" w:ascii="宋体" w:hAnsi="宋体" w:eastAsia="宋体" w:cs="宋体"/>
          <w:b/>
          <w:bCs/>
          <w:sz w:val="24"/>
          <w:szCs w:val="24"/>
        </w:rPr>
        <w:t xml:space="preserve">3.1.1 </w:t>
      </w:r>
      <w:r>
        <w:rPr>
          <w:rFonts w:hint="eastAsia" w:ascii="宋体" w:hAnsi="宋体" w:eastAsia="宋体" w:cs="宋体"/>
          <w:b/>
          <w:bCs/>
          <w:kern w:val="0"/>
          <w:sz w:val="24"/>
          <w:szCs w:val="24"/>
        </w:rPr>
        <w:t>处理对象及设计规模</w:t>
      </w:r>
      <w:bookmarkEnd w:id="19"/>
      <w:bookmarkEnd w:id="20"/>
    </w:p>
    <w:p w14:paraId="2D83D99E">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本渗滤液处理系统处理对象为渗滤液、冲洗废水、废气处理系统废水、生活污水的混合污水，处理规模为150 t/d。</w:t>
      </w:r>
    </w:p>
    <w:p w14:paraId="4A1A79B2">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21" w:name="_Toc25113"/>
      <w:bookmarkStart w:id="22" w:name="_Toc229738170"/>
      <w:r>
        <w:rPr>
          <w:rFonts w:hint="eastAsia" w:ascii="宋体" w:hAnsi="宋体" w:eastAsia="宋体" w:cs="宋体"/>
          <w:b/>
          <w:bCs/>
          <w:kern w:val="0"/>
          <w:sz w:val="24"/>
          <w:szCs w:val="24"/>
        </w:rPr>
        <w:t>3.1.2 设计进水水质</w:t>
      </w:r>
      <w:bookmarkEnd w:id="21"/>
      <w:bookmarkEnd w:id="22"/>
    </w:p>
    <w:p w14:paraId="31D49A5D">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垃圾转运站产生的渗滤液均为新鲜渗滤液，其污染物浓度很高，设备冲洗水中掺杂了部分的渗滤液，其污染物浓度相对较高，场地冲洗水中污染物浓度相对较低。根据工程设计基础资料及类似工程经验，预测进水水质指标见下表：</w:t>
      </w:r>
    </w:p>
    <w:p w14:paraId="4432A2AC">
      <w:pPr>
        <w:pageBreakBefore w:val="0"/>
        <w:kinsoku/>
        <w:wordWrap w:val="0"/>
        <w:overflowPunct/>
        <w:topLinePunct/>
        <w:bidi w:val="0"/>
        <w:adjustRightInd w:val="0"/>
        <w:snapToGrid w:val="0"/>
        <w:spacing w:after="0" w:line="360" w:lineRule="auto"/>
        <w:jc w:val="center"/>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表 设计进水主要水质</w:t>
      </w:r>
    </w:p>
    <w:tbl>
      <w:tblPr>
        <w:tblStyle w:val="13"/>
        <w:tblW w:w="49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2"/>
        <w:gridCol w:w="1107"/>
        <w:gridCol w:w="1107"/>
        <w:gridCol w:w="1107"/>
        <w:gridCol w:w="1110"/>
        <w:gridCol w:w="1110"/>
        <w:gridCol w:w="863"/>
        <w:gridCol w:w="851"/>
      </w:tblGrid>
      <w:tr w14:paraId="21A8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710" w:type="pct"/>
            <w:vAlign w:val="center"/>
          </w:tcPr>
          <w:p w14:paraId="659785DC">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类别</w:t>
            </w:r>
          </w:p>
        </w:tc>
        <w:tc>
          <w:tcPr>
            <w:tcW w:w="654" w:type="pct"/>
            <w:vAlign w:val="center"/>
          </w:tcPr>
          <w:p w14:paraId="00F73FEA">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COD（mg/L）</w:t>
            </w:r>
          </w:p>
        </w:tc>
        <w:tc>
          <w:tcPr>
            <w:tcW w:w="654" w:type="pct"/>
            <w:vAlign w:val="center"/>
          </w:tcPr>
          <w:p w14:paraId="285B9235">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BOD（mg/L）</w:t>
            </w:r>
          </w:p>
        </w:tc>
        <w:tc>
          <w:tcPr>
            <w:tcW w:w="654" w:type="pct"/>
            <w:vAlign w:val="center"/>
          </w:tcPr>
          <w:p w14:paraId="5C04B672">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NH</w:t>
            </w:r>
            <w:r>
              <w:rPr>
                <w:rFonts w:hint="eastAsia" w:ascii="宋体" w:hAnsi="宋体" w:eastAsia="宋体" w:cs="宋体"/>
                <w:sz w:val="24"/>
                <w:szCs w:val="24"/>
                <w:vertAlign w:val="subscript"/>
                <w14:ligatures w14:val="none"/>
              </w:rPr>
              <w:t>3</w:t>
            </w:r>
            <w:r>
              <w:rPr>
                <w:rFonts w:hint="eastAsia" w:ascii="宋体" w:hAnsi="宋体" w:eastAsia="宋体" w:cs="宋体"/>
                <w:sz w:val="24"/>
                <w:szCs w:val="24"/>
                <w14:ligatures w14:val="none"/>
              </w:rPr>
              <w:t>-N（mg/L）</w:t>
            </w:r>
          </w:p>
        </w:tc>
        <w:tc>
          <w:tcPr>
            <w:tcW w:w="656" w:type="pct"/>
            <w:vAlign w:val="center"/>
          </w:tcPr>
          <w:p w14:paraId="3BD82BC9">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TN（mg/L）</w:t>
            </w:r>
          </w:p>
        </w:tc>
        <w:tc>
          <w:tcPr>
            <w:tcW w:w="656" w:type="pct"/>
            <w:vAlign w:val="center"/>
          </w:tcPr>
          <w:p w14:paraId="6F14A39F">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SS</w:t>
            </w:r>
          </w:p>
          <w:p w14:paraId="05D5F04B">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510" w:type="pct"/>
            <w:vAlign w:val="center"/>
          </w:tcPr>
          <w:p w14:paraId="7B702584">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T（mg/L）</w:t>
            </w:r>
          </w:p>
        </w:tc>
        <w:tc>
          <w:tcPr>
            <w:tcW w:w="502" w:type="pct"/>
            <w:vAlign w:val="center"/>
          </w:tcPr>
          <w:p w14:paraId="185C229B">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pH</w:t>
            </w:r>
          </w:p>
        </w:tc>
      </w:tr>
      <w:tr w14:paraId="1CCF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710" w:type="pct"/>
            <w:vAlign w:val="center"/>
          </w:tcPr>
          <w:p w14:paraId="508333EE">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综合设计进水水质</w:t>
            </w:r>
          </w:p>
        </w:tc>
        <w:tc>
          <w:tcPr>
            <w:tcW w:w="654" w:type="pct"/>
            <w:vAlign w:val="center"/>
          </w:tcPr>
          <w:p w14:paraId="546C2021">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40000</w:t>
            </w:r>
          </w:p>
        </w:tc>
        <w:tc>
          <w:tcPr>
            <w:tcW w:w="654" w:type="pct"/>
            <w:vAlign w:val="center"/>
          </w:tcPr>
          <w:p w14:paraId="531976B1">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20000</w:t>
            </w:r>
          </w:p>
        </w:tc>
        <w:tc>
          <w:tcPr>
            <w:tcW w:w="654" w:type="pct"/>
            <w:vAlign w:val="center"/>
          </w:tcPr>
          <w:p w14:paraId="12EB42F0">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600</w:t>
            </w:r>
          </w:p>
        </w:tc>
        <w:tc>
          <w:tcPr>
            <w:tcW w:w="656" w:type="pct"/>
            <w:vAlign w:val="center"/>
          </w:tcPr>
          <w:p w14:paraId="6673B479">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800</w:t>
            </w:r>
          </w:p>
        </w:tc>
        <w:tc>
          <w:tcPr>
            <w:tcW w:w="656" w:type="pct"/>
            <w:vAlign w:val="center"/>
          </w:tcPr>
          <w:p w14:paraId="7FDF6423">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3000</w:t>
            </w:r>
          </w:p>
        </w:tc>
        <w:tc>
          <w:tcPr>
            <w:tcW w:w="510" w:type="pct"/>
            <w:vAlign w:val="center"/>
          </w:tcPr>
          <w:p w14:paraId="38119F48">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lang w:bidi="zh-CN"/>
                <w14:ligatures w14:val="none"/>
              </w:rPr>
            </w:pPr>
            <w:r>
              <w:rPr>
                <w:rFonts w:hint="eastAsia" w:ascii="宋体" w:hAnsi="宋体" w:eastAsia="宋体" w:cs="宋体"/>
                <w:sz w:val="24"/>
                <w:szCs w:val="24"/>
                <w14:ligatures w14:val="none"/>
              </w:rPr>
              <w:t>100</w:t>
            </w:r>
          </w:p>
        </w:tc>
        <w:tc>
          <w:tcPr>
            <w:tcW w:w="502" w:type="pct"/>
            <w:vAlign w:val="center"/>
          </w:tcPr>
          <w:p w14:paraId="17185DB5">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lang w:bidi="zh-CN"/>
                <w14:ligatures w14:val="none"/>
              </w:rPr>
            </w:pPr>
            <w:r>
              <w:rPr>
                <w:rFonts w:hint="eastAsia" w:ascii="宋体" w:hAnsi="宋体" w:eastAsia="宋体" w:cs="宋体"/>
                <w:sz w:val="24"/>
                <w:szCs w:val="24"/>
                <w:lang w:bidi="zh-CN"/>
                <w14:ligatures w14:val="none"/>
              </w:rPr>
              <w:t>6-9</w:t>
            </w:r>
          </w:p>
        </w:tc>
      </w:tr>
    </w:tbl>
    <w:p w14:paraId="7B9ABA8A">
      <w:pPr>
        <w:pageBreakBefore w:val="0"/>
        <w:kinsoku/>
        <w:wordWrap w:val="0"/>
        <w:overflowPunct/>
        <w:topLinePunct/>
        <w:bidi w:val="0"/>
        <w:adjustRightInd w:val="0"/>
        <w:snapToGrid w:val="0"/>
        <w:spacing w:after="0" w:line="360" w:lineRule="auto"/>
        <w:jc w:val="both"/>
        <w:rPr>
          <w:rFonts w:hint="eastAsia" w:ascii="宋体" w:hAnsi="宋体" w:eastAsia="宋体" w:cs="宋体"/>
          <w:b/>
          <w:bCs/>
          <w:sz w:val="24"/>
          <w:szCs w:val="24"/>
          <w14:ligatures w14:val="none"/>
        </w:rPr>
      </w:pPr>
    </w:p>
    <w:p w14:paraId="652D63A5">
      <w:pPr>
        <w:pageBreakBefore w:val="0"/>
        <w:kinsoku/>
        <w:wordWrap w:val="0"/>
        <w:overflowPunct/>
        <w:topLinePunct/>
        <w:bidi w:val="0"/>
        <w:adjustRightInd w:val="0"/>
        <w:snapToGrid w:val="0"/>
        <w:spacing w:after="0" w:line="360" w:lineRule="auto"/>
        <w:jc w:val="both"/>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设计水质指标供参考，具体需投标人根据以往运行经验进行复核确定。</w:t>
      </w:r>
    </w:p>
    <w:p w14:paraId="095501D1">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23" w:name="_Toc229738171"/>
      <w:r>
        <w:rPr>
          <w:rFonts w:hint="eastAsia" w:ascii="宋体" w:hAnsi="宋体" w:eastAsia="宋体" w:cs="宋体"/>
          <w:b/>
          <w:bCs/>
          <w:kern w:val="0"/>
          <w:sz w:val="24"/>
          <w:szCs w:val="24"/>
        </w:rPr>
        <w:t>3.1.3 设计出水水质</w:t>
      </w:r>
      <w:bookmarkEnd w:id="23"/>
    </w:p>
    <w:p w14:paraId="527825F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根据环评批复，本项目排水pH值、COD、BOD</w:t>
      </w:r>
      <w:r>
        <w:rPr>
          <w:rFonts w:hint="eastAsia" w:ascii="宋体" w:hAnsi="宋体" w:eastAsia="宋体" w:cs="宋体"/>
          <w:sz w:val="24"/>
          <w:szCs w:val="24"/>
          <w:vertAlign w:val="subscript"/>
          <w14:ligatures w14:val="none"/>
        </w:rPr>
        <w:t>5</w:t>
      </w:r>
      <w:r>
        <w:rPr>
          <w:rFonts w:hint="eastAsia" w:ascii="宋体" w:hAnsi="宋体" w:eastAsia="宋体" w:cs="宋体"/>
          <w:sz w:val="24"/>
          <w:szCs w:val="24"/>
          <w14:ligatures w14:val="none"/>
        </w:rPr>
        <w:t>、SS、NH</w:t>
      </w:r>
      <w:r>
        <w:rPr>
          <w:rFonts w:hint="eastAsia" w:ascii="宋体" w:hAnsi="宋体" w:eastAsia="宋体" w:cs="宋体"/>
          <w:sz w:val="24"/>
          <w:szCs w:val="24"/>
          <w:vertAlign w:val="subscript"/>
          <w14:ligatures w14:val="none"/>
        </w:rPr>
        <w:t>3</w:t>
      </w:r>
      <w:r>
        <w:rPr>
          <w:rFonts w:hint="eastAsia" w:ascii="宋体" w:hAnsi="宋体" w:eastAsia="宋体" w:cs="宋体"/>
          <w:sz w:val="24"/>
          <w:szCs w:val="24"/>
          <w14:ligatures w14:val="none"/>
        </w:rPr>
        <w:t>-N、TN、TP执行徐州市新城区污水处理厂接管标准，具体要求见下表：</w:t>
      </w:r>
    </w:p>
    <w:p w14:paraId="6655340B">
      <w:pPr>
        <w:pageBreakBefore w:val="0"/>
        <w:kinsoku/>
        <w:wordWrap w:val="0"/>
        <w:overflowPunct/>
        <w:topLinePunct/>
        <w:bidi w:val="0"/>
        <w:adjustRightInd w:val="0"/>
        <w:snapToGrid w:val="0"/>
        <w:spacing w:after="0" w:line="360" w:lineRule="auto"/>
        <w:jc w:val="center"/>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 xml:space="preserve">表 </w:t>
      </w:r>
      <w:r>
        <w:rPr>
          <w:rFonts w:hint="eastAsia" w:ascii="宋体" w:hAnsi="宋体" w:eastAsia="宋体" w:cs="宋体"/>
          <w:sz w:val="24"/>
          <w:szCs w:val="24"/>
          <w14:ligatures w14:val="none"/>
        </w:rPr>
        <w:t>★</w:t>
      </w:r>
      <w:r>
        <w:rPr>
          <w:rFonts w:hint="eastAsia" w:ascii="宋体" w:hAnsi="宋体" w:eastAsia="宋体" w:cs="宋体"/>
          <w:b/>
          <w:bCs/>
          <w:sz w:val="24"/>
          <w:szCs w:val="24"/>
          <w14:ligatures w14:val="none"/>
        </w:rPr>
        <w:t>出水主要水质指标</w:t>
      </w:r>
    </w:p>
    <w:tbl>
      <w:tblPr>
        <w:tblStyle w:val="13"/>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095"/>
        <w:gridCol w:w="1255"/>
        <w:gridCol w:w="1246"/>
        <w:gridCol w:w="1090"/>
        <w:gridCol w:w="1090"/>
        <w:gridCol w:w="1091"/>
        <w:gridCol w:w="775"/>
      </w:tblGrid>
      <w:tr w14:paraId="62DE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2" w:hRule="atLeast"/>
          <w:jc w:val="center"/>
        </w:trPr>
        <w:tc>
          <w:tcPr>
            <w:tcW w:w="459" w:type="pct"/>
            <w:vAlign w:val="center"/>
          </w:tcPr>
          <w:p w14:paraId="6DBA767D">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指标</w:t>
            </w:r>
          </w:p>
        </w:tc>
        <w:tc>
          <w:tcPr>
            <w:tcW w:w="650" w:type="pct"/>
            <w:vAlign w:val="center"/>
          </w:tcPr>
          <w:p w14:paraId="25609A37">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CODcr</w:t>
            </w:r>
          </w:p>
          <w:p w14:paraId="0608ECC0">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745" w:type="pct"/>
            <w:vAlign w:val="center"/>
          </w:tcPr>
          <w:p w14:paraId="1F6F4124">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BOD</w:t>
            </w:r>
            <w:r>
              <w:rPr>
                <w:rFonts w:hint="eastAsia" w:ascii="宋体" w:hAnsi="宋体" w:eastAsia="宋体" w:cs="宋体"/>
                <w:sz w:val="24"/>
                <w:szCs w:val="24"/>
                <w:vertAlign w:val="subscript"/>
                <w14:ligatures w14:val="none"/>
              </w:rPr>
              <w:t>5</w:t>
            </w:r>
          </w:p>
          <w:p w14:paraId="0A22CF2F">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740" w:type="pct"/>
            <w:vAlign w:val="center"/>
          </w:tcPr>
          <w:p w14:paraId="7472EE07">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NH</w:t>
            </w:r>
            <w:r>
              <w:rPr>
                <w:rFonts w:hint="eastAsia" w:ascii="宋体" w:hAnsi="宋体" w:eastAsia="宋体" w:cs="宋体"/>
                <w:sz w:val="24"/>
                <w:szCs w:val="24"/>
                <w:vertAlign w:val="subscript"/>
                <w14:ligatures w14:val="none"/>
              </w:rPr>
              <w:t>3</w:t>
            </w:r>
            <w:r>
              <w:rPr>
                <w:rFonts w:hint="eastAsia" w:ascii="宋体" w:hAnsi="宋体" w:eastAsia="宋体" w:cs="宋体"/>
                <w:sz w:val="24"/>
                <w:szCs w:val="24"/>
                <w14:ligatures w14:val="none"/>
              </w:rPr>
              <w:t>-N</w:t>
            </w:r>
          </w:p>
          <w:p w14:paraId="782265F8">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647" w:type="pct"/>
            <w:vAlign w:val="center"/>
          </w:tcPr>
          <w:p w14:paraId="5AAEDCCB">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TN</w:t>
            </w:r>
          </w:p>
          <w:p w14:paraId="015941C6">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647" w:type="pct"/>
            <w:vAlign w:val="center"/>
          </w:tcPr>
          <w:p w14:paraId="583CFD3A">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TP</w:t>
            </w:r>
          </w:p>
          <w:p w14:paraId="36CB9208">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648" w:type="pct"/>
            <w:vAlign w:val="center"/>
          </w:tcPr>
          <w:p w14:paraId="3AAE1ACB">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SS</w:t>
            </w:r>
          </w:p>
          <w:p w14:paraId="4446A813">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（mg/L）</w:t>
            </w:r>
          </w:p>
        </w:tc>
        <w:tc>
          <w:tcPr>
            <w:tcW w:w="460" w:type="pct"/>
            <w:vAlign w:val="center"/>
          </w:tcPr>
          <w:p w14:paraId="65AAC1EF">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pH值</w:t>
            </w:r>
          </w:p>
        </w:tc>
      </w:tr>
      <w:tr w14:paraId="04FD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atLeast"/>
          <w:jc w:val="center"/>
        </w:trPr>
        <w:tc>
          <w:tcPr>
            <w:tcW w:w="459" w:type="pct"/>
            <w:vAlign w:val="center"/>
          </w:tcPr>
          <w:p w14:paraId="18E9278F">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限值</w:t>
            </w:r>
          </w:p>
        </w:tc>
        <w:tc>
          <w:tcPr>
            <w:tcW w:w="650" w:type="pct"/>
            <w:vAlign w:val="center"/>
          </w:tcPr>
          <w:p w14:paraId="439F64C7">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≤350</w:t>
            </w:r>
          </w:p>
        </w:tc>
        <w:tc>
          <w:tcPr>
            <w:tcW w:w="745" w:type="pct"/>
            <w:vAlign w:val="center"/>
          </w:tcPr>
          <w:p w14:paraId="54E9F93D">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≤200</w:t>
            </w:r>
          </w:p>
        </w:tc>
        <w:tc>
          <w:tcPr>
            <w:tcW w:w="740" w:type="pct"/>
            <w:vAlign w:val="center"/>
          </w:tcPr>
          <w:p w14:paraId="2F0B75EC">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≤30</w:t>
            </w:r>
          </w:p>
        </w:tc>
        <w:tc>
          <w:tcPr>
            <w:tcW w:w="647" w:type="pct"/>
            <w:vAlign w:val="center"/>
          </w:tcPr>
          <w:p w14:paraId="65B7B3A0">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≤40</w:t>
            </w:r>
          </w:p>
        </w:tc>
        <w:tc>
          <w:tcPr>
            <w:tcW w:w="647" w:type="pct"/>
            <w:vAlign w:val="center"/>
          </w:tcPr>
          <w:p w14:paraId="5372F99C">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≤4</w:t>
            </w:r>
          </w:p>
        </w:tc>
        <w:tc>
          <w:tcPr>
            <w:tcW w:w="648" w:type="pct"/>
            <w:vAlign w:val="center"/>
          </w:tcPr>
          <w:p w14:paraId="7CDEB281">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≤250</w:t>
            </w:r>
          </w:p>
        </w:tc>
        <w:tc>
          <w:tcPr>
            <w:tcW w:w="460" w:type="pct"/>
            <w:vAlign w:val="center"/>
          </w:tcPr>
          <w:p w14:paraId="06730118">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14:ligatures w14:val="none"/>
              </w:rPr>
            </w:pPr>
            <w:r>
              <w:rPr>
                <w:rFonts w:hint="eastAsia" w:ascii="宋体" w:hAnsi="宋体" w:eastAsia="宋体" w:cs="宋体"/>
                <w:sz w:val="24"/>
                <w:szCs w:val="24"/>
                <w14:ligatures w14:val="none"/>
              </w:rPr>
              <w:t>6~9</w:t>
            </w:r>
          </w:p>
        </w:tc>
      </w:tr>
    </w:tbl>
    <w:p w14:paraId="0E63192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p>
    <w:p w14:paraId="1090490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其他要求：色度、总汞、总镉、总铬、六价铬、总砷、总铅执行《生活垃圾填埋场污染控制标准》（GB16889-2024）中表4排放浓度限值，粪大肠菌群排放浓度参照执行《生活垃圾填埋场污染控制标准》（GB16889-2024）中表2排放浓度限值，动植物油参照执行《污水排入城镇下水道水质标准》（GB/T 31962-2015）中B级标准。</w:t>
      </w:r>
    </w:p>
    <w:p w14:paraId="18D796D8">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24" w:name="_Toc229738172"/>
      <w:r>
        <w:rPr>
          <w:rFonts w:hint="eastAsia" w:ascii="宋体" w:hAnsi="宋体" w:eastAsia="宋体" w:cs="宋体"/>
          <w:b/>
          <w:sz w:val="24"/>
          <w:szCs w:val="24"/>
        </w:rPr>
        <w:t>3.2 工艺系统描述</w:t>
      </w:r>
      <w:bookmarkEnd w:id="24"/>
    </w:p>
    <w:p w14:paraId="068DDED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★本项目工艺流程为：预处理+两级AO+外置式膜生物反应器UF+高级氧化/NF（保障）。具体工艺流程如下：</w:t>
      </w:r>
    </w:p>
    <w:p w14:paraId="0BA9808C">
      <w:pPr>
        <w:pStyle w:val="3"/>
        <w:pageBreakBefore w:val="0"/>
        <w:kinsoku/>
        <w:wordWrap w:val="0"/>
        <w:overflowPunct/>
        <w:topLinePunct/>
        <w:bidi w:val="0"/>
        <w:spacing w:line="360" w:lineRule="auto"/>
        <w:ind w:firstLine="480"/>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2504440" cy="6858000"/>
            <wp:effectExtent l="0" t="0" r="10160" b="0"/>
            <wp:docPr id="10346015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01509" name="图片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04926" cy="6858067"/>
                    </a:xfrm>
                    <a:prstGeom prst="rect">
                      <a:avLst/>
                    </a:prstGeom>
                  </pic:spPr>
                </pic:pic>
              </a:graphicData>
            </a:graphic>
          </wp:inline>
        </w:drawing>
      </w:r>
    </w:p>
    <w:p w14:paraId="26E5CC9C">
      <w:pPr>
        <w:pageBreakBefore w:val="0"/>
        <w:kinsoku/>
        <w:wordWrap w:val="0"/>
        <w:overflowPunct/>
        <w:topLinePunct/>
        <w:bidi w:val="0"/>
        <w:adjustRightInd w:val="0"/>
        <w:snapToGrid w:val="0"/>
        <w:spacing w:after="0" w:line="360" w:lineRule="auto"/>
        <w:jc w:val="center"/>
        <w:rPr>
          <w:rFonts w:hint="eastAsia" w:ascii="宋体" w:hAnsi="宋体" w:eastAsia="宋体" w:cs="宋体"/>
          <w:sz w:val="24"/>
          <w:szCs w:val="24"/>
        </w:rPr>
      </w:pPr>
      <w:r>
        <w:rPr>
          <w:rFonts w:hint="eastAsia" w:ascii="宋体" w:hAnsi="宋体" w:eastAsia="宋体" w:cs="宋体"/>
          <w:b/>
          <w:bCs/>
          <w:sz w:val="24"/>
          <w:szCs w:val="24"/>
          <w14:ligatures w14:val="none"/>
        </w:rPr>
        <w:t>图 工艺流程图</w:t>
      </w:r>
    </w:p>
    <w:p w14:paraId="44D6407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混合污水首先通过格栅去除大颗粒污染物后进入暂存池，达到设定液位时，提升泵将污水泵送至微滤机/隔油设备等，去除污水中的小颗粒污染物、悬浮物和油类。</w:t>
      </w:r>
    </w:p>
    <w:p w14:paraId="6A72E58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之后污水通过提升泵进入混凝气浮单元，该单元需要分别投加混凝剂PAC和助凝剂PAM，进一步去除污水中的油类、部分悬浮物和总磷，混凝气浮产生的浮渣（物化污泥）经储泥池暂存后泵送至叠螺脱水机进行处理。混凝气浮出水自流进入调节池，进行水质水量的调节。</w:t>
      </w:r>
    </w:p>
    <w:p w14:paraId="54DC218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调节池的污水通过提升泵送入A/O池（缺氧/好氧池）进行生化处理，降解污水中的大部分有机物（COD）和氨氮、总氮。A/O池的混合液出水进入外置式超滤（UF）系统实现泥水分离；超滤膜截留的活性污泥浓缩液回流至A/O池以维持系统污泥浓度，确保生化反应高效进行，同时产生生化污泥经储泥池暂存后泵送至叠螺脱水机处理。</w:t>
      </w:r>
    </w:p>
    <w:p w14:paraId="1BFF9F8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超滤产生的清液进入高级氧化系统或NF系统，出水最终通过泵输送至室外污水管网达标排放。</w:t>
      </w:r>
    </w:p>
    <w:p w14:paraId="3896A85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叠螺脱水机同时处理预处理污泥、生化段产生的污泥以及后续高级氧化段产生的污泥。叠螺处理后的出水进入调节池，脱水产生的干污泥则通过螺旋输送机输送至垃圾坑外运处置。</w:t>
      </w:r>
    </w:p>
    <w:p w14:paraId="631E793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污水设备生化区和污泥脱水区以及调节池区域存在臭气，由中转站除臭系统统一设计。</w:t>
      </w:r>
    </w:p>
    <w:p w14:paraId="7266313B">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25" w:name="_Toc229738173"/>
      <w:bookmarkStart w:id="26" w:name="_Toc6489"/>
      <w:r>
        <w:rPr>
          <w:rFonts w:hint="eastAsia" w:ascii="宋体" w:hAnsi="宋体" w:eastAsia="宋体" w:cs="宋体"/>
          <w:b/>
          <w:sz w:val="24"/>
          <w:szCs w:val="24"/>
        </w:rPr>
        <w:t>3.3 基本技术要求</w:t>
      </w:r>
      <w:bookmarkEnd w:id="25"/>
      <w:bookmarkEnd w:id="26"/>
    </w:p>
    <w:p w14:paraId="11538D44">
      <w:pPr>
        <w:pageBreakBefore w:val="0"/>
        <w:kinsoku/>
        <w:wordWrap w:val="0"/>
        <w:overflowPunct/>
        <w:topLinePunct/>
        <w:bidi w:val="0"/>
        <w:adjustRightInd w:val="0"/>
        <w:snapToGrid w:val="0"/>
        <w:spacing w:after="0" w:line="360" w:lineRule="auto"/>
        <w:ind w:firstLine="482" w:firstLineChars="200"/>
        <w:jc w:val="both"/>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以下处理系统各单体部分的工艺要求描述</w:t>
      </w:r>
      <w:r>
        <w:rPr>
          <w:rFonts w:hint="eastAsia" w:ascii="宋体" w:hAnsi="宋体" w:eastAsia="宋体" w:cs="宋体"/>
          <w:b/>
          <w:bCs/>
          <w:sz w:val="24"/>
          <w:szCs w:val="24"/>
          <w:lang w:val="en-US" w:eastAsia="zh-CN"/>
          <w14:ligatures w14:val="none"/>
        </w:rPr>
        <w:t>包括但不限于</w:t>
      </w:r>
      <w:r>
        <w:rPr>
          <w:rFonts w:hint="eastAsia" w:ascii="宋体" w:hAnsi="宋体" w:eastAsia="宋体" w:cs="宋体"/>
          <w:b/>
          <w:bCs/>
          <w:sz w:val="24"/>
          <w:szCs w:val="24"/>
          <w14:ligatures w14:val="none"/>
        </w:rPr>
        <w:t>采购需求已限定处理工艺及所含单元与设备，投标人应根据科学实效的垃圾渗滤液处理工艺理论，实际设备的规格、材质与性能，确定应采用的工艺流程与单元设计，并按工艺流程的路线顺序提具所有单元及设备的设计参数等。</w:t>
      </w:r>
    </w:p>
    <w:p w14:paraId="55EF5725">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27" w:name="_Toc10954"/>
      <w:bookmarkStart w:id="28" w:name="_Toc229738174"/>
      <w:r>
        <w:rPr>
          <w:rFonts w:hint="eastAsia" w:ascii="宋体" w:hAnsi="宋体" w:eastAsia="宋体" w:cs="宋体"/>
          <w:b/>
          <w:bCs/>
          <w:kern w:val="0"/>
          <w:sz w:val="24"/>
          <w:szCs w:val="24"/>
        </w:rPr>
        <w:t>3.3.1 预处理系统</w:t>
      </w:r>
      <w:bookmarkEnd w:id="27"/>
      <w:bookmarkEnd w:id="28"/>
    </w:p>
    <w:p w14:paraId="059D4B8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1、调节池</w:t>
      </w:r>
    </w:p>
    <w:p w14:paraId="7E676A0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调节池对渗滤液及生产废水进行水量、水质调节。</w:t>
      </w:r>
    </w:p>
    <w:p w14:paraId="605CB07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调节池2格，设置潜水搅拌器和调节池提升泵。</w:t>
      </w:r>
    </w:p>
    <w:p w14:paraId="5EEBB31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2、混凝气浮单元</w:t>
      </w:r>
    </w:p>
    <w:p w14:paraId="1342EAC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包含混凝气浮设备及配套的加药系统。</w:t>
      </w:r>
    </w:p>
    <w:p w14:paraId="0935913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加药系统应配备准确的计量装置。</w:t>
      </w:r>
    </w:p>
    <w:p w14:paraId="671091F1">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加药罐体需设置液位计，信号上传至PLC，并配备低液位报警。</w:t>
      </w:r>
    </w:p>
    <w:p w14:paraId="01BBB5C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w:t>
      </w:r>
    </w:p>
    <w:p w14:paraId="1939440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3、中间水池/调节池</w:t>
      </w:r>
    </w:p>
    <w:p w14:paraId="44F26A0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中间水池1格，设置潜水搅拌器和中间水池提升泵。</w:t>
      </w:r>
    </w:p>
    <w:p w14:paraId="22DA579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★调节池内所有设备电机、仪表均需考虑防爆，防爆等级为EX、IIA、T1，仪表采用隔爆型。</w:t>
      </w:r>
    </w:p>
    <w:p w14:paraId="2D5F663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w:t>
      </w:r>
    </w:p>
    <w:p w14:paraId="5A331D1B">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29" w:name="_Toc32513"/>
      <w:bookmarkStart w:id="30" w:name="_Toc229738175"/>
      <w:r>
        <w:rPr>
          <w:rFonts w:hint="eastAsia" w:ascii="宋体" w:hAnsi="宋体" w:eastAsia="宋体" w:cs="宋体"/>
          <w:b/>
          <w:bCs/>
          <w:kern w:val="0"/>
          <w:sz w:val="24"/>
          <w:szCs w:val="24"/>
        </w:rPr>
        <w:t>3.3.2 MBR生化系统</w:t>
      </w:r>
      <w:bookmarkEnd w:id="29"/>
      <w:bookmarkEnd w:id="30"/>
    </w:p>
    <w:p w14:paraId="7890E45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MBR系统由“AO生化反应池+外置式超滤膜”组成，主要作用为削减大部分污染物。MBR系统需具备较强的脱除氨氮和总氮的能力。</w:t>
      </w:r>
    </w:p>
    <w:p w14:paraId="6995D09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MBR系统包括反硝化池、硝化池、超滤系统（采用外置式超滤膜）、冷却系统、曝气系统、消泡剂投加系统等。</w:t>
      </w:r>
    </w:p>
    <w:p w14:paraId="5718950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★MBR系统需采用较高充氧能力的曝气系统。</w:t>
      </w:r>
    </w:p>
    <w:p w14:paraId="6519C37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鼓风机采用空气悬浮鼓风机，安装在室内。</w:t>
      </w:r>
    </w:p>
    <w:p w14:paraId="286DC17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风机进硝化池曝气管需设置电动调节阀，信号上传至PLC，同时中央控制室能远程控制电动调节阀的开度，并满足超风量运转。</w:t>
      </w:r>
    </w:p>
    <w:p w14:paraId="15A2F1E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反硝化池、硝化池内的设备需耐受本项目污水的腐蚀。</w:t>
      </w:r>
    </w:p>
    <w:p w14:paraId="272618C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★硝化池需配备溶解氧、pH、温度、液位、污泥浓度等在线测量仪表，并将测量数据传输至在线控制系统。</w:t>
      </w:r>
    </w:p>
    <w:p w14:paraId="7B928F6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★投标方应采用外置式管式超滤系统，为集成式一体化设备，投标方按照招标文件对资料的要求提供详细的资料和图纸。</w:t>
      </w:r>
    </w:p>
    <w:p w14:paraId="4093F97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方在投标文件中需提供超滤膜类型的选取说明，包括膜材质、孔径、规格型号、设计通量、设计使用面积、运行压力及各项参数等；列出膜壳的选取，规格型号、材质、各项参数；超滤膜的清洗条件、周期、清洗方式与设置；膜的使用寿命、更换周期、年通量衰减率。</w:t>
      </w:r>
    </w:p>
    <w:p w14:paraId="07D754E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6AE00A1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MBR系统需采取有效的泡沫控制措施，避免泡沫外溢。</w:t>
      </w:r>
    </w:p>
    <w:p w14:paraId="2FF0D43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MBR系统需采取有效的温度控制措施，在夏天和设计流量下，曝气池温度不超过38 ℃。</w:t>
      </w:r>
    </w:p>
    <w:p w14:paraId="450A78E1">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MBR系统需设置完善的自控系统，自控仪表、PLC等需为知名品牌。</w:t>
      </w:r>
    </w:p>
    <w:p w14:paraId="3DCC385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MBR系统中液下搅拌器、泵类、加药设备需为国内或国际知名品牌。</w:t>
      </w:r>
    </w:p>
    <w:p w14:paraId="42FBA84A">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31" w:name="_Toc594"/>
      <w:bookmarkStart w:id="32" w:name="_Toc32959088"/>
      <w:bookmarkStart w:id="33" w:name="_Toc229738176"/>
      <w:r>
        <w:rPr>
          <w:rFonts w:hint="eastAsia" w:ascii="宋体" w:hAnsi="宋体" w:eastAsia="宋体" w:cs="宋体"/>
          <w:b/>
          <w:bCs/>
          <w:kern w:val="0"/>
          <w:sz w:val="24"/>
          <w:szCs w:val="24"/>
        </w:rPr>
        <w:t>3.3.3 加热恒温与冷却系统</w:t>
      </w:r>
      <w:bookmarkEnd w:id="31"/>
      <w:bookmarkEnd w:id="32"/>
      <w:bookmarkEnd w:id="33"/>
    </w:p>
    <w:p w14:paraId="4B73E9D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（1）如需对好氧反应装置内的水体进行冷却，可根据水量大小，自行合理设计冷却水系统。</w:t>
      </w:r>
    </w:p>
    <w:p w14:paraId="38DD9C9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（2）加热与冷却系统，需根据在线温度监控仪表的数据，进行在线连续控制。</w:t>
      </w:r>
    </w:p>
    <w:p w14:paraId="3236409F">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34" w:name="_Toc17057"/>
      <w:bookmarkStart w:id="35" w:name="_Toc229738177"/>
      <w:r>
        <w:rPr>
          <w:rFonts w:hint="eastAsia" w:ascii="宋体" w:hAnsi="宋体" w:eastAsia="宋体" w:cs="宋体"/>
          <w:b/>
          <w:bCs/>
          <w:kern w:val="0"/>
          <w:sz w:val="24"/>
          <w:szCs w:val="24"/>
        </w:rPr>
        <w:t>3.3.4 高级氧化系统</w:t>
      </w:r>
      <w:bookmarkEnd w:id="34"/>
      <w:bookmarkEnd w:id="35"/>
    </w:p>
    <w:p w14:paraId="7C91BD5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高级氧化系统作为本项目的污水处理系统的保安系统，需保证最终出水能达到本工程出水要求。</w:t>
      </w:r>
    </w:p>
    <w:p w14:paraId="47D8777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67EA9135">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36" w:name="_Toc229738178"/>
      <w:r>
        <w:rPr>
          <w:rFonts w:hint="eastAsia" w:ascii="宋体" w:hAnsi="宋体" w:eastAsia="宋体" w:cs="宋体"/>
          <w:b/>
          <w:bCs/>
          <w:kern w:val="0"/>
          <w:sz w:val="24"/>
          <w:szCs w:val="24"/>
        </w:rPr>
        <w:t>3.3.5 纳滤系统</w:t>
      </w:r>
      <w:bookmarkEnd w:id="36"/>
    </w:p>
    <w:p w14:paraId="2CD17A4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纳滤系统在工艺中主要对渗滤液中COD</w:t>
      </w:r>
      <w:r>
        <w:rPr>
          <w:rFonts w:hint="eastAsia" w:ascii="宋体" w:hAnsi="宋体" w:eastAsia="宋体" w:cs="宋体"/>
          <w:sz w:val="24"/>
          <w:szCs w:val="24"/>
          <w:vertAlign w:val="subscript"/>
          <w14:ligatures w14:val="none"/>
        </w:rPr>
        <w:t>Cr</w:t>
      </w:r>
      <w:r>
        <w:rPr>
          <w:rFonts w:hint="eastAsia" w:ascii="宋体" w:hAnsi="宋体" w:eastAsia="宋体" w:cs="宋体"/>
          <w:sz w:val="24"/>
          <w:szCs w:val="24"/>
          <w14:ligatures w14:val="none"/>
        </w:rPr>
        <w:t>及重金属的去除。</w:t>
      </w:r>
    </w:p>
    <w:p w14:paraId="7B4C5EA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投标方应采用一体化撬装设备，投标方按照招标文件要求提供详细资料。</w:t>
      </w:r>
    </w:p>
    <w:p w14:paraId="3BD78E8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方在投标文件中需提供纳滤膜类型的选取说明，包括膜材质、孔径、规格型号、设计通量、设计使用面积、运行压力及各项参数等；列出膜壳的选取，规格型号、材质、各项参数；纳滤膜的清洗条件、周期、清洗方式与设置；膜的使用寿命、更换周期、年通量衰减率；浓液的产量及处理方式。</w:t>
      </w:r>
    </w:p>
    <w:p w14:paraId="57846A1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1207105E">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37" w:name="_Toc229738179"/>
      <w:r>
        <w:rPr>
          <w:rFonts w:hint="eastAsia" w:ascii="宋体" w:hAnsi="宋体" w:eastAsia="宋体" w:cs="宋体"/>
          <w:b/>
          <w:bCs/>
          <w:kern w:val="0"/>
          <w:sz w:val="24"/>
          <w:szCs w:val="24"/>
        </w:rPr>
        <w:t xml:space="preserve">3.3.6 </w:t>
      </w:r>
      <w:bookmarkStart w:id="38" w:name="_Toc19813"/>
      <w:r>
        <w:rPr>
          <w:rFonts w:hint="eastAsia" w:ascii="宋体" w:hAnsi="宋体" w:eastAsia="宋体" w:cs="宋体"/>
          <w:b/>
          <w:bCs/>
          <w:kern w:val="0"/>
          <w:sz w:val="24"/>
          <w:szCs w:val="24"/>
        </w:rPr>
        <w:t>叠螺脱水系统</w:t>
      </w:r>
      <w:bookmarkEnd w:id="37"/>
      <w:bookmarkEnd w:id="38"/>
    </w:p>
    <w:p w14:paraId="340BACF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叠螺脱水系统处理的对象包括预处理、MBR单元产生的剩余污泥和混凝气浮单元产生的化学污泥，叠螺脱水系统位于车间一层的污泥脱水车间。</w:t>
      </w:r>
    </w:p>
    <w:p w14:paraId="3EF6FF6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★污泥脱水后的含水率应不高于80%，输送至垃圾斗，后续由</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负责外运处置。</w:t>
      </w:r>
    </w:p>
    <w:p w14:paraId="24B2034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叠螺脱水系统设备需为国内知名品牌。</w:t>
      </w:r>
    </w:p>
    <w:p w14:paraId="6536791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bookmarkStart w:id="39" w:name="OLE_LINK3"/>
      <w:r>
        <w:rPr>
          <w:rFonts w:hint="eastAsia" w:ascii="宋体" w:hAnsi="宋体" w:eastAsia="宋体" w:cs="宋体"/>
          <w:sz w:val="24"/>
          <w:szCs w:val="24"/>
          <w14:ligatures w14:val="none"/>
        </w:rPr>
        <w:t>叠螺脱水系统需配套加药系统。</w:t>
      </w:r>
      <w:bookmarkEnd w:id="39"/>
    </w:p>
    <w:p w14:paraId="1E3FD76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14:ligatures w14:val="none"/>
        </w:rPr>
        <w:t>所有工艺设备的状态信号（开、停、故障）均需上传至PLC，同时中央控制室均能远程控制设备的启停（具体控制设备待中标后由业主、设计院确定）；所有≥15 kW的电机均需设置电流表，电流信号均需上传至PLC。</w:t>
      </w:r>
    </w:p>
    <w:p w14:paraId="0DE727BD">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40" w:name="_Toc10976"/>
      <w:bookmarkStart w:id="41" w:name="_Toc229738180"/>
      <w:r>
        <w:rPr>
          <w:rFonts w:hint="eastAsia" w:ascii="宋体" w:hAnsi="宋体" w:eastAsia="宋体" w:cs="宋体"/>
          <w:b/>
          <w:bCs/>
          <w:kern w:val="0"/>
          <w:sz w:val="24"/>
          <w:szCs w:val="24"/>
        </w:rPr>
        <w:t>3.3.7 噪声控制</w:t>
      </w:r>
      <w:bookmarkEnd w:id="40"/>
      <w:bookmarkEnd w:id="41"/>
    </w:p>
    <w:p w14:paraId="77EC2B4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选用低噪声设备，对高噪声设各采取有效的减振、隔声、消声等降噪措施，确保厂界噪声满足《工业企业厂界环境噪声排放标准》（GB 12348-2008）2类标准。相关降噪标准同时符合环评及其批复要求。</w:t>
      </w:r>
    </w:p>
    <w:p w14:paraId="3A45A77A">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42" w:name="_Toc32959093"/>
      <w:bookmarkStart w:id="43" w:name="_Toc7885"/>
      <w:bookmarkStart w:id="44" w:name="_Toc229738181"/>
      <w:r>
        <w:rPr>
          <w:rFonts w:hint="eastAsia" w:ascii="宋体" w:hAnsi="宋体" w:eastAsia="宋体" w:cs="宋体"/>
          <w:b/>
          <w:bCs/>
          <w:kern w:val="0"/>
          <w:sz w:val="24"/>
          <w:szCs w:val="24"/>
        </w:rPr>
        <w:t>3.3.8 管道系统</w:t>
      </w:r>
      <w:bookmarkEnd w:id="42"/>
      <w:bookmarkEnd w:id="43"/>
      <w:bookmarkEnd w:id="44"/>
    </w:p>
    <w:p w14:paraId="1D36B4E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管道系统设计寿命30年。</w:t>
      </w:r>
    </w:p>
    <w:p w14:paraId="56C6197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所有管道要求能耐受1.6 MPa压力。</w:t>
      </w:r>
    </w:p>
    <w:p w14:paraId="08CBE27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所有管道系统必须采用防腐材料，管道适应渗滤液的水质要求。</w:t>
      </w:r>
    </w:p>
    <w:p w14:paraId="10BCC3B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★鼓风机向MBR生反池供气的空气管道全部采用304不锈钢材质；室内≤DN200的重力流污水管道采用UPVC，其他污水重力流管道均采用HDPE双壁波纹管；所有压力流污水管道采用PE实壁管，压力等级1.6 MPa。</w:t>
      </w:r>
    </w:p>
    <w:p w14:paraId="34ACB89E">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45" w:name="_Toc229738182"/>
      <w:bookmarkStart w:id="46" w:name="_Toc1142"/>
      <w:r>
        <w:rPr>
          <w:rFonts w:hint="eastAsia" w:ascii="宋体" w:hAnsi="宋体" w:eastAsia="宋体" w:cs="宋体"/>
          <w:b/>
          <w:bCs/>
          <w:kern w:val="0"/>
          <w:sz w:val="24"/>
          <w:szCs w:val="24"/>
        </w:rPr>
        <w:t>3.3.9 在线监测要求</w:t>
      </w:r>
      <w:bookmarkEnd w:id="45"/>
      <w:bookmarkEnd w:id="46"/>
    </w:p>
    <w:p w14:paraId="6133524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系统中需设置的在线检测项目如下：</w:t>
      </w:r>
    </w:p>
    <w:p w14:paraId="08E82F3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调节池仪表采用隔爆型。</w:t>
      </w:r>
    </w:p>
    <w:p w14:paraId="4E67CDA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生产废水进水流量；初期雨水进水流量；渗滤液进水流量；调节池出水管流量。</w:t>
      </w:r>
    </w:p>
    <w:p w14:paraId="7F4A8CB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各水池（根据需要）、药剂罐液位，且具备高低液位报警。</w:t>
      </w:r>
    </w:p>
    <w:p w14:paraId="6A050FA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加药泵出口流量计。</w:t>
      </w:r>
    </w:p>
    <w:p w14:paraId="5F36B5D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自清洗过滤器进出口压力。</w:t>
      </w:r>
    </w:p>
    <w:p w14:paraId="50E9CA3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反硝化池温度、ORP；硝化池DO、pH、温度；风机风量、风压；生反池污泥浓度。</w:t>
      </w:r>
    </w:p>
    <w:p w14:paraId="33FFC87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冷却塔温度、污泥进水口温度；冷却污泥泵出口温度、冷却污泥回流管温度、冷却水管换热前后温度。</w:t>
      </w:r>
    </w:p>
    <w:p w14:paraId="76BB772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各排泥管流量计。</w:t>
      </w:r>
    </w:p>
    <w:p w14:paraId="10D78DF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膜组件进出水流量、pH、电导率、温度；膜组件进水过滤器进出口压力；膜组件回流流量、压力；膜组件清液罐液位（需现场显示）、pH。</w:t>
      </w:r>
    </w:p>
    <w:p w14:paraId="386DA1A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脱水机进口流量计。</w:t>
      </w:r>
    </w:p>
    <w:p w14:paraId="60E07A7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对可能存在可燃或有毒气体泄漏的场所设置可燃及有毒气体探测器，并在危险区域外设置声光报警器。</w:t>
      </w:r>
    </w:p>
    <w:p w14:paraId="1EC6CA1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出水在线监测仪表（位于在线监测间），信号上传至中控室及当地环保局。应满足当地环保局要求并通过相关验收。</w:t>
      </w:r>
    </w:p>
    <w:p w14:paraId="15757E9B">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47" w:name="_Toc229738184"/>
      <w:r>
        <w:rPr>
          <w:rFonts w:hint="eastAsia" w:ascii="宋体" w:hAnsi="宋体" w:eastAsia="宋体" w:cs="宋体"/>
          <w:b/>
          <w:sz w:val="24"/>
          <w:szCs w:val="24"/>
        </w:rPr>
        <w:t xml:space="preserve">3.4 </w:t>
      </w:r>
      <w:bookmarkStart w:id="48" w:name="_Toc11885"/>
      <w:r>
        <w:rPr>
          <w:rFonts w:hint="eastAsia" w:ascii="宋体" w:hAnsi="宋体" w:eastAsia="宋体" w:cs="宋体"/>
          <w:b/>
          <w:sz w:val="24"/>
          <w:szCs w:val="24"/>
        </w:rPr>
        <w:t>主要设备清单（参考）</w:t>
      </w:r>
      <w:bookmarkEnd w:id="47"/>
      <w:bookmarkEnd w:id="48"/>
    </w:p>
    <w:tbl>
      <w:tblPr>
        <w:tblStyle w:val="13"/>
        <w:tblW w:w="8926" w:type="dxa"/>
        <w:tblInd w:w="0" w:type="dxa"/>
        <w:tblLayout w:type="autofit"/>
        <w:tblCellMar>
          <w:top w:w="0" w:type="dxa"/>
          <w:left w:w="108" w:type="dxa"/>
          <w:bottom w:w="0" w:type="dxa"/>
          <w:right w:w="108" w:type="dxa"/>
        </w:tblCellMar>
      </w:tblPr>
      <w:tblGrid>
        <w:gridCol w:w="562"/>
        <w:gridCol w:w="650"/>
        <w:gridCol w:w="1276"/>
        <w:gridCol w:w="3712"/>
        <w:gridCol w:w="856"/>
        <w:gridCol w:w="736"/>
        <w:gridCol w:w="1134"/>
      </w:tblGrid>
      <w:tr w14:paraId="67E47D06">
        <w:tblPrEx>
          <w:tblCellMar>
            <w:top w:w="0" w:type="dxa"/>
            <w:left w:w="108" w:type="dxa"/>
            <w:bottom w:w="0" w:type="dxa"/>
            <w:right w:w="108" w:type="dxa"/>
          </w:tblCellMar>
        </w:tblPrEx>
        <w:trPr>
          <w:trHeight w:val="278" w:hRule="atLeast"/>
        </w:trPr>
        <w:tc>
          <w:tcPr>
            <w:tcW w:w="562" w:type="dxa"/>
            <w:tcBorders>
              <w:top w:val="single" w:color="auto" w:sz="4" w:space="0"/>
              <w:left w:val="single" w:color="auto" w:sz="4" w:space="0"/>
              <w:bottom w:val="single" w:color="auto" w:sz="4" w:space="0"/>
              <w:right w:val="single" w:color="auto" w:sz="4" w:space="0"/>
            </w:tcBorders>
            <w:vAlign w:val="center"/>
          </w:tcPr>
          <w:p w14:paraId="1B4682C4">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650" w:type="dxa"/>
            <w:tcBorders>
              <w:top w:val="single" w:color="auto" w:sz="4" w:space="0"/>
              <w:left w:val="nil"/>
              <w:bottom w:val="single" w:color="auto" w:sz="4" w:space="0"/>
              <w:right w:val="single" w:color="auto" w:sz="4" w:space="0"/>
            </w:tcBorders>
            <w:vAlign w:val="center"/>
          </w:tcPr>
          <w:p w14:paraId="7B135837">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系统</w:t>
            </w:r>
          </w:p>
        </w:tc>
        <w:tc>
          <w:tcPr>
            <w:tcW w:w="1276" w:type="dxa"/>
            <w:tcBorders>
              <w:top w:val="single" w:color="auto" w:sz="4" w:space="0"/>
              <w:left w:val="nil"/>
              <w:bottom w:val="single" w:color="auto" w:sz="4" w:space="0"/>
              <w:right w:val="single" w:color="auto" w:sz="4" w:space="0"/>
            </w:tcBorders>
            <w:vAlign w:val="center"/>
          </w:tcPr>
          <w:p w14:paraId="302C2CF8">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设备名称</w:t>
            </w:r>
          </w:p>
        </w:tc>
        <w:tc>
          <w:tcPr>
            <w:tcW w:w="3712" w:type="dxa"/>
            <w:tcBorders>
              <w:top w:val="single" w:color="auto" w:sz="4" w:space="0"/>
              <w:left w:val="nil"/>
              <w:bottom w:val="single" w:color="auto" w:sz="4" w:space="0"/>
              <w:right w:val="single" w:color="auto" w:sz="4" w:space="0"/>
            </w:tcBorders>
            <w:vAlign w:val="center"/>
          </w:tcPr>
          <w:p w14:paraId="29C5EAA8">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核心参数</w:t>
            </w:r>
          </w:p>
        </w:tc>
        <w:tc>
          <w:tcPr>
            <w:tcW w:w="856" w:type="dxa"/>
            <w:tcBorders>
              <w:top w:val="single" w:color="auto" w:sz="4" w:space="0"/>
              <w:left w:val="nil"/>
              <w:bottom w:val="single" w:color="auto" w:sz="4" w:space="0"/>
              <w:right w:val="single" w:color="auto" w:sz="4" w:space="0"/>
            </w:tcBorders>
            <w:vAlign w:val="center"/>
          </w:tcPr>
          <w:p w14:paraId="28C7EA3A">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单位</w:t>
            </w:r>
          </w:p>
        </w:tc>
        <w:tc>
          <w:tcPr>
            <w:tcW w:w="736" w:type="dxa"/>
            <w:tcBorders>
              <w:top w:val="single" w:color="auto" w:sz="4" w:space="0"/>
              <w:left w:val="nil"/>
              <w:bottom w:val="single" w:color="auto" w:sz="4" w:space="0"/>
              <w:right w:val="single" w:color="auto" w:sz="4" w:space="0"/>
            </w:tcBorders>
            <w:vAlign w:val="center"/>
          </w:tcPr>
          <w:p w14:paraId="18717995">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数量</w:t>
            </w:r>
          </w:p>
        </w:tc>
        <w:tc>
          <w:tcPr>
            <w:tcW w:w="1134" w:type="dxa"/>
            <w:tcBorders>
              <w:top w:val="single" w:color="auto" w:sz="4" w:space="0"/>
              <w:left w:val="nil"/>
              <w:bottom w:val="single" w:color="auto" w:sz="4" w:space="0"/>
              <w:right w:val="single" w:color="auto" w:sz="4" w:space="0"/>
            </w:tcBorders>
            <w:vAlign w:val="center"/>
          </w:tcPr>
          <w:p w14:paraId="5451F9AE">
            <w:pPr>
              <w:pageBreakBefore w:val="0"/>
              <w:widowControl/>
              <w:kinsoku/>
              <w:wordWrap w:val="0"/>
              <w:overflowPunct/>
              <w:topLinePunct/>
              <w:bidi w:val="0"/>
              <w:spacing w:after="0" w:line="36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备注</w:t>
            </w:r>
          </w:p>
        </w:tc>
      </w:tr>
      <w:tr w14:paraId="5CCBB4C0">
        <w:tblPrEx>
          <w:tblCellMar>
            <w:top w:w="0" w:type="dxa"/>
            <w:left w:w="108" w:type="dxa"/>
            <w:bottom w:w="0" w:type="dxa"/>
            <w:right w:w="108" w:type="dxa"/>
          </w:tblCellMar>
        </w:tblPrEx>
        <w:trPr>
          <w:trHeight w:val="555" w:hRule="atLeast"/>
        </w:trPr>
        <w:tc>
          <w:tcPr>
            <w:tcW w:w="562" w:type="dxa"/>
            <w:vMerge w:val="restart"/>
            <w:tcBorders>
              <w:top w:val="nil"/>
              <w:left w:val="single" w:color="auto" w:sz="4" w:space="0"/>
              <w:bottom w:val="single" w:color="auto" w:sz="4" w:space="0"/>
              <w:right w:val="single" w:color="auto" w:sz="4" w:space="0"/>
            </w:tcBorders>
            <w:vAlign w:val="center"/>
          </w:tcPr>
          <w:p w14:paraId="439D2FD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650" w:type="dxa"/>
            <w:vMerge w:val="restart"/>
            <w:tcBorders>
              <w:top w:val="nil"/>
              <w:left w:val="single" w:color="auto" w:sz="4" w:space="0"/>
              <w:bottom w:val="single" w:color="auto" w:sz="4" w:space="0"/>
              <w:right w:val="single" w:color="auto" w:sz="4" w:space="0"/>
            </w:tcBorders>
            <w:vAlign w:val="center"/>
          </w:tcPr>
          <w:p w14:paraId="00410AB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收集池系统</w:t>
            </w:r>
          </w:p>
        </w:tc>
        <w:tc>
          <w:tcPr>
            <w:tcW w:w="1276" w:type="dxa"/>
            <w:tcBorders>
              <w:top w:val="nil"/>
              <w:left w:val="nil"/>
              <w:bottom w:val="single" w:color="auto" w:sz="4" w:space="0"/>
              <w:right w:val="single" w:color="auto" w:sz="4" w:space="0"/>
            </w:tcBorders>
            <w:vAlign w:val="center"/>
          </w:tcPr>
          <w:p w14:paraId="5A4516D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格栅机</w:t>
            </w:r>
          </w:p>
        </w:tc>
        <w:tc>
          <w:tcPr>
            <w:tcW w:w="3712" w:type="dxa"/>
            <w:tcBorders>
              <w:top w:val="nil"/>
              <w:left w:val="nil"/>
              <w:bottom w:val="single" w:color="auto" w:sz="4" w:space="0"/>
              <w:right w:val="single" w:color="auto" w:sz="4" w:space="0"/>
            </w:tcBorders>
            <w:vAlign w:val="center"/>
          </w:tcPr>
          <w:p w14:paraId="278A732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栅间隙3 mm，流量&gt;8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/h，安装角度75°材质：304，耙齿：ABS</w:t>
            </w:r>
          </w:p>
        </w:tc>
        <w:tc>
          <w:tcPr>
            <w:tcW w:w="856" w:type="dxa"/>
            <w:tcBorders>
              <w:top w:val="nil"/>
              <w:left w:val="nil"/>
              <w:bottom w:val="single" w:color="auto" w:sz="4" w:space="0"/>
              <w:right w:val="single" w:color="auto" w:sz="4" w:space="0"/>
            </w:tcBorders>
            <w:noWrap/>
            <w:vAlign w:val="center"/>
          </w:tcPr>
          <w:p w14:paraId="05706BC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44E24A4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3848D2CC">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45EC9794">
        <w:tblPrEx>
          <w:tblCellMar>
            <w:top w:w="0" w:type="dxa"/>
            <w:left w:w="108" w:type="dxa"/>
            <w:bottom w:w="0" w:type="dxa"/>
            <w:right w:w="108" w:type="dxa"/>
          </w:tblCellMar>
        </w:tblPrEx>
        <w:trPr>
          <w:trHeight w:val="593" w:hRule="atLeast"/>
        </w:trPr>
        <w:tc>
          <w:tcPr>
            <w:tcW w:w="562" w:type="dxa"/>
            <w:vMerge w:val="continue"/>
            <w:tcBorders>
              <w:top w:val="nil"/>
              <w:left w:val="single" w:color="auto" w:sz="4" w:space="0"/>
              <w:bottom w:val="single" w:color="auto" w:sz="4" w:space="0"/>
              <w:right w:val="single" w:color="auto" w:sz="4" w:space="0"/>
            </w:tcBorders>
            <w:vAlign w:val="center"/>
          </w:tcPr>
          <w:p w14:paraId="0DE1FF06">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3201316B">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vAlign w:val="center"/>
          </w:tcPr>
          <w:p w14:paraId="72D19E1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搅拌机</w:t>
            </w:r>
          </w:p>
        </w:tc>
        <w:tc>
          <w:tcPr>
            <w:tcW w:w="3712" w:type="dxa"/>
            <w:tcBorders>
              <w:top w:val="nil"/>
              <w:left w:val="nil"/>
              <w:bottom w:val="single" w:color="auto" w:sz="4" w:space="0"/>
              <w:right w:val="single" w:color="auto" w:sz="4" w:space="0"/>
            </w:tcBorders>
            <w:vAlign w:val="center"/>
          </w:tcPr>
          <w:p w14:paraId="6EAB292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潜水搅拌器，功率大于1.5 kW，主机材质304材质，导轨及提升材质SUS304</w:t>
            </w:r>
          </w:p>
        </w:tc>
        <w:tc>
          <w:tcPr>
            <w:tcW w:w="856" w:type="dxa"/>
            <w:tcBorders>
              <w:top w:val="nil"/>
              <w:left w:val="nil"/>
              <w:bottom w:val="single" w:color="auto" w:sz="4" w:space="0"/>
              <w:right w:val="single" w:color="auto" w:sz="4" w:space="0"/>
            </w:tcBorders>
            <w:vAlign w:val="center"/>
          </w:tcPr>
          <w:p w14:paraId="3757AC8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vAlign w:val="center"/>
          </w:tcPr>
          <w:p w14:paraId="39831A7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759A9254">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547FABA0">
        <w:tblPrEx>
          <w:tblCellMar>
            <w:top w:w="0" w:type="dxa"/>
            <w:left w:w="108" w:type="dxa"/>
            <w:bottom w:w="0" w:type="dxa"/>
            <w:right w:w="108" w:type="dxa"/>
          </w:tblCellMar>
        </w:tblPrEx>
        <w:trPr>
          <w:trHeight w:val="668" w:hRule="atLeast"/>
        </w:trPr>
        <w:tc>
          <w:tcPr>
            <w:tcW w:w="562" w:type="dxa"/>
            <w:vMerge w:val="continue"/>
            <w:tcBorders>
              <w:top w:val="nil"/>
              <w:left w:val="single" w:color="auto" w:sz="4" w:space="0"/>
              <w:bottom w:val="single" w:color="auto" w:sz="4" w:space="0"/>
              <w:right w:val="single" w:color="auto" w:sz="4" w:space="0"/>
            </w:tcBorders>
            <w:vAlign w:val="center"/>
          </w:tcPr>
          <w:p w14:paraId="207FD45F">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6302FE8D">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vAlign w:val="center"/>
          </w:tcPr>
          <w:p w14:paraId="04EC505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提升泵</w:t>
            </w:r>
          </w:p>
        </w:tc>
        <w:tc>
          <w:tcPr>
            <w:tcW w:w="3712" w:type="dxa"/>
            <w:tcBorders>
              <w:top w:val="nil"/>
              <w:left w:val="nil"/>
              <w:bottom w:val="single" w:color="auto" w:sz="4" w:space="0"/>
              <w:right w:val="single" w:color="auto" w:sz="4" w:space="0"/>
            </w:tcBorders>
            <w:vAlign w:val="center"/>
          </w:tcPr>
          <w:p w14:paraId="78D33A1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切割潜污泵泵，流量15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/h，扬程20 m，过流部件不锈钢304</w:t>
            </w:r>
          </w:p>
        </w:tc>
        <w:tc>
          <w:tcPr>
            <w:tcW w:w="856" w:type="dxa"/>
            <w:tcBorders>
              <w:top w:val="nil"/>
              <w:left w:val="nil"/>
              <w:bottom w:val="single" w:color="auto" w:sz="4" w:space="0"/>
              <w:right w:val="single" w:color="auto" w:sz="4" w:space="0"/>
            </w:tcBorders>
            <w:vAlign w:val="center"/>
          </w:tcPr>
          <w:p w14:paraId="5A68D42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vAlign w:val="center"/>
          </w:tcPr>
          <w:p w14:paraId="029EEA5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vAlign w:val="center"/>
          </w:tcPr>
          <w:p w14:paraId="25915BE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59BA385C">
        <w:tblPrEx>
          <w:tblCellMar>
            <w:top w:w="0" w:type="dxa"/>
            <w:left w:w="108" w:type="dxa"/>
            <w:bottom w:w="0" w:type="dxa"/>
            <w:right w:w="108" w:type="dxa"/>
          </w:tblCellMar>
        </w:tblPrEx>
        <w:trPr>
          <w:trHeight w:val="525" w:hRule="atLeast"/>
        </w:trPr>
        <w:tc>
          <w:tcPr>
            <w:tcW w:w="562" w:type="dxa"/>
            <w:vMerge w:val="restart"/>
            <w:tcBorders>
              <w:top w:val="nil"/>
              <w:left w:val="single" w:color="auto" w:sz="4" w:space="0"/>
              <w:bottom w:val="single" w:color="auto" w:sz="4" w:space="0"/>
              <w:right w:val="single" w:color="auto" w:sz="4" w:space="0"/>
            </w:tcBorders>
            <w:vAlign w:val="center"/>
          </w:tcPr>
          <w:p w14:paraId="40E7E98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650" w:type="dxa"/>
            <w:vMerge w:val="restart"/>
            <w:tcBorders>
              <w:top w:val="nil"/>
              <w:left w:val="single" w:color="auto" w:sz="4" w:space="0"/>
              <w:bottom w:val="single" w:color="auto" w:sz="4" w:space="0"/>
              <w:right w:val="single" w:color="auto" w:sz="4" w:space="0"/>
            </w:tcBorders>
            <w:vAlign w:val="center"/>
          </w:tcPr>
          <w:p w14:paraId="1BF68FB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预处理系统</w:t>
            </w:r>
          </w:p>
        </w:tc>
        <w:tc>
          <w:tcPr>
            <w:tcW w:w="1276" w:type="dxa"/>
            <w:tcBorders>
              <w:top w:val="nil"/>
              <w:left w:val="nil"/>
              <w:bottom w:val="single" w:color="auto" w:sz="4" w:space="0"/>
              <w:right w:val="single" w:color="auto" w:sz="4" w:space="0"/>
            </w:tcBorders>
            <w:vAlign w:val="center"/>
          </w:tcPr>
          <w:p w14:paraId="5CF38D9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微滤机</w:t>
            </w:r>
          </w:p>
        </w:tc>
        <w:tc>
          <w:tcPr>
            <w:tcW w:w="3712" w:type="dxa"/>
            <w:tcBorders>
              <w:top w:val="nil"/>
              <w:left w:val="nil"/>
              <w:bottom w:val="single" w:color="auto" w:sz="4" w:space="0"/>
              <w:right w:val="single" w:color="auto" w:sz="4" w:space="0"/>
            </w:tcBorders>
            <w:vAlign w:val="center"/>
          </w:tcPr>
          <w:p w14:paraId="068B78E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进水流量Q=20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/h，不锈钢304材质，内网60目</w:t>
            </w:r>
          </w:p>
        </w:tc>
        <w:tc>
          <w:tcPr>
            <w:tcW w:w="856" w:type="dxa"/>
            <w:tcBorders>
              <w:top w:val="nil"/>
              <w:left w:val="nil"/>
              <w:bottom w:val="single" w:color="auto" w:sz="4" w:space="0"/>
              <w:right w:val="single" w:color="auto" w:sz="4" w:space="0"/>
            </w:tcBorders>
            <w:vAlign w:val="center"/>
          </w:tcPr>
          <w:p w14:paraId="2FA90AD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vAlign w:val="center"/>
          </w:tcPr>
          <w:p w14:paraId="0312597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71FEDEE7">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5353E20D">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5810F651">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1DC6538D">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vAlign w:val="center"/>
          </w:tcPr>
          <w:p w14:paraId="5C7FFEB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隔油设备</w:t>
            </w:r>
          </w:p>
        </w:tc>
        <w:tc>
          <w:tcPr>
            <w:tcW w:w="3712" w:type="dxa"/>
            <w:tcBorders>
              <w:top w:val="nil"/>
              <w:left w:val="nil"/>
              <w:bottom w:val="single" w:color="auto" w:sz="4" w:space="0"/>
              <w:right w:val="single" w:color="auto" w:sz="4" w:space="0"/>
            </w:tcBorders>
            <w:vAlign w:val="center"/>
          </w:tcPr>
          <w:p w14:paraId="355ACE8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进水流量Q=20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/h，不锈钢304材质</w:t>
            </w:r>
          </w:p>
        </w:tc>
        <w:tc>
          <w:tcPr>
            <w:tcW w:w="856" w:type="dxa"/>
            <w:tcBorders>
              <w:top w:val="nil"/>
              <w:left w:val="nil"/>
              <w:bottom w:val="single" w:color="auto" w:sz="4" w:space="0"/>
              <w:right w:val="single" w:color="auto" w:sz="4" w:space="0"/>
            </w:tcBorders>
            <w:vAlign w:val="center"/>
          </w:tcPr>
          <w:p w14:paraId="77B1DF0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vAlign w:val="center"/>
          </w:tcPr>
          <w:p w14:paraId="7DC6863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4417779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06B3A1B0">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5413F2C6">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1C557EE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16F2501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排泥泵</w:t>
            </w:r>
          </w:p>
        </w:tc>
        <w:tc>
          <w:tcPr>
            <w:tcW w:w="3712" w:type="dxa"/>
            <w:tcBorders>
              <w:top w:val="nil"/>
              <w:left w:val="nil"/>
              <w:bottom w:val="single" w:color="auto" w:sz="4" w:space="0"/>
              <w:right w:val="single" w:color="auto" w:sz="4" w:space="0"/>
            </w:tcBorders>
            <w:vAlign w:val="center"/>
          </w:tcPr>
          <w:p w14:paraId="68F84D7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Q=5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/h，H=20 m，不锈钢304，</w:t>
            </w:r>
          </w:p>
        </w:tc>
        <w:tc>
          <w:tcPr>
            <w:tcW w:w="856" w:type="dxa"/>
            <w:tcBorders>
              <w:top w:val="nil"/>
              <w:left w:val="nil"/>
              <w:bottom w:val="single" w:color="auto" w:sz="4" w:space="0"/>
              <w:right w:val="single" w:color="auto" w:sz="4" w:space="0"/>
            </w:tcBorders>
            <w:noWrap/>
            <w:vAlign w:val="center"/>
          </w:tcPr>
          <w:p w14:paraId="18C09B6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3016C21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741FE57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5A9A1241">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344E961C">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45E17A5A">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761FA1C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搅拌机</w:t>
            </w:r>
          </w:p>
        </w:tc>
        <w:tc>
          <w:tcPr>
            <w:tcW w:w="3712" w:type="dxa"/>
            <w:tcBorders>
              <w:top w:val="nil"/>
              <w:left w:val="nil"/>
              <w:bottom w:val="single" w:color="auto" w:sz="4" w:space="0"/>
              <w:right w:val="single" w:color="auto" w:sz="4" w:space="0"/>
            </w:tcBorders>
            <w:vAlign w:val="center"/>
          </w:tcPr>
          <w:p w14:paraId="368EAD1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潜水搅拌器，功率大于1.5 kW，主机材质304材质，导轨及提升材质SUS304</w:t>
            </w:r>
          </w:p>
        </w:tc>
        <w:tc>
          <w:tcPr>
            <w:tcW w:w="856" w:type="dxa"/>
            <w:tcBorders>
              <w:top w:val="nil"/>
              <w:left w:val="nil"/>
              <w:bottom w:val="single" w:color="auto" w:sz="4" w:space="0"/>
              <w:right w:val="single" w:color="auto" w:sz="4" w:space="0"/>
            </w:tcBorders>
            <w:noWrap/>
            <w:vAlign w:val="center"/>
          </w:tcPr>
          <w:p w14:paraId="1A92CB4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0C8D5C0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26104E56">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0A599CDC">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63BB3FB9">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21887C91">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0C1F90C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提升泵</w:t>
            </w:r>
          </w:p>
        </w:tc>
        <w:tc>
          <w:tcPr>
            <w:tcW w:w="3712" w:type="dxa"/>
            <w:tcBorders>
              <w:top w:val="nil"/>
              <w:left w:val="nil"/>
              <w:bottom w:val="single" w:color="auto" w:sz="4" w:space="0"/>
              <w:right w:val="single" w:color="auto" w:sz="4" w:space="0"/>
            </w:tcBorders>
            <w:vAlign w:val="center"/>
          </w:tcPr>
          <w:p w14:paraId="320214C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潜污泵，流量15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/h，扬程20 m，不锈钢304</w:t>
            </w:r>
          </w:p>
        </w:tc>
        <w:tc>
          <w:tcPr>
            <w:tcW w:w="856" w:type="dxa"/>
            <w:tcBorders>
              <w:top w:val="nil"/>
              <w:left w:val="nil"/>
              <w:bottom w:val="single" w:color="auto" w:sz="4" w:space="0"/>
              <w:right w:val="single" w:color="auto" w:sz="4" w:space="0"/>
            </w:tcBorders>
            <w:noWrap/>
            <w:vAlign w:val="center"/>
          </w:tcPr>
          <w:p w14:paraId="14E42B7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1064B39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024ACAF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7ED8645B">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2AE354B4">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6E355160">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0E7FB23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气浮机</w:t>
            </w:r>
          </w:p>
        </w:tc>
        <w:tc>
          <w:tcPr>
            <w:tcW w:w="3712" w:type="dxa"/>
            <w:tcBorders>
              <w:top w:val="nil"/>
              <w:left w:val="nil"/>
              <w:bottom w:val="single" w:color="auto" w:sz="4" w:space="0"/>
              <w:right w:val="single" w:color="auto" w:sz="4" w:space="0"/>
            </w:tcBorders>
            <w:vAlign w:val="center"/>
          </w:tcPr>
          <w:p w14:paraId="53E4E49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溶气气浮，处理量20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/h，带2个反应槽，碳钢防腐材质</w:t>
            </w:r>
          </w:p>
        </w:tc>
        <w:tc>
          <w:tcPr>
            <w:tcW w:w="856" w:type="dxa"/>
            <w:tcBorders>
              <w:top w:val="nil"/>
              <w:left w:val="nil"/>
              <w:bottom w:val="single" w:color="auto" w:sz="4" w:space="0"/>
              <w:right w:val="single" w:color="auto" w:sz="4" w:space="0"/>
            </w:tcBorders>
            <w:noWrap/>
            <w:vAlign w:val="center"/>
          </w:tcPr>
          <w:p w14:paraId="0F222AF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2CD6B20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437872C9">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2ABE5541">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vAlign w:val="center"/>
          </w:tcPr>
          <w:p w14:paraId="4E8EE10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650" w:type="dxa"/>
            <w:vMerge w:val="restart"/>
            <w:tcBorders>
              <w:top w:val="nil"/>
              <w:left w:val="single" w:color="auto" w:sz="4" w:space="0"/>
              <w:bottom w:val="single" w:color="auto" w:sz="4" w:space="0"/>
              <w:right w:val="single" w:color="auto" w:sz="4" w:space="0"/>
            </w:tcBorders>
            <w:vAlign w:val="center"/>
          </w:tcPr>
          <w:p w14:paraId="5A5ADD9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调节池系统</w:t>
            </w:r>
          </w:p>
        </w:tc>
        <w:tc>
          <w:tcPr>
            <w:tcW w:w="1276" w:type="dxa"/>
            <w:tcBorders>
              <w:top w:val="nil"/>
              <w:left w:val="nil"/>
              <w:bottom w:val="single" w:color="auto" w:sz="4" w:space="0"/>
              <w:right w:val="single" w:color="auto" w:sz="4" w:space="0"/>
            </w:tcBorders>
            <w:noWrap/>
            <w:vAlign w:val="center"/>
          </w:tcPr>
          <w:p w14:paraId="6AF30DB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搅拌机</w:t>
            </w:r>
          </w:p>
        </w:tc>
        <w:tc>
          <w:tcPr>
            <w:tcW w:w="3712" w:type="dxa"/>
            <w:tcBorders>
              <w:top w:val="nil"/>
              <w:left w:val="nil"/>
              <w:bottom w:val="single" w:color="auto" w:sz="4" w:space="0"/>
              <w:right w:val="single" w:color="auto" w:sz="4" w:space="0"/>
            </w:tcBorders>
            <w:vAlign w:val="center"/>
          </w:tcPr>
          <w:p w14:paraId="09612F7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潜水搅拌器，功率大于2.5 kW，主机材质304材质，导轨及提升材质SUS304</w:t>
            </w:r>
          </w:p>
        </w:tc>
        <w:tc>
          <w:tcPr>
            <w:tcW w:w="856" w:type="dxa"/>
            <w:tcBorders>
              <w:top w:val="nil"/>
              <w:left w:val="nil"/>
              <w:bottom w:val="single" w:color="auto" w:sz="4" w:space="0"/>
              <w:right w:val="single" w:color="auto" w:sz="4" w:space="0"/>
            </w:tcBorders>
            <w:noWrap/>
            <w:vAlign w:val="center"/>
          </w:tcPr>
          <w:p w14:paraId="7066E54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3677016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0E7E9F9F">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115A595E">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62D964D2">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48FDADB2">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46FD649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提升泵</w:t>
            </w:r>
          </w:p>
        </w:tc>
        <w:tc>
          <w:tcPr>
            <w:tcW w:w="3712" w:type="dxa"/>
            <w:tcBorders>
              <w:top w:val="nil"/>
              <w:left w:val="nil"/>
              <w:bottom w:val="single" w:color="auto" w:sz="4" w:space="0"/>
              <w:right w:val="single" w:color="auto" w:sz="4" w:space="0"/>
            </w:tcBorders>
            <w:vAlign w:val="center"/>
          </w:tcPr>
          <w:p w14:paraId="020920BF">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流量8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/h，扬程15 m，不锈钢304</w:t>
            </w:r>
          </w:p>
        </w:tc>
        <w:tc>
          <w:tcPr>
            <w:tcW w:w="856" w:type="dxa"/>
            <w:tcBorders>
              <w:top w:val="nil"/>
              <w:left w:val="nil"/>
              <w:bottom w:val="single" w:color="auto" w:sz="4" w:space="0"/>
              <w:right w:val="single" w:color="auto" w:sz="4" w:space="0"/>
            </w:tcBorders>
            <w:noWrap/>
            <w:vAlign w:val="center"/>
          </w:tcPr>
          <w:p w14:paraId="3339E6B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4F552EE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11F57A1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3CC0A4B8">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noWrap/>
            <w:vAlign w:val="center"/>
          </w:tcPr>
          <w:p w14:paraId="522332C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650" w:type="dxa"/>
            <w:vMerge w:val="restart"/>
            <w:tcBorders>
              <w:top w:val="nil"/>
              <w:left w:val="single" w:color="auto" w:sz="4" w:space="0"/>
              <w:bottom w:val="single" w:color="auto" w:sz="4" w:space="0"/>
              <w:right w:val="single" w:color="auto" w:sz="4" w:space="0"/>
            </w:tcBorders>
            <w:vAlign w:val="center"/>
          </w:tcPr>
          <w:p w14:paraId="2B5FEF0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缺氧生化系统</w:t>
            </w:r>
          </w:p>
        </w:tc>
        <w:tc>
          <w:tcPr>
            <w:tcW w:w="1276" w:type="dxa"/>
            <w:tcBorders>
              <w:top w:val="nil"/>
              <w:left w:val="nil"/>
              <w:bottom w:val="single" w:color="auto" w:sz="4" w:space="0"/>
              <w:right w:val="single" w:color="auto" w:sz="4" w:space="0"/>
            </w:tcBorders>
            <w:noWrap/>
            <w:vAlign w:val="center"/>
          </w:tcPr>
          <w:p w14:paraId="1A60FD1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进水过滤器</w:t>
            </w:r>
          </w:p>
        </w:tc>
        <w:tc>
          <w:tcPr>
            <w:tcW w:w="3712" w:type="dxa"/>
            <w:tcBorders>
              <w:top w:val="nil"/>
              <w:left w:val="nil"/>
              <w:bottom w:val="single" w:color="auto" w:sz="4" w:space="0"/>
              <w:right w:val="single" w:color="auto" w:sz="4" w:space="0"/>
            </w:tcBorders>
            <w:vAlign w:val="center"/>
          </w:tcPr>
          <w:p w14:paraId="15DA1B4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袋式过滤器，过流量20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/h，壳体SUS304</w:t>
            </w:r>
          </w:p>
        </w:tc>
        <w:tc>
          <w:tcPr>
            <w:tcW w:w="856" w:type="dxa"/>
            <w:tcBorders>
              <w:top w:val="nil"/>
              <w:left w:val="nil"/>
              <w:bottom w:val="single" w:color="auto" w:sz="4" w:space="0"/>
              <w:right w:val="single" w:color="auto" w:sz="4" w:space="0"/>
            </w:tcBorders>
            <w:noWrap/>
            <w:vAlign w:val="center"/>
          </w:tcPr>
          <w:p w14:paraId="6B54FD9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36911CF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7810EF7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5C3A155E">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457BE8B5">
            <w:pPr>
              <w:pageBreakBefore w:val="0"/>
              <w:widowControl/>
              <w:kinsoku/>
              <w:wordWrap w:val="0"/>
              <w:overflowPunct/>
              <w:topLinePunct/>
              <w:bidi w:val="0"/>
              <w:spacing w:after="0" w:line="360" w:lineRule="auto"/>
              <w:ind w:firstLine="48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3D9B34A1">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063EEC4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搅拌机</w:t>
            </w:r>
          </w:p>
        </w:tc>
        <w:tc>
          <w:tcPr>
            <w:tcW w:w="3712" w:type="dxa"/>
            <w:tcBorders>
              <w:top w:val="nil"/>
              <w:left w:val="nil"/>
              <w:bottom w:val="single" w:color="auto" w:sz="4" w:space="0"/>
              <w:right w:val="single" w:color="auto" w:sz="4" w:space="0"/>
            </w:tcBorders>
            <w:vAlign w:val="center"/>
          </w:tcPr>
          <w:p w14:paraId="36FAB62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潜水搅拌器，功率3.0 kW，主机材质304材质，导轨及提升材质SUS304</w:t>
            </w:r>
          </w:p>
        </w:tc>
        <w:tc>
          <w:tcPr>
            <w:tcW w:w="856" w:type="dxa"/>
            <w:tcBorders>
              <w:top w:val="nil"/>
              <w:left w:val="nil"/>
              <w:bottom w:val="single" w:color="auto" w:sz="4" w:space="0"/>
              <w:right w:val="single" w:color="auto" w:sz="4" w:space="0"/>
            </w:tcBorders>
            <w:noWrap/>
            <w:vAlign w:val="center"/>
          </w:tcPr>
          <w:p w14:paraId="4B2A107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27C778F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134" w:type="dxa"/>
            <w:tcBorders>
              <w:top w:val="nil"/>
              <w:left w:val="nil"/>
              <w:bottom w:val="single" w:color="auto" w:sz="4" w:space="0"/>
              <w:right w:val="single" w:color="auto" w:sz="4" w:space="0"/>
            </w:tcBorders>
            <w:noWrap/>
            <w:vAlign w:val="center"/>
          </w:tcPr>
          <w:p w14:paraId="2A7817E9">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2C02C2F3">
        <w:tblPrEx>
          <w:tblCellMar>
            <w:top w:w="0" w:type="dxa"/>
            <w:left w:w="108" w:type="dxa"/>
            <w:bottom w:w="0" w:type="dxa"/>
            <w:right w:w="108" w:type="dxa"/>
          </w:tblCellMar>
        </w:tblPrEx>
        <w:trPr>
          <w:trHeight w:val="278" w:hRule="atLeast"/>
        </w:trPr>
        <w:tc>
          <w:tcPr>
            <w:tcW w:w="562" w:type="dxa"/>
            <w:vMerge w:val="restart"/>
            <w:tcBorders>
              <w:top w:val="nil"/>
              <w:left w:val="single" w:color="auto" w:sz="4" w:space="0"/>
              <w:bottom w:val="single" w:color="auto" w:sz="4" w:space="0"/>
              <w:right w:val="single" w:color="auto" w:sz="4" w:space="0"/>
            </w:tcBorders>
            <w:vAlign w:val="center"/>
          </w:tcPr>
          <w:p w14:paraId="3B529B2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650" w:type="dxa"/>
            <w:vMerge w:val="restart"/>
            <w:tcBorders>
              <w:top w:val="nil"/>
              <w:left w:val="single" w:color="auto" w:sz="4" w:space="0"/>
              <w:bottom w:val="single" w:color="auto" w:sz="4" w:space="0"/>
              <w:right w:val="single" w:color="auto" w:sz="4" w:space="0"/>
            </w:tcBorders>
            <w:vAlign w:val="center"/>
          </w:tcPr>
          <w:p w14:paraId="6B17F9F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好氧生化系统</w:t>
            </w:r>
          </w:p>
        </w:tc>
        <w:tc>
          <w:tcPr>
            <w:tcW w:w="1276" w:type="dxa"/>
            <w:tcBorders>
              <w:top w:val="nil"/>
              <w:left w:val="nil"/>
              <w:bottom w:val="single" w:color="auto" w:sz="4" w:space="0"/>
              <w:right w:val="single" w:color="auto" w:sz="4" w:space="0"/>
            </w:tcBorders>
            <w:noWrap/>
            <w:vAlign w:val="center"/>
          </w:tcPr>
          <w:p w14:paraId="11DE6DA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空气悬浮</w:t>
            </w:r>
          </w:p>
          <w:p w14:paraId="1D21543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风机</w:t>
            </w:r>
          </w:p>
        </w:tc>
        <w:tc>
          <w:tcPr>
            <w:tcW w:w="3712" w:type="dxa"/>
            <w:tcBorders>
              <w:top w:val="nil"/>
              <w:left w:val="nil"/>
              <w:bottom w:val="single" w:color="auto" w:sz="4" w:space="0"/>
              <w:right w:val="single" w:color="auto" w:sz="4" w:space="0"/>
            </w:tcBorders>
            <w:vAlign w:val="center"/>
          </w:tcPr>
          <w:p w14:paraId="22A7C24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风量大于50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/min，水深大于6000 mm</w:t>
            </w:r>
          </w:p>
        </w:tc>
        <w:tc>
          <w:tcPr>
            <w:tcW w:w="856" w:type="dxa"/>
            <w:tcBorders>
              <w:top w:val="nil"/>
              <w:left w:val="nil"/>
              <w:bottom w:val="single" w:color="auto" w:sz="4" w:space="0"/>
              <w:right w:val="single" w:color="auto" w:sz="4" w:space="0"/>
            </w:tcBorders>
            <w:noWrap/>
            <w:vAlign w:val="center"/>
          </w:tcPr>
          <w:p w14:paraId="18D5F06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6274262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134" w:type="dxa"/>
            <w:tcBorders>
              <w:top w:val="nil"/>
              <w:left w:val="nil"/>
              <w:bottom w:val="single" w:color="auto" w:sz="4" w:space="0"/>
              <w:right w:val="single" w:color="auto" w:sz="4" w:space="0"/>
            </w:tcBorders>
            <w:noWrap/>
            <w:vAlign w:val="center"/>
          </w:tcPr>
          <w:p w14:paraId="1CE8DA1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2用1备</w:t>
            </w:r>
          </w:p>
        </w:tc>
      </w:tr>
      <w:tr w14:paraId="59D6712E">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00FDB907">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20AFDF5E">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1618D7D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曝气器</w:t>
            </w:r>
          </w:p>
        </w:tc>
        <w:tc>
          <w:tcPr>
            <w:tcW w:w="3712" w:type="dxa"/>
            <w:tcBorders>
              <w:top w:val="nil"/>
              <w:left w:val="nil"/>
              <w:bottom w:val="single" w:color="auto" w:sz="4" w:space="0"/>
              <w:right w:val="single" w:color="auto" w:sz="4" w:space="0"/>
            </w:tcBorders>
            <w:vAlign w:val="center"/>
          </w:tcPr>
          <w:p w14:paraId="521E1FE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专用曝气器，PP材质，总曝气风量大于100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/min</w:t>
            </w:r>
          </w:p>
        </w:tc>
        <w:tc>
          <w:tcPr>
            <w:tcW w:w="856" w:type="dxa"/>
            <w:tcBorders>
              <w:top w:val="nil"/>
              <w:left w:val="nil"/>
              <w:bottom w:val="single" w:color="auto" w:sz="4" w:space="0"/>
              <w:right w:val="single" w:color="auto" w:sz="4" w:space="0"/>
            </w:tcBorders>
            <w:noWrap/>
            <w:vAlign w:val="center"/>
          </w:tcPr>
          <w:p w14:paraId="68BA9E3F">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736" w:type="dxa"/>
            <w:tcBorders>
              <w:top w:val="nil"/>
              <w:left w:val="nil"/>
              <w:bottom w:val="single" w:color="auto" w:sz="4" w:space="0"/>
              <w:right w:val="single" w:color="auto" w:sz="4" w:space="0"/>
            </w:tcBorders>
            <w:noWrap/>
            <w:vAlign w:val="center"/>
          </w:tcPr>
          <w:p w14:paraId="5A55B76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256975BC">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3AB530EA">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12C0E14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0C8F4C6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70726BDF">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内回流泵</w:t>
            </w:r>
          </w:p>
        </w:tc>
        <w:tc>
          <w:tcPr>
            <w:tcW w:w="3712" w:type="dxa"/>
            <w:tcBorders>
              <w:top w:val="nil"/>
              <w:left w:val="nil"/>
              <w:bottom w:val="single" w:color="auto" w:sz="4" w:space="0"/>
              <w:right w:val="single" w:color="auto" w:sz="4" w:space="0"/>
            </w:tcBorders>
            <w:vAlign w:val="center"/>
          </w:tcPr>
          <w:p w14:paraId="70A1382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卧式离心泵，Q=15 0m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/h，H=13 m，过流材质304不锈钢</w:t>
            </w:r>
          </w:p>
        </w:tc>
        <w:tc>
          <w:tcPr>
            <w:tcW w:w="856" w:type="dxa"/>
            <w:tcBorders>
              <w:top w:val="nil"/>
              <w:left w:val="nil"/>
              <w:bottom w:val="single" w:color="auto" w:sz="4" w:space="0"/>
              <w:right w:val="single" w:color="auto" w:sz="4" w:space="0"/>
            </w:tcBorders>
            <w:noWrap/>
            <w:vAlign w:val="center"/>
          </w:tcPr>
          <w:p w14:paraId="73F430F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7A077D3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0C5BD98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64BD83E6">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vAlign w:val="center"/>
          </w:tcPr>
          <w:p w14:paraId="54225A2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650" w:type="dxa"/>
            <w:vMerge w:val="restart"/>
            <w:tcBorders>
              <w:top w:val="nil"/>
              <w:left w:val="single" w:color="auto" w:sz="4" w:space="0"/>
              <w:bottom w:val="single" w:color="auto" w:sz="4" w:space="0"/>
              <w:right w:val="single" w:color="auto" w:sz="4" w:space="0"/>
            </w:tcBorders>
            <w:vAlign w:val="center"/>
          </w:tcPr>
          <w:p w14:paraId="44EA29A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生化冷却系统</w:t>
            </w:r>
          </w:p>
        </w:tc>
        <w:tc>
          <w:tcPr>
            <w:tcW w:w="1276" w:type="dxa"/>
            <w:tcBorders>
              <w:top w:val="nil"/>
              <w:left w:val="nil"/>
              <w:bottom w:val="single" w:color="auto" w:sz="4" w:space="0"/>
              <w:right w:val="single" w:color="auto" w:sz="4" w:space="0"/>
            </w:tcBorders>
            <w:noWrap/>
            <w:vAlign w:val="center"/>
          </w:tcPr>
          <w:p w14:paraId="664D5D3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冷却污泥泵</w:t>
            </w:r>
          </w:p>
        </w:tc>
        <w:tc>
          <w:tcPr>
            <w:tcW w:w="3712" w:type="dxa"/>
            <w:tcBorders>
              <w:top w:val="nil"/>
              <w:left w:val="nil"/>
              <w:bottom w:val="single" w:color="auto" w:sz="4" w:space="0"/>
              <w:right w:val="single" w:color="auto" w:sz="4" w:space="0"/>
            </w:tcBorders>
            <w:vAlign w:val="center"/>
          </w:tcPr>
          <w:p w14:paraId="40FEB80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卧式离心泵，Q=150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/h，H=20 m，过流材质304不锈钢</w:t>
            </w:r>
          </w:p>
        </w:tc>
        <w:tc>
          <w:tcPr>
            <w:tcW w:w="856" w:type="dxa"/>
            <w:tcBorders>
              <w:top w:val="nil"/>
              <w:left w:val="nil"/>
              <w:bottom w:val="single" w:color="auto" w:sz="4" w:space="0"/>
              <w:right w:val="single" w:color="auto" w:sz="4" w:space="0"/>
            </w:tcBorders>
            <w:noWrap/>
            <w:vAlign w:val="center"/>
          </w:tcPr>
          <w:p w14:paraId="06E6368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48C711B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1800760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4E9D0CF5">
        <w:tblPrEx>
          <w:tblCellMar>
            <w:top w:w="0" w:type="dxa"/>
            <w:left w:w="108" w:type="dxa"/>
            <w:bottom w:w="0" w:type="dxa"/>
            <w:right w:w="108" w:type="dxa"/>
          </w:tblCellMar>
        </w:tblPrEx>
        <w:trPr>
          <w:trHeight w:val="540" w:hRule="atLeast"/>
        </w:trPr>
        <w:tc>
          <w:tcPr>
            <w:tcW w:w="562" w:type="dxa"/>
            <w:vMerge w:val="continue"/>
            <w:tcBorders>
              <w:top w:val="nil"/>
              <w:left w:val="single" w:color="auto" w:sz="4" w:space="0"/>
              <w:bottom w:val="single" w:color="auto" w:sz="4" w:space="0"/>
              <w:right w:val="single" w:color="auto" w:sz="4" w:space="0"/>
            </w:tcBorders>
            <w:vAlign w:val="center"/>
          </w:tcPr>
          <w:p w14:paraId="5579EAB7">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412E585B">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2A0067C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换热器</w:t>
            </w:r>
          </w:p>
        </w:tc>
        <w:tc>
          <w:tcPr>
            <w:tcW w:w="3712" w:type="dxa"/>
            <w:tcBorders>
              <w:top w:val="nil"/>
              <w:left w:val="nil"/>
              <w:bottom w:val="single" w:color="auto" w:sz="4" w:space="0"/>
              <w:right w:val="single" w:color="auto" w:sz="4" w:space="0"/>
            </w:tcBorders>
            <w:vAlign w:val="center"/>
          </w:tcPr>
          <w:p w14:paraId="6C9A63D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热端流量150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/h，40-35 ℃，冷端流量150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/h，27-32 ℃，换热面积板大于70 m</w:t>
            </w:r>
            <w:r>
              <w:rPr>
                <w:rFonts w:hint="eastAsia" w:ascii="宋体" w:hAnsi="宋体" w:eastAsia="宋体" w:cs="宋体"/>
                <w:kern w:val="0"/>
                <w:sz w:val="24"/>
                <w:szCs w:val="24"/>
                <w:vertAlign w:val="superscript"/>
              </w:rPr>
              <w:t>2</w:t>
            </w:r>
            <w:r>
              <w:rPr>
                <w:rFonts w:hint="eastAsia" w:ascii="宋体" w:hAnsi="宋体" w:eastAsia="宋体" w:cs="宋体"/>
                <w:kern w:val="0"/>
                <w:sz w:val="24"/>
                <w:szCs w:val="24"/>
              </w:rPr>
              <w:t>；片材质SS304</w:t>
            </w:r>
          </w:p>
        </w:tc>
        <w:tc>
          <w:tcPr>
            <w:tcW w:w="856" w:type="dxa"/>
            <w:tcBorders>
              <w:top w:val="nil"/>
              <w:left w:val="nil"/>
              <w:bottom w:val="single" w:color="auto" w:sz="4" w:space="0"/>
              <w:right w:val="single" w:color="auto" w:sz="4" w:space="0"/>
            </w:tcBorders>
            <w:noWrap/>
            <w:vAlign w:val="center"/>
          </w:tcPr>
          <w:p w14:paraId="79F5C09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63EA60C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318ECEB7">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397D96CF">
        <w:tblPrEx>
          <w:tblCellMar>
            <w:top w:w="0" w:type="dxa"/>
            <w:left w:w="108" w:type="dxa"/>
            <w:bottom w:w="0" w:type="dxa"/>
            <w:right w:w="108" w:type="dxa"/>
          </w:tblCellMar>
        </w:tblPrEx>
        <w:trPr>
          <w:trHeight w:val="540" w:hRule="atLeast"/>
        </w:trPr>
        <w:tc>
          <w:tcPr>
            <w:tcW w:w="562" w:type="dxa"/>
            <w:vMerge w:val="continue"/>
            <w:tcBorders>
              <w:top w:val="nil"/>
              <w:left w:val="single" w:color="auto" w:sz="4" w:space="0"/>
              <w:bottom w:val="single" w:color="auto" w:sz="4" w:space="0"/>
              <w:right w:val="single" w:color="auto" w:sz="4" w:space="0"/>
            </w:tcBorders>
            <w:vAlign w:val="center"/>
          </w:tcPr>
          <w:p w14:paraId="7A0701F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79E387AB">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28D89FA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冷却塔</w:t>
            </w:r>
          </w:p>
        </w:tc>
        <w:tc>
          <w:tcPr>
            <w:tcW w:w="3712" w:type="dxa"/>
            <w:tcBorders>
              <w:top w:val="nil"/>
              <w:left w:val="nil"/>
              <w:bottom w:val="single" w:color="auto" w:sz="4" w:space="0"/>
              <w:right w:val="single" w:color="auto" w:sz="4" w:space="0"/>
            </w:tcBorders>
            <w:vAlign w:val="center"/>
          </w:tcPr>
          <w:p w14:paraId="1970F51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循环量150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/h，材质FRP，进出温度37~32 ℃，湿球温度28 ℃</w:t>
            </w:r>
          </w:p>
        </w:tc>
        <w:tc>
          <w:tcPr>
            <w:tcW w:w="856" w:type="dxa"/>
            <w:tcBorders>
              <w:top w:val="nil"/>
              <w:left w:val="nil"/>
              <w:bottom w:val="single" w:color="auto" w:sz="4" w:space="0"/>
              <w:right w:val="single" w:color="auto" w:sz="4" w:space="0"/>
            </w:tcBorders>
            <w:noWrap/>
            <w:vAlign w:val="center"/>
          </w:tcPr>
          <w:p w14:paraId="1D76B0F9">
            <w:pPr>
              <w:pageBreakBefore w:val="0"/>
              <w:widowControl/>
              <w:kinsoku/>
              <w:wordWrap w:val="0"/>
              <w:overflowPunct/>
              <w:topLinePunct/>
              <w:bidi w:val="0"/>
              <w:spacing w:after="0" w:line="360" w:lineRule="auto"/>
              <w:ind w:firstLine="400"/>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6D6FF67A">
            <w:pPr>
              <w:pageBreakBefore w:val="0"/>
              <w:widowControl/>
              <w:kinsoku/>
              <w:wordWrap w:val="0"/>
              <w:overflowPunct/>
              <w:topLinePunct/>
              <w:bidi w:val="0"/>
              <w:spacing w:after="0" w:line="360" w:lineRule="auto"/>
              <w:ind w:firstLine="400"/>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7B4FA518">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32E3B412">
        <w:tblPrEx>
          <w:tblCellMar>
            <w:top w:w="0" w:type="dxa"/>
            <w:left w:w="108" w:type="dxa"/>
            <w:bottom w:w="0" w:type="dxa"/>
            <w:right w:w="108" w:type="dxa"/>
          </w:tblCellMar>
        </w:tblPrEx>
        <w:trPr>
          <w:trHeight w:val="525" w:hRule="atLeast"/>
        </w:trPr>
        <w:tc>
          <w:tcPr>
            <w:tcW w:w="562" w:type="dxa"/>
            <w:vMerge w:val="continue"/>
            <w:tcBorders>
              <w:top w:val="nil"/>
              <w:left w:val="single" w:color="auto" w:sz="4" w:space="0"/>
              <w:bottom w:val="single" w:color="auto" w:sz="4" w:space="0"/>
              <w:right w:val="single" w:color="auto" w:sz="4" w:space="0"/>
            </w:tcBorders>
            <w:vAlign w:val="center"/>
          </w:tcPr>
          <w:p w14:paraId="220F5E3D">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429F183C">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6C7199F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清水泵</w:t>
            </w:r>
          </w:p>
        </w:tc>
        <w:tc>
          <w:tcPr>
            <w:tcW w:w="3712" w:type="dxa"/>
            <w:tcBorders>
              <w:top w:val="nil"/>
              <w:left w:val="nil"/>
              <w:bottom w:val="single" w:color="auto" w:sz="4" w:space="0"/>
              <w:right w:val="single" w:color="auto" w:sz="4" w:space="0"/>
            </w:tcBorders>
            <w:vAlign w:val="center"/>
          </w:tcPr>
          <w:p w14:paraId="5D2CE00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立式离心泵，流量150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/h，扬程15 m，泵体及叶轮材质铸铁</w:t>
            </w:r>
          </w:p>
        </w:tc>
        <w:tc>
          <w:tcPr>
            <w:tcW w:w="856" w:type="dxa"/>
            <w:tcBorders>
              <w:top w:val="nil"/>
              <w:left w:val="nil"/>
              <w:bottom w:val="single" w:color="auto" w:sz="4" w:space="0"/>
              <w:right w:val="single" w:color="auto" w:sz="4" w:space="0"/>
            </w:tcBorders>
            <w:noWrap/>
            <w:vAlign w:val="center"/>
          </w:tcPr>
          <w:p w14:paraId="1D9BBFC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7B189DC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7A6940B1">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226B4E36">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vAlign w:val="center"/>
          </w:tcPr>
          <w:p w14:paraId="647FF46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650" w:type="dxa"/>
            <w:vMerge w:val="restart"/>
            <w:tcBorders>
              <w:top w:val="nil"/>
              <w:left w:val="single" w:color="auto" w:sz="4" w:space="0"/>
              <w:bottom w:val="single" w:color="auto" w:sz="4" w:space="0"/>
              <w:right w:val="single" w:color="auto" w:sz="4" w:space="0"/>
            </w:tcBorders>
            <w:vAlign w:val="center"/>
          </w:tcPr>
          <w:p w14:paraId="1BD0C3E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超滤系统</w:t>
            </w:r>
          </w:p>
        </w:tc>
        <w:tc>
          <w:tcPr>
            <w:tcW w:w="1276" w:type="dxa"/>
            <w:tcBorders>
              <w:top w:val="nil"/>
              <w:left w:val="nil"/>
              <w:bottom w:val="single" w:color="auto" w:sz="4" w:space="0"/>
              <w:right w:val="single" w:color="auto" w:sz="4" w:space="0"/>
            </w:tcBorders>
            <w:noWrap/>
            <w:vAlign w:val="center"/>
          </w:tcPr>
          <w:p w14:paraId="32F93C2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超滤进水泵</w:t>
            </w:r>
          </w:p>
        </w:tc>
        <w:tc>
          <w:tcPr>
            <w:tcW w:w="3712" w:type="dxa"/>
            <w:tcBorders>
              <w:top w:val="nil"/>
              <w:left w:val="nil"/>
              <w:bottom w:val="single" w:color="auto" w:sz="4" w:space="0"/>
              <w:right w:val="single" w:color="auto" w:sz="4" w:space="0"/>
            </w:tcBorders>
            <w:vAlign w:val="center"/>
          </w:tcPr>
          <w:p w14:paraId="1E84A07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卧式离心泵，污水流量75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/h，扬程35 m，泵体及叶轮材质SS304</w:t>
            </w:r>
          </w:p>
        </w:tc>
        <w:tc>
          <w:tcPr>
            <w:tcW w:w="856" w:type="dxa"/>
            <w:tcBorders>
              <w:top w:val="nil"/>
              <w:left w:val="nil"/>
              <w:bottom w:val="single" w:color="auto" w:sz="4" w:space="0"/>
              <w:right w:val="single" w:color="auto" w:sz="4" w:space="0"/>
            </w:tcBorders>
            <w:noWrap/>
            <w:vAlign w:val="center"/>
          </w:tcPr>
          <w:p w14:paraId="610C02D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24D4D7C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1465DA10">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7A8D6772">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09A44284">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7D986DB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5BB5BBF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超滤系统</w:t>
            </w:r>
          </w:p>
        </w:tc>
        <w:tc>
          <w:tcPr>
            <w:tcW w:w="3712" w:type="dxa"/>
            <w:tcBorders>
              <w:top w:val="nil"/>
              <w:left w:val="nil"/>
              <w:bottom w:val="single" w:color="auto" w:sz="4" w:space="0"/>
              <w:right w:val="single" w:color="auto" w:sz="4" w:space="0"/>
            </w:tcBorders>
            <w:vAlign w:val="center"/>
          </w:tcPr>
          <w:p w14:paraId="65F85B9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外置管式超滤膜系统，处理能力150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/d，含进水过滤器、循环泵、膜、集成支架、电气自控等。</w:t>
            </w:r>
          </w:p>
        </w:tc>
        <w:tc>
          <w:tcPr>
            <w:tcW w:w="856" w:type="dxa"/>
            <w:tcBorders>
              <w:top w:val="nil"/>
              <w:left w:val="nil"/>
              <w:bottom w:val="single" w:color="auto" w:sz="4" w:space="0"/>
              <w:right w:val="single" w:color="auto" w:sz="4" w:space="0"/>
            </w:tcBorders>
            <w:noWrap/>
            <w:vAlign w:val="center"/>
          </w:tcPr>
          <w:p w14:paraId="03DE11B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736" w:type="dxa"/>
            <w:tcBorders>
              <w:top w:val="nil"/>
              <w:left w:val="nil"/>
              <w:bottom w:val="single" w:color="auto" w:sz="4" w:space="0"/>
              <w:right w:val="single" w:color="auto" w:sz="4" w:space="0"/>
            </w:tcBorders>
            <w:noWrap/>
            <w:vAlign w:val="center"/>
          </w:tcPr>
          <w:p w14:paraId="795B326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3AA8D8AE">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23BF7198">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vAlign w:val="center"/>
          </w:tcPr>
          <w:p w14:paraId="1DC6714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650" w:type="dxa"/>
            <w:vMerge w:val="restart"/>
            <w:tcBorders>
              <w:top w:val="nil"/>
              <w:left w:val="single" w:color="auto" w:sz="4" w:space="0"/>
              <w:bottom w:val="single" w:color="auto" w:sz="4" w:space="0"/>
              <w:right w:val="single" w:color="auto" w:sz="4" w:space="0"/>
            </w:tcBorders>
            <w:vAlign w:val="center"/>
          </w:tcPr>
          <w:p w14:paraId="60F3B9B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纳滤系统</w:t>
            </w:r>
          </w:p>
        </w:tc>
        <w:tc>
          <w:tcPr>
            <w:tcW w:w="1276" w:type="dxa"/>
            <w:tcBorders>
              <w:top w:val="nil"/>
              <w:left w:val="nil"/>
              <w:bottom w:val="single" w:color="auto" w:sz="4" w:space="0"/>
              <w:right w:val="single" w:color="auto" w:sz="4" w:space="0"/>
            </w:tcBorders>
            <w:noWrap/>
            <w:vAlign w:val="center"/>
          </w:tcPr>
          <w:p w14:paraId="0129231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纳滤进水泵</w:t>
            </w:r>
          </w:p>
        </w:tc>
        <w:tc>
          <w:tcPr>
            <w:tcW w:w="3712" w:type="dxa"/>
            <w:tcBorders>
              <w:top w:val="nil"/>
              <w:left w:val="nil"/>
              <w:bottom w:val="single" w:color="auto" w:sz="4" w:space="0"/>
              <w:right w:val="single" w:color="auto" w:sz="4" w:space="0"/>
            </w:tcBorders>
            <w:vAlign w:val="center"/>
          </w:tcPr>
          <w:p w14:paraId="2233C8E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卧式离心泵，污水流量75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/h，扬程35 m，泵体及叶轮材质SS304</w:t>
            </w:r>
          </w:p>
        </w:tc>
        <w:tc>
          <w:tcPr>
            <w:tcW w:w="856" w:type="dxa"/>
            <w:tcBorders>
              <w:top w:val="nil"/>
              <w:left w:val="nil"/>
              <w:bottom w:val="single" w:color="auto" w:sz="4" w:space="0"/>
              <w:right w:val="single" w:color="auto" w:sz="4" w:space="0"/>
            </w:tcBorders>
            <w:noWrap/>
            <w:vAlign w:val="center"/>
          </w:tcPr>
          <w:p w14:paraId="37AF0B7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515735B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19B3DA03">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783E9DAF">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0275992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74814B33">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1F2EE22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纳滤系统</w:t>
            </w:r>
          </w:p>
        </w:tc>
        <w:tc>
          <w:tcPr>
            <w:tcW w:w="3712" w:type="dxa"/>
            <w:tcBorders>
              <w:top w:val="nil"/>
              <w:left w:val="nil"/>
              <w:bottom w:val="single" w:color="auto" w:sz="4" w:space="0"/>
              <w:right w:val="single" w:color="auto" w:sz="4" w:space="0"/>
            </w:tcBorders>
            <w:vAlign w:val="center"/>
          </w:tcPr>
          <w:p w14:paraId="64A7086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处理能力150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/d，含进水过滤器、循环泵、膜、集成支架、电气自控等。</w:t>
            </w:r>
          </w:p>
        </w:tc>
        <w:tc>
          <w:tcPr>
            <w:tcW w:w="856" w:type="dxa"/>
            <w:tcBorders>
              <w:top w:val="nil"/>
              <w:left w:val="nil"/>
              <w:bottom w:val="single" w:color="auto" w:sz="4" w:space="0"/>
              <w:right w:val="single" w:color="auto" w:sz="4" w:space="0"/>
            </w:tcBorders>
            <w:noWrap/>
            <w:vAlign w:val="center"/>
          </w:tcPr>
          <w:p w14:paraId="76FA122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736" w:type="dxa"/>
            <w:tcBorders>
              <w:top w:val="nil"/>
              <w:left w:val="nil"/>
              <w:bottom w:val="single" w:color="auto" w:sz="4" w:space="0"/>
              <w:right w:val="single" w:color="auto" w:sz="4" w:space="0"/>
            </w:tcBorders>
            <w:noWrap/>
            <w:vAlign w:val="center"/>
          </w:tcPr>
          <w:p w14:paraId="7297985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3CBB4B25">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56C1D01A">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15343B36">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0FD04B2E">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44E0DEE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产水外排泵</w:t>
            </w:r>
          </w:p>
        </w:tc>
        <w:tc>
          <w:tcPr>
            <w:tcW w:w="3712" w:type="dxa"/>
            <w:tcBorders>
              <w:top w:val="nil"/>
              <w:left w:val="nil"/>
              <w:bottom w:val="single" w:color="auto" w:sz="4" w:space="0"/>
              <w:right w:val="single" w:color="auto" w:sz="4" w:space="0"/>
            </w:tcBorders>
            <w:vAlign w:val="center"/>
          </w:tcPr>
          <w:p w14:paraId="01D430C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立式离心泵，流量8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/h，扬程20 m，泵体及叶轮材质SS304</w:t>
            </w:r>
          </w:p>
        </w:tc>
        <w:tc>
          <w:tcPr>
            <w:tcW w:w="856" w:type="dxa"/>
            <w:tcBorders>
              <w:top w:val="nil"/>
              <w:left w:val="nil"/>
              <w:bottom w:val="single" w:color="auto" w:sz="4" w:space="0"/>
              <w:right w:val="single" w:color="auto" w:sz="4" w:space="0"/>
            </w:tcBorders>
            <w:noWrap/>
            <w:vAlign w:val="center"/>
          </w:tcPr>
          <w:p w14:paraId="44608C4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46F3346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7B2F0AE4">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299A03E9">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vAlign w:val="center"/>
          </w:tcPr>
          <w:p w14:paraId="6459584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650" w:type="dxa"/>
            <w:tcBorders>
              <w:top w:val="nil"/>
              <w:left w:val="nil"/>
              <w:bottom w:val="single" w:color="auto" w:sz="4" w:space="0"/>
              <w:right w:val="single" w:color="auto" w:sz="4" w:space="0"/>
            </w:tcBorders>
            <w:vAlign w:val="center"/>
          </w:tcPr>
          <w:p w14:paraId="529C65A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高级氧化系统</w:t>
            </w:r>
          </w:p>
        </w:tc>
        <w:tc>
          <w:tcPr>
            <w:tcW w:w="1276" w:type="dxa"/>
            <w:tcBorders>
              <w:top w:val="nil"/>
              <w:left w:val="nil"/>
              <w:bottom w:val="single" w:color="auto" w:sz="4" w:space="0"/>
              <w:right w:val="single" w:color="auto" w:sz="4" w:space="0"/>
            </w:tcBorders>
            <w:noWrap/>
            <w:vAlign w:val="center"/>
          </w:tcPr>
          <w:p w14:paraId="54F55512">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c>
          <w:tcPr>
            <w:tcW w:w="3712" w:type="dxa"/>
            <w:tcBorders>
              <w:top w:val="nil"/>
              <w:left w:val="nil"/>
              <w:bottom w:val="single" w:color="auto" w:sz="4" w:space="0"/>
              <w:right w:val="single" w:color="auto" w:sz="4" w:space="0"/>
            </w:tcBorders>
            <w:vAlign w:val="center"/>
          </w:tcPr>
          <w:p w14:paraId="62CD685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设计配套，处理规模10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/h，碳钢防腐材质</w:t>
            </w:r>
          </w:p>
        </w:tc>
        <w:tc>
          <w:tcPr>
            <w:tcW w:w="856" w:type="dxa"/>
            <w:tcBorders>
              <w:top w:val="nil"/>
              <w:left w:val="nil"/>
              <w:bottom w:val="single" w:color="auto" w:sz="4" w:space="0"/>
              <w:right w:val="single" w:color="auto" w:sz="4" w:space="0"/>
            </w:tcBorders>
            <w:noWrap/>
            <w:vAlign w:val="center"/>
          </w:tcPr>
          <w:p w14:paraId="7D295C9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736" w:type="dxa"/>
            <w:tcBorders>
              <w:top w:val="nil"/>
              <w:left w:val="nil"/>
              <w:bottom w:val="single" w:color="auto" w:sz="4" w:space="0"/>
              <w:right w:val="single" w:color="auto" w:sz="4" w:space="0"/>
            </w:tcBorders>
            <w:noWrap/>
            <w:vAlign w:val="center"/>
          </w:tcPr>
          <w:p w14:paraId="36D1545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179E2910">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0DFC1449">
        <w:tblPrEx>
          <w:tblCellMar>
            <w:top w:w="0" w:type="dxa"/>
            <w:left w:w="108" w:type="dxa"/>
            <w:bottom w:w="0" w:type="dxa"/>
            <w:right w:w="108" w:type="dxa"/>
          </w:tblCellMar>
        </w:tblPrEx>
        <w:trPr>
          <w:trHeight w:val="525" w:hRule="atLeast"/>
        </w:trPr>
        <w:tc>
          <w:tcPr>
            <w:tcW w:w="562" w:type="dxa"/>
            <w:tcBorders>
              <w:top w:val="nil"/>
              <w:left w:val="single" w:color="auto" w:sz="4" w:space="0"/>
              <w:bottom w:val="single" w:color="auto" w:sz="4" w:space="0"/>
              <w:right w:val="single" w:color="auto" w:sz="4" w:space="0"/>
            </w:tcBorders>
            <w:vAlign w:val="center"/>
          </w:tcPr>
          <w:p w14:paraId="1494C4D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650" w:type="dxa"/>
            <w:tcBorders>
              <w:top w:val="nil"/>
              <w:left w:val="nil"/>
              <w:bottom w:val="single" w:color="auto" w:sz="4" w:space="0"/>
              <w:right w:val="single" w:color="auto" w:sz="4" w:space="0"/>
            </w:tcBorders>
            <w:vAlign w:val="center"/>
          </w:tcPr>
          <w:p w14:paraId="2A50DCC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加药系统</w:t>
            </w:r>
          </w:p>
        </w:tc>
        <w:tc>
          <w:tcPr>
            <w:tcW w:w="1276" w:type="dxa"/>
            <w:tcBorders>
              <w:top w:val="nil"/>
              <w:left w:val="nil"/>
              <w:bottom w:val="single" w:color="auto" w:sz="4" w:space="0"/>
              <w:right w:val="single" w:color="auto" w:sz="4" w:space="0"/>
            </w:tcBorders>
            <w:vAlign w:val="center"/>
          </w:tcPr>
          <w:p w14:paraId="7B328240">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3712" w:type="dxa"/>
            <w:tcBorders>
              <w:top w:val="nil"/>
              <w:left w:val="nil"/>
              <w:bottom w:val="single" w:color="auto" w:sz="4" w:space="0"/>
              <w:right w:val="single" w:color="auto" w:sz="4" w:space="0"/>
            </w:tcBorders>
            <w:vAlign w:val="center"/>
          </w:tcPr>
          <w:p w14:paraId="5BBBC7C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设计配套，含搅拌机，溶药桶，加药泵（流量可调）</w:t>
            </w:r>
          </w:p>
        </w:tc>
        <w:tc>
          <w:tcPr>
            <w:tcW w:w="856" w:type="dxa"/>
            <w:tcBorders>
              <w:top w:val="nil"/>
              <w:left w:val="nil"/>
              <w:bottom w:val="single" w:color="auto" w:sz="4" w:space="0"/>
              <w:right w:val="single" w:color="auto" w:sz="4" w:space="0"/>
            </w:tcBorders>
            <w:vAlign w:val="center"/>
          </w:tcPr>
          <w:p w14:paraId="4DEC51A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批</w:t>
            </w:r>
          </w:p>
        </w:tc>
        <w:tc>
          <w:tcPr>
            <w:tcW w:w="736" w:type="dxa"/>
            <w:tcBorders>
              <w:top w:val="nil"/>
              <w:left w:val="nil"/>
              <w:bottom w:val="single" w:color="auto" w:sz="4" w:space="0"/>
              <w:right w:val="single" w:color="auto" w:sz="4" w:space="0"/>
            </w:tcBorders>
            <w:vAlign w:val="center"/>
          </w:tcPr>
          <w:p w14:paraId="7E0508C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222F5C7E">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43433D10">
        <w:tblPrEx>
          <w:tblCellMar>
            <w:top w:w="0" w:type="dxa"/>
            <w:left w:w="108" w:type="dxa"/>
            <w:bottom w:w="0" w:type="dxa"/>
            <w:right w:w="108" w:type="dxa"/>
          </w:tblCellMar>
        </w:tblPrEx>
        <w:trPr>
          <w:trHeight w:val="510" w:hRule="atLeast"/>
        </w:trPr>
        <w:tc>
          <w:tcPr>
            <w:tcW w:w="562" w:type="dxa"/>
            <w:vMerge w:val="restart"/>
            <w:tcBorders>
              <w:top w:val="nil"/>
              <w:left w:val="single" w:color="auto" w:sz="4" w:space="0"/>
              <w:bottom w:val="single" w:color="auto" w:sz="4" w:space="0"/>
              <w:right w:val="single" w:color="auto" w:sz="4" w:space="0"/>
            </w:tcBorders>
            <w:vAlign w:val="center"/>
          </w:tcPr>
          <w:p w14:paraId="1AA2E51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11</w:t>
            </w:r>
          </w:p>
        </w:tc>
        <w:tc>
          <w:tcPr>
            <w:tcW w:w="650" w:type="dxa"/>
            <w:vMerge w:val="restart"/>
            <w:tcBorders>
              <w:top w:val="nil"/>
              <w:left w:val="single" w:color="auto" w:sz="4" w:space="0"/>
              <w:bottom w:val="single" w:color="auto" w:sz="4" w:space="0"/>
              <w:right w:val="single" w:color="auto" w:sz="4" w:space="0"/>
            </w:tcBorders>
            <w:vAlign w:val="center"/>
          </w:tcPr>
          <w:p w14:paraId="763AD85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污泥处理系统</w:t>
            </w:r>
          </w:p>
        </w:tc>
        <w:tc>
          <w:tcPr>
            <w:tcW w:w="1276" w:type="dxa"/>
            <w:tcBorders>
              <w:top w:val="nil"/>
              <w:left w:val="nil"/>
              <w:bottom w:val="single" w:color="auto" w:sz="4" w:space="0"/>
              <w:right w:val="single" w:color="auto" w:sz="4" w:space="0"/>
            </w:tcBorders>
            <w:noWrap/>
            <w:vAlign w:val="center"/>
          </w:tcPr>
          <w:p w14:paraId="4A8AD55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污泥进料泵</w:t>
            </w:r>
          </w:p>
        </w:tc>
        <w:tc>
          <w:tcPr>
            <w:tcW w:w="3712" w:type="dxa"/>
            <w:tcBorders>
              <w:top w:val="nil"/>
              <w:left w:val="nil"/>
              <w:bottom w:val="single" w:color="auto" w:sz="4" w:space="0"/>
              <w:right w:val="single" w:color="auto" w:sz="4" w:space="0"/>
            </w:tcBorders>
            <w:vAlign w:val="center"/>
          </w:tcPr>
          <w:p w14:paraId="4B27C3D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螺杆泵，Q=5 m</w:t>
            </w:r>
            <w:r>
              <w:rPr>
                <w:rFonts w:hint="eastAsia" w:ascii="宋体" w:hAnsi="宋体" w:eastAsia="宋体" w:cs="宋体"/>
                <w:kern w:val="0"/>
                <w:sz w:val="24"/>
                <w:szCs w:val="24"/>
                <w:vertAlign w:val="superscript"/>
              </w:rPr>
              <w:t>3</w:t>
            </w:r>
            <w:r>
              <w:rPr>
                <w:rFonts w:hint="eastAsia" w:ascii="宋体" w:hAnsi="宋体" w:eastAsia="宋体" w:cs="宋体"/>
                <w:kern w:val="0"/>
                <w:sz w:val="24"/>
                <w:szCs w:val="24"/>
              </w:rPr>
              <w:t xml:space="preserve">/h，H=20 m，不锈钢304 </w:t>
            </w:r>
          </w:p>
        </w:tc>
        <w:tc>
          <w:tcPr>
            <w:tcW w:w="856" w:type="dxa"/>
            <w:tcBorders>
              <w:top w:val="nil"/>
              <w:left w:val="nil"/>
              <w:bottom w:val="single" w:color="auto" w:sz="4" w:space="0"/>
              <w:right w:val="single" w:color="auto" w:sz="4" w:space="0"/>
            </w:tcBorders>
            <w:noWrap/>
            <w:vAlign w:val="center"/>
          </w:tcPr>
          <w:p w14:paraId="4F903F3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6BD6A282">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134" w:type="dxa"/>
            <w:tcBorders>
              <w:top w:val="nil"/>
              <w:left w:val="nil"/>
              <w:bottom w:val="single" w:color="auto" w:sz="4" w:space="0"/>
              <w:right w:val="single" w:color="auto" w:sz="4" w:space="0"/>
            </w:tcBorders>
            <w:noWrap/>
            <w:vAlign w:val="center"/>
          </w:tcPr>
          <w:p w14:paraId="24253A8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1用1备</w:t>
            </w:r>
          </w:p>
        </w:tc>
      </w:tr>
      <w:tr w14:paraId="72137C95">
        <w:tblPrEx>
          <w:tblCellMar>
            <w:top w:w="0" w:type="dxa"/>
            <w:left w:w="108" w:type="dxa"/>
            <w:bottom w:w="0" w:type="dxa"/>
            <w:right w:w="108" w:type="dxa"/>
          </w:tblCellMar>
        </w:tblPrEx>
        <w:trPr>
          <w:trHeight w:val="510" w:hRule="atLeast"/>
        </w:trPr>
        <w:tc>
          <w:tcPr>
            <w:tcW w:w="562" w:type="dxa"/>
            <w:vMerge w:val="continue"/>
            <w:tcBorders>
              <w:top w:val="nil"/>
              <w:left w:val="single" w:color="auto" w:sz="4" w:space="0"/>
              <w:bottom w:val="single" w:color="auto" w:sz="4" w:space="0"/>
              <w:right w:val="single" w:color="auto" w:sz="4" w:space="0"/>
            </w:tcBorders>
            <w:vAlign w:val="center"/>
          </w:tcPr>
          <w:p w14:paraId="058A577F">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274B5DF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11604A0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污泥脱水机</w:t>
            </w:r>
          </w:p>
        </w:tc>
        <w:tc>
          <w:tcPr>
            <w:tcW w:w="3712" w:type="dxa"/>
            <w:tcBorders>
              <w:top w:val="nil"/>
              <w:left w:val="nil"/>
              <w:bottom w:val="single" w:color="auto" w:sz="4" w:space="0"/>
              <w:right w:val="single" w:color="auto" w:sz="4" w:space="0"/>
            </w:tcBorders>
            <w:vAlign w:val="center"/>
          </w:tcPr>
          <w:p w14:paraId="3605006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叠螺脱水机，主体材质SS304，干接点通讯</w:t>
            </w:r>
          </w:p>
        </w:tc>
        <w:tc>
          <w:tcPr>
            <w:tcW w:w="856" w:type="dxa"/>
            <w:tcBorders>
              <w:top w:val="nil"/>
              <w:left w:val="nil"/>
              <w:bottom w:val="single" w:color="auto" w:sz="4" w:space="0"/>
              <w:right w:val="single" w:color="auto" w:sz="4" w:space="0"/>
            </w:tcBorders>
            <w:noWrap/>
            <w:vAlign w:val="center"/>
          </w:tcPr>
          <w:p w14:paraId="78EE4889">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6861A20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04920D43">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543697D7">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709F57A3">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2BF1FDA1">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7D9BD53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螺旋输送机</w:t>
            </w:r>
          </w:p>
        </w:tc>
        <w:tc>
          <w:tcPr>
            <w:tcW w:w="3712" w:type="dxa"/>
            <w:tcBorders>
              <w:top w:val="nil"/>
              <w:left w:val="nil"/>
              <w:bottom w:val="single" w:color="auto" w:sz="4" w:space="0"/>
              <w:right w:val="single" w:color="auto" w:sz="4" w:space="0"/>
            </w:tcBorders>
            <w:vAlign w:val="center"/>
          </w:tcPr>
          <w:p w14:paraId="5E50778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长度5m，直径Ø260，碳钢防腐，内衬尼龙板</w:t>
            </w:r>
          </w:p>
        </w:tc>
        <w:tc>
          <w:tcPr>
            <w:tcW w:w="856" w:type="dxa"/>
            <w:tcBorders>
              <w:top w:val="nil"/>
              <w:left w:val="nil"/>
              <w:bottom w:val="single" w:color="auto" w:sz="4" w:space="0"/>
              <w:right w:val="single" w:color="auto" w:sz="4" w:space="0"/>
            </w:tcBorders>
            <w:noWrap/>
            <w:vAlign w:val="center"/>
          </w:tcPr>
          <w:p w14:paraId="50054A8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760925D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noWrap/>
            <w:vAlign w:val="center"/>
          </w:tcPr>
          <w:p w14:paraId="57FE5CAF">
            <w:pPr>
              <w:pageBreakBefore w:val="0"/>
              <w:widowControl/>
              <w:kinsoku/>
              <w:wordWrap w:val="0"/>
              <w:overflowPunct/>
              <w:topLinePunct/>
              <w:bidi w:val="0"/>
              <w:spacing w:after="0" w:line="360" w:lineRule="auto"/>
              <w:ind w:firstLine="400"/>
              <w:jc w:val="center"/>
              <w:rPr>
                <w:rFonts w:hint="eastAsia" w:ascii="宋体" w:hAnsi="宋体" w:eastAsia="宋体" w:cs="宋体"/>
                <w:kern w:val="0"/>
                <w:sz w:val="24"/>
                <w:szCs w:val="24"/>
              </w:rPr>
            </w:pPr>
          </w:p>
        </w:tc>
      </w:tr>
      <w:tr w14:paraId="7555DE6A">
        <w:tblPrEx>
          <w:tblCellMar>
            <w:top w:w="0" w:type="dxa"/>
            <w:left w:w="108" w:type="dxa"/>
            <w:bottom w:w="0" w:type="dxa"/>
            <w:right w:w="108" w:type="dxa"/>
          </w:tblCellMar>
        </w:tblPrEx>
        <w:trPr>
          <w:trHeight w:val="278" w:hRule="atLeast"/>
        </w:trPr>
        <w:tc>
          <w:tcPr>
            <w:tcW w:w="562" w:type="dxa"/>
            <w:vMerge w:val="continue"/>
            <w:tcBorders>
              <w:top w:val="nil"/>
              <w:left w:val="single" w:color="auto" w:sz="4" w:space="0"/>
              <w:bottom w:val="single" w:color="auto" w:sz="4" w:space="0"/>
              <w:right w:val="single" w:color="auto" w:sz="4" w:space="0"/>
            </w:tcBorders>
            <w:vAlign w:val="center"/>
          </w:tcPr>
          <w:p w14:paraId="4D6BED0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650" w:type="dxa"/>
            <w:vMerge w:val="continue"/>
            <w:tcBorders>
              <w:top w:val="nil"/>
              <w:left w:val="single" w:color="auto" w:sz="4" w:space="0"/>
              <w:bottom w:val="single" w:color="auto" w:sz="4" w:space="0"/>
              <w:right w:val="single" w:color="auto" w:sz="4" w:space="0"/>
            </w:tcBorders>
            <w:vAlign w:val="center"/>
          </w:tcPr>
          <w:p w14:paraId="4070B17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1276" w:type="dxa"/>
            <w:tcBorders>
              <w:top w:val="nil"/>
              <w:left w:val="nil"/>
              <w:bottom w:val="single" w:color="auto" w:sz="4" w:space="0"/>
              <w:right w:val="single" w:color="auto" w:sz="4" w:space="0"/>
            </w:tcBorders>
            <w:noWrap/>
            <w:vAlign w:val="center"/>
          </w:tcPr>
          <w:p w14:paraId="3E54AAC6">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絮凝剂</w:t>
            </w:r>
          </w:p>
          <w:p w14:paraId="51283C8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投加装置</w:t>
            </w:r>
          </w:p>
        </w:tc>
        <w:tc>
          <w:tcPr>
            <w:tcW w:w="3712" w:type="dxa"/>
            <w:tcBorders>
              <w:top w:val="nil"/>
              <w:left w:val="nil"/>
              <w:bottom w:val="single" w:color="auto" w:sz="4" w:space="0"/>
              <w:right w:val="single" w:color="auto" w:sz="4" w:space="0"/>
            </w:tcBorders>
            <w:vAlign w:val="center"/>
          </w:tcPr>
          <w:p w14:paraId="0FA6F5A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0-500 L/h，流量可调</w:t>
            </w:r>
          </w:p>
        </w:tc>
        <w:tc>
          <w:tcPr>
            <w:tcW w:w="856" w:type="dxa"/>
            <w:tcBorders>
              <w:top w:val="nil"/>
              <w:left w:val="nil"/>
              <w:bottom w:val="single" w:color="auto" w:sz="4" w:space="0"/>
              <w:right w:val="single" w:color="auto" w:sz="4" w:space="0"/>
            </w:tcBorders>
            <w:noWrap/>
            <w:vAlign w:val="center"/>
          </w:tcPr>
          <w:p w14:paraId="132A4BF4">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736" w:type="dxa"/>
            <w:tcBorders>
              <w:top w:val="nil"/>
              <w:left w:val="nil"/>
              <w:bottom w:val="single" w:color="auto" w:sz="4" w:space="0"/>
              <w:right w:val="single" w:color="auto" w:sz="4" w:space="0"/>
            </w:tcBorders>
            <w:noWrap/>
            <w:vAlign w:val="center"/>
          </w:tcPr>
          <w:p w14:paraId="58B08C0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07F8F82F">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0686F93C">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vAlign w:val="center"/>
          </w:tcPr>
          <w:p w14:paraId="7A42835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650" w:type="dxa"/>
            <w:tcBorders>
              <w:top w:val="nil"/>
              <w:left w:val="nil"/>
              <w:bottom w:val="single" w:color="auto" w:sz="4" w:space="0"/>
              <w:right w:val="single" w:color="auto" w:sz="4" w:space="0"/>
            </w:tcBorders>
            <w:vAlign w:val="center"/>
          </w:tcPr>
          <w:p w14:paraId="64B4892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自控系统</w:t>
            </w:r>
          </w:p>
        </w:tc>
        <w:tc>
          <w:tcPr>
            <w:tcW w:w="1276" w:type="dxa"/>
            <w:tcBorders>
              <w:top w:val="nil"/>
              <w:left w:val="nil"/>
              <w:bottom w:val="single" w:color="auto" w:sz="4" w:space="0"/>
              <w:right w:val="single" w:color="auto" w:sz="4" w:space="0"/>
            </w:tcBorders>
            <w:vAlign w:val="center"/>
          </w:tcPr>
          <w:p w14:paraId="7CFF5996">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3712" w:type="dxa"/>
            <w:tcBorders>
              <w:top w:val="nil"/>
              <w:left w:val="nil"/>
              <w:bottom w:val="single" w:color="auto" w:sz="4" w:space="0"/>
              <w:right w:val="single" w:color="auto" w:sz="4" w:space="0"/>
            </w:tcBorders>
            <w:vAlign w:val="center"/>
          </w:tcPr>
          <w:p w14:paraId="6B1CD251">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PLC自控，大屏显示，工业上位机，就地柜等</w:t>
            </w:r>
          </w:p>
        </w:tc>
        <w:tc>
          <w:tcPr>
            <w:tcW w:w="856" w:type="dxa"/>
            <w:tcBorders>
              <w:top w:val="nil"/>
              <w:left w:val="nil"/>
              <w:bottom w:val="single" w:color="auto" w:sz="4" w:space="0"/>
              <w:right w:val="single" w:color="auto" w:sz="4" w:space="0"/>
            </w:tcBorders>
            <w:vAlign w:val="center"/>
          </w:tcPr>
          <w:p w14:paraId="4BBD4CF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736" w:type="dxa"/>
            <w:tcBorders>
              <w:top w:val="nil"/>
              <w:left w:val="nil"/>
              <w:bottom w:val="single" w:color="auto" w:sz="4" w:space="0"/>
              <w:right w:val="single" w:color="auto" w:sz="4" w:space="0"/>
            </w:tcBorders>
            <w:vAlign w:val="center"/>
          </w:tcPr>
          <w:p w14:paraId="383E439F">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47B504D3">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7AD0AF93">
        <w:tblPrEx>
          <w:tblCellMar>
            <w:top w:w="0" w:type="dxa"/>
            <w:left w:w="108" w:type="dxa"/>
            <w:bottom w:w="0" w:type="dxa"/>
            <w:right w:w="108" w:type="dxa"/>
          </w:tblCellMar>
        </w:tblPrEx>
        <w:trPr>
          <w:trHeight w:val="540" w:hRule="atLeast"/>
        </w:trPr>
        <w:tc>
          <w:tcPr>
            <w:tcW w:w="562" w:type="dxa"/>
            <w:tcBorders>
              <w:top w:val="nil"/>
              <w:left w:val="single" w:color="auto" w:sz="4" w:space="0"/>
              <w:bottom w:val="single" w:color="auto" w:sz="4" w:space="0"/>
              <w:right w:val="single" w:color="auto" w:sz="4" w:space="0"/>
            </w:tcBorders>
            <w:vAlign w:val="center"/>
          </w:tcPr>
          <w:p w14:paraId="03141977">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650" w:type="dxa"/>
            <w:tcBorders>
              <w:top w:val="nil"/>
              <w:left w:val="nil"/>
              <w:bottom w:val="single" w:color="auto" w:sz="4" w:space="0"/>
              <w:right w:val="single" w:color="auto" w:sz="4" w:space="0"/>
            </w:tcBorders>
            <w:vAlign w:val="center"/>
          </w:tcPr>
          <w:p w14:paraId="35219338">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仪器仪表</w:t>
            </w:r>
          </w:p>
        </w:tc>
        <w:tc>
          <w:tcPr>
            <w:tcW w:w="1276" w:type="dxa"/>
            <w:tcBorders>
              <w:top w:val="nil"/>
              <w:left w:val="nil"/>
              <w:bottom w:val="single" w:color="auto" w:sz="4" w:space="0"/>
              <w:right w:val="single" w:color="auto" w:sz="4" w:space="0"/>
            </w:tcBorders>
            <w:vAlign w:val="center"/>
          </w:tcPr>
          <w:p w14:paraId="64198C88">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3712" w:type="dxa"/>
            <w:tcBorders>
              <w:top w:val="nil"/>
              <w:left w:val="nil"/>
              <w:bottom w:val="single" w:color="auto" w:sz="4" w:space="0"/>
              <w:right w:val="single" w:color="auto" w:sz="4" w:space="0"/>
            </w:tcBorders>
            <w:vAlign w:val="center"/>
          </w:tcPr>
          <w:p w14:paraId="43312F4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设计配套，含液位计、温度计、压力传感器、流量计、DO传感器等</w:t>
            </w:r>
          </w:p>
        </w:tc>
        <w:tc>
          <w:tcPr>
            <w:tcW w:w="856" w:type="dxa"/>
            <w:tcBorders>
              <w:top w:val="nil"/>
              <w:left w:val="nil"/>
              <w:bottom w:val="single" w:color="auto" w:sz="4" w:space="0"/>
              <w:right w:val="single" w:color="auto" w:sz="4" w:space="0"/>
            </w:tcBorders>
            <w:vAlign w:val="center"/>
          </w:tcPr>
          <w:p w14:paraId="50F0540B">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批</w:t>
            </w:r>
          </w:p>
        </w:tc>
        <w:tc>
          <w:tcPr>
            <w:tcW w:w="736" w:type="dxa"/>
            <w:tcBorders>
              <w:top w:val="nil"/>
              <w:left w:val="nil"/>
              <w:bottom w:val="single" w:color="auto" w:sz="4" w:space="0"/>
              <w:right w:val="single" w:color="auto" w:sz="4" w:space="0"/>
            </w:tcBorders>
            <w:vAlign w:val="center"/>
          </w:tcPr>
          <w:p w14:paraId="2ED5173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3FE978EB">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29BDCC5B">
        <w:tblPrEx>
          <w:tblCellMar>
            <w:top w:w="0" w:type="dxa"/>
            <w:left w:w="108" w:type="dxa"/>
            <w:bottom w:w="0" w:type="dxa"/>
            <w:right w:w="108" w:type="dxa"/>
          </w:tblCellMar>
        </w:tblPrEx>
        <w:trPr>
          <w:trHeight w:val="278" w:hRule="atLeast"/>
        </w:trPr>
        <w:tc>
          <w:tcPr>
            <w:tcW w:w="562" w:type="dxa"/>
            <w:tcBorders>
              <w:top w:val="nil"/>
              <w:left w:val="single" w:color="auto" w:sz="4" w:space="0"/>
              <w:bottom w:val="single" w:color="auto" w:sz="4" w:space="0"/>
              <w:right w:val="single" w:color="auto" w:sz="4" w:space="0"/>
            </w:tcBorders>
            <w:vAlign w:val="center"/>
          </w:tcPr>
          <w:p w14:paraId="32ECA34C">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14</w:t>
            </w:r>
          </w:p>
        </w:tc>
        <w:tc>
          <w:tcPr>
            <w:tcW w:w="650" w:type="dxa"/>
            <w:tcBorders>
              <w:top w:val="nil"/>
              <w:left w:val="nil"/>
              <w:bottom w:val="single" w:color="auto" w:sz="4" w:space="0"/>
              <w:right w:val="single" w:color="auto" w:sz="4" w:space="0"/>
            </w:tcBorders>
            <w:vAlign w:val="center"/>
          </w:tcPr>
          <w:p w14:paraId="3B416F0E">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管道阀门</w:t>
            </w:r>
          </w:p>
        </w:tc>
        <w:tc>
          <w:tcPr>
            <w:tcW w:w="1276" w:type="dxa"/>
            <w:tcBorders>
              <w:top w:val="nil"/>
              <w:left w:val="nil"/>
              <w:bottom w:val="single" w:color="auto" w:sz="4" w:space="0"/>
              <w:right w:val="single" w:color="auto" w:sz="4" w:space="0"/>
            </w:tcBorders>
            <w:vAlign w:val="center"/>
          </w:tcPr>
          <w:p w14:paraId="584E3AC2">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3712" w:type="dxa"/>
            <w:tcBorders>
              <w:top w:val="nil"/>
              <w:left w:val="nil"/>
              <w:bottom w:val="single" w:color="auto" w:sz="4" w:space="0"/>
              <w:right w:val="single" w:color="auto" w:sz="4" w:space="0"/>
            </w:tcBorders>
            <w:vAlign w:val="center"/>
          </w:tcPr>
          <w:p w14:paraId="4C311A0A">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设计配套</w:t>
            </w:r>
          </w:p>
        </w:tc>
        <w:tc>
          <w:tcPr>
            <w:tcW w:w="856" w:type="dxa"/>
            <w:tcBorders>
              <w:top w:val="nil"/>
              <w:left w:val="nil"/>
              <w:bottom w:val="single" w:color="auto" w:sz="4" w:space="0"/>
              <w:right w:val="single" w:color="auto" w:sz="4" w:space="0"/>
            </w:tcBorders>
            <w:vAlign w:val="center"/>
          </w:tcPr>
          <w:p w14:paraId="12C0CB4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批</w:t>
            </w:r>
          </w:p>
        </w:tc>
        <w:tc>
          <w:tcPr>
            <w:tcW w:w="736" w:type="dxa"/>
            <w:tcBorders>
              <w:top w:val="nil"/>
              <w:left w:val="nil"/>
              <w:bottom w:val="single" w:color="auto" w:sz="4" w:space="0"/>
              <w:right w:val="single" w:color="auto" w:sz="4" w:space="0"/>
            </w:tcBorders>
            <w:vAlign w:val="center"/>
          </w:tcPr>
          <w:p w14:paraId="09421305">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nil"/>
              <w:left w:val="nil"/>
              <w:bottom w:val="single" w:color="auto" w:sz="4" w:space="0"/>
              <w:right w:val="single" w:color="auto" w:sz="4" w:space="0"/>
            </w:tcBorders>
            <w:vAlign w:val="center"/>
          </w:tcPr>
          <w:p w14:paraId="46E06635">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r w14:paraId="604DED08">
        <w:tblPrEx>
          <w:tblCellMar>
            <w:top w:w="0" w:type="dxa"/>
            <w:left w:w="108" w:type="dxa"/>
            <w:bottom w:w="0" w:type="dxa"/>
            <w:right w:w="108" w:type="dxa"/>
          </w:tblCellMar>
        </w:tblPrEx>
        <w:trPr>
          <w:trHeight w:val="278" w:hRule="atLeast"/>
        </w:trPr>
        <w:tc>
          <w:tcPr>
            <w:tcW w:w="562" w:type="dxa"/>
            <w:tcBorders>
              <w:top w:val="single" w:color="auto" w:sz="4" w:space="0"/>
              <w:left w:val="single" w:color="auto" w:sz="4" w:space="0"/>
              <w:bottom w:val="single" w:color="auto" w:sz="4" w:space="0"/>
              <w:right w:val="single" w:color="auto" w:sz="4" w:space="0"/>
            </w:tcBorders>
            <w:vAlign w:val="center"/>
          </w:tcPr>
          <w:p w14:paraId="71559560">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650" w:type="dxa"/>
            <w:tcBorders>
              <w:top w:val="single" w:color="auto" w:sz="4" w:space="0"/>
              <w:left w:val="nil"/>
              <w:bottom w:val="single" w:color="auto" w:sz="4" w:space="0"/>
              <w:right w:val="single" w:color="auto" w:sz="4" w:space="0"/>
            </w:tcBorders>
            <w:vAlign w:val="center"/>
          </w:tcPr>
          <w:p w14:paraId="7B50674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安装调试</w:t>
            </w:r>
          </w:p>
        </w:tc>
        <w:tc>
          <w:tcPr>
            <w:tcW w:w="1276" w:type="dxa"/>
            <w:tcBorders>
              <w:top w:val="single" w:color="auto" w:sz="4" w:space="0"/>
              <w:left w:val="nil"/>
              <w:bottom w:val="single" w:color="auto" w:sz="4" w:space="0"/>
              <w:right w:val="single" w:color="auto" w:sz="4" w:space="0"/>
            </w:tcBorders>
            <w:vAlign w:val="center"/>
          </w:tcPr>
          <w:p w14:paraId="5697F6AC">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c>
          <w:tcPr>
            <w:tcW w:w="3712" w:type="dxa"/>
            <w:tcBorders>
              <w:top w:val="single" w:color="auto" w:sz="4" w:space="0"/>
              <w:left w:val="nil"/>
              <w:bottom w:val="single" w:color="auto" w:sz="4" w:space="0"/>
              <w:right w:val="single" w:color="auto" w:sz="4" w:space="0"/>
            </w:tcBorders>
            <w:vAlign w:val="center"/>
          </w:tcPr>
          <w:p w14:paraId="1EDF0E8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设计配套，含污泥、菌种、药剂、营养盐等</w:t>
            </w:r>
          </w:p>
        </w:tc>
        <w:tc>
          <w:tcPr>
            <w:tcW w:w="856" w:type="dxa"/>
            <w:tcBorders>
              <w:top w:val="single" w:color="auto" w:sz="4" w:space="0"/>
              <w:left w:val="nil"/>
              <w:bottom w:val="single" w:color="auto" w:sz="4" w:space="0"/>
              <w:right w:val="single" w:color="auto" w:sz="4" w:space="0"/>
            </w:tcBorders>
            <w:vAlign w:val="center"/>
          </w:tcPr>
          <w:p w14:paraId="6E3C6BE3">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批</w:t>
            </w:r>
          </w:p>
        </w:tc>
        <w:tc>
          <w:tcPr>
            <w:tcW w:w="736" w:type="dxa"/>
            <w:tcBorders>
              <w:top w:val="single" w:color="auto" w:sz="4" w:space="0"/>
              <w:left w:val="nil"/>
              <w:bottom w:val="single" w:color="auto" w:sz="4" w:space="0"/>
              <w:right w:val="single" w:color="auto" w:sz="4" w:space="0"/>
            </w:tcBorders>
            <w:vAlign w:val="center"/>
          </w:tcPr>
          <w:p w14:paraId="1F03DB6D">
            <w:pPr>
              <w:pageBreakBefore w:val="0"/>
              <w:widowControl/>
              <w:kinsoku/>
              <w:wordWrap w:val="0"/>
              <w:overflowPunct/>
              <w:topLinePunct/>
              <w:bidi w:val="0"/>
              <w:spacing w:after="0" w:line="360" w:lineRule="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134" w:type="dxa"/>
            <w:tcBorders>
              <w:top w:val="single" w:color="auto" w:sz="4" w:space="0"/>
              <w:left w:val="nil"/>
              <w:bottom w:val="single" w:color="auto" w:sz="4" w:space="0"/>
              <w:right w:val="single" w:color="auto" w:sz="4" w:space="0"/>
            </w:tcBorders>
            <w:vAlign w:val="center"/>
          </w:tcPr>
          <w:p w14:paraId="7205B717">
            <w:pPr>
              <w:pageBreakBefore w:val="0"/>
              <w:widowControl/>
              <w:kinsoku/>
              <w:wordWrap w:val="0"/>
              <w:overflowPunct/>
              <w:topLinePunct/>
              <w:bidi w:val="0"/>
              <w:spacing w:after="0" w:line="360" w:lineRule="auto"/>
              <w:ind w:firstLine="420"/>
              <w:jc w:val="center"/>
              <w:rPr>
                <w:rFonts w:hint="eastAsia" w:ascii="宋体" w:hAnsi="宋体" w:eastAsia="宋体" w:cs="宋体"/>
                <w:kern w:val="0"/>
                <w:sz w:val="24"/>
                <w:szCs w:val="24"/>
              </w:rPr>
            </w:pPr>
          </w:p>
        </w:tc>
      </w:tr>
    </w:tbl>
    <w:p w14:paraId="25B617DF">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49" w:name="_Toc229738185"/>
      <w:bookmarkStart w:id="50" w:name="_Toc30164"/>
      <w:r>
        <w:rPr>
          <w:rFonts w:hint="eastAsia" w:ascii="宋体" w:hAnsi="宋体" w:eastAsia="宋体" w:cs="宋体"/>
          <w:b/>
          <w:sz w:val="24"/>
          <w:szCs w:val="24"/>
        </w:rPr>
        <w:t>4．工艺设备技术要求</w:t>
      </w:r>
      <w:bookmarkEnd w:id="49"/>
    </w:p>
    <w:p w14:paraId="648FA1E4">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51" w:name="_Toc229738186"/>
      <w:r>
        <w:rPr>
          <w:rFonts w:hint="eastAsia" w:ascii="宋体" w:hAnsi="宋体" w:eastAsia="宋体" w:cs="宋体"/>
          <w:b/>
          <w:sz w:val="24"/>
          <w:szCs w:val="24"/>
        </w:rPr>
        <w:t>4.1 总体要求</w:t>
      </w:r>
      <w:bookmarkEnd w:id="51"/>
    </w:p>
    <w:p w14:paraId="24C57FDF">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污水处理系统设备（包括所有需要的辅助设备）应满足以下总体要求：</w:t>
      </w:r>
    </w:p>
    <w:p w14:paraId="47C74AC7">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w:t>
      </w: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提供的设备应能保证在所在地区的气象条件下每日24小时连续平稳运转，并能在长期停运后，仍然能够正常启动运转。</w:t>
      </w: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应根据本项目处理介质，并结合自身经验对污水处理系统成套设备进行优化配置，并在投标文件中提供详细计算过程和主要设计参数。</w:t>
      </w:r>
    </w:p>
    <w:p w14:paraId="438C9A0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w:t>
      </w: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提供的所有设备和材料应是全新的，同类设备和配件应统一品牌。所有转动部分应设置保护壳，以防止事故发生。</w:t>
      </w:r>
    </w:p>
    <w:p w14:paraId="03FE8B77">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3）除本章节中明确要求外，其余各设备过流部件材质应不低于304不锈钢。</w:t>
      </w:r>
    </w:p>
    <w:p w14:paraId="5739042F">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4）“主要设备及性能要求”应满足章节本章节相关指标，若投标方因工艺优化导致设备与本招标文件描述不一致，则投标方同类或类似功能的设备在建设标准上也需满足本招标文件中对设备性能的要求。</w:t>
      </w:r>
    </w:p>
    <w:p w14:paraId="7669CA1F">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5）距离设备1 m处噪声不高于85 dB（A）；</w:t>
      </w:r>
    </w:p>
    <w:p w14:paraId="6BB10291">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52" w:name="_Toc229738187"/>
      <w:r>
        <w:rPr>
          <w:rFonts w:hint="eastAsia" w:ascii="宋体" w:hAnsi="宋体" w:eastAsia="宋体" w:cs="宋体"/>
          <w:b/>
          <w:sz w:val="24"/>
          <w:szCs w:val="24"/>
        </w:rPr>
        <w:t>4.2 专用设备要求</w:t>
      </w:r>
      <w:bookmarkEnd w:id="52"/>
    </w:p>
    <w:p w14:paraId="6C93E20A">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53" w:name="_Toc229738188"/>
      <w:r>
        <w:rPr>
          <w:rFonts w:hint="eastAsia" w:ascii="宋体" w:hAnsi="宋体" w:eastAsia="宋体" w:cs="宋体"/>
          <w:b/>
          <w:bCs/>
          <w:kern w:val="0"/>
          <w:sz w:val="24"/>
          <w:szCs w:val="24"/>
        </w:rPr>
        <w:t>4.2.1 气浮成套设备</w:t>
      </w:r>
      <w:bookmarkEnd w:id="53"/>
    </w:p>
    <w:p w14:paraId="59FEEE1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供货的渗滤液气浮设备应为成套装置，必须包括气浮池体及走道平台、刮渣机、溶气系统、加药装置、反应搅拌装置、喷淋装置、排泥装置、仪表、电控柜、电缆、阀门、管线等安全、有效、可靠运行的附件。</w:t>
      </w:r>
    </w:p>
    <w:p w14:paraId="1674A6FB">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材质不低于如下要求：</w:t>
      </w:r>
    </w:p>
    <w:p w14:paraId="143695E5">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（1）气浮池体：碳钢材质，抛丸除锈后达2.5a级后，内部三布五油FRP玻璃钢加强型防腐，外部底漆1道及面漆2道，内部管路UPVC材质。</w:t>
      </w:r>
    </w:p>
    <w:p w14:paraId="0D213A33">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走道平台：走道板采用玻璃钢格板，含扶梯及操作走道平台，爬梯扶手碳钢防腐。</w:t>
      </w:r>
    </w:p>
    <w:p w14:paraId="14DF678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（2）刮渣机：</w:t>
      </w:r>
    </w:p>
    <w:p w14:paraId="59925F68">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链条：PA6；</w:t>
      </w:r>
    </w:p>
    <w:p w14:paraId="5F6304AD">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链轮：尼龙材质；</w:t>
      </w:r>
    </w:p>
    <w:p w14:paraId="74B75043">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刮板：不锈钢304+平带板；</w:t>
      </w:r>
    </w:p>
    <w:p w14:paraId="378F1E5D">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传动轴：碳钢+FRP材质；</w:t>
      </w:r>
    </w:p>
    <w:p w14:paraId="088CB1BA">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液位控制系统，调节堰、丝杆：304不锈钢；</w:t>
      </w:r>
    </w:p>
    <w:p w14:paraId="075A6F68">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（3）溶气系统：</w:t>
      </w:r>
    </w:p>
    <w:p w14:paraId="33709EA8">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溶气罐：内部全部组件304不锈钢；</w:t>
      </w:r>
    </w:p>
    <w:p w14:paraId="02835D84">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液位平衡控制器：主体不锈钢304；</w:t>
      </w:r>
    </w:p>
    <w:p w14:paraId="2BA070A9">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溶气系统支架：碳钢防腐；</w:t>
      </w:r>
    </w:p>
    <w:p w14:paraId="5C32F97E">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溶气专用释放器：ABS材质，内部螺栓304；</w:t>
      </w:r>
    </w:p>
    <w:p w14:paraId="2A9A2E5E">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释放管路：化工级UPVC材质。</w:t>
      </w:r>
    </w:p>
    <w:p w14:paraId="1D63DF62">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回流水泵：过流部件SUS304材质；</w:t>
      </w:r>
    </w:p>
    <w:p w14:paraId="1B7D7162">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回流水泵至溶气罐管道、阀门：化工级UPVC材质。</w:t>
      </w:r>
    </w:p>
    <w:p w14:paraId="36738F7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3）性能要求</w:t>
      </w:r>
    </w:p>
    <w:p w14:paraId="0A527AD1">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设备数量：气浮设备：1套；PAC/PAM制备及投加装置：1套。</w:t>
      </w:r>
    </w:p>
    <w:p w14:paraId="193E6BD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处理对象：垃圾中转站渗滤液及生产废水混合废水</w:t>
      </w:r>
    </w:p>
    <w:p w14:paraId="0ABC98CA">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处理能力：＞20 m</w:t>
      </w:r>
      <w:r>
        <w:rPr>
          <w:rFonts w:hint="eastAsia" w:ascii="宋体" w:hAnsi="宋体" w:eastAsia="宋体" w:cs="宋体"/>
          <w:sz w:val="24"/>
          <w:szCs w:val="24"/>
          <w:vertAlign w:val="superscript"/>
          <w14:ligatures w14:val="none"/>
        </w:rPr>
        <w:t>3</w:t>
      </w:r>
      <w:r>
        <w:rPr>
          <w:rFonts w:hint="eastAsia" w:ascii="宋体" w:hAnsi="宋体" w:eastAsia="宋体" w:cs="宋体"/>
          <w:sz w:val="24"/>
          <w:szCs w:val="24"/>
          <w14:ligatures w14:val="none"/>
        </w:rPr>
        <w:t>/h</w:t>
      </w:r>
    </w:p>
    <w:p w14:paraId="003E23E6">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溶气压力：0.4~0.55 MPa</w:t>
      </w:r>
    </w:p>
    <w:p w14:paraId="6AF3EFF7">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结构形式：平流式组合气浮，部分回流加压射流溶气。</w:t>
      </w:r>
    </w:p>
    <w:p w14:paraId="2B49C687">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气浮池体含反应区（2格）、接触区、分离区、浮渣槽、清水槽、锥形底（污泥斗）。</w:t>
      </w:r>
    </w:p>
    <w:p w14:paraId="4851EB34">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噪音：设备外1米噪声级需小于85 dB（A）。</w:t>
      </w:r>
    </w:p>
    <w:p w14:paraId="301125D3">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54" w:name="_Toc229738189"/>
      <w:r>
        <w:rPr>
          <w:rFonts w:hint="eastAsia" w:ascii="宋体" w:hAnsi="宋体" w:eastAsia="宋体" w:cs="宋体"/>
          <w:b/>
          <w:bCs/>
          <w:kern w:val="0"/>
          <w:sz w:val="24"/>
          <w:szCs w:val="24"/>
        </w:rPr>
        <w:t xml:space="preserve">4.2.2 </w:t>
      </w:r>
      <w:bookmarkStart w:id="55" w:name="_Toc212018073"/>
      <w:bookmarkStart w:id="56" w:name="_Toc1036"/>
      <w:r>
        <w:rPr>
          <w:rFonts w:hint="eastAsia" w:ascii="宋体" w:hAnsi="宋体" w:eastAsia="宋体" w:cs="宋体"/>
          <w:b/>
          <w:bCs/>
          <w:kern w:val="0"/>
          <w:sz w:val="24"/>
          <w:szCs w:val="24"/>
        </w:rPr>
        <w:t>立式离心污水泵</w:t>
      </w:r>
      <w:bookmarkEnd w:id="54"/>
      <w:bookmarkEnd w:id="55"/>
      <w:bookmarkEnd w:id="56"/>
    </w:p>
    <w:p w14:paraId="5B656737">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每台管道泵应成套地配备齿轮减速电机；联轴器；机座；进水和出水配管；等安全、有效及可靠运行所必需的附件。</w:t>
      </w:r>
    </w:p>
    <w:p w14:paraId="0DAEAF88">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工作介质：渗滤液及生产废水、脱水滤液等</w:t>
      </w:r>
    </w:p>
    <w:p w14:paraId="0190A87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环境温度： +0℃～+45℃</w:t>
      </w:r>
    </w:p>
    <w:p w14:paraId="16C402A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应能每天24小时连续运转</w:t>
      </w:r>
    </w:p>
    <w:p w14:paraId="78A5808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★水泵主要材质不低于304不锈钢。</w:t>
      </w:r>
    </w:p>
    <w:p w14:paraId="14D2CD01">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57" w:name="_Toc229738190"/>
      <w:r>
        <w:rPr>
          <w:rFonts w:hint="eastAsia" w:ascii="宋体" w:hAnsi="宋体" w:eastAsia="宋体" w:cs="宋体"/>
          <w:b/>
          <w:bCs/>
          <w:kern w:val="0"/>
          <w:sz w:val="24"/>
          <w:szCs w:val="24"/>
        </w:rPr>
        <w:t>4.2.3 潜水搅拌机</w:t>
      </w:r>
      <w:bookmarkEnd w:id="57"/>
    </w:p>
    <w:p w14:paraId="3FE86352">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每台潜水搅拌器应成套地配备安全、有效及可靠运行所需的附件、紧固件、备品备件、就地接线箱和按钮箱以及所需电缆，每台搅拌器应带有提升装置如提升导轨、提升链、手柄、支架及葫芦。</w:t>
      </w:r>
    </w:p>
    <w:p w14:paraId="21089645">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搅拌器全部的重量受力在一个支架上，并且这个支架可承受搅拌器形成的推力。搅拌器、附件和电缆可在8米水深24小时持续潜水运行、间歇运行和长期停止状态后恢复运行。在整个运行过程中性能稳定，无故障运行时间可达10,000小时以上。</w:t>
      </w:r>
    </w:p>
    <w:p w14:paraId="61799A6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★主要部件材质如下：</w:t>
      </w:r>
    </w:p>
    <w:p w14:paraId="11242F64">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螺旋桨：不锈钢304或以上</w:t>
      </w:r>
    </w:p>
    <w:p w14:paraId="343AD2FD">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主轴：不锈钢304或以上</w:t>
      </w:r>
    </w:p>
    <w:p w14:paraId="4FBD0E93">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机械密封：碳化钨/碳化钨</w:t>
      </w:r>
    </w:p>
    <w:p w14:paraId="22E4EF0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螺栓、螺母、垫圈：不锈钢304或以上</w:t>
      </w:r>
    </w:p>
    <w:p w14:paraId="43B1A56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导轨、支架：不锈钢304或以上</w:t>
      </w:r>
    </w:p>
    <w:p w14:paraId="1123F295">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提升链、绳：不锈钢304或以上</w:t>
      </w:r>
    </w:p>
    <w:p w14:paraId="2B1E0982">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电缆外套：氯丁橡胶</w:t>
      </w:r>
    </w:p>
    <w:p w14:paraId="3A5F8FBA">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提升装置起吊臂：不锈钢304以上</w:t>
      </w:r>
    </w:p>
    <w:p w14:paraId="735A40B5">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58" w:name="_Toc229738191"/>
      <w:r>
        <w:rPr>
          <w:rFonts w:hint="eastAsia" w:ascii="宋体" w:hAnsi="宋体" w:eastAsia="宋体" w:cs="宋体"/>
          <w:b/>
          <w:bCs/>
          <w:kern w:val="0"/>
          <w:sz w:val="24"/>
          <w:szCs w:val="24"/>
        </w:rPr>
        <w:t>4.2.4 射流曝气器</w:t>
      </w:r>
      <w:bookmarkEnd w:id="58"/>
    </w:p>
    <w:p w14:paraId="196E8011">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投标方提供的射流曝气系统应为成套系统，含射流泵、曝气器、管道、阀门等。</w:t>
      </w:r>
    </w:p>
    <w:p w14:paraId="09D99DA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曝气器应为免维护防堵塞型，曝气器材质应为耐腐蚀的聚丙烯或不锈钢材质，</w:t>
      </w: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提供的曝气装置必须适用于硝化池曝气的需要，应能有效地将来自鼓风机的有压空气，均匀地扩散于水体中，并能保持长期和稳定的曝气效果，以及停止供气时有效的闭合。</w:t>
      </w:r>
    </w:p>
    <w:p w14:paraId="7C80C270">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应保证曝气系统的排列方式，保证曝气均匀、搅拌充分，不会造成池底的积泥。</w:t>
      </w:r>
    </w:p>
    <w:p w14:paraId="72B02F2E">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w:t>
      </w: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提供的设备应成功应用于同类渗沥液处理项目中。</w:t>
      </w:r>
    </w:p>
    <w:p w14:paraId="4478AEF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进入曝气器的空气应无需做空气净化，并应满足在长期连续使用或停用后再投入使用，均不会产生孔口的堵塞和混合液的回流。喷嘴、喉管、输气竖管及输气支管应适用于极限工作温度90℃。</w:t>
      </w:r>
    </w:p>
    <w:p w14:paraId="366924AC">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★射流曝气器应符合下列特性：气水比应大于4；氧利用率（清水深8 m）≥35%；工作寿命不小于20年。适于5米以上水深曝气。</w:t>
      </w:r>
    </w:p>
    <w:p w14:paraId="7AB0AE8D">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应对射流曝气器的特性和维护的可靠性、经济性等方面进行必要的说明，并提供设备特性及性能保证。</w:t>
      </w:r>
    </w:p>
    <w:p w14:paraId="23DC1E63">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59" w:name="_Toc15803"/>
      <w:bookmarkStart w:id="60" w:name="_Toc212018077"/>
      <w:bookmarkStart w:id="61" w:name="_Toc229738192"/>
      <w:r>
        <w:rPr>
          <w:rFonts w:hint="eastAsia" w:ascii="宋体" w:hAnsi="宋体" w:eastAsia="宋体" w:cs="宋体"/>
          <w:b/>
          <w:bCs/>
          <w:kern w:val="0"/>
          <w:sz w:val="24"/>
          <w:szCs w:val="24"/>
        </w:rPr>
        <w:t>4.2.5 空气悬浮鼓风机</w:t>
      </w:r>
      <w:bookmarkEnd w:id="59"/>
      <w:bookmarkEnd w:id="60"/>
      <w:bookmarkEnd w:id="61"/>
    </w:p>
    <w:p w14:paraId="71D8AF3F">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kern w:val="0"/>
          <w:sz w:val="24"/>
          <w:szCs w:val="24"/>
        </w:rPr>
      </w:pPr>
      <w:r>
        <w:rPr>
          <w:rFonts w:hint="eastAsia" w:ascii="宋体" w:hAnsi="宋体" w:eastAsia="宋体" w:cs="宋体"/>
          <w:sz w:val="24"/>
          <w:szCs w:val="24"/>
          <w14:ligatures w14:val="none"/>
        </w:rPr>
        <w:t>每台空气悬浮鼓风机及其辅助设备应为成套装置，整组系统应包括入口过滤/消音器、隔音罩、出口扩压消音器、永磁高速电机、变频器、主控制器、出口柔性接头、止回阀、放空阀、手动蝶阀，就地控制柜以及其他有效和安全运行所需的附件。</w:t>
      </w:r>
    </w:p>
    <w:p w14:paraId="20C8072A">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lang w:eastAsia="zh-CN"/>
          <w14:ligatures w14:val="none"/>
        </w:rPr>
        <w:t>投标人</w:t>
      </w:r>
      <w:r>
        <w:rPr>
          <w:rFonts w:hint="eastAsia" w:ascii="宋体" w:hAnsi="宋体" w:eastAsia="宋体" w:cs="宋体"/>
          <w:sz w:val="24"/>
          <w:szCs w:val="24"/>
          <w14:ligatures w14:val="none"/>
        </w:rPr>
        <w:t>提供的设备应符合以下设计条件：</w:t>
      </w:r>
    </w:p>
    <w:p w14:paraId="34C792BA">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工作介质：    大气</w:t>
      </w:r>
    </w:p>
    <w:p w14:paraId="6754B373">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空气吸入温度：－15℃～+40℃</w:t>
      </w:r>
    </w:p>
    <w:p w14:paraId="3775205D">
      <w:pPr>
        <w:pageBreakBefore w:val="0"/>
        <w:kinsoku/>
        <w:wordWrap w:val="0"/>
        <w:overflowPunct/>
        <w:topLinePunct/>
        <w:autoSpaceDE w:val="0"/>
        <w:autoSpaceDN w:val="0"/>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 xml:space="preserve">出口压力：大于6 mH2O  (20℃)  </w:t>
      </w:r>
    </w:p>
    <w:p w14:paraId="78C73AA6">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62" w:name="_Toc212018078"/>
      <w:bookmarkStart w:id="63" w:name="_Toc29248"/>
      <w:bookmarkStart w:id="64" w:name="_Toc229738193"/>
      <w:r>
        <w:rPr>
          <w:rFonts w:hint="eastAsia" w:ascii="宋体" w:hAnsi="宋体" w:eastAsia="宋体" w:cs="宋体"/>
          <w:b/>
          <w:bCs/>
          <w:kern w:val="0"/>
          <w:sz w:val="24"/>
          <w:szCs w:val="24"/>
        </w:rPr>
        <w:t>4.2.6 单螺杆泵</w:t>
      </w:r>
      <w:bookmarkEnd w:id="62"/>
      <w:bookmarkEnd w:id="63"/>
      <w:bookmarkEnd w:id="64"/>
    </w:p>
    <w:p w14:paraId="47195A48">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lang w:eastAsia="zh-CN"/>
          <w14:ligatures w14:val="none"/>
        </w:rPr>
        <w:t>投标人</w:t>
      </w:r>
      <w:r>
        <w:rPr>
          <w:rFonts w:hint="eastAsia" w:ascii="宋体" w:hAnsi="宋体" w:eastAsia="宋体" w:cs="宋体"/>
          <w:kern w:val="0"/>
          <w:sz w:val="24"/>
          <w:szCs w:val="24"/>
          <w14:ligatures w14:val="none"/>
        </w:rPr>
        <w:t>供货的单螺杆泵应为成套装置，除泵本体外，必须包括驱动电机、联轴器、底座、调速装置、就地控制箱，检测仪表等安全、有效、可靠运行的附件。</w:t>
      </w:r>
    </w:p>
    <w:p w14:paraId="26874AFA">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bookmarkStart w:id="65" w:name="_Toc483820888"/>
      <w:bookmarkStart w:id="66" w:name="_Toc487357488"/>
      <w:r>
        <w:rPr>
          <w:rFonts w:hint="eastAsia" w:ascii="宋体" w:hAnsi="宋体" w:eastAsia="宋体" w:cs="宋体"/>
          <w:kern w:val="0"/>
          <w:sz w:val="24"/>
          <w:szCs w:val="24"/>
          <w14:ligatures w14:val="none"/>
        </w:rPr>
        <w:t>现场条件</w:t>
      </w:r>
      <w:bookmarkEnd w:id="65"/>
      <w:bookmarkEnd w:id="66"/>
      <w:r>
        <w:rPr>
          <w:rFonts w:hint="eastAsia" w:ascii="宋体" w:hAnsi="宋体" w:eastAsia="宋体" w:cs="宋体"/>
          <w:kern w:val="0"/>
          <w:sz w:val="24"/>
          <w:szCs w:val="24"/>
          <w14:ligatures w14:val="none"/>
        </w:rPr>
        <w:t>：</w:t>
      </w:r>
    </w:p>
    <w:p w14:paraId="2F541211">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介质：污水处理系统污泥（含生化系统剩余污泥、气浮化学污泥）</w:t>
      </w:r>
    </w:p>
    <w:p w14:paraId="4745E753">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水温：8～37℃</w:t>
      </w:r>
    </w:p>
    <w:p w14:paraId="5FC82A20">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水中pH值：6～9</w:t>
      </w:r>
    </w:p>
    <w:p w14:paraId="62C5B428">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螺杆泵应采用单级、卧式、机械密封、容积式泵，变频调节的形式。</w:t>
      </w:r>
    </w:p>
    <w:p w14:paraId="0DBFC790">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螺杆泵应实行24 h连续运行或间歇运行，无故障累积运行时间大于20000 h。</w:t>
      </w:r>
    </w:p>
    <w:p w14:paraId="1157A6B9">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螺杆泵的电机（或通过减速器）与泵连接，并应安装在同一底盘上，泵与减速电机应通过弹性联轴器来连接，并须提供必要的安全防护装置（如防干运行装置等）。</w:t>
      </w:r>
    </w:p>
    <w:p w14:paraId="6AA3BEA7">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电机应采用变频调速（配有变频器装置），额定功率应大于最大工作负荷10%以上，绝缘等级F，防护等级IP55，电源为3P、380V、50Hz。</w:t>
      </w:r>
    </w:p>
    <w:p w14:paraId="26D5F665">
      <w:pPr>
        <w:pageBreakBefore w:val="0"/>
        <w:kinsoku/>
        <w:wordWrap w:val="0"/>
        <w:overflowPunct/>
        <w:topLinePunct/>
        <w:bidi w:val="0"/>
        <w:adjustRightInd w:val="0"/>
        <w:snapToGrid w:val="0"/>
        <w:spacing w:after="0" w:line="360" w:lineRule="auto"/>
        <w:ind w:firstLine="360" w:firstLineChars="150"/>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轴封应采用机械密封。</w:t>
      </w:r>
    </w:p>
    <w:p w14:paraId="795A3F7A">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泵体应包含轴承箱（双排轴承），轴承的温升应不超过环境温度35℃，其极限温度不应超过80℃，确保泵平稳运行。机组噪音应小于75dB（A）（距离泵一米处测量）。</w:t>
      </w:r>
    </w:p>
    <w:p w14:paraId="61857738">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67" w:name="_Toc229738194"/>
      <w:bookmarkStart w:id="68" w:name="_Toc212018079"/>
      <w:bookmarkStart w:id="69" w:name="_Toc25509"/>
      <w:r>
        <w:rPr>
          <w:rFonts w:hint="eastAsia" w:ascii="宋体" w:hAnsi="宋体" w:eastAsia="宋体" w:cs="宋体"/>
          <w:b/>
          <w:bCs/>
          <w:kern w:val="0"/>
          <w:sz w:val="24"/>
          <w:szCs w:val="24"/>
        </w:rPr>
        <w:t>4.2.7 超滤/纳滤系统</w:t>
      </w:r>
      <w:bookmarkEnd w:id="67"/>
      <w:bookmarkEnd w:id="68"/>
      <w:bookmarkEnd w:id="69"/>
    </w:p>
    <w:p w14:paraId="3DD3683B">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超滤/纳滤系统须为集成式一体化设备，主要以满足整个系统的要求为主，投标方可根据自己的工艺路线确定系统的处理能力，但须考虑一定的设计余度以保证膜通量衰减后系统产量仍可满足系统要求。需采用进口产品。</w:t>
      </w:r>
    </w:p>
    <w:p w14:paraId="72527167">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系统所采用设备须具有较强的抗腐蚀能力，保证系统的使用寿命。</w:t>
      </w:r>
    </w:p>
    <w:p w14:paraId="5FD571AE">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系统所采用的膜须具有较强的抗污染能力和抗氧化能力，使用寿命超过五年。</w:t>
      </w:r>
    </w:p>
    <w:p w14:paraId="1971DEB4">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设备配置规模按150 m</w:t>
      </w:r>
      <w:r>
        <w:rPr>
          <w:rFonts w:hint="eastAsia" w:ascii="宋体" w:hAnsi="宋体" w:eastAsia="宋体" w:cs="宋体"/>
          <w:kern w:val="0"/>
          <w:sz w:val="24"/>
          <w:szCs w:val="24"/>
          <w:vertAlign w:val="superscript"/>
          <w14:ligatures w14:val="none"/>
        </w:rPr>
        <w:t>3</w:t>
      </w:r>
      <w:r>
        <w:rPr>
          <w:rFonts w:hint="eastAsia" w:ascii="宋体" w:hAnsi="宋体" w:eastAsia="宋体" w:cs="宋体"/>
          <w:kern w:val="0"/>
          <w:sz w:val="24"/>
          <w:szCs w:val="24"/>
          <w14:ligatures w14:val="none"/>
        </w:rPr>
        <w:t>/d设置。</w:t>
      </w:r>
    </w:p>
    <w:p w14:paraId="52157403">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系统的自动控制系统应充分考虑与全场中央控制系统的衔接。</w:t>
      </w:r>
    </w:p>
    <w:p w14:paraId="1C1079C6">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70" w:name="_Toc5636"/>
      <w:bookmarkStart w:id="71" w:name="_Toc212018080"/>
      <w:bookmarkStart w:id="72" w:name="_Toc229738195"/>
      <w:r>
        <w:rPr>
          <w:rFonts w:hint="eastAsia" w:ascii="宋体" w:hAnsi="宋体" w:eastAsia="宋体" w:cs="宋体"/>
          <w:b/>
          <w:bCs/>
          <w:kern w:val="0"/>
          <w:sz w:val="24"/>
          <w:szCs w:val="24"/>
        </w:rPr>
        <w:t>4.2.8 叠螺脱水系统</w:t>
      </w:r>
      <w:bookmarkEnd w:id="70"/>
      <w:bookmarkEnd w:id="71"/>
      <w:bookmarkEnd w:id="72"/>
    </w:p>
    <w:p w14:paraId="3E23BCD7">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包括污泥处理系统所有工艺、电气、仪控设备及附件的供货、安装和调试。具体包括但不限于叠螺脱水机、螺杆式污泥进料泵、干污泥螺旋输送机、PAM投配装置、所有安装支架、设备平台、所有管道与相连结的阀类、仪表、就地控制箱与配电接线等安全和有效运行所必需的附件。</w:t>
      </w:r>
    </w:p>
    <w:p w14:paraId="03F4D017">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（a）叠螺脱水机的进料为渗滤液及生产废水混合原液、生化系统产生剩余污泥和气浮设备产生的化学污泥。</w:t>
      </w:r>
    </w:p>
    <w:p w14:paraId="61DFAB57">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（b）叠螺脱水机每周工作7日，每天工作12小时。</w:t>
      </w:r>
    </w:p>
    <w:p w14:paraId="5CBD1028">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（c）工作环境：</w:t>
      </w:r>
    </w:p>
    <w:p w14:paraId="5C21A96B">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温度-10℃～40℃</w:t>
      </w:r>
    </w:p>
    <w:p w14:paraId="126D5460">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湿度 最大90%RH</w:t>
      </w:r>
    </w:p>
    <w:p w14:paraId="074AACF0">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（d）叠螺脱水机应布置在污泥脱水车间内，并设置平台便于检修维护。</w:t>
      </w:r>
    </w:p>
    <w:p w14:paraId="56D9204B">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（4）性能结构和材料</w:t>
      </w:r>
    </w:p>
    <w:p w14:paraId="62B8C46C">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性能材质不低于如下要求：</w:t>
      </w:r>
    </w:p>
    <w:p w14:paraId="655441A4">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浓缩部：SUS304；</w:t>
      </w:r>
    </w:p>
    <w:p w14:paraId="6C672BAF">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脱水部：硬态SUS304</w:t>
      </w:r>
    </w:p>
    <w:p w14:paraId="4D03C31F">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螺旋轴：材质SUS304，叶片端面倒角，表面采用特殊耐磨合金工艺加硬；</w:t>
      </w:r>
    </w:p>
    <w:p w14:paraId="2461617E">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凝集混合槽：SUS304</w:t>
      </w:r>
    </w:p>
    <w:p w14:paraId="46E5E176">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喷淋头：316L</w:t>
      </w:r>
    </w:p>
    <w:p w14:paraId="7C0738AA">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叠螺脱水系统须为无人值守全自动运行模式，从污泥进料、絮凝调理、脱水、卸泥到喷淋冲洗全流程自动完成，无需人工干预；具备 24 h 连续稳定运行能力，并可在中控室/手机端实现远程启停、参数设定、故障报警及数据记录。</w:t>
      </w:r>
    </w:p>
    <w:p w14:paraId="1D7E3123">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加药装置计量泵采用机械隔膜泵，每种药剂的计量泵1用1备配置。</w:t>
      </w:r>
    </w:p>
    <w:p w14:paraId="3C15D8EE">
      <w:pPr>
        <w:pageBreakBefore w:val="0"/>
        <w:kinsoku/>
        <w:wordWrap w:val="0"/>
        <w:overflowPunct/>
        <w:topLinePunct/>
        <w:bidi w:val="0"/>
        <w:adjustRightInd w:val="0"/>
        <w:snapToGrid w:val="0"/>
        <w:spacing w:after="0" w:line="360" w:lineRule="auto"/>
        <w:ind w:firstLine="360" w:firstLineChars="150"/>
        <w:jc w:val="both"/>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溶药罐配置搅拌器，有效容积应大于等于一天的药剂使用量。</w:t>
      </w:r>
    </w:p>
    <w:p w14:paraId="416003B1">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3" w:name="_Toc229738196"/>
      <w:r>
        <w:rPr>
          <w:rFonts w:hint="eastAsia" w:ascii="宋体" w:hAnsi="宋体" w:eastAsia="宋体" w:cs="宋体"/>
          <w:b/>
          <w:sz w:val="24"/>
          <w:szCs w:val="24"/>
        </w:rPr>
        <w:t>4.3 电气控制</w:t>
      </w:r>
      <w:bookmarkEnd w:id="73"/>
    </w:p>
    <w:p w14:paraId="0DABA38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设备系统集成商负责整个污水处理系统内的电气系统的设备设计、供货、安装、调试、测试、验收等相关工作，保证系统在各种工况下安全稳定地运行，确保污水处理系统效率达到要求。</w:t>
      </w:r>
    </w:p>
    <w:p w14:paraId="630A981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电气控制柜：</w:t>
      </w:r>
    </w:p>
    <w:p w14:paraId="0F2A3B9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柜体采用GCK或MNS型开关柜，就地操作箱材质为不锈钢304。</w:t>
      </w:r>
    </w:p>
    <w:p w14:paraId="623DC7C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控制柜体采用防腐蚀性强的不锈钢304钢板，厚度不小于2.0 mm，型钢支架，框架的结构件用螺栓紧固连接而成。所有框架零件应为免维护型。开关柜内部划分为四个区域：水平母线区，垂直母线区，电器设备区和电缆区，区域之间应采用敷铝锌钢板或阻燃性材料隔开成为相互独立的全封闭结构，应严格防止开关元件因故障引起的飞弧造成电气设备的短路。</w:t>
      </w:r>
    </w:p>
    <w:p w14:paraId="4E5F1A9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所有机械设备配套的控制箱，所采用的电气元件应为同一生产厂家的同一品牌系列，并与低压开关柜内所采用的厂家品牌系列相一致。</w:t>
      </w:r>
    </w:p>
    <w:p w14:paraId="7726240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系统低压电源进线侧及单机30 kW以上的电动机需就地单独计量。</w:t>
      </w:r>
    </w:p>
    <w:p w14:paraId="0D40779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在单机15 kW及以上的出线回路上设置数字显示型表计，带标准485接口，测量出线回路上所有元器件的状态信号、所有电机的电气信号（电流、电压、电能）通过表计的485接口上传。</w:t>
      </w:r>
    </w:p>
    <w:p w14:paraId="7D37752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就地控制柜应符合下列要求：</w:t>
      </w:r>
    </w:p>
    <w:p w14:paraId="5396289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（a）能对主机和辅助设备进行单独操作和以一条流水线为单元进行联动操作。</w:t>
      </w:r>
    </w:p>
    <w:p w14:paraId="42A0176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（b）配置向中心控制室传输各设备状态显示信号的接口。</w:t>
      </w:r>
    </w:p>
    <w:p w14:paraId="12AD94A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（c）配置接收中心控制室的开、停控制信号的接口。</w:t>
      </w:r>
    </w:p>
    <w:p w14:paraId="282C3E7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（d）配置短路、过载等保护，特殊电机还应根据电机特点提供专用保护。</w:t>
      </w:r>
    </w:p>
    <w:p w14:paraId="4464D10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（e）控制及保护回路分开，所有按钮，指示灯等必须匹配。</w:t>
      </w:r>
    </w:p>
    <w:p w14:paraId="6AB451D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（f）控制柜应有输入输出信号外接端子，信号类型及要求详见自控部分相关章节。</w:t>
      </w:r>
    </w:p>
    <w:p w14:paraId="2DB984F1">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就地按钮箱应满足下列要求：</w:t>
      </w:r>
    </w:p>
    <w:p w14:paraId="412DCC3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（a）箱面设开（正反转）/停按钮，自动/手动转换开关及紧急停车按钮 ,手动控制优先；有变频装置的电机按钮箱需配置就地无级调速面板。</w:t>
      </w:r>
    </w:p>
    <w:p w14:paraId="150062C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（b）箱面应有开/停，过载及电机故障信号灯</w:t>
      </w:r>
    </w:p>
    <w:p w14:paraId="4ADB1FE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（c）按钮及信号灯颜色统一规定为：红—停，绿—开，黄—故障，白—电源指示。</w:t>
      </w:r>
    </w:p>
    <w:p w14:paraId="207D164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变频器：</w:t>
      </w:r>
    </w:p>
    <w:p w14:paraId="79CBC2C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根据工艺需求须配置的变频器必须能与任何符合IEC标准设计的电机一起使用，而不需使用特殊的变频专用电机。变频器应针对电机进行一对一进行配置。</w:t>
      </w:r>
    </w:p>
    <w:p w14:paraId="4CCBF0D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软启动装置：</w:t>
      </w:r>
    </w:p>
    <w:p w14:paraId="46E404A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系统内30 kW及以上的电机设备均需配置软启装置，50 kW以上电机必须设置外置旁路。</w:t>
      </w:r>
    </w:p>
    <w:p w14:paraId="3494827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按钮箱、检修箱：</w:t>
      </w:r>
    </w:p>
    <w:p w14:paraId="405E07B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当电控柜（箱）不靠设备安装时，设备旁应配置按钮箱。按钮箱（检修箱）的户内防护等级IP4X，户外为IP65，外壳采用304不锈钢材料，防腐等级应达到防腐蚀类型WF2，抗机械冲击强度等级IK08，耐阻燃灼热丝试验750ºC，室外使用还应抗紫外线。箱体外形、色彩须征得雇主许可。箱体及遮阳雨蓬的外形、色彩要求统一协调，并须征得</w:t>
      </w:r>
      <w:r>
        <w:rPr>
          <w:rFonts w:hint="eastAsia" w:ascii="宋体" w:hAnsi="宋体" w:cs="宋体"/>
          <w:bCs/>
          <w:kern w:val="0"/>
          <w:sz w:val="24"/>
          <w:szCs w:val="24"/>
          <w:lang w:eastAsia="zh-CN"/>
          <w14:ligatures w14:val="none"/>
        </w:rPr>
        <w:t>采购人</w:t>
      </w:r>
      <w:r>
        <w:rPr>
          <w:rFonts w:hint="eastAsia" w:ascii="宋体" w:hAnsi="宋体" w:eastAsia="宋体" w:cs="宋体"/>
          <w:bCs/>
          <w:kern w:val="0"/>
          <w:sz w:val="24"/>
          <w:szCs w:val="24"/>
          <w14:ligatures w14:val="none"/>
        </w:rPr>
        <w:t>许可。</w:t>
      </w:r>
    </w:p>
    <w:p w14:paraId="6F9FAB2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接线盒：</w:t>
      </w:r>
    </w:p>
    <w:p w14:paraId="5B770A9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水下电机等特殊设备还应配套接线盒，用于供电电缆与设备本体电缆的连接。接线盒采用不锈钢304材质，防护等级IP65。并配套不锈钢安装支架。</w:t>
      </w:r>
    </w:p>
    <w:p w14:paraId="00DDCE2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电缆及桥架：</w:t>
      </w:r>
    </w:p>
    <w:p w14:paraId="583B31D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（1）动力电缆采用YJV型低压电缆,控制电缆采用KVVP型控制电缆，开关量信号电缆采用KVVP型控制电缆,模拟量电缆采用DJYVP型计算机电缆。</w:t>
      </w:r>
    </w:p>
    <w:p w14:paraId="71F5013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（2）电缆桥架采用轻质、加强型结构的节能耐腐蚀钢制电缆桥架，执行标准GB/T23639-2017《节能耐腐蚀钢制电缆桥架》；电缆桥架的厚度应满足国标要求。</w:t>
      </w:r>
    </w:p>
    <w:p w14:paraId="5F3C920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3）电缆桥架型式为托盘式、带盖板，电缆桥架及其附件所用材料应采用304不锈钢材质，电缆桥架的净厚度不小于2mm。桥架及其附件内外表面应均匀，桥架外部须平整、光滑、无划痕，内部不应有锐边、毛刺或损伤电缆绝缘的凸出部分。</w:t>
      </w:r>
    </w:p>
    <w:p w14:paraId="008180F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（4）桥架安装所用吊支架每2-6米一套，具体要按照电缆载荷测算。</w:t>
      </w:r>
    </w:p>
    <w:p w14:paraId="033E2CA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桥架接地应采用编制铜线连接，沿桥架（金属线槽）内敷设一根-25*4热镀锌扁钢作为接地线，两端与接地网就近连接。</w:t>
      </w:r>
    </w:p>
    <w:p w14:paraId="0344964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穿越变形缝应留有20~30mm补偿余量，其连接采用伸缩连接板。抗震缝的两端应设置抗震支架并与结构可靠连接。</w:t>
      </w:r>
    </w:p>
    <w:p w14:paraId="794523C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若施工时对桥架有钻切，折弯等现场处理，需采用桥架专用涂料进行防腐喷涂。</w:t>
      </w:r>
    </w:p>
    <w:p w14:paraId="6C7B350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动力电缆与仪控电缆应分开敷设。</w:t>
      </w:r>
    </w:p>
    <w:p w14:paraId="2CDD2871">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4" w:name="_Toc229738197"/>
      <w:r>
        <w:rPr>
          <w:rFonts w:hint="eastAsia" w:ascii="宋体" w:hAnsi="宋体" w:eastAsia="宋体" w:cs="宋体"/>
          <w:b/>
          <w:sz w:val="24"/>
          <w:szCs w:val="24"/>
        </w:rPr>
        <w:t>4.4 自控设备</w:t>
      </w:r>
      <w:bookmarkEnd w:id="74"/>
    </w:p>
    <w:p w14:paraId="6FF8ABFA">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提供完整、可靠、符合有关工业标准的污水处理系统内部的控制设施以及招标范围内的满足整个污水处理系统的检测仪表（如：温度、压力、流量、液位等）及安装附件，所有仪表的安装位置应满足仪表安装要求，并便于现场就地操作及巡检。</w:t>
      </w:r>
    </w:p>
    <w:p w14:paraId="31EA892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如现场发现供货数量和质量不能满足施工或工艺要求，</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负责及时免费补供而无商务问题。</w:t>
      </w:r>
    </w:p>
    <w:p w14:paraId="0D9BCC2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系统设计满足污水处理系统的自动调节要求，保证系统在各种工况下安全稳定地运行。</w:t>
      </w:r>
    </w:p>
    <w:p w14:paraId="2CF4804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污水处理系统设置在转运车间及管理用房内，通过工业以太网（TCP/IP方式）与全厂整体自控系统通讯，</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负责污水处理系统的光端交换机。</w:t>
      </w:r>
    </w:p>
    <w:p w14:paraId="3AE960B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负责整个系统的单机和联机调试，并应向上位中控系统开放通讯协议，上位中控系统能远程监视及控制污水处理系统内的所有设备，有义务协助配合上级管理控制系统厂家完成全厂整体自控系统的联机的调试工作（提供通讯点表、GSD文件、画面拷屏等资料）。如上级管理控制系统厂家对</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所提供资料有疑问，</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有义务予以解答。</w:t>
      </w:r>
    </w:p>
    <w:p w14:paraId="2630D05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提供的仪表和控制系统的设计、设备是选用已有可靠应用业绩和先进技术水平，具有高的可靠性、可操作性、可维护性和可扩展性。</w:t>
      </w:r>
    </w:p>
    <w:p w14:paraId="7533B72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（1）环境条件</w:t>
      </w:r>
    </w:p>
    <w:p w14:paraId="5C06E74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应保证在规格书中指定的环境条件下，设备适宜于工作，同时具有可以达到的最高制造标准、可靠性、重复性及精确性。</w:t>
      </w:r>
    </w:p>
    <w:p w14:paraId="0FE375F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（2）设备、机箱的设计</w:t>
      </w:r>
    </w:p>
    <w:p w14:paraId="24318981">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设备外壳采用304不锈钢（厚度不小于1.5 mm，亚光处理）外壳，防护等级应遵照IEC529如下：</w:t>
      </w:r>
    </w:p>
    <w:p w14:paraId="1B74EE9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（a）在室内的设备用IP4X；</w:t>
      </w:r>
    </w:p>
    <w:p w14:paraId="6FF29AD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（b）在户外的设备用IP65；</w:t>
      </w:r>
    </w:p>
    <w:p w14:paraId="492BA8A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（c）防爆区域内的仪表设备选用隔爆型；</w:t>
      </w:r>
    </w:p>
    <w:p w14:paraId="2AF1506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（d）安装在阀门、在水中或在地下的传感器或其它设备用IP67。所有设备的机箱应有可锁的门，任何通风口或百叶窗都应有有效的滤尘装置，任何冷却风扇都有风扇故障报警触头，连接到相应的报警系统。</w:t>
      </w:r>
    </w:p>
    <w:p w14:paraId="06A65B6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（e）设置在具有腐蚀性气体及潮湿环境场所的设备还应采用防腐防潮型。</w:t>
      </w:r>
    </w:p>
    <w:p w14:paraId="370E66E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（f）仪表引压管路应有防冻，防烫措施。</w:t>
      </w:r>
    </w:p>
    <w:p w14:paraId="3585214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（3）电源</w:t>
      </w:r>
    </w:p>
    <w:p w14:paraId="4F5AA36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本系统电源从</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提供的配电柜中输出，应有抑制出现在电力网络中的暂态浪涌电压吸收和暂态浪涌电压能量的过电压保护装置，然后进控制柜电源端。</w:t>
      </w:r>
    </w:p>
    <w:p w14:paraId="633B242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（4）信号类型</w:t>
      </w:r>
    </w:p>
    <w:p w14:paraId="6EE7749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所有控制设备应能在下列信号工作：</w:t>
      </w:r>
    </w:p>
    <w:p w14:paraId="40709F1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（a）控制及监视的模拟信号：4～20 mADC+HART；</w:t>
      </w:r>
    </w:p>
    <w:p w14:paraId="3B9343B1">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（b）数字量输入信号：无源触点，触头容量24VDC，1A</w:t>
      </w:r>
    </w:p>
    <w:p w14:paraId="1B98A21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（c）数字量输出信号：无源触点，触头容量220VAC，2A并有继电器隔离。</w:t>
      </w:r>
    </w:p>
    <w:p w14:paraId="498EF61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（d）所有进PLC的信号均为无源触点，所有进被控设备的信号均加继电器隔离。</w:t>
      </w:r>
    </w:p>
    <w:p w14:paraId="71223A8A">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5" w:name="_Toc229738198"/>
      <w:r>
        <w:rPr>
          <w:rFonts w:hint="eastAsia" w:ascii="宋体" w:hAnsi="宋体" w:eastAsia="宋体" w:cs="宋体"/>
          <w:b/>
          <w:sz w:val="24"/>
          <w:szCs w:val="24"/>
        </w:rPr>
        <w:t>4.5 备品备件和专用工具</w:t>
      </w:r>
      <w:bookmarkEnd w:id="75"/>
    </w:p>
    <w:p w14:paraId="059D613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bCs/>
          <w:kern w:val="0"/>
          <w:sz w:val="24"/>
          <w:szCs w:val="24"/>
          <w14:ligatures w14:val="none"/>
        </w:rPr>
        <w:t>1）随机和试运行用备品备件：运输、存储、安装试运行期间所需的备件应包括在</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的报价范围内，</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在报价中应列出随机和试运行用备品备件清单。</w:t>
      </w:r>
    </w:p>
    <w:p w14:paraId="01A6F53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Cs/>
          <w:kern w:val="0"/>
          <w:sz w:val="24"/>
          <w:szCs w:val="24"/>
          <w14:ligatures w14:val="none"/>
        </w:rPr>
      </w:pPr>
      <w:r>
        <w:rPr>
          <w:rFonts w:hint="eastAsia" w:ascii="宋体" w:hAnsi="宋体" w:eastAsia="宋体" w:cs="宋体"/>
          <w:sz w:val="24"/>
          <w:szCs w:val="24"/>
          <w14:ligatures w14:val="none"/>
        </w:rPr>
        <w:t>★</w:t>
      </w:r>
      <w:r>
        <w:rPr>
          <w:rFonts w:hint="eastAsia" w:ascii="宋体" w:hAnsi="宋体" w:eastAsia="宋体" w:cs="宋体"/>
          <w:bCs/>
          <w:kern w:val="0"/>
          <w:sz w:val="24"/>
          <w:szCs w:val="24"/>
          <w14:ligatures w14:val="none"/>
        </w:rPr>
        <w:t>2）三年备品备件：三年（36个月）操作期内（包括计划检修不含试运行）所需的备品备件</w:t>
      </w:r>
      <w:r>
        <w:rPr>
          <w:rFonts w:hint="eastAsia" w:ascii="宋体" w:hAnsi="宋体" w:cs="宋体"/>
          <w:bCs/>
          <w:kern w:val="0"/>
          <w:sz w:val="24"/>
          <w:szCs w:val="24"/>
          <w:lang w:val="en-US" w:eastAsia="zh-CN"/>
          <w14:ligatures w14:val="none"/>
        </w:rPr>
        <w:t>均包含在投标</w:t>
      </w:r>
      <w:r>
        <w:rPr>
          <w:rFonts w:hint="eastAsia" w:ascii="宋体" w:hAnsi="宋体" w:eastAsia="宋体" w:cs="宋体"/>
          <w:bCs/>
          <w:kern w:val="0"/>
          <w:sz w:val="24"/>
          <w:szCs w:val="24"/>
          <w14:ligatures w14:val="none"/>
        </w:rPr>
        <w:t>报价范围内，</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在报价中应列出三年备品备件清单。</w:t>
      </w:r>
    </w:p>
    <w:p w14:paraId="1F941E6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b/>
          <w:bCs/>
          <w:kern w:val="0"/>
          <w:sz w:val="24"/>
          <w:szCs w:val="24"/>
        </w:rPr>
      </w:pPr>
      <w:r>
        <w:rPr>
          <w:rFonts w:hint="eastAsia" w:ascii="宋体" w:hAnsi="宋体" w:eastAsia="宋体" w:cs="宋体"/>
          <w:bCs/>
          <w:kern w:val="0"/>
          <w:sz w:val="24"/>
          <w:szCs w:val="24"/>
          <w14:ligatures w14:val="none"/>
        </w:rPr>
        <w:t>3）专用工具：现场安装、拆卸、维修或操作等所必须的特殊工具应包括在</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的供货范围内，</w:t>
      </w:r>
      <w:r>
        <w:rPr>
          <w:rFonts w:hint="eastAsia" w:ascii="宋体" w:hAnsi="宋体" w:eastAsia="宋体" w:cs="宋体"/>
          <w:bCs/>
          <w:kern w:val="0"/>
          <w:sz w:val="24"/>
          <w:szCs w:val="24"/>
          <w:lang w:eastAsia="zh-CN"/>
          <w14:ligatures w14:val="none"/>
        </w:rPr>
        <w:t>投标人</w:t>
      </w:r>
      <w:r>
        <w:rPr>
          <w:rFonts w:hint="eastAsia" w:ascii="宋体" w:hAnsi="宋体" w:eastAsia="宋体" w:cs="宋体"/>
          <w:bCs/>
          <w:kern w:val="0"/>
          <w:sz w:val="24"/>
          <w:szCs w:val="24"/>
          <w14:ligatures w14:val="none"/>
        </w:rPr>
        <w:t>在报价中应列出专用工具清单。</w:t>
      </w:r>
    </w:p>
    <w:p w14:paraId="396F56DC">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6" w:name="_Toc229738199"/>
      <w:r>
        <w:rPr>
          <w:rFonts w:hint="eastAsia" w:ascii="宋体" w:hAnsi="宋体" w:eastAsia="宋体" w:cs="宋体"/>
          <w:b/>
          <w:sz w:val="24"/>
          <w:szCs w:val="24"/>
        </w:rPr>
        <w:t>5．资料提交</w:t>
      </w:r>
      <w:bookmarkEnd w:id="50"/>
      <w:bookmarkEnd w:id="76"/>
    </w:p>
    <w:p w14:paraId="7F63F8E7">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7" w:name="_Toc29032"/>
      <w:bookmarkStart w:id="78" w:name="_Toc229738200"/>
      <w:r>
        <w:rPr>
          <w:rFonts w:hint="eastAsia" w:ascii="宋体" w:hAnsi="宋体" w:eastAsia="宋体" w:cs="宋体"/>
          <w:b/>
          <w:sz w:val="24"/>
          <w:szCs w:val="24"/>
        </w:rPr>
        <w:t>5.1 一般要求</w:t>
      </w:r>
      <w:bookmarkEnd w:id="77"/>
      <w:bookmarkEnd w:id="78"/>
    </w:p>
    <w:p w14:paraId="3950C4F5">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（1）提交的图纸文件应使用国家法定单位制，并清楚，完整，文件使用语言为中文。技术资料的组织结构清晰，逻辑性强。技术资料内容要正确、准确一致，内容清晰完整，满足工程需要。</w:t>
      </w:r>
    </w:p>
    <w:p w14:paraId="6AA0BB6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（2）图纸及相关文件</w:t>
      </w:r>
      <w:r>
        <w:rPr>
          <w:rFonts w:hint="eastAsia" w:ascii="宋体" w:hAnsi="宋体" w:eastAsia="宋体" w:cs="宋体"/>
          <w:sz w:val="24"/>
          <w:szCs w:val="24"/>
          <w:lang w:val="en-US" w:eastAsia="zh-CN"/>
          <w14:ligatures w14:val="none"/>
        </w:rPr>
        <w:t>经采购人认可方可</w:t>
      </w:r>
      <w:r>
        <w:rPr>
          <w:rFonts w:hint="eastAsia" w:ascii="宋体" w:hAnsi="宋体" w:eastAsia="宋体" w:cs="宋体"/>
          <w:sz w:val="24"/>
          <w:szCs w:val="24"/>
          <w14:ligatures w14:val="none"/>
        </w:rPr>
        <w:t>允许应用在工程实施过程中，如出现任何修改须得到采购</w:t>
      </w:r>
      <w:r>
        <w:rPr>
          <w:rFonts w:hint="eastAsia" w:ascii="宋体" w:hAnsi="宋体" w:eastAsia="宋体" w:cs="宋体"/>
          <w:sz w:val="24"/>
          <w:szCs w:val="24"/>
          <w:lang w:val="en-US" w:eastAsia="zh-CN"/>
          <w14:ligatures w14:val="none"/>
        </w:rPr>
        <w:t>人</w:t>
      </w:r>
      <w:r>
        <w:rPr>
          <w:rFonts w:hint="eastAsia" w:ascii="宋体" w:hAnsi="宋体" w:eastAsia="宋体" w:cs="宋体"/>
          <w:sz w:val="24"/>
          <w:szCs w:val="24"/>
          <w14:ligatures w14:val="none"/>
        </w:rPr>
        <w:t>批准。</w:t>
      </w:r>
    </w:p>
    <w:p w14:paraId="3342347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（3）投标人应对合同中提供的设备的主要部件建立质量保证计划。</w:t>
      </w:r>
    </w:p>
    <w:p w14:paraId="0DE2743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（4）在相关的图纸和设计资料被最终认可之前，投标人不得进行设备的生产、装运。</w:t>
      </w:r>
    </w:p>
    <w:p w14:paraId="43925A45">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79" w:name="_Toc15098"/>
      <w:bookmarkStart w:id="80" w:name="_Toc229738201"/>
      <w:r>
        <w:rPr>
          <w:rFonts w:hint="eastAsia" w:ascii="宋体" w:hAnsi="宋体" w:eastAsia="宋体" w:cs="宋体"/>
          <w:b/>
          <w:sz w:val="24"/>
          <w:szCs w:val="24"/>
        </w:rPr>
        <w:t>5.2 中标后需提供的文件</w:t>
      </w:r>
      <w:bookmarkEnd w:id="79"/>
      <w:bookmarkEnd w:id="80"/>
    </w:p>
    <w:p w14:paraId="609DEA8C">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投标人在签订合同后提供满足设计院施工图设计要求的最终版文件（纸质一式2份，同时提供电子U盘2份可读写的AUTOCAD 2007、WORD 2003），至少包括以下内容：</w:t>
      </w:r>
    </w:p>
    <w:p w14:paraId="253BE2C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（1）渗滤液设计、总图、管道布置图；</w:t>
      </w:r>
    </w:p>
    <w:p w14:paraId="05772DE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（2）所有系统工艺流程图和PID图；</w:t>
      </w:r>
    </w:p>
    <w:p w14:paraId="4827DED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（3）所有设备外形尺寸图；</w:t>
      </w:r>
    </w:p>
    <w:p w14:paraId="3C9BB5B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（4）电气原理图及安装接线图；</w:t>
      </w:r>
    </w:p>
    <w:p w14:paraId="3C980E3E">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（5）所有系统基础图；</w:t>
      </w:r>
    </w:p>
    <w:p w14:paraId="306740A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（6）所有管路布置图；</w:t>
      </w:r>
    </w:p>
    <w:p w14:paraId="0428489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（7）电气、仪控及PID图；</w:t>
      </w:r>
    </w:p>
    <w:p w14:paraId="1875C7B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（8）设备及材料清单等。</w:t>
      </w:r>
    </w:p>
    <w:p w14:paraId="797B5872">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81" w:name="_Toc17824"/>
      <w:bookmarkStart w:id="82" w:name="_Toc229738202"/>
      <w:r>
        <w:rPr>
          <w:rFonts w:hint="eastAsia" w:ascii="宋体" w:hAnsi="宋体" w:eastAsia="宋体" w:cs="宋体"/>
          <w:b/>
          <w:sz w:val="24"/>
          <w:szCs w:val="24"/>
        </w:rPr>
        <w:t>5.3 其他技术资料</w:t>
      </w:r>
      <w:bookmarkEnd w:id="81"/>
      <w:bookmarkEnd w:id="82"/>
    </w:p>
    <w:p w14:paraId="0BFD0A9F">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产品出厂时，投标人应向采购方至少提供下列文件和图纸（纸质一式2份，同时提供电子U盘2份，可读写的AUTOCAD 2007、WORD2003），其中图纸和设计、安装、运行、维护、检修说明书包括：</w:t>
      </w:r>
    </w:p>
    <w:p w14:paraId="058D3D5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（1）检验记录，试验报告及质量合格证等出厂报告。</w:t>
      </w:r>
    </w:p>
    <w:p w14:paraId="1676382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（2）设备和备品管理资料文件，包括设备和备品发运和装箱的详细资料（各种清单），设备和备品存放保管技术要求，运输超重和超大件的明细表和外形图。</w:t>
      </w:r>
    </w:p>
    <w:p w14:paraId="5055D17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（3）详细的产品质量文件。</w:t>
      </w:r>
    </w:p>
    <w:p w14:paraId="0751A82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（4）安装、运行、维护、检修所需的详尽图纸和技术文件等。</w:t>
      </w:r>
    </w:p>
    <w:p w14:paraId="62ABFB63">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（5）设计、安装、调试、运行、维护、检修说明书。</w:t>
      </w:r>
    </w:p>
    <w:p w14:paraId="7AD7F966">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（6）按有关标准，规程规定应提交的技术文件、资料。</w:t>
      </w:r>
    </w:p>
    <w:p w14:paraId="4A87C89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（7）培训手册。</w:t>
      </w:r>
    </w:p>
    <w:p w14:paraId="562769E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（8）其它投标人认为有必要提交的资料。</w:t>
      </w:r>
    </w:p>
    <w:p w14:paraId="79946939">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83" w:name="_Toc23332604"/>
      <w:bookmarkStart w:id="84" w:name="_Toc26434"/>
      <w:bookmarkStart w:id="85" w:name="_Toc229738203"/>
      <w:r>
        <w:rPr>
          <w:rFonts w:hint="eastAsia" w:ascii="宋体" w:hAnsi="宋体" w:eastAsia="宋体" w:cs="宋体"/>
          <w:b/>
          <w:sz w:val="24"/>
          <w:szCs w:val="24"/>
        </w:rPr>
        <w:t>6．工艺系统验收要求</w:t>
      </w:r>
      <w:bookmarkEnd w:id="83"/>
      <w:bookmarkEnd w:id="84"/>
      <w:bookmarkEnd w:id="85"/>
    </w:p>
    <w:p w14:paraId="4D959EC0">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设备验收可分不同阶段。一般分以下几个阶段进行：</w:t>
      </w:r>
    </w:p>
    <w:p w14:paraId="7FF80D14">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（1）生产过程阶段性验收（根据合同进度要求）</w:t>
      </w:r>
    </w:p>
    <w:p w14:paraId="6A1AB698">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（2）到货拆封验收</w:t>
      </w:r>
    </w:p>
    <w:p w14:paraId="1DDBC8A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（3）设备安装验收</w:t>
      </w:r>
    </w:p>
    <w:p w14:paraId="13AD6392">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（4）单机调试验收</w:t>
      </w:r>
    </w:p>
    <w:p w14:paraId="7DD194A7">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（5）联合调试验收</w:t>
      </w:r>
    </w:p>
    <w:p w14:paraId="16FDD359">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在交货前，投标人应对标的物的质量、规格、性能、数量等进行详细而全面的检验，并出具一份合格检验证明，合格检验证明作为</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验收的依据，但不能作为有关标的物质量、规格、数量或性能的最终检验结果。投标人提供的所交货物的质量证书应附有制造商检验细节和结果的说明。</w:t>
      </w:r>
    </w:p>
    <w:p w14:paraId="22A1AF3D">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货物运抵现场后，</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将根据投标人提供的详细清单对货物的质量、规格、数量进行开箱检验，并根据检验结果出具合格或不合格的检验证书。验收期限一般为自标的物交付之日起七天内，根据设备的特殊情况，需延长的，双方在合同的特殊条款中约定。如发现货物的规格或数量或两者都与合同不符，</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有权在货物运抵现场后任何时间内，根据</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按检验标准自已检验的结果或当地有关政府检测机构出具的检验证书向投标人提出索赔。</w:t>
      </w:r>
    </w:p>
    <w:p w14:paraId="58CEF79B">
      <w:pPr>
        <w:pageBreakBefore w:val="0"/>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14:ligatures w14:val="none"/>
        </w:rPr>
      </w:pPr>
      <w:r>
        <w:rPr>
          <w:rFonts w:hint="eastAsia" w:ascii="宋体" w:hAnsi="宋体" w:eastAsia="宋体" w:cs="宋体"/>
          <w:sz w:val="24"/>
          <w:szCs w:val="24"/>
          <w14:ligatures w14:val="none"/>
        </w:rPr>
        <w:t>如果在合同规定的质量保证期和缺陷保证期内，发现货物的质量或规格与合同规定不符，或证明货物有缺陷，包括潜在的缺陷或使用不合适的原材料等，</w:t>
      </w:r>
      <w:r>
        <w:rPr>
          <w:rFonts w:hint="eastAsia" w:ascii="宋体" w:hAnsi="宋体" w:cs="宋体"/>
          <w:sz w:val="24"/>
          <w:szCs w:val="24"/>
          <w:lang w:eastAsia="zh-CN"/>
          <w14:ligatures w14:val="none"/>
        </w:rPr>
        <w:t>采购人</w:t>
      </w:r>
      <w:r>
        <w:rPr>
          <w:rFonts w:hint="eastAsia" w:ascii="宋体" w:hAnsi="宋体" w:eastAsia="宋体" w:cs="宋体"/>
          <w:sz w:val="24"/>
          <w:szCs w:val="24"/>
          <w14:ligatures w14:val="none"/>
        </w:rPr>
        <w:t>应申请当地相关政府检测部门进行检验，并有权根据检测证书及质量保证条款立即向投标人提出索赔。</w:t>
      </w:r>
    </w:p>
    <w:p w14:paraId="6C40C8D8">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86" w:name="_Toc4663"/>
      <w:bookmarkStart w:id="87" w:name="_Toc229738204"/>
      <w:bookmarkStart w:id="88" w:name="_Toc63846261"/>
      <w:r>
        <w:rPr>
          <w:rFonts w:hint="eastAsia" w:ascii="宋体" w:hAnsi="宋体" w:eastAsia="宋体" w:cs="宋体"/>
          <w:b/>
          <w:sz w:val="24"/>
          <w:szCs w:val="24"/>
        </w:rPr>
        <w:t>6.1 单机调试</w:t>
      </w:r>
      <w:bookmarkEnd w:id="86"/>
      <w:bookmarkEnd w:id="87"/>
      <w:bookmarkEnd w:id="88"/>
    </w:p>
    <w:p w14:paraId="0C66022E">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设备安装完备并检验合格后，投标人应当对单个系统分别进行调试。</w:t>
      </w:r>
    </w:p>
    <w:p w14:paraId="406E4DFE">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各系统的检验标准根据标书要求和供应商提供的验收单进行验收。单机调试验收属于阶段性验收，是设备最终验收不可缺少的一部分。</w:t>
      </w:r>
    </w:p>
    <w:p w14:paraId="62B2D45A">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89" w:name="_Toc229738205"/>
      <w:bookmarkStart w:id="90" w:name="_Toc63846262"/>
      <w:bookmarkStart w:id="91" w:name="_Toc12746"/>
      <w:r>
        <w:rPr>
          <w:rFonts w:hint="eastAsia" w:ascii="宋体" w:hAnsi="宋体" w:eastAsia="宋体" w:cs="宋体"/>
          <w:b/>
          <w:sz w:val="24"/>
          <w:szCs w:val="24"/>
        </w:rPr>
        <w:t>6.2 联合调试</w:t>
      </w:r>
      <w:bookmarkEnd w:id="89"/>
      <w:bookmarkEnd w:id="90"/>
      <w:bookmarkEnd w:id="91"/>
    </w:p>
    <w:p w14:paraId="01895AB0">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在单机调试合格的基础上可以进行联合调试。</w:t>
      </w:r>
    </w:p>
    <w:p w14:paraId="0D68CB30">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联动试车即对污水整体设备、安装系统等进行测试。以使业主、监理等对整个系统在设计负荷时运行满意，达到技术规定的要求，为调试作好准备。</w:t>
      </w:r>
    </w:p>
    <w:p w14:paraId="08479B3A">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在联动试车阶段，到达处理量可能比设计低。为了测试设计负荷时设备的性能，投标人应考虑暂时关闭或部分关闭一个或更多的流程以便至少一条流程能达到设计负荷。</w:t>
      </w:r>
    </w:p>
    <w:p w14:paraId="217F426F">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92" w:name="_Toc229738206"/>
      <w:bookmarkStart w:id="93" w:name="_Toc22124"/>
      <w:r>
        <w:rPr>
          <w:rFonts w:hint="eastAsia" w:ascii="宋体" w:hAnsi="宋体" w:eastAsia="宋体" w:cs="宋体"/>
          <w:b/>
          <w:sz w:val="24"/>
          <w:szCs w:val="24"/>
        </w:rPr>
        <w:t>6.3 生产性能考核</w:t>
      </w:r>
      <w:bookmarkEnd w:id="92"/>
      <w:bookmarkEnd w:id="93"/>
    </w:p>
    <w:p w14:paraId="2A2465E8">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工况稳定、生产连续稳定运行，达到设计生产能力的负荷达70%以上，由投标人向</w:t>
      </w:r>
      <w:r>
        <w:rPr>
          <w:rFonts w:hint="eastAsia" w:cs="宋体"/>
          <w:sz w:val="24"/>
          <w:szCs w:val="24"/>
          <w:lang w:eastAsia="zh-CN"/>
        </w:rPr>
        <w:t>采购人</w:t>
      </w:r>
      <w:r>
        <w:rPr>
          <w:rFonts w:hint="eastAsia" w:ascii="宋体" w:hAnsi="宋体" w:eastAsia="宋体" w:cs="宋体"/>
          <w:sz w:val="24"/>
          <w:szCs w:val="24"/>
        </w:rPr>
        <w:t>提出性能验收，经</w:t>
      </w:r>
      <w:r>
        <w:rPr>
          <w:rFonts w:hint="eastAsia" w:cs="宋体"/>
          <w:sz w:val="24"/>
          <w:szCs w:val="24"/>
          <w:lang w:eastAsia="zh-CN"/>
        </w:rPr>
        <w:t>采购人</w:t>
      </w:r>
      <w:r>
        <w:rPr>
          <w:rFonts w:hint="eastAsia" w:ascii="宋体" w:hAnsi="宋体" w:eastAsia="宋体" w:cs="宋体"/>
          <w:sz w:val="24"/>
          <w:szCs w:val="24"/>
        </w:rPr>
        <w:t>评定通过后，视为生产性能考核通过。</w:t>
      </w:r>
    </w:p>
    <w:p w14:paraId="59589393">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调试期所发生的水费、药剂费、油费等费用由投标人负责，调试人员由投标人负责。</w:t>
      </w:r>
    </w:p>
    <w:p w14:paraId="36225E6C">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94" w:name="_Toc28771"/>
      <w:bookmarkStart w:id="95" w:name="_Toc229738207"/>
      <w:r>
        <w:rPr>
          <w:rFonts w:hint="eastAsia" w:ascii="宋体" w:hAnsi="宋体" w:eastAsia="宋体" w:cs="宋体"/>
          <w:b/>
          <w:sz w:val="24"/>
          <w:szCs w:val="24"/>
        </w:rPr>
        <w:t>6.4 试生产（试运行）</w:t>
      </w:r>
      <w:bookmarkEnd w:id="94"/>
      <w:bookmarkEnd w:id="95"/>
    </w:p>
    <w:p w14:paraId="5F8D1DEA">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本工程分系统组织试生产并移交。各系统性能考核通过后即进入该系统试生产，试生产3个月。非投标人因素除外，月平均生产负荷达到90%以上视为稳定运营，连续稳定运行3个月，由投标人向</w:t>
      </w:r>
      <w:r>
        <w:rPr>
          <w:rFonts w:hint="eastAsia" w:cs="宋体"/>
          <w:sz w:val="24"/>
          <w:szCs w:val="24"/>
          <w:lang w:eastAsia="zh-CN"/>
        </w:rPr>
        <w:t>采购人</w:t>
      </w:r>
      <w:r>
        <w:rPr>
          <w:rFonts w:hint="eastAsia" w:ascii="宋体" w:hAnsi="宋体" w:eastAsia="宋体" w:cs="宋体"/>
          <w:sz w:val="24"/>
          <w:szCs w:val="24"/>
        </w:rPr>
        <w:t>提出系统移交申请，经</w:t>
      </w:r>
      <w:r>
        <w:rPr>
          <w:rFonts w:hint="eastAsia" w:cs="宋体"/>
          <w:sz w:val="24"/>
          <w:szCs w:val="24"/>
          <w:lang w:eastAsia="zh-CN"/>
        </w:rPr>
        <w:t>采购人</w:t>
      </w:r>
      <w:r>
        <w:rPr>
          <w:rFonts w:hint="eastAsia" w:ascii="宋体" w:hAnsi="宋体" w:eastAsia="宋体" w:cs="宋体"/>
          <w:sz w:val="24"/>
          <w:szCs w:val="24"/>
        </w:rPr>
        <w:t>、监理、运营方确认后，办理系统移交手续。</w:t>
      </w:r>
    </w:p>
    <w:p w14:paraId="43C17B31">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如试生产期性能满足生产性能考核指标，但由于</w:t>
      </w:r>
      <w:r>
        <w:rPr>
          <w:rFonts w:hint="eastAsia" w:cs="宋体"/>
          <w:sz w:val="24"/>
          <w:szCs w:val="24"/>
          <w:lang w:eastAsia="zh-CN"/>
        </w:rPr>
        <w:t>采购人</w:t>
      </w:r>
      <w:r>
        <w:rPr>
          <w:rFonts w:hint="eastAsia" w:ascii="宋体" w:hAnsi="宋体" w:eastAsia="宋体" w:cs="宋体"/>
          <w:sz w:val="24"/>
          <w:szCs w:val="24"/>
        </w:rPr>
        <w:t>未提供足够处理物料导致生产负荷达不到验收要求，视作试运行验收通过。</w:t>
      </w:r>
    </w:p>
    <w:p w14:paraId="709FD0D4">
      <w:pPr>
        <w:pStyle w:val="17"/>
        <w:pageBreakBefore w:val="0"/>
        <w:kinsoku/>
        <w:wordWrap w:val="0"/>
        <w:overflowPunct/>
        <w:topLinePunct/>
        <w:bidi w:val="0"/>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rPr>
        <w:t>试生产期间所发生的水费、电费、药剂费、油费等燃料、动力费用由投标人负</w:t>
      </w:r>
      <w:r>
        <w:rPr>
          <w:rFonts w:hint="eastAsia" w:ascii="宋体" w:hAnsi="宋体" w:eastAsia="宋体" w:cs="宋体"/>
          <w:sz w:val="24"/>
          <w:szCs w:val="24"/>
          <w:highlight w:val="none"/>
        </w:rPr>
        <w:t>责，运行人员均由</w:t>
      </w:r>
      <w:r>
        <w:rPr>
          <w:rFonts w:hint="eastAsia" w:cs="宋体"/>
          <w:sz w:val="24"/>
          <w:szCs w:val="24"/>
          <w:highlight w:val="none"/>
          <w:lang w:eastAsia="zh-CN"/>
        </w:rPr>
        <w:t>采购人</w:t>
      </w:r>
      <w:r>
        <w:rPr>
          <w:rFonts w:hint="eastAsia" w:ascii="宋体" w:hAnsi="宋体" w:eastAsia="宋体" w:cs="宋体"/>
          <w:sz w:val="24"/>
          <w:szCs w:val="24"/>
          <w:highlight w:val="none"/>
        </w:rPr>
        <w:t>负责。投标人派管理人员指导试运行至试生产结束。</w:t>
      </w:r>
    </w:p>
    <w:p w14:paraId="5AAE60AA">
      <w:pPr>
        <w:pageBreakBefore w:val="0"/>
        <w:kinsoku/>
        <w:wordWrap w:val="0"/>
        <w:overflowPunct/>
        <w:topLinePunct/>
        <w:bidi w:val="0"/>
        <w:spacing w:after="0" w:line="360" w:lineRule="auto"/>
        <w:outlineLvl w:val="0"/>
        <w:rPr>
          <w:rFonts w:hint="eastAsia" w:ascii="宋体" w:hAnsi="宋体" w:eastAsia="宋体" w:cs="宋体"/>
          <w:b/>
          <w:sz w:val="24"/>
          <w:szCs w:val="24"/>
          <w:highlight w:val="none"/>
        </w:rPr>
      </w:pPr>
      <w:bookmarkStart w:id="96" w:name="_Toc229738208"/>
      <w:r>
        <w:rPr>
          <w:rFonts w:hint="eastAsia" w:ascii="宋体" w:hAnsi="宋体" w:eastAsia="宋体" w:cs="宋体"/>
          <w:b/>
          <w:sz w:val="24"/>
          <w:szCs w:val="24"/>
          <w:highlight w:val="none"/>
        </w:rPr>
        <w:t>7．售后服务要求</w:t>
      </w:r>
      <w:bookmarkEnd w:id="96"/>
    </w:p>
    <w:p w14:paraId="3E1B408A">
      <w:pPr>
        <w:pageBreakBefore w:val="0"/>
        <w:kinsoku/>
        <w:wordWrap w:val="0"/>
        <w:overflowPunct/>
        <w:topLinePunct/>
        <w:bidi w:val="0"/>
        <w:spacing w:after="0" w:line="360" w:lineRule="auto"/>
        <w:outlineLvl w:val="0"/>
        <w:rPr>
          <w:rFonts w:hint="eastAsia" w:ascii="宋体" w:hAnsi="宋体" w:eastAsia="宋体" w:cs="宋体"/>
          <w:b/>
          <w:sz w:val="24"/>
          <w:szCs w:val="24"/>
          <w:highlight w:val="none"/>
        </w:rPr>
      </w:pPr>
      <w:bookmarkStart w:id="97" w:name="_Toc229738209"/>
      <w:bookmarkStart w:id="98" w:name="_Toc495410019"/>
      <w:bookmarkStart w:id="99" w:name="_Toc5399"/>
      <w:r>
        <w:rPr>
          <w:rFonts w:hint="eastAsia" w:ascii="宋体" w:hAnsi="宋体" w:eastAsia="宋体" w:cs="宋体"/>
          <w:b/>
          <w:sz w:val="24"/>
          <w:szCs w:val="24"/>
          <w:highlight w:val="none"/>
        </w:rPr>
        <w:t>7.1 缺陷责任期（质保期）</w:t>
      </w:r>
      <w:bookmarkEnd w:id="97"/>
      <w:bookmarkEnd w:id="98"/>
      <w:bookmarkEnd w:id="99"/>
    </w:p>
    <w:p w14:paraId="6244113C">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缺陷责任期：工艺设备部分为3年，自生产性能考核通过之日起计算。</w:t>
      </w:r>
    </w:p>
    <w:p w14:paraId="101583E5">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在缺陷责任期内，对有缺陷或不能正常运行的设备，投标人应进行修补或更换，并承担费用。</w:t>
      </w:r>
    </w:p>
    <w:p w14:paraId="2471979F">
      <w:pPr>
        <w:pageBreakBefore w:val="0"/>
        <w:kinsoku/>
        <w:wordWrap w:val="0"/>
        <w:overflowPunct/>
        <w:topLinePunct/>
        <w:bidi w:val="0"/>
        <w:spacing w:after="0" w:line="360" w:lineRule="auto"/>
        <w:outlineLvl w:val="0"/>
        <w:rPr>
          <w:rFonts w:hint="eastAsia" w:ascii="宋体" w:hAnsi="宋体" w:eastAsia="宋体" w:cs="宋体"/>
          <w:b/>
          <w:sz w:val="24"/>
          <w:szCs w:val="24"/>
        </w:rPr>
      </w:pPr>
      <w:bookmarkStart w:id="100" w:name="_Toc28831"/>
      <w:bookmarkStart w:id="101" w:name="_Toc229738210"/>
      <w:bookmarkStart w:id="102" w:name="_Toc63846265"/>
      <w:r>
        <w:rPr>
          <w:rFonts w:hint="eastAsia" w:ascii="宋体" w:hAnsi="宋体" w:eastAsia="宋体" w:cs="宋体"/>
          <w:b/>
          <w:sz w:val="24"/>
          <w:szCs w:val="24"/>
        </w:rPr>
        <w:t>7.2 售后服务要求</w:t>
      </w:r>
      <w:bookmarkEnd w:id="100"/>
      <w:bookmarkEnd w:id="101"/>
    </w:p>
    <w:p w14:paraId="34D287C7">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103" w:name="_Toc229738211"/>
      <w:bookmarkStart w:id="104" w:name="_Toc23758"/>
      <w:r>
        <w:rPr>
          <w:rFonts w:hint="eastAsia" w:ascii="宋体" w:hAnsi="宋体" w:eastAsia="宋体" w:cs="宋体"/>
          <w:b/>
          <w:bCs/>
          <w:kern w:val="0"/>
          <w:sz w:val="24"/>
          <w:szCs w:val="24"/>
        </w:rPr>
        <w:t>7.2.1 技术服务要求</w:t>
      </w:r>
      <w:bookmarkEnd w:id="102"/>
      <w:bookmarkEnd w:id="103"/>
      <w:bookmarkEnd w:id="104"/>
    </w:p>
    <w:p w14:paraId="0BAFAF0B">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投标人现场服务人员的目的是使所有设备安全、正常投运。</w:t>
      </w:r>
    </w:p>
    <w:p w14:paraId="6DDAF2FD">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现场服务人员应满足以下条件：遵守法纪，遵守现场的各项规章和制度；具备与服务设备相应的技术资质；有较强的责任感和事业心，按时到位；了解系统设备的设计，熟悉其结构，有相同或相近设备的现场工作经验，能够正确地进行现场指导；身体健康，适应现场工作的条件。投标人现场服务人员的调遣和更换应事先与</w:t>
      </w:r>
      <w:r>
        <w:rPr>
          <w:rFonts w:hint="eastAsia" w:cs="宋体"/>
          <w:sz w:val="24"/>
          <w:szCs w:val="24"/>
          <w:lang w:eastAsia="zh-CN"/>
        </w:rPr>
        <w:t>采购人</w:t>
      </w:r>
      <w:r>
        <w:rPr>
          <w:rFonts w:hint="eastAsia" w:ascii="宋体" w:hAnsi="宋体" w:eastAsia="宋体" w:cs="宋体"/>
          <w:sz w:val="24"/>
          <w:szCs w:val="24"/>
        </w:rPr>
        <w:t>协商。</w:t>
      </w:r>
    </w:p>
    <w:p w14:paraId="03A8C462">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投标人现场服务人员的责任和义务包括但不限于：在合同范围内给予全面的技术服务和合作，并同</w:t>
      </w:r>
      <w:r>
        <w:rPr>
          <w:rFonts w:hint="eastAsia" w:cs="宋体"/>
          <w:sz w:val="24"/>
          <w:szCs w:val="24"/>
          <w:lang w:eastAsia="zh-CN"/>
        </w:rPr>
        <w:t>采购人</w:t>
      </w:r>
      <w:r>
        <w:rPr>
          <w:rFonts w:hint="eastAsia" w:ascii="宋体" w:hAnsi="宋体" w:eastAsia="宋体" w:cs="宋体"/>
          <w:sz w:val="24"/>
          <w:szCs w:val="24"/>
        </w:rPr>
        <w:t>协商解决合同规定内容相关的技术和工作中的问题；在设备安装、机械测试、性能测试、操作人员培训等期间，给予技术讲解；对技术文件、图纸、过程、操作程序、及注意事项等，都做出详细的解释。</w:t>
      </w:r>
    </w:p>
    <w:p w14:paraId="7C828970">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就客户在合同涉及到的范围内所产生的技术问题做出解答；给予正确的技术服务和必要的示范，以保证</w:t>
      </w:r>
      <w:r>
        <w:rPr>
          <w:rFonts w:hint="eastAsia" w:cs="宋体"/>
          <w:sz w:val="24"/>
          <w:szCs w:val="24"/>
          <w:lang w:eastAsia="zh-CN"/>
        </w:rPr>
        <w:t>采购人</w:t>
      </w:r>
      <w:r>
        <w:rPr>
          <w:rFonts w:hint="eastAsia" w:ascii="宋体" w:hAnsi="宋体" w:eastAsia="宋体" w:cs="宋体"/>
          <w:sz w:val="24"/>
          <w:szCs w:val="24"/>
        </w:rPr>
        <w:t>能充分了解系统并能对其进行操作和维护。</w:t>
      </w:r>
    </w:p>
    <w:p w14:paraId="36DF837A">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105" w:name="_Toc18652"/>
      <w:bookmarkStart w:id="106" w:name="_Toc229738212"/>
      <w:bookmarkStart w:id="107" w:name="_Toc63846266"/>
      <w:r>
        <w:rPr>
          <w:rFonts w:hint="eastAsia" w:ascii="宋体" w:hAnsi="宋体" w:eastAsia="宋体" w:cs="宋体"/>
          <w:b/>
          <w:bCs/>
          <w:kern w:val="0"/>
          <w:sz w:val="24"/>
          <w:szCs w:val="24"/>
        </w:rPr>
        <w:t>7.2.2 培训</w:t>
      </w:r>
      <w:bookmarkEnd w:id="105"/>
      <w:bookmarkEnd w:id="106"/>
      <w:bookmarkEnd w:id="107"/>
    </w:p>
    <w:p w14:paraId="37C3A77A">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投标人负责对</w:t>
      </w:r>
      <w:r>
        <w:rPr>
          <w:rFonts w:hint="eastAsia" w:cs="宋体"/>
          <w:sz w:val="24"/>
          <w:szCs w:val="24"/>
          <w:lang w:eastAsia="zh-CN"/>
        </w:rPr>
        <w:t>采购人</w:t>
      </w:r>
      <w:r>
        <w:rPr>
          <w:rFonts w:hint="eastAsia" w:ascii="宋体" w:hAnsi="宋体" w:eastAsia="宋体" w:cs="宋体"/>
          <w:sz w:val="24"/>
          <w:szCs w:val="24"/>
        </w:rPr>
        <w:t>的管理人员、操作人员、维修人员进行培训，达到管理人员能高效、安全管理本系统，操作人员以能独立、正确操作设备，技术维修人员能熟练判断、处理和维护常见故障，保障本系统的正常运行。</w:t>
      </w:r>
    </w:p>
    <w:p w14:paraId="67FCCA16">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投标人提供的技术培训包括现场理论培训、现场岗位培训等。培训内容包括但不限于：工艺及功能说明、紧急措施、日常检修和管理项目、定期检修和维修作业、安全教育、设备运行培训等。培训应由投标人2～3名工程技术人员负责和执行培训计划。</w:t>
      </w:r>
    </w:p>
    <w:p w14:paraId="67E194DE">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（1）现场理论培训：投标人派遣具有丰富经验和理论知识的专业技术人员进行设备结构原理、操作和维修、安全注意事项等方面的知识培训。</w:t>
      </w:r>
    </w:p>
    <w:p w14:paraId="5418F18C">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（2）现场岗位培训：投标人安排具有工作经验专工团队，满足本工程安装、调试、试运行期间进行现场岗位培训要求。</w:t>
      </w:r>
    </w:p>
    <w:p w14:paraId="5BF76D16">
      <w:pPr>
        <w:keepNext/>
        <w:keepLines/>
        <w:pageBreakBefore w:val="0"/>
        <w:kinsoku/>
        <w:wordWrap w:val="0"/>
        <w:overflowPunct/>
        <w:topLinePunct/>
        <w:bidi w:val="0"/>
        <w:spacing w:before="156" w:beforeLines="50" w:after="156" w:afterLines="50" w:line="360" w:lineRule="auto"/>
        <w:outlineLvl w:val="1"/>
        <w:rPr>
          <w:rFonts w:hint="eastAsia" w:ascii="宋体" w:hAnsi="宋体" w:eastAsia="宋体" w:cs="宋体"/>
          <w:b/>
          <w:bCs/>
          <w:kern w:val="0"/>
          <w:sz w:val="24"/>
          <w:szCs w:val="24"/>
        </w:rPr>
      </w:pPr>
      <w:bookmarkStart w:id="108" w:name="_Toc11277"/>
      <w:bookmarkStart w:id="109" w:name="_Toc63846267"/>
      <w:bookmarkStart w:id="110" w:name="_Toc229738213"/>
      <w:r>
        <w:rPr>
          <w:rFonts w:hint="eastAsia" w:ascii="宋体" w:hAnsi="宋体" w:eastAsia="宋体" w:cs="宋体"/>
          <w:b/>
          <w:bCs/>
          <w:kern w:val="0"/>
          <w:sz w:val="24"/>
          <w:szCs w:val="24"/>
        </w:rPr>
        <w:t>7.2.3 售后服务要求</w:t>
      </w:r>
      <w:bookmarkEnd w:id="108"/>
      <w:bookmarkEnd w:id="109"/>
      <w:bookmarkEnd w:id="110"/>
    </w:p>
    <w:p w14:paraId="3E20CE0B">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在质量保证期内设备出现故障时，投标人响应服务时间8小时，如果无法通过电话和传真解决问题时，投标人在接到</w:t>
      </w:r>
      <w:r>
        <w:rPr>
          <w:rFonts w:hint="eastAsia" w:cs="宋体"/>
          <w:sz w:val="24"/>
          <w:szCs w:val="24"/>
          <w:lang w:eastAsia="zh-CN"/>
        </w:rPr>
        <w:t>采购人</w:t>
      </w:r>
      <w:r>
        <w:rPr>
          <w:rFonts w:hint="eastAsia" w:ascii="宋体" w:hAnsi="宋体" w:eastAsia="宋体" w:cs="宋体"/>
          <w:sz w:val="24"/>
          <w:szCs w:val="24"/>
        </w:rPr>
        <w:t>通知后12小时内派人到现场予以修复、更换。</w:t>
      </w:r>
    </w:p>
    <w:p w14:paraId="0B8D48CD">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在质量保证期内投标人免费提供设备正常使用情况下的维修及保养服务，由于设备本身原因造成的损坏，投标人应及时给予免费维修或更换，由此引起的施工费、人工费、材料费等费用由投标人负责。</w:t>
      </w:r>
    </w:p>
    <w:p w14:paraId="685E49EA">
      <w:pPr>
        <w:pStyle w:val="17"/>
        <w:pageBreakBefore w:val="0"/>
        <w:kinsoku/>
        <w:wordWrap w:val="0"/>
        <w:overflowPunct/>
        <w:topLinePunct/>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rPr>
        <w:t>质保期内，投标方免费提供责任范围内的服务，包括但不限于：操作指导、技术支持和维修服务、免费设计修改、系统工艺和设备整改、调试或更换有故障的零部件、软件升级等。</w:t>
      </w:r>
    </w:p>
    <w:p w14:paraId="15C0347B">
      <w:pPr>
        <w:pStyle w:val="17"/>
        <w:pageBreakBefore w:val="0"/>
        <w:kinsoku/>
        <w:wordWrap w:val="0"/>
        <w:overflowPunct/>
        <w:topLinePunct/>
        <w:bidi w:val="0"/>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投标人需根据招标文件要求提供设备，并对所提供设备的设计、配套选型、连接、质量等负全部责任。</w:t>
      </w:r>
    </w:p>
    <w:p w14:paraId="0486CFA4">
      <w:pPr>
        <w:pStyle w:val="17"/>
        <w:pageBreakBefore w:val="0"/>
        <w:kinsoku/>
        <w:wordWrap w:val="0"/>
        <w:overflowPunct/>
        <w:topLinePunct/>
        <w:bidi w:val="0"/>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投标人在投标技术文件中应对设备进行详细的技术描述，对招标条件的技术要求逐条响应，并详细填写技术规格偏离表；投标人负责提供满足工作要求的成套设备，供货必须完整、合理。</w:t>
      </w:r>
    </w:p>
    <w:p w14:paraId="7850D7F7">
      <w:pPr>
        <w:pStyle w:val="17"/>
        <w:pageBreakBefore w:val="0"/>
        <w:kinsoku/>
        <w:wordWrap w:val="0"/>
        <w:overflowPunct/>
        <w:topLinePunct/>
        <w:bidi w:val="0"/>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投标人中标后，还须提供设备培训、安装、调试、试运行过程中的相关技术服务。</w:t>
      </w:r>
    </w:p>
    <w:p w14:paraId="18BA3A23">
      <w:pPr>
        <w:keepNext w:val="0"/>
        <w:keepLines w:val="0"/>
        <w:pageBreakBefore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本章节加“</w:t>
      </w:r>
      <w:r>
        <w:rPr>
          <w:rFonts w:hint="eastAsia" w:ascii="宋体" w:hAnsi="宋体" w:eastAsia="宋体" w:cs="宋体"/>
          <w:sz w:val="24"/>
          <w:szCs w:val="24"/>
          <w14:ligatures w14:val="none"/>
        </w:rPr>
        <w:t>★</w:t>
      </w:r>
      <w:r>
        <w:rPr>
          <w:rFonts w:hint="eastAsia" w:ascii="宋体" w:hAnsi="宋体" w:eastAsia="宋体" w:cs="宋体"/>
          <w:b/>
          <w:bCs/>
          <w:color w:val="000000"/>
          <w:sz w:val="24"/>
          <w:szCs w:val="24"/>
          <w:highlight w:val="none"/>
          <w:lang w:val="en-US" w:eastAsia="zh-CN" w:bidi="ar-SA"/>
        </w:rPr>
        <w:t>”项为保证系统稳定运行所需的关键规格，均为实质性响应指标，如有任何一项不满足或负偏离则视为无效</w:t>
      </w:r>
      <w:r>
        <w:rPr>
          <w:rFonts w:hint="eastAsia" w:ascii="宋体" w:hAnsi="宋体" w:cs="宋体"/>
          <w:b/>
          <w:bCs/>
          <w:color w:val="000000"/>
          <w:sz w:val="24"/>
          <w:szCs w:val="24"/>
          <w:highlight w:val="none"/>
          <w:lang w:val="en-US" w:eastAsia="zh-CN" w:bidi="ar-SA"/>
        </w:rPr>
        <w:t>标书</w:t>
      </w:r>
      <w:r>
        <w:rPr>
          <w:rFonts w:hint="eastAsia" w:ascii="宋体" w:hAnsi="宋体" w:eastAsia="宋体" w:cs="宋体"/>
          <w:b/>
          <w:bCs/>
          <w:color w:val="000000"/>
          <w:sz w:val="24"/>
          <w:szCs w:val="24"/>
          <w:highlight w:val="none"/>
          <w:lang w:val="en-US" w:eastAsia="zh-CN" w:bidi="ar-SA"/>
        </w:rPr>
        <w:t>。如后期出现指标结果不符，视为虚假应标，中标方需承担相关法律后果。</w:t>
      </w:r>
    </w:p>
    <w:p w14:paraId="2CBFA488">
      <w:pPr>
        <w:keepNext w:val="0"/>
        <w:keepLines w:val="0"/>
        <w:pBdr>
          <w:top w:val="none" w:color="000000" w:sz="0" w:space="0"/>
          <w:left w:val="none" w:color="000000" w:sz="0" w:space="0"/>
          <w:bottom w:val="none" w:color="000000" w:sz="0" w:space="0"/>
          <w:right w:val="none" w:color="000000" w:sz="0" w:space="0"/>
        </w:pBdr>
        <w:kinsoku/>
        <w:wordWrap w:val="0"/>
        <w:overflowPunct w:val="0"/>
        <w:topLinePunct w:val="0"/>
        <w:autoSpaceDE/>
        <w:autoSpaceDN/>
        <w:bidi w:val="0"/>
        <w:adjustRightInd/>
        <w:snapToGrid/>
        <w:spacing w:after="0" w:line="360" w:lineRule="auto"/>
        <w:textAlignment w:val="auto"/>
        <w:rPr>
          <w:rFonts w:hint="default"/>
          <w:lang w:val="en-US" w:eastAsia="zh-CN"/>
        </w:rPr>
      </w:pPr>
      <w:r>
        <w:rPr>
          <w:rFonts w:hint="eastAsia" w:ascii="宋体" w:hAnsi="宋体" w:eastAsia="宋体" w:cs="宋体"/>
          <w:b/>
          <w:bCs/>
          <w:color w:val="auto"/>
          <w:kern w:val="2"/>
          <w:sz w:val="24"/>
          <w:szCs w:val="24"/>
          <w:highlight w:val="none"/>
          <w:lang w:val="en-US" w:eastAsia="zh-CN"/>
        </w:rPr>
        <w:t>五、其他要求：见《拟签订的合同文本》。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D12D5A"/>
    <w:rsid w:val="065B15E4"/>
    <w:rsid w:val="08AD5A2D"/>
    <w:rsid w:val="1C1520B9"/>
    <w:rsid w:val="2F194EB7"/>
    <w:rsid w:val="41DE379E"/>
    <w:rsid w:val="49AB26EA"/>
    <w:rsid w:val="5CB61DC7"/>
    <w:rsid w:val="5CE7687A"/>
    <w:rsid w:val="69362DAC"/>
    <w:rsid w:val="6B62463B"/>
    <w:rsid w:val="6DD12D5A"/>
    <w:rsid w:val="7A9D6842"/>
    <w:rsid w:val="7E4A06D3"/>
    <w:rsid w:val="7E5B60E4"/>
    <w:rsid w:val="7F8064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2"/>
    <w:basedOn w:val="1"/>
    <w:next w:val="3"/>
    <w:unhideWhenUsed/>
    <w:qFormat/>
    <w:uiPriority w:val="0"/>
    <w:pPr>
      <w:keepNext/>
      <w:keepLines/>
      <w:jc w:val="left"/>
      <w:outlineLvl w:val="1"/>
    </w:pPr>
    <w:rPr>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12" w:lineRule="atLeast"/>
      <w:jc w:val="left"/>
      <w:textAlignment w:val="baseline"/>
    </w:pPr>
    <w:rPr>
      <w:rFonts w:ascii="仿宋_GB2312"/>
      <w:kern w:val="0"/>
      <w:szCs w:val="32"/>
    </w:rPr>
  </w:style>
  <w:style w:type="paragraph" w:styleId="4">
    <w:name w:val="Body Text"/>
    <w:basedOn w:val="1"/>
    <w:next w:val="5"/>
    <w:qFormat/>
    <w:uiPriority w:val="0"/>
    <w:pPr>
      <w:spacing w:after="120"/>
    </w:pPr>
  </w:style>
  <w:style w:type="paragraph" w:customStyle="1" w:styleId="5">
    <w:name w:val="一级条标题"/>
    <w:basedOn w:val="6"/>
    <w:next w:val="7"/>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6">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7">
    <w:name w:val="段"/>
    <w:basedOn w:val="8"/>
    <w:next w:val="1"/>
    <w:qFormat/>
    <w:uiPriority w:val="0"/>
    <w:pPr>
      <w:widowControl/>
      <w:ind w:firstLine="200"/>
    </w:pPr>
    <w:rPr>
      <w:rFonts w:hint="eastAsia" w:ascii="宋体"/>
      <w:sz w:val="20"/>
      <w:szCs w:val="20"/>
    </w:rPr>
  </w:style>
  <w:style w:type="paragraph" w:customStyle="1" w:styleId="8">
    <w:name w:val="正文111"/>
    <w:next w:val="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9">
    <w:name w:val="目录 111"/>
    <w:basedOn w:val="8"/>
    <w:next w:val="8"/>
    <w:qFormat/>
    <w:uiPriority w:val="0"/>
    <w:pPr>
      <w:widowControl/>
      <w:spacing w:after="100" w:line="259" w:lineRule="auto"/>
      <w:jc w:val="left"/>
    </w:pPr>
    <w:rPr>
      <w:rFonts w:ascii="Calibri" w:hAnsi="Calibri"/>
      <w:sz w:val="22"/>
      <w:szCs w:val="22"/>
    </w:rPr>
  </w:style>
  <w:style w:type="paragraph" w:styleId="10">
    <w:name w:val="Block Text"/>
    <w:basedOn w:val="1"/>
    <w:next w:val="1"/>
    <w:qFormat/>
    <w:uiPriority w:val="0"/>
    <w:pPr>
      <w:ind w:left="256" w:right="6" w:firstLine="624"/>
    </w:pPr>
    <w:rPr>
      <w:rFonts w:eastAsia="仿宋_GB2312"/>
      <w:sz w:val="28"/>
    </w:rPr>
  </w:style>
  <w:style w:type="paragraph" w:styleId="11">
    <w:name w:val="footer"/>
    <w:basedOn w:val="1"/>
    <w:unhideWhenUsed/>
    <w:qFormat/>
    <w:uiPriority w:val="99"/>
    <w:pPr>
      <w:tabs>
        <w:tab w:val="center" w:pos="4153"/>
        <w:tab w:val="right" w:pos="8306"/>
      </w:tabs>
      <w:snapToGrid w:val="0"/>
      <w:spacing w:line="240" w:lineRule="auto"/>
    </w:pPr>
    <w:rPr>
      <w:sz w:val="18"/>
      <w:szCs w:val="18"/>
    </w:rPr>
  </w:style>
  <w:style w:type="paragraph" w:styleId="12">
    <w:name w:val="toc 1"/>
    <w:basedOn w:val="1"/>
    <w:next w:val="1"/>
    <w:unhideWhenUsed/>
    <w:qFormat/>
    <w:uiPriority w:val="39"/>
    <w:pPr>
      <w:spacing w:after="57"/>
      <w:ind w:left="0" w:right="0" w:firstLine="0"/>
    </w:pPr>
  </w:style>
  <w:style w:type="paragraph" w:customStyle="1" w:styleId="15">
    <w:name w:val="正文文本缩进1"/>
    <w:basedOn w:val="8"/>
    <w:next w:val="16"/>
    <w:qFormat/>
    <w:uiPriority w:val="0"/>
    <w:pPr>
      <w:spacing w:after="120"/>
      <w:ind w:left="420"/>
    </w:pPr>
  </w:style>
  <w:style w:type="paragraph" w:customStyle="1" w:styleId="16">
    <w:name w:val="寄信人地址1"/>
    <w:basedOn w:val="8"/>
    <w:qFormat/>
    <w:uiPriority w:val="0"/>
    <w:pPr>
      <w:ind w:firstLine="200"/>
    </w:pPr>
    <w:rPr>
      <w:rFonts w:ascii="Arial" w:hAnsi="Arial" w:eastAsia="仿宋_GB2312"/>
    </w:rPr>
  </w:style>
  <w:style w:type="paragraph" w:customStyle="1" w:styleId="17">
    <w:name w:val="样式正文3"/>
    <w:qFormat/>
    <w:uiPriority w:val="0"/>
    <w:pPr>
      <w:widowControl w:val="0"/>
      <w:adjustRightInd w:val="0"/>
      <w:snapToGrid w:val="0"/>
      <w:spacing w:after="0" w:line="360" w:lineRule="auto"/>
      <w:ind w:firstLine="560" w:firstLineChars="200"/>
      <w:jc w:val="both"/>
    </w:pPr>
    <w:rPr>
      <w:rFonts w:ascii="宋体" w:hAnsi="宋体" w:eastAsia="宋体" w:cs="Times New Roman"/>
      <w:kern w:val="0"/>
      <w:sz w:val="28"/>
      <w:szCs w:val="28"/>
      <w:lang w:val="en-US" w:eastAsia="zh-CN" w:bidi="ar-SA"/>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402</Words>
  <Characters>418</Characters>
  <Lines>0</Lines>
  <Paragraphs>0</Paragraphs>
  <TotalTime>12</TotalTime>
  <ScaleCrop>false</ScaleCrop>
  <LinksUpToDate>false</LinksUpToDate>
  <CharactersWithSpaces>419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2026-05-14T00:49:00Z</dcterms:created>
  <dc:creator>宋雅</dc:creator>
  <cp:lastModifiedBy>Administrator</cp:lastModifiedBy>
  <dcterms:modified xsi:type="dcterms:W3CDTF">2026-05-15T06:07:51Z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6ABF0EF180824177B25AAB264E774EBA_13</vt:lpwstr>
  </property>
  <property fmtid="{D5CDD505-2E9C-101B-9397-08002B2CF9AE}" pid="4" name="KSOTemplateDocerSaveRecord">
    <vt:lpwstr>eyJoZGlkIjoiMTM4ZWI2MTk2ZTM3MTgxMTEzMDE4ZWE1ZmExYjViNmIiLCJ1c2VySWQiOiIxMTQwMzg1MzY5In0=</vt:lpwstr>
  </property>
</Properties>
</file>